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113B0" w14:textId="77777777" w:rsidR="00D23F95" w:rsidRPr="00A67277" w:rsidRDefault="00D23F95" w:rsidP="00D23F95">
      <w:bookmarkStart w:id="0" w:name="_Hlk508044361"/>
      <w:bookmarkStart w:id="1" w:name="_GoBack"/>
      <w:bookmarkEnd w:id="1"/>
    </w:p>
    <w:p w14:paraId="3B6D244C" w14:textId="77777777" w:rsidR="005A6052" w:rsidRPr="00A67277" w:rsidRDefault="005A6052"/>
    <w:tbl>
      <w:tblPr>
        <w:tblStyle w:val="TableGrid"/>
        <w:tblpPr w:leftFromText="180" w:rightFromText="180" w:vertAnchor="page" w:tblpX="315" w:tblpY="168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8"/>
        <w:gridCol w:w="270"/>
        <w:gridCol w:w="4500"/>
      </w:tblGrid>
      <w:tr w:rsidR="00627E41" w:rsidRPr="00A67277" w14:paraId="6883AC81" w14:textId="77777777" w:rsidTr="005F3D5C">
        <w:tc>
          <w:tcPr>
            <w:tcW w:w="4518" w:type="dxa"/>
          </w:tcPr>
          <w:p w14:paraId="65165DE2"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COOPERATION AGREEMENT</w:t>
            </w:r>
          </w:p>
        </w:tc>
        <w:tc>
          <w:tcPr>
            <w:tcW w:w="270" w:type="dxa"/>
          </w:tcPr>
          <w:p w14:paraId="261CA4FC" w14:textId="77777777" w:rsidR="005A6052" w:rsidRPr="00A67277" w:rsidRDefault="005A6052" w:rsidP="005F3D5C">
            <w:pPr>
              <w:spacing w:before="60" w:after="60"/>
              <w:rPr>
                <w:rFonts w:ascii="Arial" w:hAnsi="Arial" w:cs="Arial"/>
                <w:sz w:val="21"/>
                <w:szCs w:val="21"/>
              </w:rPr>
            </w:pPr>
          </w:p>
        </w:tc>
        <w:tc>
          <w:tcPr>
            <w:tcW w:w="4500" w:type="dxa"/>
          </w:tcPr>
          <w:p w14:paraId="33F21105"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PERJANJIAN KERJASAMA</w:t>
            </w:r>
          </w:p>
        </w:tc>
      </w:tr>
      <w:tr w:rsidR="00627E41" w:rsidRPr="00A67277" w14:paraId="58917A13" w14:textId="77777777" w:rsidTr="005F3D5C">
        <w:tc>
          <w:tcPr>
            <w:tcW w:w="4518" w:type="dxa"/>
          </w:tcPr>
          <w:p w14:paraId="1E7DB9D7"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BETWEEN</w:t>
            </w:r>
          </w:p>
        </w:tc>
        <w:tc>
          <w:tcPr>
            <w:tcW w:w="270" w:type="dxa"/>
          </w:tcPr>
          <w:p w14:paraId="584F32F0" w14:textId="77777777" w:rsidR="005A6052" w:rsidRPr="00A67277" w:rsidRDefault="005A6052" w:rsidP="005F3D5C">
            <w:pPr>
              <w:spacing w:before="60" w:after="60"/>
              <w:rPr>
                <w:rFonts w:ascii="Arial" w:hAnsi="Arial" w:cs="Arial"/>
                <w:sz w:val="21"/>
                <w:szCs w:val="21"/>
              </w:rPr>
            </w:pPr>
          </w:p>
        </w:tc>
        <w:tc>
          <w:tcPr>
            <w:tcW w:w="4500" w:type="dxa"/>
          </w:tcPr>
          <w:p w14:paraId="7162061D"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ANTARA</w:t>
            </w:r>
          </w:p>
        </w:tc>
      </w:tr>
      <w:tr w:rsidR="00627E41" w:rsidRPr="00A67277" w14:paraId="10E3CD0C" w14:textId="77777777" w:rsidTr="005F3D5C">
        <w:tc>
          <w:tcPr>
            <w:tcW w:w="4518" w:type="dxa"/>
          </w:tcPr>
          <w:p w14:paraId="60050856"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INDONESIA TOLL ROAD REGULATORY AGENCY ON BEHALF OF MINSTER OF PUBLIC WORKS AND HOUSING</w:t>
            </w:r>
          </w:p>
        </w:tc>
        <w:tc>
          <w:tcPr>
            <w:tcW w:w="270" w:type="dxa"/>
          </w:tcPr>
          <w:p w14:paraId="3C1DB87D" w14:textId="77777777" w:rsidR="005A6052" w:rsidRPr="00A67277" w:rsidRDefault="005A6052" w:rsidP="005F3D5C">
            <w:pPr>
              <w:spacing w:before="60" w:after="60"/>
              <w:rPr>
                <w:rFonts w:ascii="Arial" w:hAnsi="Arial" w:cs="Arial"/>
                <w:sz w:val="21"/>
                <w:szCs w:val="21"/>
              </w:rPr>
            </w:pPr>
          </w:p>
        </w:tc>
        <w:tc>
          <w:tcPr>
            <w:tcW w:w="4500" w:type="dxa"/>
          </w:tcPr>
          <w:p w14:paraId="5B3B66CE" w14:textId="77777777" w:rsidR="005A6052" w:rsidRPr="00A67277" w:rsidRDefault="005A6052" w:rsidP="005F3D5C">
            <w:pPr>
              <w:spacing w:before="60" w:after="60"/>
              <w:ind w:left="720" w:hanging="720"/>
              <w:jc w:val="center"/>
              <w:rPr>
                <w:rFonts w:ascii="Arial" w:hAnsi="Arial" w:cs="Arial"/>
                <w:b/>
                <w:i/>
                <w:sz w:val="21"/>
                <w:szCs w:val="21"/>
              </w:rPr>
            </w:pPr>
            <w:r w:rsidRPr="00A67277">
              <w:rPr>
                <w:rFonts w:ascii="Arial" w:hAnsi="Arial" w:cs="Arial"/>
                <w:b/>
                <w:i/>
                <w:sz w:val="21"/>
                <w:szCs w:val="21"/>
              </w:rPr>
              <w:t>BADAN PENGATUR JALAN TOL ATAS NAMA MENTERI PEKERJAAN UMUM DAN PERUMAHAN RAKYAT</w:t>
            </w:r>
          </w:p>
        </w:tc>
      </w:tr>
      <w:tr w:rsidR="00627E41" w:rsidRPr="00A67277" w14:paraId="26C09F61" w14:textId="77777777" w:rsidTr="005F3D5C">
        <w:tc>
          <w:tcPr>
            <w:tcW w:w="4518" w:type="dxa"/>
          </w:tcPr>
          <w:p w14:paraId="0E3E0188"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WITH</w:t>
            </w:r>
          </w:p>
        </w:tc>
        <w:tc>
          <w:tcPr>
            <w:tcW w:w="270" w:type="dxa"/>
          </w:tcPr>
          <w:p w14:paraId="7BCD6C69" w14:textId="77777777" w:rsidR="005A6052" w:rsidRPr="00A67277" w:rsidRDefault="005A6052" w:rsidP="005F3D5C">
            <w:pPr>
              <w:spacing w:before="60" w:after="60"/>
              <w:rPr>
                <w:rFonts w:ascii="Arial" w:hAnsi="Arial" w:cs="Arial"/>
                <w:sz w:val="21"/>
                <w:szCs w:val="21"/>
              </w:rPr>
            </w:pPr>
          </w:p>
        </w:tc>
        <w:tc>
          <w:tcPr>
            <w:tcW w:w="4500" w:type="dxa"/>
          </w:tcPr>
          <w:p w14:paraId="12C4E638"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DENGAN</w:t>
            </w:r>
          </w:p>
        </w:tc>
      </w:tr>
      <w:tr w:rsidR="00627E41" w:rsidRPr="00A67277" w14:paraId="5F8AD368" w14:textId="77777777" w:rsidTr="005F3D5C">
        <w:tc>
          <w:tcPr>
            <w:tcW w:w="4518" w:type="dxa"/>
          </w:tcPr>
          <w:p w14:paraId="46AF0615"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[insert the name of Implementing Business Entity]</w:t>
            </w:r>
          </w:p>
        </w:tc>
        <w:tc>
          <w:tcPr>
            <w:tcW w:w="270" w:type="dxa"/>
          </w:tcPr>
          <w:p w14:paraId="43893629" w14:textId="77777777" w:rsidR="005A6052" w:rsidRPr="00A67277" w:rsidRDefault="005A6052" w:rsidP="005F3D5C">
            <w:pPr>
              <w:spacing w:before="60" w:after="60"/>
              <w:rPr>
                <w:rFonts w:ascii="Arial" w:hAnsi="Arial" w:cs="Arial"/>
                <w:sz w:val="21"/>
                <w:szCs w:val="21"/>
              </w:rPr>
            </w:pPr>
          </w:p>
        </w:tc>
        <w:tc>
          <w:tcPr>
            <w:tcW w:w="4500" w:type="dxa"/>
          </w:tcPr>
          <w:p w14:paraId="01EF9745"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[masukan nama Badan Usaha Pelaksana]</w:t>
            </w:r>
          </w:p>
        </w:tc>
      </w:tr>
      <w:tr w:rsidR="00627E41" w:rsidRPr="00A67277" w14:paraId="5EA9827C" w14:textId="77777777" w:rsidTr="005F3D5C">
        <w:tc>
          <w:tcPr>
            <w:tcW w:w="4518" w:type="dxa"/>
          </w:tcPr>
          <w:p w14:paraId="6BDD3677"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NUMBER:</w:t>
            </w:r>
          </w:p>
        </w:tc>
        <w:tc>
          <w:tcPr>
            <w:tcW w:w="270" w:type="dxa"/>
          </w:tcPr>
          <w:p w14:paraId="207F637A" w14:textId="77777777" w:rsidR="005A6052" w:rsidRPr="00A67277" w:rsidRDefault="005A6052" w:rsidP="005F3D5C">
            <w:pPr>
              <w:spacing w:before="60" w:after="60"/>
              <w:rPr>
                <w:rFonts w:ascii="Arial" w:hAnsi="Arial" w:cs="Arial"/>
                <w:sz w:val="21"/>
                <w:szCs w:val="21"/>
              </w:rPr>
            </w:pPr>
          </w:p>
        </w:tc>
        <w:tc>
          <w:tcPr>
            <w:tcW w:w="4500" w:type="dxa"/>
          </w:tcPr>
          <w:p w14:paraId="5217F6B1"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NOMOR:</w:t>
            </w:r>
          </w:p>
          <w:p w14:paraId="7C5FC70E" w14:textId="77777777" w:rsidR="005A6052" w:rsidRPr="00A67277" w:rsidRDefault="005A6052" w:rsidP="005F3D5C">
            <w:pPr>
              <w:spacing w:before="60" w:after="60"/>
              <w:jc w:val="center"/>
              <w:rPr>
                <w:rFonts w:ascii="Arial" w:hAnsi="Arial" w:cs="Arial"/>
                <w:b/>
                <w:i/>
                <w:sz w:val="21"/>
                <w:szCs w:val="21"/>
              </w:rPr>
            </w:pPr>
          </w:p>
          <w:p w14:paraId="01644D5D" w14:textId="77777777" w:rsidR="005A6052" w:rsidRPr="00A67277" w:rsidRDefault="005A6052" w:rsidP="005F3D5C">
            <w:pPr>
              <w:spacing w:before="60" w:after="60"/>
              <w:jc w:val="center"/>
              <w:rPr>
                <w:rFonts w:ascii="Arial" w:hAnsi="Arial" w:cs="Arial"/>
                <w:b/>
                <w:i/>
                <w:sz w:val="21"/>
                <w:szCs w:val="21"/>
              </w:rPr>
            </w:pPr>
          </w:p>
          <w:p w14:paraId="7FF8A433" w14:textId="77777777" w:rsidR="005A6052" w:rsidRPr="00A67277" w:rsidRDefault="005A6052" w:rsidP="005F3D5C">
            <w:pPr>
              <w:spacing w:before="60" w:after="60"/>
              <w:jc w:val="center"/>
              <w:rPr>
                <w:rFonts w:ascii="Arial" w:hAnsi="Arial" w:cs="Arial"/>
                <w:b/>
                <w:i/>
                <w:sz w:val="21"/>
                <w:szCs w:val="21"/>
              </w:rPr>
            </w:pPr>
          </w:p>
          <w:p w14:paraId="00C03A4F" w14:textId="77777777" w:rsidR="005A6052" w:rsidRPr="00A67277" w:rsidRDefault="005A6052" w:rsidP="005F3D5C">
            <w:pPr>
              <w:spacing w:before="60" w:after="60"/>
              <w:jc w:val="center"/>
              <w:rPr>
                <w:rFonts w:ascii="Arial" w:hAnsi="Arial" w:cs="Arial"/>
                <w:b/>
                <w:i/>
                <w:sz w:val="21"/>
                <w:szCs w:val="21"/>
              </w:rPr>
            </w:pPr>
          </w:p>
          <w:p w14:paraId="6989986D" w14:textId="77777777" w:rsidR="005A6052" w:rsidRPr="00A67277" w:rsidRDefault="005A6052" w:rsidP="005F3D5C">
            <w:pPr>
              <w:spacing w:before="60" w:after="60"/>
              <w:jc w:val="center"/>
              <w:rPr>
                <w:rFonts w:ascii="Arial" w:hAnsi="Arial" w:cs="Arial"/>
                <w:b/>
                <w:i/>
                <w:sz w:val="21"/>
                <w:szCs w:val="21"/>
              </w:rPr>
            </w:pPr>
          </w:p>
        </w:tc>
      </w:tr>
      <w:tr w:rsidR="00627E41" w:rsidRPr="00A67277" w14:paraId="08AB745F" w14:textId="77777777" w:rsidTr="005F3D5C">
        <w:tc>
          <w:tcPr>
            <w:tcW w:w="4518" w:type="dxa"/>
          </w:tcPr>
          <w:p w14:paraId="27FFC223"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ON</w:t>
            </w:r>
          </w:p>
        </w:tc>
        <w:tc>
          <w:tcPr>
            <w:tcW w:w="270" w:type="dxa"/>
          </w:tcPr>
          <w:p w14:paraId="19C7928E" w14:textId="77777777" w:rsidR="005A6052" w:rsidRPr="00A67277" w:rsidRDefault="005A6052" w:rsidP="005F3D5C">
            <w:pPr>
              <w:spacing w:before="60" w:after="60"/>
              <w:rPr>
                <w:rFonts w:ascii="Arial" w:hAnsi="Arial" w:cs="Arial"/>
                <w:sz w:val="21"/>
                <w:szCs w:val="21"/>
              </w:rPr>
            </w:pPr>
          </w:p>
        </w:tc>
        <w:tc>
          <w:tcPr>
            <w:tcW w:w="4500" w:type="dxa"/>
          </w:tcPr>
          <w:p w14:paraId="184E2343"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TENTANG</w:t>
            </w:r>
          </w:p>
        </w:tc>
      </w:tr>
      <w:tr w:rsidR="00627E41" w:rsidRPr="00A67277" w14:paraId="2329B81D" w14:textId="77777777" w:rsidTr="005F3D5C">
        <w:tc>
          <w:tcPr>
            <w:tcW w:w="4518" w:type="dxa"/>
          </w:tcPr>
          <w:p w14:paraId="349C0860"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Indonesia National Multi-Lane Free Flow Electronic Toll Collection System Public Private Partnership Project</w:t>
            </w:r>
          </w:p>
        </w:tc>
        <w:tc>
          <w:tcPr>
            <w:tcW w:w="270" w:type="dxa"/>
          </w:tcPr>
          <w:p w14:paraId="60FA16A0" w14:textId="77777777" w:rsidR="005A6052" w:rsidRPr="00A67277" w:rsidRDefault="005A6052" w:rsidP="005F3D5C">
            <w:pPr>
              <w:spacing w:before="60" w:after="60"/>
              <w:rPr>
                <w:rFonts w:ascii="Arial" w:hAnsi="Arial" w:cs="Arial"/>
                <w:sz w:val="21"/>
                <w:szCs w:val="21"/>
              </w:rPr>
            </w:pPr>
          </w:p>
        </w:tc>
        <w:tc>
          <w:tcPr>
            <w:tcW w:w="4500" w:type="dxa"/>
          </w:tcPr>
          <w:p w14:paraId="7542EA76"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Proyek Kerjasama Pemerintah dengan Badan Usaha Sistem Transaksi Tol Elektronik Nasional Multi-Lane Free Flow</w:t>
            </w:r>
          </w:p>
        </w:tc>
      </w:tr>
      <w:tr w:rsidR="00627E41" w:rsidRPr="00A67277" w14:paraId="69378148" w14:textId="77777777" w:rsidTr="005F3D5C">
        <w:tc>
          <w:tcPr>
            <w:tcW w:w="4518" w:type="dxa"/>
          </w:tcPr>
          <w:p w14:paraId="12890522" w14:textId="77777777" w:rsidR="005A6052" w:rsidRPr="00A67277" w:rsidRDefault="005A6052" w:rsidP="005F3D5C">
            <w:pPr>
              <w:spacing w:before="60" w:after="60"/>
              <w:jc w:val="center"/>
              <w:rPr>
                <w:rFonts w:ascii="Arial" w:hAnsi="Arial" w:cs="Arial"/>
                <w:sz w:val="21"/>
                <w:szCs w:val="21"/>
              </w:rPr>
            </w:pPr>
            <w:r w:rsidRPr="00A67277">
              <w:rPr>
                <w:rFonts w:ascii="Arial" w:hAnsi="Arial" w:cs="Arial"/>
                <w:b/>
                <w:i/>
                <w:sz w:val="21"/>
                <w:szCs w:val="21"/>
              </w:rPr>
              <w:t>Date [insert the date of signing]</w:t>
            </w:r>
          </w:p>
        </w:tc>
        <w:tc>
          <w:tcPr>
            <w:tcW w:w="270" w:type="dxa"/>
          </w:tcPr>
          <w:p w14:paraId="2D969F9A" w14:textId="77777777" w:rsidR="005A6052" w:rsidRPr="00A67277" w:rsidRDefault="005A6052" w:rsidP="005F3D5C">
            <w:pPr>
              <w:spacing w:before="60" w:after="60"/>
              <w:rPr>
                <w:rFonts w:ascii="Arial" w:hAnsi="Arial" w:cs="Arial"/>
                <w:sz w:val="21"/>
                <w:szCs w:val="21"/>
              </w:rPr>
            </w:pPr>
          </w:p>
        </w:tc>
        <w:tc>
          <w:tcPr>
            <w:tcW w:w="4500" w:type="dxa"/>
          </w:tcPr>
          <w:p w14:paraId="06759DE8" w14:textId="77777777" w:rsidR="005A6052" w:rsidRPr="00A67277" w:rsidRDefault="005A6052" w:rsidP="005F3D5C">
            <w:pPr>
              <w:spacing w:before="60" w:after="60"/>
              <w:jc w:val="center"/>
              <w:rPr>
                <w:rFonts w:ascii="Arial" w:hAnsi="Arial" w:cs="Arial"/>
                <w:b/>
                <w:i/>
                <w:sz w:val="21"/>
                <w:szCs w:val="21"/>
              </w:rPr>
            </w:pPr>
            <w:r w:rsidRPr="00A67277">
              <w:rPr>
                <w:rFonts w:ascii="Arial" w:hAnsi="Arial" w:cs="Arial"/>
                <w:b/>
                <w:i/>
                <w:sz w:val="21"/>
                <w:szCs w:val="21"/>
              </w:rPr>
              <w:t>Tanggal [masukan tanggal penandatanganan]</w:t>
            </w:r>
          </w:p>
        </w:tc>
      </w:tr>
    </w:tbl>
    <w:p w14:paraId="1167833F" w14:textId="77777777" w:rsidR="005A6052" w:rsidRPr="00A67277" w:rsidRDefault="005A6052"/>
    <w:p w14:paraId="4B22C46E" w14:textId="77777777" w:rsidR="005A6052" w:rsidRPr="00A67277" w:rsidRDefault="005A6052" w:rsidP="005A6052">
      <w:r w:rsidRPr="00A67277">
        <w:br w:type="page"/>
      </w:r>
    </w:p>
    <w:p w14:paraId="0FD680D0" w14:textId="77777777" w:rsidR="005A6052" w:rsidRPr="00A67277" w:rsidRDefault="005A6052"/>
    <w:tbl>
      <w:tblPr>
        <w:tblStyle w:val="TableGrid"/>
        <w:tblW w:w="991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7"/>
        <w:gridCol w:w="969"/>
        <w:gridCol w:w="3723"/>
        <w:gridCol w:w="260"/>
        <w:gridCol w:w="969"/>
      </w:tblGrid>
      <w:tr w:rsidR="003430F9" w:rsidRPr="00A67277" w14:paraId="48F474F3" w14:textId="77777777" w:rsidTr="00C13E71">
        <w:tc>
          <w:tcPr>
            <w:tcW w:w="9918" w:type="dxa"/>
            <w:gridSpan w:val="5"/>
          </w:tcPr>
          <w:p w14:paraId="33185EAA" w14:textId="77777777" w:rsidR="003430F9" w:rsidRPr="00A67277" w:rsidRDefault="003430F9" w:rsidP="00BA7204">
            <w:pPr>
              <w:jc w:val="center"/>
              <w:rPr>
                <w:rFonts w:ascii="Arial" w:hAnsi="Arial" w:cs="Arial"/>
                <w:b/>
                <w:sz w:val="21"/>
                <w:szCs w:val="21"/>
              </w:rPr>
            </w:pPr>
            <w:r w:rsidRPr="00A67277">
              <w:rPr>
                <w:rFonts w:ascii="Arial" w:hAnsi="Arial" w:cs="Arial"/>
                <w:b/>
                <w:sz w:val="21"/>
                <w:szCs w:val="21"/>
              </w:rPr>
              <w:t>DAFTAR ISI</w:t>
            </w:r>
          </w:p>
        </w:tc>
      </w:tr>
      <w:tr w:rsidR="003430F9" w:rsidRPr="00A67277" w14:paraId="1CA755C9" w14:textId="77777777" w:rsidTr="00C13E71">
        <w:tc>
          <w:tcPr>
            <w:tcW w:w="9918" w:type="dxa"/>
            <w:gridSpan w:val="5"/>
          </w:tcPr>
          <w:p w14:paraId="65377C45" w14:textId="0C8BE399" w:rsidR="003430F9" w:rsidRPr="00A67277" w:rsidRDefault="003430F9" w:rsidP="00B27B4B">
            <w:pPr>
              <w:jc w:val="center"/>
              <w:rPr>
                <w:rFonts w:ascii="Arial" w:hAnsi="Arial" w:cs="Arial"/>
                <w:b/>
                <w:sz w:val="21"/>
                <w:szCs w:val="21"/>
              </w:rPr>
            </w:pPr>
            <w:r w:rsidRPr="00A67277">
              <w:rPr>
                <w:rFonts w:ascii="Arial" w:hAnsi="Arial" w:cs="Arial"/>
                <w:b/>
                <w:sz w:val="21"/>
                <w:szCs w:val="21"/>
              </w:rPr>
              <w:t>TABLE OF CONTENTS</w:t>
            </w:r>
            <w:r w:rsidR="005A6052" w:rsidRPr="00A67277">
              <w:rPr>
                <w:rFonts w:ascii="Arial" w:hAnsi="Arial" w:cs="Arial"/>
                <w:b/>
                <w:sz w:val="21"/>
                <w:szCs w:val="21"/>
              </w:rPr>
              <w:t xml:space="preserve"> </w:t>
            </w:r>
          </w:p>
        </w:tc>
      </w:tr>
      <w:tr w:rsidR="003430F9" w:rsidRPr="00A67277" w14:paraId="4983FABB" w14:textId="77777777" w:rsidTr="00C13E71">
        <w:tc>
          <w:tcPr>
            <w:tcW w:w="9918" w:type="dxa"/>
            <w:gridSpan w:val="5"/>
          </w:tcPr>
          <w:p w14:paraId="5A92B704" w14:textId="77777777" w:rsidR="003430F9" w:rsidRPr="00A67277" w:rsidRDefault="003430F9" w:rsidP="00BA7204">
            <w:pPr>
              <w:ind w:left="19" w:hanging="19"/>
              <w:jc w:val="center"/>
              <w:rPr>
                <w:rFonts w:ascii="Arial" w:hAnsi="Arial" w:cs="Arial"/>
                <w:b/>
                <w:sz w:val="21"/>
                <w:szCs w:val="21"/>
              </w:rPr>
            </w:pPr>
          </w:p>
        </w:tc>
      </w:tr>
      <w:tr w:rsidR="003430F9" w:rsidRPr="00A67277" w14:paraId="67387CB9" w14:textId="77777777" w:rsidTr="00782E0B">
        <w:tc>
          <w:tcPr>
            <w:tcW w:w="8949" w:type="dxa"/>
            <w:gridSpan w:val="4"/>
          </w:tcPr>
          <w:p w14:paraId="6736AF73" w14:textId="77777777" w:rsidR="003430F9" w:rsidRPr="00A67277" w:rsidRDefault="003430F9" w:rsidP="00BA7204">
            <w:pPr>
              <w:rPr>
                <w:rFonts w:ascii="Arial" w:hAnsi="Arial" w:cs="Arial"/>
                <w:sz w:val="21"/>
                <w:szCs w:val="21"/>
              </w:rPr>
            </w:pPr>
          </w:p>
        </w:tc>
        <w:tc>
          <w:tcPr>
            <w:tcW w:w="969" w:type="dxa"/>
          </w:tcPr>
          <w:p w14:paraId="37F5AE9D" w14:textId="77777777" w:rsidR="003430F9" w:rsidRPr="00A67277" w:rsidRDefault="003430F9" w:rsidP="00BA7204">
            <w:pPr>
              <w:jc w:val="center"/>
              <w:rPr>
                <w:rFonts w:ascii="Arial" w:hAnsi="Arial" w:cs="Arial"/>
                <w:b/>
                <w:sz w:val="21"/>
                <w:szCs w:val="21"/>
              </w:rPr>
            </w:pPr>
            <w:r w:rsidRPr="00A67277">
              <w:rPr>
                <w:rFonts w:ascii="Arial" w:hAnsi="Arial" w:cs="Arial"/>
                <w:b/>
                <w:sz w:val="21"/>
                <w:szCs w:val="21"/>
              </w:rPr>
              <w:t>PAGE</w:t>
            </w:r>
          </w:p>
        </w:tc>
      </w:tr>
      <w:tr w:rsidR="00DD1A2C" w:rsidRPr="00A67277" w14:paraId="520B8E08" w14:textId="77777777" w:rsidTr="00782E0B">
        <w:tc>
          <w:tcPr>
            <w:tcW w:w="3997" w:type="dxa"/>
          </w:tcPr>
          <w:p w14:paraId="7D15AE2E" w14:textId="77777777" w:rsidR="00DD1A2C" w:rsidRPr="00A67277" w:rsidRDefault="00DD1A2C" w:rsidP="00262C7F">
            <w:pPr>
              <w:pStyle w:val="ListParagraph"/>
              <w:numPr>
                <w:ilvl w:val="0"/>
                <w:numId w:val="478"/>
              </w:numPr>
              <w:spacing w:line="240" w:lineRule="auto"/>
              <w:ind w:left="301" w:hanging="301"/>
              <w:jc w:val="left"/>
              <w:rPr>
                <w:rFonts w:cs="Arial"/>
                <w:b/>
              </w:rPr>
            </w:pPr>
            <w:r w:rsidRPr="00A67277">
              <w:rPr>
                <w:rFonts w:cs="Arial"/>
                <w:b/>
              </w:rPr>
              <w:t>Definitions and Interpretations</w:t>
            </w:r>
          </w:p>
        </w:tc>
        <w:tc>
          <w:tcPr>
            <w:tcW w:w="969" w:type="dxa"/>
          </w:tcPr>
          <w:p w14:paraId="43C806E8" w14:textId="60BB706E" w:rsidR="00DD1A2C" w:rsidRPr="00A67277" w:rsidRDefault="00A112A9" w:rsidP="00DD1A2C">
            <w:pPr>
              <w:jc w:val="right"/>
              <w:rPr>
                <w:rFonts w:ascii="Arial" w:hAnsi="Arial" w:cs="Arial"/>
                <w:sz w:val="21"/>
                <w:szCs w:val="21"/>
              </w:rPr>
            </w:pPr>
            <w:r>
              <w:rPr>
                <w:rFonts w:ascii="Arial" w:hAnsi="Arial" w:cs="Arial"/>
                <w:sz w:val="21"/>
                <w:szCs w:val="21"/>
              </w:rPr>
              <w:t>9</w:t>
            </w:r>
          </w:p>
        </w:tc>
        <w:tc>
          <w:tcPr>
            <w:tcW w:w="3723" w:type="dxa"/>
          </w:tcPr>
          <w:p w14:paraId="6BBDD735" w14:textId="77777777" w:rsidR="00DD1A2C" w:rsidRPr="00A67277" w:rsidRDefault="00DD1A2C" w:rsidP="00262C7F">
            <w:pPr>
              <w:pStyle w:val="ListParagraph"/>
              <w:numPr>
                <w:ilvl w:val="0"/>
                <w:numId w:val="479"/>
              </w:numPr>
              <w:spacing w:line="240" w:lineRule="auto"/>
              <w:ind w:left="301" w:hanging="301"/>
              <w:jc w:val="left"/>
              <w:rPr>
                <w:rFonts w:cs="Arial"/>
                <w:b/>
                <w:lang w:val="id-ID"/>
              </w:rPr>
            </w:pPr>
            <w:r w:rsidRPr="00A67277">
              <w:rPr>
                <w:rFonts w:cs="Arial"/>
                <w:b/>
                <w:lang w:val="id-ID"/>
              </w:rPr>
              <w:t>Definisi dan Interpretasi</w:t>
            </w:r>
          </w:p>
        </w:tc>
        <w:tc>
          <w:tcPr>
            <w:tcW w:w="260" w:type="dxa"/>
          </w:tcPr>
          <w:p w14:paraId="6CF5FFCA" w14:textId="77777777" w:rsidR="00DD1A2C" w:rsidRPr="00A67277" w:rsidRDefault="00DD1A2C" w:rsidP="00DD1A2C">
            <w:pPr>
              <w:rPr>
                <w:rFonts w:ascii="Arial" w:hAnsi="Arial" w:cs="Arial"/>
                <w:sz w:val="21"/>
                <w:szCs w:val="21"/>
              </w:rPr>
            </w:pPr>
          </w:p>
        </w:tc>
        <w:tc>
          <w:tcPr>
            <w:tcW w:w="969" w:type="dxa"/>
          </w:tcPr>
          <w:p w14:paraId="3462EC2F" w14:textId="3D4B20CD" w:rsidR="00DD1A2C" w:rsidRPr="00A67277" w:rsidRDefault="00782E0B" w:rsidP="00DD1A2C">
            <w:pPr>
              <w:jc w:val="right"/>
              <w:rPr>
                <w:rFonts w:ascii="Arial" w:hAnsi="Arial" w:cs="Arial"/>
                <w:sz w:val="21"/>
                <w:szCs w:val="21"/>
              </w:rPr>
            </w:pPr>
            <w:r>
              <w:rPr>
                <w:rFonts w:ascii="Arial" w:hAnsi="Arial" w:cs="Arial"/>
                <w:sz w:val="21"/>
                <w:szCs w:val="21"/>
              </w:rPr>
              <w:t>9</w:t>
            </w:r>
          </w:p>
        </w:tc>
      </w:tr>
      <w:tr w:rsidR="00782E0B" w:rsidRPr="00A67277" w14:paraId="0AD8B82D" w14:textId="77777777" w:rsidTr="00782E0B">
        <w:tc>
          <w:tcPr>
            <w:tcW w:w="3997" w:type="dxa"/>
          </w:tcPr>
          <w:p w14:paraId="2054A346"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Definitions</w:t>
            </w:r>
          </w:p>
        </w:tc>
        <w:tc>
          <w:tcPr>
            <w:tcW w:w="969" w:type="dxa"/>
          </w:tcPr>
          <w:p w14:paraId="6A086A27" w14:textId="11D50414" w:rsidR="00782E0B" w:rsidRPr="00A67277" w:rsidRDefault="00782E0B" w:rsidP="00782E0B">
            <w:pPr>
              <w:jc w:val="right"/>
              <w:rPr>
                <w:rFonts w:ascii="Arial" w:hAnsi="Arial" w:cs="Arial"/>
                <w:sz w:val="21"/>
                <w:szCs w:val="21"/>
              </w:rPr>
            </w:pPr>
            <w:r>
              <w:rPr>
                <w:rFonts w:ascii="Arial" w:hAnsi="Arial" w:cs="Arial"/>
                <w:sz w:val="21"/>
                <w:szCs w:val="21"/>
              </w:rPr>
              <w:t>9</w:t>
            </w:r>
          </w:p>
        </w:tc>
        <w:tc>
          <w:tcPr>
            <w:tcW w:w="3723" w:type="dxa"/>
          </w:tcPr>
          <w:p w14:paraId="5FDD3D12"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Definisi</w:t>
            </w:r>
          </w:p>
        </w:tc>
        <w:tc>
          <w:tcPr>
            <w:tcW w:w="260" w:type="dxa"/>
          </w:tcPr>
          <w:p w14:paraId="457CD2C0" w14:textId="77777777" w:rsidR="00782E0B" w:rsidRPr="00A67277" w:rsidRDefault="00782E0B" w:rsidP="00782E0B">
            <w:pPr>
              <w:rPr>
                <w:rFonts w:ascii="Arial" w:hAnsi="Arial" w:cs="Arial"/>
                <w:sz w:val="21"/>
                <w:szCs w:val="21"/>
              </w:rPr>
            </w:pPr>
          </w:p>
        </w:tc>
        <w:tc>
          <w:tcPr>
            <w:tcW w:w="969" w:type="dxa"/>
          </w:tcPr>
          <w:p w14:paraId="60ADE936" w14:textId="4FF1528F" w:rsidR="00782E0B" w:rsidRPr="00A67277" w:rsidRDefault="00782E0B" w:rsidP="00782E0B">
            <w:pPr>
              <w:jc w:val="right"/>
              <w:rPr>
                <w:rFonts w:ascii="Arial" w:hAnsi="Arial" w:cs="Arial"/>
                <w:sz w:val="21"/>
                <w:szCs w:val="21"/>
              </w:rPr>
            </w:pPr>
            <w:r>
              <w:rPr>
                <w:rFonts w:ascii="Arial" w:hAnsi="Arial" w:cs="Arial"/>
                <w:sz w:val="21"/>
                <w:szCs w:val="21"/>
              </w:rPr>
              <w:t>9</w:t>
            </w:r>
          </w:p>
        </w:tc>
      </w:tr>
      <w:tr w:rsidR="00782E0B" w:rsidRPr="00A67277" w14:paraId="767B8F2D" w14:textId="77777777" w:rsidTr="00782E0B">
        <w:tc>
          <w:tcPr>
            <w:tcW w:w="3997" w:type="dxa"/>
          </w:tcPr>
          <w:p w14:paraId="371E5DFB"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Interpretations</w:t>
            </w:r>
          </w:p>
        </w:tc>
        <w:tc>
          <w:tcPr>
            <w:tcW w:w="969" w:type="dxa"/>
          </w:tcPr>
          <w:p w14:paraId="2308328A" w14:textId="24402C94" w:rsidR="00782E0B" w:rsidRPr="00A67277" w:rsidRDefault="00782E0B" w:rsidP="00782E0B">
            <w:pPr>
              <w:jc w:val="right"/>
              <w:rPr>
                <w:rFonts w:ascii="Arial" w:hAnsi="Arial" w:cs="Arial"/>
                <w:sz w:val="21"/>
                <w:szCs w:val="21"/>
              </w:rPr>
            </w:pPr>
            <w:r>
              <w:rPr>
                <w:rFonts w:ascii="Arial" w:hAnsi="Arial" w:cs="Arial"/>
                <w:sz w:val="21"/>
                <w:szCs w:val="21"/>
              </w:rPr>
              <w:t>40</w:t>
            </w:r>
          </w:p>
        </w:tc>
        <w:tc>
          <w:tcPr>
            <w:tcW w:w="3723" w:type="dxa"/>
          </w:tcPr>
          <w:p w14:paraId="0C878F22"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Interpretasi</w:t>
            </w:r>
          </w:p>
        </w:tc>
        <w:tc>
          <w:tcPr>
            <w:tcW w:w="260" w:type="dxa"/>
          </w:tcPr>
          <w:p w14:paraId="478ACB44" w14:textId="77777777" w:rsidR="00782E0B" w:rsidRPr="00A67277" w:rsidRDefault="00782E0B" w:rsidP="00782E0B">
            <w:pPr>
              <w:rPr>
                <w:rFonts w:ascii="Arial" w:hAnsi="Arial" w:cs="Arial"/>
                <w:sz w:val="21"/>
                <w:szCs w:val="21"/>
              </w:rPr>
            </w:pPr>
          </w:p>
        </w:tc>
        <w:tc>
          <w:tcPr>
            <w:tcW w:w="969" w:type="dxa"/>
          </w:tcPr>
          <w:p w14:paraId="32A4C738" w14:textId="77F917C8" w:rsidR="00782E0B" w:rsidRPr="00A67277" w:rsidRDefault="00782E0B" w:rsidP="00782E0B">
            <w:pPr>
              <w:jc w:val="right"/>
              <w:rPr>
                <w:rFonts w:ascii="Arial" w:hAnsi="Arial" w:cs="Arial"/>
                <w:sz w:val="21"/>
                <w:szCs w:val="21"/>
              </w:rPr>
            </w:pPr>
            <w:r>
              <w:rPr>
                <w:rFonts w:ascii="Arial" w:hAnsi="Arial" w:cs="Arial"/>
                <w:sz w:val="21"/>
                <w:szCs w:val="21"/>
              </w:rPr>
              <w:t>40</w:t>
            </w:r>
          </w:p>
        </w:tc>
      </w:tr>
      <w:tr w:rsidR="00782E0B" w:rsidRPr="00A67277" w14:paraId="5DD468DF" w14:textId="77777777" w:rsidTr="00782E0B">
        <w:tc>
          <w:tcPr>
            <w:tcW w:w="3997" w:type="dxa"/>
          </w:tcPr>
          <w:p w14:paraId="7D309766"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Ambiguities and Inconsistencies</w:t>
            </w:r>
          </w:p>
        </w:tc>
        <w:tc>
          <w:tcPr>
            <w:tcW w:w="969" w:type="dxa"/>
          </w:tcPr>
          <w:p w14:paraId="4C2D0D2E" w14:textId="08D4BD01" w:rsidR="00782E0B" w:rsidRPr="00A67277" w:rsidRDefault="00782E0B" w:rsidP="00782E0B">
            <w:pPr>
              <w:jc w:val="right"/>
              <w:rPr>
                <w:rFonts w:ascii="Arial" w:hAnsi="Arial" w:cs="Arial"/>
                <w:sz w:val="21"/>
                <w:szCs w:val="21"/>
              </w:rPr>
            </w:pPr>
            <w:r>
              <w:rPr>
                <w:rFonts w:ascii="Arial" w:hAnsi="Arial" w:cs="Arial"/>
                <w:sz w:val="21"/>
                <w:szCs w:val="21"/>
              </w:rPr>
              <w:t>45</w:t>
            </w:r>
          </w:p>
        </w:tc>
        <w:tc>
          <w:tcPr>
            <w:tcW w:w="3723" w:type="dxa"/>
          </w:tcPr>
          <w:p w14:paraId="775F718D"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Ambiguitas dan Inkonsistensi</w:t>
            </w:r>
          </w:p>
        </w:tc>
        <w:tc>
          <w:tcPr>
            <w:tcW w:w="260" w:type="dxa"/>
          </w:tcPr>
          <w:p w14:paraId="2394383E" w14:textId="77777777" w:rsidR="00782E0B" w:rsidRPr="00A67277" w:rsidRDefault="00782E0B" w:rsidP="00782E0B">
            <w:pPr>
              <w:rPr>
                <w:rFonts w:ascii="Arial" w:hAnsi="Arial" w:cs="Arial"/>
                <w:sz w:val="21"/>
                <w:szCs w:val="21"/>
              </w:rPr>
            </w:pPr>
          </w:p>
        </w:tc>
        <w:tc>
          <w:tcPr>
            <w:tcW w:w="969" w:type="dxa"/>
          </w:tcPr>
          <w:p w14:paraId="083E6C7B" w14:textId="2A1239B6" w:rsidR="00782E0B" w:rsidRPr="00A67277" w:rsidRDefault="00782E0B" w:rsidP="00782E0B">
            <w:pPr>
              <w:jc w:val="right"/>
              <w:rPr>
                <w:rFonts w:ascii="Arial" w:hAnsi="Arial" w:cs="Arial"/>
                <w:sz w:val="21"/>
                <w:szCs w:val="21"/>
              </w:rPr>
            </w:pPr>
            <w:r>
              <w:rPr>
                <w:rFonts w:ascii="Arial" w:hAnsi="Arial" w:cs="Arial"/>
                <w:sz w:val="21"/>
                <w:szCs w:val="21"/>
              </w:rPr>
              <w:t>45</w:t>
            </w:r>
          </w:p>
        </w:tc>
      </w:tr>
      <w:tr w:rsidR="00DD1A2C" w:rsidRPr="00A67277" w14:paraId="283F2A1A" w14:textId="77777777" w:rsidTr="00782E0B">
        <w:tc>
          <w:tcPr>
            <w:tcW w:w="3997" w:type="dxa"/>
          </w:tcPr>
          <w:p w14:paraId="38C82A13" w14:textId="77777777" w:rsidR="00DD1A2C" w:rsidRPr="00A67277" w:rsidRDefault="00DD1A2C" w:rsidP="00DD1A2C">
            <w:pPr>
              <w:rPr>
                <w:rFonts w:ascii="Arial" w:hAnsi="Arial" w:cs="Arial"/>
                <w:sz w:val="21"/>
                <w:szCs w:val="21"/>
              </w:rPr>
            </w:pPr>
          </w:p>
        </w:tc>
        <w:tc>
          <w:tcPr>
            <w:tcW w:w="969" w:type="dxa"/>
          </w:tcPr>
          <w:p w14:paraId="7202E66D" w14:textId="77777777" w:rsidR="00DD1A2C" w:rsidRPr="00A67277" w:rsidRDefault="00DD1A2C" w:rsidP="00DD1A2C">
            <w:pPr>
              <w:jc w:val="right"/>
              <w:rPr>
                <w:rFonts w:ascii="Arial" w:hAnsi="Arial" w:cs="Arial"/>
                <w:sz w:val="21"/>
                <w:szCs w:val="21"/>
              </w:rPr>
            </w:pPr>
          </w:p>
        </w:tc>
        <w:tc>
          <w:tcPr>
            <w:tcW w:w="3723" w:type="dxa"/>
          </w:tcPr>
          <w:p w14:paraId="744EE765" w14:textId="77777777" w:rsidR="00DD1A2C" w:rsidRPr="00A67277" w:rsidRDefault="00DD1A2C" w:rsidP="00DD1A2C">
            <w:pPr>
              <w:rPr>
                <w:rFonts w:ascii="Arial" w:hAnsi="Arial" w:cs="Arial"/>
                <w:sz w:val="21"/>
                <w:szCs w:val="21"/>
                <w:lang w:val="id-ID"/>
              </w:rPr>
            </w:pPr>
          </w:p>
        </w:tc>
        <w:tc>
          <w:tcPr>
            <w:tcW w:w="260" w:type="dxa"/>
          </w:tcPr>
          <w:p w14:paraId="120FFB04" w14:textId="77777777" w:rsidR="00DD1A2C" w:rsidRPr="00A67277" w:rsidRDefault="00DD1A2C" w:rsidP="00DD1A2C">
            <w:pPr>
              <w:rPr>
                <w:rFonts w:ascii="Arial" w:hAnsi="Arial" w:cs="Arial"/>
                <w:sz w:val="21"/>
                <w:szCs w:val="21"/>
              </w:rPr>
            </w:pPr>
          </w:p>
        </w:tc>
        <w:tc>
          <w:tcPr>
            <w:tcW w:w="969" w:type="dxa"/>
          </w:tcPr>
          <w:p w14:paraId="0A1D7C88" w14:textId="77777777" w:rsidR="00DD1A2C" w:rsidRPr="00A67277" w:rsidRDefault="00DD1A2C" w:rsidP="00DD1A2C">
            <w:pPr>
              <w:jc w:val="right"/>
              <w:rPr>
                <w:rFonts w:ascii="Arial" w:hAnsi="Arial" w:cs="Arial"/>
                <w:sz w:val="21"/>
                <w:szCs w:val="21"/>
              </w:rPr>
            </w:pPr>
          </w:p>
        </w:tc>
      </w:tr>
      <w:tr w:rsidR="00782E0B" w:rsidRPr="00A67277" w14:paraId="235D9B35" w14:textId="77777777" w:rsidTr="00782E0B">
        <w:tc>
          <w:tcPr>
            <w:tcW w:w="3997" w:type="dxa"/>
          </w:tcPr>
          <w:p w14:paraId="1A3EDFDE"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The Agreement</w:t>
            </w:r>
          </w:p>
        </w:tc>
        <w:tc>
          <w:tcPr>
            <w:tcW w:w="969" w:type="dxa"/>
          </w:tcPr>
          <w:p w14:paraId="791F18DE" w14:textId="758BC1CC" w:rsidR="00782E0B" w:rsidRPr="00A67277" w:rsidRDefault="00782E0B" w:rsidP="00782E0B">
            <w:pPr>
              <w:jc w:val="right"/>
              <w:rPr>
                <w:rFonts w:ascii="Arial" w:hAnsi="Arial" w:cs="Arial"/>
                <w:sz w:val="21"/>
                <w:szCs w:val="21"/>
              </w:rPr>
            </w:pPr>
            <w:r>
              <w:rPr>
                <w:rFonts w:ascii="Arial" w:hAnsi="Arial" w:cs="Arial"/>
                <w:sz w:val="21"/>
                <w:szCs w:val="21"/>
              </w:rPr>
              <w:t>46</w:t>
            </w:r>
          </w:p>
        </w:tc>
        <w:tc>
          <w:tcPr>
            <w:tcW w:w="3723" w:type="dxa"/>
          </w:tcPr>
          <w:p w14:paraId="3909F8F5" w14:textId="77777777" w:rsidR="00782E0B" w:rsidRPr="00A67277" w:rsidRDefault="00782E0B" w:rsidP="00782E0B">
            <w:pPr>
              <w:pStyle w:val="ListParagraph"/>
              <w:numPr>
                <w:ilvl w:val="0"/>
                <w:numId w:val="479"/>
              </w:numPr>
              <w:spacing w:line="240" w:lineRule="auto"/>
              <w:ind w:left="301" w:hanging="301"/>
              <w:jc w:val="left"/>
              <w:rPr>
                <w:rFonts w:cs="Arial"/>
                <w:lang w:val="id-ID"/>
              </w:rPr>
            </w:pPr>
            <w:r w:rsidRPr="00A67277">
              <w:rPr>
                <w:rFonts w:cs="Arial"/>
                <w:b/>
                <w:lang w:val="id-ID"/>
              </w:rPr>
              <w:t>Perjanjian</w:t>
            </w:r>
          </w:p>
        </w:tc>
        <w:tc>
          <w:tcPr>
            <w:tcW w:w="260" w:type="dxa"/>
          </w:tcPr>
          <w:p w14:paraId="4EA08FAB" w14:textId="77777777" w:rsidR="00782E0B" w:rsidRPr="00A67277" w:rsidRDefault="00782E0B" w:rsidP="00782E0B">
            <w:pPr>
              <w:rPr>
                <w:rFonts w:ascii="Arial" w:hAnsi="Arial" w:cs="Arial"/>
                <w:sz w:val="21"/>
                <w:szCs w:val="21"/>
              </w:rPr>
            </w:pPr>
          </w:p>
        </w:tc>
        <w:tc>
          <w:tcPr>
            <w:tcW w:w="969" w:type="dxa"/>
          </w:tcPr>
          <w:p w14:paraId="00B46399" w14:textId="751ADDCA" w:rsidR="00782E0B" w:rsidRPr="00A67277" w:rsidRDefault="00782E0B" w:rsidP="00782E0B">
            <w:pPr>
              <w:jc w:val="right"/>
              <w:rPr>
                <w:rFonts w:ascii="Arial" w:hAnsi="Arial" w:cs="Arial"/>
                <w:sz w:val="21"/>
                <w:szCs w:val="21"/>
              </w:rPr>
            </w:pPr>
            <w:r>
              <w:rPr>
                <w:rFonts w:ascii="Arial" w:hAnsi="Arial" w:cs="Arial"/>
                <w:sz w:val="21"/>
                <w:szCs w:val="21"/>
              </w:rPr>
              <w:t>46</w:t>
            </w:r>
          </w:p>
        </w:tc>
      </w:tr>
      <w:tr w:rsidR="00782E0B" w:rsidRPr="00A67277" w14:paraId="0BCCE371" w14:textId="77777777" w:rsidTr="00782E0B">
        <w:tc>
          <w:tcPr>
            <w:tcW w:w="3997" w:type="dxa"/>
          </w:tcPr>
          <w:p w14:paraId="591803B0" w14:textId="77777777" w:rsidR="00782E0B" w:rsidRPr="00A67277" w:rsidRDefault="00782E0B" w:rsidP="00782E0B">
            <w:pPr>
              <w:pStyle w:val="ListParagraph"/>
              <w:numPr>
                <w:ilvl w:val="1"/>
                <w:numId w:val="479"/>
              </w:numPr>
              <w:spacing w:line="240" w:lineRule="auto"/>
              <w:ind w:left="882" w:hanging="534"/>
              <w:jc w:val="left"/>
              <w:rPr>
                <w:rFonts w:cs="Arial"/>
              </w:rPr>
            </w:pPr>
            <w:r w:rsidRPr="00A67277">
              <w:rPr>
                <w:rFonts w:cs="Arial"/>
              </w:rPr>
              <w:t>Purpose</w:t>
            </w:r>
          </w:p>
        </w:tc>
        <w:tc>
          <w:tcPr>
            <w:tcW w:w="969" w:type="dxa"/>
          </w:tcPr>
          <w:p w14:paraId="09526E90" w14:textId="20193261" w:rsidR="00782E0B" w:rsidRPr="00A67277" w:rsidRDefault="00782E0B" w:rsidP="00782E0B">
            <w:pPr>
              <w:jc w:val="right"/>
              <w:rPr>
                <w:rFonts w:ascii="Arial" w:hAnsi="Arial" w:cs="Arial"/>
                <w:sz w:val="21"/>
                <w:szCs w:val="21"/>
              </w:rPr>
            </w:pPr>
            <w:r>
              <w:rPr>
                <w:rFonts w:ascii="Arial" w:hAnsi="Arial" w:cs="Arial"/>
                <w:sz w:val="21"/>
                <w:szCs w:val="21"/>
              </w:rPr>
              <w:t>46</w:t>
            </w:r>
          </w:p>
        </w:tc>
        <w:tc>
          <w:tcPr>
            <w:tcW w:w="3723" w:type="dxa"/>
          </w:tcPr>
          <w:p w14:paraId="3A685099"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Tujuan</w:t>
            </w:r>
          </w:p>
        </w:tc>
        <w:tc>
          <w:tcPr>
            <w:tcW w:w="260" w:type="dxa"/>
          </w:tcPr>
          <w:p w14:paraId="4EE8BF98" w14:textId="77777777" w:rsidR="00782E0B" w:rsidRPr="00A67277" w:rsidRDefault="00782E0B" w:rsidP="00782E0B">
            <w:pPr>
              <w:rPr>
                <w:rFonts w:ascii="Arial" w:hAnsi="Arial" w:cs="Arial"/>
                <w:sz w:val="21"/>
                <w:szCs w:val="21"/>
              </w:rPr>
            </w:pPr>
          </w:p>
        </w:tc>
        <w:tc>
          <w:tcPr>
            <w:tcW w:w="969" w:type="dxa"/>
          </w:tcPr>
          <w:p w14:paraId="520B0508" w14:textId="22BB9063" w:rsidR="00782E0B" w:rsidRPr="00A67277" w:rsidRDefault="00782E0B" w:rsidP="00782E0B">
            <w:pPr>
              <w:jc w:val="right"/>
              <w:rPr>
                <w:rFonts w:ascii="Arial" w:hAnsi="Arial" w:cs="Arial"/>
                <w:sz w:val="21"/>
                <w:szCs w:val="21"/>
              </w:rPr>
            </w:pPr>
            <w:r>
              <w:rPr>
                <w:rFonts w:ascii="Arial" w:hAnsi="Arial" w:cs="Arial"/>
                <w:sz w:val="21"/>
                <w:szCs w:val="21"/>
              </w:rPr>
              <w:t>46</w:t>
            </w:r>
          </w:p>
        </w:tc>
      </w:tr>
      <w:tr w:rsidR="00782E0B" w:rsidRPr="00A67277" w14:paraId="3963EBA3" w14:textId="77777777" w:rsidTr="00782E0B">
        <w:tc>
          <w:tcPr>
            <w:tcW w:w="3997" w:type="dxa"/>
          </w:tcPr>
          <w:p w14:paraId="4E3E303B" w14:textId="77777777" w:rsidR="00782E0B" w:rsidRPr="00A67277" w:rsidRDefault="00782E0B" w:rsidP="00782E0B">
            <w:pPr>
              <w:pStyle w:val="ListParagraph"/>
              <w:numPr>
                <w:ilvl w:val="1"/>
                <w:numId w:val="479"/>
              </w:numPr>
              <w:spacing w:line="240" w:lineRule="auto"/>
              <w:ind w:left="882" w:hanging="534"/>
              <w:jc w:val="left"/>
              <w:rPr>
                <w:rFonts w:cs="Arial"/>
              </w:rPr>
            </w:pPr>
            <w:r w:rsidRPr="00A67277">
              <w:rPr>
                <w:rFonts w:cs="Arial"/>
              </w:rPr>
              <w:t>Term of Agreement</w:t>
            </w:r>
          </w:p>
        </w:tc>
        <w:tc>
          <w:tcPr>
            <w:tcW w:w="969" w:type="dxa"/>
          </w:tcPr>
          <w:p w14:paraId="42CD1A87" w14:textId="01AE6A04" w:rsidR="00782E0B" w:rsidRPr="00A67277" w:rsidRDefault="00782E0B" w:rsidP="00782E0B">
            <w:pPr>
              <w:jc w:val="right"/>
              <w:rPr>
                <w:rFonts w:ascii="Arial" w:hAnsi="Arial" w:cs="Arial"/>
                <w:sz w:val="21"/>
                <w:szCs w:val="21"/>
              </w:rPr>
            </w:pPr>
            <w:r>
              <w:rPr>
                <w:rFonts w:ascii="Arial" w:hAnsi="Arial" w:cs="Arial"/>
                <w:sz w:val="21"/>
                <w:szCs w:val="21"/>
              </w:rPr>
              <w:t>46</w:t>
            </w:r>
          </w:p>
        </w:tc>
        <w:tc>
          <w:tcPr>
            <w:tcW w:w="3723" w:type="dxa"/>
          </w:tcPr>
          <w:p w14:paraId="517F97BD"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Jangka Waktu Perjanjian</w:t>
            </w:r>
          </w:p>
        </w:tc>
        <w:tc>
          <w:tcPr>
            <w:tcW w:w="260" w:type="dxa"/>
          </w:tcPr>
          <w:p w14:paraId="26ED20AD" w14:textId="77777777" w:rsidR="00782E0B" w:rsidRPr="00A67277" w:rsidRDefault="00782E0B" w:rsidP="00782E0B">
            <w:pPr>
              <w:rPr>
                <w:rFonts w:ascii="Arial" w:hAnsi="Arial" w:cs="Arial"/>
                <w:sz w:val="21"/>
                <w:szCs w:val="21"/>
              </w:rPr>
            </w:pPr>
          </w:p>
        </w:tc>
        <w:tc>
          <w:tcPr>
            <w:tcW w:w="969" w:type="dxa"/>
          </w:tcPr>
          <w:p w14:paraId="720B5FB7" w14:textId="109EDF23" w:rsidR="00782E0B" w:rsidRPr="00A67277" w:rsidRDefault="00782E0B" w:rsidP="00782E0B">
            <w:pPr>
              <w:jc w:val="right"/>
              <w:rPr>
                <w:rFonts w:ascii="Arial" w:hAnsi="Arial" w:cs="Arial"/>
                <w:sz w:val="21"/>
                <w:szCs w:val="21"/>
              </w:rPr>
            </w:pPr>
            <w:r>
              <w:rPr>
                <w:rFonts w:ascii="Arial" w:hAnsi="Arial" w:cs="Arial"/>
                <w:sz w:val="21"/>
                <w:szCs w:val="21"/>
              </w:rPr>
              <w:t>46</w:t>
            </w:r>
          </w:p>
        </w:tc>
      </w:tr>
      <w:tr w:rsidR="00DD1A2C" w:rsidRPr="00A67277" w14:paraId="45445AE7" w14:textId="77777777" w:rsidTr="00782E0B">
        <w:tc>
          <w:tcPr>
            <w:tcW w:w="3997" w:type="dxa"/>
          </w:tcPr>
          <w:p w14:paraId="4953A54E" w14:textId="77777777" w:rsidR="00DD1A2C" w:rsidRPr="00A67277" w:rsidRDefault="00DD1A2C" w:rsidP="00DD1A2C">
            <w:pPr>
              <w:rPr>
                <w:rFonts w:ascii="Arial" w:hAnsi="Arial" w:cs="Arial"/>
                <w:sz w:val="21"/>
                <w:szCs w:val="21"/>
              </w:rPr>
            </w:pPr>
          </w:p>
        </w:tc>
        <w:tc>
          <w:tcPr>
            <w:tcW w:w="969" w:type="dxa"/>
          </w:tcPr>
          <w:p w14:paraId="28F97A0E" w14:textId="77777777" w:rsidR="00DD1A2C" w:rsidRPr="00A67277" w:rsidRDefault="00DD1A2C" w:rsidP="00DD1A2C">
            <w:pPr>
              <w:jc w:val="center"/>
              <w:rPr>
                <w:rFonts w:ascii="Arial" w:hAnsi="Arial" w:cs="Arial"/>
                <w:sz w:val="21"/>
                <w:szCs w:val="21"/>
              </w:rPr>
            </w:pPr>
          </w:p>
        </w:tc>
        <w:tc>
          <w:tcPr>
            <w:tcW w:w="3723" w:type="dxa"/>
          </w:tcPr>
          <w:p w14:paraId="05CC20F7" w14:textId="77777777" w:rsidR="00DD1A2C" w:rsidRPr="00A67277" w:rsidRDefault="00DD1A2C" w:rsidP="00DD1A2C">
            <w:pPr>
              <w:rPr>
                <w:rFonts w:ascii="Arial" w:hAnsi="Arial" w:cs="Arial"/>
                <w:sz w:val="21"/>
                <w:szCs w:val="21"/>
                <w:lang w:val="id-ID"/>
              </w:rPr>
            </w:pPr>
          </w:p>
        </w:tc>
        <w:tc>
          <w:tcPr>
            <w:tcW w:w="260" w:type="dxa"/>
          </w:tcPr>
          <w:p w14:paraId="031947DA" w14:textId="77777777" w:rsidR="00DD1A2C" w:rsidRPr="00A67277" w:rsidRDefault="00DD1A2C" w:rsidP="00DD1A2C">
            <w:pPr>
              <w:rPr>
                <w:rFonts w:ascii="Arial" w:hAnsi="Arial" w:cs="Arial"/>
                <w:sz w:val="21"/>
                <w:szCs w:val="21"/>
              </w:rPr>
            </w:pPr>
          </w:p>
        </w:tc>
        <w:tc>
          <w:tcPr>
            <w:tcW w:w="969" w:type="dxa"/>
          </w:tcPr>
          <w:p w14:paraId="7BE6186F" w14:textId="77777777" w:rsidR="00DD1A2C" w:rsidRPr="00A67277" w:rsidRDefault="00DD1A2C" w:rsidP="00DD1A2C">
            <w:pPr>
              <w:jc w:val="center"/>
              <w:rPr>
                <w:rFonts w:ascii="Arial" w:hAnsi="Arial" w:cs="Arial"/>
                <w:sz w:val="21"/>
                <w:szCs w:val="21"/>
              </w:rPr>
            </w:pPr>
          </w:p>
        </w:tc>
      </w:tr>
      <w:tr w:rsidR="00782E0B" w:rsidRPr="00A67277" w14:paraId="17A0CF64" w14:textId="77777777" w:rsidTr="00782E0B">
        <w:tc>
          <w:tcPr>
            <w:tcW w:w="3997" w:type="dxa"/>
          </w:tcPr>
          <w:p w14:paraId="6A603525"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Conditions Precedent</w:t>
            </w:r>
          </w:p>
        </w:tc>
        <w:tc>
          <w:tcPr>
            <w:tcW w:w="969" w:type="dxa"/>
          </w:tcPr>
          <w:p w14:paraId="07E3B57F" w14:textId="6E82B706" w:rsidR="00782E0B" w:rsidRPr="00A67277" w:rsidRDefault="00782E0B" w:rsidP="00782E0B">
            <w:pPr>
              <w:jc w:val="right"/>
              <w:rPr>
                <w:rFonts w:ascii="Arial" w:hAnsi="Arial" w:cs="Arial"/>
                <w:sz w:val="21"/>
                <w:szCs w:val="21"/>
              </w:rPr>
            </w:pPr>
            <w:r>
              <w:rPr>
                <w:rFonts w:ascii="Arial" w:hAnsi="Arial" w:cs="Arial"/>
                <w:sz w:val="21"/>
                <w:szCs w:val="21"/>
              </w:rPr>
              <w:t>46</w:t>
            </w:r>
          </w:p>
        </w:tc>
        <w:tc>
          <w:tcPr>
            <w:tcW w:w="3723" w:type="dxa"/>
          </w:tcPr>
          <w:p w14:paraId="45B66F93" w14:textId="77777777" w:rsidR="00782E0B" w:rsidRPr="00A67277" w:rsidRDefault="00782E0B" w:rsidP="00782E0B">
            <w:pPr>
              <w:pStyle w:val="ListParagraph"/>
              <w:numPr>
                <w:ilvl w:val="0"/>
                <w:numId w:val="479"/>
              </w:numPr>
              <w:spacing w:line="240" w:lineRule="auto"/>
              <w:ind w:left="301" w:hanging="301"/>
              <w:jc w:val="left"/>
              <w:rPr>
                <w:rFonts w:cs="Arial"/>
                <w:b/>
                <w:lang w:val="id-ID"/>
              </w:rPr>
            </w:pPr>
            <w:r w:rsidRPr="00A67277">
              <w:rPr>
                <w:rFonts w:cs="Arial"/>
                <w:b/>
                <w:lang w:val="id-ID"/>
              </w:rPr>
              <w:t>Persyaratan Pendahuluan</w:t>
            </w:r>
          </w:p>
        </w:tc>
        <w:tc>
          <w:tcPr>
            <w:tcW w:w="260" w:type="dxa"/>
          </w:tcPr>
          <w:p w14:paraId="02E33B37" w14:textId="77777777" w:rsidR="00782E0B" w:rsidRPr="00A67277" w:rsidRDefault="00782E0B" w:rsidP="00782E0B">
            <w:pPr>
              <w:rPr>
                <w:rFonts w:ascii="Arial" w:hAnsi="Arial" w:cs="Arial"/>
                <w:sz w:val="21"/>
                <w:szCs w:val="21"/>
              </w:rPr>
            </w:pPr>
          </w:p>
        </w:tc>
        <w:tc>
          <w:tcPr>
            <w:tcW w:w="969" w:type="dxa"/>
          </w:tcPr>
          <w:p w14:paraId="6263542B" w14:textId="3C5BE07A" w:rsidR="00782E0B" w:rsidRPr="00A67277" w:rsidRDefault="00782E0B" w:rsidP="00782E0B">
            <w:pPr>
              <w:jc w:val="right"/>
              <w:rPr>
                <w:rFonts w:ascii="Arial" w:hAnsi="Arial" w:cs="Arial"/>
                <w:sz w:val="21"/>
                <w:szCs w:val="21"/>
              </w:rPr>
            </w:pPr>
            <w:r>
              <w:rPr>
                <w:rFonts w:ascii="Arial" w:hAnsi="Arial" w:cs="Arial"/>
                <w:sz w:val="21"/>
                <w:szCs w:val="21"/>
              </w:rPr>
              <w:t>46</w:t>
            </w:r>
          </w:p>
        </w:tc>
      </w:tr>
      <w:tr w:rsidR="00782E0B" w:rsidRPr="00A67277" w14:paraId="4AF2A6E4" w14:textId="77777777" w:rsidTr="00782E0B">
        <w:tc>
          <w:tcPr>
            <w:tcW w:w="3997" w:type="dxa"/>
          </w:tcPr>
          <w:p w14:paraId="0F40EAAD"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Clauses Effective from Signing Date</w:t>
            </w:r>
          </w:p>
        </w:tc>
        <w:tc>
          <w:tcPr>
            <w:tcW w:w="969" w:type="dxa"/>
          </w:tcPr>
          <w:p w14:paraId="2C8147A2" w14:textId="567DB4E7" w:rsidR="00782E0B" w:rsidRDefault="00782E0B" w:rsidP="00782E0B">
            <w:pPr>
              <w:jc w:val="right"/>
              <w:rPr>
                <w:rFonts w:ascii="Arial" w:hAnsi="Arial" w:cs="Arial"/>
                <w:sz w:val="21"/>
                <w:szCs w:val="21"/>
              </w:rPr>
            </w:pPr>
            <w:r>
              <w:rPr>
                <w:rFonts w:ascii="Arial" w:hAnsi="Arial" w:cs="Arial"/>
                <w:sz w:val="21"/>
                <w:szCs w:val="21"/>
              </w:rPr>
              <w:t>46</w:t>
            </w:r>
          </w:p>
          <w:p w14:paraId="48779CEE" w14:textId="6CC71519" w:rsidR="00782E0B" w:rsidRPr="00A112A9" w:rsidRDefault="00782E0B" w:rsidP="00782E0B">
            <w:pPr>
              <w:rPr>
                <w:rFonts w:ascii="Arial" w:hAnsi="Arial" w:cs="Arial"/>
                <w:sz w:val="21"/>
                <w:szCs w:val="21"/>
              </w:rPr>
            </w:pPr>
          </w:p>
        </w:tc>
        <w:tc>
          <w:tcPr>
            <w:tcW w:w="3723" w:type="dxa"/>
          </w:tcPr>
          <w:p w14:paraId="2FCC2523"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Pasal-Pasal yang Berlaku Sejak Tanggal Penandatanganan</w:t>
            </w:r>
          </w:p>
        </w:tc>
        <w:tc>
          <w:tcPr>
            <w:tcW w:w="260" w:type="dxa"/>
          </w:tcPr>
          <w:p w14:paraId="45B97EEA" w14:textId="77777777" w:rsidR="00782E0B" w:rsidRPr="00A67277" w:rsidRDefault="00782E0B" w:rsidP="00782E0B">
            <w:pPr>
              <w:rPr>
                <w:rFonts w:ascii="Arial" w:hAnsi="Arial" w:cs="Arial"/>
                <w:sz w:val="21"/>
                <w:szCs w:val="21"/>
              </w:rPr>
            </w:pPr>
          </w:p>
        </w:tc>
        <w:tc>
          <w:tcPr>
            <w:tcW w:w="969" w:type="dxa"/>
          </w:tcPr>
          <w:p w14:paraId="2BBF89A7" w14:textId="77777777" w:rsidR="00782E0B" w:rsidRDefault="00782E0B" w:rsidP="00782E0B">
            <w:pPr>
              <w:jc w:val="right"/>
              <w:rPr>
                <w:rFonts w:ascii="Arial" w:hAnsi="Arial" w:cs="Arial"/>
                <w:sz w:val="21"/>
                <w:szCs w:val="21"/>
              </w:rPr>
            </w:pPr>
            <w:r>
              <w:rPr>
                <w:rFonts w:ascii="Arial" w:hAnsi="Arial" w:cs="Arial"/>
                <w:sz w:val="21"/>
                <w:szCs w:val="21"/>
              </w:rPr>
              <w:t>46</w:t>
            </w:r>
          </w:p>
          <w:p w14:paraId="7846B09E" w14:textId="77777777" w:rsidR="00782E0B" w:rsidRPr="00A67277" w:rsidRDefault="00782E0B" w:rsidP="00782E0B">
            <w:pPr>
              <w:jc w:val="right"/>
              <w:rPr>
                <w:rFonts w:ascii="Arial" w:hAnsi="Arial" w:cs="Arial"/>
                <w:sz w:val="21"/>
                <w:szCs w:val="21"/>
              </w:rPr>
            </w:pPr>
          </w:p>
        </w:tc>
      </w:tr>
      <w:tr w:rsidR="00782E0B" w:rsidRPr="00A67277" w14:paraId="1D06E259" w14:textId="77777777" w:rsidTr="00782E0B">
        <w:tc>
          <w:tcPr>
            <w:tcW w:w="3997" w:type="dxa"/>
          </w:tcPr>
          <w:p w14:paraId="59F95EA8"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Satisfaction of Conditions Precedent</w:t>
            </w:r>
          </w:p>
        </w:tc>
        <w:tc>
          <w:tcPr>
            <w:tcW w:w="969" w:type="dxa"/>
          </w:tcPr>
          <w:p w14:paraId="4EB1271A" w14:textId="3E57F2C7" w:rsidR="00782E0B" w:rsidRPr="00A67277" w:rsidRDefault="00782E0B" w:rsidP="00782E0B">
            <w:pPr>
              <w:jc w:val="right"/>
              <w:rPr>
                <w:rFonts w:ascii="Arial" w:hAnsi="Arial" w:cs="Arial"/>
                <w:sz w:val="21"/>
                <w:szCs w:val="21"/>
              </w:rPr>
            </w:pPr>
            <w:r>
              <w:rPr>
                <w:rFonts w:ascii="Arial" w:hAnsi="Arial" w:cs="Arial"/>
                <w:sz w:val="21"/>
                <w:szCs w:val="21"/>
              </w:rPr>
              <w:t>47</w:t>
            </w:r>
          </w:p>
        </w:tc>
        <w:tc>
          <w:tcPr>
            <w:tcW w:w="3723" w:type="dxa"/>
          </w:tcPr>
          <w:p w14:paraId="7D35E2A3"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Pemenuhan Persyaratan Pendahuluan</w:t>
            </w:r>
          </w:p>
        </w:tc>
        <w:tc>
          <w:tcPr>
            <w:tcW w:w="260" w:type="dxa"/>
          </w:tcPr>
          <w:p w14:paraId="17449163" w14:textId="77777777" w:rsidR="00782E0B" w:rsidRPr="00A67277" w:rsidRDefault="00782E0B" w:rsidP="00782E0B">
            <w:pPr>
              <w:rPr>
                <w:rFonts w:ascii="Arial" w:hAnsi="Arial" w:cs="Arial"/>
                <w:sz w:val="21"/>
                <w:szCs w:val="21"/>
              </w:rPr>
            </w:pPr>
          </w:p>
        </w:tc>
        <w:tc>
          <w:tcPr>
            <w:tcW w:w="969" w:type="dxa"/>
          </w:tcPr>
          <w:p w14:paraId="3C8A3458" w14:textId="6E10A3A2" w:rsidR="00782E0B" w:rsidRPr="00A67277" w:rsidRDefault="00782E0B" w:rsidP="00782E0B">
            <w:pPr>
              <w:jc w:val="right"/>
              <w:rPr>
                <w:rFonts w:ascii="Arial" w:hAnsi="Arial" w:cs="Arial"/>
                <w:sz w:val="21"/>
                <w:szCs w:val="21"/>
              </w:rPr>
            </w:pPr>
            <w:r>
              <w:rPr>
                <w:rFonts w:ascii="Arial" w:hAnsi="Arial" w:cs="Arial"/>
                <w:sz w:val="21"/>
                <w:szCs w:val="21"/>
              </w:rPr>
              <w:t>47</w:t>
            </w:r>
          </w:p>
        </w:tc>
      </w:tr>
      <w:tr w:rsidR="00782E0B" w:rsidRPr="00A67277" w14:paraId="13DC99D5" w14:textId="77777777" w:rsidTr="00782E0B">
        <w:tc>
          <w:tcPr>
            <w:tcW w:w="3997" w:type="dxa"/>
          </w:tcPr>
          <w:p w14:paraId="2C2623A9"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Extension of the Scheduled Effective Date </w:t>
            </w:r>
          </w:p>
        </w:tc>
        <w:tc>
          <w:tcPr>
            <w:tcW w:w="969" w:type="dxa"/>
          </w:tcPr>
          <w:p w14:paraId="4E32CE21" w14:textId="434AA38E" w:rsidR="00782E0B" w:rsidRPr="00A67277" w:rsidRDefault="00782E0B" w:rsidP="00782E0B">
            <w:pPr>
              <w:jc w:val="right"/>
              <w:rPr>
                <w:rFonts w:ascii="Arial" w:hAnsi="Arial" w:cs="Arial"/>
                <w:sz w:val="21"/>
                <w:szCs w:val="21"/>
              </w:rPr>
            </w:pPr>
            <w:r>
              <w:rPr>
                <w:rFonts w:ascii="Arial" w:hAnsi="Arial" w:cs="Arial"/>
                <w:sz w:val="21"/>
                <w:szCs w:val="21"/>
              </w:rPr>
              <w:t>48</w:t>
            </w:r>
          </w:p>
        </w:tc>
        <w:tc>
          <w:tcPr>
            <w:tcW w:w="3723" w:type="dxa"/>
          </w:tcPr>
          <w:p w14:paraId="0E1AA9A0"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Perpanjangan Tanggal Efektif Yang Dijadwalkan</w:t>
            </w:r>
          </w:p>
        </w:tc>
        <w:tc>
          <w:tcPr>
            <w:tcW w:w="260" w:type="dxa"/>
          </w:tcPr>
          <w:p w14:paraId="2FEA063D" w14:textId="77777777" w:rsidR="00782E0B" w:rsidRPr="00A67277" w:rsidRDefault="00782E0B" w:rsidP="00782E0B">
            <w:pPr>
              <w:rPr>
                <w:rFonts w:ascii="Arial" w:hAnsi="Arial" w:cs="Arial"/>
                <w:sz w:val="21"/>
                <w:szCs w:val="21"/>
              </w:rPr>
            </w:pPr>
          </w:p>
        </w:tc>
        <w:tc>
          <w:tcPr>
            <w:tcW w:w="969" w:type="dxa"/>
          </w:tcPr>
          <w:p w14:paraId="3FFE24F5" w14:textId="0F626123" w:rsidR="00782E0B" w:rsidRPr="00A67277" w:rsidRDefault="00782E0B" w:rsidP="00782E0B">
            <w:pPr>
              <w:jc w:val="right"/>
              <w:rPr>
                <w:rFonts w:ascii="Arial" w:hAnsi="Arial" w:cs="Arial"/>
                <w:sz w:val="21"/>
                <w:szCs w:val="21"/>
              </w:rPr>
            </w:pPr>
            <w:r>
              <w:rPr>
                <w:rFonts w:ascii="Arial" w:hAnsi="Arial" w:cs="Arial"/>
                <w:sz w:val="21"/>
                <w:szCs w:val="21"/>
              </w:rPr>
              <w:t>48</w:t>
            </w:r>
          </w:p>
        </w:tc>
      </w:tr>
      <w:tr w:rsidR="00782E0B" w:rsidRPr="00A67277" w14:paraId="799C4AA2" w14:textId="77777777" w:rsidTr="00782E0B">
        <w:tc>
          <w:tcPr>
            <w:tcW w:w="3997" w:type="dxa"/>
          </w:tcPr>
          <w:p w14:paraId="11063728"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Termination for Failure to Satisfy Conditions Precedent </w:t>
            </w:r>
          </w:p>
        </w:tc>
        <w:tc>
          <w:tcPr>
            <w:tcW w:w="969" w:type="dxa"/>
          </w:tcPr>
          <w:p w14:paraId="367EA48A" w14:textId="13DBA4F6" w:rsidR="00782E0B" w:rsidRPr="00A67277" w:rsidRDefault="00782E0B" w:rsidP="00782E0B">
            <w:pPr>
              <w:jc w:val="right"/>
              <w:rPr>
                <w:rFonts w:ascii="Arial" w:hAnsi="Arial" w:cs="Arial"/>
                <w:sz w:val="21"/>
                <w:szCs w:val="21"/>
              </w:rPr>
            </w:pPr>
            <w:r>
              <w:rPr>
                <w:rFonts w:ascii="Arial" w:hAnsi="Arial" w:cs="Arial"/>
                <w:sz w:val="21"/>
                <w:szCs w:val="21"/>
              </w:rPr>
              <w:t>51</w:t>
            </w:r>
          </w:p>
        </w:tc>
        <w:tc>
          <w:tcPr>
            <w:tcW w:w="3723" w:type="dxa"/>
          </w:tcPr>
          <w:p w14:paraId="337B2603"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Pengakhiran karena Kegagalan Memenuhi Persyaratan Pendahuluan</w:t>
            </w:r>
          </w:p>
        </w:tc>
        <w:tc>
          <w:tcPr>
            <w:tcW w:w="260" w:type="dxa"/>
          </w:tcPr>
          <w:p w14:paraId="166E1FCD" w14:textId="77777777" w:rsidR="00782E0B" w:rsidRPr="00A67277" w:rsidRDefault="00782E0B" w:rsidP="00782E0B">
            <w:pPr>
              <w:rPr>
                <w:rFonts w:ascii="Arial" w:hAnsi="Arial" w:cs="Arial"/>
                <w:sz w:val="21"/>
                <w:szCs w:val="21"/>
              </w:rPr>
            </w:pPr>
          </w:p>
        </w:tc>
        <w:tc>
          <w:tcPr>
            <w:tcW w:w="969" w:type="dxa"/>
          </w:tcPr>
          <w:p w14:paraId="19C6C5BB" w14:textId="4C3522C1" w:rsidR="00782E0B" w:rsidRPr="00A67277" w:rsidRDefault="00782E0B" w:rsidP="00782E0B">
            <w:pPr>
              <w:jc w:val="right"/>
              <w:rPr>
                <w:rFonts w:ascii="Arial" w:hAnsi="Arial" w:cs="Arial"/>
                <w:sz w:val="21"/>
                <w:szCs w:val="21"/>
              </w:rPr>
            </w:pPr>
            <w:r>
              <w:rPr>
                <w:rFonts w:ascii="Arial" w:hAnsi="Arial" w:cs="Arial"/>
                <w:sz w:val="21"/>
                <w:szCs w:val="21"/>
              </w:rPr>
              <w:t>51</w:t>
            </w:r>
          </w:p>
        </w:tc>
      </w:tr>
      <w:tr w:rsidR="00782E0B" w:rsidRPr="00A67277" w14:paraId="58440489" w14:textId="77777777" w:rsidTr="00782E0B">
        <w:tc>
          <w:tcPr>
            <w:tcW w:w="3997" w:type="dxa"/>
          </w:tcPr>
          <w:p w14:paraId="7BE80F6D"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Stage I Performance Bond </w:t>
            </w:r>
          </w:p>
        </w:tc>
        <w:tc>
          <w:tcPr>
            <w:tcW w:w="969" w:type="dxa"/>
          </w:tcPr>
          <w:p w14:paraId="10A4BC11" w14:textId="773254CE" w:rsidR="00782E0B" w:rsidRPr="00A67277" w:rsidRDefault="00782E0B" w:rsidP="00782E0B">
            <w:pPr>
              <w:jc w:val="right"/>
              <w:rPr>
                <w:rFonts w:ascii="Arial" w:hAnsi="Arial" w:cs="Arial"/>
                <w:sz w:val="21"/>
                <w:szCs w:val="21"/>
              </w:rPr>
            </w:pPr>
            <w:r>
              <w:rPr>
                <w:rFonts w:ascii="Arial" w:hAnsi="Arial" w:cs="Arial"/>
                <w:sz w:val="21"/>
                <w:szCs w:val="21"/>
              </w:rPr>
              <w:t>54</w:t>
            </w:r>
          </w:p>
        </w:tc>
        <w:tc>
          <w:tcPr>
            <w:tcW w:w="3723" w:type="dxa"/>
          </w:tcPr>
          <w:p w14:paraId="1ACF8835"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Jaminan Pelaksanaan Tahap I</w:t>
            </w:r>
          </w:p>
        </w:tc>
        <w:tc>
          <w:tcPr>
            <w:tcW w:w="260" w:type="dxa"/>
          </w:tcPr>
          <w:p w14:paraId="26A91D4A" w14:textId="77777777" w:rsidR="00782E0B" w:rsidRPr="00A67277" w:rsidRDefault="00782E0B" w:rsidP="00782E0B">
            <w:pPr>
              <w:rPr>
                <w:rFonts w:ascii="Arial" w:hAnsi="Arial" w:cs="Arial"/>
                <w:sz w:val="21"/>
                <w:szCs w:val="21"/>
              </w:rPr>
            </w:pPr>
          </w:p>
        </w:tc>
        <w:tc>
          <w:tcPr>
            <w:tcW w:w="969" w:type="dxa"/>
          </w:tcPr>
          <w:p w14:paraId="40D57706" w14:textId="2D8311F1" w:rsidR="00782E0B" w:rsidRPr="00A67277" w:rsidRDefault="00782E0B" w:rsidP="00782E0B">
            <w:pPr>
              <w:jc w:val="right"/>
              <w:rPr>
                <w:rFonts w:ascii="Arial" w:hAnsi="Arial" w:cs="Arial"/>
                <w:sz w:val="21"/>
                <w:szCs w:val="21"/>
              </w:rPr>
            </w:pPr>
            <w:r>
              <w:rPr>
                <w:rFonts w:ascii="Arial" w:hAnsi="Arial" w:cs="Arial"/>
                <w:sz w:val="21"/>
                <w:szCs w:val="21"/>
              </w:rPr>
              <w:t>54</w:t>
            </w:r>
          </w:p>
        </w:tc>
      </w:tr>
      <w:tr w:rsidR="003430F9" w:rsidRPr="00A67277" w14:paraId="7B54AF17" w14:textId="77777777" w:rsidTr="00782E0B">
        <w:tc>
          <w:tcPr>
            <w:tcW w:w="3997" w:type="dxa"/>
          </w:tcPr>
          <w:p w14:paraId="446ED010" w14:textId="77777777" w:rsidR="003430F9" w:rsidRPr="00A67277" w:rsidRDefault="003430F9" w:rsidP="00BA7204">
            <w:pPr>
              <w:rPr>
                <w:rFonts w:ascii="Arial" w:hAnsi="Arial" w:cs="Arial"/>
                <w:sz w:val="21"/>
                <w:szCs w:val="21"/>
              </w:rPr>
            </w:pPr>
          </w:p>
        </w:tc>
        <w:tc>
          <w:tcPr>
            <w:tcW w:w="969" w:type="dxa"/>
          </w:tcPr>
          <w:p w14:paraId="6A30DCE9" w14:textId="77777777" w:rsidR="003430F9" w:rsidRPr="00A67277" w:rsidRDefault="003430F9" w:rsidP="00BA7204">
            <w:pPr>
              <w:jc w:val="right"/>
              <w:rPr>
                <w:rFonts w:ascii="Arial" w:hAnsi="Arial" w:cs="Arial"/>
                <w:sz w:val="21"/>
                <w:szCs w:val="21"/>
              </w:rPr>
            </w:pPr>
          </w:p>
        </w:tc>
        <w:tc>
          <w:tcPr>
            <w:tcW w:w="3723" w:type="dxa"/>
          </w:tcPr>
          <w:p w14:paraId="6F97D472" w14:textId="77777777" w:rsidR="003430F9" w:rsidRPr="00A67277" w:rsidRDefault="003430F9" w:rsidP="00BA7204">
            <w:pPr>
              <w:rPr>
                <w:rFonts w:ascii="Arial" w:hAnsi="Arial" w:cs="Arial"/>
                <w:sz w:val="21"/>
                <w:szCs w:val="21"/>
                <w:lang w:val="id-ID"/>
              </w:rPr>
            </w:pPr>
          </w:p>
        </w:tc>
        <w:tc>
          <w:tcPr>
            <w:tcW w:w="260" w:type="dxa"/>
          </w:tcPr>
          <w:p w14:paraId="2EBE18A5" w14:textId="77777777" w:rsidR="003430F9" w:rsidRPr="00A67277" w:rsidRDefault="003430F9" w:rsidP="00BA7204">
            <w:pPr>
              <w:rPr>
                <w:rFonts w:ascii="Arial" w:hAnsi="Arial" w:cs="Arial"/>
                <w:sz w:val="21"/>
                <w:szCs w:val="21"/>
              </w:rPr>
            </w:pPr>
          </w:p>
        </w:tc>
        <w:tc>
          <w:tcPr>
            <w:tcW w:w="969" w:type="dxa"/>
          </w:tcPr>
          <w:p w14:paraId="4DC435E7" w14:textId="77777777" w:rsidR="003430F9" w:rsidRPr="00A67277" w:rsidRDefault="003430F9" w:rsidP="00BA7204">
            <w:pPr>
              <w:jc w:val="right"/>
              <w:rPr>
                <w:rFonts w:ascii="Arial" w:hAnsi="Arial" w:cs="Arial"/>
                <w:sz w:val="21"/>
                <w:szCs w:val="21"/>
              </w:rPr>
            </w:pPr>
          </w:p>
        </w:tc>
      </w:tr>
      <w:tr w:rsidR="00782E0B" w:rsidRPr="00A67277" w14:paraId="267906D7" w14:textId="77777777" w:rsidTr="00782E0B">
        <w:tc>
          <w:tcPr>
            <w:tcW w:w="3997" w:type="dxa"/>
          </w:tcPr>
          <w:p w14:paraId="7ACDECD4"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Overview of Project Structure</w:t>
            </w:r>
          </w:p>
        </w:tc>
        <w:tc>
          <w:tcPr>
            <w:tcW w:w="969" w:type="dxa"/>
          </w:tcPr>
          <w:p w14:paraId="49037B60" w14:textId="65BD5E1B" w:rsidR="00782E0B" w:rsidRPr="00A67277" w:rsidRDefault="00782E0B" w:rsidP="00782E0B">
            <w:pPr>
              <w:jc w:val="right"/>
              <w:rPr>
                <w:rFonts w:ascii="Arial" w:hAnsi="Arial" w:cs="Arial"/>
                <w:sz w:val="21"/>
                <w:szCs w:val="21"/>
              </w:rPr>
            </w:pPr>
            <w:r>
              <w:rPr>
                <w:rFonts w:ascii="Arial" w:hAnsi="Arial" w:cs="Arial"/>
                <w:sz w:val="21"/>
                <w:szCs w:val="21"/>
              </w:rPr>
              <w:t>57</w:t>
            </w:r>
          </w:p>
        </w:tc>
        <w:tc>
          <w:tcPr>
            <w:tcW w:w="3723" w:type="dxa"/>
          </w:tcPr>
          <w:p w14:paraId="25A0DD2E" w14:textId="77777777" w:rsidR="00782E0B" w:rsidRPr="00A67277" w:rsidRDefault="00782E0B" w:rsidP="00782E0B">
            <w:pPr>
              <w:pStyle w:val="ListParagraph"/>
              <w:numPr>
                <w:ilvl w:val="0"/>
                <w:numId w:val="479"/>
              </w:numPr>
              <w:spacing w:line="240" w:lineRule="auto"/>
              <w:ind w:left="301" w:hanging="301"/>
              <w:jc w:val="left"/>
              <w:rPr>
                <w:rFonts w:cs="Arial"/>
                <w:b/>
                <w:lang w:val="id-ID"/>
              </w:rPr>
            </w:pPr>
            <w:r w:rsidRPr="00A67277">
              <w:rPr>
                <w:rFonts w:cs="Arial"/>
                <w:b/>
                <w:lang w:val="id-ID"/>
              </w:rPr>
              <w:t>Penjelasan Struktur Proyek</w:t>
            </w:r>
          </w:p>
        </w:tc>
        <w:tc>
          <w:tcPr>
            <w:tcW w:w="260" w:type="dxa"/>
          </w:tcPr>
          <w:p w14:paraId="2751F63E" w14:textId="77777777" w:rsidR="00782E0B" w:rsidRPr="00A67277" w:rsidRDefault="00782E0B" w:rsidP="00782E0B">
            <w:pPr>
              <w:rPr>
                <w:rFonts w:ascii="Arial" w:hAnsi="Arial" w:cs="Arial"/>
                <w:sz w:val="21"/>
                <w:szCs w:val="21"/>
              </w:rPr>
            </w:pPr>
          </w:p>
        </w:tc>
        <w:tc>
          <w:tcPr>
            <w:tcW w:w="969" w:type="dxa"/>
          </w:tcPr>
          <w:p w14:paraId="0E607BC6" w14:textId="7B672E30" w:rsidR="00782E0B" w:rsidRPr="00A67277" w:rsidRDefault="00782E0B" w:rsidP="00782E0B">
            <w:pPr>
              <w:jc w:val="right"/>
              <w:rPr>
                <w:rFonts w:ascii="Arial" w:hAnsi="Arial" w:cs="Arial"/>
                <w:sz w:val="21"/>
                <w:szCs w:val="21"/>
              </w:rPr>
            </w:pPr>
            <w:r>
              <w:rPr>
                <w:rFonts w:ascii="Arial" w:hAnsi="Arial" w:cs="Arial"/>
                <w:sz w:val="21"/>
                <w:szCs w:val="21"/>
              </w:rPr>
              <w:t>57</w:t>
            </w:r>
          </w:p>
        </w:tc>
      </w:tr>
      <w:tr w:rsidR="00782E0B" w:rsidRPr="00A67277" w14:paraId="163220CE" w14:textId="77777777" w:rsidTr="00782E0B">
        <w:tc>
          <w:tcPr>
            <w:tcW w:w="3997" w:type="dxa"/>
          </w:tcPr>
          <w:p w14:paraId="0C082A85"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General Project Scope </w:t>
            </w:r>
          </w:p>
        </w:tc>
        <w:tc>
          <w:tcPr>
            <w:tcW w:w="969" w:type="dxa"/>
          </w:tcPr>
          <w:p w14:paraId="3053DD93" w14:textId="459AC29F" w:rsidR="00782E0B" w:rsidRPr="00A67277" w:rsidRDefault="00782E0B" w:rsidP="00782E0B">
            <w:pPr>
              <w:jc w:val="right"/>
              <w:rPr>
                <w:rFonts w:ascii="Arial" w:hAnsi="Arial" w:cs="Arial"/>
                <w:sz w:val="21"/>
                <w:szCs w:val="21"/>
              </w:rPr>
            </w:pPr>
            <w:r>
              <w:rPr>
                <w:rFonts w:ascii="Arial" w:hAnsi="Arial" w:cs="Arial"/>
                <w:sz w:val="21"/>
                <w:szCs w:val="21"/>
              </w:rPr>
              <w:t>57</w:t>
            </w:r>
          </w:p>
        </w:tc>
        <w:tc>
          <w:tcPr>
            <w:tcW w:w="3723" w:type="dxa"/>
          </w:tcPr>
          <w:p w14:paraId="1C681F28"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Lingkup Proyek secara Umum</w:t>
            </w:r>
          </w:p>
        </w:tc>
        <w:tc>
          <w:tcPr>
            <w:tcW w:w="260" w:type="dxa"/>
          </w:tcPr>
          <w:p w14:paraId="617FF155" w14:textId="77777777" w:rsidR="00782E0B" w:rsidRPr="00A67277" w:rsidRDefault="00782E0B" w:rsidP="00782E0B">
            <w:pPr>
              <w:rPr>
                <w:rFonts w:ascii="Arial" w:hAnsi="Arial" w:cs="Arial"/>
                <w:sz w:val="21"/>
                <w:szCs w:val="21"/>
              </w:rPr>
            </w:pPr>
          </w:p>
        </w:tc>
        <w:tc>
          <w:tcPr>
            <w:tcW w:w="969" w:type="dxa"/>
          </w:tcPr>
          <w:p w14:paraId="045A45BD" w14:textId="4063CF97" w:rsidR="00782E0B" w:rsidRPr="00A67277" w:rsidRDefault="00782E0B" w:rsidP="00782E0B">
            <w:pPr>
              <w:jc w:val="right"/>
              <w:rPr>
                <w:rFonts w:ascii="Arial" w:hAnsi="Arial" w:cs="Arial"/>
                <w:sz w:val="21"/>
                <w:szCs w:val="21"/>
              </w:rPr>
            </w:pPr>
            <w:r>
              <w:rPr>
                <w:rFonts w:ascii="Arial" w:hAnsi="Arial" w:cs="Arial"/>
                <w:sz w:val="21"/>
                <w:szCs w:val="21"/>
              </w:rPr>
              <w:t>57</w:t>
            </w:r>
          </w:p>
        </w:tc>
      </w:tr>
      <w:tr w:rsidR="00782E0B" w:rsidRPr="00A67277" w14:paraId="78278EA9" w14:textId="77777777" w:rsidTr="00782E0B">
        <w:tc>
          <w:tcPr>
            <w:tcW w:w="3997" w:type="dxa"/>
          </w:tcPr>
          <w:p w14:paraId="1C213AB5"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IBE’s General Obligations </w:t>
            </w:r>
          </w:p>
        </w:tc>
        <w:tc>
          <w:tcPr>
            <w:tcW w:w="969" w:type="dxa"/>
          </w:tcPr>
          <w:p w14:paraId="41D5EA40" w14:textId="0F3FEC5A" w:rsidR="00782E0B" w:rsidRPr="00A67277" w:rsidRDefault="00782E0B" w:rsidP="00782E0B">
            <w:pPr>
              <w:jc w:val="right"/>
              <w:rPr>
                <w:rFonts w:ascii="Arial" w:hAnsi="Arial" w:cs="Arial"/>
                <w:sz w:val="21"/>
                <w:szCs w:val="21"/>
              </w:rPr>
            </w:pPr>
            <w:r>
              <w:rPr>
                <w:rFonts w:ascii="Arial" w:hAnsi="Arial" w:cs="Arial"/>
                <w:sz w:val="21"/>
                <w:szCs w:val="21"/>
              </w:rPr>
              <w:t>57</w:t>
            </w:r>
          </w:p>
        </w:tc>
        <w:tc>
          <w:tcPr>
            <w:tcW w:w="3723" w:type="dxa"/>
          </w:tcPr>
          <w:p w14:paraId="46887171"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Tanggung Jawab Umum BUP</w:t>
            </w:r>
          </w:p>
        </w:tc>
        <w:tc>
          <w:tcPr>
            <w:tcW w:w="260" w:type="dxa"/>
          </w:tcPr>
          <w:p w14:paraId="7B74CDDF" w14:textId="77777777" w:rsidR="00782E0B" w:rsidRPr="00A67277" w:rsidRDefault="00782E0B" w:rsidP="00782E0B">
            <w:pPr>
              <w:rPr>
                <w:rFonts w:ascii="Arial" w:hAnsi="Arial" w:cs="Arial"/>
                <w:sz w:val="21"/>
                <w:szCs w:val="21"/>
              </w:rPr>
            </w:pPr>
          </w:p>
        </w:tc>
        <w:tc>
          <w:tcPr>
            <w:tcW w:w="969" w:type="dxa"/>
          </w:tcPr>
          <w:p w14:paraId="4B0ACB56" w14:textId="501F99EA" w:rsidR="00782E0B" w:rsidRPr="00A67277" w:rsidRDefault="00782E0B" w:rsidP="00782E0B">
            <w:pPr>
              <w:jc w:val="right"/>
              <w:rPr>
                <w:rFonts w:ascii="Arial" w:hAnsi="Arial" w:cs="Arial"/>
                <w:sz w:val="21"/>
                <w:szCs w:val="21"/>
              </w:rPr>
            </w:pPr>
            <w:r>
              <w:rPr>
                <w:rFonts w:ascii="Arial" w:hAnsi="Arial" w:cs="Arial"/>
                <w:sz w:val="21"/>
                <w:szCs w:val="21"/>
              </w:rPr>
              <w:t>57</w:t>
            </w:r>
          </w:p>
        </w:tc>
      </w:tr>
      <w:tr w:rsidR="00782E0B" w:rsidRPr="00A67277" w14:paraId="78C6EB35" w14:textId="77777777" w:rsidTr="00782E0B">
        <w:tc>
          <w:tcPr>
            <w:tcW w:w="3997" w:type="dxa"/>
          </w:tcPr>
          <w:p w14:paraId="2098E33B"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GCA’s General Obligations </w:t>
            </w:r>
          </w:p>
        </w:tc>
        <w:tc>
          <w:tcPr>
            <w:tcW w:w="969" w:type="dxa"/>
          </w:tcPr>
          <w:p w14:paraId="24520F66" w14:textId="17AFA84D" w:rsidR="00782E0B" w:rsidRPr="00A67277" w:rsidRDefault="00782E0B" w:rsidP="00782E0B">
            <w:pPr>
              <w:jc w:val="right"/>
              <w:rPr>
                <w:rFonts w:ascii="Arial" w:hAnsi="Arial" w:cs="Arial"/>
                <w:sz w:val="21"/>
                <w:szCs w:val="21"/>
              </w:rPr>
            </w:pPr>
            <w:r>
              <w:rPr>
                <w:rFonts w:ascii="Arial" w:hAnsi="Arial" w:cs="Arial"/>
                <w:sz w:val="21"/>
                <w:szCs w:val="21"/>
              </w:rPr>
              <w:t>58</w:t>
            </w:r>
          </w:p>
        </w:tc>
        <w:tc>
          <w:tcPr>
            <w:tcW w:w="3723" w:type="dxa"/>
          </w:tcPr>
          <w:p w14:paraId="7B258209"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Tanggung Jawab Umum PJPK</w:t>
            </w:r>
          </w:p>
        </w:tc>
        <w:tc>
          <w:tcPr>
            <w:tcW w:w="260" w:type="dxa"/>
          </w:tcPr>
          <w:p w14:paraId="68FA8622" w14:textId="77777777" w:rsidR="00782E0B" w:rsidRPr="00A67277" w:rsidRDefault="00782E0B" w:rsidP="00782E0B">
            <w:pPr>
              <w:rPr>
                <w:rFonts w:ascii="Arial" w:hAnsi="Arial" w:cs="Arial"/>
                <w:sz w:val="21"/>
                <w:szCs w:val="21"/>
              </w:rPr>
            </w:pPr>
          </w:p>
        </w:tc>
        <w:tc>
          <w:tcPr>
            <w:tcW w:w="969" w:type="dxa"/>
          </w:tcPr>
          <w:p w14:paraId="6DF8B1B9" w14:textId="6760797A" w:rsidR="00782E0B" w:rsidRPr="00A67277" w:rsidRDefault="00782E0B" w:rsidP="00782E0B">
            <w:pPr>
              <w:jc w:val="right"/>
              <w:rPr>
                <w:rFonts w:ascii="Arial" w:hAnsi="Arial" w:cs="Arial"/>
                <w:sz w:val="21"/>
                <w:szCs w:val="21"/>
              </w:rPr>
            </w:pPr>
            <w:r>
              <w:rPr>
                <w:rFonts w:ascii="Arial" w:hAnsi="Arial" w:cs="Arial"/>
                <w:sz w:val="21"/>
                <w:szCs w:val="21"/>
              </w:rPr>
              <w:t>58</w:t>
            </w:r>
          </w:p>
        </w:tc>
      </w:tr>
      <w:tr w:rsidR="00782E0B" w:rsidRPr="00A67277" w14:paraId="6BAA543B" w14:textId="77777777" w:rsidTr="00782E0B">
        <w:tc>
          <w:tcPr>
            <w:tcW w:w="3997" w:type="dxa"/>
          </w:tcPr>
          <w:p w14:paraId="023A4AC4"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Representatives </w:t>
            </w:r>
          </w:p>
        </w:tc>
        <w:tc>
          <w:tcPr>
            <w:tcW w:w="969" w:type="dxa"/>
          </w:tcPr>
          <w:p w14:paraId="1152F415" w14:textId="2F65567D" w:rsidR="00782E0B" w:rsidRPr="00A67277" w:rsidRDefault="00782E0B" w:rsidP="00782E0B">
            <w:pPr>
              <w:jc w:val="right"/>
              <w:rPr>
                <w:rFonts w:ascii="Arial" w:hAnsi="Arial" w:cs="Arial"/>
                <w:sz w:val="21"/>
                <w:szCs w:val="21"/>
              </w:rPr>
            </w:pPr>
            <w:r>
              <w:rPr>
                <w:rFonts w:ascii="Arial" w:hAnsi="Arial" w:cs="Arial"/>
                <w:sz w:val="21"/>
                <w:szCs w:val="21"/>
              </w:rPr>
              <w:t>59</w:t>
            </w:r>
          </w:p>
        </w:tc>
        <w:tc>
          <w:tcPr>
            <w:tcW w:w="3723" w:type="dxa"/>
          </w:tcPr>
          <w:p w14:paraId="366A89EC"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Perwakilan</w:t>
            </w:r>
          </w:p>
        </w:tc>
        <w:tc>
          <w:tcPr>
            <w:tcW w:w="260" w:type="dxa"/>
          </w:tcPr>
          <w:p w14:paraId="3039E75F" w14:textId="77777777" w:rsidR="00782E0B" w:rsidRPr="00A67277" w:rsidRDefault="00782E0B" w:rsidP="00782E0B">
            <w:pPr>
              <w:rPr>
                <w:rFonts w:ascii="Arial" w:hAnsi="Arial" w:cs="Arial"/>
                <w:sz w:val="21"/>
                <w:szCs w:val="21"/>
              </w:rPr>
            </w:pPr>
          </w:p>
        </w:tc>
        <w:tc>
          <w:tcPr>
            <w:tcW w:w="969" w:type="dxa"/>
          </w:tcPr>
          <w:p w14:paraId="386DE9AD" w14:textId="7B21247E" w:rsidR="00782E0B" w:rsidRPr="00A67277" w:rsidRDefault="00782E0B" w:rsidP="00782E0B">
            <w:pPr>
              <w:jc w:val="right"/>
              <w:rPr>
                <w:rFonts w:ascii="Arial" w:hAnsi="Arial" w:cs="Arial"/>
                <w:sz w:val="21"/>
                <w:szCs w:val="21"/>
              </w:rPr>
            </w:pPr>
            <w:r>
              <w:rPr>
                <w:rFonts w:ascii="Arial" w:hAnsi="Arial" w:cs="Arial"/>
                <w:sz w:val="21"/>
                <w:szCs w:val="21"/>
              </w:rPr>
              <w:t>59</w:t>
            </w:r>
          </w:p>
        </w:tc>
      </w:tr>
      <w:tr w:rsidR="00782E0B" w:rsidRPr="00A67277" w14:paraId="02E0F1A4" w14:textId="77777777" w:rsidTr="00782E0B">
        <w:tc>
          <w:tcPr>
            <w:tcW w:w="3997" w:type="dxa"/>
          </w:tcPr>
          <w:p w14:paraId="006E5918"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Project Agreements </w:t>
            </w:r>
          </w:p>
        </w:tc>
        <w:tc>
          <w:tcPr>
            <w:tcW w:w="969" w:type="dxa"/>
          </w:tcPr>
          <w:p w14:paraId="245C925C" w14:textId="558E3D80" w:rsidR="00782E0B" w:rsidRPr="00A67277" w:rsidRDefault="00782E0B" w:rsidP="00782E0B">
            <w:pPr>
              <w:jc w:val="right"/>
              <w:rPr>
                <w:rFonts w:ascii="Arial" w:hAnsi="Arial" w:cs="Arial"/>
                <w:sz w:val="21"/>
                <w:szCs w:val="21"/>
              </w:rPr>
            </w:pPr>
            <w:r>
              <w:rPr>
                <w:rFonts w:ascii="Arial" w:hAnsi="Arial" w:cs="Arial"/>
                <w:sz w:val="21"/>
                <w:szCs w:val="21"/>
              </w:rPr>
              <w:t>60</w:t>
            </w:r>
          </w:p>
        </w:tc>
        <w:tc>
          <w:tcPr>
            <w:tcW w:w="3723" w:type="dxa"/>
          </w:tcPr>
          <w:p w14:paraId="0E67A672" w14:textId="6DB7A9A0"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Perjanjian</w:t>
            </w:r>
            <w:r>
              <w:rPr>
                <w:rFonts w:cs="Arial"/>
                <w:lang w:val="en-US"/>
              </w:rPr>
              <w:t>-Perjanjian</w:t>
            </w:r>
            <w:r w:rsidRPr="00A67277">
              <w:rPr>
                <w:rFonts w:cs="Arial"/>
                <w:lang w:val="id-ID"/>
              </w:rPr>
              <w:t xml:space="preserve"> Proyek</w:t>
            </w:r>
          </w:p>
        </w:tc>
        <w:tc>
          <w:tcPr>
            <w:tcW w:w="260" w:type="dxa"/>
          </w:tcPr>
          <w:p w14:paraId="39692C48" w14:textId="77777777" w:rsidR="00782E0B" w:rsidRPr="00A67277" w:rsidRDefault="00782E0B" w:rsidP="00782E0B">
            <w:pPr>
              <w:rPr>
                <w:rFonts w:ascii="Arial" w:hAnsi="Arial" w:cs="Arial"/>
                <w:sz w:val="21"/>
                <w:szCs w:val="21"/>
              </w:rPr>
            </w:pPr>
          </w:p>
        </w:tc>
        <w:tc>
          <w:tcPr>
            <w:tcW w:w="969" w:type="dxa"/>
          </w:tcPr>
          <w:p w14:paraId="12D4A595" w14:textId="4181FA8C" w:rsidR="00782E0B" w:rsidRPr="00A67277" w:rsidRDefault="00782E0B" w:rsidP="00782E0B">
            <w:pPr>
              <w:jc w:val="right"/>
              <w:rPr>
                <w:rFonts w:ascii="Arial" w:hAnsi="Arial" w:cs="Arial"/>
                <w:sz w:val="21"/>
                <w:szCs w:val="21"/>
              </w:rPr>
            </w:pPr>
            <w:r>
              <w:rPr>
                <w:rFonts w:ascii="Arial" w:hAnsi="Arial" w:cs="Arial"/>
                <w:sz w:val="21"/>
                <w:szCs w:val="21"/>
              </w:rPr>
              <w:t>60</w:t>
            </w:r>
          </w:p>
        </w:tc>
      </w:tr>
      <w:tr w:rsidR="00782E0B" w:rsidRPr="00A67277" w14:paraId="65A9E27A" w14:textId="77777777" w:rsidTr="00782E0B">
        <w:tc>
          <w:tcPr>
            <w:tcW w:w="3997" w:type="dxa"/>
          </w:tcPr>
          <w:p w14:paraId="0AA2D003"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Authorisations </w:t>
            </w:r>
          </w:p>
        </w:tc>
        <w:tc>
          <w:tcPr>
            <w:tcW w:w="969" w:type="dxa"/>
          </w:tcPr>
          <w:p w14:paraId="2312B5BF" w14:textId="6B2D768F" w:rsidR="00782E0B" w:rsidRPr="00A67277" w:rsidRDefault="00782E0B" w:rsidP="00782E0B">
            <w:pPr>
              <w:jc w:val="right"/>
              <w:rPr>
                <w:rFonts w:ascii="Arial" w:hAnsi="Arial" w:cs="Arial"/>
                <w:sz w:val="21"/>
                <w:szCs w:val="21"/>
              </w:rPr>
            </w:pPr>
            <w:r>
              <w:rPr>
                <w:rFonts w:ascii="Arial" w:hAnsi="Arial" w:cs="Arial"/>
                <w:sz w:val="21"/>
                <w:szCs w:val="21"/>
              </w:rPr>
              <w:t>61</w:t>
            </w:r>
          </w:p>
        </w:tc>
        <w:tc>
          <w:tcPr>
            <w:tcW w:w="3723" w:type="dxa"/>
          </w:tcPr>
          <w:p w14:paraId="1FD322C4"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Persetujuan-Persetujuan</w:t>
            </w:r>
          </w:p>
        </w:tc>
        <w:tc>
          <w:tcPr>
            <w:tcW w:w="260" w:type="dxa"/>
          </w:tcPr>
          <w:p w14:paraId="01E98140" w14:textId="77777777" w:rsidR="00782E0B" w:rsidRPr="00A67277" w:rsidRDefault="00782E0B" w:rsidP="00782E0B">
            <w:pPr>
              <w:rPr>
                <w:rFonts w:ascii="Arial" w:hAnsi="Arial" w:cs="Arial"/>
                <w:sz w:val="21"/>
                <w:szCs w:val="21"/>
              </w:rPr>
            </w:pPr>
          </w:p>
        </w:tc>
        <w:tc>
          <w:tcPr>
            <w:tcW w:w="969" w:type="dxa"/>
          </w:tcPr>
          <w:p w14:paraId="76102D61" w14:textId="3275A19B" w:rsidR="00782E0B" w:rsidRPr="00A67277" w:rsidRDefault="00782E0B" w:rsidP="00782E0B">
            <w:pPr>
              <w:jc w:val="right"/>
              <w:rPr>
                <w:rFonts w:ascii="Arial" w:hAnsi="Arial" w:cs="Arial"/>
                <w:sz w:val="21"/>
                <w:szCs w:val="21"/>
              </w:rPr>
            </w:pPr>
            <w:r>
              <w:rPr>
                <w:rFonts w:ascii="Arial" w:hAnsi="Arial" w:cs="Arial"/>
                <w:sz w:val="21"/>
                <w:szCs w:val="21"/>
              </w:rPr>
              <w:t>61</w:t>
            </w:r>
          </w:p>
        </w:tc>
      </w:tr>
      <w:tr w:rsidR="00DD1A2C" w:rsidRPr="00A67277" w14:paraId="3D275FE3" w14:textId="77777777" w:rsidTr="00782E0B">
        <w:tc>
          <w:tcPr>
            <w:tcW w:w="3997" w:type="dxa"/>
          </w:tcPr>
          <w:p w14:paraId="416261C6" w14:textId="77777777" w:rsidR="00DD1A2C" w:rsidRPr="00A67277" w:rsidRDefault="00DD1A2C" w:rsidP="00DD1A2C">
            <w:pPr>
              <w:rPr>
                <w:rFonts w:ascii="Arial" w:hAnsi="Arial" w:cs="Arial"/>
                <w:sz w:val="21"/>
                <w:szCs w:val="21"/>
              </w:rPr>
            </w:pPr>
          </w:p>
        </w:tc>
        <w:tc>
          <w:tcPr>
            <w:tcW w:w="969" w:type="dxa"/>
          </w:tcPr>
          <w:p w14:paraId="764DC1A4" w14:textId="77777777" w:rsidR="00DD1A2C" w:rsidRPr="00A67277" w:rsidRDefault="00DD1A2C" w:rsidP="00DD1A2C">
            <w:pPr>
              <w:jc w:val="right"/>
              <w:rPr>
                <w:rFonts w:ascii="Arial" w:hAnsi="Arial" w:cs="Arial"/>
                <w:sz w:val="21"/>
                <w:szCs w:val="21"/>
              </w:rPr>
            </w:pPr>
          </w:p>
        </w:tc>
        <w:tc>
          <w:tcPr>
            <w:tcW w:w="3723" w:type="dxa"/>
          </w:tcPr>
          <w:p w14:paraId="200AB32E" w14:textId="77777777" w:rsidR="00DD1A2C" w:rsidRPr="00A67277" w:rsidRDefault="00DD1A2C" w:rsidP="00DD1A2C">
            <w:pPr>
              <w:rPr>
                <w:rFonts w:ascii="Arial" w:hAnsi="Arial" w:cs="Arial"/>
                <w:sz w:val="21"/>
                <w:szCs w:val="21"/>
                <w:lang w:val="id-ID"/>
              </w:rPr>
            </w:pPr>
          </w:p>
        </w:tc>
        <w:tc>
          <w:tcPr>
            <w:tcW w:w="260" w:type="dxa"/>
          </w:tcPr>
          <w:p w14:paraId="5588B643" w14:textId="77777777" w:rsidR="00DD1A2C" w:rsidRPr="00A67277" w:rsidRDefault="00DD1A2C" w:rsidP="00DD1A2C">
            <w:pPr>
              <w:rPr>
                <w:rFonts w:ascii="Arial" w:hAnsi="Arial" w:cs="Arial"/>
                <w:sz w:val="21"/>
                <w:szCs w:val="21"/>
              </w:rPr>
            </w:pPr>
          </w:p>
        </w:tc>
        <w:tc>
          <w:tcPr>
            <w:tcW w:w="969" w:type="dxa"/>
          </w:tcPr>
          <w:p w14:paraId="78C51E46" w14:textId="77777777" w:rsidR="00DD1A2C" w:rsidRPr="00A67277" w:rsidRDefault="00DD1A2C" w:rsidP="00DD1A2C">
            <w:pPr>
              <w:jc w:val="right"/>
              <w:rPr>
                <w:rFonts w:ascii="Arial" w:hAnsi="Arial" w:cs="Arial"/>
                <w:sz w:val="21"/>
                <w:szCs w:val="21"/>
              </w:rPr>
            </w:pPr>
          </w:p>
        </w:tc>
      </w:tr>
      <w:tr w:rsidR="00782E0B" w:rsidRPr="00A67277" w14:paraId="3F221E40" w14:textId="77777777" w:rsidTr="00782E0B">
        <w:tc>
          <w:tcPr>
            <w:tcW w:w="3997" w:type="dxa"/>
          </w:tcPr>
          <w:p w14:paraId="2A965611"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Implementing Business Entity / IBE</w:t>
            </w:r>
          </w:p>
        </w:tc>
        <w:tc>
          <w:tcPr>
            <w:tcW w:w="969" w:type="dxa"/>
          </w:tcPr>
          <w:p w14:paraId="64709268" w14:textId="4F88163A" w:rsidR="00782E0B" w:rsidRPr="00A67277" w:rsidRDefault="00782E0B" w:rsidP="00782E0B">
            <w:pPr>
              <w:jc w:val="right"/>
              <w:rPr>
                <w:rFonts w:ascii="Arial" w:hAnsi="Arial" w:cs="Arial"/>
                <w:sz w:val="21"/>
                <w:szCs w:val="21"/>
              </w:rPr>
            </w:pPr>
            <w:r>
              <w:rPr>
                <w:rFonts w:ascii="Arial" w:hAnsi="Arial" w:cs="Arial"/>
                <w:sz w:val="21"/>
                <w:szCs w:val="21"/>
              </w:rPr>
              <w:t>64</w:t>
            </w:r>
          </w:p>
        </w:tc>
        <w:tc>
          <w:tcPr>
            <w:tcW w:w="3723" w:type="dxa"/>
          </w:tcPr>
          <w:p w14:paraId="4DAD7D84" w14:textId="77777777" w:rsidR="00782E0B" w:rsidRPr="00A67277" w:rsidRDefault="00782E0B" w:rsidP="00782E0B">
            <w:pPr>
              <w:pStyle w:val="ListParagraph"/>
              <w:numPr>
                <w:ilvl w:val="0"/>
                <w:numId w:val="479"/>
              </w:numPr>
              <w:spacing w:line="240" w:lineRule="auto"/>
              <w:ind w:left="301" w:hanging="301"/>
              <w:jc w:val="left"/>
              <w:rPr>
                <w:rFonts w:cs="Arial"/>
                <w:b/>
                <w:lang w:val="id-ID"/>
              </w:rPr>
            </w:pPr>
            <w:r w:rsidRPr="00A67277">
              <w:rPr>
                <w:rFonts w:cs="Arial"/>
                <w:b/>
                <w:lang w:val="id-ID"/>
              </w:rPr>
              <w:t>Badan Usaha Pelaksana / BUP</w:t>
            </w:r>
          </w:p>
        </w:tc>
        <w:tc>
          <w:tcPr>
            <w:tcW w:w="260" w:type="dxa"/>
          </w:tcPr>
          <w:p w14:paraId="13B513B6" w14:textId="77777777" w:rsidR="00782E0B" w:rsidRPr="00A67277" w:rsidRDefault="00782E0B" w:rsidP="00782E0B">
            <w:pPr>
              <w:rPr>
                <w:rFonts w:ascii="Arial" w:hAnsi="Arial" w:cs="Arial"/>
                <w:sz w:val="21"/>
                <w:szCs w:val="21"/>
              </w:rPr>
            </w:pPr>
          </w:p>
        </w:tc>
        <w:tc>
          <w:tcPr>
            <w:tcW w:w="969" w:type="dxa"/>
          </w:tcPr>
          <w:p w14:paraId="24C1F008" w14:textId="2A1391B4" w:rsidR="00782E0B" w:rsidRPr="00A67277" w:rsidRDefault="00782E0B" w:rsidP="00782E0B">
            <w:pPr>
              <w:jc w:val="right"/>
              <w:rPr>
                <w:rFonts w:ascii="Arial" w:hAnsi="Arial" w:cs="Arial"/>
                <w:sz w:val="21"/>
                <w:szCs w:val="21"/>
              </w:rPr>
            </w:pPr>
            <w:r>
              <w:rPr>
                <w:rFonts w:ascii="Arial" w:hAnsi="Arial" w:cs="Arial"/>
                <w:sz w:val="21"/>
                <w:szCs w:val="21"/>
              </w:rPr>
              <w:t>64</w:t>
            </w:r>
          </w:p>
        </w:tc>
      </w:tr>
      <w:tr w:rsidR="00782E0B" w:rsidRPr="00A67277" w14:paraId="3CC3A809" w14:textId="77777777" w:rsidTr="00782E0B">
        <w:tc>
          <w:tcPr>
            <w:tcW w:w="3997" w:type="dxa"/>
          </w:tcPr>
          <w:p w14:paraId="1AEF51B2"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Capital of the IBE </w:t>
            </w:r>
          </w:p>
        </w:tc>
        <w:tc>
          <w:tcPr>
            <w:tcW w:w="969" w:type="dxa"/>
          </w:tcPr>
          <w:p w14:paraId="6A1DE856" w14:textId="7B002882" w:rsidR="00782E0B" w:rsidRPr="00A67277" w:rsidRDefault="00782E0B" w:rsidP="00782E0B">
            <w:pPr>
              <w:jc w:val="right"/>
              <w:rPr>
                <w:rFonts w:ascii="Arial" w:hAnsi="Arial" w:cs="Arial"/>
                <w:sz w:val="21"/>
                <w:szCs w:val="21"/>
              </w:rPr>
            </w:pPr>
            <w:r>
              <w:rPr>
                <w:rFonts w:ascii="Arial" w:hAnsi="Arial" w:cs="Arial"/>
                <w:sz w:val="21"/>
                <w:szCs w:val="21"/>
              </w:rPr>
              <w:t>64</w:t>
            </w:r>
          </w:p>
        </w:tc>
        <w:tc>
          <w:tcPr>
            <w:tcW w:w="3723" w:type="dxa"/>
          </w:tcPr>
          <w:p w14:paraId="186720CF"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Modal BUP</w:t>
            </w:r>
          </w:p>
        </w:tc>
        <w:tc>
          <w:tcPr>
            <w:tcW w:w="260" w:type="dxa"/>
          </w:tcPr>
          <w:p w14:paraId="47625873" w14:textId="77777777" w:rsidR="00782E0B" w:rsidRPr="00A67277" w:rsidRDefault="00782E0B" w:rsidP="00782E0B">
            <w:pPr>
              <w:rPr>
                <w:rFonts w:ascii="Arial" w:hAnsi="Arial" w:cs="Arial"/>
                <w:sz w:val="21"/>
                <w:szCs w:val="21"/>
              </w:rPr>
            </w:pPr>
          </w:p>
        </w:tc>
        <w:tc>
          <w:tcPr>
            <w:tcW w:w="969" w:type="dxa"/>
          </w:tcPr>
          <w:p w14:paraId="22E816E9" w14:textId="4BC9693A" w:rsidR="00782E0B" w:rsidRPr="00A67277" w:rsidRDefault="00782E0B" w:rsidP="00782E0B">
            <w:pPr>
              <w:jc w:val="right"/>
              <w:rPr>
                <w:rFonts w:ascii="Arial" w:hAnsi="Arial" w:cs="Arial"/>
                <w:sz w:val="21"/>
                <w:szCs w:val="21"/>
              </w:rPr>
            </w:pPr>
            <w:r>
              <w:rPr>
                <w:rFonts w:ascii="Arial" w:hAnsi="Arial" w:cs="Arial"/>
                <w:sz w:val="21"/>
                <w:szCs w:val="21"/>
              </w:rPr>
              <w:t>64</w:t>
            </w:r>
          </w:p>
        </w:tc>
      </w:tr>
      <w:tr w:rsidR="00782E0B" w:rsidRPr="00A67277" w14:paraId="4BC4CFD5" w14:textId="77777777" w:rsidTr="00782E0B">
        <w:tc>
          <w:tcPr>
            <w:tcW w:w="3997" w:type="dxa"/>
          </w:tcPr>
          <w:p w14:paraId="39122E5F"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Restrictions on Transfer of Equity</w:t>
            </w:r>
          </w:p>
        </w:tc>
        <w:tc>
          <w:tcPr>
            <w:tcW w:w="969" w:type="dxa"/>
          </w:tcPr>
          <w:p w14:paraId="0989C8D5" w14:textId="50354BBF" w:rsidR="00782E0B" w:rsidRPr="00A67277" w:rsidRDefault="00782E0B" w:rsidP="00782E0B">
            <w:pPr>
              <w:jc w:val="right"/>
              <w:rPr>
                <w:rFonts w:ascii="Arial" w:hAnsi="Arial" w:cs="Arial"/>
                <w:sz w:val="21"/>
                <w:szCs w:val="21"/>
              </w:rPr>
            </w:pPr>
            <w:r>
              <w:rPr>
                <w:rFonts w:ascii="Arial" w:hAnsi="Arial" w:cs="Arial"/>
                <w:sz w:val="21"/>
                <w:szCs w:val="21"/>
              </w:rPr>
              <w:t>64</w:t>
            </w:r>
          </w:p>
        </w:tc>
        <w:tc>
          <w:tcPr>
            <w:tcW w:w="3723" w:type="dxa"/>
          </w:tcPr>
          <w:p w14:paraId="05EA5073"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Batasan Pengalihan Ekuitas</w:t>
            </w:r>
          </w:p>
        </w:tc>
        <w:tc>
          <w:tcPr>
            <w:tcW w:w="260" w:type="dxa"/>
          </w:tcPr>
          <w:p w14:paraId="091D00AE" w14:textId="77777777" w:rsidR="00782E0B" w:rsidRPr="00A67277" w:rsidRDefault="00782E0B" w:rsidP="00782E0B">
            <w:pPr>
              <w:rPr>
                <w:rFonts w:ascii="Arial" w:hAnsi="Arial" w:cs="Arial"/>
                <w:sz w:val="21"/>
                <w:szCs w:val="21"/>
              </w:rPr>
            </w:pPr>
          </w:p>
        </w:tc>
        <w:tc>
          <w:tcPr>
            <w:tcW w:w="969" w:type="dxa"/>
          </w:tcPr>
          <w:p w14:paraId="38AFCFD4" w14:textId="08D6B0D0" w:rsidR="00782E0B" w:rsidRPr="00A67277" w:rsidRDefault="00782E0B" w:rsidP="00782E0B">
            <w:pPr>
              <w:jc w:val="right"/>
              <w:rPr>
                <w:rFonts w:ascii="Arial" w:hAnsi="Arial" w:cs="Arial"/>
                <w:sz w:val="21"/>
                <w:szCs w:val="21"/>
              </w:rPr>
            </w:pPr>
            <w:r>
              <w:rPr>
                <w:rFonts w:ascii="Arial" w:hAnsi="Arial" w:cs="Arial"/>
                <w:sz w:val="21"/>
                <w:szCs w:val="21"/>
              </w:rPr>
              <w:t>64</w:t>
            </w:r>
          </w:p>
        </w:tc>
      </w:tr>
      <w:tr w:rsidR="00DD1A2C" w:rsidRPr="00A67277" w14:paraId="0C243277" w14:textId="77777777" w:rsidTr="00782E0B">
        <w:tc>
          <w:tcPr>
            <w:tcW w:w="3997" w:type="dxa"/>
          </w:tcPr>
          <w:p w14:paraId="5865F3B9" w14:textId="77777777" w:rsidR="00DD1A2C" w:rsidRPr="00A67277" w:rsidRDefault="00DD1A2C" w:rsidP="00DD1A2C">
            <w:pPr>
              <w:rPr>
                <w:rFonts w:ascii="Arial" w:hAnsi="Arial" w:cs="Arial"/>
                <w:sz w:val="21"/>
                <w:szCs w:val="21"/>
              </w:rPr>
            </w:pPr>
          </w:p>
        </w:tc>
        <w:tc>
          <w:tcPr>
            <w:tcW w:w="969" w:type="dxa"/>
          </w:tcPr>
          <w:p w14:paraId="5A43D5C6" w14:textId="77777777" w:rsidR="00DD1A2C" w:rsidRPr="00A67277" w:rsidRDefault="00DD1A2C" w:rsidP="00DD1A2C">
            <w:pPr>
              <w:jc w:val="right"/>
              <w:rPr>
                <w:rFonts w:ascii="Arial" w:hAnsi="Arial" w:cs="Arial"/>
                <w:sz w:val="21"/>
                <w:szCs w:val="21"/>
              </w:rPr>
            </w:pPr>
          </w:p>
        </w:tc>
        <w:tc>
          <w:tcPr>
            <w:tcW w:w="3723" w:type="dxa"/>
          </w:tcPr>
          <w:p w14:paraId="776CF766" w14:textId="77777777" w:rsidR="00DD1A2C" w:rsidRPr="00A67277" w:rsidRDefault="00DD1A2C" w:rsidP="00DD1A2C">
            <w:pPr>
              <w:rPr>
                <w:rFonts w:ascii="Arial" w:hAnsi="Arial" w:cs="Arial"/>
                <w:sz w:val="21"/>
                <w:szCs w:val="21"/>
                <w:lang w:val="id-ID"/>
              </w:rPr>
            </w:pPr>
          </w:p>
        </w:tc>
        <w:tc>
          <w:tcPr>
            <w:tcW w:w="260" w:type="dxa"/>
          </w:tcPr>
          <w:p w14:paraId="2A5C0888" w14:textId="77777777" w:rsidR="00DD1A2C" w:rsidRPr="00A67277" w:rsidRDefault="00DD1A2C" w:rsidP="00DD1A2C">
            <w:pPr>
              <w:rPr>
                <w:rFonts w:ascii="Arial" w:hAnsi="Arial" w:cs="Arial"/>
                <w:sz w:val="21"/>
                <w:szCs w:val="21"/>
              </w:rPr>
            </w:pPr>
          </w:p>
        </w:tc>
        <w:tc>
          <w:tcPr>
            <w:tcW w:w="969" w:type="dxa"/>
          </w:tcPr>
          <w:p w14:paraId="27C00247" w14:textId="77777777" w:rsidR="00DD1A2C" w:rsidRPr="00A67277" w:rsidRDefault="00DD1A2C" w:rsidP="00DD1A2C">
            <w:pPr>
              <w:jc w:val="right"/>
              <w:rPr>
                <w:rFonts w:ascii="Arial" w:hAnsi="Arial" w:cs="Arial"/>
                <w:sz w:val="21"/>
                <w:szCs w:val="21"/>
              </w:rPr>
            </w:pPr>
          </w:p>
        </w:tc>
      </w:tr>
      <w:tr w:rsidR="00782E0B" w:rsidRPr="00A67277" w14:paraId="1B280C27" w14:textId="77777777" w:rsidTr="00782E0B">
        <w:tc>
          <w:tcPr>
            <w:tcW w:w="3997" w:type="dxa"/>
          </w:tcPr>
          <w:p w14:paraId="63B0BC72"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Financial Model and Project Financing</w:t>
            </w:r>
          </w:p>
        </w:tc>
        <w:tc>
          <w:tcPr>
            <w:tcW w:w="969" w:type="dxa"/>
          </w:tcPr>
          <w:p w14:paraId="0E3A4A9E" w14:textId="67BB0198" w:rsidR="00782E0B" w:rsidRPr="00A67277" w:rsidRDefault="00782E0B" w:rsidP="00782E0B">
            <w:pPr>
              <w:jc w:val="right"/>
              <w:rPr>
                <w:rFonts w:ascii="Arial" w:hAnsi="Arial" w:cs="Arial"/>
                <w:sz w:val="21"/>
                <w:szCs w:val="21"/>
              </w:rPr>
            </w:pPr>
            <w:r>
              <w:rPr>
                <w:rFonts w:ascii="Arial" w:hAnsi="Arial" w:cs="Arial"/>
                <w:sz w:val="21"/>
                <w:szCs w:val="21"/>
              </w:rPr>
              <w:t>66</w:t>
            </w:r>
          </w:p>
        </w:tc>
        <w:tc>
          <w:tcPr>
            <w:tcW w:w="3723" w:type="dxa"/>
          </w:tcPr>
          <w:p w14:paraId="6D4D43C5" w14:textId="77777777" w:rsidR="00782E0B" w:rsidRPr="00A67277" w:rsidRDefault="00782E0B" w:rsidP="00782E0B">
            <w:pPr>
              <w:pStyle w:val="ListParagraph"/>
              <w:numPr>
                <w:ilvl w:val="0"/>
                <w:numId w:val="479"/>
              </w:numPr>
              <w:spacing w:line="240" w:lineRule="auto"/>
              <w:ind w:left="301" w:hanging="301"/>
              <w:jc w:val="left"/>
              <w:rPr>
                <w:rFonts w:cs="Arial"/>
                <w:lang w:val="id-ID"/>
              </w:rPr>
            </w:pPr>
            <w:r w:rsidRPr="00A67277">
              <w:rPr>
                <w:rFonts w:cs="Arial"/>
                <w:b/>
                <w:lang w:val="id-ID"/>
              </w:rPr>
              <w:t>Model Keuangan dan Pembiayaan Proyek</w:t>
            </w:r>
          </w:p>
        </w:tc>
        <w:tc>
          <w:tcPr>
            <w:tcW w:w="260" w:type="dxa"/>
          </w:tcPr>
          <w:p w14:paraId="482DDB7F" w14:textId="77777777" w:rsidR="00782E0B" w:rsidRPr="00A67277" w:rsidRDefault="00782E0B" w:rsidP="00782E0B">
            <w:pPr>
              <w:rPr>
                <w:rFonts w:ascii="Arial" w:hAnsi="Arial" w:cs="Arial"/>
                <w:sz w:val="21"/>
                <w:szCs w:val="21"/>
              </w:rPr>
            </w:pPr>
          </w:p>
        </w:tc>
        <w:tc>
          <w:tcPr>
            <w:tcW w:w="969" w:type="dxa"/>
          </w:tcPr>
          <w:p w14:paraId="224A6597" w14:textId="790E136E" w:rsidR="00782E0B" w:rsidRPr="00A67277" w:rsidRDefault="00782E0B" w:rsidP="00782E0B">
            <w:pPr>
              <w:jc w:val="right"/>
              <w:rPr>
                <w:rFonts w:ascii="Arial" w:hAnsi="Arial" w:cs="Arial"/>
                <w:sz w:val="21"/>
                <w:szCs w:val="21"/>
              </w:rPr>
            </w:pPr>
            <w:r>
              <w:rPr>
                <w:rFonts w:ascii="Arial" w:hAnsi="Arial" w:cs="Arial"/>
                <w:sz w:val="21"/>
                <w:szCs w:val="21"/>
              </w:rPr>
              <w:t>66</w:t>
            </w:r>
          </w:p>
        </w:tc>
      </w:tr>
      <w:tr w:rsidR="00782E0B" w:rsidRPr="00A67277" w14:paraId="1899EB9B" w14:textId="77777777" w:rsidTr="00782E0B">
        <w:tc>
          <w:tcPr>
            <w:tcW w:w="3997" w:type="dxa"/>
          </w:tcPr>
          <w:p w14:paraId="6A66F3C8"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Financial Model </w:t>
            </w:r>
          </w:p>
        </w:tc>
        <w:tc>
          <w:tcPr>
            <w:tcW w:w="969" w:type="dxa"/>
          </w:tcPr>
          <w:p w14:paraId="0AA321AB" w14:textId="056289FD" w:rsidR="00782E0B" w:rsidRPr="00A67277" w:rsidRDefault="00782E0B" w:rsidP="00782E0B">
            <w:pPr>
              <w:jc w:val="right"/>
              <w:rPr>
                <w:rFonts w:ascii="Arial" w:hAnsi="Arial" w:cs="Arial"/>
                <w:sz w:val="21"/>
                <w:szCs w:val="21"/>
              </w:rPr>
            </w:pPr>
            <w:r>
              <w:rPr>
                <w:rFonts w:ascii="Arial" w:hAnsi="Arial" w:cs="Arial"/>
                <w:sz w:val="21"/>
                <w:szCs w:val="21"/>
              </w:rPr>
              <w:t>66</w:t>
            </w:r>
          </w:p>
        </w:tc>
        <w:tc>
          <w:tcPr>
            <w:tcW w:w="3723" w:type="dxa"/>
          </w:tcPr>
          <w:p w14:paraId="2F4F40B7"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Model Keuangan</w:t>
            </w:r>
          </w:p>
        </w:tc>
        <w:tc>
          <w:tcPr>
            <w:tcW w:w="260" w:type="dxa"/>
          </w:tcPr>
          <w:p w14:paraId="0E726AAD" w14:textId="77777777" w:rsidR="00782E0B" w:rsidRPr="00A67277" w:rsidRDefault="00782E0B" w:rsidP="00782E0B">
            <w:pPr>
              <w:rPr>
                <w:rFonts w:ascii="Arial" w:hAnsi="Arial" w:cs="Arial"/>
                <w:sz w:val="21"/>
                <w:szCs w:val="21"/>
              </w:rPr>
            </w:pPr>
          </w:p>
        </w:tc>
        <w:tc>
          <w:tcPr>
            <w:tcW w:w="969" w:type="dxa"/>
          </w:tcPr>
          <w:p w14:paraId="5673192E" w14:textId="2C0C5B5F" w:rsidR="00782E0B" w:rsidRPr="00A67277" w:rsidRDefault="00782E0B" w:rsidP="00782E0B">
            <w:pPr>
              <w:jc w:val="right"/>
              <w:rPr>
                <w:rFonts w:ascii="Arial" w:hAnsi="Arial" w:cs="Arial"/>
                <w:sz w:val="21"/>
                <w:szCs w:val="21"/>
              </w:rPr>
            </w:pPr>
            <w:r>
              <w:rPr>
                <w:rFonts w:ascii="Arial" w:hAnsi="Arial" w:cs="Arial"/>
                <w:sz w:val="21"/>
                <w:szCs w:val="21"/>
              </w:rPr>
              <w:t>66</w:t>
            </w:r>
          </w:p>
        </w:tc>
      </w:tr>
      <w:tr w:rsidR="00782E0B" w:rsidRPr="00A67277" w14:paraId="28013299" w14:textId="77777777" w:rsidTr="00782E0B">
        <w:tc>
          <w:tcPr>
            <w:tcW w:w="3997" w:type="dxa"/>
          </w:tcPr>
          <w:p w14:paraId="63F05061"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Project Financing </w:t>
            </w:r>
          </w:p>
        </w:tc>
        <w:tc>
          <w:tcPr>
            <w:tcW w:w="969" w:type="dxa"/>
          </w:tcPr>
          <w:p w14:paraId="1548867D" w14:textId="332C40A9" w:rsidR="00782E0B" w:rsidRPr="00A67277" w:rsidRDefault="00782E0B" w:rsidP="00782E0B">
            <w:pPr>
              <w:jc w:val="right"/>
              <w:rPr>
                <w:rFonts w:ascii="Arial" w:hAnsi="Arial" w:cs="Arial"/>
                <w:sz w:val="21"/>
                <w:szCs w:val="21"/>
              </w:rPr>
            </w:pPr>
            <w:r>
              <w:rPr>
                <w:rFonts w:ascii="Arial" w:hAnsi="Arial" w:cs="Arial"/>
                <w:sz w:val="21"/>
                <w:szCs w:val="21"/>
              </w:rPr>
              <w:t>66</w:t>
            </w:r>
          </w:p>
        </w:tc>
        <w:tc>
          <w:tcPr>
            <w:tcW w:w="3723" w:type="dxa"/>
          </w:tcPr>
          <w:p w14:paraId="1A5C1672"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Pembiayaan Proyek</w:t>
            </w:r>
          </w:p>
        </w:tc>
        <w:tc>
          <w:tcPr>
            <w:tcW w:w="260" w:type="dxa"/>
          </w:tcPr>
          <w:p w14:paraId="59D5CD42" w14:textId="77777777" w:rsidR="00782E0B" w:rsidRPr="00A67277" w:rsidRDefault="00782E0B" w:rsidP="00782E0B">
            <w:pPr>
              <w:rPr>
                <w:rFonts w:ascii="Arial" w:hAnsi="Arial" w:cs="Arial"/>
                <w:sz w:val="21"/>
                <w:szCs w:val="21"/>
              </w:rPr>
            </w:pPr>
          </w:p>
        </w:tc>
        <w:tc>
          <w:tcPr>
            <w:tcW w:w="969" w:type="dxa"/>
          </w:tcPr>
          <w:p w14:paraId="7A303F81" w14:textId="711A2174" w:rsidR="00782E0B" w:rsidRPr="00A67277" w:rsidRDefault="00782E0B" w:rsidP="00782E0B">
            <w:pPr>
              <w:jc w:val="right"/>
              <w:rPr>
                <w:rFonts w:ascii="Arial" w:hAnsi="Arial" w:cs="Arial"/>
                <w:sz w:val="21"/>
                <w:szCs w:val="21"/>
              </w:rPr>
            </w:pPr>
            <w:r>
              <w:rPr>
                <w:rFonts w:ascii="Arial" w:hAnsi="Arial" w:cs="Arial"/>
                <w:sz w:val="21"/>
                <w:szCs w:val="21"/>
              </w:rPr>
              <w:t>66</w:t>
            </w:r>
          </w:p>
        </w:tc>
      </w:tr>
      <w:tr w:rsidR="00782E0B" w:rsidRPr="00A67277" w14:paraId="36360C72" w14:textId="77777777" w:rsidTr="00782E0B">
        <w:tc>
          <w:tcPr>
            <w:tcW w:w="3997" w:type="dxa"/>
          </w:tcPr>
          <w:p w14:paraId="50FEDF70"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No Fiscal Support </w:t>
            </w:r>
          </w:p>
        </w:tc>
        <w:tc>
          <w:tcPr>
            <w:tcW w:w="969" w:type="dxa"/>
          </w:tcPr>
          <w:p w14:paraId="5CCEACF1" w14:textId="394D633D" w:rsidR="00782E0B" w:rsidRPr="00A67277" w:rsidRDefault="00782E0B" w:rsidP="00782E0B">
            <w:pPr>
              <w:jc w:val="right"/>
              <w:rPr>
                <w:rFonts w:ascii="Arial" w:hAnsi="Arial" w:cs="Arial"/>
                <w:sz w:val="21"/>
                <w:szCs w:val="21"/>
              </w:rPr>
            </w:pPr>
            <w:r>
              <w:rPr>
                <w:rFonts w:ascii="Arial" w:hAnsi="Arial" w:cs="Arial"/>
                <w:sz w:val="21"/>
                <w:szCs w:val="21"/>
              </w:rPr>
              <w:t>67</w:t>
            </w:r>
          </w:p>
        </w:tc>
        <w:tc>
          <w:tcPr>
            <w:tcW w:w="3723" w:type="dxa"/>
          </w:tcPr>
          <w:p w14:paraId="7FCD90E8"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en-US"/>
              </w:rPr>
              <w:t xml:space="preserve">Tidak Ada </w:t>
            </w:r>
            <w:r w:rsidRPr="00A67277">
              <w:rPr>
                <w:rFonts w:cs="Arial"/>
                <w:lang w:val="id-ID"/>
              </w:rPr>
              <w:t>Dukungan Fiskal</w:t>
            </w:r>
          </w:p>
        </w:tc>
        <w:tc>
          <w:tcPr>
            <w:tcW w:w="260" w:type="dxa"/>
          </w:tcPr>
          <w:p w14:paraId="0C3D220D" w14:textId="77777777" w:rsidR="00782E0B" w:rsidRPr="00A67277" w:rsidRDefault="00782E0B" w:rsidP="00782E0B">
            <w:pPr>
              <w:rPr>
                <w:rFonts w:ascii="Arial" w:hAnsi="Arial" w:cs="Arial"/>
                <w:sz w:val="21"/>
                <w:szCs w:val="21"/>
              </w:rPr>
            </w:pPr>
          </w:p>
        </w:tc>
        <w:tc>
          <w:tcPr>
            <w:tcW w:w="969" w:type="dxa"/>
          </w:tcPr>
          <w:p w14:paraId="204FF350" w14:textId="12824618" w:rsidR="00782E0B" w:rsidRPr="00A67277" w:rsidRDefault="00782E0B" w:rsidP="00782E0B">
            <w:pPr>
              <w:jc w:val="right"/>
              <w:rPr>
                <w:rFonts w:ascii="Arial" w:hAnsi="Arial" w:cs="Arial"/>
                <w:sz w:val="21"/>
                <w:szCs w:val="21"/>
              </w:rPr>
            </w:pPr>
            <w:r>
              <w:rPr>
                <w:rFonts w:ascii="Arial" w:hAnsi="Arial" w:cs="Arial"/>
                <w:sz w:val="21"/>
                <w:szCs w:val="21"/>
              </w:rPr>
              <w:t>67</w:t>
            </w:r>
          </w:p>
        </w:tc>
      </w:tr>
      <w:tr w:rsidR="00782E0B" w:rsidRPr="00A67277" w14:paraId="0687BFE5" w14:textId="77777777" w:rsidTr="00782E0B">
        <w:tc>
          <w:tcPr>
            <w:tcW w:w="3997" w:type="dxa"/>
          </w:tcPr>
          <w:p w14:paraId="528836B9" w14:textId="77777777" w:rsidR="00782E0B" w:rsidRPr="00A67277" w:rsidRDefault="00782E0B" w:rsidP="00782E0B">
            <w:pPr>
              <w:pStyle w:val="ListParagraph"/>
              <w:numPr>
                <w:ilvl w:val="1"/>
                <w:numId w:val="479"/>
              </w:numPr>
              <w:spacing w:line="240" w:lineRule="auto"/>
              <w:ind w:left="882" w:hanging="540"/>
              <w:jc w:val="left"/>
              <w:rPr>
                <w:rFonts w:cs="Arial"/>
              </w:rPr>
            </w:pPr>
            <w:r w:rsidRPr="00A67277">
              <w:rPr>
                <w:rFonts w:cs="Arial"/>
              </w:rPr>
              <w:t xml:space="preserve">Refinancing </w:t>
            </w:r>
          </w:p>
        </w:tc>
        <w:tc>
          <w:tcPr>
            <w:tcW w:w="969" w:type="dxa"/>
          </w:tcPr>
          <w:p w14:paraId="4EA831B8" w14:textId="33E263CD" w:rsidR="00782E0B" w:rsidRPr="00A67277" w:rsidRDefault="00782E0B" w:rsidP="00782E0B">
            <w:pPr>
              <w:jc w:val="right"/>
              <w:rPr>
                <w:rFonts w:ascii="Arial" w:hAnsi="Arial" w:cs="Arial"/>
                <w:sz w:val="21"/>
                <w:szCs w:val="21"/>
              </w:rPr>
            </w:pPr>
            <w:r>
              <w:rPr>
                <w:rFonts w:ascii="Arial" w:hAnsi="Arial" w:cs="Arial"/>
                <w:sz w:val="21"/>
                <w:szCs w:val="21"/>
              </w:rPr>
              <w:t>67</w:t>
            </w:r>
          </w:p>
        </w:tc>
        <w:tc>
          <w:tcPr>
            <w:tcW w:w="3723" w:type="dxa"/>
          </w:tcPr>
          <w:p w14:paraId="258849DF" w14:textId="77777777" w:rsidR="00782E0B" w:rsidRPr="00A67277" w:rsidRDefault="00782E0B" w:rsidP="00782E0B">
            <w:pPr>
              <w:pStyle w:val="ListParagraph"/>
              <w:numPr>
                <w:ilvl w:val="1"/>
                <w:numId w:val="478"/>
              </w:numPr>
              <w:spacing w:line="240" w:lineRule="auto"/>
              <w:ind w:left="847" w:hanging="540"/>
              <w:jc w:val="left"/>
              <w:rPr>
                <w:rFonts w:cs="Arial"/>
                <w:lang w:val="id-ID"/>
              </w:rPr>
            </w:pPr>
            <w:r w:rsidRPr="00A67277">
              <w:rPr>
                <w:rFonts w:cs="Arial"/>
                <w:lang w:val="id-ID"/>
              </w:rPr>
              <w:t>Pembiayaan Ulang</w:t>
            </w:r>
          </w:p>
        </w:tc>
        <w:tc>
          <w:tcPr>
            <w:tcW w:w="260" w:type="dxa"/>
          </w:tcPr>
          <w:p w14:paraId="7886A44F" w14:textId="77777777" w:rsidR="00782E0B" w:rsidRPr="00A67277" w:rsidRDefault="00782E0B" w:rsidP="00782E0B">
            <w:pPr>
              <w:rPr>
                <w:rFonts w:ascii="Arial" w:hAnsi="Arial" w:cs="Arial"/>
                <w:sz w:val="21"/>
                <w:szCs w:val="21"/>
              </w:rPr>
            </w:pPr>
          </w:p>
        </w:tc>
        <w:tc>
          <w:tcPr>
            <w:tcW w:w="969" w:type="dxa"/>
          </w:tcPr>
          <w:p w14:paraId="605A62A8" w14:textId="2AC7D060" w:rsidR="00782E0B" w:rsidRPr="00A67277" w:rsidRDefault="00782E0B" w:rsidP="00782E0B">
            <w:pPr>
              <w:jc w:val="right"/>
              <w:rPr>
                <w:rFonts w:ascii="Arial" w:hAnsi="Arial" w:cs="Arial"/>
                <w:sz w:val="21"/>
                <w:szCs w:val="21"/>
              </w:rPr>
            </w:pPr>
            <w:r>
              <w:rPr>
                <w:rFonts w:ascii="Arial" w:hAnsi="Arial" w:cs="Arial"/>
                <w:sz w:val="21"/>
                <w:szCs w:val="21"/>
              </w:rPr>
              <w:t>67</w:t>
            </w:r>
          </w:p>
        </w:tc>
      </w:tr>
      <w:tr w:rsidR="003430F9" w:rsidRPr="00A67277" w14:paraId="5530ADF8" w14:textId="77777777" w:rsidTr="00782E0B">
        <w:tc>
          <w:tcPr>
            <w:tcW w:w="3997" w:type="dxa"/>
          </w:tcPr>
          <w:p w14:paraId="20D96725" w14:textId="77777777" w:rsidR="003430F9" w:rsidRPr="00A67277" w:rsidRDefault="003430F9" w:rsidP="00BA7204">
            <w:pPr>
              <w:rPr>
                <w:rFonts w:ascii="Arial" w:hAnsi="Arial" w:cs="Arial"/>
                <w:sz w:val="21"/>
                <w:szCs w:val="21"/>
              </w:rPr>
            </w:pPr>
          </w:p>
        </w:tc>
        <w:tc>
          <w:tcPr>
            <w:tcW w:w="969" w:type="dxa"/>
          </w:tcPr>
          <w:p w14:paraId="4F56BDB3" w14:textId="77777777" w:rsidR="003430F9" w:rsidRPr="00A67277" w:rsidRDefault="003430F9" w:rsidP="00BA7204">
            <w:pPr>
              <w:jc w:val="right"/>
              <w:rPr>
                <w:rFonts w:ascii="Arial" w:hAnsi="Arial" w:cs="Arial"/>
                <w:sz w:val="21"/>
                <w:szCs w:val="21"/>
              </w:rPr>
            </w:pPr>
          </w:p>
        </w:tc>
        <w:tc>
          <w:tcPr>
            <w:tcW w:w="3723" w:type="dxa"/>
          </w:tcPr>
          <w:p w14:paraId="4DB84BE7" w14:textId="77777777" w:rsidR="003430F9" w:rsidRPr="00A67277" w:rsidRDefault="003430F9" w:rsidP="00BA7204">
            <w:pPr>
              <w:rPr>
                <w:rFonts w:ascii="Arial" w:hAnsi="Arial" w:cs="Arial"/>
                <w:sz w:val="21"/>
                <w:szCs w:val="21"/>
                <w:lang w:val="id-ID"/>
              </w:rPr>
            </w:pPr>
          </w:p>
        </w:tc>
        <w:tc>
          <w:tcPr>
            <w:tcW w:w="260" w:type="dxa"/>
          </w:tcPr>
          <w:p w14:paraId="3244A886" w14:textId="77777777" w:rsidR="003430F9" w:rsidRPr="00A67277" w:rsidRDefault="003430F9" w:rsidP="00BA7204">
            <w:pPr>
              <w:rPr>
                <w:rFonts w:ascii="Arial" w:hAnsi="Arial" w:cs="Arial"/>
                <w:sz w:val="21"/>
                <w:szCs w:val="21"/>
              </w:rPr>
            </w:pPr>
          </w:p>
        </w:tc>
        <w:tc>
          <w:tcPr>
            <w:tcW w:w="969" w:type="dxa"/>
          </w:tcPr>
          <w:p w14:paraId="0F01DAB9" w14:textId="77777777" w:rsidR="003430F9" w:rsidRPr="00A67277" w:rsidRDefault="003430F9" w:rsidP="00BA7204">
            <w:pPr>
              <w:jc w:val="right"/>
              <w:rPr>
                <w:rFonts w:ascii="Arial" w:hAnsi="Arial" w:cs="Arial"/>
                <w:sz w:val="21"/>
                <w:szCs w:val="21"/>
              </w:rPr>
            </w:pPr>
          </w:p>
        </w:tc>
      </w:tr>
      <w:tr w:rsidR="00782E0B" w:rsidRPr="00A67277" w14:paraId="77F4D6D7" w14:textId="77777777" w:rsidTr="00782E0B">
        <w:tc>
          <w:tcPr>
            <w:tcW w:w="3997" w:type="dxa"/>
          </w:tcPr>
          <w:p w14:paraId="478ED6DD"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 xml:space="preserve">Land and Site </w:t>
            </w:r>
          </w:p>
        </w:tc>
        <w:tc>
          <w:tcPr>
            <w:tcW w:w="969" w:type="dxa"/>
          </w:tcPr>
          <w:p w14:paraId="4DD5B8F9" w14:textId="2C560BEB" w:rsidR="00782E0B" w:rsidRPr="00A67277" w:rsidRDefault="00782E0B" w:rsidP="00782E0B">
            <w:pPr>
              <w:jc w:val="right"/>
              <w:rPr>
                <w:rFonts w:ascii="Arial" w:hAnsi="Arial" w:cs="Arial"/>
                <w:sz w:val="21"/>
                <w:szCs w:val="21"/>
              </w:rPr>
            </w:pPr>
            <w:r>
              <w:rPr>
                <w:rFonts w:ascii="Arial" w:hAnsi="Arial" w:cs="Arial"/>
                <w:sz w:val="21"/>
                <w:szCs w:val="21"/>
              </w:rPr>
              <w:t>71</w:t>
            </w:r>
          </w:p>
        </w:tc>
        <w:tc>
          <w:tcPr>
            <w:tcW w:w="3723" w:type="dxa"/>
          </w:tcPr>
          <w:p w14:paraId="1B25F663" w14:textId="77777777" w:rsidR="00782E0B" w:rsidRPr="00A67277" w:rsidRDefault="00782E0B" w:rsidP="00782E0B">
            <w:pPr>
              <w:pStyle w:val="ListParagraph"/>
              <w:numPr>
                <w:ilvl w:val="0"/>
                <w:numId w:val="479"/>
              </w:numPr>
              <w:spacing w:line="240" w:lineRule="auto"/>
              <w:ind w:left="301" w:hanging="301"/>
              <w:jc w:val="left"/>
              <w:rPr>
                <w:rFonts w:cs="Arial"/>
                <w:lang w:val="id-ID"/>
              </w:rPr>
            </w:pPr>
            <w:r w:rsidRPr="00A67277">
              <w:rPr>
                <w:rFonts w:cs="Arial"/>
                <w:b/>
                <w:lang w:val="id-ID"/>
              </w:rPr>
              <w:t>Tanah dan Lokasi</w:t>
            </w:r>
          </w:p>
        </w:tc>
        <w:tc>
          <w:tcPr>
            <w:tcW w:w="260" w:type="dxa"/>
          </w:tcPr>
          <w:p w14:paraId="1A69E3D9" w14:textId="77777777" w:rsidR="00782E0B" w:rsidRPr="00A67277" w:rsidRDefault="00782E0B" w:rsidP="00782E0B">
            <w:pPr>
              <w:rPr>
                <w:rFonts w:ascii="Arial" w:hAnsi="Arial" w:cs="Arial"/>
                <w:sz w:val="21"/>
                <w:szCs w:val="21"/>
              </w:rPr>
            </w:pPr>
          </w:p>
        </w:tc>
        <w:tc>
          <w:tcPr>
            <w:tcW w:w="969" w:type="dxa"/>
          </w:tcPr>
          <w:p w14:paraId="6B56B1EE" w14:textId="487B587D" w:rsidR="00782E0B" w:rsidRPr="00A67277" w:rsidRDefault="00782E0B" w:rsidP="00782E0B">
            <w:pPr>
              <w:jc w:val="right"/>
              <w:rPr>
                <w:rFonts w:ascii="Arial" w:hAnsi="Arial" w:cs="Arial"/>
                <w:sz w:val="21"/>
                <w:szCs w:val="21"/>
              </w:rPr>
            </w:pPr>
            <w:r>
              <w:rPr>
                <w:rFonts w:ascii="Arial" w:hAnsi="Arial" w:cs="Arial"/>
                <w:sz w:val="21"/>
                <w:szCs w:val="21"/>
              </w:rPr>
              <w:t>71</w:t>
            </w:r>
          </w:p>
        </w:tc>
      </w:tr>
      <w:tr w:rsidR="00782E0B" w:rsidRPr="00A67277" w14:paraId="48D48E6A" w14:textId="77777777" w:rsidTr="00782E0B">
        <w:tc>
          <w:tcPr>
            <w:tcW w:w="3997" w:type="dxa"/>
          </w:tcPr>
          <w:p w14:paraId="06E2FF27"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Rights on Site </w:t>
            </w:r>
          </w:p>
        </w:tc>
        <w:tc>
          <w:tcPr>
            <w:tcW w:w="969" w:type="dxa"/>
          </w:tcPr>
          <w:p w14:paraId="4D63372F" w14:textId="292ED43F" w:rsidR="00782E0B" w:rsidRPr="00A67277" w:rsidRDefault="00782E0B" w:rsidP="00782E0B">
            <w:pPr>
              <w:jc w:val="right"/>
              <w:rPr>
                <w:rFonts w:ascii="Arial" w:hAnsi="Arial" w:cs="Arial"/>
                <w:sz w:val="21"/>
                <w:szCs w:val="21"/>
              </w:rPr>
            </w:pPr>
            <w:r>
              <w:rPr>
                <w:rFonts w:ascii="Arial" w:hAnsi="Arial" w:cs="Arial"/>
                <w:sz w:val="21"/>
                <w:szCs w:val="21"/>
              </w:rPr>
              <w:t>71</w:t>
            </w:r>
          </w:p>
        </w:tc>
        <w:tc>
          <w:tcPr>
            <w:tcW w:w="3723" w:type="dxa"/>
          </w:tcPr>
          <w:p w14:paraId="7248F2DE"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 xml:space="preserve">Hak </w:t>
            </w:r>
            <w:r w:rsidRPr="00A67277">
              <w:rPr>
                <w:rFonts w:cs="Arial"/>
                <w:lang w:val="en-US"/>
              </w:rPr>
              <w:t>a</w:t>
            </w:r>
            <w:r w:rsidRPr="00A67277">
              <w:rPr>
                <w:rFonts w:cs="Arial"/>
                <w:lang w:val="id-ID"/>
              </w:rPr>
              <w:t>tas Lokasi</w:t>
            </w:r>
          </w:p>
        </w:tc>
        <w:tc>
          <w:tcPr>
            <w:tcW w:w="260" w:type="dxa"/>
          </w:tcPr>
          <w:p w14:paraId="739A24F5" w14:textId="77777777" w:rsidR="00782E0B" w:rsidRPr="00A67277" w:rsidRDefault="00782E0B" w:rsidP="00782E0B">
            <w:pPr>
              <w:rPr>
                <w:rFonts w:ascii="Arial" w:hAnsi="Arial" w:cs="Arial"/>
                <w:sz w:val="21"/>
                <w:szCs w:val="21"/>
              </w:rPr>
            </w:pPr>
          </w:p>
        </w:tc>
        <w:tc>
          <w:tcPr>
            <w:tcW w:w="969" w:type="dxa"/>
          </w:tcPr>
          <w:p w14:paraId="7B88C403" w14:textId="3EFE9125" w:rsidR="00782E0B" w:rsidRPr="00A67277" w:rsidRDefault="00782E0B" w:rsidP="00782E0B">
            <w:pPr>
              <w:jc w:val="right"/>
              <w:rPr>
                <w:rFonts w:ascii="Arial" w:hAnsi="Arial" w:cs="Arial"/>
                <w:sz w:val="21"/>
                <w:szCs w:val="21"/>
              </w:rPr>
            </w:pPr>
            <w:r>
              <w:rPr>
                <w:rFonts w:ascii="Arial" w:hAnsi="Arial" w:cs="Arial"/>
                <w:sz w:val="21"/>
                <w:szCs w:val="21"/>
              </w:rPr>
              <w:t>71</w:t>
            </w:r>
          </w:p>
        </w:tc>
      </w:tr>
      <w:tr w:rsidR="00782E0B" w:rsidRPr="00A67277" w14:paraId="67F85E32" w14:textId="77777777" w:rsidTr="00782E0B">
        <w:tc>
          <w:tcPr>
            <w:tcW w:w="3997" w:type="dxa"/>
          </w:tcPr>
          <w:p w14:paraId="1D6864EE"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Condition of the Site</w:t>
            </w:r>
          </w:p>
        </w:tc>
        <w:tc>
          <w:tcPr>
            <w:tcW w:w="969" w:type="dxa"/>
          </w:tcPr>
          <w:p w14:paraId="48F4D1EE" w14:textId="5460D46F" w:rsidR="00782E0B" w:rsidRPr="00A67277" w:rsidRDefault="00782E0B" w:rsidP="00782E0B">
            <w:pPr>
              <w:jc w:val="right"/>
              <w:rPr>
                <w:rFonts w:ascii="Arial" w:hAnsi="Arial" w:cs="Arial"/>
                <w:sz w:val="21"/>
                <w:szCs w:val="21"/>
              </w:rPr>
            </w:pPr>
            <w:r>
              <w:rPr>
                <w:rFonts w:ascii="Arial" w:hAnsi="Arial" w:cs="Arial"/>
                <w:sz w:val="21"/>
                <w:szCs w:val="21"/>
              </w:rPr>
              <w:t>73</w:t>
            </w:r>
          </w:p>
        </w:tc>
        <w:tc>
          <w:tcPr>
            <w:tcW w:w="3723" w:type="dxa"/>
          </w:tcPr>
          <w:p w14:paraId="73267EA2"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Kondisi Lokasi</w:t>
            </w:r>
          </w:p>
        </w:tc>
        <w:tc>
          <w:tcPr>
            <w:tcW w:w="260" w:type="dxa"/>
          </w:tcPr>
          <w:p w14:paraId="26D511A0" w14:textId="77777777" w:rsidR="00782E0B" w:rsidRPr="00A67277" w:rsidRDefault="00782E0B" w:rsidP="00782E0B">
            <w:pPr>
              <w:rPr>
                <w:rFonts w:ascii="Arial" w:hAnsi="Arial" w:cs="Arial"/>
                <w:sz w:val="21"/>
                <w:szCs w:val="21"/>
              </w:rPr>
            </w:pPr>
          </w:p>
        </w:tc>
        <w:tc>
          <w:tcPr>
            <w:tcW w:w="969" w:type="dxa"/>
          </w:tcPr>
          <w:p w14:paraId="5711FBDE" w14:textId="4F2670F8" w:rsidR="00782E0B" w:rsidRPr="00A67277" w:rsidRDefault="00782E0B" w:rsidP="00782E0B">
            <w:pPr>
              <w:jc w:val="right"/>
              <w:rPr>
                <w:rFonts w:ascii="Arial" w:hAnsi="Arial" w:cs="Arial"/>
                <w:sz w:val="21"/>
                <w:szCs w:val="21"/>
              </w:rPr>
            </w:pPr>
            <w:r>
              <w:rPr>
                <w:rFonts w:ascii="Arial" w:hAnsi="Arial" w:cs="Arial"/>
                <w:sz w:val="21"/>
                <w:szCs w:val="21"/>
              </w:rPr>
              <w:t>73</w:t>
            </w:r>
          </w:p>
        </w:tc>
      </w:tr>
      <w:tr w:rsidR="00782E0B" w:rsidRPr="00A67277" w14:paraId="27124BA4" w14:textId="77777777" w:rsidTr="00782E0B">
        <w:tc>
          <w:tcPr>
            <w:tcW w:w="3997" w:type="dxa"/>
          </w:tcPr>
          <w:p w14:paraId="3E42893E"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lastRenderedPageBreak/>
              <w:t>Site Inspection</w:t>
            </w:r>
          </w:p>
        </w:tc>
        <w:tc>
          <w:tcPr>
            <w:tcW w:w="969" w:type="dxa"/>
          </w:tcPr>
          <w:p w14:paraId="1997EAA4" w14:textId="3D6B208D" w:rsidR="00782E0B" w:rsidRPr="00A67277" w:rsidRDefault="00782E0B" w:rsidP="00782E0B">
            <w:pPr>
              <w:jc w:val="right"/>
              <w:rPr>
                <w:rFonts w:ascii="Arial" w:hAnsi="Arial" w:cs="Arial"/>
                <w:sz w:val="21"/>
                <w:szCs w:val="21"/>
              </w:rPr>
            </w:pPr>
            <w:r>
              <w:rPr>
                <w:rFonts w:ascii="Arial" w:hAnsi="Arial" w:cs="Arial"/>
                <w:sz w:val="21"/>
                <w:szCs w:val="21"/>
              </w:rPr>
              <w:t>73</w:t>
            </w:r>
          </w:p>
        </w:tc>
        <w:tc>
          <w:tcPr>
            <w:tcW w:w="3723" w:type="dxa"/>
          </w:tcPr>
          <w:p w14:paraId="74114441"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Inspeksi Lokasi</w:t>
            </w:r>
          </w:p>
        </w:tc>
        <w:tc>
          <w:tcPr>
            <w:tcW w:w="260" w:type="dxa"/>
          </w:tcPr>
          <w:p w14:paraId="55747809" w14:textId="77777777" w:rsidR="00782E0B" w:rsidRPr="00A67277" w:rsidRDefault="00782E0B" w:rsidP="00782E0B">
            <w:pPr>
              <w:rPr>
                <w:rFonts w:ascii="Arial" w:hAnsi="Arial" w:cs="Arial"/>
                <w:sz w:val="21"/>
                <w:szCs w:val="21"/>
              </w:rPr>
            </w:pPr>
          </w:p>
        </w:tc>
        <w:tc>
          <w:tcPr>
            <w:tcW w:w="969" w:type="dxa"/>
          </w:tcPr>
          <w:p w14:paraId="702DC603" w14:textId="10C8AED7" w:rsidR="00782E0B" w:rsidRPr="00A67277" w:rsidRDefault="00782E0B" w:rsidP="00782E0B">
            <w:pPr>
              <w:jc w:val="right"/>
              <w:rPr>
                <w:rFonts w:ascii="Arial" w:hAnsi="Arial" w:cs="Arial"/>
                <w:sz w:val="21"/>
                <w:szCs w:val="21"/>
              </w:rPr>
            </w:pPr>
            <w:r>
              <w:rPr>
                <w:rFonts w:ascii="Arial" w:hAnsi="Arial" w:cs="Arial"/>
                <w:sz w:val="21"/>
                <w:szCs w:val="21"/>
              </w:rPr>
              <w:t>73</w:t>
            </w:r>
          </w:p>
        </w:tc>
      </w:tr>
      <w:tr w:rsidR="00782E0B" w:rsidRPr="00A67277" w14:paraId="5A0211BE" w14:textId="77777777" w:rsidTr="00782E0B">
        <w:tc>
          <w:tcPr>
            <w:tcW w:w="3997" w:type="dxa"/>
          </w:tcPr>
          <w:p w14:paraId="03EC9172"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Access Right to GCA </w:t>
            </w:r>
          </w:p>
        </w:tc>
        <w:tc>
          <w:tcPr>
            <w:tcW w:w="969" w:type="dxa"/>
          </w:tcPr>
          <w:p w14:paraId="2594851A" w14:textId="315FC6BF" w:rsidR="00782E0B" w:rsidRPr="00A67277" w:rsidRDefault="00782E0B" w:rsidP="00782E0B">
            <w:pPr>
              <w:jc w:val="right"/>
              <w:rPr>
                <w:rFonts w:ascii="Arial" w:hAnsi="Arial" w:cs="Arial"/>
                <w:sz w:val="21"/>
                <w:szCs w:val="21"/>
              </w:rPr>
            </w:pPr>
            <w:r>
              <w:rPr>
                <w:rFonts w:ascii="Arial" w:hAnsi="Arial" w:cs="Arial"/>
                <w:sz w:val="21"/>
                <w:szCs w:val="21"/>
              </w:rPr>
              <w:t>75</w:t>
            </w:r>
          </w:p>
        </w:tc>
        <w:tc>
          <w:tcPr>
            <w:tcW w:w="3723" w:type="dxa"/>
          </w:tcPr>
          <w:p w14:paraId="4DC3033F"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 xml:space="preserve">Hak Akses PJPK </w:t>
            </w:r>
          </w:p>
        </w:tc>
        <w:tc>
          <w:tcPr>
            <w:tcW w:w="260" w:type="dxa"/>
          </w:tcPr>
          <w:p w14:paraId="4D6068B2" w14:textId="77777777" w:rsidR="00782E0B" w:rsidRPr="00A67277" w:rsidRDefault="00782E0B" w:rsidP="00782E0B">
            <w:pPr>
              <w:rPr>
                <w:rFonts w:ascii="Arial" w:hAnsi="Arial" w:cs="Arial"/>
                <w:sz w:val="21"/>
                <w:szCs w:val="21"/>
              </w:rPr>
            </w:pPr>
          </w:p>
        </w:tc>
        <w:tc>
          <w:tcPr>
            <w:tcW w:w="969" w:type="dxa"/>
          </w:tcPr>
          <w:p w14:paraId="069D4238" w14:textId="7DE83249" w:rsidR="00782E0B" w:rsidRPr="00A67277" w:rsidRDefault="00782E0B" w:rsidP="00782E0B">
            <w:pPr>
              <w:jc w:val="right"/>
              <w:rPr>
                <w:rFonts w:ascii="Arial" w:hAnsi="Arial" w:cs="Arial"/>
                <w:sz w:val="21"/>
                <w:szCs w:val="21"/>
              </w:rPr>
            </w:pPr>
            <w:r>
              <w:rPr>
                <w:rFonts w:ascii="Arial" w:hAnsi="Arial" w:cs="Arial"/>
                <w:sz w:val="21"/>
                <w:szCs w:val="21"/>
              </w:rPr>
              <w:t>75</w:t>
            </w:r>
          </w:p>
        </w:tc>
      </w:tr>
      <w:tr w:rsidR="00782E0B" w:rsidRPr="00A67277" w14:paraId="459A6DAC" w14:textId="77777777" w:rsidTr="00782E0B">
        <w:tc>
          <w:tcPr>
            <w:tcW w:w="3997" w:type="dxa"/>
          </w:tcPr>
          <w:p w14:paraId="1C6F9718"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Safety and Security Measures </w:t>
            </w:r>
          </w:p>
        </w:tc>
        <w:tc>
          <w:tcPr>
            <w:tcW w:w="969" w:type="dxa"/>
          </w:tcPr>
          <w:p w14:paraId="00042ADF" w14:textId="4FE82282" w:rsidR="00782E0B" w:rsidRPr="00A67277" w:rsidRDefault="00782E0B" w:rsidP="00782E0B">
            <w:pPr>
              <w:jc w:val="right"/>
              <w:rPr>
                <w:rFonts w:ascii="Arial" w:hAnsi="Arial" w:cs="Arial"/>
                <w:sz w:val="21"/>
                <w:szCs w:val="21"/>
              </w:rPr>
            </w:pPr>
            <w:r>
              <w:rPr>
                <w:rFonts w:ascii="Arial" w:hAnsi="Arial" w:cs="Arial"/>
                <w:sz w:val="21"/>
                <w:szCs w:val="21"/>
              </w:rPr>
              <w:t>75</w:t>
            </w:r>
          </w:p>
        </w:tc>
        <w:tc>
          <w:tcPr>
            <w:tcW w:w="3723" w:type="dxa"/>
          </w:tcPr>
          <w:p w14:paraId="3AED5480"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Upaya Keamanan dan Keselamatan</w:t>
            </w:r>
          </w:p>
        </w:tc>
        <w:tc>
          <w:tcPr>
            <w:tcW w:w="260" w:type="dxa"/>
          </w:tcPr>
          <w:p w14:paraId="3DCF81C7" w14:textId="77777777" w:rsidR="00782E0B" w:rsidRPr="00A67277" w:rsidRDefault="00782E0B" w:rsidP="00782E0B">
            <w:pPr>
              <w:rPr>
                <w:rFonts w:ascii="Arial" w:hAnsi="Arial" w:cs="Arial"/>
                <w:sz w:val="21"/>
                <w:szCs w:val="21"/>
              </w:rPr>
            </w:pPr>
          </w:p>
        </w:tc>
        <w:tc>
          <w:tcPr>
            <w:tcW w:w="969" w:type="dxa"/>
          </w:tcPr>
          <w:p w14:paraId="5CB2775F" w14:textId="4FDE25F6" w:rsidR="00782E0B" w:rsidRPr="00A67277" w:rsidRDefault="00782E0B" w:rsidP="00782E0B">
            <w:pPr>
              <w:jc w:val="right"/>
              <w:rPr>
                <w:rFonts w:ascii="Arial" w:hAnsi="Arial" w:cs="Arial"/>
                <w:sz w:val="21"/>
                <w:szCs w:val="21"/>
              </w:rPr>
            </w:pPr>
            <w:r>
              <w:rPr>
                <w:rFonts w:ascii="Arial" w:hAnsi="Arial" w:cs="Arial"/>
                <w:sz w:val="21"/>
                <w:szCs w:val="21"/>
              </w:rPr>
              <w:t>75</w:t>
            </w:r>
          </w:p>
        </w:tc>
      </w:tr>
      <w:tr w:rsidR="00782E0B" w:rsidRPr="00A67277" w14:paraId="1263D46C" w14:textId="77777777" w:rsidTr="00782E0B">
        <w:tc>
          <w:tcPr>
            <w:tcW w:w="3997" w:type="dxa"/>
          </w:tcPr>
          <w:p w14:paraId="506E4A7B"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Utilities at the Site </w:t>
            </w:r>
          </w:p>
        </w:tc>
        <w:tc>
          <w:tcPr>
            <w:tcW w:w="969" w:type="dxa"/>
          </w:tcPr>
          <w:p w14:paraId="322C3936" w14:textId="3DBABD01" w:rsidR="00782E0B" w:rsidRPr="00A67277" w:rsidRDefault="00782E0B" w:rsidP="00782E0B">
            <w:pPr>
              <w:jc w:val="right"/>
              <w:rPr>
                <w:rFonts w:ascii="Arial" w:hAnsi="Arial" w:cs="Arial"/>
                <w:sz w:val="21"/>
                <w:szCs w:val="21"/>
              </w:rPr>
            </w:pPr>
            <w:r>
              <w:rPr>
                <w:rFonts w:ascii="Arial" w:hAnsi="Arial" w:cs="Arial"/>
                <w:sz w:val="21"/>
                <w:szCs w:val="21"/>
              </w:rPr>
              <w:t>75</w:t>
            </w:r>
          </w:p>
        </w:tc>
        <w:tc>
          <w:tcPr>
            <w:tcW w:w="3723" w:type="dxa"/>
          </w:tcPr>
          <w:p w14:paraId="659B8F00" w14:textId="77777777" w:rsidR="00782E0B" w:rsidRPr="00A67277" w:rsidRDefault="00782E0B" w:rsidP="00782E0B">
            <w:pPr>
              <w:pStyle w:val="ListParagraph"/>
              <w:numPr>
                <w:ilvl w:val="1"/>
                <w:numId w:val="480"/>
              </w:numPr>
              <w:spacing w:line="240" w:lineRule="auto"/>
              <w:ind w:left="847" w:hanging="540"/>
              <w:jc w:val="left"/>
              <w:rPr>
                <w:rFonts w:cs="Arial"/>
                <w:lang w:val="id-ID"/>
              </w:rPr>
            </w:pPr>
            <w:r w:rsidRPr="00A67277">
              <w:rPr>
                <w:rFonts w:cs="Arial"/>
                <w:lang w:val="id-ID"/>
              </w:rPr>
              <w:t>Jaringan Utilitas di Lokasi</w:t>
            </w:r>
          </w:p>
        </w:tc>
        <w:tc>
          <w:tcPr>
            <w:tcW w:w="260" w:type="dxa"/>
          </w:tcPr>
          <w:p w14:paraId="1BC9F0A8" w14:textId="77777777" w:rsidR="00782E0B" w:rsidRPr="00A67277" w:rsidRDefault="00782E0B" w:rsidP="00782E0B">
            <w:pPr>
              <w:rPr>
                <w:rFonts w:ascii="Arial" w:hAnsi="Arial" w:cs="Arial"/>
                <w:sz w:val="21"/>
                <w:szCs w:val="21"/>
              </w:rPr>
            </w:pPr>
          </w:p>
        </w:tc>
        <w:tc>
          <w:tcPr>
            <w:tcW w:w="969" w:type="dxa"/>
          </w:tcPr>
          <w:p w14:paraId="2D2227F6" w14:textId="1863298F" w:rsidR="00782E0B" w:rsidRPr="00A67277" w:rsidRDefault="00782E0B" w:rsidP="00782E0B">
            <w:pPr>
              <w:jc w:val="right"/>
              <w:rPr>
                <w:rFonts w:ascii="Arial" w:hAnsi="Arial" w:cs="Arial"/>
                <w:sz w:val="21"/>
                <w:szCs w:val="21"/>
              </w:rPr>
            </w:pPr>
            <w:r>
              <w:rPr>
                <w:rFonts w:ascii="Arial" w:hAnsi="Arial" w:cs="Arial"/>
                <w:sz w:val="21"/>
                <w:szCs w:val="21"/>
              </w:rPr>
              <w:t>75</w:t>
            </w:r>
          </w:p>
        </w:tc>
      </w:tr>
      <w:tr w:rsidR="00DD1A2C" w:rsidRPr="00A67277" w14:paraId="69FE1300" w14:textId="77777777" w:rsidTr="00782E0B">
        <w:tc>
          <w:tcPr>
            <w:tcW w:w="3997" w:type="dxa"/>
          </w:tcPr>
          <w:p w14:paraId="1AD8F4B9" w14:textId="77777777" w:rsidR="00DD1A2C" w:rsidRPr="00A67277" w:rsidRDefault="00DD1A2C" w:rsidP="00DD1A2C">
            <w:pPr>
              <w:rPr>
                <w:rFonts w:ascii="Arial" w:hAnsi="Arial" w:cs="Arial"/>
                <w:sz w:val="21"/>
                <w:szCs w:val="21"/>
              </w:rPr>
            </w:pPr>
          </w:p>
        </w:tc>
        <w:tc>
          <w:tcPr>
            <w:tcW w:w="969" w:type="dxa"/>
          </w:tcPr>
          <w:p w14:paraId="10312D9C" w14:textId="77777777" w:rsidR="00DD1A2C" w:rsidRPr="00A67277" w:rsidRDefault="00DD1A2C" w:rsidP="00DD1A2C">
            <w:pPr>
              <w:jc w:val="right"/>
              <w:rPr>
                <w:rFonts w:ascii="Arial" w:hAnsi="Arial" w:cs="Arial"/>
                <w:sz w:val="21"/>
                <w:szCs w:val="21"/>
              </w:rPr>
            </w:pPr>
          </w:p>
        </w:tc>
        <w:tc>
          <w:tcPr>
            <w:tcW w:w="3723" w:type="dxa"/>
          </w:tcPr>
          <w:p w14:paraId="49AF6953" w14:textId="77777777" w:rsidR="00DD1A2C" w:rsidRPr="00A67277" w:rsidRDefault="00DD1A2C" w:rsidP="00DD1A2C">
            <w:pPr>
              <w:rPr>
                <w:rFonts w:ascii="Arial" w:hAnsi="Arial" w:cs="Arial"/>
                <w:sz w:val="21"/>
                <w:szCs w:val="21"/>
                <w:lang w:val="id-ID"/>
              </w:rPr>
            </w:pPr>
          </w:p>
        </w:tc>
        <w:tc>
          <w:tcPr>
            <w:tcW w:w="260" w:type="dxa"/>
          </w:tcPr>
          <w:p w14:paraId="69688312" w14:textId="77777777" w:rsidR="00DD1A2C" w:rsidRPr="00A67277" w:rsidRDefault="00DD1A2C" w:rsidP="00DD1A2C">
            <w:pPr>
              <w:rPr>
                <w:rFonts w:ascii="Arial" w:hAnsi="Arial" w:cs="Arial"/>
                <w:sz w:val="21"/>
                <w:szCs w:val="21"/>
              </w:rPr>
            </w:pPr>
          </w:p>
        </w:tc>
        <w:tc>
          <w:tcPr>
            <w:tcW w:w="969" w:type="dxa"/>
          </w:tcPr>
          <w:p w14:paraId="69793549" w14:textId="77777777" w:rsidR="00DD1A2C" w:rsidRPr="00A67277" w:rsidRDefault="00DD1A2C" w:rsidP="00DD1A2C">
            <w:pPr>
              <w:jc w:val="right"/>
              <w:rPr>
                <w:rFonts w:ascii="Arial" w:hAnsi="Arial" w:cs="Arial"/>
                <w:sz w:val="21"/>
                <w:szCs w:val="21"/>
              </w:rPr>
            </w:pPr>
          </w:p>
        </w:tc>
      </w:tr>
      <w:tr w:rsidR="00782E0B" w:rsidRPr="00A67277" w14:paraId="2FED73FC" w14:textId="77777777" w:rsidTr="00782E0B">
        <w:tc>
          <w:tcPr>
            <w:tcW w:w="3997" w:type="dxa"/>
          </w:tcPr>
          <w:p w14:paraId="532BCCE7"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Development and Construction of The Facility</w:t>
            </w:r>
          </w:p>
        </w:tc>
        <w:tc>
          <w:tcPr>
            <w:tcW w:w="969" w:type="dxa"/>
          </w:tcPr>
          <w:p w14:paraId="526094F4" w14:textId="35737BE0" w:rsidR="00782E0B" w:rsidRPr="00A67277" w:rsidRDefault="00782E0B" w:rsidP="00782E0B">
            <w:pPr>
              <w:jc w:val="right"/>
              <w:rPr>
                <w:rFonts w:ascii="Arial" w:hAnsi="Arial" w:cs="Arial"/>
                <w:sz w:val="21"/>
                <w:szCs w:val="21"/>
              </w:rPr>
            </w:pPr>
            <w:r>
              <w:rPr>
                <w:rFonts w:ascii="Arial" w:hAnsi="Arial" w:cs="Arial"/>
                <w:sz w:val="21"/>
                <w:szCs w:val="21"/>
              </w:rPr>
              <w:t>76</w:t>
            </w:r>
          </w:p>
        </w:tc>
        <w:tc>
          <w:tcPr>
            <w:tcW w:w="3723" w:type="dxa"/>
          </w:tcPr>
          <w:p w14:paraId="5E3F4914" w14:textId="77777777" w:rsidR="00782E0B" w:rsidRPr="00A67277" w:rsidRDefault="00782E0B" w:rsidP="00782E0B">
            <w:pPr>
              <w:pStyle w:val="ListParagraph"/>
              <w:numPr>
                <w:ilvl w:val="0"/>
                <w:numId w:val="479"/>
              </w:numPr>
              <w:spacing w:line="240" w:lineRule="auto"/>
              <w:ind w:left="301" w:hanging="301"/>
              <w:jc w:val="left"/>
              <w:rPr>
                <w:rFonts w:cs="Arial"/>
                <w:b/>
                <w:lang w:val="id-ID"/>
              </w:rPr>
            </w:pPr>
            <w:r w:rsidRPr="00A67277">
              <w:rPr>
                <w:rFonts w:cs="Arial"/>
                <w:b/>
                <w:lang w:val="id-ID"/>
              </w:rPr>
              <w:t xml:space="preserve">Pembangunan dan Konstruksi </w:t>
            </w:r>
            <w:r w:rsidRPr="00A67277">
              <w:rPr>
                <w:rFonts w:cs="Arial"/>
                <w:b/>
                <w:lang w:val="en-US"/>
              </w:rPr>
              <w:t>Fasilitas</w:t>
            </w:r>
          </w:p>
        </w:tc>
        <w:tc>
          <w:tcPr>
            <w:tcW w:w="260" w:type="dxa"/>
          </w:tcPr>
          <w:p w14:paraId="3CE36872" w14:textId="77777777" w:rsidR="00782E0B" w:rsidRPr="00A67277" w:rsidRDefault="00782E0B" w:rsidP="00782E0B">
            <w:pPr>
              <w:rPr>
                <w:rFonts w:ascii="Arial" w:hAnsi="Arial" w:cs="Arial"/>
                <w:sz w:val="21"/>
                <w:szCs w:val="21"/>
              </w:rPr>
            </w:pPr>
          </w:p>
        </w:tc>
        <w:tc>
          <w:tcPr>
            <w:tcW w:w="969" w:type="dxa"/>
          </w:tcPr>
          <w:p w14:paraId="7B2AB1A1" w14:textId="5D64CEB3" w:rsidR="00782E0B" w:rsidRPr="00A67277" w:rsidRDefault="00782E0B" w:rsidP="00782E0B">
            <w:pPr>
              <w:jc w:val="right"/>
              <w:rPr>
                <w:rFonts w:ascii="Arial" w:hAnsi="Arial" w:cs="Arial"/>
                <w:sz w:val="21"/>
                <w:szCs w:val="21"/>
              </w:rPr>
            </w:pPr>
            <w:r>
              <w:rPr>
                <w:rFonts w:ascii="Arial" w:hAnsi="Arial" w:cs="Arial"/>
                <w:sz w:val="21"/>
                <w:szCs w:val="21"/>
              </w:rPr>
              <w:t>76</w:t>
            </w:r>
          </w:p>
        </w:tc>
      </w:tr>
      <w:tr w:rsidR="00782E0B" w:rsidRPr="00A67277" w14:paraId="774CDE69" w14:textId="77777777" w:rsidTr="00782E0B">
        <w:tc>
          <w:tcPr>
            <w:tcW w:w="3997" w:type="dxa"/>
          </w:tcPr>
          <w:p w14:paraId="4387662F"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Stage II Performance Bond </w:t>
            </w:r>
          </w:p>
        </w:tc>
        <w:tc>
          <w:tcPr>
            <w:tcW w:w="969" w:type="dxa"/>
          </w:tcPr>
          <w:p w14:paraId="3C67F889" w14:textId="590FF289" w:rsidR="00782E0B" w:rsidRPr="00A67277" w:rsidRDefault="00782E0B" w:rsidP="00782E0B">
            <w:pPr>
              <w:jc w:val="right"/>
              <w:rPr>
                <w:rFonts w:ascii="Arial" w:hAnsi="Arial" w:cs="Arial"/>
                <w:sz w:val="21"/>
                <w:szCs w:val="21"/>
              </w:rPr>
            </w:pPr>
            <w:r>
              <w:rPr>
                <w:rFonts w:ascii="Arial" w:hAnsi="Arial" w:cs="Arial"/>
                <w:sz w:val="21"/>
                <w:szCs w:val="21"/>
              </w:rPr>
              <w:t>76</w:t>
            </w:r>
          </w:p>
        </w:tc>
        <w:tc>
          <w:tcPr>
            <w:tcW w:w="3723" w:type="dxa"/>
          </w:tcPr>
          <w:p w14:paraId="7BB662FA"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Jaminan Pelaksanaan Tahap II</w:t>
            </w:r>
          </w:p>
        </w:tc>
        <w:tc>
          <w:tcPr>
            <w:tcW w:w="260" w:type="dxa"/>
          </w:tcPr>
          <w:p w14:paraId="1F000E67" w14:textId="77777777" w:rsidR="00782E0B" w:rsidRPr="00A67277" w:rsidRDefault="00782E0B" w:rsidP="00782E0B">
            <w:pPr>
              <w:rPr>
                <w:rFonts w:ascii="Arial" w:hAnsi="Arial" w:cs="Arial"/>
                <w:sz w:val="21"/>
                <w:szCs w:val="21"/>
              </w:rPr>
            </w:pPr>
          </w:p>
        </w:tc>
        <w:tc>
          <w:tcPr>
            <w:tcW w:w="969" w:type="dxa"/>
          </w:tcPr>
          <w:p w14:paraId="60354960" w14:textId="7F5A8410" w:rsidR="00782E0B" w:rsidRPr="00A67277" w:rsidRDefault="00782E0B" w:rsidP="00782E0B">
            <w:pPr>
              <w:jc w:val="right"/>
              <w:rPr>
                <w:rFonts w:ascii="Arial" w:hAnsi="Arial" w:cs="Arial"/>
                <w:sz w:val="21"/>
                <w:szCs w:val="21"/>
              </w:rPr>
            </w:pPr>
            <w:r>
              <w:rPr>
                <w:rFonts w:ascii="Arial" w:hAnsi="Arial" w:cs="Arial"/>
                <w:sz w:val="21"/>
                <w:szCs w:val="21"/>
              </w:rPr>
              <w:t>76</w:t>
            </w:r>
          </w:p>
        </w:tc>
      </w:tr>
      <w:tr w:rsidR="00782E0B" w:rsidRPr="00A67277" w14:paraId="5275F5CB" w14:textId="77777777" w:rsidTr="00782E0B">
        <w:tc>
          <w:tcPr>
            <w:tcW w:w="3997" w:type="dxa"/>
          </w:tcPr>
          <w:p w14:paraId="5AFD499F"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Independent Supervisory Consultant</w:t>
            </w:r>
          </w:p>
        </w:tc>
        <w:tc>
          <w:tcPr>
            <w:tcW w:w="969" w:type="dxa"/>
          </w:tcPr>
          <w:p w14:paraId="41FE2CC2" w14:textId="2F434A08" w:rsidR="00782E0B" w:rsidRPr="00A67277" w:rsidRDefault="00782E0B" w:rsidP="00782E0B">
            <w:pPr>
              <w:jc w:val="right"/>
              <w:rPr>
                <w:rFonts w:ascii="Arial" w:hAnsi="Arial" w:cs="Arial"/>
                <w:sz w:val="21"/>
                <w:szCs w:val="21"/>
              </w:rPr>
            </w:pPr>
            <w:r>
              <w:rPr>
                <w:rFonts w:ascii="Arial" w:hAnsi="Arial" w:cs="Arial"/>
                <w:sz w:val="21"/>
                <w:szCs w:val="21"/>
              </w:rPr>
              <w:t>80</w:t>
            </w:r>
          </w:p>
        </w:tc>
        <w:tc>
          <w:tcPr>
            <w:tcW w:w="3723" w:type="dxa"/>
          </w:tcPr>
          <w:p w14:paraId="4F07D9B4"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Konsultan Pengawas Independen</w:t>
            </w:r>
          </w:p>
        </w:tc>
        <w:tc>
          <w:tcPr>
            <w:tcW w:w="260" w:type="dxa"/>
          </w:tcPr>
          <w:p w14:paraId="7B37B650" w14:textId="77777777" w:rsidR="00782E0B" w:rsidRPr="00A67277" w:rsidRDefault="00782E0B" w:rsidP="00782E0B">
            <w:pPr>
              <w:rPr>
                <w:rFonts w:ascii="Arial" w:hAnsi="Arial" w:cs="Arial"/>
                <w:sz w:val="21"/>
                <w:szCs w:val="21"/>
              </w:rPr>
            </w:pPr>
          </w:p>
        </w:tc>
        <w:tc>
          <w:tcPr>
            <w:tcW w:w="969" w:type="dxa"/>
          </w:tcPr>
          <w:p w14:paraId="235A18CB" w14:textId="4E894E40" w:rsidR="00782E0B" w:rsidRPr="00A67277" w:rsidRDefault="00782E0B" w:rsidP="00782E0B">
            <w:pPr>
              <w:jc w:val="right"/>
              <w:rPr>
                <w:rFonts w:ascii="Arial" w:hAnsi="Arial" w:cs="Arial"/>
                <w:sz w:val="21"/>
                <w:szCs w:val="21"/>
              </w:rPr>
            </w:pPr>
            <w:r>
              <w:rPr>
                <w:rFonts w:ascii="Arial" w:hAnsi="Arial" w:cs="Arial"/>
                <w:sz w:val="21"/>
                <w:szCs w:val="21"/>
              </w:rPr>
              <w:t>80</w:t>
            </w:r>
          </w:p>
        </w:tc>
      </w:tr>
      <w:tr w:rsidR="00782E0B" w:rsidRPr="00A67277" w14:paraId="5DE29BD4" w14:textId="77777777" w:rsidTr="00782E0B">
        <w:tc>
          <w:tcPr>
            <w:tcW w:w="3997" w:type="dxa"/>
          </w:tcPr>
          <w:p w14:paraId="1263429E"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General Obligations of IBE with respect to Construction of the Facility </w:t>
            </w:r>
          </w:p>
        </w:tc>
        <w:tc>
          <w:tcPr>
            <w:tcW w:w="969" w:type="dxa"/>
          </w:tcPr>
          <w:p w14:paraId="04FF6106" w14:textId="00ABD34B" w:rsidR="00782E0B" w:rsidRPr="00A67277" w:rsidRDefault="00782E0B" w:rsidP="00782E0B">
            <w:pPr>
              <w:jc w:val="right"/>
              <w:rPr>
                <w:rFonts w:ascii="Arial" w:hAnsi="Arial" w:cs="Arial"/>
                <w:sz w:val="21"/>
                <w:szCs w:val="21"/>
              </w:rPr>
            </w:pPr>
            <w:r>
              <w:rPr>
                <w:rFonts w:ascii="Arial" w:hAnsi="Arial" w:cs="Arial"/>
                <w:sz w:val="21"/>
                <w:szCs w:val="21"/>
              </w:rPr>
              <w:t>82</w:t>
            </w:r>
          </w:p>
        </w:tc>
        <w:tc>
          <w:tcPr>
            <w:tcW w:w="3723" w:type="dxa"/>
          </w:tcPr>
          <w:p w14:paraId="5439CA71"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 xml:space="preserve">Kewajiban Umum BUP sehubungan dengan Pembangunan Fasilitas </w:t>
            </w:r>
          </w:p>
        </w:tc>
        <w:tc>
          <w:tcPr>
            <w:tcW w:w="260" w:type="dxa"/>
          </w:tcPr>
          <w:p w14:paraId="481831C8" w14:textId="77777777" w:rsidR="00782E0B" w:rsidRPr="00A67277" w:rsidRDefault="00782E0B" w:rsidP="00782E0B">
            <w:pPr>
              <w:rPr>
                <w:rFonts w:ascii="Arial" w:hAnsi="Arial" w:cs="Arial"/>
                <w:sz w:val="21"/>
                <w:szCs w:val="21"/>
              </w:rPr>
            </w:pPr>
          </w:p>
        </w:tc>
        <w:tc>
          <w:tcPr>
            <w:tcW w:w="969" w:type="dxa"/>
          </w:tcPr>
          <w:p w14:paraId="633AB29A" w14:textId="048BD195" w:rsidR="00782E0B" w:rsidRPr="00A67277" w:rsidRDefault="00782E0B" w:rsidP="00782E0B">
            <w:pPr>
              <w:jc w:val="right"/>
              <w:rPr>
                <w:rFonts w:ascii="Arial" w:hAnsi="Arial" w:cs="Arial"/>
                <w:sz w:val="21"/>
                <w:szCs w:val="21"/>
              </w:rPr>
            </w:pPr>
            <w:r>
              <w:rPr>
                <w:rFonts w:ascii="Arial" w:hAnsi="Arial" w:cs="Arial"/>
                <w:sz w:val="21"/>
                <w:szCs w:val="21"/>
              </w:rPr>
              <w:t>82</w:t>
            </w:r>
          </w:p>
        </w:tc>
      </w:tr>
      <w:tr w:rsidR="00782E0B" w:rsidRPr="00A67277" w14:paraId="70179315" w14:textId="77777777" w:rsidTr="00782E0B">
        <w:tc>
          <w:tcPr>
            <w:tcW w:w="3997" w:type="dxa"/>
          </w:tcPr>
          <w:p w14:paraId="598104B5"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Design Document</w:t>
            </w:r>
          </w:p>
        </w:tc>
        <w:tc>
          <w:tcPr>
            <w:tcW w:w="969" w:type="dxa"/>
          </w:tcPr>
          <w:p w14:paraId="459E74C9" w14:textId="4D97F7FC" w:rsidR="00782E0B" w:rsidRPr="00A67277" w:rsidRDefault="00782E0B" w:rsidP="00782E0B">
            <w:pPr>
              <w:jc w:val="right"/>
              <w:rPr>
                <w:rFonts w:ascii="Arial" w:hAnsi="Arial" w:cs="Arial"/>
                <w:sz w:val="21"/>
                <w:szCs w:val="21"/>
              </w:rPr>
            </w:pPr>
            <w:r>
              <w:rPr>
                <w:rFonts w:ascii="Arial" w:hAnsi="Arial" w:cs="Arial"/>
                <w:sz w:val="21"/>
                <w:szCs w:val="21"/>
              </w:rPr>
              <w:t>84</w:t>
            </w:r>
          </w:p>
        </w:tc>
        <w:tc>
          <w:tcPr>
            <w:tcW w:w="3723" w:type="dxa"/>
          </w:tcPr>
          <w:p w14:paraId="6AF32579"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en-US"/>
              </w:rPr>
              <w:t xml:space="preserve">Dokumen </w:t>
            </w:r>
            <w:r w:rsidRPr="00A67277">
              <w:rPr>
                <w:rFonts w:cs="Arial"/>
                <w:lang w:val="id-ID"/>
              </w:rPr>
              <w:t xml:space="preserve">Desain </w:t>
            </w:r>
          </w:p>
        </w:tc>
        <w:tc>
          <w:tcPr>
            <w:tcW w:w="260" w:type="dxa"/>
          </w:tcPr>
          <w:p w14:paraId="0CF186BA" w14:textId="77777777" w:rsidR="00782E0B" w:rsidRPr="00A67277" w:rsidRDefault="00782E0B" w:rsidP="00782E0B">
            <w:pPr>
              <w:rPr>
                <w:rFonts w:ascii="Arial" w:hAnsi="Arial" w:cs="Arial"/>
                <w:sz w:val="21"/>
                <w:szCs w:val="21"/>
              </w:rPr>
            </w:pPr>
          </w:p>
        </w:tc>
        <w:tc>
          <w:tcPr>
            <w:tcW w:w="969" w:type="dxa"/>
          </w:tcPr>
          <w:p w14:paraId="28CA331C" w14:textId="02F3FCED" w:rsidR="00782E0B" w:rsidRPr="00A67277" w:rsidRDefault="00782E0B" w:rsidP="00782E0B">
            <w:pPr>
              <w:jc w:val="right"/>
              <w:rPr>
                <w:rFonts w:ascii="Arial" w:hAnsi="Arial" w:cs="Arial"/>
                <w:sz w:val="21"/>
                <w:szCs w:val="21"/>
              </w:rPr>
            </w:pPr>
            <w:r>
              <w:rPr>
                <w:rFonts w:ascii="Arial" w:hAnsi="Arial" w:cs="Arial"/>
                <w:sz w:val="21"/>
                <w:szCs w:val="21"/>
              </w:rPr>
              <w:t>84</w:t>
            </w:r>
          </w:p>
        </w:tc>
      </w:tr>
      <w:tr w:rsidR="00782E0B" w:rsidRPr="00A67277" w14:paraId="68643ED7" w14:textId="77777777" w:rsidTr="00782E0B">
        <w:tc>
          <w:tcPr>
            <w:tcW w:w="3997" w:type="dxa"/>
          </w:tcPr>
          <w:p w14:paraId="53728BA2"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Operation and Maintenance Manual </w:t>
            </w:r>
          </w:p>
        </w:tc>
        <w:tc>
          <w:tcPr>
            <w:tcW w:w="969" w:type="dxa"/>
          </w:tcPr>
          <w:p w14:paraId="6C639B31" w14:textId="6858AA0A" w:rsidR="00782E0B" w:rsidRPr="00A67277" w:rsidRDefault="00782E0B" w:rsidP="00782E0B">
            <w:pPr>
              <w:jc w:val="right"/>
              <w:rPr>
                <w:rFonts w:ascii="Arial" w:hAnsi="Arial" w:cs="Arial"/>
                <w:sz w:val="21"/>
                <w:szCs w:val="21"/>
              </w:rPr>
            </w:pPr>
            <w:r>
              <w:rPr>
                <w:rFonts w:ascii="Arial" w:hAnsi="Arial" w:cs="Arial"/>
                <w:sz w:val="21"/>
                <w:szCs w:val="21"/>
              </w:rPr>
              <w:t>88</w:t>
            </w:r>
          </w:p>
        </w:tc>
        <w:tc>
          <w:tcPr>
            <w:tcW w:w="3723" w:type="dxa"/>
          </w:tcPr>
          <w:p w14:paraId="4445A2BB"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Panduan Operasi dan Pemeliharaan</w:t>
            </w:r>
          </w:p>
        </w:tc>
        <w:tc>
          <w:tcPr>
            <w:tcW w:w="260" w:type="dxa"/>
          </w:tcPr>
          <w:p w14:paraId="3E80CA8F" w14:textId="77777777" w:rsidR="00782E0B" w:rsidRPr="00A67277" w:rsidRDefault="00782E0B" w:rsidP="00782E0B">
            <w:pPr>
              <w:rPr>
                <w:rFonts w:ascii="Arial" w:hAnsi="Arial" w:cs="Arial"/>
                <w:sz w:val="21"/>
                <w:szCs w:val="21"/>
              </w:rPr>
            </w:pPr>
          </w:p>
        </w:tc>
        <w:tc>
          <w:tcPr>
            <w:tcW w:w="969" w:type="dxa"/>
          </w:tcPr>
          <w:p w14:paraId="6DE795A1" w14:textId="653AC1A0" w:rsidR="00782E0B" w:rsidRPr="00A67277" w:rsidRDefault="00782E0B" w:rsidP="00782E0B">
            <w:pPr>
              <w:jc w:val="right"/>
              <w:rPr>
                <w:rFonts w:ascii="Arial" w:hAnsi="Arial" w:cs="Arial"/>
                <w:sz w:val="21"/>
                <w:szCs w:val="21"/>
              </w:rPr>
            </w:pPr>
            <w:r>
              <w:rPr>
                <w:rFonts w:ascii="Arial" w:hAnsi="Arial" w:cs="Arial"/>
                <w:sz w:val="21"/>
                <w:szCs w:val="21"/>
              </w:rPr>
              <w:t>88</w:t>
            </w:r>
          </w:p>
        </w:tc>
      </w:tr>
      <w:tr w:rsidR="00782E0B" w:rsidRPr="00A67277" w14:paraId="0343FF92" w14:textId="77777777" w:rsidTr="00782E0B">
        <w:tc>
          <w:tcPr>
            <w:tcW w:w="3997" w:type="dxa"/>
          </w:tcPr>
          <w:p w14:paraId="68CBB9F6"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 xml:space="preserve">Asset Register </w:t>
            </w:r>
          </w:p>
        </w:tc>
        <w:tc>
          <w:tcPr>
            <w:tcW w:w="969" w:type="dxa"/>
          </w:tcPr>
          <w:p w14:paraId="6AA9F5DF" w14:textId="49F29F65" w:rsidR="00782E0B" w:rsidRPr="00A67277" w:rsidRDefault="00782E0B" w:rsidP="00782E0B">
            <w:pPr>
              <w:jc w:val="right"/>
              <w:rPr>
                <w:rFonts w:ascii="Arial" w:hAnsi="Arial" w:cs="Arial"/>
                <w:sz w:val="21"/>
                <w:szCs w:val="21"/>
              </w:rPr>
            </w:pPr>
            <w:r>
              <w:rPr>
                <w:rFonts w:ascii="Arial" w:hAnsi="Arial" w:cs="Arial"/>
                <w:sz w:val="21"/>
                <w:szCs w:val="21"/>
              </w:rPr>
              <w:t>90</w:t>
            </w:r>
          </w:p>
        </w:tc>
        <w:tc>
          <w:tcPr>
            <w:tcW w:w="3723" w:type="dxa"/>
          </w:tcPr>
          <w:p w14:paraId="154A4E3F"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Daftar Aset</w:t>
            </w:r>
          </w:p>
        </w:tc>
        <w:tc>
          <w:tcPr>
            <w:tcW w:w="260" w:type="dxa"/>
          </w:tcPr>
          <w:p w14:paraId="5EA87F62" w14:textId="77777777" w:rsidR="00782E0B" w:rsidRPr="00A67277" w:rsidRDefault="00782E0B" w:rsidP="00782E0B">
            <w:pPr>
              <w:rPr>
                <w:rFonts w:ascii="Arial" w:hAnsi="Arial" w:cs="Arial"/>
                <w:sz w:val="21"/>
                <w:szCs w:val="21"/>
              </w:rPr>
            </w:pPr>
          </w:p>
        </w:tc>
        <w:tc>
          <w:tcPr>
            <w:tcW w:w="969" w:type="dxa"/>
          </w:tcPr>
          <w:p w14:paraId="012BAACC" w14:textId="1A22F371" w:rsidR="00782E0B" w:rsidRPr="00A67277" w:rsidRDefault="00782E0B" w:rsidP="00782E0B">
            <w:pPr>
              <w:jc w:val="right"/>
              <w:rPr>
                <w:rFonts w:ascii="Arial" w:hAnsi="Arial" w:cs="Arial"/>
                <w:sz w:val="21"/>
                <w:szCs w:val="21"/>
              </w:rPr>
            </w:pPr>
            <w:r>
              <w:rPr>
                <w:rFonts w:ascii="Arial" w:hAnsi="Arial" w:cs="Arial"/>
                <w:sz w:val="21"/>
                <w:szCs w:val="21"/>
              </w:rPr>
              <w:t>90</w:t>
            </w:r>
          </w:p>
        </w:tc>
      </w:tr>
      <w:tr w:rsidR="00782E0B" w:rsidRPr="00A67277" w14:paraId="1179523C" w14:textId="77777777" w:rsidTr="00782E0B">
        <w:tc>
          <w:tcPr>
            <w:tcW w:w="3997" w:type="dxa"/>
          </w:tcPr>
          <w:p w14:paraId="62B04500" w14:textId="77777777" w:rsidR="00782E0B" w:rsidRPr="00A67277" w:rsidRDefault="00782E0B" w:rsidP="00782E0B">
            <w:pPr>
              <w:pStyle w:val="ListParagraph"/>
              <w:numPr>
                <w:ilvl w:val="1"/>
                <w:numId w:val="478"/>
              </w:numPr>
              <w:spacing w:line="240" w:lineRule="auto"/>
              <w:ind w:left="882" w:hanging="540"/>
              <w:jc w:val="left"/>
              <w:rPr>
                <w:rFonts w:cs="Arial"/>
              </w:rPr>
            </w:pPr>
            <w:r w:rsidRPr="00A67277">
              <w:rPr>
                <w:rFonts w:cs="Arial"/>
              </w:rPr>
              <w:t>Disclaimer</w:t>
            </w:r>
          </w:p>
        </w:tc>
        <w:tc>
          <w:tcPr>
            <w:tcW w:w="969" w:type="dxa"/>
          </w:tcPr>
          <w:p w14:paraId="1F5408D9" w14:textId="6D532208" w:rsidR="00782E0B" w:rsidRPr="00A67277" w:rsidRDefault="00782E0B" w:rsidP="00782E0B">
            <w:pPr>
              <w:jc w:val="right"/>
              <w:rPr>
                <w:rFonts w:ascii="Arial" w:hAnsi="Arial" w:cs="Arial"/>
                <w:sz w:val="21"/>
                <w:szCs w:val="21"/>
              </w:rPr>
            </w:pPr>
            <w:r>
              <w:rPr>
                <w:rFonts w:ascii="Arial" w:hAnsi="Arial" w:cs="Arial"/>
                <w:sz w:val="21"/>
                <w:szCs w:val="21"/>
              </w:rPr>
              <w:t>92</w:t>
            </w:r>
          </w:p>
        </w:tc>
        <w:tc>
          <w:tcPr>
            <w:tcW w:w="3723" w:type="dxa"/>
          </w:tcPr>
          <w:p w14:paraId="75E43104"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Penyangkalan</w:t>
            </w:r>
          </w:p>
        </w:tc>
        <w:tc>
          <w:tcPr>
            <w:tcW w:w="260" w:type="dxa"/>
          </w:tcPr>
          <w:p w14:paraId="4E394B88" w14:textId="77777777" w:rsidR="00782E0B" w:rsidRPr="00A67277" w:rsidRDefault="00782E0B" w:rsidP="00782E0B">
            <w:pPr>
              <w:rPr>
                <w:rFonts w:ascii="Arial" w:hAnsi="Arial" w:cs="Arial"/>
                <w:sz w:val="21"/>
                <w:szCs w:val="21"/>
              </w:rPr>
            </w:pPr>
          </w:p>
        </w:tc>
        <w:tc>
          <w:tcPr>
            <w:tcW w:w="969" w:type="dxa"/>
          </w:tcPr>
          <w:p w14:paraId="07137B99" w14:textId="49E1F823" w:rsidR="00782E0B" w:rsidRPr="00A67277" w:rsidRDefault="00782E0B" w:rsidP="00782E0B">
            <w:pPr>
              <w:jc w:val="right"/>
              <w:rPr>
                <w:rFonts w:ascii="Arial" w:hAnsi="Arial" w:cs="Arial"/>
                <w:sz w:val="21"/>
                <w:szCs w:val="21"/>
              </w:rPr>
            </w:pPr>
            <w:r>
              <w:rPr>
                <w:rFonts w:ascii="Arial" w:hAnsi="Arial" w:cs="Arial"/>
                <w:sz w:val="21"/>
                <w:szCs w:val="21"/>
              </w:rPr>
              <w:t>92</w:t>
            </w:r>
          </w:p>
        </w:tc>
      </w:tr>
      <w:tr w:rsidR="00DD1A2C" w:rsidRPr="00A67277" w14:paraId="75756E98" w14:textId="77777777" w:rsidTr="00782E0B">
        <w:tc>
          <w:tcPr>
            <w:tcW w:w="3997" w:type="dxa"/>
          </w:tcPr>
          <w:p w14:paraId="76547D5E" w14:textId="77777777" w:rsidR="00DD1A2C" w:rsidRPr="00A67277" w:rsidRDefault="00DD1A2C" w:rsidP="00DD1A2C">
            <w:pPr>
              <w:rPr>
                <w:rFonts w:ascii="Arial" w:hAnsi="Arial" w:cs="Arial"/>
                <w:sz w:val="21"/>
                <w:szCs w:val="21"/>
              </w:rPr>
            </w:pPr>
          </w:p>
        </w:tc>
        <w:tc>
          <w:tcPr>
            <w:tcW w:w="969" w:type="dxa"/>
          </w:tcPr>
          <w:p w14:paraId="225A7A7C" w14:textId="77777777" w:rsidR="00DD1A2C" w:rsidRPr="00A67277" w:rsidRDefault="00DD1A2C" w:rsidP="00DD1A2C">
            <w:pPr>
              <w:jc w:val="right"/>
              <w:rPr>
                <w:rFonts w:ascii="Arial" w:hAnsi="Arial" w:cs="Arial"/>
                <w:sz w:val="21"/>
                <w:szCs w:val="21"/>
              </w:rPr>
            </w:pPr>
          </w:p>
        </w:tc>
        <w:tc>
          <w:tcPr>
            <w:tcW w:w="3723" w:type="dxa"/>
          </w:tcPr>
          <w:p w14:paraId="041999ED" w14:textId="77777777" w:rsidR="00DD1A2C" w:rsidRPr="00A67277" w:rsidRDefault="00DD1A2C" w:rsidP="00DD1A2C">
            <w:pPr>
              <w:rPr>
                <w:rFonts w:ascii="Arial" w:hAnsi="Arial" w:cs="Arial"/>
                <w:sz w:val="21"/>
                <w:szCs w:val="21"/>
                <w:lang w:val="id-ID"/>
              </w:rPr>
            </w:pPr>
          </w:p>
        </w:tc>
        <w:tc>
          <w:tcPr>
            <w:tcW w:w="260" w:type="dxa"/>
          </w:tcPr>
          <w:p w14:paraId="6532D962" w14:textId="77777777" w:rsidR="00DD1A2C" w:rsidRPr="00A67277" w:rsidRDefault="00DD1A2C" w:rsidP="00DD1A2C">
            <w:pPr>
              <w:rPr>
                <w:rFonts w:ascii="Arial" w:hAnsi="Arial" w:cs="Arial"/>
                <w:sz w:val="21"/>
                <w:szCs w:val="21"/>
              </w:rPr>
            </w:pPr>
          </w:p>
        </w:tc>
        <w:tc>
          <w:tcPr>
            <w:tcW w:w="969" w:type="dxa"/>
          </w:tcPr>
          <w:p w14:paraId="6ACA7EF5" w14:textId="77777777" w:rsidR="00DD1A2C" w:rsidRPr="00A67277" w:rsidRDefault="00DD1A2C" w:rsidP="00DD1A2C">
            <w:pPr>
              <w:jc w:val="right"/>
              <w:rPr>
                <w:rFonts w:ascii="Arial" w:hAnsi="Arial" w:cs="Arial"/>
                <w:sz w:val="21"/>
                <w:szCs w:val="21"/>
              </w:rPr>
            </w:pPr>
          </w:p>
        </w:tc>
      </w:tr>
      <w:tr w:rsidR="00782E0B" w:rsidRPr="00A67277" w14:paraId="2862CBAC" w14:textId="77777777" w:rsidTr="00782E0B">
        <w:tc>
          <w:tcPr>
            <w:tcW w:w="3997" w:type="dxa"/>
          </w:tcPr>
          <w:p w14:paraId="3520A525"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 xml:space="preserve">Development and Construction and Commercial Operation Date </w:t>
            </w:r>
          </w:p>
        </w:tc>
        <w:tc>
          <w:tcPr>
            <w:tcW w:w="969" w:type="dxa"/>
          </w:tcPr>
          <w:p w14:paraId="406C53E2" w14:textId="1B5FA8A2" w:rsidR="00782E0B" w:rsidRPr="00A67277" w:rsidRDefault="00782E0B" w:rsidP="00782E0B">
            <w:pPr>
              <w:jc w:val="right"/>
              <w:rPr>
                <w:rFonts w:ascii="Arial" w:hAnsi="Arial" w:cs="Arial"/>
                <w:sz w:val="21"/>
                <w:szCs w:val="21"/>
              </w:rPr>
            </w:pPr>
            <w:r>
              <w:rPr>
                <w:rFonts w:ascii="Arial" w:hAnsi="Arial" w:cs="Arial"/>
                <w:sz w:val="21"/>
                <w:szCs w:val="21"/>
              </w:rPr>
              <w:t>92</w:t>
            </w:r>
          </w:p>
        </w:tc>
        <w:tc>
          <w:tcPr>
            <w:tcW w:w="3723" w:type="dxa"/>
          </w:tcPr>
          <w:p w14:paraId="16DADDF8" w14:textId="1E04009E" w:rsidR="00782E0B" w:rsidRPr="00A67277" w:rsidRDefault="00782E0B" w:rsidP="00782E0B">
            <w:pPr>
              <w:pStyle w:val="ListParagraph"/>
              <w:numPr>
                <w:ilvl w:val="0"/>
                <w:numId w:val="479"/>
              </w:numPr>
              <w:spacing w:line="240" w:lineRule="auto"/>
              <w:ind w:left="301" w:hanging="301"/>
              <w:jc w:val="left"/>
              <w:rPr>
                <w:rFonts w:cs="Arial"/>
                <w:b/>
                <w:lang w:val="id-ID"/>
              </w:rPr>
            </w:pPr>
            <w:r w:rsidRPr="00A67277">
              <w:rPr>
                <w:rFonts w:cs="Arial"/>
                <w:b/>
                <w:lang w:val="en-US"/>
              </w:rPr>
              <w:t xml:space="preserve">Pengembangan dan </w:t>
            </w:r>
            <w:r w:rsidRPr="00A67277">
              <w:rPr>
                <w:rFonts w:cs="Arial"/>
                <w:b/>
                <w:lang w:val="id-ID"/>
              </w:rPr>
              <w:t>Konstruksi dan Tanggal Operasi</w:t>
            </w:r>
            <w:r w:rsidRPr="00A67277">
              <w:rPr>
                <w:rFonts w:cs="Arial"/>
                <w:b/>
                <w:lang w:val="en-US"/>
              </w:rPr>
              <w:t xml:space="preserve"> </w:t>
            </w:r>
            <w:r w:rsidRPr="00A67277">
              <w:rPr>
                <w:rFonts w:cs="Arial"/>
                <w:b/>
                <w:lang w:val="id-ID"/>
              </w:rPr>
              <w:t>Komersial</w:t>
            </w:r>
          </w:p>
        </w:tc>
        <w:tc>
          <w:tcPr>
            <w:tcW w:w="260" w:type="dxa"/>
          </w:tcPr>
          <w:p w14:paraId="658236E7" w14:textId="77777777" w:rsidR="00782E0B" w:rsidRPr="00A67277" w:rsidRDefault="00782E0B" w:rsidP="00782E0B">
            <w:pPr>
              <w:rPr>
                <w:rFonts w:ascii="Arial" w:hAnsi="Arial" w:cs="Arial"/>
                <w:sz w:val="21"/>
                <w:szCs w:val="21"/>
              </w:rPr>
            </w:pPr>
          </w:p>
        </w:tc>
        <w:tc>
          <w:tcPr>
            <w:tcW w:w="969" w:type="dxa"/>
          </w:tcPr>
          <w:p w14:paraId="4F812484" w14:textId="76423701" w:rsidR="00782E0B" w:rsidRPr="00A67277" w:rsidRDefault="00782E0B" w:rsidP="00782E0B">
            <w:pPr>
              <w:jc w:val="right"/>
              <w:rPr>
                <w:rFonts w:ascii="Arial" w:hAnsi="Arial" w:cs="Arial"/>
                <w:sz w:val="21"/>
                <w:szCs w:val="21"/>
              </w:rPr>
            </w:pPr>
            <w:r>
              <w:rPr>
                <w:rFonts w:ascii="Arial" w:hAnsi="Arial" w:cs="Arial"/>
                <w:sz w:val="21"/>
                <w:szCs w:val="21"/>
              </w:rPr>
              <w:t>92</w:t>
            </w:r>
          </w:p>
        </w:tc>
      </w:tr>
      <w:tr w:rsidR="00782E0B" w:rsidRPr="00A67277" w14:paraId="6E9A365F" w14:textId="77777777" w:rsidTr="00782E0B">
        <w:tc>
          <w:tcPr>
            <w:tcW w:w="3997" w:type="dxa"/>
          </w:tcPr>
          <w:p w14:paraId="712C58A7"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Development and Construction </w:t>
            </w:r>
          </w:p>
        </w:tc>
        <w:tc>
          <w:tcPr>
            <w:tcW w:w="969" w:type="dxa"/>
          </w:tcPr>
          <w:p w14:paraId="4D51F055" w14:textId="6C876280" w:rsidR="00782E0B" w:rsidRPr="00A67277" w:rsidRDefault="00782E0B" w:rsidP="00782E0B">
            <w:pPr>
              <w:jc w:val="right"/>
              <w:rPr>
                <w:rFonts w:ascii="Arial" w:hAnsi="Arial" w:cs="Arial"/>
                <w:sz w:val="21"/>
                <w:szCs w:val="21"/>
              </w:rPr>
            </w:pPr>
            <w:r>
              <w:rPr>
                <w:rFonts w:ascii="Arial" w:hAnsi="Arial" w:cs="Arial"/>
                <w:sz w:val="21"/>
                <w:szCs w:val="21"/>
              </w:rPr>
              <w:t>92</w:t>
            </w:r>
          </w:p>
        </w:tc>
        <w:tc>
          <w:tcPr>
            <w:tcW w:w="3723" w:type="dxa"/>
          </w:tcPr>
          <w:p w14:paraId="5B7DDBD9"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en-US"/>
              </w:rPr>
              <w:t>Pengembangan dan Konstruksi</w:t>
            </w:r>
          </w:p>
        </w:tc>
        <w:tc>
          <w:tcPr>
            <w:tcW w:w="260" w:type="dxa"/>
          </w:tcPr>
          <w:p w14:paraId="0667EE0D" w14:textId="77777777" w:rsidR="00782E0B" w:rsidRPr="00A67277" w:rsidRDefault="00782E0B" w:rsidP="00782E0B">
            <w:pPr>
              <w:rPr>
                <w:rFonts w:ascii="Arial" w:hAnsi="Arial" w:cs="Arial"/>
                <w:sz w:val="21"/>
                <w:szCs w:val="21"/>
              </w:rPr>
            </w:pPr>
          </w:p>
        </w:tc>
        <w:tc>
          <w:tcPr>
            <w:tcW w:w="969" w:type="dxa"/>
          </w:tcPr>
          <w:p w14:paraId="5C241082" w14:textId="65450936" w:rsidR="00782E0B" w:rsidRPr="00A67277" w:rsidRDefault="00782E0B" w:rsidP="00782E0B">
            <w:pPr>
              <w:jc w:val="right"/>
              <w:rPr>
                <w:rFonts w:ascii="Arial" w:hAnsi="Arial" w:cs="Arial"/>
                <w:sz w:val="21"/>
                <w:szCs w:val="21"/>
              </w:rPr>
            </w:pPr>
            <w:r>
              <w:rPr>
                <w:rFonts w:ascii="Arial" w:hAnsi="Arial" w:cs="Arial"/>
                <w:sz w:val="21"/>
                <w:szCs w:val="21"/>
              </w:rPr>
              <w:t>92</w:t>
            </w:r>
          </w:p>
        </w:tc>
      </w:tr>
      <w:tr w:rsidR="00782E0B" w:rsidRPr="00A67277" w14:paraId="1B2DB1F5" w14:textId="77777777" w:rsidTr="00782E0B">
        <w:tc>
          <w:tcPr>
            <w:tcW w:w="3997" w:type="dxa"/>
          </w:tcPr>
          <w:p w14:paraId="2D24D0FA"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Commercial Operation Date </w:t>
            </w:r>
          </w:p>
        </w:tc>
        <w:tc>
          <w:tcPr>
            <w:tcW w:w="969" w:type="dxa"/>
          </w:tcPr>
          <w:p w14:paraId="7871C109" w14:textId="026CA913" w:rsidR="00782E0B" w:rsidRPr="00A67277" w:rsidRDefault="00782E0B" w:rsidP="00782E0B">
            <w:pPr>
              <w:jc w:val="right"/>
              <w:rPr>
                <w:rFonts w:ascii="Arial" w:hAnsi="Arial" w:cs="Arial"/>
                <w:sz w:val="21"/>
                <w:szCs w:val="21"/>
              </w:rPr>
            </w:pPr>
            <w:r>
              <w:rPr>
                <w:rFonts w:ascii="Arial" w:hAnsi="Arial" w:cs="Arial"/>
                <w:sz w:val="21"/>
                <w:szCs w:val="21"/>
              </w:rPr>
              <w:t>94</w:t>
            </w:r>
          </w:p>
        </w:tc>
        <w:tc>
          <w:tcPr>
            <w:tcW w:w="3723" w:type="dxa"/>
          </w:tcPr>
          <w:p w14:paraId="3F077BA4"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Tanggal Operasi Komersial</w:t>
            </w:r>
          </w:p>
        </w:tc>
        <w:tc>
          <w:tcPr>
            <w:tcW w:w="260" w:type="dxa"/>
          </w:tcPr>
          <w:p w14:paraId="1D1F28B5" w14:textId="77777777" w:rsidR="00782E0B" w:rsidRPr="00A67277" w:rsidRDefault="00782E0B" w:rsidP="00782E0B">
            <w:pPr>
              <w:rPr>
                <w:rFonts w:ascii="Arial" w:hAnsi="Arial" w:cs="Arial"/>
                <w:sz w:val="21"/>
                <w:szCs w:val="21"/>
              </w:rPr>
            </w:pPr>
          </w:p>
        </w:tc>
        <w:tc>
          <w:tcPr>
            <w:tcW w:w="969" w:type="dxa"/>
          </w:tcPr>
          <w:p w14:paraId="4F697155" w14:textId="247F5388" w:rsidR="00782E0B" w:rsidRPr="00A67277" w:rsidRDefault="00782E0B" w:rsidP="00782E0B">
            <w:pPr>
              <w:jc w:val="right"/>
              <w:rPr>
                <w:rFonts w:ascii="Arial" w:hAnsi="Arial" w:cs="Arial"/>
                <w:sz w:val="21"/>
                <w:szCs w:val="21"/>
              </w:rPr>
            </w:pPr>
            <w:r>
              <w:rPr>
                <w:rFonts w:ascii="Arial" w:hAnsi="Arial" w:cs="Arial"/>
                <w:sz w:val="21"/>
                <w:szCs w:val="21"/>
              </w:rPr>
              <w:t>94</w:t>
            </w:r>
          </w:p>
        </w:tc>
      </w:tr>
      <w:tr w:rsidR="00782E0B" w:rsidRPr="00A67277" w14:paraId="4CD8F658" w14:textId="77777777" w:rsidTr="00782E0B">
        <w:tc>
          <w:tcPr>
            <w:tcW w:w="3997" w:type="dxa"/>
          </w:tcPr>
          <w:p w14:paraId="4310C2F2"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Authorisations </w:t>
            </w:r>
          </w:p>
        </w:tc>
        <w:tc>
          <w:tcPr>
            <w:tcW w:w="969" w:type="dxa"/>
          </w:tcPr>
          <w:p w14:paraId="75138791" w14:textId="72C7A8A1" w:rsidR="00782E0B" w:rsidRPr="00A67277" w:rsidRDefault="00782E0B" w:rsidP="00782E0B">
            <w:pPr>
              <w:jc w:val="right"/>
              <w:rPr>
                <w:rFonts w:ascii="Arial" w:hAnsi="Arial" w:cs="Arial"/>
                <w:sz w:val="21"/>
                <w:szCs w:val="21"/>
              </w:rPr>
            </w:pPr>
            <w:r>
              <w:rPr>
                <w:rFonts w:ascii="Arial" w:hAnsi="Arial" w:cs="Arial"/>
                <w:sz w:val="21"/>
                <w:szCs w:val="21"/>
              </w:rPr>
              <w:t>98</w:t>
            </w:r>
          </w:p>
        </w:tc>
        <w:tc>
          <w:tcPr>
            <w:tcW w:w="3723" w:type="dxa"/>
          </w:tcPr>
          <w:p w14:paraId="0944B4B9"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Persetujuan</w:t>
            </w:r>
          </w:p>
        </w:tc>
        <w:tc>
          <w:tcPr>
            <w:tcW w:w="260" w:type="dxa"/>
          </w:tcPr>
          <w:p w14:paraId="2BD5D82D" w14:textId="77777777" w:rsidR="00782E0B" w:rsidRPr="00A67277" w:rsidRDefault="00782E0B" w:rsidP="00782E0B">
            <w:pPr>
              <w:rPr>
                <w:rFonts w:ascii="Arial" w:hAnsi="Arial" w:cs="Arial"/>
                <w:sz w:val="21"/>
                <w:szCs w:val="21"/>
              </w:rPr>
            </w:pPr>
          </w:p>
        </w:tc>
        <w:tc>
          <w:tcPr>
            <w:tcW w:w="969" w:type="dxa"/>
          </w:tcPr>
          <w:p w14:paraId="45D30E50" w14:textId="43B445FF" w:rsidR="00782E0B" w:rsidRPr="00A67277" w:rsidRDefault="00782E0B" w:rsidP="00782E0B">
            <w:pPr>
              <w:jc w:val="right"/>
              <w:rPr>
                <w:rFonts w:ascii="Arial" w:hAnsi="Arial" w:cs="Arial"/>
                <w:sz w:val="21"/>
                <w:szCs w:val="21"/>
              </w:rPr>
            </w:pPr>
            <w:r>
              <w:rPr>
                <w:rFonts w:ascii="Arial" w:hAnsi="Arial" w:cs="Arial"/>
                <w:sz w:val="21"/>
                <w:szCs w:val="21"/>
              </w:rPr>
              <w:t>98</w:t>
            </w:r>
          </w:p>
        </w:tc>
      </w:tr>
      <w:tr w:rsidR="00782E0B" w:rsidRPr="00A67277" w14:paraId="29B76E44" w14:textId="77777777" w:rsidTr="00782E0B">
        <w:tc>
          <w:tcPr>
            <w:tcW w:w="3997" w:type="dxa"/>
          </w:tcPr>
          <w:p w14:paraId="3A6F5B4C"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Delay of Commercial Operation Date due to the IBE’s Default </w:t>
            </w:r>
          </w:p>
        </w:tc>
        <w:tc>
          <w:tcPr>
            <w:tcW w:w="969" w:type="dxa"/>
          </w:tcPr>
          <w:p w14:paraId="5D0E3778" w14:textId="56D5EF91" w:rsidR="00782E0B" w:rsidRPr="00A67277" w:rsidRDefault="00782E0B" w:rsidP="00782E0B">
            <w:pPr>
              <w:jc w:val="right"/>
              <w:rPr>
                <w:rFonts w:ascii="Arial" w:hAnsi="Arial" w:cs="Arial"/>
                <w:sz w:val="21"/>
                <w:szCs w:val="21"/>
              </w:rPr>
            </w:pPr>
            <w:r>
              <w:rPr>
                <w:rFonts w:ascii="Arial" w:hAnsi="Arial" w:cs="Arial"/>
                <w:sz w:val="21"/>
                <w:szCs w:val="21"/>
              </w:rPr>
              <w:t>99</w:t>
            </w:r>
          </w:p>
        </w:tc>
        <w:tc>
          <w:tcPr>
            <w:tcW w:w="3723" w:type="dxa"/>
          </w:tcPr>
          <w:p w14:paraId="0572CDAA"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Keterlambatan Tanggal Operasi Komersial karena Kelalaian BUP</w:t>
            </w:r>
          </w:p>
        </w:tc>
        <w:tc>
          <w:tcPr>
            <w:tcW w:w="260" w:type="dxa"/>
          </w:tcPr>
          <w:p w14:paraId="2048A8C9" w14:textId="77777777" w:rsidR="00782E0B" w:rsidRPr="00A67277" w:rsidRDefault="00782E0B" w:rsidP="00782E0B">
            <w:pPr>
              <w:rPr>
                <w:rFonts w:ascii="Arial" w:hAnsi="Arial" w:cs="Arial"/>
                <w:sz w:val="21"/>
                <w:szCs w:val="21"/>
              </w:rPr>
            </w:pPr>
          </w:p>
        </w:tc>
        <w:tc>
          <w:tcPr>
            <w:tcW w:w="969" w:type="dxa"/>
          </w:tcPr>
          <w:p w14:paraId="1E7FD913" w14:textId="75EE2D50" w:rsidR="00782E0B" w:rsidRPr="00A67277" w:rsidRDefault="00782E0B" w:rsidP="00782E0B">
            <w:pPr>
              <w:jc w:val="right"/>
              <w:rPr>
                <w:rFonts w:ascii="Arial" w:hAnsi="Arial" w:cs="Arial"/>
                <w:sz w:val="21"/>
                <w:szCs w:val="21"/>
              </w:rPr>
            </w:pPr>
            <w:r>
              <w:rPr>
                <w:rFonts w:ascii="Arial" w:hAnsi="Arial" w:cs="Arial"/>
                <w:sz w:val="21"/>
                <w:szCs w:val="21"/>
              </w:rPr>
              <w:t>99</w:t>
            </w:r>
          </w:p>
        </w:tc>
      </w:tr>
      <w:tr w:rsidR="00782E0B" w:rsidRPr="00A67277" w14:paraId="567CC57D" w14:textId="77777777" w:rsidTr="00782E0B">
        <w:tc>
          <w:tcPr>
            <w:tcW w:w="3997" w:type="dxa"/>
          </w:tcPr>
          <w:p w14:paraId="7D0E01AA"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Payment of Penalties </w:t>
            </w:r>
          </w:p>
        </w:tc>
        <w:tc>
          <w:tcPr>
            <w:tcW w:w="969" w:type="dxa"/>
          </w:tcPr>
          <w:p w14:paraId="1D62C43B" w14:textId="4D96637D" w:rsidR="00782E0B" w:rsidRPr="00A67277" w:rsidRDefault="00782E0B" w:rsidP="00782E0B">
            <w:pPr>
              <w:jc w:val="right"/>
              <w:rPr>
                <w:rFonts w:ascii="Arial" w:hAnsi="Arial" w:cs="Arial"/>
                <w:sz w:val="21"/>
                <w:szCs w:val="21"/>
              </w:rPr>
            </w:pPr>
            <w:r>
              <w:rPr>
                <w:rFonts w:ascii="Arial" w:hAnsi="Arial" w:cs="Arial"/>
                <w:sz w:val="21"/>
                <w:szCs w:val="21"/>
              </w:rPr>
              <w:t>100</w:t>
            </w:r>
          </w:p>
        </w:tc>
        <w:tc>
          <w:tcPr>
            <w:tcW w:w="3723" w:type="dxa"/>
          </w:tcPr>
          <w:p w14:paraId="710ECD71"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Pembayaran Denda</w:t>
            </w:r>
          </w:p>
        </w:tc>
        <w:tc>
          <w:tcPr>
            <w:tcW w:w="260" w:type="dxa"/>
          </w:tcPr>
          <w:p w14:paraId="5FEC693A" w14:textId="77777777" w:rsidR="00782E0B" w:rsidRPr="00A67277" w:rsidRDefault="00782E0B" w:rsidP="00782E0B">
            <w:pPr>
              <w:rPr>
                <w:rFonts w:ascii="Arial" w:hAnsi="Arial" w:cs="Arial"/>
                <w:sz w:val="21"/>
                <w:szCs w:val="21"/>
              </w:rPr>
            </w:pPr>
          </w:p>
        </w:tc>
        <w:tc>
          <w:tcPr>
            <w:tcW w:w="969" w:type="dxa"/>
          </w:tcPr>
          <w:p w14:paraId="0B8DB59B" w14:textId="4D4D428F" w:rsidR="00782E0B" w:rsidRPr="00A67277" w:rsidRDefault="00782E0B" w:rsidP="00782E0B">
            <w:pPr>
              <w:jc w:val="right"/>
              <w:rPr>
                <w:rFonts w:ascii="Arial" w:hAnsi="Arial" w:cs="Arial"/>
                <w:sz w:val="21"/>
                <w:szCs w:val="21"/>
              </w:rPr>
            </w:pPr>
            <w:r>
              <w:rPr>
                <w:rFonts w:ascii="Arial" w:hAnsi="Arial" w:cs="Arial"/>
                <w:sz w:val="21"/>
                <w:szCs w:val="21"/>
              </w:rPr>
              <w:t>100</w:t>
            </w:r>
          </w:p>
        </w:tc>
      </w:tr>
      <w:tr w:rsidR="00782E0B" w:rsidRPr="00A67277" w14:paraId="13FFD8AE" w14:textId="77777777" w:rsidTr="00782E0B">
        <w:tc>
          <w:tcPr>
            <w:tcW w:w="3997" w:type="dxa"/>
          </w:tcPr>
          <w:p w14:paraId="0BB11F82" w14:textId="77777777" w:rsidR="00782E0B" w:rsidRPr="00A67277" w:rsidRDefault="00782E0B" w:rsidP="00782E0B">
            <w:pPr>
              <w:pStyle w:val="ListParagraph"/>
              <w:numPr>
                <w:ilvl w:val="1"/>
                <w:numId w:val="481"/>
              </w:numPr>
              <w:spacing w:line="240" w:lineRule="auto"/>
              <w:ind w:left="882" w:hanging="540"/>
              <w:jc w:val="left"/>
              <w:rPr>
                <w:rFonts w:cs="Arial"/>
              </w:rPr>
            </w:pPr>
            <w:r w:rsidRPr="00A67277">
              <w:rPr>
                <w:rFonts w:cs="Arial"/>
              </w:rPr>
              <w:t xml:space="preserve">Delays Caused by GCA </w:t>
            </w:r>
          </w:p>
        </w:tc>
        <w:tc>
          <w:tcPr>
            <w:tcW w:w="969" w:type="dxa"/>
          </w:tcPr>
          <w:p w14:paraId="25128290" w14:textId="686F05D5" w:rsidR="00782E0B" w:rsidRPr="00A67277" w:rsidRDefault="00782E0B" w:rsidP="00782E0B">
            <w:pPr>
              <w:jc w:val="right"/>
              <w:rPr>
                <w:rFonts w:ascii="Arial" w:hAnsi="Arial" w:cs="Arial"/>
                <w:sz w:val="21"/>
                <w:szCs w:val="21"/>
              </w:rPr>
            </w:pPr>
            <w:r>
              <w:rPr>
                <w:rFonts w:ascii="Arial" w:hAnsi="Arial" w:cs="Arial"/>
                <w:sz w:val="21"/>
                <w:szCs w:val="21"/>
              </w:rPr>
              <w:t>100</w:t>
            </w:r>
          </w:p>
        </w:tc>
        <w:tc>
          <w:tcPr>
            <w:tcW w:w="3723" w:type="dxa"/>
          </w:tcPr>
          <w:p w14:paraId="52279AF7" w14:textId="77777777" w:rsidR="00782E0B" w:rsidRPr="00A67277" w:rsidRDefault="00782E0B" w:rsidP="00782E0B">
            <w:pPr>
              <w:pStyle w:val="ListParagraph"/>
              <w:numPr>
                <w:ilvl w:val="1"/>
                <w:numId w:val="479"/>
              </w:numPr>
              <w:spacing w:line="240" w:lineRule="auto"/>
              <w:ind w:left="847" w:hanging="540"/>
              <w:jc w:val="left"/>
              <w:rPr>
                <w:rFonts w:cs="Arial"/>
                <w:lang w:val="id-ID"/>
              </w:rPr>
            </w:pPr>
            <w:r w:rsidRPr="00A67277">
              <w:rPr>
                <w:rFonts w:cs="Arial"/>
                <w:lang w:val="id-ID"/>
              </w:rPr>
              <w:t>Keterlambatan Disebabkan oleh PJPK</w:t>
            </w:r>
          </w:p>
        </w:tc>
        <w:tc>
          <w:tcPr>
            <w:tcW w:w="260" w:type="dxa"/>
          </w:tcPr>
          <w:p w14:paraId="5470C89A" w14:textId="77777777" w:rsidR="00782E0B" w:rsidRPr="00A67277" w:rsidRDefault="00782E0B" w:rsidP="00782E0B">
            <w:pPr>
              <w:rPr>
                <w:rFonts w:ascii="Arial" w:hAnsi="Arial" w:cs="Arial"/>
                <w:sz w:val="21"/>
                <w:szCs w:val="21"/>
              </w:rPr>
            </w:pPr>
          </w:p>
        </w:tc>
        <w:tc>
          <w:tcPr>
            <w:tcW w:w="969" w:type="dxa"/>
          </w:tcPr>
          <w:p w14:paraId="05CC91BE" w14:textId="27FF4264" w:rsidR="00782E0B" w:rsidRPr="00A67277" w:rsidRDefault="00782E0B" w:rsidP="00782E0B">
            <w:pPr>
              <w:jc w:val="right"/>
              <w:rPr>
                <w:rFonts w:ascii="Arial" w:hAnsi="Arial" w:cs="Arial"/>
                <w:sz w:val="21"/>
                <w:szCs w:val="21"/>
              </w:rPr>
            </w:pPr>
            <w:r>
              <w:rPr>
                <w:rFonts w:ascii="Arial" w:hAnsi="Arial" w:cs="Arial"/>
                <w:sz w:val="21"/>
                <w:szCs w:val="21"/>
              </w:rPr>
              <w:t>100</w:t>
            </w:r>
          </w:p>
        </w:tc>
      </w:tr>
      <w:tr w:rsidR="00DD1A2C" w:rsidRPr="00A67277" w14:paraId="24696DF0" w14:textId="77777777" w:rsidTr="00782E0B">
        <w:tc>
          <w:tcPr>
            <w:tcW w:w="3997" w:type="dxa"/>
          </w:tcPr>
          <w:p w14:paraId="59283698" w14:textId="77777777" w:rsidR="00DD1A2C" w:rsidRPr="00A67277" w:rsidRDefault="00DD1A2C" w:rsidP="00DD1A2C">
            <w:pPr>
              <w:rPr>
                <w:rFonts w:ascii="Arial" w:hAnsi="Arial" w:cs="Arial"/>
                <w:sz w:val="21"/>
                <w:szCs w:val="21"/>
              </w:rPr>
            </w:pPr>
          </w:p>
        </w:tc>
        <w:tc>
          <w:tcPr>
            <w:tcW w:w="969" w:type="dxa"/>
          </w:tcPr>
          <w:p w14:paraId="76C34593" w14:textId="77777777" w:rsidR="00DD1A2C" w:rsidRPr="00A67277" w:rsidRDefault="00DD1A2C" w:rsidP="00DD1A2C">
            <w:pPr>
              <w:jc w:val="right"/>
              <w:rPr>
                <w:rFonts w:ascii="Arial" w:hAnsi="Arial" w:cs="Arial"/>
                <w:sz w:val="21"/>
                <w:szCs w:val="21"/>
              </w:rPr>
            </w:pPr>
          </w:p>
        </w:tc>
        <w:tc>
          <w:tcPr>
            <w:tcW w:w="3723" w:type="dxa"/>
          </w:tcPr>
          <w:p w14:paraId="3C5108DF" w14:textId="77777777" w:rsidR="00DD1A2C" w:rsidRPr="00A67277" w:rsidRDefault="00DD1A2C" w:rsidP="00DD1A2C">
            <w:pPr>
              <w:rPr>
                <w:rFonts w:ascii="Arial" w:hAnsi="Arial" w:cs="Arial"/>
                <w:sz w:val="21"/>
                <w:szCs w:val="21"/>
                <w:lang w:val="id-ID"/>
              </w:rPr>
            </w:pPr>
          </w:p>
        </w:tc>
        <w:tc>
          <w:tcPr>
            <w:tcW w:w="260" w:type="dxa"/>
          </w:tcPr>
          <w:p w14:paraId="0BCE1F38" w14:textId="77777777" w:rsidR="00DD1A2C" w:rsidRPr="00A67277" w:rsidRDefault="00DD1A2C" w:rsidP="00DD1A2C">
            <w:pPr>
              <w:rPr>
                <w:rFonts w:ascii="Arial" w:hAnsi="Arial" w:cs="Arial"/>
                <w:sz w:val="21"/>
                <w:szCs w:val="21"/>
              </w:rPr>
            </w:pPr>
          </w:p>
        </w:tc>
        <w:tc>
          <w:tcPr>
            <w:tcW w:w="969" w:type="dxa"/>
          </w:tcPr>
          <w:p w14:paraId="7D905067" w14:textId="77777777" w:rsidR="00DD1A2C" w:rsidRPr="00A67277" w:rsidRDefault="00DD1A2C" w:rsidP="00DD1A2C">
            <w:pPr>
              <w:jc w:val="right"/>
              <w:rPr>
                <w:rFonts w:ascii="Arial" w:hAnsi="Arial" w:cs="Arial"/>
                <w:sz w:val="21"/>
                <w:szCs w:val="21"/>
              </w:rPr>
            </w:pPr>
          </w:p>
        </w:tc>
      </w:tr>
      <w:tr w:rsidR="00782E0B" w:rsidRPr="00A67277" w14:paraId="3993B765" w14:textId="77777777" w:rsidTr="00782E0B">
        <w:tc>
          <w:tcPr>
            <w:tcW w:w="3997" w:type="dxa"/>
          </w:tcPr>
          <w:p w14:paraId="7BAB6707" w14:textId="77777777" w:rsidR="00782E0B" w:rsidRPr="00A67277" w:rsidRDefault="00782E0B" w:rsidP="00782E0B">
            <w:pPr>
              <w:pStyle w:val="ListParagraph"/>
              <w:numPr>
                <w:ilvl w:val="0"/>
                <w:numId w:val="478"/>
              </w:numPr>
              <w:spacing w:line="240" w:lineRule="auto"/>
              <w:ind w:left="301" w:hanging="301"/>
              <w:jc w:val="left"/>
              <w:rPr>
                <w:rFonts w:cs="Arial"/>
                <w:b/>
              </w:rPr>
            </w:pPr>
            <w:r w:rsidRPr="00A67277">
              <w:rPr>
                <w:rFonts w:cs="Arial"/>
                <w:b/>
              </w:rPr>
              <w:t xml:space="preserve">Operation and Maintenance </w:t>
            </w:r>
          </w:p>
        </w:tc>
        <w:tc>
          <w:tcPr>
            <w:tcW w:w="969" w:type="dxa"/>
          </w:tcPr>
          <w:p w14:paraId="799C6562" w14:textId="29764B1C" w:rsidR="00782E0B" w:rsidRPr="00A67277" w:rsidRDefault="00782E0B" w:rsidP="00782E0B">
            <w:pPr>
              <w:jc w:val="right"/>
              <w:rPr>
                <w:rFonts w:ascii="Arial" w:hAnsi="Arial" w:cs="Arial"/>
                <w:sz w:val="21"/>
                <w:szCs w:val="21"/>
              </w:rPr>
            </w:pPr>
            <w:r>
              <w:rPr>
                <w:rFonts w:ascii="Arial" w:hAnsi="Arial" w:cs="Arial"/>
                <w:sz w:val="21"/>
                <w:szCs w:val="21"/>
              </w:rPr>
              <w:t>102</w:t>
            </w:r>
          </w:p>
        </w:tc>
        <w:tc>
          <w:tcPr>
            <w:tcW w:w="3723" w:type="dxa"/>
          </w:tcPr>
          <w:p w14:paraId="7FEA6BE4" w14:textId="77777777" w:rsidR="00782E0B" w:rsidRPr="00A67277" w:rsidRDefault="00782E0B" w:rsidP="00782E0B">
            <w:pPr>
              <w:pStyle w:val="ListParagraph"/>
              <w:numPr>
                <w:ilvl w:val="0"/>
                <w:numId w:val="479"/>
              </w:numPr>
              <w:spacing w:line="240" w:lineRule="auto"/>
              <w:ind w:left="352" w:hanging="352"/>
              <w:jc w:val="left"/>
              <w:rPr>
                <w:rFonts w:cs="Arial"/>
                <w:b/>
                <w:lang w:val="id-ID"/>
              </w:rPr>
            </w:pPr>
            <w:r w:rsidRPr="00A67277">
              <w:rPr>
                <w:rFonts w:cs="Arial"/>
                <w:b/>
                <w:lang w:val="id-ID"/>
              </w:rPr>
              <w:t>Operasi dan Pemeliharaan</w:t>
            </w:r>
          </w:p>
        </w:tc>
        <w:tc>
          <w:tcPr>
            <w:tcW w:w="260" w:type="dxa"/>
          </w:tcPr>
          <w:p w14:paraId="5F39FD71" w14:textId="77777777" w:rsidR="00782E0B" w:rsidRPr="00A67277" w:rsidRDefault="00782E0B" w:rsidP="00782E0B">
            <w:pPr>
              <w:rPr>
                <w:rFonts w:ascii="Arial" w:hAnsi="Arial" w:cs="Arial"/>
                <w:sz w:val="21"/>
                <w:szCs w:val="21"/>
              </w:rPr>
            </w:pPr>
          </w:p>
        </w:tc>
        <w:tc>
          <w:tcPr>
            <w:tcW w:w="969" w:type="dxa"/>
          </w:tcPr>
          <w:p w14:paraId="4EBCBC61" w14:textId="6B846AA0" w:rsidR="00782E0B" w:rsidRPr="00A67277" w:rsidRDefault="00782E0B" w:rsidP="00782E0B">
            <w:pPr>
              <w:jc w:val="right"/>
              <w:rPr>
                <w:rFonts w:ascii="Arial" w:hAnsi="Arial" w:cs="Arial"/>
                <w:sz w:val="21"/>
                <w:szCs w:val="21"/>
              </w:rPr>
            </w:pPr>
            <w:r>
              <w:rPr>
                <w:rFonts w:ascii="Arial" w:hAnsi="Arial" w:cs="Arial"/>
                <w:sz w:val="21"/>
                <w:szCs w:val="21"/>
              </w:rPr>
              <w:t>102</w:t>
            </w:r>
          </w:p>
        </w:tc>
      </w:tr>
      <w:tr w:rsidR="00782E0B" w:rsidRPr="00A67277" w14:paraId="0CE2C95A" w14:textId="77777777" w:rsidTr="00782E0B">
        <w:tc>
          <w:tcPr>
            <w:tcW w:w="3997" w:type="dxa"/>
          </w:tcPr>
          <w:p w14:paraId="72EF7594" w14:textId="77777777"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 xml:space="preserve">General </w:t>
            </w:r>
          </w:p>
        </w:tc>
        <w:tc>
          <w:tcPr>
            <w:tcW w:w="969" w:type="dxa"/>
          </w:tcPr>
          <w:p w14:paraId="677EB170" w14:textId="4A63B16D" w:rsidR="00782E0B" w:rsidRPr="00A67277" w:rsidRDefault="00782E0B" w:rsidP="00782E0B">
            <w:pPr>
              <w:jc w:val="right"/>
              <w:rPr>
                <w:rFonts w:ascii="Arial" w:hAnsi="Arial" w:cs="Arial"/>
                <w:sz w:val="21"/>
                <w:szCs w:val="21"/>
              </w:rPr>
            </w:pPr>
            <w:r>
              <w:rPr>
                <w:rFonts w:ascii="Arial" w:hAnsi="Arial" w:cs="Arial"/>
                <w:sz w:val="21"/>
                <w:szCs w:val="21"/>
              </w:rPr>
              <w:t>103</w:t>
            </w:r>
          </w:p>
        </w:tc>
        <w:tc>
          <w:tcPr>
            <w:tcW w:w="3723" w:type="dxa"/>
          </w:tcPr>
          <w:p w14:paraId="026A0D80"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Umum</w:t>
            </w:r>
          </w:p>
        </w:tc>
        <w:tc>
          <w:tcPr>
            <w:tcW w:w="260" w:type="dxa"/>
          </w:tcPr>
          <w:p w14:paraId="3994ABFC" w14:textId="77777777" w:rsidR="00782E0B" w:rsidRPr="00A67277" w:rsidRDefault="00782E0B" w:rsidP="00782E0B">
            <w:pPr>
              <w:rPr>
                <w:rFonts w:ascii="Arial" w:hAnsi="Arial" w:cs="Arial"/>
                <w:sz w:val="21"/>
                <w:szCs w:val="21"/>
              </w:rPr>
            </w:pPr>
          </w:p>
        </w:tc>
        <w:tc>
          <w:tcPr>
            <w:tcW w:w="969" w:type="dxa"/>
          </w:tcPr>
          <w:p w14:paraId="1796BD24" w14:textId="51FB5E35" w:rsidR="00782E0B" w:rsidRPr="00A67277" w:rsidRDefault="00782E0B" w:rsidP="00782E0B">
            <w:pPr>
              <w:jc w:val="right"/>
              <w:rPr>
                <w:rFonts w:ascii="Arial" w:hAnsi="Arial" w:cs="Arial"/>
                <w:sz w:val="21"/>
                <w:szCs w:val="21"/>
              </w:rPr>
            </w:pPr>
            <w:r>
              <w:rPr>
                <w:rFonts w:ascii="Arial" w:hAnsi="Arial" w:cs="Arial"/>
                <w:sz w:val="21"/>
                <w:szCs w:val="21"/>
              </w:rPr>
              <w:t>103</w:t>
            </w:r>
          </w:p>
        </w:tc>
      </w:tr>
      <w:tr w:rsidR="00782E0B" w:rsidRPr="00A67277" w14:paraId="65BBAF61" w14:textId="77777777" w:rsidTr="00782E0B">
        <w:tc>
          <w:tcPr>
            <w:tcW w:w="3997" w:type="dxa"/>
          </w:tcPr>
          <w:p w14:paraId="735328CE" w14:textId="77777777"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 xml:space="preserve">Minimising Impact of Maintenance Works </w:t>
            </w:r>
          </w:p>
        </w:tc>
        <w:tc>
          <w:tcPr>
            <w:tcW w:w="969" w:type="dxa"/>
          </w:tcPr>
          <w:p w14:paraId="58515FFE" w14:textId="15668CC7" w:rsidR="00782E0B" w:rsidRPr="00A67277" w:rsidRDefault="00782E0B" w:rsidP="00782E0B">
            <w:pPr>
              <w:jc w:val="right"/>
              <w:rPr>
                <w:rFonts w:ascii="Arial" w:hAnsi="Arial" w:cs="Arial"/>
                <w:sz w:val="21"/>
                <w:szCs w:val="21"/>
              </w:rPr>
            </w:pPr>
            <w:r>
              <w:rPr>
                <w:rFonts w:ascii="Arial" w:hAnsi="Arial" w:cs="Arial"/>
                <w:sz w:val="21"/>
                <w:szCs w:val="21"/>
              </w:rPr>
              <w:t>103</w:t>
            </w:r>
          </w:p>
        </w:tc>
        <w:tc>
          <w:tcPr>
            <w:tcW w:w="3723" w:type="dxa"/>
          </w:tcPr>
          <w:p w14:paraId="44DC8889"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Minimalisasi Dampak Pekerjaan Pemeliharaan</w:t>
            </w:r>
          </w:p>
        </w:tc>
        <w:tc>
          <w:tcPr>
            <w:tcW w:w="260" w:type="dxa"/>
          </w:tcPr>
          <w:p w14:paraId="5B6ED3DF" w14:textId="77777777" w:rsidR="00782E0B" w:rsidRPr="00A67277" w:rsidRDefault="00782E0B" w:rsidP="00782E0B">
            <w:pPr>
              <w:rPr>
                <w:rFonts w:ascii="Arial" w:hAnsi="Arial" w:cs="Arial"/>
                <w:sz w:val="21"/>
                <w:szCs w:val="21"/>
              </w:rPr>
            </w:pPr>
          </w:p>
        </w:tc>
        <w:tc>
          <w:tcPr>
            <w:tcW w:w="969" w:type="dxa"/>
          </w:tcPr>
          <w:p w14:paraId="45C305A0" w14:textId="3359E841" w:rsidR="00782E0B" w:rsidRPr="00A67277" w:rsidRDefault="00782E0B" w:rsidP="00782E0B">
            <w:pPr>
              <w:jc w:val="right"/>
              <w:rPr>
                <w:rFonts w:ascii="Arial" w:hAnsi="Arial" w:cs="Arial"/>
                <w:sz w:val="21"/>
                <w:szCs w:val="21"/>
              </w:rPr>
            </w:pPr>
            <w:r>
              <w:rPr>
                <w:rFonts w:ascii="Arial" w:hAnsi="Arial" w:cs="Arial"/>
                <w:sz w:val="21"/>
                <w:szCs w:val="21"/>
              </w:rPr>
              <w:t>103</w:t>
            </w:r>
          </w:p>
        </w:tc>
      </w:tr>
      <w:tr w:rsidR="00782E0B" w:rsidRPr="00A67277" w14:paraId="6DC629D5" w14:textId="77777777" w:rsidTr="00782E0B">
        <w:tc>
          <w:tcPr>
            <w:tcW w:w="3997" w:type="dxa"/>
          </w:tcPr>
          <w:p w14:paraId="6C43F76C" w14:textId="77777777"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 xml:space="preserve">Personnel on Duty </w:t>
            </w:r>
          </w:p>
        </w:tc>
        <w:tc>
          <w:tcPr>
            <w:tcW w:w="969" w:type="dxa"/>
          </w:tcPr>
          <w:p w14:paraId="0677EC9D" w14:textId="3BFF2B51" w:rsidR="00782E0B" w:rsidRPr="00A67277" w:rsidRDefault="00782E0B" w:rsidP="00782E0B">
            <w:pPr>
              <w:jc w:val="right"/>
              <w:rPr>
                <w:rFonts w:ascii="Arial" w:hAnsi="Arial" w:cs="Arial"/>
                <w:sz w:val="21"/>
                <w:szCs w:val="21"/>
              </w:rPr>
            </w:pPr>
            <w:r>
              <w:rPr>
                <w:rFonts w:ascii="Arial" w:hAnsi="Arial" w:cs="Arial"/>
                <w:sz w:val="21"/>
                <w:szCs w:val="21"/>
              </w:rPr>
              <w:t>104</w:t>
            </w:r>
          </w:p>
        </w:tc>
        <w:tc>
          <w:tcPr>
            <w:tcW w:w="3723" w:type="dxa"/>
          </w:tcPr>
          <w:p w14:paraId="41BCF89C"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Personil yang Bertugas</w:t>
            </w:r>
          </w:p>
        </w:tc>
        <w:tc>
          <w:tcPr>
            <w:tcW w:w="260" w:type="dxa"/>
          </w:tcPr>
          <w:p w14:paraId="099A4DA5" w14:textId="77777777" w:rsidR="00782E0B" w:rsidRPr="00A67277" w:rsidRDefault="00782E0B" w:rsidP="00782E0B">
            <w:pPr>
              <w:rPr>
                <w:rFonts w:ascii="Arial" w:hAnsi="Arial" w:cs="Arial"/>
                <w:sz w:val="21"/>
                <w:szCs w:val="21"/>
              </w:rPr>
            </w:pPr>
          </w:p>
        </w:tc>
        <w:tc>
          <w:tcPr>
            <w:tcW w:w="969" w:type="dxa"/>
          </w:tcPr>
          <w:p w14:paraId="7FA165AA" w14:textId="1B2FC6A7" w:rsidR="00782E0B" w:rsidRPr="00A67277" w:rsidRDefault="00782E0B" w:rsidP="00782E0B">
            <w:pPr>
              <w:jc w:val="right"/>
              <w:rPr>
                <w:rFonts w:ascii="Arial" w:hAnsi="Arial" w:cs="Arial"/>
                <w:sz w:val="21"/>
                <w:szCs w:val="21"/>
              </w:rPr>
            </w:pPr>
            <w:r>
              <w:rPr>
                <w:rFonts w:ascii="Arial" w:hAnsi="Arial" w:cs="Arial"/>
                <w:sz w:val="21"/>
                <w:szCs w:val="21"/>
              </w:rPr>
              <w:t>104</w:t>
            </w:r>
          </w:p>
        </w:tc>
      </w:tr>
      <w:tr w:rsidR="00782E0B" w:rsidRPr="00A67277" w14:paraId="114CAF53" w14:textId="77777777" w:rsidTr="00782E0B">
        <w:tc>
          <w:tcPr>
            <w:tcW w:w="3997" w:type="dxa"/>
          </w:tcPr>
          <w:p w14:paraId="663FD2FA" w14:textId="77777777"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Security of the Facility</w:t>
            </w:r>
          </w:p>
        </w:tc>
        <w:tc>
          <w:tcPr>
            <w:tcW w:w="969" w:type="dxa"/>
          </w:tcPr>
          <w:p w14:paraId="398DB1BD" w14:textId="76E04980" w:rsidR="00782E0B" w:rsidRPr="00A67277" w:rsidRDefault="00782E0B" w:rsidP="00782E0B">
            <w:pPr>
              <w:jc w:val="right"/>
              <w:rPr>
                <w:rFonts w:ascii="Arial" w:hAnsi="Arial" w:cs="Arial"/>
                <w:sz w:val="21"/>
                <w:szCs w:val="21"/>
              </w:rPr>
            </w:pPr>
            <w:r>
              <w:rPr>
                <w:rFonts w:ascii="Arial" w:hAnsi="Arial" w:cs="Arial"/>
                <w:sz w:val="21"/>
                <w:szCs w:val="21"/>
              </w:rPr>
              <w:t>104</w:t>
            </w:r>
          </w:p>
        </w:tc>
        <w:tc>
          <w:tcPr>
            <w:tcW w:w="3723" w:type="dxa"/>
          </w:tcPr>
          <w:p w14:paraId="0BE86F3D"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en-US"/>
              </w:rPr>
              <w:t>Keamanan Fasilitas</w:t>
            </w:r>
          </w:p>
        </w:tc>
        <w:tc>
          <w:tcPr>
            <w:tcW w:w="260" w:type="dxa"/>
          </w:tcPr>
          <w:p w14:paraId="6F0026E3" w14:textId="77777777" w:rsidR="00782E0B" w:rsidRPr="00A67277" w:rsidRDefault="00782E0B" w:rsidP="00782E0B">
            <w:pPr>
              <w:rPr>
                <w:rFonts w:ascii="Arial" w:hAnsi="Arial" w:cs="Arial"/>
                <w:sz w:val="21"/>
                <w:szCs w:val="21"/>
              </w:rPr>
            </w:pPr>
          </w:p>
        </w:tc>
        <w:tc>
          <w:tcPr>
            <w:tcW w:w="969" w:type="dxa"/>
          </w:tcPr>
          <w:p w14:paraId="73E0C75A" w14:textId="12E4C19F" w:rsidR="00782E0B" w:rsidRPr="00A67277" w:rsidRDefault="00782E0B" w:rsidP="00782E0B">
            <w:pPr>
              <w:jc w:val="right"/>
              <w:rPr>
                <w:rFonts w:ascii="Arial" w:hAnsi="Arial" w:cs="Arial"/>
                <w:sz w:val="21"/>
                <w:szCs w:val="21"/>
              </w:rPr>
            </w:pPr>
            <w:r>
              <w:rPr>
                <w:rFonts w:ascii="Arial" w:hAnsi="Arial" w:cs="Arial"/>
                <w:sz w:val="21"/>
                <w:szCs w:val="21"/>
              </w:rPr>
              <w:t>104</w:t>
            </w:r>
          </w:p>
        </w:tc>
      </w:tr>
      <w:tr w:rsidR="00782E0B" w:rsidRPr="00A67277" w14:paraId="3993C527" w14:textId="77777777" w:rsidTr="00782E0B">
        <w:tc>
          <w:tcPr>
            <w:tcW w:w="3997" w:type="dxa"/>
          </w:tcPr>
          <w:p w14:paraId="164ECE2B" w14:textId="32D408D6"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Service Center</w:t>
            </w:r>
          </w:p>
        </w:tc>
        <w:tc>
          <w:tcPr>
            <w:tcW w:w="969" w:type="dxa"/>
          </w:tcPr>
          <w:p w14:paraId="684800E7" w14:textId="697FB832" w:rsidR="00782E0B" w:rsidRPr="00A67277" w:rsidRDefault="00782E0B" w:rsidP="00782E0B">
            <w:pPr>
              <w:jc w:val="right"/>
              <w:rPr>
                <w:rFonts w:ascii="Arial" w:hAnsi="Arial" w:cs="Arial"/>
                <w:sz w:val="21"/>
                <w:szCs w:val="21"/>
              </w:rPr>
            </w:pPr>
            <w:r>
              <w:rPr>
                <w:rFonts w:ascii="Arial" w:hAnsi="Arial" w:cs="Arial"/>
                <w:sz w:val="21"/>
                <w:szCs w:val="21"/>
              </w:rPr>
              <w:t>105</w:t>
            </w:r>
          </w:p>
        </w:tc>
        <w:tc>
          <w:tcPr>
            <w:tcW w:w="3723" w:type="dxa"/>
          </w:tcPr>
          <w:p w14:paraId="2D5785BC" w14:textId="2497DDA6"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en-US"/>
              </w:rPr>
              <w:t>Pusat Layanan</w:t>
            </w:r>
          </w:p>
        </w:tc>
        <w:tc>
          <w:tcPr>
            <w:tcW w:w="260" w:type="dxa"/>
          </w:tcPr>
          <w:p w14:paraId="11B23712" w14:textId="77777777" w:rsidR="00782E0B" w:rsidRPr="00A67277" w:rsidRDefault="00782E0B" w:rsidP="00782E0B">
            <w:pPr>
              <w:rPr>
                <w:rFonts w:ascii="Arial" w:hAnsi="Arial" w:cs="Arial"/>
                <w:sz w:val="21"/>
                <w:szCs w:val="21"/>
              </w:rPr>
            </w:pPr>
          </w:p>
        </w:tc>
        <w:tc>
          <w:tcPr>
            <w:tcW w:w="969" w:type="dxa"/>
          </w:tcPr>
          <w:p w14:paraId="7CF762BC" w14:textId="6CE4B924" w:rsidR="00782E0B" w:rsidRPr="00A67277" w:rsidRDefault="00782E0B" w:rsidP="00782E0B">
            <w:pPr>
              <w:jc w:val="right"/>
              <w:rPr>
                <w:rFonts w:ascii="Arial" w:hAnsi="Arial" w:cs="Arial"/>
                <w:sz w:val="21"/>
                <w:szCs w:val="21"/>
              </w:rPr>
            </w:pPr>
            <w:r>
              <w:rPr>
                <w:rFonts w:ascii="Arial" w:hAnsi="Arial" w:cs="Arial"/>
                <w:sz w:val="21"/>
                <w:szCs w:val="21"/>
              </w:rPr>
              <w:t>105</w:t>
            </w:r>
          </w:p>
        </w:tc>
      </w:tr>
      <w:tr w:rsidR="00782E0B" w:rsidRPr="00A67277" w14:paraId="6551E7D7" w14:textId="77777777" w:rsidTr="00782E0B">
        <w:tc>
          <w:tcPr>
            <w:tcW w:w="3997" w:type="dxa"/>
          </w:tcPr>
          <w:p w14:paraId="45EEBEB8" w14:textId="77777777"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 xml:space="preserve">IBE to Bear Costs </w:t>
            </w:r>
          </w:p>
        </w:tc>
        <w:tc>
          <w:tcPr>
            <w:tcW w:w="969" w:type="dxa"/>
          </w:tcPr>
          <w:p w14:paraId="73178231" w14:textId="1CD57145" w:rsidR="00782E0B" w:rsidRPr="00A67277" w:rsidRDefault="00782E0B" w:rsidP="00782E0B">
            <w:pPr>
              <w:jc w:val="right"/>
              <w:rPr>
                <w:rFonts w:ascii="Arial" w:hAnsi="Arial" w:cs="Arial"/>
                <w:sz w:val="21"/>
                <w:szCs w:val="21"/>
              </w:rPr>
            </w:pPr>
            <w:r>
              <w:rPr>
                <w:rFonts w:ascii="Arial" w:hAnsi="Arial" w:cs="Arial"/>
                <w:sz w:val="21"/>
                <w:szCs w:val="21"/>
              </w:rPr>
              <w:t>105</w:t>
            </w:r>
          </w:p>
        </w:tc>
        <w:tc>
          <w:tcPr>
            <w:tcW w:w="3723" w:type="dxa"/>
          </w:tcPr>
          <w:p w14:paraId="67EA7A79"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BUP Menanggung Biaya</w:t>
            </w:r>
          </w:p>
        </w:tc>
        <w:tc>
          <w:tcPr>
            <w:tcW w:w="260" w:type="dxa"/>
          </w:tcPr>
          <w:p w14:paraId="29696AB8" w14:textId="77777777" w:rsidR="00782E0B" w:rsidRPr="00A67277" w:rsidRDefault="00782E0B" w:rsidP="00782E0B">
            <w:pPr>
              <w:rPr>
                <w:rFonts w:ascii="Arial" w:hAnsi="Arial" w:cs="Arial"/>
                <w:sz w:val="21"/>
                <w:szCs w:val="21"/>
              </w:rPr>
            </w:pPr>
          </w:p>
        </w:tc>
        <w:tc>
          <w:tcPr>
            <w:tcW w:w="969" w:type="dxa"/>
          </w:tcPr>
          <w:p w14:paraId="4C2FEADC" w14:textId="1D9F85C1" w:rsidR="00782E0B" w:rsidRPr="00A67277" w:rsidRDefault="00782E0B" w:rsidP="00782E0B">
            <w:pPr>
              <w:jc w:val="right"/>
              <w:rPr>
                <w:rFonts w:ascii="Arial" w:hAnsi="Arial" w:cs="Arial"/>
                <w:sz w:val="21"/>
                <w:szCs w:val="21"/>
              </w:rPr>
            </w:pPr>
            <w:r>
              <w:rPr>
                <w:rFonts w:ascii="Arial" w:hAnsi="Arial" w:cs="Arial"/>
                <w:sz w:val="21"/>
                <w:szCs w:val="21"/>
              </w:rPr>
              <w:t>105</w:t>
            </w:r>
          </w:p>
        </w:tc>
      </w:tr>
      <w:tr w:rsidR="00782E0B" w:rsidRPr="00A67277" w14:paraId="0DBFF137" w14:textId="77777777" w:rsidTr="00782E0B">
        <w:tc>
          <w:tcPr>
            <w:tcW w:w="3997" w:type="dxa"/>
          </w:tcPr>
          <w:p w14:paraId="61DAF270" w14:textId="17957159" w:rsidR="00782E0B" w:rsidRPr="00A67277" w:rsidRDefault="00782E0B" w:rsidP="00782E0B">
            <w:pPr>
              <w:pStyle w:val="ListParagraph"/>
              <w:numPr>
                <w:ilvl w:val="1"/>
                <w:numId w:val="482"/>
              </w:numPr>
              <w:spacing w:line="240" w:lineRule="auto"/>
              <w:ind w:left="882" w:hanging="540"/>
              <w:jc w:val="left"/>
              <w:rPr>
                <w:rFonts w:cs="Arial"/>
              </w:rPr>
            </w:pPr>
            <w:r w:rsidRPr="00A67277">
              <w:rPr>
                <w:rFonts w:cs="Arial"/>
              </w:rPr>
              <w:t>Energy Supply</w:t>
            </w:r>
          </w:p>
        </w:tc>
        <w:tc>
          <w:tcPr>
            <w:tcW w:w="969" w:type="dxa"/>
          </w:tcPr>
          <w:p w14:paraId="27939EA9" w14:textId="551683EF" w:rsidR="00782E0B" w:rsidRPr="00A67277" w:rsidRDefault="00782E0B" w:rsidP="00782E0B">
            <w:pPr>
              <w:jc w:val="right"/>
              <w:rPr>
                <w:rFonts w:ascii="Arial" w:hAnsi="Arial" w:cs="Arial"/>
                <w:sz w:val="21"/>
                <w:szCs w:val="21"/>
              </w:rPr>
            </w:pPr>
            <w:r>
              <w:rPr>
                <w:rFonts w:ascii="Arial" w:hAnsi="Arial" w:cs="Arial"/>
                <w:sz w:val="21"/>
                <w:szCs w:val="21"/>
              </w:rPr>
              <w:t>105</w:t>
            </w:r>
          </w:p>
        </w:tc>
        <w:tc>
          <w:tcPr>
            <w:tcW w:w="3723" w:type="dxa"/>
          </w:tcPr>
          <w:p w14:paraId="653A896A" w14:textId="5B2A16CE"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en-US"/>
              </w:rPr>
              <w:t>Pasokan Energi</w:t>
            </w:r>
          </w:p>
        </w:tc>
        <w:tc>
          <w:tcPr>
            <w:tcW w:w="260" w:type="dxa"/>
          </w:tcPr>
          <w:p w14:paraId="11B6A76A" w14:textId="77777777" w:rsidR="00782E0B" w:rsidRPr="00A67277" w:rsidRDefault="00782E0B" w:rsidP="00782E0B">
            <w:pPr>
              <w:rPr>
                <w:rFonts w:ascii="Arial" w:hAnsi="Arial" w:cs="Arial"/>
                <w:sz w:val="21"/>
                <w:szCs w:val="21"/>
              </w:rPr>
            </w:pPr>
          </w:p>
        </w:tc>
        <w:tc>
          <w:tcPr>
            <w:tcW w:w="969" w:type="dxa"/>
          </w:tcPr>
          <w:p w14:paraId="2741434F" w14:textId="0BDAF158" w:rsidR="00782E0B" w:rsidRPr="00A67277" w:rsidRDefault="00782E0B" w:rsidP="00782E0B">
            <w:pPr>
              <w:jc w:val="right"/>
              <w:rPr>
                <w:rFonts w:ascii="Arial" w:hAnsi="Arial" w:cs="Arial"/>
                <w:sz w:val="21"/>
                <w:szCs w:val="21"/>
              </w:rPr>
            </w:pPr>
            <w:r>
              <w:rPr>
                <w:rFonts w:ascii="Arial" w:hAnsi="Arial" w:cs="Arial"/>
                <w:sz w:val="21"/>
                <w:szCs w:val="21"/>
              </w:rPr>
              <w:t>105</w:t>
            </w:r>
          </w:p>
        </w:tc>
      </w:tr>
      <w:tr w:rsidR="00DD1A2C" w:rsidRPr="00A67277" w14:paraId="4EE74FAF" w14:textId="77777777" w:rsidTr="00782E0B">
        <w:tc>
          <w:tcPr>
            <w:tcW w:w="3997" w:type="dxa"/>
          </w:tcPr>
          <w:p w14:paraId="12380EDB" w14:textId="77777777" w:rsidR="00DD1A2C" w:rsidRPr="00A67277" w:rsidRDefault="00DD1A2C" w:rsidP="00DD1A2C">
            <w:pPr>
              <w:rPr>
                <w:rFonts w:ascii="Arial" w:hAnsi="Arial" w:cs="Arial"/>
                <w:sz w:val="21"/>
                <w:szCs w:val="21"/>
              </w:rPr>
            </w:pPr>
          </w:p>
        </w:tc>
        <w:tc>
          <w:tcPr>
            <w:tcW w:w="969" w:type="dxa"/>
          </w:tcPr>
          <w:p w14:paraId="0B9EA2AE" w14:textId="77777777" w:rsidR="00DD1A2C" w:rsidRPr="00A67277" w:rsidRDefault="00DD1A2C" w:rsidP="00DD1A2C">
            <w:pPr>
              <w:jc w:val="right"/>
              <w:rPr>
                <w:rFonts w:ascii="Arial" w:hAnsi="Arial" w:cs="Arial"/>
                <w:sz w:val="21"/>
                <w:szCs w:val="21"/>
              </w:rPr>
            </w:pPr>
          </w:p>
        </w:tc>
        <w:tc>
          <w:tcPr>
            <w:tcW w:w="3723" w:type="dxa"/>
          </w:tcPr>
          <w:p w14:paraId="5FD3ACC0" w14:textId="77777777" w:rsidR="00DD1A2C" w:rsidRPr="00A67277" w:rsidRDefault="00DD1A2C" w:rsidP="00DD1A2C">
            <w:pPr>
              <w:rPr>
                <w:rFonts w:ascii="Arial" w:hAnsi="Arial" w:cs="Arial"/>
                <w:sz w:val="21"/>
                <w:szCs w:val="21"/>
                <w:lang w:val="id-ID"/>
              </w:rPr>
            </w:pPr>
          </w:p>
        </w:tc>
        <w:tc>
          <w:tcPr>
            <w:tcW w:w="260" w:type="dxa"/>
          </w:tcPr>
          <w:p w14:paraId="56971CC9" w14:textId="77777777" w:rsidR="00DD1A2C" w:rsidRPr="00A67277" w:rsidRDefault="00DD1A2C" w:rsidP="00DD1A2C">
            <w:pPr>
              <w:rPr>
                <w:rFonts w:ascii="Arial" w:hAnsi="Arial" w:cs="Arial"/>
                <w:sz w:val="21"/>
                <w:szCs w:val="21"/>
              </w:rPr>
            </w:pPr>
          </w:p>
        </w:tc>
        <w:tc>
          <w:tcPr>
            <w:tcW w:w="969" w:type="dxa"/>
          </w:tcPr>
          <w:p w14:paraId="7E383F74" w14:textId="77777777" w:rsidR="00DD1A2C" w:rsidRPr="00A67277" w:rsidRDefault="00DD1A2C" w:rsidP="00DD1A2C">
            <w:pPr>
              <w:jc w:val="right"/>
              <w:rPr>
                <w:rFonts w:ascii="Arial" w:hAnsi="Arial" w:cs="Arial"/>
                <w:sz w:val="21"/>
                <w:szCs w:val="21"/>
              </w:rPr>
            </w:pPr>
          </w:p>
        </w:tc>
      </w:tr>
      <w:tr w:rsidR="00782E0B" w:rsidRPr="00A67277" w14:paraId="7F548FF3" w14:textId="77777777" w:rsidTr="00782E0B">
        <w:tc>
          <w:tcPr>
            <w:tcW w:w="3997" w:type="dxa"/>
          </w:tcPr>
          <w:p w14:paraId="1AE8C0DF" w14:textId="4BF10953"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Collection, Settlement and Enforcement</w:t>
            </w:r>
          </w:p>
        </w:tc>
        <w:tc>
          <w:tcPr>
            <w:tcW w:w="969" w:type="dxa"/>
          </w:tcPr>
          <w:p w14:paraId="6E3BEBBF" w14:textId="2427CBEA" w:rsidR="00782E0B" w:rsidRPr="00A67277" w:rsidRDefault="00782E0B" w:rsidP="00782E0B">
            <w:pPr>
              <w:jc w:val="right"/>
              <w:rPr>
                <w:rFonts w:ascii="Arial" w:hAnsi="Arial" w:cs="Arial"/>
                <w:sz w:val="21"/>
                <w:szCs w:val="21"/>
              </w:rPr>
            </w:pPr>
            <w:r>
              <w:rPr>
                <w:rFonts w:ascii="Arial" w:hAnsi="Arial" w:cs="Arial"/>
                <w:sz w:val="21"/>
                <w:szCs w:val="21"/>
              </w:rPr>
              <w:t>106</w:t>
            </w:r>
          </w:p>
        </w:tc>
        <w:tc>
          <w:tcPr>
            <w:tcW w:w="3723" w:type="dxa"/>
          </w:tcPr>
          <w:p w14:paraId="0BCFFC32" w14:textId="7CD8D211" w:rsidR="00782E0B" w:rsidRPr="00A67277" w:rsidRDefault="00782E0B" w:rsidP="00782E0B">
            <w:pPr>
              <w:pStyle w:val="ListParagraph"/>
              <w:numPr>
                <w:ilvl w:val="0"/>
                <w:numId w:val="482"/>
              </w:numPr>
              <w:spacing w:line="240" w:lineRule="auto"/>
              <w:ind w:left="425" w:hanging="425"/>
              <w:jc w:val="left"/>
              <w:rPr>
                <w:rFonts w:cs="Arial"/>
                <w:b/>
                <w:lang w:val="id-ID"/>
              </w:rPr>
            </w:pPr>
            <w:r w:rsidRPr="00A67277">
              <w:rPr>
                <w:rFonts w:cs="Arial"/>
                <w:b/>
                <w:lang w:val="en-US"/>
              </w:rPr>
              <w:t>Pengumpulan, Pembayaran Akhir dan Penegakan Hukum</w:t>
            </w:r>
          </w:p>
        </w:tc>
        <w:tc>
          <w:tcPr>
            <w:tcW w:w="260" w:type="dxa"/>
          </w:tcPr>
          <w:p w14:paraId="450ABCBE" w14:textId="77777777" w:rsidR="00782E0B" w:rsidRPr="00A67277" w:rsidRDefault="00782E0B" w:rsidP="00782E0B">
            <w:pPr>
              <w:rPr>
                <w:rFonts w:ascii="Arial" w:hAnsi="Arial" w:cs="Arial"/>
                <w:sz w:val="21"/>
                <w:szCs w:val="21"/>
              </w:rPr>
            </w:pPr>
          </w:p>
        </w:tc>
        <w:tc>
          <w:tcPr>
            <w:tcW w:w="969" w:type="dxa"/>
          </w:tcPr>
          <w:p w14:paraId="47F78FCD" w14:textId="0E9453AE" w:rsidR="00782E0B" w:rsidRPr="00A67277" w:rsidRDefault="00782E0B" w:rsidP="00782E0B">
            <w:pPr>
              <w:jc w:val="right"/>
              <w:rPr>
                <w:rFonts w:ascii="Arial" w:hAnsi="Arial" w:cs="Arial"/>
                <w:sz w:val="21"/>
                <w:szCs w:val="21"/>
              </w:rPr>
            </w:pPr>
            <w:r>
              <w:rPr>
                <w:rFonts w:ascii="Arial" w:hAnsi="Arial" w:cs="Arial"/>
                <w:sz w:val="21"/>
                <w:szCs w:val="21"/>
              </w:rPr>
              <w:t>106</w:t>
            </w:r>
          </w:p>
        </w:tc>
      </w:tr>
      <w:tr w:rsidR="00782E0B" w:rsidRPr="00A67277" w14:paraId="266C771E" w14:textId="77777777" w:rsidTr="00782E0B">
        <w:tc>
          <w:tcPr>
            <w:tcW w:w="3997" w:type="dxa"/>
          </w:tcPr>
          <w:p w14:paraId="1D49AF25" w14:textId="7824D270" w:rsidR="00782E0B" w:rsidRPr="00A67277" w:rsidRDefault="00782E0B" w:rsidP="00782E0B">
            <w:pPr>
              <w:pStyle w:val="ListParagraph"/>
              <w:numPr>
                <w:ilvl w:val="0"/>
                <w:numId w:val="722"/>
              </w:numPr>
              <w:spacing w:line="240" w:lineRule="auto"/>
              <w:ind w:left="998" w:hanging="567"/>
              <w:jc w:val="left"/>
              <w:rPr>
                <w:rFonts w:cs="Arial"/>
              </w:rPr>
            </w:pPr>
            <w:r w:rsidRPr="00A67277">
              <w:rPr>
                <w:rFonts w:cs="Arial"/>
              </w:rPr>
              <w:t>Collection</w:t>
            </w:r>
          </w:p>
        </w:tc>
        <w:tc>
          <w:tcPr>
            <w:tcW w:w="969" w:type="dxa"/>
          </w:tcPr>
          <w:p w14:paraId="2ED0F1EA" w14:textId="20F5E901" w:rsidR="00782E0B" w:rsidRPr="00A67277" w:rsidRDefault="00782E0B" w:rsidP="00782E0B">
            <w:pPr>
              <w:jc w:val="right"/>
              <w:rPr>
                <w:rFonts w:ascii="Arial" w:hAnsi="Arial" w:cs="Arial"/>
                <w:sz w:val="21"/>
                <w:szCs w:val="21"/>
              </w:rPr>
            </w:pPr>
            <w:r>
              <w:rPr>
                <w:rFonts w:ascii="Arial" w:hAnsi="Arial" w:cs="Arial"/>
                <w:sz w:val="21"/>
                <w:szCs w:val="21"/>
              </w:rPr>
              <w:t>106</w:t>
            </w:r>
          </w:p>
        </w:tc>
        <w:tc>
          <w:tcPr>
            <w:tcW w:w="3723" w:type="dxa"/>
          </w:tcPr>
          <w:p w14:paraId="20DD5ED3" w14:textId="496CB2FE" w:rsidR="00782E0B" w:rsidRPr="00A67277" w:rsidRDefault="00782E0B" w:rsidP="00782E0B">
            <w:pPr>
              <w:pStyle w:val="ListParagraph"/>
              <w:numPr>
                <w:ilvl w:val="0"/>
                <w:numId w:val="723"/>
              </w:numPr>
              <w:spacing w:line="240" w:lineRule="auto"/>
              <w:ind w:hanging="696"/>
              <w:jc w:val="left"/>
              <w:rPr>
                <w:rFonts w:cs="Arial"/>
                <w:lang w:val="en-US"/>
              </w:rPr>
            </w:pPr>
            <w:r w:rsidRPr="00A67277">
              <w:rPr>
                <w:rFonts w:cs="Arial"/>
                <w:lang w:val="en-US"/>
              </w:rPr>
              <w:t>Pengumpulan</w:t>
            </w:r>
          </w:p>
        </w:tc>
        <w:tc>
          <w:tcPr>
            <w:tcW w:w="260" w:type="dxa"/>
          </w:tcPr>
          <w:p w14:paraId="678B7CB2" w14:textId="77777777" w:rsidR="00782E0B" w:rsidRPr="00A67277" w:rsidRDefault="00782E0B" w:rsidP="00782E0B">
            <w:pPr>
              <w:rPr>
                <w:rFonts w:ascii="Arial" w:hAnsi="Arial" w:cs="Arial"/>
                <w:sz w:val="21"/>
                <w:szCs w:val="21"/>
              </w:rPr>
            </w:pPr>
          </w:p>
        </w:tc>
        <w:tc>
          <w:tcPr>
            <w:tcW w:w="969" w:type="dxa"/>
          </w:tcPr>
          <w:p w14:paraId="6D3BB3C5" w14:textId="6B5AE1FF" w:rsidR="00782E0B" w:rsidRPr="00A67277" w:rsidRDefault="00782E0B" w:rsidP="00782E0B">
            <w:pPr>
              <w:jc w:val="right"/>
              <w:rPr>
                <w:rFonts w:ascii="Arial" w:hAnsi="Arial" w:cs="Arial"/>
                <w:sz w:val="21"/>
                <w:szCs w:val="21"/>
              </w:rPr>
            </w:pPr>
            <w:r>
              <w:rPr>
                <w:rFonts w:ascii="Arial" w:hAnsi="Arial" w:cs="Arial"/>
                <w:sz w:val="21"/>
                <w:szCs w:val="21"/>
              </w:rPr>
              <w:t>106</w:t>
            </w:r>
          </w:p>
        </w:tc>
      </w:tr>
      <w:tr w:rsidR="00782E0B" w:rsidRPr="00A67277" w14:paraId="1D2A58AD" w14:textId="77777777" w:rsidTr="00782E0B">
        <w:tc>
          <w:tcPr>
            <w:tcW w:w="3997" w:type="dxa"/>
          </w:tcPr>
          <w:p w14:paraId="7306364F" w14:textId="7C989446" w:rsidR="00782E0B" w:rsidRPr="00A67277" w:rsidRDefault="00782E0B" w:rsidP="00782E0B">
            <w:pPr>
              <w:pStyle w:val="ListParagraph"/>
              <w:numPr>
                <w:ilvl w:val="0"/>
                <w:numId w:val="722"/>
              </w:numPr>
              <w:spacing w:line="240" w:lineRule="auto"/>
              <w:ind w:left="998" w:hanging="567"/>
              <w:jc w:val="left"/>
              <w:rPr>
                <w:rFonts w:cs="Arial"/>
              </w:rPr>
            </w:pPr>
            <w:r w:rsidRPr="00A67277">
              <w:rPr>
                <w:rFonts w:cs="Arial"/>
              </w:rPr>
              <w:t>Settlement</w:t>
            </w:r>
          </w:p>
        </w:tc>
        <w:tc>
          <w:tcPr>
            <w:tcW w:w="969" w:type="dxa"/>
          </w:tcPr>
          <w:p w14:paraId="505E6864" w14:textId="17BFA479" w:rsidR="00782E0B" w:rsidRPr="00A67277" w:rsidRDefault="00782E0B" w:rsidP="00782E0B">
            <w:pPr>
              <w:jc w:val="right"/>
              <w:rPr>
                <w:rFonts w:ascii="Arial" w:hAnsi="Arial" w:cs="Arial"/>
                <w:sz w:val="21"/>
                <w:szCs w:val="21"/>
              </w:rPr>
            </w:pPr>
            <w:r>
              <w:rPr>
                <w:rFonts w:ascii="Arial" w:hAnsi="Arial" w:cs="Arial"/>
                <w:sz w:val="21"/>
                <w:szCs w:val="21"/>
              </w:rPr>
              <w:t>107</w:t>
            </w:r>
          </w:p>
        </w:tc>
        <w:tc>
          <w:tcPr>
            <w:tcW w:w="3723" w:type="dxa"/>
          </w:tcPr>
          <w:p w14:paraId="50D79793" w14:textId="047BB486" w:rsidR="00782E0B" w:rsidRPr="00A67277" w:rsidRDefault="00782E0B" w:rsidP="00782E0B">
            <w:pPr>
              <w:pStyle w:val="ListParagraph"/>
              <w:numPr>
                <w:ilvl w:val="0"/>
                <w:numId w:val="723"/>
              </w:numPr>
              <w:spacing w:line="240" w:lineRule="auto"/>
              <w:ind w:hanging="696"/>
              <w:jc w:val="left"/>
              <w:rPr>
                <w:rFonts w:cs="Arial"/>
                <w:lang w:val="en-US"/>
              </w:rPr>
            </w:pPr>
            <w:r w:rsidRPr="00A67277">
              <w:rPr>
                <w:rFonts w:cs="Arial"/>
                <w:lang w:val="en-US"/>
              </w:rPr>
              <w:t>Pembayaran</w:t>
            </w:r>
          </w:p>
        </w:tc>
        <w:tc>
          <w:tcPr>
            <w:tcW w:w="260" w:type="dxa"/>
          </w:tcPr>
          <w:p w14:paraId="79DEB4AC" w14:textId="77777777" w:rsidR="00782E0B" w:rsidRPr="00A67277" w:rsidRDefault="00782E0B" w:rsidP="00782E0B">
            <w:pPr>
              <w:rPr>
                <w:rFonts w:ascii="Arial" w:hAnsi="Arial" w:cs="Arial"/>
                <w:sz w:val="21"/>
                <w:szCs w:val="21"/>
              </w:rPr>
            </w:pPr>
          </w:p>
        </w:tc>
        <w:tc>
          <w:tcPr>
            <w:tcW w:w="969" w:type="dxa"/>
          </w:tcPr>
          <w:p w14:paraId="6FC61541" w14:textId="189CDEC9" w:rsidR="00782E0B" w:rsidRPr="00A67277" w:rsidRDefault="00782E0B" w:rsidP="00782E0B">
            <w:pPr>
              <w:jc w:val="right"/>
              <w:rPr>
                <w:rFonts w:ascii="Arial" w:hAnsi="Arial" w:cs="Arial"/>
                <w:sz w:val="21"/>
                <w:szCs w:val="21"/>
              </w:rPr>
            </w:pPr>
            <w:r>
              <w:rPr>
                <w:rFonts w:ascii="Arial" w:hAnsi="Arial" w:cs="Arial"/>
                <w:sz w:val="21"/>
                <w:szCs w:val="21"/>
              </w:rPr>
              <w:t>107</w:t>
            </w:r>
          </w:p>
        </w:tc>
      </w:tr>
      <w:tr w:rsidR="00782E0B" w:rsidRPr="00A67277" w14:paraId="304B2937" w14:textId="77777777" w:rsidTr="00782E0B">
        <w:tc>
          <w:tcPr>
            <w:tcW w:w="3997" w:type="dxa"/>
          </w:tcPr>
          <w:p w14:paraId="233BD003" w14:textId="4E78F746" w:rsidR="00782E0B" w:rsidRPr="00A67277" w:rsidRDefault="00782E0B" w:rsidP="00782E0B">
            <w:pPr>
              <w:pStyle w:val="ListParagraph"/>
              <w:numPr>
                <w:ilvl w:val="0"/>
                <w:numId w:val="722"/>
              </w:numPr>
              <w:spacing w:line="240" w:lineRule="auto"/>
              <w:ind w:left="998" w:hanging="567"/>
              <w:jc w:val="left"/>
              <w:rPr>
                <w:rFonts w:cs="Arial"/>
              </w:rPr>
            </w:pPr>
            <w:r w:rsidRPr="00A67277">
              <w:rPr>
                <w:rFonts w:cs="Arial"/>
              </w:rPr>
              <w:t>Enforcement</w:t>
            </w:r>
          </w:p>
        </w:tc>
        <w:tc>
          <w:tcPr>
            <w:tcW w:w="969" w:type="dxa"/>
          </w:tcPr>
          <w:p w14:paraId="48A7CF5E" w14:textId="559F3FE2" w:rsidR="00782E0B" w:rsidRPr="00A67277" w:rsidRDefault="00782E0B" w:rsidP="00782E0B">
            <w:pPr>
              <w:jc w:val="right"/>
              <w:rPr>
                <w:rFonts w:ascii="Arial" w:hAnsi="Arial" w:cs="Arial"/>
                <w:sz w:val="21"/>
                <w:szCs w:val="21"/>
              </w:rPr>
            </w:pPr>
            <w:r>
              <w:rPr>
                <w:rFonts w:ascii="Arial" w:hAnsi="Arial" w:cs="Arial"/>
                <w:sz w:val="21"/>
                <w:szCs w:val="21"/>
              </w:rPr>
              <w:t>107</w:t>
            </w:r>
          </w:p>
        </w:tc>
        <w:tc>
          <w:tcPr>
            <w:tcW w:w="3723" w:type="dxa"/>
          </w:tcPr>
          <w:p w14:paraId="68CB1F8A" w14:textId="75FB0B5E" w:rsidR="00782E0B" w:rsidRPr="00A67277" w:rsidRDefault="00782E0B" w:rsidP="00782E0B">
            <w:pPr>
              <w:pStyle w:val="ListParagraph"/>
              <w:numPr>
                <w:ilvl w:val="0"/>
                <w:numId w:val="723"/>
              </w:numPr>
              <w:spacing w:line="240" w:lineRule="auto"/>
              <w:ind w:hanging="696"/>
              <w:jc w:val="left"/>
              <w:rPr>
                <w:rFonts w:cs="Arial"/>
                <w:lang w:val="en-US"/>
              </w:rPr>
            </w:pPr>
            <w:r w:rsidRPr="00A67277">
              <w:rPr>
                <w:rFonts w:cs="Arial"/>
                <w:lang w:val="en-US"/>
              </w:rPr>
              <w:t>Penegakan Hukum</w:t>
            </w:r>
          </w:p>
        </w:tc>
        <w:tc>
          <w:tcPr>
            <w:tcW w:w="260" w:type="dxa"/>
          </w:tcPr>
          <w:p w14:paraId="5385DB88" w14:textId="77777777" w:rsidR="00782E0B" w:rsidRPr="00A67277" w:rsidRDefault="00782E0B" w:rsidP="00782E0B">
            <w:pPr>
              <w:rPr>
                <w:rFonts w:ascii="Arial" w:hAnsi="Arial" w:cs="Arial"/>
                <w:sz w:val="21"/>
                <w:szCs w:val="21"/>
              </w:rPr>
            </w:pPr>
          </w:p>
        </w:tc>
        <w:tc>
          <w:tcPr>
            <w:tcW w:w="969" w:type="dxa"/>
          </w:tcPr>
          <w:p w14:paraId="5143C78C" w14:textId="551B9544" w:rsidR="00782E0B" w:rsidRPr="00A67277" w:rsidRDefault="00782E0B" w:rsidP="00782E0B">
            <w:pPr>
              <w:jc w:val="right"/>
              <w:rPr>
                <w:rFonts w:ascii="Arial" w:hAnsi="Arial" w:cs="Arial"/>
                <w:sz w:val="21"/>
                <w:szCs w:val="21"/>
              </w:rPr>
            </w:pPr>
            <w:r>
              <w:rPr>
                <w:rFonts w:ascii="Arial" w:hAnsi="Arial" w:cs="Arial"/>
                <w:sz w:val="21"/>
                <w:szCs w:val="21"/>
              </w:rPr>
              <w:t>107</w:t>
            </w:r>
          </w:p>
        </w:tc>
      </w:tr>
      <w:tr w:rsidR="00DD1A2C" w:rsidRPr="00A67277" w14:paraId="0F77A2FF" w14:textId="77777777" w:rsidTr="00782E0B">
        <w:tc>
          <w:tcPr>
            <w:tcW w:w="3997" w:type="dxa"/>
          </w:tcPr>
          <w:p w14:paraId="6A234D5E" w14:textId="77777777" w:rsidR="00DD1A2C" w:rsidRPr="00A67277" w:rsidRDefault="00DD1A2C" w:rsidP="00DD1A2C">
            <w:pPr>
              <w:rPr>
                <w:rFonts w:ascii="Arial" w:hAnsi="Arial" w:cs="Arial"/>
                <w:sz w:val="21"/>
                <w:szCs w:val="21"/>
              </w:rPr>
            </w:pPr>
          </w:p>
        </w:tc>
        <w:tc>
          <w:tcPr>
            <w:tcW w:w="969" w:type="dxa"/>
          </w:tcPr>
          <w:p w14:paraId="675C0529" w14:textId="77777777" w:rsidR="00DD1A2C" w:rsidRPr="00A67277" w:rsidRDefault="00DD1A2C" w:rsidP="00DD1A2C">
            <w:pPr>
              <w:jc w:val="right"/>
              <w:rPr>
                <w:rFonts w:ascii="Arial" w:hAnsi="Arial" w:cs="Arial"/>
                <w:sz w:val="21"/>
                <w:szCs w:val="21"/>
              </w:rPr>
            </w:pPr>
          </w:p>
        </w:tc>
        <w:tc>
          <w:tcPr>
            <w:tcW w:w="3723" w:type="dxa"/>
          </w:tcPr>
          <w:p w14:paraId="503ED2F4" w14:textId="77777777" w:rsidR="00DD1A2C" w:rsidRPr="00A67277" w:rsidRDefault="00DD1A2C" w:rsidP="00DD1A2C">
            <w:pPr>
              <w:rPr>
                <w:rFonts w:ascii="Arial" w:hAnsi="Arial" w:cs="Arial"/>
                <w:sz w:val="21"/>
                <w:szCs w:val="21"/>
                <w:lang w:val="id-ID"/>
              </w:rPr>
            </w:pPr>
          </w:p>
        </w:tc>
        <w:tc>
          <w:tcPr>
            <w:tcW w:w="260" w:type="dxa"/>
          </w:tcPr>
          <w:p w14:paraId="152FCB69" w14:textId="77777777" w:rsidR="00DD1A2C" w:rsidRPr="00A67277" w:rsidRDefault="00DD1A2C" w:rsidP="00DD1A2C">
            <w:pPr>
              <w:rPr>
                <w:rFonts w:ascii="Arial" w:hAnsi="Arial" w:cs="Arial"/>
                <w:sz w:val="21"/>
                <w:szCs w:val="21"/>
              </w:rPr>
            </w:pPr>
          </w:p>
        </w:tc>
        <w:tc>
          <w:tcPr>
            <w:tcW w:w="969" w:type="dxa"/>
          </w:tcPr>
          <w:p w14:paraId="659B3CC8" w14:textId="77777777" w:rsidR="00DD1A2C" w:rsidRPr="00A67277" w:rsidRDefault="00DD1A2C" w:rsidP="00DD1A2C">
            <w:pPr>
              <w:jc w:val="right"/>
              <w:rPr>
                <w:rFonts w:ascii="Arial" w:hAnsi="Arial" w:cs="Arial"/>
                <w:sz w:val="21"/>
                <w:szCs w:val="21"/>
              </w:rPr>
            </w:pPr>
          </w:p>
        </w:tc>
      </w:tr>
      <w:tr w:rsidR="00DD1A2C" w:rsidRPr="00A67277" w14:paraId="476D0C1E" w14:textId="77777777" w:rsidTr="00782E0B">
        <w:tc>
          <w:tcPr>
            <w:tcW w:w="3997" w:type="dxa"/>
          </w:tcPr>
          <w:p w14:paraId="7BB4B80C" w14:textId="0A41AED6" w:rsidR="00DD1A2C" w:rsidRPr="00A67277" w:rsidRDefault="000A2AD9" w:rsidP="00262C7F">
            <w:pPr>
              <w:pStyle w:val="ListParagraph"/>
              <w:numPr>
                <w:ilvl w:val="0"/>
                <w:numId w:val="482"/>
              </w:numPr>
              <w:spacing w:line="240" w:lineRule="auto"/>
              <w:ind w:left="402" w:hanging="402"/>
              <w:jc w:val="left"/>
              <w:rPr>
                <w:rFonts w:cs="Arial"/>
                <w:b/>
              </w:rPr>
            </w:pPr>
            <w:r w:rsidRPr="00A67277">
              <w:rPr>
                <w:rFonts w:cs="Arial"/>
                <w:b/>
              </w:rPr>
              <w:t xml:space="preserve">Socialization for Toll Road Users and Distribution </w:t>
            </w:r>
            <w:r w:rsidR="00CF6DB2" w:rsidRPr="00A67277">
              <w:rPr>
                <w:rFonts w:cs="Arial"/>
                <w:b/>
              </w:rPr>
              <w:t>User MLFF System Device</w:t>
            </w:r>
          </w:p>
        </w:tc>
        <w:tc>
          <w:tcPr>
            <w:tcW w:w="969" w:type="dxa"/>
          </w:tcPr>
          <w:p w14:paraId="5F059307" w14:textId="4A43A35B" w:rsidR="00DD1A2C" w:rsidRPr="00A67277" w:rsidRDefault="00FD498E" w:rsidP="00DD1A2C">
            <w:pPr>
              <w:jc w:val="right"/>
              <w:rPr>
                <w:rFonts w:ascii="Arial" w:hAnsi="Arial" w:cs="Arial"/>
                <w:sz w:val="21"/>
                <w:szCs w:val="21"/>
              </w:rPr>
            </w:pPr>
            <w:r>
              <w:rPr>
                <w:rFonts w:ascii="Arial" w:hAnsi="Arial" w:cs="Arial"/>
                <w:sz w:val="21"/>
                <w:szCs w:val="21"/>
              </w:rPr>
              <w:t>108</w:t>
            </w:r>
          </w:p>
        </w:tc>
        <w:tc>
          <w:tcPr>
            <w:tcW w:w="3723" w:type="dxa"/>
          </w:tcPr>
          <w:p w14:paraId="73E65852" w14:textId="6A2AE8AC" w:rsidR="00DD1A2C" w:rsidRPr="00A67277" w:rsidRDefault="000A2AD9" w:rsidP="00262C7F">
            <w:pPr>
              <w:pStyle w:val="ListParagraph"/>
              <w:numPr>
                <w:ilvl w:val="0"/>
                <w:numId w:val="479"/>
              </w:numPr>
              <w:spacing w:line="240" w:lineRule="auto"/>
              <w:ind w:left="425" w:hanging="425"/>
              <w:jc w:val="left"/>
              <w:rPr>
                <w:rFonts w:cs="Arial"/>
                <w:b/>
                <w:lang w:val="id-ID"/>
              </w:rPr>
            </w:pPr>
            <w:r w:rsidRPr="00A67277">
              <w:rPr>
                <w:rFonts w:cs="Arial"/>
                <w:b/>
                <w:lang w:val="en-US"/>
              </w:rPr>
              <w:t xml:space="preserve">Sosialisasi untuk Pengguna Jalan Tol dan Distribusi </w:t>
            </w:r>
            <w:r w:rsidR="00CF6DB2" w:rsidRPr="00A67277">
              <w:rPr>
                <w:rFonts w:cs="Arial"/>
                <w:b/>
                <w:lang w:val="en-US"/>
              </w:rPr>
              <w:t>Perangkat Sistem MLFF Pengguna</w:t>
            </w:r>
          </w:p>
        </w:tc>
        <w:tc>
          <w:tcPr>
            <w:tcW w:w="260" w:type="dxa"/>
          </w:tcPr>
          <w:p w14:paraId="66D72764" w14:textId="77777777" w:rsidR="00DD1A2C" w:rsidRPr="00A67277" w:rsidRDefault="00DD1A2C" w:rsidP="00DD1A2C">
            <w:pPr>
              <w:rPr>
                <w:rFonts w:ascii="Arial" w:hAnsi="Arial" w:cs="Arial"/>
                <w:sz w:val="21"/>
                <w:szCs w:val="21"/>
              </w:rPr>
            </w:pPr>
          </w:p>
        </w:tc>
        <w:tc>
          <w:tcPr>
            <w:tcW w:w="969" w:type="dxa"/>
          </w:tcPr>
          <w:p w14:paraId="670F0CDB" w14:textId="3BBBC19B" w:rsidR="00DD1A2C" w:rsidRPr="00A67277" w:rsidRDefault="00782E0B" w:rsidP="00DD1A2C">
            <w:pPr>
              <w:jc w:val="right"/>
              <w:rPr>
                <w:rFonts w:ascii="Arial" w:hAnsi="Arial" w:cs="Arial"/>
                <w:sz w:val="21"/>
                <w:szCs w:val="21"/>
              </w:rPr>
            </w:pPr>
            <w:r>
              <w:rPr>
                <w:rFonts w:ascii="Arial" w:hAnsi="Arial" w:cs="Arial"/>
                <w:sz w:val="21"/>
                <w:szCs w:val="21"/>
              </w:rPr>
              <w:t>108</w:t>
            </w:r>
          </w:p>
        </w:tc>
      </w:tr>
      <w:tr w:rsidR="003430F9" w:rsidRPr="00A67277" w14:paraId="2594EAF0" w14:textId="77777777" w:rsidTr="00782E0B">
        <w:tc>
          <w:tcPr>
            <w:tcW w:w="3997" w:type="dxa"/>
          </w:tcPr>
          <w:p w14:paraId="3D76BD94" w14:textId="77777777" w:rsidR="003430F9" w:rsidRPr="00A67277" w:rsidRDefault="003430F9" w:rsidP="00BA7204">
            <w:pPr>
              <w:rPr>
                <w:rFonts w:ascii="Arial" w:hAnsi="Arial" w:cs="Arial"/>
                <w:sz w:val="21"/>
                <w:szCs w:val="21"/>
              </w:rPr>
            </w:pPr>
          </w:p>
        </w:tc>
        <w:tc>
          <w:tcPr>
            <w:tcW w:w="969" w:type="dxa"/>
          </w:tcPr>
          <w:p w14:paraId="0F53B913" w14:textId="77777777" w:rsidR="003430F9" w:rsidRPr="00A67277" w:rsidRDefault="003430F9" w:rsidP="00BA7204">
            <w:pPr>
              <w:jc w:val="right"/>
              <w:rPr>
                <w:rFonts w:ascii="Arial" w:hAnsi="Arial" w:cs="Arial"/>
                <w:sz w:val="21"/>
                <w:szCs w:val="21"/>
              </w:rPr>
            </w:pPr>
          </w:p>
        </w:tc>
        <w:tc>
          <w:tcPr>
            <w:tcW w:w="3723" w:type="dxa"/>
          </w:tcPr>
          <w:p w14:paraId="19EFCD5F" w14:textId="77777777" w:rsidR="003430F9" w:rsidRPr="00A67277" w:rsidRDefault="003430F9" w:rsidP="00BA7204">
            <w:pPr>
              <w:rPr>
                <w:rFonts w:ascii="Arial" w:hAnsi="Arial" w:cs="Arial"/>
                <w:sz w:val="21"/>
                <w:szCs w:val="21"/>
                <w:lang w:val="id-ID"/>
              </w:rPr>
            </w:pPr>
          </w:p>
        </w:tc>
        <w:tc>
          <w:tcPr>
            <w:tcW w:w="260" w:type="dxa"/>
          </w:tcPr>
          <w:p w14:paraId="1FA66338" w14:textId="77777777" w:rsidR="003430F9" w:rsidRPr="00A67277" w:rsidRDefault="003430F9" w:rsidP="00BA7204">
            <w:pPr>
              <w:rPr>
                <w:rFonts w:ascii="Arial" w:hAnsi="Arial" w:cs="Arial"/>
                <w:sz w:val="21"/>
                <w:szCs w:val="21"/>
              </w:rPr>
            </w:pPr>
          </w:p>
        </w:tc>
        <w:tc>
          <w:tcPr>
            <w:tcW w:w="969" w:type="dxa"/>
          </w:tcPr>
          <w:p w14:paraId="4D392D8A" w14:textId="77777777" w:rsidR="003430F9" w:rsidRPr="00A67277" w:rsidRDefault="003430F9" w:rsidP="00BA7204">
            <w:pPr>
              <w:jc w:val="right"/>
              <w:rPr>
                <w:rFonts w:ascii="Arial" w:hAnsi="Arial" w:cs="Arial"/>
                <w:sz w:val="21"/>
                <w:szCs w:val="21"/>
              </w:rPr>
            </w:pPr>
          </w:p>
        </w:tc>
      </w:tr>
      <w:tr w:rsidR="00782E0B" w:rsidRPr="00A67277" w14:paraId="0D4C251C" w14:textId="77777777" w:rsidTr="00782E0B">
        <w:tc>
          <w:tcPr>
            <w:tcW w:w="3997" w:type="dxa"/>
          </w:tcPr>
          <w:p w14:paraId="5D05D0ED" w14:textId="031609BF"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Additional Lane</w:t>
            </w:r>
          </w:p>
        </w:tc>
        <w:tc>
          <w:tcPr>
            <w:tcW w:w="969" w:type="dxa"/>
          </w:tcPr>
          <w:p w14:paraId="432D08D6" w14:textId="74E378AB" w:rsidR="00782E0B" w:rsidRPr="00A67277" w:rsidRDefault="00782E0B" w:rsidP="00782E0B">
            <w:pPr>
              <w:jc w:val="right"/>
              <w:rPr>
                <w:rFonts w:ascii="Arial" w:hAnsi="Arial" w:cs="Arial"/>
                <w:sz w:val="21"/>
                <w:szCs w:val="21"/>
              </w:rPr>
            </w:pPr>
            <w:r>
              <w:rPr>
                <w:rFonts w:ascii="Arial" w:hAnsi="Arial" w:cs="Arial"/>
                <w:sz w:val="21"/>
                <w:szCs w:val="21"/>
              </w:rPr>
              <w:t>109</w:t>
            </w:r>
          </w:p>
        </w:tc>
        <w:tc>
          <w:tcPr>
            <w:tcW w:w="3723" w:type="dxa"/>
          </w:tcPr>
          <w:p w14:paraId="31B8D36F" w14:textId="77777777" w:rsidR="00782E0B" w:rsidRPr="00A67277" w:rsidRDefault="00782E0B" w:rsidP="00782E0B">
            <w:pPr>
              <w:pStyle w:val="ListParagraph"/>
              <w:numPr>
                <w:ilvl w:val="0"/>
                <w:numId w:val="482"/>
              </w:numPr>
              <w:spacing w:line="240" w:lineRule="auto"/>
              <w:ind w:left="425" w:hanging="425"/>
              <w:jc w:val="left"/>
              <w:rPr>
                <w:rFonts w:cs="Arial"/>
                <w:b/>
                <w:lang w:val="id-ID"/>
              </w:rPr>
            </w:pPr>
            <w:r w:rsidRPr="00A67277">
              <w:rPr>
                <w:rFonts w:cs="Arial"/>
                <w:b/>
                <w:lang w:val="en-US"/>
              </w:rPr>
              <w:t>Jalur Tambahan</w:t>
            </w:r>
          </w:p>
        </w:tc>
        <w:tc>
          <w:tcPr>
            <w:tcW w:w="260" w:type="dxa"/>
          </w:tcPr>
          <w:p w14:paraId="1A940D10" w14:textId="77777777" w:rsidR="00782E0B" w:rsidRPr="00A67277" w:rsidRDefault="00782E0B" w:rsidP="00782E0B">
            <w:pPr>
              <w:rPr>
                <w:rFonts w:ascii="Arial" w:hAnsi="Arial" w:cs="Arial"/>
                <w:sz w:val="21"/>
                <w:szCs w:val="21"/>
              </w:rPr>
            </w:pPr>
          </w:p>
        </w:tc>
        <w:tc>
          <w:tcPr>
            <w:tcW w:w="969" w:type="dxa"/>
          </w:tcPr>
          <w:p w14:paraId="3CC5DA15" w14:textId="7F1778B5" w:rsidR="00782E0B" w:rsidRPr="00A67277" w:rsidRDefault="00782E0B" w:rsidP="00782E0B">
            <w:pPr>
              <w:jc w:val="right"/>
              <w:rPr>
                <w:rFonts w:ascii="Arial" w:hAnsi="Arial" w:cs="Arial"/>
                <w:sz w:val="21"/>
                <w:szCs w:val="21"/>
              </w:rPr>
            </w:pPr>
            <w:r>
              <w:rPr>
                <w:rFonts w:ascii="Arial" w:hAnsi="Arial" w:cs="Arial"/>
                <w:sz w:val="21"/>
                <w:szCs w:val="21"/>
              </w:rPr>
              <w:t>109</w:t>
            </w:r>
          </w:p>
        </w:tc>
      </w:tr>
      <w:tr w:rsidR="00782E0B" w:rsidRPr="00A67277" w14:paraId="5F6D837A" w14:textId="77777777" w:rsidTr="00782E0B">
        <w:tc>
          <w:tcPr>
            <w:tcW w:w="3997" w:type="dxa"/>
          </w:tcPr>
          <w:p w14:paraId="3D384F9B" w14:textId="77777777" w:rsidR="00782E0B" w:rsidRPr="00A67277" w:rsidRDefault="00782E0B" w:rsidP="00782E0B">
            <w:pPr>
              <w:rPr>
                <w:rFonts w:ascii="Arial" w:hAnsi="Arial" w:cs="Arial"/>
                <w:sz w:val="21"/>
                <w:szCs w:val="21"/>
              </w:rPr>
            </w:pPr>
          </w:p>
        </w:tc>
        <w:tc>
          <w:tcPr>
            <w:tcW w:w="969" w:type="dxa"/>
          </w:tcPr>
          <w:p w14:paraId="3452BC22" w14:textId="77777777" w:rsidR="00782E0B" w:rsidRPr="00A67277" w:rsidRDefault="00782E0B" w:rsidP="00782E0B">
            <w:pPr>
              <w:jc w:val="right"/>
              <w:rPr>
                <w:rFonts w:ascii="Arial" w:hAnsi="Arial" w:cs="Arial"/>
                <w:sz w:val="21"/>
                <w:szCs w:val="21"/>
              </w:rPr>
            </w:pPr>
          </w:p>
        </w:tc>
        <w:tc>
          <w:tcPr>
            <w:tcW w:w="3723" w:type="dxa"/>
          </w:tcPr>
          <w:p w14:paraId="6508417C" w14:textId="77777777" w:rsidR="00782E0B" w:rsidRPr="00A67277" w:rsidRDefault="00782E0B" w:rsidP="00782E0B">
            <w:pPr>
              <w:rPr>
                <w:rFonts w:ascii="Arial" w:hAnsi="Arial" w:cs="Arial"/>
                <w:sz w:val="21"/>
                <w:szCs w:val="21"/>
                <w:lang w:val="id-ID"/>
              </w:rPr>
            </w:pPr>
          </w:p>
        </w:tc>
        <w:tc>
          <w:tcPr>
            <w:tcW w:w="260" w:type="dxa"/>
          </w:tcPr>
          <w:p w14:paraId="08C529C9" w14:textId="77777777" w:rsidR="00782E0B" w:rsidRPr="00A67277" w:rsidRDefault="00782E0B" w:rsidP="00782E0B">
            <w:pPr>
              <w:rPr>
                <w:rFonts w:ascii="Arial" w:hAnsi="Arial" w:cs="Arial"/>
                <w:sz w:val="21"/>
                <w:szCs w:val="21"/>
              </w:rPr>
            </w:pPr>
          </w:p>
        </w:tc>
        <w:tc>
          <w:tcPr>
            <w:tcW w:w="969" w:type="dxa"/>
          </w:tcPr>
          <w:p w14:paraId="0EE0C18A" w14:textId="77777777" w:rsidR="00782E0B" w:rsidRPr="00A67277" w:rsidRDefault="00782E0B" w:rsidP="00782E0B">
            <w:pPr>
              <w:jc w:val="right"/>
              <w:rPr>
                <w:rFonts w:ascii="Arial" w:hAnsi="Arial" w:cs="Arial"/>
                <w:sz w:val="21"/>
                <w:szCs w:val="21"/>
              </w:rPr>
            </w:pPr>
          </w:p>
        </w:tc>
      </w:tr>
      <w:tr w:rsidR="00782E0B" w:rsidRPr="00A67277" w14:paraId="4BB3EF85" w14:textId="77777777" w:rsidTr="00782E0B">
        <w:tc>
          <w:tcPr>
            <w:tcW w:w="3997" w:type="dxa"/>
          </w:tcPr>
          <w:p w14:paraId="0759CFF1" w14:textId="77777777"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lastRenderedPageBreak/>
              <w:t>Measurement</w:t>
            </w:r>
          </w:p>
        </w:tc>
        <w:tc>
          <w:tcPr>
            <w:tcW w:w="969" w:type="dxa"/>
          </w:tcPr>
          <w:p w14:paraId="1B8B0441" w14:textId="474996DF" w:rsidR="00782E0B" w:rsidRPr="00A67277" w:rsidRDefault="00782E0B" w:rsidP="00782E0B">
            <w:pPr>
              <w:jc w:val="right"/>
              <w:rPr>
                <w:rFonts w:ascii="Arial" w:hAnsi="Arial" w:cs="Arial"/>
                <w:sz w:val="21"/>
                <w:szCs w:val="21"/>
              </w:rPr>
            </w:pPr>
            <w:r>
              <w:rPr>
                <w:rFonts w:ascii="Arial" w:hAnsi="Arial" w:cs="Arial"/>
                <w:sz w:val="21"/>
                <w:szCs w:val="21"/>
              </w:rPr>
              <w:t>110</w:t>
            </w:r>
          </w:p>
        </w:tc>
        <w:tc>
          <w:tcPr>
            <w:tcW w:w="3723" w:type="dxa"/>
          </w:tcPr>
          <w:p w14:paraId="3F2EF1D4" w14:textId="77777777" w:rsidR="00782E0B" w:rsidRPr="00A67277" w:rsidRDefault="00782E0B" w:rsidP="00782E0B">
            <w:pPr>
              <w:pStyle w:val="ListParagraph"/>
              <w:numPr>
                <w:ilvl w:val="0"/>
                <w:numId w:val="482"/>
              </w:numPr>
              <w:spacing w:line="240" w:lineRule="auto"/>
              <w:ind w:left="397" w:hanging="397"/>
              <w:jc w:val="left"/>
              <w:rPr>
                <w:rFonts w:cs="Arial"/>
                <w:b/>
                <w:lang w:val="id-ID"/>
              </w:rPr>
            </w:pPr>
            <w:r w:rsidRPr="00A67277">
              <w:rPr>
                <w:rFonts w:cs="Arial"/>
                <w:b/>
                <w:lang w:val="id-ID"/>
              </w:rPr>
              <w:t>Pengukuran</w:t>
            </w:r>
          </w:p>
        </w:tc>
        <w:tc>
          <w:tcPr>
            <w:tcW w:w="260" w:type="dxa"/>
          </w:tcPr>
          <w:p w14:paraId="07001F0C" w14:textId="77777777" w:rsidR="00782E0B" w:rsidRPr="00A67277" w:rsidRDefault="00782E0B" w:rsidP="00782E0B">
            <w:pPr>
              <w:rPr>
                <w:rFonts w:ascii="Arial" w:hAnsi="Arial" w:cs="Arial"/>
                <w:sz w:val="21"/>
                <w:szCs w:val="21"/>
              </w:rPr>
            </w:pPr>
          </w:p>
        </w:tc>
        <w:tc>
          <w:tcPr>
            <w:tcW w:w="969" w:type="dxa"/>
          </w:tcPr>
          <w:p w14:paraId="2AB3B859" w14:textId="427EC1FF" w:rsidR="00782E0B" w:rsidRPr="00A67277" w:rsidRDefault="00782E0B" w:rsidP="00782E0B">
            <w:pPr>
              <w:jc w:val="right"/>
              <w:rPr>
                <w:rFonts w:ascii="Arial" w:hAnsi="Arial" w:cs="Arial"/>
                <w:sz w:val="21"/>
                <w:szCs w:val="21"/>
              </w:rPr>
            </w:pPr>
            <w:r>
              <w:rPr>
                <w:rFonts w:ascii="Arial" w:hAnsi="Arial" w:cs="Arial"/>
                <w:sz w:val="21"/>
                <w:szCs w:val="21"/>
              </w:rPr>
              <w:t>110</w:t>
            </w:r>
          </w:p>
        </w:tc>
      </w:tr>
      <w:tr w:rsidR="00782E0B" w:rsidRPr="00A67277" w14:paraId="66830B9D" w14:textId="77777777" w:rsidTr="00782E0B">
        <w:tc>
          <w:tcPr>
            <w:tcW w:w="3997" w:type="dxa"/>
          </w:tcPr>
          <w:p w14:paraId="50F89C34" w14:textId="77777777" w:rsidR="00782E0B" w:rsidRPr="00A67277" w:rsidRDefault="00782E0B" w:rsidP="00782E0B">
            <w:pPr>
              <w:rPr>
                <w:rFonts w:ascii="Arial" w:hAnsi="Arial" w:cs="Arial"/>
                <w:sz w:val="21"/>
                <w:szCs w:val="21"/>
              </w:rPr>
            </w:pPr>
          </w:p>
        </w:tc>
        <w:tc>
          <w:tcPr>
            <w:tcW w:w="969" w:type="dxa"/>
          </w:tcPr>
          <w:p w14:paraId="6C8D5D64" w14:textId="77777777" w:rsidR="00782E0B" w:rsidRPr="00A67277" w:rsidRDefault="00782E0B" w:rsidP="00782E0B">
            <w:pPr>
              <w:jc w:val="right"/>
              <w:rPr>
                <w:rFonts w:ascii="Arial" w:hAnsi="Arial" w:cs="Arial"/>
                <w:sz w:val="21"/>
                <w:szCs w:val="21"/>
              </w:rPr>
            </w:pPr>
          </w:p>
        </w:tc>
        <w:tc>
          <w:tcPr>
            <w:tcW w:w="3723" w:type="dxa"/>
          </w:tcPr>
          <w:p w14:paraId="0644B1C1" w14:textId="77777777" w:rsidR="00782E0B" w:rsidRPr="00A67277" w:rsidRDefault="00782E0B" w:rsidP="00782E0B">
            <w:pPr>
              <w:rPr>
                <w:rFonts w:ascii="Arial" w:hAnsi="Arial" w:cs="Arial"/>
                <w:sz w:val="21"/>
                <w:szCs w:val="21"/>
                <w:lang w:val="id-ID"/>
              </w:rPr>
            </w:pPr>
          </w:p>
        </w:tc>
        <w:tc>
          <w:tcPr>
            <w:tcW w:w="260" w:type="dxa"/>
          </w:tcPr>
          <w:p w14:paraId="1463E64C" w14:textId="77777777" w:rsidR="00782E0B" w:rsidRPr="00A67277" w:rsidRDefault="00782E0B" w:rsidP="00782E0B">
            <w:pPr>
              <w:rPr>
                <w:rFonts w:ascii="Arial" w:hAnsi="Arial" w:cs="Arial"/>
                <w:sz w:val="21"/>
                <w:szCs w:val="21"/>
              </w:rPr>
            </w:pPr>
          </w:p>
        </w:tc>
        <w:tc>
          <w:tcPr>
            <w:tcW w:w="969" w:type="dxa"/>
          </w:tcPr>
          <w:p w14:paraId="5786B964" w14:textId="77777777" w:rsidR="00782E0B" w:rsidRPr="00A67277" w:rsidRDefault="00782E0B" w:rsidP="00782E0B">
            <w:pPr>
              <w:jc w:val="right"/>
              <w:rPr>
                <w:rFonts w:ascii="Arial" w:hAnsi="Arial" w:cs="Arial"/>
                <w:sz w:val="21"/>
                <w:szCs w:val="21"/>
              </w:rPr>
            </w:pPr>
          </w:p>
        </w:tc>
      </w:tr>
      <w:tr w:rsidR="00782E0B" w:rsidRPr="00A67277" w14:paraId="1B859060" w14:textId="77777777" w:rsidTr="00782E0B">
        <w:tc>
          <w:tcPr>
            <w:tcW w:w="3997" w:type="dxa"/>
          </w:tcPr>
          <w:p w14:paraId="4C618184" w14:textId="0B2CEC73" w:rsidR="00782E0B" w:rsidRPr="00A67277" w:rsidRDefault="00782E0B" w:rsidP="00782E0B">
            <w:pPr>
              <w:pStyle w:val="ListParagraph"/>
              <w:numPr>
                <w:ilvl w:val="0"/>
                <w:numId w:val="482"/>
              </w:numPr>
              <w:spacing w:line="240" w:lineRule="auto"/>
              <w:ind w:left="402" w:hanging="402"/>
              <w:jc w:val="left"/>
              <w:rPr>
                <w:rFonts w:cs="Arial"/>
                <w:b/>
              </w:rPr>
            </w:pPr>
            <w:r>
              <w:rPr>
                <w:rFonts w:cs="Arial"/>
                <w:b/>
              </w:rPr>
              <w:t>Service Fee</w:t>
            </w:r>
            <w:r w:rsidRPr="00A67277">
              <w:rPr>
                <w:rFonts w:cs="Arial"/>
                <w:b/>
              </w:rPr>
              <w:t xml:space="preserve"> and Deduction</w:t>
            </w:r>
          </w:p>
        </w:tc>
        <w:tc>
          <w:tcPr>
            <w:tcW w:w="969" w:type="dxa"/>
          </w:tcPr>
          <w:p w14:paraId="53B28BFB" w14:textId="06294901" w:rsidR="00782E0B" w:rsidRPr="00A67277" w:rsidRDefault="00782E0B" w:rsidP="00782E0B">
            <w:pPr>
              <w:jc w:val="right"/>
              <w:rPr>
                <w:rFonts w:ascii="Arial" w:hAnsi="Arial" w:cs="Arial"/>
                <w:sz w:val="21"/>
                <w:szCs w:val="21"/>
              </w:rPr>
            </w:pPr>
            <w:r>
              <w:rPr>
                <w:rFonts w:ascii="Arial" w:hAnsi="Arial" w:cs="Arial"/>
                <w:sz w:val="21"/>
                <w:szCs w:val="21"/>
              </w:rPr>
              <w:t>110</w:t>
            </w:r>
          </w:p>
        </w:tc>
        <w:tc>
          <w:tcPr>
            <w:tcW w:w="3723" w:type="dxa"/>
          </w:tcPr>
          <w:p w14:paraId="03B0ECA9" w14:textId="5577A2B6"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 xml:space="preserve">Biaya </w:t>
            </w:r>
            <w:r w:rsidRPr="00A67277">
              <w:rPr>
                <w:rFonts w:cs="Arial"/>
                <w:b/>
                <w:lang w:val="en-US"/>
              </w:rPr>
              <w:t xml:space="preserve">Layanan </w:t>
            </w:r>
            <w:r w:rsidRPr="00A67277">
              <w:rPr>
                <w:rFonts w:cs="Arial"/>
                <w:b/>
                <w:lang w:val="id-ID"/>
              </w:rPr>
              <w:t xml:space="preserve">dan </w:t>
            </w:r>
            <w:r w:rsidRPr="00A67277">
              <w:rPr>
                <w:rFonts w:cs="Arial"/>
                <w:b/>
                <w:lang w:val="en-US"/>
              </w:rPr>
              <w:t>Pengurangan</w:t>
            </w:r>
          </w:p>
        </w:tc>
        <w:tc>
          <w:tcPr>
            <w:tcW w:w="260" w:type="dxa"/>
          </w:tcPr>
          <w:p w14:paraId="3573C605" w14:textId="77777777" w:rsidR="00782E0B" w:rsidRPr="00A67277" w:rsidRDefault="00782E0B" w:rsidP="00782E0B">
            <w:pPr>
              <w:rPr>
                <w:rFonts w:ascii="Arial" w:hAnsi="Arial" w:cs="Arial"/>
                <w:sz w:val="21"/>
                <w:szCs w:val="21"/>
              </w:rPr>
            </w:pPr>
          </w:p>
        </w:tc>
        <w:tc>
          <w:tcPr>
            <w:tcW w:w="969" w:type="dxa"/>
          </w:tcPr>
          <w:p w14:paraId="35807141" w14:textId="13E5326D" w:rsidR="00782E0B" w:rsidRPr="00A67277" w:rsidRDefault="00782E0B" w:rsidP="00782E0B">
            <w:pPr>
              <w:jc w:val="right"/>
              <w:rPr>
                <w:rFonts w:ascii="Arial" w:hAnsi="Arial" w:cs="Arial"/>
                <w:sz w:val="21"/>
                <w:szCs w:val="21"/>
              </w:rPr>
            </w:pPr>
            <w:r>
              <w:rPr>
                <w:rFonts w:ascii="Arial" w:hAnsi="Arial" w:cs="Arial"/>
                <w:sz w:val="21"/>
                <w:szCs w:val="21"/>
              </w:rPr>
              <w:t>110</w:t>
            </w:r>
          </w:p>
        </w:tc>
      </w:tr>
      <w:tr w:rsidR="00782E0B" w:rsidRPr="00A67277" w14:paraId="7B557E61" w14:textId="77777777" w:rsidTr="00782E0B">
        <w:tc>
          <w:tcPr>
            <w:tcW w:w="3997" w:type="dxa"/>
          </w:tcPr>
          <w:p w14:paraId="6E006A78" w14:textId="69A9FD07" w:rsidR="00782E0B" w:rsidRPr="00A67277" w:rsidRDefault="00782E0B" w:rsidP="00782E0B">
            <w:pPr>
              <w:pStyle w:val="ListParagraph"/>
              <w:numPr>
                <w:ilvl w:val="1"/>
                <w:numId w:val="479"/>
              </w:numPr>
              <w:spacing w:line="240" w:lineRule="auto"/>
              <w:ind w:left="1062" w:hanging="630"/>
              <w:jc w:val="left"/>
              <w:rPr>
                <w:rFonts w:cs="Arial"/>
              </w:rPr>
            </w:pPr>
            <w:r>
              <w:rPr>
                <w:rFonts w:cs="Arial"/>
              </w:rPr>
              <w:t>Service Fee</w:t>
            </w:r>
          </w:p>
        </w:tc>
        <w:tc>
          <w:tcPr>
            <w:tcW w:w="969" w:type="dxa"/>
          </w:tcPr>
          <w:p w14:paraId="21017542" w14:textId="6B02916B" w:rsidR="00782E0B" w:rsidRPr="00A67277" w:rsidRDefault="00782E0B" w:rsidP="00782E0B">
            <w:pPr>
              <w:jc w:val="right"/>
              <w:rPr>
                <w:rFonts w:ascii="Arial" w:hAnsi="Arial" w:cs="Arial"/>
                <w:sz w:val="21"/>
                <w:szCs w:val="21"/>
              </w:rPr>
            </w:pPr>
            <w:r>
              <w:rPr>
                <w:rFonts w:ascii="Arial" w:hAnsi="Arial" w:cs="Arial"/>
                <w:sz w:val="21"/>
                <w:szCs w:val="21"/>
              </w:rPr>
              <w:t>110</w:t>
            </w:r>
          </w:p>
        </w:tc>
        <w:tc>
          <w:tcPr>
            <w:tcW w:w="3723" w:type="dxa"/>
          </w:tcPr>
          <w:p w14:paraId="4FFC1B99" w14:textId="395CD860" w:rsidR="00782E0B" w:rsidRPr="00A67277" w:rsidRDefault="00782E0B" w:rsidP="00782E0B">
            <w:pPr>
              <w:pStyle w:val="ListParagraph"/>
              <w:numPr>
                <w:ilvl w:val="1"/>
                <w:numId w:val="482"/>
              </w:numPr>
              <w:spacing w:line="240" w:lineRule="auto"/>
              <w:ind w:left="1027" w:hanging="630"/>
              <w:jc w:val="left"/>
              <w:rPr>
                <w:rFonts w:cs="Arial"/>
                <w:lang w:val="id-ID"/>
              </w:rPr>
            </w:pPr>
            <w:r w:rsidRPr="00A67277">
              <w:rPr>
                <w:rFonts w:cs="Arial"/>
                <w:lang w:val="en-US"/>
              </w:rPr>
              <w:t>Biaya Layanan</w:t>
            </w:r>
          </w:p>
        </w:tc>
        <w:tc>
          <w:tcPr>
            <w:tcW w:w="260" w:type="dxa"/>
          </w:tcPr>
          <w:p w14:paraId="15BBA662" w14:textId="77777777" w:rsidR="00782E0B" w:rsidRPr="00A67277" w:rsidRDefault="00782E0B" w:rsidP="00782E0B">
            <w:pPr>
              <w:rPr>
                <w:rFonts w:ascii="Arial" w:hAnsi="Arial" w:cs="Arial"/>
                <w:sz w:val="21"/>
                <w:szCs w:val="21"/>
              </w:rPr>
            </w:pPr>
          </w:p>
        </w:tc>
        <w:tc>
          <w:tcPr>
            <w:tcW w:w="969" w:type="dxa"/>
          </w:tcPr>
          <w:p w14:paraId="5AEAC35C" w14:textId="5ACC2A75" w:rsidR="00782E0B" w:rsidRPr="00A67277" w:rsidRDefault="00782E0B" w:rsidP="00782E0B">
            <w:pPr>
              <w:jc w:val="right"/>
              <w:rPr>
                <w:rFonts w:ascii="Arial" w:hAnsi="Arial" w:cs="Arial"/>
                <w:sz w:val="21"/>
                <w:szCs w:val="21"/>
              </w:rPr>
            </w:pPr>
            <w:r>
              <w:rPr>
                <w:rFonts w:ascii="Arial" w:hAnsi="Arial" w:cs="Arial"/>
                <w:sz w:val="21"/>
                <w:szCs w:val="21"/>
              </w:rPr>
              <w:t>110</w:t>
            </w:r>
          </w:p>
        </w:tc>
      </w:tr>
      <w:tr w:rsidR="00782E0B" w:rsidRPr="00A67277" w14:paraId="0B6788A8" w14:textId="77777777" w:rsidTr="00782E0B">
        <w:tc>
          <w:tcPr>
            <w:tcW w:w="3997" w:type="dxa"/>
          </w:tcPr>
          <w:p w14:paraId="19DE46E7"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Deduction for Performance Failure </w:t>
            </w:r>
          </w:p>
        </w:tc>
        <w:tc>
          <w:tcPr>
            <w:tcW w:w="969" w:type="dxa"/>
          </w:tcPr>
          <w:p w14:paraId="7F52C28A" w14:textId="218290EF" w:rsidR="00782E0B" w:rsidRPr="00A67277" w:rsidRDefault="00782E0B" w:rsidP="00782E0B">
            <w:pPr>
              <w:jc w:val="right"/>
              <w:rPr>
                <w:rFonts w:ascii="Arial" w:hAnsi="Arial" w:cs="Arial"/>
                <w:sz w:val="21"/>
                <w:szCs w:val="21"/>
              </w:rPr>
            </w:pPr>
            <w:r>
              <w:rPr>
                <w:rFonts w:ascii="Arial" w:hAnsi="Arial" w:cs="Arial"/>
                <w:sz w:val="21"/>
                <w:szCs w:val="21"/>
              </w:rPr>
              <w:t>111</w:t>
            </w:r>
          </w:p>
        </w:tc>
        <w:tc>
          <w:tcPr>
            <w:tcW w:w="3723" w:type="dxa"/>
          </w:tcPr>
          <w:p w14:paraId="24FE11EF" w14:textId="7F809A1B" w:rsidR="00782E0B" w:rsidRPr="00A67277" w:rsidRDefault="00782E0B" w:rsidP="00782E0B">
            <w:pPr>
              <w:pStyle w:val="ListParagraph"/>
              <w:numPr>
                <w:ilvl w:val="1"/>
                <w:numId w:val="482"/>
              </w:numPr>
              <w:spacing w:line="240" w:lineRule="auto"/>
              <w:ind w:left="1027" w:hanging="630"/>
              <w:jc w:val="left"/>
              <w:rPr>
                <w:rFonts w:cs="Arial"/>
                <w:lang w:val="id-ID"/>
              </w:rPr>
            </w:pPr>
            <w:r w:rsidRPr="00A67277">
              <w:rPr>
                <w:rFonts w:cs="Arial"/>
                <w:lang w:val="en-US"/>
              </w:rPr>
              <w:t xml:space="preserve">Pengurangan untuk </w:t>
            </w:r>
            <w:r w:rsidRPr="00A67277">
              <w:rPr>
                <w:rFonts w:cs="Arial"/>
                <w:lang w:val="id-ID"/>
              </w:rPr>
              <w:t>Kegagalan Kinerja</w:t>
            </w:r>
          </w:p>
        </w:tc>
        <w:tc>
          <w:tcPr>
            <w:tcW w:w="260" w:type="dxa"/>
          </w:tcPr>
          <w:p w14:paraId="4202C395" w14:textId="77777777" w:rsidR="00782E0B" w:rsidRPr="00A67277" w:rsidRDefault="00782E0B" w:rsidP="00782E0B">
            <w:pPr>
              <w:rPr>
                <w:rFonts w:ascii="Arial" w:hAnsi="Arial" w:cs="Arial"/>
                <w:sz w:val="21"/>
                <w:szCs w:val="21"/>
              </w:rPr>
            </w:pPr>
          </w:p>
        </w:tc>
        <w:tc>
          <w:tcPr>
            <w:tcW w:w="969" w:type="dxa"/>
          </w:tcPr>
          <w:p w14:paraId="7F160916" w14:textId="6585A072" w:rsidR="00782E0B" w:rsidRPr="00A67277" w:rsidRDefault="00782E0B" w:rsidP="00782E0B">
            <w:pPr>
              <w:jc w:val="right"/>
              <w:rPr>
                <w:rFonts w:ascii="Arial" w:hAnsi="Arial" w:cs="Arial"/>
                <w:sz w:val="21"/>
                <w:szCs w:val="21"/>
              </w:rPr>
            </w:pPr>
            <w:r>
              <w:rPr>
                <w:rFonts w:ascii="Arial" w:hAnsi="Arial" w:cs="Arial"/>
                <w:sz w:val="21"/>
                <w:szCs w:val="21"/>
              </w:rPr>
              <w:t>111</w:t>
            </w:r>
          </w:p>
        </w:tc>
      </w:tr>
      <w:tr w:rsidR="00782E0B" w:rsidRPr="00A67277" w14:paraId="1D54D131" w14:textId="77777777" w:rsidTr="00782E0B">
        <w:tc>
          <w:tcPr>
            <w:tcW w:w="3997" w:type="dxa"/>
          </w:tcPr>
          <w:p w14:paraId="1DF24BA8" w14:textId="77777777" w:rsidR="00782E0B" w:rsidRPr="00A67277" w:rsidRDefault="00782E0B" w:rsidP="00782E0B">
            <w:pPr>
              <w:rPr>
                <w:rFonts w:ascii="Arial" w:hAnsi="Arial" w:cs="Arial"/>
                <w:sz w:val="21"/>
                <w:szCs w:val="21"/>
              </w:rPr>
            </w:pPr>
          </w:p>
        </w:tc>
        <w:tc>
          <w:tcPr>
            <w:tcW w:w="969" w:type="dxa"/>
          </w:tcPr>
          <w:p w14:paraId="734D2F77" w14:textId="77777777" w:rsidR="00782E0B" w:rsidRPr="00A67277" w:rsidRDefault="00782E0B" w:rsidP="00782E0B">
            <w:pPr>
              <w:jc w:val="right"/>
              <w:rPr>
                <w:rFonts w:ascii="Arial" w:hAnsi="Arial" w:cs="Arial"/>
                <w:sz w:val="21"/>
                <w:szCs w:val="21"/>
              </w:rPr>
            </w:pPr>
          </w:p>
        </w:tc>
        <w:tc>
          <w:tcPr>
            <w:tcW w:w="3723" w:type="dxa"/>
          </w:tcPr>
          <w:p w14:paraId="7322D459" w14:textId="77777777" w:rsidR="00782E0B" w:rsidRPr="00A67277" w:rsidRDefault="00782E0B" w:rsidP="00782E0B">
            <w:pPr>
              <w:rPr>
                <w:rFonts w:ascii="Arial" w:hAnsi="Arial" w:cs="Arial"/>
                <w:sz w:val="21"/>
                <w:szCs w:val="21"/>
                <w:lang w:val="id-ID"/>
              </w:rPr>
            </w:pPr>
          </w:p>
        </w:tc>
        <w:tc>
          <w:tcPr>
            <w:tcW w:w="260" w:type="dxa"/>
          </w:tcPr>
          <w:p w14:paraId="1A395EBC" w14:textId="77777777" w:rsidR="00782E0B" w:rsidRPr="00A67277" w:rsidRDefault="00782E0B" w:rsidP="00782E0B">
            <w:pPr>
              <w:rPr>
                <w:rFonts w:ascii="Arial" w:hAnsi="Arial" w:cs="Arial"/>
                <w:sz w:val="21"/>
                <w:szCs w:val="21"/>
              </w:rPr>
            </w:pPr>
          </w:p>
        </w:tc>
        <w:tc>
          <w:tcPr>
            <w:tcW w:w="969" w:type="dxa"/>
          </w:tcPr>
          <w:p w14:paraId="25F40447" w14:textId="77777777" w:rsidR="00782E0B" w:rsidRPr="00A67277" w:rsidRDefault="00782E0B" w:rsidP="00782E0B">
            <w:pPr>
              <w:jc w:val="right"/>
              <w:rPr>
                <w:rFonts w:ascii="Arial" w:hAnsi="Arial" w:cs="Arial"/>
                <w:sz w:val="21"/>
                <w:szCs w:val="21"/>
              </w:rPr>
            </w:pPr>
          </w:p>
        </w:tc>
      </w:tr>
      <w:tr w:rsidR="00782E0B" w:rsidRPr="00A67277" w14:paraId="023DEA46" w14:textId="77777777" w:rsidTr="00782E0B">
        <w:tc>
          <w:tcPr>
            <w:tcW w:w="3997" w:type="dxa"/>
          </w:tcPr>
          <w:p w14:paraId="59E9FD85" w14:textId="77777777" w:rsidR="00782E0B" w:rsidRPr="00A67277" w:rsidRDefault="00782E0B" w:rsidP="00782E0B">
            <w:pPr>
              <w:pStyle w:val="ListParagraph"/>
              <w:numPr>
                <w:ilvl w:val="0"/>
                <w:numId w:val="482"/>
              </w:numPr>
              <w:spacing w:line="240" w:lineRule="auto"/>
              <w:ind w:left="402" w:hanging="402"/>
              <w:jc w:val="left"/>
              <w:rPr>
                <w:rFonts w:cs="Arial"/>
                <w:b/>
              </w:rPr>
            </w:pPr>
            <w:r w:rsidRPr="00A67277">
              <w:rPr>
                <w:rFonts w:cs="Arial"/>
                <w:b/>
              </w:rPr>
              <w:t xml:space="preserve">Invoicing and Payments </w:t>
            </w:r>
          </w:p>
        </w:tc>
        <w:tc>
          <w:tcPr>
            <w:tcW w:w="969" w:type="dxa"/>
          </w:tcPr>
          <w:p w14:paraId="00AFC46B" w14:textId="74ABEA00" w:rsidR="00782E0B" w:rsidRPr="00A67277" w:rsidRDefault="00782E0B" w:rsidP="00782E0B">
            <w:pPr>
              <w:jc w:val="right"/>
              <w:rPr>
                <w:rFonts w:ascii="Arial" w:hAnsi="Arial" w:cs="Arial"/>
                <w:sz w:val="21"/>
                <w:szCs w:val="21"/>
              </w:rPr>
            </w:pPr>
            <w:r>
              <w:rPr>
                <w:rFonts w:ascii="Arial" w:hAnsi="Arial" w:cs="Arial"/>
                <w:sz w:val="21"/>
                <w:szCs w:val="21"/>
              </w:rPr>
              <w:t>111</w:t>
            </w:r>
          </w:p>
        </w:tc>
        <w:tc>
          <w:tcPr>
            <w:tcW w:w="3723" w:type="dxa"/>
          </w:tcPr>
          <w:p w14:paraId="720EDBF7"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Penagihan dan Pembayaran</w:t>
            </w:r>
          </w:p>
        </w:tc>
        <w:tc>
          <w:tcPr>
            <w:tcW w:w="260" w:type="dxa"/>
          </w:tcPr>
          <w:p w14:paraId="3F197B2F" w14:textId="77777777" w:rsidR="00782E0B" w:rsidRPr="00A67277" w:rsidRDefault="00782E0B" w:rsidP="00782E0B">
            <w:pPr>
              <w:rPr>
                <w:rFonts w:ascii="Arial" w:hAnsi="Arial" w:cs="Arial"/>
                <w:sz w:val="21"/>
                <w:szCs w:val="21"/>
              </w:rPr>
            </w:pPr>
          </w:p>
        </w:tc>
        <w:tc>
          <w:tcPr>
            <w:tcW w:w="969" w:type="dxa"/>
          </w:tcPr>
          <w:p w14:paraId="4F978108" w14:textId="52691C5D" w:rsidR="00782E0B" w:rsidRPr="00A67277" w:rsidRDefault="00782E0B" w:rsidP="00782E0B">
            <w:pPr>
              <w:jc w:val="right"/>
              <w:rPr>
                <w:rFonts w:ascii="Arial" w:hAnsi="Arial" w:cs="Arial"/>
                <w:sz w:val="21"/>
                <w:szCs w:val="21"/>
              </w:rPr>
            </w:pPr>
            <w:r>
              <w:rPr>
                <w:rFonts w:ascii="Arial" w:hAnsi="Arial" w:cs="Arial"/>
                <w:sz w:val="21"/>
                <w:szCs w:val="21"/>
              </w:rPr>
              <w:t>111</w:t>
            </w:r>
          </w:p>
        </w:tc>
      </w:tr>
      <w:tr w:rsidR="00782E0B" w:rsidRPr="00A67277" w14:paraId="04AA2EE2" w14:textId="77777777" w:rsidTr="00782E0B">
        <w:tc>
          <w:tcPr>
            <w:tcW w:w="3997" w:type="dxa"/>
          </w:tcPr>
          <w:p w14:paraId="1C513528"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Invoices, Taxes, etc. </w:t>
            </w:r>
          </w:p>
        </w:tc>
        <w:tc>
          <w:tcPr>
            <w:tcW w:w="969" w:type="dxa"/>
          </w:tcPr>
          <w:p w14:paraId="7270FC13" w14:textId="4F1A50AE" w:rsidR="00782E0B" w:rsidRPr="00A67277" w:rsidRDefault="00782E0B" w:rsidP="00782E0B">
            <w:pPr>
              <w:jc w:val="right"/>
              <w:rPr>
                <w:rFonts w:ascii="Arial" w:hAnsi="Arial" w:cs="Arial"/>
                <w:sz w:val="21"/>
                <w:szCs w:val="21"/>
              </w:rPr>
            </w:pPr>
            <w:r>
              <w:rPr>
                <w:rFonts w:ascii="Arial" w:hAnsi="Arial" w:cs="Arial"/>
                <w:sz w:val="21"/>
                <w:szCs w:val="21"/>
              </w:rPr>
              <w:t>111</w:t>
            </w:r>
          </w:p>
        </w:tc>
        <w:tc>
          <w:tcPr>
            <w:tcW w:w="3723" w:type="dxa"/>
          </w:tcPr>
          <w:p w14:paraId="73834CC0"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Tagihan, Pajak-Pajak, dll.</w:t>
            </w:r>
          </w:p>
        </w:tc>
        <w:tc>
          <w:tcPr>
            <w:tcW w:w="260" w:type="dxa"/>
          </w:tcPr>
          <w:p w14:paraId="0F2458AA" w14:textId="77777777" w:rsidR="00782E0B" w:rsidRPr="00A67277" w:rsidRDefault="00782E0B" w:rsidP="00782E0B">
            <w:pPr>
              <w:rPr>
                <w:rFonts w:ascii="Arial" w:hAnsi="Arial" w:cs="Arial"/>
                <w:sz w:val="21"/>
                <w:szCs w:val="21"/>
              </w:rPr>
            </w:pPr>
          </w:p>
        </w:tc>
        <w:tc>
          <w:tcPr>
            <w:tcW w:w="969" w:type="dxa"/>
          </w:tcPr>
          <w:p w14:paraId="006A2F6E" w14:textId="25720BA8" w:rsidR="00782E0B" w:rsidRPr="00A67277" w:rsidRDefault="00782E0B" w:rsidP="00782E0B">
            <w:pPr>
              <w:jc w:val="right"/>
              <w:rPr>
                <w:rFonts w:ascii="Arial" w:hAnsi="Arial" w:cs="Arial"/>
                <w:sz w:val="21"/>
                <w:szCs w:val="21"/>
              </w:rPr>
            </w:pPr>
            <w:r>
              <w:rPr>
                <w:rFonts w:ascii="Arial" w:hAnsi="Arial" w:cs="Arial"/>
                <w:sz w:val="21"/>
                <w:szCs w:val="21"/>
              </w:rPr>
              <w:t>111</w:t>
            </w:r>
          </w:p>
        </w:tc>
      </w:tr>
      <w:tr w:rsidR="00782E0B" w:rsidRPr="00A67277" w14:paraId="6FB27794" w14:textId="77777777" w:rsidTr="00782E0B">
        <w:tc>
          <w:tcPr>
            <w:tcW w:w="3997" w:type="dxa"/>
          </w:tcPr>
          <w:p w14:paraId="0FD5561E"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Disputed Invoices </w:t>
            </w:r>
          </w:p>
        </w:tc>
        <w:tc>
          <w:tcPr>
            <w:tcW w:w="969" w:type="dxa"/>
          </w:tcPr>
          <w:p w14:paraId="06557CD9" w14:textId="2592188E" w:rsidR="00782E0B" w:rsidRPr="00A67277" w:rsidRDefault="00782E0B" w:rsidP="00782E0B">
            <w:pPr>
              <w:jc w:val="right"/>
              <w:rPr>
                <w:rFonts w:ascii="Arial" w:hAnsi="Arial" w:cs="Arial"/>
                <w:sz w:val="21"/>
                <w:szCs w:val="21"/>
              </w:rPr>
            </w:pPr>
            <w:r>
              <w:rPr>
                <w:rFonts w:ascii="Arial" w:hAnsi="Arial" w:cs="Arial"/>
                <w:sz w:val="21"/>
                <w:szCs w:val="21"/>
              </w:rPr>
              <w:t>112</w:t>
            </w:r>
          </w:p>
        </w:tc>
        <w:tc>
          <w:tcPr>
            <w:tcW w:w="3723" w:type="dxa"/>
          </w:tcPr>
          <w:p w14:paraId="18A35108"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Tagihan Yang Disengketakan</w:t>
            </w:r>
          </w:p>
        </w:tc>
        <w:tc>
          <w:tcPr>
            <w:tcW w:w="260" w:type="dxa"/>
          </w:tcPr>
          <w:p w14:paraId="4C684E6B" w14:textId="77777777" w:rsidR="00782E0B" w:rsidRPr="00A67277" w:rsidRDefault="00782E0B" w:rsidP="00782E0B">
            <w:pPr>
              <w:rPr>
                <w:rFonts w:ascii="Arial" w:hAnsi="Arial" w:cs="Arial"/>
                <w:sz w:val="21"/>
                <w:szCs w:val="21"/>
              </w:rPr>
            </w:pPr>
          </w:p>
        </w:tc>
        <w:tc>
          <w:tcPr>
            <w:tcW w:w="969" w:type="dxa"/>
          </w:tcPr>
          <w:p w14:paraId="589538D7" w14:textId="2335E6C7" w:rsidR="00782E0B" w:rsidRPr="00A67277" w:rsidRDefault="00782E0B" w:rsidP="00782E0B">
            <w:pPr>
              <w:jc w:val="right"/>
              <w:rPr>
                <w:rFonts w:ascii="Arial" w:hAnsi="Arial" w:cs="Arial"/>
                <w:sz w:val="21"/>
                <w:szCs w:val="21"/>
              </w:rPr>
            </w:pPr>
            <w:r>
              <w:rPr>
                <w:rFonts w:ascii="Arial" w:hAnsi="Arial" w:cs="Arial"/>
                <w:sz w:val="21"/>
                <w:szCs w:val="21"/>
              </w:rPr>
              <w:t>112</w:t>
            </w:r>
          </w:p>
        </w:tc>
      </w:tr>
      <w:tr w:rsidR="00782E0B" w:rsidRPr="00A67277" w14:paraId="4A5B70C5" w14:textId="77777777" w:rsidTr="00782E0B">
        <w:tc>
          <w:tcPr>
            <w:tcW w:w="3997" w:type="dxa"/>
          </w:tcPr>
          <w:p w14:paraId="2CA2630D"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Late Payment </w:t>
            </w:r>
          </w:p>
        </w:tc>
        <w:tc>
          <w:tcPr>
            <w:tcW w:w="969" w:type="dxa"/>
          </w:tcPr>
          <w:p w14:paraId="6CBEADFB" w14:textId="2A5192C9" w:rsidR="00782E0B" w:rsidRPr="00A67277" w:rsidRDefault="00782E0B" w:rsidP="00782E0B">
            <w:pPr>
              <w:jc w:val="right"/>
              <w:rPr>
                <w:rFonts w:ascii="Arial" w:hAnsi="Arial" w:cs="Arial"/>
                <w:sz w:val="21"/>
                <w:szCs w:val="21"/>
              </w:rPr>
            </w:pPr>
            <w:r>
              <w:rPr>
                <w:rFonts w:ascii="Arial" w:hAnsi="Arial" w:cs="Arial"/>
                <w:sz w:val="21"/>
                <w:szCs w:val="21"/>
              </w:rPr>
              <w:t>115</w:t>
            </w:r>
          </w:p>
        </w:tc>
        <w:tc>
          <w:tcPr>
            <w:tcW w:w="3723" w:type="dxa"/>
          </w:tcPr>
          <w:p w14:paraId="6A25623A"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Keterlambatan Pembayaran</w:t>
            </w:r>
          </w:p>
        </w:tc>
        <w:tc>
          <w:tcPr>
            <w:tcW w:w="260" w:type="dxa"/>
          </w:tcPr>
          <w:p w14:paraId="37364893" w14:textId="77777777" w:rsidR="00782E0B" w:rsidRPr="00A67277" w:rsidRDefault="00782E0B" w:rsidP="00782E0B">
            <w:pPr>
              <w:rPr>
                <w:rFonts w:ascii="Arial" w:hAnsi="Arial" w:cs="Arial"/>
                <w:sz w:val="21"/>
                <w:szCs w:val="21"/>
              </w:rPr>
            </w:pPr>
          </w:p>
        </w:tc>
        <w:tc>
          <w:tcPr>
            <w:tcW w:w="969" w:type="dxa"/>
          </w:tcPr>
          <w:p w14:paraId="388B12C2" w14:textId="65E3235A" w:rsidR="00782E0B" w:rsidRPr="00A67277" w:rsidRDefault="00782E0B" w:rsidP="00782E0B">
            <w:pPr>
              <w:jc w:val="right"/>
              <w:rPr>
                <w:rFonts w:ascii="Arial" w:hAnsi="Arial" w:cs="Arial"/>
                <w:sz w:val="21"/>
                <w:szCs w:val="21"/>
              </w:rPr>
            </w:pPr>
            <w:r>
              <w:rPr>
                <w:rFonts w:ascii="Arial" w:hAnsi="Arial" w:cs="Arial"/>
                <w:sz w:val="21"/>
                <w:szCs w:val="21"/>
              </w:rPr>
              <w:t>115</w:t>
            </w:r>
          </w:p>
        </w:tc>
      </w:tr>
      <w:tr w:rsidR="00782E0B" w:rsidRPr="00A67277" w14:paraId="2EF8DABA" w14:textId="77777777" w:rsidTr="00782E0B">
        <w:tc>
          <w:tcPr>
            <w:tcW w:w="3997" w:type="dxa"/>
          </w:tcPr>
          <w:p w14:paraId="31021CAB" w14:textId="77777777" w:rsidR="00782E0B" w:rsidRPr="00A67277" w:rsidRDefault="00782E0B" w:rsidP="00782E0B">
            <w:pPr>
              <w:rPr>
                <w:rFonts w:ascii="Arial" w:hAnsi="Arial" w:cs="Arial"/>
                <w:sz w:val="21"/>
                <w:szCs w:val="21"/>
              </w:rPr>
            </w:pPr>
          </w:p>
        </w:tc>
        <w:tc>
          <w:tcPr>
            <w:tcW w:w="969" w:type="dxa"/>
          </w:tcPr>
          <w:p w14:paraId="3912A390" w14:textId="77777777" w:rsidR="00782E0B" w:rsidRPr="00A67277" w:rsidRDefault="00782E0B" w:rsidP="00782E0B">
            <w:pPr>
              <w:jc w:val="right"/>
              <w:rPr>
                <w:rFonts w:ascii="Arial" w:hAnsi="Arial" w:cs="Arial"/>
                <w:sz w:val="21"/>
                <w:szCs w:val="21"/>
              </w:rPr>
            </w:pPr>
          </w:p>
        </w:tc>
        <w:tc>
          <w:tcPr>
            <w:tcW w:w="3723" w:type="dxa"/>
          </w:tcPr>
          <w:p w14:paraId="1B19A42E" w14:textId="77777777" w:rsidR="00782E0B" w:rsidRPr="00A67277" w:rsidRDefault="00782E0B" w:rsidP="00782E0B">
            <w:pPr>
              <w:rPr>
                <w:rFonts w:ascii="Arial" w:hAnsi="Arial" w:cs="Arial"/>
                <w:sz w:val="21"/>
                <w:szCs w:val="21"/>
                <w:lang w:val="id-ID"/>
              </w:rPr>
            </w:pPr>
          </w:p>
        </w:tc>
        <w:tc>
          <w:tcPr>
            <w:tcW w:w="260" w:type="dxa"/>
          </w:tcPr>
          <w:p w14:paraId="41BC3C85" w14:textId="77777777" w:rsidR="00782E0B" w:rsidRPr="00A67277" w:rsidRDefault="00782E0B" w:rsidP="00782E0B">
            <w:pPr>
              <w:rPr>
                <w:rFonts w:ascii="Arial" w:hAnsi="Arial" w:cs="Arial"/>
                <w:sz w:val="21"/>
                <w:szCs w:val="21"/>
              </w:rPr>
            </w:pPr>
          </w:p>
        </w:tc>
        <w:tc>
          <w:tcPr>
            <w:tcW w:w="969" w:type="dxa"/>
          </w:tcPr>
          <w:p w14:paraId="6D6AA2EA" w14:textId="77777777" w:rsidR="00782E0B" w:rsidRPr="00A67277" w:rsidRDefault="00782E0B" w:rsidP="00782E0B">
            <w:pPr>
              <w:jc w:val="right"/>
              <w:rPr>
                <w:rFonts w:ascii="Arial" w:hAnsi="Arial" w:cs="Arial"/>
                <w:sz w:val="21"/>
                <w:szCs w:val="21"/>
              </w:rPr>
            </w:pPr>
          </w:p>
        </w:tc>
      </w:tr>
      <w:tr w:rsidR="00782E0B" w:rsidRPr="00A67277" w14:paraId="3EDD0173" w14:textId="77777777" w:rsidTr="00782E0B">
        <w:tc>
          <w:tcPr>
            <w:tcW w:w="3997" w:type="dxa"/>
          </w:tcPr>
          <w:p w14:paraId="1BEBE4D1" w14:textId="77777777"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 xml:space="preserve">Insurances </w:t>
            </w:r>
          </w:p>
        </w:tc>
        <w:tc>
          <w:tcPr>
            <w:tcW w:w="969" w:type="dxa"/>
          </w:tcPr>
          <w:p w14:paraId="43B5F832" w14:textId="40B3C925" w:rsidR="00782E0B" w:rsidRPr="00A67277" w:rsidRDefault="00782E0B" w:rsidP="00782E0B">
            <w:pPr>
              <w:jc w:val="right"/>
              <w:rPr>
                <w:rFonts w:ascii="Arial" w:hAnsi="Arial" w:cs="Arial"/>
                <w:sz w:val="21"/>
                <w:szCs w:val="21"/>
              </w:rPr>
            </w:pPr>
            <w:r>
              <w:rPr>
                <w:rFonts w:ascii="Arial" w:hAnsi="Arial" w:cs="Arial"/>
                <w:sz w:val="21"/>
                <w:szCs w:val="21"/>
              </w:rPr>
              <w:t>116</w:t>
            </w:r>
          </w:p>
        </w:tc>
        <w:tc>
          <w:tcPr>
            <w:tcW w:w="3723" w:type="dxa"/>
          </w:tcPr>
          <w:p w14:paraId="36FF80F0" w14:textId="77777777" w:rsidR="00782E0B" w:rsidRPr="00A67277" w:rsidRDefault="00782E0B" w:rsidP="00782E0B">
            <w:pPr>
              <w:pStyle w:val="ListParagraph"/>
              <w:numPr>
                <w:ilvl w:val="0"/>
                <w:numId w:val="483"/>
              </w:numPr>
              <w:spacing w:line="240" w:lineRule="auto"/>
              <w:ind w:left="397" w:hanging="397"/>
              <w:jc w:val="left"/>
              <w:rPr>
                <w:rFonts w:cs="Arial"/>
                <w:b/>
                <w:lang w:val="id-ID"/>
              </w:rPr>
            </w:pPr>
            <w:r w:rsidRPr="00A67277">
              <w:rPr>
                <w:rFonts w:cs="Arial"/>
                <w:b/>
                <w:lang w:val="id-ID"/>
              </w:rPr>
              <w:t>Asuransi</w:t>
            </w:r>
          </w:p>
        </w:tc>
        <w:tc>
          <w:tcPr>
            <w:tcW w:w="260" w:type="dxa"/>
          </w:tcPr>
          <w:p w14:paraId="03024AD0" w14:textId="77777777" w:rsidR="00782E0B" w:rsidRPr="00A67277" w:rsidRDefault="00782E0B" w:rsidP="00782E0B">
            <w:pPr>
              <w:rPr>
                <w:rFonts w:ascii="Arial" w:hAnsi="Arial" w:cs="Arial"/>
                <w:sz w:val="21"/>
                <w:szCs w:val="21"/>
              </w:rPr>
            </w:pPr>
          </w:p>
        </w:tc>
        <w:tc>
          <w:tcPr>
            <w:tcW w:w="969" w:type="dxa"/>
          </w:tcPr>
          <w:p w14:paraId="09FCB5F4" w14:textId="55D02356" w:rsidR="00782E0B" w:rsidRPr="00A67277" w:rsidRDefault="00782E0B" w:rsidP="00782E0B">
            <w:pPr>
              <w:jc w:val="right"/>
              <w:rPr>
                <w:rFonts w:ascii="Arial" w:hAnsi="Arial" w:cs="Arial"/>
                <w:sz w:val="21"/>
                <w:szCs w:val="21"/>
              </w:rPr>
            </w:pPr>
            <w:r>
              <w:rPr>
                <w:rFonts w:ascii="Arial" w:hAnsi="Arial" w:cs="Arial"/>
                <w:sz w:val="21"/>
                <w:szCs w:val="21"/>
              </w:rPr>
              <w:t>116</w:t>
            </w:r>
          </w:p>
        </w:tc>
      </w:tr>
      <w:tr w:rsidR="00782E0B" w:rsidRPr="00A67277" w14:paraId="6C4A23A0" w14:textId="77777777" w:rsidTr="00782E0B">
        <w:tc>
          <w:tcPr>
            <w:tcW w:w="3997" w:type="dxa"/>
          </w:tcPr>
          <w:p w14:paraId="3F8D5EE7"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Insurance Policies </w:t>
            </w:r>
          </w:p>
        </w:tc>
        <w:tc>
          <w:tcPr>
            <w:tcW w:w="969" w:type="dxa"/>
          </w:tcPr>
          <w:p w14:paraId="2D7E8F13" w14:textId="6D323A15" w:rsidR="00782E0B" w:rsidRPr="00A67277" w:rsidRDefault="00782E0B" w:rsidP="00782E0B">
            <w:pPr>
              <w:jc w:val="right"/>
              <w:rPr>
                <w:rFonts w:ascii="Arial" w:hAnsi="Arial" w:cs="Arial"/>
                <w:sz w:val="21"/>
                <w:szCs w:val="21"/>
              </w:rPr>
            </w:pPr>
            <w:r>
              <w:rPr>
                <w:rFonts w:ascii="Arial" w:hAnsi="Arial" w:cs="Arial"/>
                <w:sz w:val="21"/>
                <w:szCs w:val="21"/>
              </w:rPr>
              <w:t>116</w:t>
            </w:r>
          </w:p>
        </w:tc>
        <w:tc>
          <w:tcPr>
            <w:tcW w:w="3723" w:type="dxa"/>
          </w:tcPr>
          <w:p w14:paraId="6B43867E"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Polis Asuransi</w:t>
            </w:r>
          </w:p>
        </w:tc>
        <w:tc>
          <w:tcPr>
            <w:tcW w:w="260" w:type="dxa"/>
          </w:tcPr>
          <w:p w14:paraId="188B91A0" w14:textId="77777777" w:rsidR="00782E0B" w:rsidRPr="00A67277" w:rsidRDefault="00782E0B" w:rsidP="00782E0B">
            <w:pPr>
              <w:rPr>
                <w:rFonts w:ascii="Arial" w:hAnsi="Arial" w:cs="Arial"/>
                <w:sz w:val="21"/>
                <w:szCs w:val="21"/>
              </w:rPr>
            </w:pPr>
          </w:p>
        </w:tc>
        <w:tc>
          <w:tcPr>
            <w:tcW w:w="969" w:type="dxa"/>
          </w:tcPr>
          <w:p w14:paraId="3D5E78B9" w14:textId="2CE88CCF" w:rsidR="00782E0B" w:rsidRPr="00A67277" w:rsidRDefault="00782E0B" w:rsidP="00782E0B">
            <w:pPr>
              <w:jc w:val="right"/>
              <w:rPr>
                <w:rFonts w:ascii="Arial" w:hAnsi="Arial" w:cs="Arial"/>
                <w:sz w:val="21"/>
                <w:szCs w:val="21"/>
              </w:rPr>
            </w:pPr>
            <w:r>
              <w:rPr>
                <w:rFonts w:ascii="Arial" w:hAnsi="Arial" w:cs="Arial"/>
                <w:sz w:val="21"/>
                <w:szCs w:val="21"/>
              </w:rPr>
              <w:t>116</w:t>
            </w:r>
          </w:p>
        </w:tc>
      </w:tr>
      <w:tr w:rsidR="00782E0B" w:rsidRPr="00A67277" w14:paraId="602DD4B2" w14:textId="77777777" w:rsidTr="00782E0B">
        <w:tc>
          <w:tcPr>
            <w:tcW w:w="3997" w:type="dxa"/>
          </w:tcPr>
          <w:p w14:paraId="7345A9D5"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Policy Endorsements </w:t>
            </w:r>
          </w:p>
        </w:tc>
        <w:tc>
          <w:tcPr>
            <w:tcW w:w="969" w:type="dxa"/>
          </w:tcPr>
          <w:p w14:paraId="52914232" w14:textId="5F1B747D" w:rsidR="00782E0B" w:rsidRPr="00A67277" w:rsidRDefault="00782E0B" w:rsidP="00782E0B">
            <w:pPr>
              <w:jc w:val="right"/>
              <w:rPr>
                <w:rFonts w:ascii="Arial" w:hAnsi="Arial" w:cs="Arial"/>
                <w:sz w:val="21"/>
                <w:szCs w:val="21"/>
              </w:rPr>
            </w:pPr>
            <w:r>
              <w:rPr>
                <w:rFonts w:ascii="Arial" w:hAnsi="Arial" w:cs="Arial"/>
                <w:sz w:val="21"/>
                <w:szCs w:val="21"/>
              </w:rPr>
              <w:t>118</w:t>
            </w:r>
          </w:p>
        </w:tc>
        <w:tc>
          <w:tcPr>
            <w:tcW w:w="3723" w:type="dxa"/>
          </w:tcPr>
          <w:p w14:paraId="29A54EB5"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Endorsement Polis</w:t>
            </w:r>
          </w:p>
        </w:tc>
        <w:tc>
          <w:tcPr>
            <w:tcW w:w="260" w:type="dxa"/>
          </w:tcPr>
          <w:p w14:paraId="45C947BA" w14:textId="77777777" w:rsidR="00782E0B" w:rsidRPr="00A67277" w:rsidRDefault="00782E0B" w:rsidP="00782E0B">
            <w:pPr>
              <w:rPr>
                <w:rFonts w:ascii="Arial" w:hAnsi="Arial" w:cs="Arial"/>
                <w:sz w:val="21"/>
                <w:szCs w:val="21"/>
              </w:rPr>
            </w:pPr>
          </w:p>
        </w:tc>
        <w:tc>
          <w:tcPr>
            <w:tcW w:w="969" w:type="dxa"/>
          </w:tcPr>
          <w:p w14:paraId="55D17978" w14:textId="706EB09F" w:rsidR="00782E0B" w:rsidRPr="00A67277" w:rsidRDefault="00782E0B" w:rsidP="00782E0B">
            <w:pPr>
              <w:jc w:val="right"/>
              <w:rPr>
                <w:rFonts w:ascii="Arial" w:hAnsi="Arial" w:cs="Arial"/>
                <w:sz w:val="21"/>
                <w:szCs w:val="21"/>
              </w:rPr>
            </w:pPr>
            <w:r>
              <w:rPr>
                <w:rFonts w:ascii="Arial" w:hAnsi="Arial" w:cs="Arial"/>
                <w:sz w:val="21"/>
                <w:szCs w:val="21"/>
              </w:rPr>
              <w:t>118</w:t>
            </w:r>
          </w:p>
        </w:tc>
      </w:tr>
      <w:tr w:rsidR="00782E0B" w:rsidRPr="00A67277" w14:paraId="428BD23F" w14:textId="77777777" w:rsidTr="00782E0B">
        <w:tc>
          <w:tcPr>
            <w:tcW w:w="3997" w:type="dxa"/>
          </w:tcPr>
          <w:p w14:paraId="5945A447"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GCA’s Consent </w:t>
            </w:r>
          </w:p>
        </w:tc>
        <w:tc>
          <w:tcPr>
            <w:tcW w:w="969" w:type="dxa"/>
          </w:tcPr>
          <w:p w14:paraId="5FBC1C0C" w14:textId="69AF5508" w:rsidR="00782E0B" w:rsidRPr="00A67277" w:rsidRDefault="00782E0B" w:rsidP="00782E0B">
            <w:pPr>
              <w:jc w:val="right"/>
              <w:rPr>
                <w:rFonts w:ascii="Arial" w:hAnsi="Arial" w:cs="Arial"/>
                <w:sz w:val="21"/>
                <w:szCs w:val="21"/>
              </w:rPr>
            </w:pPr>
            <w:r>
              <w:rPr>
                <w:rFonts w:ascii="Arial" w:hAnsi="Arial" w:cs="Arial"/>
                <w:sz w:val="21"/>
                <w:szCs w:val="21"/>
              </w:rPr>
              <w:t>119</w:t>
            </w:r>
          </w:p>
        </w:tc>
        <w:tc>
          <w:tcPr>
            <w:tcW w:w="3723" w:type="dxa"/>
          </w:tcPr>
          <w:p w14:paraId="4E8CD38C"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Persetujuan PJPK</w:t>
            </w:r>
          </w:p>
        </w:tc>
        <w:tc>
          <w:tcPr>
            <w:tcW w:w="260" w:type="dxa"/>
          </w:tcPr>
          <w:p w14:paraId="0B9C7DE0" w14:textId="77777777" w:rsidR="00782E0B" w:rsidRPr="00A67277" w:rsidRDefault="00782E0B" w:rsidP="00782E0B">
            <w:pPr>
              <w:rPr>
                <w:rFonts w:ascii="Arial" w:hAnsi="Arial" w:cs="Arial"/>
                <w:sz w:val="21"/>
                <w:szCs w:val="21"/>
              </w:rPr>
            </w:pPr>
          </w:p>
        </w:tc>
        <w:tc>
          <w:tcPr>
            <w:tcW w:w="969" w:type="dxa"/>
          </w:tcPr>
          <w:p w14:paraId="0D95AFF4" w14:textId="617AB247" w:rsidR="00782E0B" w:rsidRPr="00A67277" w:rsidRDefault="00782E0B" w:rsidP="00782E0B">
            <w:pPr>
              <w:jc w:val="right"/>
              <w:rPr>
                <w:rFonts w:ascii="Arial" w:hAnsi="Arial" w:cs="Arial"/>
                <w:sz w:val="21"/>
                <w:szCs w:val="21"/>
              </w:rPr>
            </w:pPr>
            <w:r>
              <w:rPr>
                <w:rFonts w:ascii="Arial" w:hAnsi="Arial" w:cs="Arial"/>
                <w:sz w:val="21"/>
                <w:szCs w:val="21"/>
              </w:rPr>
              <w:t>119</w:t>
            </w:r>
          </w:p>
        </w:tc>
      </w:tr>
      <w:tr w:rsidR="00782E0B" w:rsidRPr="00A67277" w14:paraId="3494A023" w14:textId="77777777" w:rsidTr="00782E0B">
        <w:tc>
          <w:tcPr>
            <w:tcW w:w="3997" w:type="dxa"/>
          </w:tcPr>
          <w:p w14:paraId="090D93FB"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Notifications of Claims </w:t>
            </w:r>
          </w:p>
        </w:tc>
        <w:tc>
          <w:tcPr>
            <w:tcW w:w="969" w:type="dxa"/>
          </w:tcPr>
          <w:p w14:paraId="68F2B689" w14:textId="3FC28658" w:rsidR="00782E0B" w:rsidRPr="00A67277" w:rsidRDefault="00782E0B" w:rsidP="00782E0B">
            <w:pPr>
              <w:jc w:val="right"/>
              <w:rPr>
                <w:rFonts w:ascii="Arial" w:hAnsi="Arial" w:cs="Arial"/>
                <w:sz w:val="21"/>
                <w:szCs w:val="21"/>
              </w:rPr>
            </w:pPr>
            <w:r>
              <w:rPr>
                <w:rFonts w:ascii="Arial" w:hAnsi="Arial" w:cs="Arial"/>
                <w:sz w:val="21"/>
                <w:szCs w:val="21"/>
              </w:rPr>
              <w:t>120</w:t>
            </w:r>
          </w:p>
        </w:tc>
        <w:tc>
          <w:tcPr>
            <w:tcW w:w="3723" w:type="dxa"/>
          </w:tcPr>
          <w:p w14:paraId="42518202"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Pemberitahuan Klaim</w:t>
            </w:r>
          </w:p>
        </w:tc>
        <w:tc>
          <w:tcPr>
            <w:tcW w:w="260" w:type="dxa"/>
          </w:tcPr>
          <w:p w14:paraId="4BF55134" w14:textId="77777777" w:rsidR="00782E0B" w:rsidRPr="00A67277" w:rsidRDefault="00782E0B" w:rsidP="00782E0B">
            <w:pPr>
              <w:rPr>
                <w:rFonts w:ascii="Arial" w:hAnsi="Arial" w:cs="Arial"/>
                <w:sz w:val="21"/>
                <w:szCs w:val="21"/>
              </w:rPr>
            </w:pPr>
          </w:p>
        </w:tc>
        <w:tc>
          <w:tcPr>
            <w:tcW w:w="969" w:type="dxa"/>
          </w:tcPr>
          <w:p w14:paraId="1D3926DD" w14:textId="3B164B00" w:rsidR="00782E0B" w:rsidRPr="00A67277" w:rsidRDefault="00782E0B" w:rsidP="00782E0B">
            <w:pPr>
              <w:jc w:val="right"/>
              <w:rPr>
                <w:rFonts w:ascii="Arial" w:hAnsi="Arial" w:cs="Arial"/>
                <w:sz w:val="21"/>
                <w:szCs w:val="21"/>
              </w:rPr>
            </w:pPr>
            <w:r>
              <w:rPr>
                <w:rFonts w:ascii="Arial" w:hAnsi="Arial" w:cs="Arial"/>
                <w:sz w:val="21"/>
                <w:szCs w:val="21"/>
              </w:rPr>
              <w:t>120</w:t>
            </w:r>
          </w:p>
        </w:tc>
      </w:tr>
      <w:tr w:rsidR="00782E0B" w:rsidRPr="00A67277" w14:paraId="5D939F46" w14:textId="77777777" w:rsidTr="00782E0B">
        <w:tc>
          <w:tcPr>
            <w:tcW w:w="3997" w:type="dxa"/>
          </w:tcPr>
          <w:p w14:paraId="44D02CDD"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Policy Deductibles </w:t>
            </w:r>
          </w:p>
        </w:tc>
        <w:tc>
          <w:tcPr>
            <w:tcW w:w="969" w:type="dxa"/>
          </w:tcPr>
          <w:p w14:paraId="01560570" w14:textId="217125C7" w:rsidR="00782E0B" w:rsidRPr="00A67277" w:rsidRDefault="00782E0B" w:rsidP="00782E0B">
            <w:pPr>
              <w:jc w:val="right"/>
              <w:rPr>
                <w:rFonts w:ascii="Arial" w:hAnsi="Arial" w:cs="Arial"/>
                <w:sz w:val="21"/>
                <w:szCs w:val="21"/>
              </w:rPr>
            </w:pPr>
            <w:r>
              <w:rPr>
                <w:rFonts w:ascii="Arial" w:hAnsi="Arial" w:cs="Arial"/>
                <w:sz w:val="21"/>
                <w:szCs w:val="21"/>
              </w:rPr>
              <w:t>120</w:t>
            </w:r>
          </w:p>
        </w:tc>
        <w:tc>
          <w:tcPr>
            <w:tcW w:w="3723" w:type="dxa"/>
          </w:tcPr>
          <w:p w14:paraId="5C1B436C"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 xml:space="preserve">Pengurangan Polis </w:t>
            </w:r>
            <w:r w:rsidRPr="00AD000B">
              <w:rPr>
                <w:rFonts w:cs="Arial"/>
                <w:i/>
                <w:iCs/>
                <w:lang w:val="id-ID"/>
              </w:rPr>
              <w:t>(Policy Deductibles)</w:t>
            </w:r>
            <w:r w:rsidRPr="00A67277">
              <w:rPr>
                <w:rFonts w:cs="Arial"/>
                <w:lang w:val="id-ID"/>
              </w:rPr>
              <w:t xml:space="preserve"> </w:t>
            </w:r>
          </w:p>
        </w:tc>
        <w:tc>
          <w:tcPr>
            <w:tcW w:w="260" w:type="dxa"/>
          </w:tcPr>
          <w:p w14:paraId="1CF666BF" w14:textId="77777777" w:rsidR="00782E0B" w:rsidRPr="00A67277" w:rsidRDefault="00782E0B" w:rsidP="00782E0B">
            <w:pPr>
              <w:rPr>
                <w:rFonts w:ascii="Arial" w:hAnsi="Arial" w:cs="Arial"/>
                <w:sz w:val="21"/>
                <w:szCs w:val="21"/>
              </w:rPr>
            </w:pPr>
          </w:p>
        </w:tc>
        <w:tc>
          <w:tcPr>
            <w:tcW w:w="969" w:type="dxa"/>
          </w:tcPr>
          <w:p w14:paraId="33D06A87" w14:textId="6148067B" w:rsidR="00782E0B" w:rsidRPr="00A67277" w:rsidRDefault="00782E0B" w:rsidP="00782E0B">
            <w:pPr>
              <w:jc w:val="right"/>
              <w:rPr>
                <w:rFonts w:ascii="Arial" w:hAnsi="Arial" w:cs="Arial"/>
                <w:sz w:val="21"/>
                <w:szCs w:val="21"/>
              </w:rPr>
            </w:pPr>
            <w:r>
              <w:rPr>
                <w:rFonts w:ascii="Arial" w:hAnsi="Arial" w:cs="Arial"/>
                <w:sz w:val="21"/>
                <w:szCs w:val="21"/>
              </w:rPr>
              <w:t>120</w:t>
            </w:r>
          </w:p>
        </w:tc>
      </w:tr>
      <w:tr w:rsidR="00782E0B" w:rsidRPr="00A67277" w14:paraId="4426B53E" w14:textId="77777777" w:rsidTr="00782E0B">
        <w:tc>
          <w:tcPr>
            <w:tcW w:w="3997" w:type="dxa"/>
          </w:tcPr>
          <w:p w14:paraId="03521F4B"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Application of Proceeds </w:t>
            </w:r>
          </w:p>
        </w:tc>
        <w:tc>
          <w:tcPr>
            <w:tcW w:w="969" w:type="dxa"/>
          </w:tcPr>
          <w:p w14:paraId="00873214" w14:textId="50881946" w:rsidR="00782E0B" w:rsidRPr="00A67277" w:rsidRDefault="00782E0B" w:rsidP="00782E0B">
            <w:pPr>
              <w:jc w:val="right"/>
              <w:rPr>
                <w:rFonts w:ascii="Arial" w:hAnsi="Arial" w:cs="Arial"/>
                <w:sz w:val="21"/>
                <w:szCs w:val="21"/>
              </w:rPr>
            </w:pPr>
            <w:r>
              <w:rPr>
                <w:rFonts w:ascii="Arial" w:hAnsi="Arial" w:cs="Arial"/>
                <w:sz w:val="21"/>
                <w:szCs w:val="21"/>
              </w:rPr>
              <w:t>120</w:t>
            </w:r>
          </w:p>
        </w:tc>
        <w:tc>
          <w:tcPr>
            <w:tcW w:w="3723" w:type="dxa"/>
          </w:tcPr>
          <w:p w14:paraId="5D98D4BA"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Penggunaan Penerimaan Klaim</w:t>
            </w:r>
          </w:p>
        </w:tc>
        <w:tc>
          <w:tcPr>
            <w:tcW w:w="260" w:type="dxa"/>
          </w:tcPr>
          <w:p w14:paraId="4B25BB88" w14:textId="77777777" w:rsidR="00782E0B" w:rsidRPr="00A67277" w:rsidRDefault="00782E0B" w:rsidP="00782E0B">
            <w:pPr>
              <w:rPr>
                <w:rFonts w:ascii="Arial" w:hAnsi="Arial" w:cs="Arial"/>
                <w:sz w:val="21"/>
                <w:szCs w:val="21"/>
              </w:rPr>
            </w:pPr>
          </w:p>
        </w:tc>
        <w:tc>
          <w:tcPr>
            <w:tcW w:w="969" w:type="dxa"/>
          </w:tcPr>
          <w:p w14:paraId="01982095" w14:textId="232D8177" w:rsidR="00782E0B" w:rsidRPr="00A67277" w:rsidRDefault="00782E0B" w:rsidP="00782E0B">
            <w:pPr>
              <w:jc w:val="right"/>
              <w:rPr>
                <w:rFonts w:ascii="Arial" w:hAnsi="Arial" w:cs="Arial"/>
                <w:sz w:val="21"/>
                <w:szCs w:val="21"/>
              </w:rPr>
            </w:pPr>
            <w:r>
              <w:rPr>
                <w:rFonts w:ascii="Arial" w:hAnsi="Arial" w:cs="Arial"/>
                <w:sz w:val="21"/>
                <w:szCs w:val="21"/>
              </w:rPr>
              <w:t>120</w:t>
            </w:r>
          </w:p>
        </w:tc>
      </w:tr>
      <w:tr w:rsidR="00782E0B" w:rsidRPr="00A67277" w14:paraId="4A2FA9F3" w14:textId="77777777" w:rsidTr="00782E0B">
        <w:tc>
          <w:tcPr>
            <w:tcW w:w="3997" w:type="dxa"/>
          </w:tcPr>
          <w:p w14:paraId="1C03DF72"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Evidence of Insurances </w:t>
            </w:r>
          </w:p>
        </w:tc>
        <w:tc>
          <w:tcPr>
            <w:tcW w:w="969" w:type="dxa"/>
          </w:tcPr>
          <w:p w14:paraId="5B9FE823" w14:textId="4916609A" w:rsidR="00782E0B" w:rsidRPr="00A67277" w:rsidRDefault="00782E0B" w:rsidP="00782E0B">
            <w:pPr>
              <w:jc w:val="right"/>
              <w:rPr>
                <w:rFonts w:ascii="Arial" w:hAnsi="Arial" w:cs="Arial"/>
                <w:sz w:val="21"/>
                <w:szCs w:val="21"/>
              </w:rPr>
            </w:pPr>
            <w:r>
              <w:rPr>
                <w:rFonts w:ascii="Arial" w:hAnsi="Arial" w:cs="Arial"/>
                <w:sz w:val="21"/>
                <w:szCs w:val="21"/>
              </w:rPr>
              <w:t>121</w:t>
            </w:r>
          </w:p>
        </w:tc>
        <w:tc>
          <w:tcPr>
            <w:tcW w:w="3723" w:type="dxa"/>
          </w:tcPr>
          <w:p w14:paraId="20996ABF"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Bukti Asuransi</w:t>
            </w:r>
          </w:p>
        </w:tc>
        <w:tc>
          <w:tcPr>
            <w:tcW w:w="260" w:type="dxa"/>
          </w:tcPr>
          <w:p w14:paraId="38A0E7AC" w14:textId="77777777" w:rsidR="00782E0B" w:rsidRPr="00A67277" w:rsidRDefault="00782E0B" w:rsidP="00782E0B">
            <w:pPr>
              <w:rPr>
                <w:rFonts w:ascii="Arial" w:hAnsi="Arial" w:cs="Arial"/>
                <w:sz w:val="21"/>
                <w:szCs w:val="21"/>
              </w:rPr>
            </w:pPr>
          </w:p>
        </w:tc>
        <w:tc>
          <w:tcPr>
            <w:tcW w:w="969" w:type="dxa"/>
          </w:tcPr>
          <w:p w14:paraId="0FE47380" w14:textId="23CC7179" w:rsidR="00782E0B" w:rsidRPr="00A67277" w:rsidRDefault="00782E0B" w:rsidP="00782E0B">
            <w:pPr>
              <w:jc w:val="right"/>
              <w:rPr>
                <w:rFonts w:ascii="Arial" w:hAnsi="Arial" w:cs="Arial"/>
                <w:sz w:val="21"/>
                <w:szCs w:val="21"/>
              </w:rPr>
            </w:pPr>
            <w:r>
              <w:rPr>
                <w:rFonts w:ascii="Arial" w:hAnsi="Arial" w:cs="Arial"/>
                <w:sz w:val="21"/>
                <w:szCs w:val="21"/>
              </w:rPr>
              <w:t>121</w:t>
            </w:r>
          </w:p>
        </w:tc>
      </w:tr>
      <w:tr w:rsidR="00782E0B" w:rsidRPr="00A67277" w14:paraId="65B56AAA" w14:textId="77777777" w:rsidTr="00782E0B">
        <w:tc>
          <w:tcPr>
            <w:tcW w:w="3997" w:type="dxa"/>
          </w:tcPr>
          <w:p w14:paraId="2197AED0" w14:textId="77777777" w:rsidR="00782E0B" w:rsidRPr="00A67277" w:rsidRDefault="00782E0B" w:rsidP="00782E0B">
            <w:pPr>
              <w:rPr>
                <w:rFonts w:ascii="Arial" w:hAnsi="Arial" w:cs="Arial"/>
                <w:sz w:val="21"/>
                <w:szCs w:val="21"/>
              </w:rPr>
            </w:pPr>
          </w:p>
        </w:tc>
        <w:tc>
          <w:tcPr>
            <w:tcW w:w="969" w:type="dxa"/>
          </w:tcPr>
          <w:p w14:paraId="531A2BBE" w14:textId="77777777" w:rsidR="00782E0B" w:rsidRPr="00A67277" w:rsidRDefault="00782E0B" w:rsidP="00782E0B">
            <w:pPr>
              <w:jc w:val="right"/>
              <w:rPr>
                <w:rFonts w:ascii="Arial" w:hAnsi="Arial" w:cs="Arial"/>
                <w:sz w:val="21"/>
                <w:szCs w:val="21"/>
              </w:rPr>
            </w:pPr>
          </w:p>
        </w:tc>
        <w:tc>
          <w:tcPr>
            <w:tcW w:w="3723" w:type="dxa"/>
          </w:tcPr>
          <w:p w14:paraId="2E0CEB1F" w14:textId="77777777" w:rsidR="00782E0B" w:rsidRPr="00A67277" w:rsidRDefault="00782E0B" w:rsidP="00782E0B">
            <w:pPr>
              <w:rPr>
                <w:rFonts w:ascii="Arial" w:hAnsi="Arial" w:cs="Arial"/>
                <w:sz w:val="21"/>
                <w:szCs w:val="21"/>
                <w:lang w:val="id-ID"/>
              </w:rPr>
            </w:pPr>
          </w:p>
        </w:tc>
        <w:tc>
          <w:tcPr>
            <w:tcW w:w="260" w:type="dxa"/>
          </w:tcPr>
          <w:p w14:paraId="40A4C899" w14:textId="77777777" w:rsidR="00782E0B" w:rsidRPr="00A67277" w:rsidRDefault="00782E0B" w:rsidP="00782E0B">
            <w:pPr>
              <w:rPr>
                <w:rFonts w:ascii="Arial" w:hAnsi="Arial" w:cs="Arial"/>
                <w:sz w:val="21"/>
                <w:szCs w:val="21"/>
              </w:rPr>
            </w:pPr>
          </w:p>
        </w:tc>
        <w:tc>
          <w:tcPr>
            <w:tcW w:w="969" w:type="dxa"/>
          </w:tcPr>
          <w:p w14:paraId="0CB0623D" w14:textId="77777777" w:rsidR="00782E0B" w:rsidRPr="00A67277" w:rsidRDefault="00782E0B" w:rsidP="00782E0B">
            <w:pPr>
              <w:jc w:val="right"/>
              <w:rPr>
                <w:rFonts w:ascii="Arial" w:hAnsi="Arial" w:cs="Arial"/>
                <w:sz w:val="21"/>
                <w:szCs w:val="21"/>
              </w:rPr>
            </w:pPr>
          </w:p>
        </w:tc>
      </w:tr>
      <w:tr w:rsidR="00782E0B" w:rsidRPr="00A67277" w14:paraId="3E04C2CD" w14:textId="77777777" w:rsidTr="00782E0B">
        <w:tc>
          <w:tcPr>
            <w:tcW w:w="3997" w:type="dxa"/>
          </w:tcPr>
          <w:p w14:paraId="7BC9F7E9" w14:textId="77777777"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 xml:space="preserve">Convenants </w:t>
            </w:r>
          </w:p>
        </w:tc>
        <w:tc>
          <w:tcPr>
            <w:tcW w:w="969" w:type="dxa"/>
          </w:tcPr>
          <w:p w14:paraId="0E38A507" w14:textId="4F070E0A" w:rsidR="00782E0B" w:rsidRPr="00A67277" w:rsidRDefault="00782E0B" w:rsidP="00782E0B">
            <w:pPr>
              <w:jc w:val="right"/>
              <w:rPr>
                <w:rFonts w:ascii="Arial" w:hAnsi="Arial" w:cs="Arial"/>
                <w:sz w:val="21"/>
                <w:szCs w:val="21"/>
              </w:rPr>
            </w:pPr>
            <w:r>
              <w:rPr>
                <w:rFonts w:ascii="Arial" w:hAnsi="Arial" w:cs="Arial"/>
                <w:sz w:val="21"/>
                <w:szCs w:val="21"/>
              </w:rPr>
              <w:t>122</w:t>
            </w:r>
          </w:p>
        </w:tc>
        <w:tc>
          <w:tcPr>
            <w:tcW w:w="3723" w:type="dxa"/>
          </w:tcPr>
          <w:p w14:paraId="2E1FA8EE" w14:textId="77777777" w:rsidR="00782E0B" w:rsidRPr="00A67277" w:rsidRDefault="00782E0B" w:rsidP="00782E0B">
            <w:pPr>
              <w:pStyle w:val="ListParagraph"/>
              <w:numPr>
                <w:ilvl w:val="0"/>
                <w:numId w:val="483"/>
              </w:numPr>
              <w:spacing w:line="240" w:lineRule="auto"/>
              <w:ind w:left="397" w:hanging="397"/>
              <w:jc w:val="left"/>
              <w:rPr>
                <w:rFonts w:cs="Arial"/>
                <w:b/>
                <w:lang w:val="id-ID"/>
              </w:rPr>
            </w:pPr>
            <w:r w:rsidRPr="00A67277">
              <w:rPr>
                <w:rFonts w:cs="Arial"/>
                <w:b/>
                <w:lang w:val="id-ID"/>
              </w:rPr>
              <w:t>Janji-Janji</w:t>
            </w:r>
          </w:p>
        </w:tc>
        <w:tc>
          <w:tcPr>
            <w:tcW w:w="260" w:type="dxa"/>
          </w:tcPr>
          <w:p w14:paraId="0FA06C75" w14:textId="77777777" w:rsidR="00782E0B" w:rsidRPr="00A67277" w:rsidRDefault="00782E0B" w:rsidP="00782E0B">
            <w:pPr>
              <w:rPr>
                <w:rFonts w:ascii="Arial" w:hAnsi="Arial" w:cs="Arial"/>
                <w:sz w:val="21"/>
                <w:szCs w:val="21"/>
              </w:rPr>
            </w:pPr>
          </w:p>
        </w:tc>
        <w:tc>
          <w:tcPr>
            <w:tcW w:w="969" w:type="dxa"/>
          </w:tcPr>
          <w:p w14:paraId="186D8E9C" w14:textId="7529EE1E" w:rsidR="00782E0B" w:rsidRPr="00A67277" w:rsidRDefault="00782E0B" w:rsidP="00782E0B">
            <w:pPr>
              <w:jc w:val="right"/>
              <w:rPr>
                <w:rFonts w:ascii="Arial" w:hAnsi="Arial" w:cs="Arial"/>
                <w:sz w:val="21"/>
                <w:szCs w:val="21"/>
              </w:rPr>
            </w:pPr>
            <w:r>
              <w:rPr>
                <w:rFonts w:ascii="Arial" w:hAnsi="Arial" w:cs="Arial"/>
                <w:sz w:val="21"/>
                <w:szCs w:val="21"/>
              </w:rPr>
              <w:t>122</w:t>
            </w:r>
          </w:p>
        </w:tc>
      </w:tr>
      <w:tr w:rsidR="00782E0B" w:rsidRPr="00A67277" w14:paraId="5FEF78C5" w14:textId="77777777" w:rsidTr="00782E0B">
        <w:tc>
          <w:tcPr>
            <w:tcW w:w="3997" w:type="dxa"/>
          </w:tcPr>
          <w:p w14:paraId="57B1FAED"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Sub-Contracts </w:t>
            </w:r>
          </w:p>
        </w:tc>
        <w:tc>
          <w:tcPr>
            <w:tcW w:w="969" w:type="dxa"/>
          </w:tcPr>
          <w:p w14:paraId="61F448BC" w14:textId="3385C62C" w:rsidR="00782E0B" w:rsidRPr="00A67277" w:rsidRDefault="00782E0B" w:rsidP="00782E0B">
            <w:pPr>
              <w:jc w:val="right"/>
              <w:rPr>
                <w:rFonts w:ascii="Arial" w:hAnsi="Arial" w:cs="Arial"/>
                <w:sz w:val="21"/>
                <w:szCs w:val="21"/>
              </w:rPr>
            </w:pPr>
            <w:r>
              <w:rPr>
                <w:rFonts w:ascii="Arial" w:hAnsi="Arial" w:cs="Arial"/>
                <w:sz w:val="21"/>
                <w:szCs w:val="21"/>
              </w:rPr>
              <w:t>122</w:t>
            </w:r>
          </w:p>
        </w:tc>
        <w:tc>
          <w:tcPr>
            <w:tcW w:w="3723" w:type="dxa"/>
          </w:tcPr>
          <w:p w14:paraId="7397510D"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Subkontrak</w:t>
            </w:r>
          </w:p>
        </w:tc>
        <w:tc>
          <w:tcPr>
            <w:tcW w:w="260" w:type="dxa"/>
          </w:tcPr>
          <w:p w14:paraId="0F0D4A20" w14:textId="77777777" w:rsidR="00782E0B" w:rsidRPr="00A67277" w:rsidRDefault="00782E0B" w:rsidP="00782E0B">
            <w:pPr>
              <w:rPr>
                <w:rFonts w:ascii="Arial" w:hAnsi="Arial" w:cs="Arial"/>
                <w:sz w:val="21"/>
                <w:szCs w:val="21"/>
              </w:rPr>
            </w:pPr>
          </w:p>
        </w:tc>
        <w:tc>
          <w:tcPr>
            <w:tcW w:w="969" w:type="dxa"/>
          </w:tcPr>
          <w:p w14:paraId="0BE15E68" w14:textId="64A0F9D2" w:rsidR="00782E0B" w:rsidRPr="00A67277" w:rsidRDefault="00782E0B" w:rsidP="00782E0B">
            <w:pPr>
              <w:jc w:val="right"/>
              <w:rPr>
                <w:rFonts w:ascii="Arial" w:hAnsi="Arial" w:cs="Arial"/>
                <w:sz w:val="21"/>
                <w:szCs w:val="21"/>
              </w:rPr>
            </w:pPr>
            <w:r>
              <w:rPr>
                <w:rFonts w:ascii="Arial" w:hAnsi="Arial" w:cs="Arial"/>
                <w:sz w:val="21"/>
                <w:szCs w:val="21"/>
              </w:rPr>
              <w:t>122</w:t>
            </w:r>
          </w:p>
        </w:tc>
      </w:tr>
      <w:tr w:rsidR="00782E0B" w:rsidRPr="00A67277" w14:paraId="4DD1F65C" w14:textId="77777777" w:rsidTr="00782E0B">
        <w:tc>
          <w:tcPr>
            <w:tcW w:w="3997" w:type="dxa"/>
          </w:tcPr>
          <w:p w14:paraId="00F9183A"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Other Business </w:t>
            </w:r>
          </w:p>
        </w:tc>
        <w:tc>
          <w:tcPr>
            <w:tcW w:w="969" w:type="dxa"/>
          </w:tcPr>
          <w:p w14:paraId="6F2329CE" w14:textId="122312F8" w:rsidR="00782E0B" w:rsidRPr="00A67277" w:rsidRDefault="00782E0B" w:rsidP="00782E0B">
            <w:pPr>
              <w:jc w:val="right"/>
              <w:rPr>
                <w:rFonts w:ascii="Arial" w:hAnsi="Arial" w:cs="Arial"/>
                <w:sz w:val="21"/>
                <w:szCs w:val="21"/>
              </w:rPr>
            </w:pPr>
            <w:r>
              <w:rPr>
                <w:rFonts w:ascii="Arial" w:hAnsi="Arial" w:cs="Arial"/>
                <w:sz w:val="21"/>
                <w:szCs w:val="21"/>
              </w:rPr>
              <w:t>123</w:t>
            </w:r>
          </w:p>
        </w:tc>
        <w:tc>
          <w:tcPr>
            <w:tcW w:w="3723" w:type="dxa"/>
          </w:tcPr>
          <w:p w14:paraId="3307C1A5"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Usaha Lain</w:t>
            </w:r>
          </w:p>
        </w:tc>
        <w:tc>
          <w:tcPr>
            <w:tcW w:w="260" w:type="dxa"/>
          </w:tcPr>
          <w:p w14:paraId="4B9C950E" w14:textId="77777777" w:rsidR="00782E0B" w:rsidRPr="00A67277" w:rsidRDefault="00782E0B" w:rsidP="00782E0B">
            <w:pPr>
              <w:rPr>
                <w:rFonts w:ascii="Arial" w:hAnsi="Arial" w:cs="Arial"/>
                <w:sz w:val="21"/>
                <w:szCs w:val="21"/>
              </w:rPr>
            </w:pPr>
          </w:p>
        </w:tc>
        <w:tc>
          <w:tcPr>
            <w:tcW w:w="969" w:type="dxa"/>
          </w:tcPr>
          <w:p w14:paraId="510F2A2E" w14:textId="0E9CD01F" w:rsidR="00782E0B" w:rsidRPr="00A67277" w:rsidRDefault="00782E0B" w:rsidP="00782E0B">
            <w:pPr>
              <w:jc w:val="right"/>
              <w:rPr>
                <w:rFonts w:ascii="Arial" w:hAnsi="Arial" w:cs="Arial"/>
                <w:sz w:val="21"/>
                <w:szCs w:val="21"/>
              </w:rPr>
            </w:pPr>
            <w:r>
              <w:rPr>
                <w:rFonts w:ascii="Arial" w:hAnsi="Arial" w:cs="Arial"/>
                <w:sz w:val="21"/>
                <w:szCs w:val="21"/>
              </w:rPr>
              <w:t>123</w:t>
            </w:r>
          </w:p>
        </w:tc>
      </w:tr>
      <w:tr w:rsidR="00782E0B" w:rsidRPr="00A67277" w14:paraId="28029103" w14:textId="77777777" w:rsidTr="00782E0B">
        <w:tc>
          <w:tcPr>
            <w:tcW w:w="3997" w:type="dxa"/>
          </w:tcPr>
          <w:p w14:paraId="0AE5047D"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Amendments</w:t>
            </w:r>
          </w:p>
        </w:tc>
        <w:tc>
          <w:tcPr>
            <w:tcW w:w="969" w:type="dxa"/>
          </w:tcPr>
          <w:p w14:paraId="0EE9D374" w14:textId="025037A6" w:rsidR="00782E0B" w:rsidRPr="00A67277" w:rsidRDefault="00782E0B" w:rsidP="00782E0B">
            <w:pPr>
              <w:jc w:val="right"/>
              <w:rPr>
                <w:rFonts w:ascii="Arial" w:hAnsi="Arial" w:cs="Arial"/>
                <w:sz w:val="21"/>
                <w:szCs w:val="21"/>
              </w:rPr>
            </w:pPr>
            <w:r>
              <w:rPr>
                <w:rFonts w:ascii="Arial" w:hAnsi="Arial" w:cs="Arial"/>
                <w:sz w:val="21"/>
                <w:szCs w:val="21"/>
              </w:rPr>
              <w:t>124</w:t>
            </w:r>
          </w:p>
        </w:tc>
        <w:tc>
          <w:tcPr>
            <w:tcW w:w="3723" w:type="dxa"/>
          </w:tcPr>
          <w:p w14:paraId="3B61CAC7"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Amandemen</w:t>
            </w:r>
          </w:p>
        </w:tc>
        <w:tc>
          <w:tcPr>
            <w:tcW w:w="260" w:type="dxa"/>
          </w:tcPr>
          <w:p w14:paraId="31AD12A1" w14:textId="77777777" w:rsidR="00782E0B" w:rsidRPr="00A67277" w:rsidRDefault="00782E0B" w:rsidP="00782E0B">
            <w:pPr>
              <w:rPr>
                <w:rFonts w:ascii="Arial" w:hAnsi="Arial" w:cs="Arial"/>
                <w:sz w:val="21"/>
                <w:szCs w:val="21"/>
              </w:rPr>
            </w:pPr>
          </w:p>
        </w:tc>
        <w:tc>
          <w:tcPr>
            <w:tcW w:w="969" w:type="dxa"/>
          </w:tcPr>
          <w:p w14:paraId="57B07843" w14:textId="30E8FF24" w:rsidR="00782E0B" w:rsidRPr="00A67277" w:rsidRDefault="00782E0B" w:rsidP="00782E0B">
            <w:pPr>
              <w:jc w:val="right"/>
              <w:rPr>
                <w:rFonts w:ascii="Arial" w:hAnsi="Arial" w:cs="Arial"/>
                <w:sz w:val="21"/>
                <w:szCs w:val="21"/>
              </w:rPr>
            </w:pPr>
            <w:r>
              <w:rPr>
                <w:rFonts w:ascii="Arial" w:hAnsi="Arial" w:cs="Arial"/>
                <w:sz w:val="21"/>
                <w:szCs w:val="21"/>
              </w:rPr>
              <w:t>124</w:t>
            </w:r>
          </w:p>
        </w:tc>
      </w:tr>
      <w:tr w:rsidR="00782E0B" w:rsidRPr="00A67277" w14:paraId="6D6533AD" w14:textId="77777777" w:rsidTr="00782E0B">
        <w:tc>
          <w:tcPr>
            <w:tcW w:w="3997" w:type="dxa"/>
          </w:tcPr>
          <w:p w14:paraId="0581DE6F"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Compliance with Laws </w:t>
            </w:r>
          </w:p>
        </w:tc>
        <w:tc>
          <w:tcPr>
            <w:tcW w:w="969" w:type="dxa"/>
          </w:tcPr>
          <w:p w14:paraId="623F0098" w14:textId="044CB15B" w:rsidR="00782E0B" w:rsidRPr="00A67277" w:rsidRDefault="00782E0B" w:rsidP="00782E0B">
            <w:pPr>
              <w:jc w:val="right"/>
              <w:rPr>
                <w:rFonts w:ascii="Arial" w:hAnsi="Arial" w:cs="Arial"/>
                <w:sz w:val="21"/>
                <w:szCs w:val="21"/>
              </w:rPr>
            </w:pPr>
            <w:r>
              <w:rPr>
                <w:rFonts w:ascii="Arial" w:hAnsi="Arial" w:cs="Arial"/>
                <w:sz w:val="21"/>
                <w:szCs w:val="21"/>
              </w:rPr>
              <w:t>124</w:t>
            </w:r>
          </w:p>
        </w:tc>
        <w:tc>
          <w:tcPr>
            <w:tcW w:w="3723" w:type="dxa"/>
          </w:tcPr>
          <w:p w14:paraId="2606B0DF"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Kepatuhan Hukum</w:t>
            </w:r>
          </w:p>
        </w:tc>
        <w:tc>
          <w:tcPr>
            <w:tcW w:w="260" w:type="dxa"/>
          </w:tcPr>
          <w:p w14:paraId="69BC12D5" w14:textId="77777777" w:rsidR="00782E0B" w:rsidRPr="00A67277" w:rsidRDefault="00782E0B" w:rsidP="00782E0B">
            <w:pPr>
              <w:rPr>
                <w:rFonts w:ascii="Arial" w:hAnsi="Arial" w:cs="Arial"/>
                <w:sz w:val="21"/>
                <w:szCs w:val="21"/>
              </w:rPr>
            </w:pPr>
          </w:p>
        </w:tc>
        <w:tc>
          <w:tcPr>
            <w:tcW w:w="969" w:type="dxa"/>
          </w:tcPr>
          <w:p w14:paraId="6F2B5B94" w14:textId="7590E5A9" w:rsidR="00782E0B" w:rsidRPr="00A67277" w:rsidRDefault="00782E0B" w:rsidP="00782E0B">
            <w:pPr>
              <w:jc w:val="right"/>
              <w:rPr>
                <w:rFonts w:ascii="Arial" w:hAnsi="Arial" w:cs="Arial"/>
                <w:sz w:val="21"/>
                <w:szCs w:val="21"/>
              </w:rPr>
            </w:pPr>
            <w:r>
              <w:rPr>
                <w:rFonts w:ascii="Arial" w:hAnsi="Arial" w:cs="Arial"/>
                <w:sz w:val="21"/>
                <w:szCs w:val="21"/>
              </w:rPr>
              <w:t>124</w:t>
            </w:r>
          </w:p>
        </w:tc>
      </w:tr>
      <w:tr w:rsidR="00782E0B" w:rsidRPr="00A67277" w14:paraId="1A118397" w14:textId="77777777" w:rsidTr="00782E0B">
        <w:tc>
          <w:tcPr>
            <w:tcW w:w="3997" w:type="dxa"/>
          </w:tcPr>
          <w:p w14:paraId="5E7C57E0"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Indonesian Participation </w:t>
            </w:r>
          </w:p>
        </w:tc>
        <w:tc>
          <w:tcPr>
            <w:tcW w:w="969" w:type="dxa"/>
          </w:tcPr>
          <w:p w14:paraId="63441918" w14:textId="182D36AE" w:rsidR="00782E0B" w:rsidRPr="00A67277" w:rsidRDefault="00782E0B" w:rsidP="00782E0B">
            <w:pPr>
              <w:jc w:val="right"/>
              <w:rPr>
                <w:rFonts w:ascii="Arial" w:hAnsi="Arial" w:cs="Arial"/>
                <w:sz w:val="21"/>
                <w:szCs w:val="21"/>
              </w:rPr>
            </w:pPr>
            <w:r>
              <w:rPr>
                <w:rFonts w:ascii="Arial" w:hAnsi="Arial" w:cs="Arial"/>
                <w:sz w:val="21"/>
                <w:szCs w:val="21"/>
              </w:rPr>
              <w:t>125</w:t>
            </w:r>
          </w:p>
        </w:tc>
        <w:tc>
          <w:tcPr>
            <w:tcW w:w="3723" w:type="dxa"/>
          </w:tcPr>
          <w:p w14:paraId="46839D10"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Kandungan Lokal (</w:t>
            </w:r>
            <w:r w:rsidRPr="00A67277">
              <w:rPr>
                <w:rFonts w:cs="Arial"/>
                <w:i/>
                <w:iCs/>
                <w:lang w:val="id-ID"/>
              </w:rPr>
              <w:t>Indonesian Participation</w:t>
            </w:r>
            <w:r w:rsidRPr="00A67277">
              <w:rPr>
                <w:rFonts w:cs="Arial"/>
                <w:lang w:val="id-ID"/>
              </w:rPr>
              <w:t xml:space="preserve">) </w:t>
            </w:r>
          </w:p>
        </w:tc>
        <w:tc>
          <w:tcPr>
            <w:tcW w:w="260" w:type="dxa"/>
          </w:tcPr>
          <w:p w14:paraId="422D4581" w14:textId="77777777" w:rsidR="00782E0B" w:rsidRPr="00A67277" w:rsidRDefault="00782E0B" w:rsidP="00782E0B">
            <w:pPr>
              <w:rPr>
                <w:rFonts w:ascii="Arial" w:hAnsi="Arial" w:cs="Arial"/>
                <w:sz w:val="21"/>
                <w:szCs w:val="21"/>
              </w:rPr>
            </w:pPr>
          </w:p>
        </w:tc>
        <w:tc>
          <w:tcPr>
            <w:tcW w:w="969" w:type="dxa"/>
          </w:tcPr>
          <w:p w14:paraId="5DD045C5" w14:textId="52C77F93" w:rsidR="00782E0B" w:rsidRPr="00A67277" w:rsidRDefault="00782E0B" w:rsidP="00782E0B">
            <w:pPr>
              <w:jc w:val="right"/>
              <w:rPr>
                <w:rFonts w:ascii="Arial" w:hAnsi="Arial" w:cs="Arial"/>
                <w:sz w:val="21"/>
                <w:szCs w:val="21"/>
              </w:rPr>
            </w:pPr>
            <w:r>
              <w:rPr>
                <w:rFonts w:ascii="Arial" w:hAnsi="Arial" w:cs="Arial"/>
                <w:sz w:val="21"/>
                <w:szCs w:val="21"/>
              </w:rPr>
              <w:t>125</w:t>
            </w:r>
          </w:p>
        </w:tc>
      </w:tr>
      <w:tr w:rsidR="00782E0B" w:rsidRPr="00A67277" w14:paraId="3DA3A9F1" w14:textId="77777777" w:rsidTr="00782E0B">
        <w:tc>
          <w:tcPr>
            <w:tcW w:w="3997" w:type="dxa"/>
          </w:tcPr>
          <w:p w14:paraId="2CF1F659"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Drawings and Test Results </w:t>
            </w:r>
          </w:p>
        </w:tc>
        <w:tc>
          <w:tcPr>
            <w:tcW w:w="969" w:type="dxa"/>
          </w:tcPr>
          <w:p w14:paraId="59847A8A" w14:textId="4C3856B3" w:rsidR="00782E0B" w:rsidRPr="00A67277" w:rsidRDefault="00782E0B" w:rsidP="00782E0B">
            <w:pPr>
              <w:jc w:val="right"/>
              <w:rPr>
                <w:rFonts w:ascii="Arial" w:hAnsi="Arial" w:cs="Arial"/>
                <w:sz w:val="21"/>
                <w:szCs w:val="21"/>
              </w:rPr>
            </w:pPr>
            <w:r>
              <w:rPr>
                <w:rFonts w:ascii="Arial" w:hAnsi="Arial" w:cs="Arial"/>
                <w:sz w:val="21"/>
                <w:szCs w:val="21"/>
              </w:rPr>
              <w:t>126</w:t>
            </w:r>
          </w:p>
        </w:tc>
        <w:tc>
          <w:tcPr>
            <w:tcW w:w="3723" w:type="dxa"/>
          </w:tcPr>
          <w:p w14:paraId="4A5DE18A"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Gambar dan Hasil Pengujian</w:t>
            </w:r>
          </w:p>
        </w:tc>
        <w:tc>
          <w:tcPr>
            <w:tcW w:w="260" w:type="dxa"/>
          </w:tcPr>
          <w:p w14:paraId="0EA24A12" w14:textId="77777777" w:rsidR="00782E0B" w:rsidRPr="00A67277" w:rsidRDefault="00782E0B" w:rsidP="00782E0B">
            <w:pPr>
              <w:rPr>
                <w:rFonts w:ascii="Arial" w:hAnsi="Arial" w:cs="Arial"/>
                <w:sz w:val="21"/>
                <w:szCs w:val="21"/>
              </w:rPr>
            </w:pPr>
          </w:p>
        </w:tc>
        <w:tc>
          <w:tcPr>
            <w:tcW w:w="969" w:type="dxa"/>
          </w:tcPr>
          <w:p w14:paraId="03004D57" w14:textId="4A761BEB" w:rsidR="00782E0B" w:rsidRPr="00A67277" w:rsidRDefault="00782E0B" w:rsidP="00782E0B">
            <w:pPr>
              <w:jc w:val="right"/>
              <w:rPr>
                <w:rFonts w:ascii="Arial" w:hAnsi="Arial" w:cs="Arial"/>
                <w:sz w:val="21"/>
                <w:szCs w:val="21"/>
              </w:rPr>
            </w:pPr>
            <w:r>
              <w:rPr>
                <w:rFonts w:ascii="Arial" w:hAnsi="Arial" w:cs="Arial"/>
                <w:sz w:val="21"/>
                <w:szCs w:val="21"/>
              </w:rPr>
              <w:t>126</w:t>
            </w:r>
          </w:p>
        </w:tc>
      </w:tr>
      <w:tr w:rsidR="00782E0B" w:rsidRPr="00A67277" w14:paraId="196A8D8F" w14:textId="77777777" w:rsidTr="00782E0B">
        <w:tc>
          <w:tcPr>
            <w:tcW w:w="3997" w:type="dxa"/>
          </w:tcPr>
          <w:p w14:paraId="4ABB6A41" w14:textId="77777777" w:rsidR="00782E0B" w:rsidRPr="00A67277" w:rsidRDefault="00782E0B" w:rsidP="00782E0B">
            <w:pPr>
              <w:rPr>
                <w:rFonts w:ascii="Arial" w:hAnsi="Arial" w:cs="Arial"/>
                <w:sz w:val="21"/>
                <w:szCs w:val="21"/>
              </w:rPr>
            </w:pPr>
          </w:p>
        </w:tc>
        <w:tc>
          <w:tcPr>
            <w:tcW w:w="969" w:type="dxa"/>
          </w:tcPr>
          <w:p w14:paraId="12E81915" w14:textId="77777777" w:rsidR="00782E0B" w:rsidRPr="00A67277" w:rsidRDefault="00782E0B" w:rsidP="00782E0B">
            <w:pPr>
              <w:jc w:val="right"/>
              <w:rPr>
                <w:rFonts w:ascii="Arial" w:hAnsi="Arial" w:cs="Arial"/>
                <w:sz w:val="21"/>
                <w:szCs w:val="21"/>
              </w:rPr>
            </w:pPr>
          </w:p>
        </w:tc>
        <w:tc>
          <w:tcPr>
            <w:tcW w:w="3723" w:type="dxa"/>
          </w:tcPr>
          <w:p w14:paraId="6D16E975" w14:textId="77777777" w:rsidR="00782E0B" w:rsidRPr="00A67277" w:rsidRDefault="00782E0B" w:rsidP="00782E0B">
            <w:pPr>
              <w:rPr>
                <w:rFonts w:ascii="Arial" w:hAnsi="Arial" w:cs="Arial"/>
                <w:sz w:val="21"/>
                <w:szCs w:val="21"/>
                <w:lang w:val="id-ID"/>
              </w:rPr>
            </w:pPr>
          </w:p>
        </w:tc>
        <w:tc>
          <w:tcPr>
            <w:tcW w:w="260" w:type="dxa"/>
          </w:tcPr>
          <w:p w14:paraId="23071B80" w14:textId="77777777" w:rsidR="00782E0B" w:rsidRPr="00A67277" w:rsidRDefault="00782E0B" w:rsidP="00782E0B">
            <w:pPr>
              <w:rPr>
                <w:rFonts w:ascii="Arial" w:hAnsi="Arial" w:cs="Arial"/>
                <w:sz w:val="21"/>
                <w:szCs w:val="21"/>
              </w:rPr>
            </w:pPr>
          </w:p>
        </w:tc>
        <w:tc>
          <w:tcPr>
            <w:tcW w:w="969" w:type="dxa"/>
          </w:tcPr>
          <w:p w14:paraId="62B6C9DA" w14:textId="77777777" w:rsidR="00782E0B" w:rsidRPr="00A67277" w:rsidRDefault="00782E0B" w:rsidP="00782E0B">
            <w:pPr>
              <w:jc w:val="right"/>
              <w:rPr>
                <w:rFonts w:ascii="Arial" w:hAnsi="Arial" w:cs="Arial"/>
                <w:sz w:val="21"/>
                <w:szCs w:val="21"/>
              </w:rPr>
            </w:pPr>
          </w:p>
        </w:tc>
      </w:tr>
      <w:tr w:rsidR="00782E0B" w:rsidRPr="00A67277" w14:paraId="32DE1A63" w14:textId="77777777" w:rsidTr="00782E0B">
        <w:tc>
          <w:tcPr>
            <w:tcW w:w="3997" w:type="dxa"/>
          </w:tcPr>
          <w:p w14:paraId="27C566DD" w14:textId="77777777"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 xml:space="preserve">Indemnity and Liability </w:t>
            </w:r>
          </w:p>
        </w:tc>
        <w:tc>
          <w:tcPr>
            <w:tcW w:w="969" w:type="dxa"/>
          </w:tcPr>
          <w:p w14:paraId="5B0803CD" w14:textId="1E178059" w:rsidR="00782E0B" w:rsidRPr="00A67277" w:rsidRDefault="00782E0B" w:rsidP="00782E0B">
            <w:pPr>
              <w:jc w:val="right"/>
              <w:rPr>
                <w:rFonts w:ascii="Arial" w:hAnsi="Arial" w:cs="Arial"/>
                <w:sz w:val="21"/>
                <w:szCs w:val="21"/>
              </w:rPr>
            </w:pPr>
            <w:r>
              <w:rPr>
                <w:rFonts w:ascii="Arial" w:hAnsi="Arial" w:cs="Arial"/>
                <w:sz w:val="21"/>
                <w:szCs w:val="21"/>
              </w:rPr>
              <w:t>127</w:t>
            </w:r>
          </w:p>
        </w:tc>
        <w:tc>
          <w:tcPr>
            <w:tcW w:w="3723" w:type="dxa"/>
          </w:tcPr>
          <w:p w14:paraId="5D86AF4E" w14:textId="77777777" w:rsidR="00782E0B" w:rsidRPr="00A67277" w:rsidRDefault="00782E0B" w:rsidP="00782E0B">
            <w:pPr>
              <w:pStyle w:val="ListParagraph"/>
              <w:numPr>
                <w:ilvl w:val="0"/>
                <w:numId w:val="483"/>
              </w:numPr>
              <w:spacing w:line="240" w:lineRule="auto"/>
              <w:ind w:left="397" w:hanging="397"/>
              <w:jc w:val="left"/>
              <w:rPr>
                <w:rFonts w:cs="Arial"/>
                <w:b/>
                <w:lang w:val="id-ID"/>
              </w:rPr>
            </w:pPr>
            <w:r w:rsidRPr="00A67277">
              <w:rPr>
                <w:rFonts w:cs="Arial"/>
                <w:b/>
                <w:lang w:val="id-ID"/>
              </w:rPr>
              <w:t>Ganti Rugi dan Tanggung Jawab</w:t>
            </w:r>
          </w:p>
        </w:tc>
        <w:tc>
          <w:tcPr>
            <w:tcW w:w="260" w:type="dxa"/>
          </w:tcPr>
          <w:p w14:paraId="13002964" w14:textId="77777777" w:rsidR="00782E0B" w:rsidRPr="00A67277" w:rsidRDefault="00782E0B" w:rsidP="00782E0B">
            <w:pPr>
              <w:rPr>
                <w:rFonts w:ascii="Arial" w:hAnsi="Arial" w:cs="Arial"/>
                <w:sz w:val="21"/>
                <w:szCs w:val="21"/>
              </w:rPr>
            </w:pPr>
          </w:p>
        </w:tc>
        <w:tc>
          <w:tcPr>
            <w:tcW w:w="969" w:type="dxa"/>
          </w:tcPr>
          <w:p w14:paraId="0840A3F1" w14:textId="3019E754" w:rsidR="00782E0B" w:rsidRPr="00A67277" w:rsidRDefault="00782E0B" w:rsidP="00782E0B">
            <w:pPr>
              <w:jc w:val="right"/>
              <w:rPr>
                <w:rFonts w:ascii="Arial" w:hAnsi="Arial" w:cs="Arial"/>
                <w:sz w:val="21"/>
                <w:szCs w:val="21"/>
              </w:rPr>
            </w:pPr>
            <w:r>
              <w:rPr>
                <w:rFonts w:ascii="Arial" w:hAnsi="Arial" w:cs="Arial"/>
                <w:sz w:val="21"/>
                <w:szCs w:val="21"/>
              </w:rPr>
              <w:t>127</w:t>
            </w:r>
          </w:p>
        </w:tc>
      </w:tr>
      <w:tr w:rsidR="00782E0B" w:rsidRPr="00A67277" w14:paraId="148666C6" w14:textId="77777777" w:rsidTr="00782E0B">
        <w:tc>
          <w:tcPr>
            <w:tcW w:w="3997" w:type="dxa"/>
          </w:tcPr>
          <w:p w14:paraId="0DA70689"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Indemnity by the IBE </w:t>
            </w:r>
          </w:p>
        </w:tc>
        <w:tc>
          <w:tcPr>
            <w:tcW w:w="969" w:type="dxa"/>
          </w:tcPr>
          <w:p w14:paraId="5BB25C95" w14:textId="153A8A0A" w:rsidR="00782E0B" w:rsidRPr="00A67277" w:rsidRDefault="00782E0B" w:rsidP="00782E0B">
            <w:pPr>
              <w:jc w:val="right"/>
              <w:rPr>
                <w:rFonts w:ascii="Arial" w:hAnsi="Arial" w:cs="Arial"/>
                <w:sz w:val="21"/>
                <w:szCs w:val="21"/>
              </w:rPr>
            </w:pPr>
            <w:r>
              <w:rPr>
                <w:rFonts w:ascii="Arial" w:hAnsi="Arial" w:cs="Arial"/>
                <w:sz w:val="21"/>
                <w:szCs w:val="21"/>
              </w:rPr>
              <w:t>127</w:t>
            </w:r>
          </w:p>
        </w:tc>
        <w:tc>
          <w:tcPr>
            <w:tcW w:w="3723" w:type="dxa"/>
          </w:tcPr>
          <w:p w14:paraId="64969D6A" w14:textId="5A5C8FAE"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Ganti Rugi oleh BU</w:t>
            </w:r>
            <w:r w:rsidRPr="00A67277">
              <w:rPr>
                <w:rFonts w:cs="Arial"/>
                <w:lang w:val="en-US"/>
              </w:rPr>
              <w:t>P</w:t>
            </w:r>
          </w:p>
        </w:tc>
        <w:tc>
          <w:tcPr>
            <w:tcW w:w="260" w:type="dxa"/>
          </w:tcPr>
          <w:p w14:paraId="0121CAD2" w14:textId="77777777" w:rsidR="00782E0B" w:rsidRPr="00A67277" w:rsidRDefault="00782E0B" w:rsidP="00782E0B">
            <w:pPr>
              <w:rPr>
                <w:rFonts w:ascii="Arial" w:hAnsi="Arial" w:cs="Arial"/>
                <w:sz w:val="21"/>
                <w:szCs w:val="21"/>
              </w:rPr>
            </w:pPr>
          </w:p>
        </w:tc>
        <w:tc>
          <w:tcPr>
            <w:tcW w:w="969" w:type="dxa"/>
          </w:tcPr>
          <w:p w14:paraId="086E8F91" w14:textId="6CCC5D00" w:rsidR="00782E0B" w:rsidRPr="00A67277" w:rsidRDefault="00782E0B" w:rsidP="00782E0B">
            <w:pPr>
              <w:jc w:val="right"/>
              <w:rPr>
                <w:rFonts w:ascii="Arial" w:hAnsi="Arial" w:cs="Arial"/>
                <w:sz w:val="21"/>
                <w:szCs w:val="21"/>
              </w:rPr>
            </w:pPr>
            <w:r>
              <w:rPr>
                <w:rFonts w:ascii="Arial" w:hAnsi="Arial" w:cs="Arial"/>
                <w:sz w:val="21"/>
                <w:szCs w:val="21"/>
              </w:rPr>
              <w:t>127</w:t>
            </w:r>
          </w:p>
        </w:tc>
      </w:tr>
      <w:tr w:rsidR="00782E0B" w:rsidRPr="00A67277" w14:paraId="68D86657" w14:textId="77777777" w:rsidTr="00782E0B">
        <w:tc>
          <w:tcPr>
            <w:tcW w:w="3997" w:type="dxa"/>
          </w:tcPr>
          <w:p w14:paraId="032188A5"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Indemnity by GCA </w:t>
            </w:r>
          </w:p>
        </w:tc>
        <w:tc>
          <w:tcPr>
            <w:tcW w:w="969" w:type="dxa"/>
          </w:tcPr>
          <w:p w14:paraId="3883E172" w14:textId="72552FEF" w:rsidR="00782E0B" w:rsidRPr="00A67277" w:rsidRDefault="00782E0B" w:rsidP="00782E0B">
            <w:pPr>
              <w:jc w:val="right"/>
              <w:rPr>
                <w:rFonts w:ascii="Arial" w:hAnsi="Arial" w:cs="Arial"/>
                <w:sz w:val="21"/>
                <w:szCs w:val="21"/>
              </w:rPr>
            </w:pPr>
            <w:r>
              <w:rPr>
                <w:rFonts w:ascii="Arial" w:hAnsi="Arial" w:cs="Arial"/>
                <w:sz w:val="21"/>
                <w:szCs w:val="21"/>
              </w:rPr>
              <w:t>128</w:t>
            </w:r>
          </w:p>
        </w:tc>
        <w:tc>
          <w:tcPr>
            <w:tcW w:w="3723" w:type="dxa"/>
          </w:tcPr>
          <w:p w14:paraId="366C96CA"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Ganti Rugi oleh PJPK</w:t>
            </w:r>
          </w:p>
        </w:tc>
        <w:tc>
          <w:tcPr>
            <w:tcW w:w="260" w:type="dxa"/>
          </w:tcPr>
          <w:p w14:paraId="7EE1974D" w14:textId="77777777" w:rsidR="00782E0B" w:rsidRPr="00A67277" w:rsidRDefault="00782E0B" w:rsidP="00782E0B">
            <w:pPr>
              <w:rPr>
                <w:rFonts w:ascii="Arial" w:hAnsi="Arial" w:cs="Arial"/>
                <w:sz w:val="21"/>
                <w:szCs w:val="21"/>
              </w:rPr>
            </w:pPr>
          </w:p>
        </w:tc>
        <w:tc>
          <w:tcPr>
            <w:tcW w:w="969" w:type="dxa"/>
          </w:tcPr>
          <w:p w14:paraId="2F764F99" w14:textId="7718C0E2" w:rsidR="00782E0B" w:rsidRPr="00A67277" w:rsidRDefault="00782E0B" w:rsidP="00782E0B">
            <w:pPr>
              <w:jc w:val="right"/>
              <w:rPr>
                <w:rFonts w:ascii="Arial" w:hAnsi="Arial" w:cs="Arial"/>
                <w:sz w:val="21"/>
                <w:szCs w:val="21"/>
              </w:rPr>
            </w:pPr>
            <w:r>
              <w:rPr>
                <w:rFonts w:ascii="Arial" w:hAnsi="Arial" w:cs="Arial"/>
                <w:sz w:val="21"/>
                <w:szCs w:val="21"/>
              </w:rPr>
              <w:t>128</w:t>
            </w:r>
          </w:p>
        </w:tc>
      </w:tr>
      <w:tr w:rsidR="00782E0B" w:rsidRPr="00A67277" w14:paraId="1CD19367" w14:textId="77777777" w:rsidTr="00782E0B">
        <w:tc>
          <w:tcPr>
            <w:tcW w:w="3997" w:type="dxa"/>
          </w:tcPr>
          <w:p w14:paraId="50DAF591"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Notice of Proceedings </w:t>
            </w:r>
          </w:p>
        </w:tc>
        <w:tc>
          <w:tcPr>
            <w:tcW w:w="969" w:type="dxa"/>
          </w:tcPr>
          <w:p w14:paraId="7B0B8CF8" w14:textId="63C35523" w:rsidR="00782E0B" w:rsidRPr="00A67277" w:rsidRDefault="00782E0B" w:rsidP="00782E0B">
            <w:pPr>
              <w:jc w:val="right"/>
              <w:rPr>
                <w:rFonts w:ascii="Arial" w:hAnsi="Arial" w:cs="Arial"/>
                <w:sz w:val="21"/>
                <w:szCs w:val="21"/>
              </w:rPr>
            </w:pPr>
            <w:r>
              <w:rPr>
                <w:rFonts w:ascii="Arial" w:hAnsi="Arial" w:cs="Arial"/>
                <w:sz w:val="21"/>
                <w:szCs w:val="21"/>
              </w:rPr>
              <w:t>129</w:t>
            </w:r>
          </w:p>
        </w:tc>
        <w:tc>
          <w:tcPr>
            <w:tcW w:w="3723" w:type="dxa"/>
          </w:tcPr>
          <w:p w14:paraId="052C095F"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Pemberitahuan Proses / Persidangan</w:t>
            </w:r>
          </w:p>
        </w:tc>
        <w:tc>
          <w:tcPr>
            <w:tcW w:w="260" w:type="dxa"/>
          </w:tcPr>
          <w:p w14:paraId="05703DFC" w14:textId="77777777" w:rsidR="00782E0B" w:rsidRPr="00A67277" w:rsidRDefault="00782E0B" w:rsidP="00782E0B">
            <w:pPr>
              <w:rPr>
                <w:rFonts w:ascii="Arial" w:hAnsi="Arial" w:cs="Arial"/>
                <w:sz w:val="21"/>
                <w:szCs w:val="21"/>
              </w:rPr>
            </w:pPr>
          </w:p>
        </w:tc>
        <w:tc>
          <w:tcPr>
            <w:tcW w:w="969" w:type="dxa"/>
          </w:tcPr>
          <w:p w14:paraId="3E069010" w14:textId="0BAC8FEC" w:rsidR="00782E0B" w:rsidRPr="00A67277" w:rsidRDefault="00782E0B" w:rsidP="00782E0B">
            <w:pPr>
              <w:jc w:val="right"/>
              <w:rPr>
                <w:rFonts w:ascii="Arial" w:hAnsi="Arial" w:cs="Arial"/>
                <w:sz w:val="21"/>
                <w:szCs w:val="21"/>
              </w:rPr>
            </w:pPr>
            <w:r>
              <w:rPr>
                <w:rFonts w:ascii="Arial" w:hAnsi="Arial" w:cs="Arial"/>
                <w:sz w:val="21"/>
                <w:szCs w:val="21"/>
              </w:rPr>
              <w:t>129</w:t>
            </w:r>
          </w:p>
        </w:tc>
      </w:tr>
      <w:tr w:rsidR="00782E0B" w:rsidRPr="00A67277" w14:paraId="00D52727" w14:textId="77777777" w:rsidTr="00782E0B">
        <w:tc>
          <w:tcPr>
            <w:tcW w:w="3997" w:type="dxa"/>
          </w:tcPr>
          <w:p w14:paraId="2F1084E0"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Conduct of Proceedings </w:t>
            </w:r>
          </w:p>
        </w:tc>
        <w:tc>
          <w:tcPr>
            <w:tcW w:w="969" w:type="dxa"/>
          </w:tcPr>
          <w:p w14:paraId="27C65088" w14:textId="03A3ECF0" w:rsidR="00782E0B" w:rsidRPr="00A67277" w:rsidRDefault="00782E0B" w:rsidP="00782E0B">
            <w:pPr>
              <w:jc w:val="right"/>
              <w:rPr>
                <w:rFonts w:ascii="Arial" w:hAnsi="Arial" w:cs="Arial"/>
                <w:sz w:val="21"/>
                <w:szCs w:val="21"/>
              </w:rPr>
            </w:pPr>
            <w:r>
              <w:rPr>
                <w:rFonts w:ascii="Arial" w:hAnsi="Arial" w:cs="Arial"/>
                <w:sz w:val="21"/>
                <w:szCs w:val="21"/>
              </w:rPr>
              <w:t>129</w:t>
            </w:r>
          </w:p>
        </w:tc>
        <w:tc>
          <w:tcPr>
            <w:tcW w:w="3723" w:type="dxa"/>
          </w:tcPr>
          <w:p w14:paraId="7E0C2BFF"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Pelaksanaan Proses / Persidangan</w:t>
            </w:r>
          </w:p>
        </w:tc>
        <w:tc>
          <w:tcPr>
            <w:tcW w:w="260" w:type="dxa"/>
          </w:tcPr>
          <w:p w14:paraId="3400D77D" w14:textId="77777777" w:rsidR="00782E0B" w:rsidRPr="00A67277" w:rsidRDefault="00782E0B" w:rsidP="00782E0B">
            <w:pPr>
              <w:rPr>
                <w:rFonts w:ascii="Arial" w:hAnsi="Arial" w:cs="Arial"/>
                <w:sz w:val="21"/>
                <w:szCs w:val="21"/>
              </w:rPr>
            </w:pPr>
          </w:p>
        </w:tc>
        <w:tc>
          <w:tcPr>
            <w:tcW w:w="969" w:type="dxa"/>
          </w:tcPr>
          <w:p w14:paraId="1F57A802" w14:textId="761A00E9" w:rsidR="00782E0B" w:rsidRPr="00A67277" w:rsidRDefault="00782E0B" w:rsidP="00782E0B">
            <w:pPr>
              <w:jc w:val="right"/>
              <w:rPr>
                <w:rFonts w:ascii="Arial" w:hAnsi="Arial" w:cs="Arial"/>
                <w:sz w:val="21"/>
                <w:szCs w:val="21"/>
              </w:rPr>
            </w:pPr>
            <w:r>
              <w:rPr>
                <w:rFonts w:ascii="Arial" w:hAnsi="Arial" w:cs="Arial"/>
                <w:sz w:val="21"/>
                <w:szCs w:val="21"/>
              </w:rPr>
              <w:t>129</w:t>
            </w:r>
          </w:p>
        </w:tc>
      </w:tr>
      <w:tr w:rsidR="00782E0B" w:rsidRPr="00A67277" w14:paraId="0C2E6130" w14:textId="77777777" w:rsidTr="00782E0B">
        <w:tc>
          <w:tcPr>
            <w:tcW w:w="3997" w:type="dxa"/>
          </w:tcPr>
          <w:p w14:paraId="0C4BAF28"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Consequential Losses </w:t>
            </w:r>
          </w:p>
        </w:tc>
        <w:tc>
          <w:tcPr>
            <w:tcW w:w="969" w:type="dxa"/>
          </w:tcPr>
          <w:p w14:paraId="4E8B368C" w14:textId="6686C51D" w:rsidR="00782E0B" w:rsidRPr="00A67277" w:rsidRDefault="00782E0B" w:rsidP="00782E0B">
            <w:pPr>
              <w:jc w:val="right"/>
              <w:rPr>
                <w:rFonts w:ascii="Arial" w:hAnsi="Arial" w:cs="Arial"/>
                <w:sz w:val="21"/>
                <w:szCs w:val="21"/>
              </w:rPr>
            </w:pPr>
            <w:r>
              <w:rPr>
                <w:rFonts w:ascii="Arial" w:hAnsi="Arial" w:cs="Arial"/>
                <w:sz w:val="21"/>
                <w:szCs w:val="21"/>
              </w:rPr>
              <w:t>131</w:t>
            </w:r>
          </w:p>
        </w:tc>
        <w:tc>
          <w:tcPr>
            <w:tcW w:w="3723" w:type="dxa"/>
          </w:tcPr>
          <w:p w14:paraId="4DB873DC" w14:textId="77777777" w:rsidR="00782E0B" w:rsidRPr="00A67277" w:rsidRDefault="00782E0B" w:rsidP="00782E0B">
            <w:pPr>
              <w:pStyle w:val="ListParagraph"/>
              <w:numPr>
                <w:ilvl w:val="1"/>
                <w:numId w:val="479"/>
              </w:numPr>
              <w:spacing w:line="240" w:lineRule="auto"/>
              <w:ind w:left="937" w:hanging="540"/>
              <w:jc w:val="left"/>
              <w:rPr>
                <w:rFonts w:cs="Arial"/>
                <w:lang w:val="id-ID"/>
              </w:rPr>
            </w:pPr>
            <w:r w:rsidRPr="00A67277">
              <w:rPr>
                <w:rFonts w:cs="Arial"/>
                <w:lang w:val="id-ID"/>
              </w:rPr>
              <w:t>Kerugian Tidak Langsung</w:t>
            </w:r>
          </w:p>
        </w:tc>
        <w:tc>
          <w:tcPr>
            <w:tcW w:w="260" w:type="dxa"/>
          </w:tcPr>
          <w:p w14:paraId="38419CBC" w14:textId="77777777" w:rsidR="00782E0B" w:rsidRPr="00A67277" w:rsidRDefault="00782E0B" w:rsidP="00782E0B">
            <w:pPr>
              <w:rPr>
                <w:rFonts w:ascii="Arial" w:hAnsi="Arial" w:cs="Arial"/>
                <w:sz w:val="21"/>
                <w:szCs w:val="21"/>
              </w:rPr>
            </w:pPr>
          </w:p>
        </w:tc>
        <w:tc>
          <w:tcPr>
            <w:tcW w:w="969" w:type="dxa"/>
          </w:tcPr>
          <w:p w14:paraId="48269BA8" w14:textId="5EA1E2FA" w:rsidR="00782E0B" w:rsidRPr="00A67277" w:rsidRDefault="00782E0B" w:rsidP="00782E0B">
            <w:pPr>
              <w:jc w:val="right"/>
              <w:rPr>
                <w:rFonts w:ascii="Arial" w:hAnsi="Arial" w:cs="Arial"/>
                <w:sz w:val="21"/>
                <w:szCs w:val="21"/>
              </w:rPr>
            </w:pPr>
            <w:r>
              <w:rPr>
                <w:rFonts w:ascii="Arial" w:hAnsi="Arial" w:cs="Arial"/>
                <w:sz w:val="21"/>
                <w:szCs w:val="21"/>
              </w:rPr>
              <w:t>131</w:t>
            </w:r>
          </w:p>
        </w:tc>
      </w:tr>
      <w:tr w:rsidR="00782E0B" w:rsidRPr="00A67277" w14:paraId="6C3CB216" w14:textId="77777777" w:rsidTr="00782E0B">
        <w:tc>
          <w:tcPr>
            <w:tcW w:w="3997" w:type="dxa"/>
          </w:tcPr>
          <w:p w14:paraId="6A532A27" w14:textId="77777777" w:rsidR="00782E0B" w:rsidRPr="00A67277" w:rsidRDefault="00782E0B" w:rsidP="00782E0B">
            <w:pPr>
              <w:ind w:left="1062" w:hanging="630"/>
              <w:rPr>
                <w:rFonts w:ascii="Arial" w:hAnsi="Arial" w:cs="Arial"/>
                <w:sz w:val="21"/>
                <w:szCs w:val="21"/>
              </w:rPr>
            </w:pPr>
          </w:p>
        </w:tc>
        <w:tc>
          <w:tcPr>
            <w:tcW w:w="969" w:type="dxa"/>
          </w:tcPr>
          <w:p w14:paraId="13851175" w14:textId="77777777" w:rsidR="00782E0B" w:rsidRPr="00A67277" w:rsidRDefault="00782E0B" w:rsidP="00782E0B">
            <w:pPr>
              <w:jc w:val="right"/>
              <w:rPr>
                <w:rFonts w:ascii="Arial" w:hAnsi="Arial" w:cs="Arial"/>
                <w:sz w:val="21"/>
                <w:szCs w:val="21"/>
              </w:rPr>
            </w:pPr>
          </w:p>
        </w:tc>
        <w:tc>
          <w:tcPr>
            <w:tcW w:w="3723" w:type="dxa"/>
          </w:tcPr>
          <w:p w14:paraId="72FB6F92" w14:textId="77777777" w:rsidR="00782E0B" w:rsidRPr="00A67277" w:rsidRDefault="00782E0B" w:rsidP="00782E0B">
            <w:pPr>
              <w:rPr>
                <w:rFonts w:ascii="Arial" w:hAnsi="Arial" w:cs="Arial"/>
                <w:sz w:val="21"/>
                <w:szCs w:val="21"/>
                <w:lang w:val="id-ID"/>
              </w:rPr>
            </w:pPr>
          </w:p>
        </w:tc>
        <w:tc>
          <w:tcPr>
            <w:tcW w:w="260" w:type="dxa"/>
          </w:tcPr>
          <w:p w14:paraId="32F42B7A" w14:textId="77777777" w:rsidR="00782E0B" w:rsidRPr="00A67277" w:rsidRDefault="00782E0B" w:rsidP="00782E0B">
            <w:pPr>
              <w:rPr>
                <w:rFonts w:ascii="Arial" w:hAnsi="Arial" w:cs="Arial"/>
                <w:sz w:val="21"/>
                <w:szCs w:val="21"/>
              </w:rPr>
            </w:pPr>
          </w:p>
        </w:tc>
        <w:tc>
          <w:tcPr>
            <w:tcW w:w="969" w:type="dxa"/>
          </w:tcPr>
          <w:p w14:paraId="5C34AF7A" w14:textId="77777777" w:rsidR="00782E0B" w:rsidRPr="00A67277" w:rsidRDefault="00782E0B" w:rsidP="00782E0B">
            <w:pPr>
              <w:jc w:val="right"/>
              <w:rPr>
                <w:rFonts w:ascii="Arial" w:hAnsi="Arial" w:cs="Arial"/>
                <w:sz w:val="21"/>
                <w:szCs w:val="21"/>
              </w:rPr>
            </w:pPr>
          </w:p>
        </w:tc>
      </w:tr>
      <w:tr w:rsidR="00782E0B" w:rsidRPr="00A67277" w14:paraId="1D1FD462" w14:textId="77777777" w:rsidTr="00782E0B">
        <w:tc>
          <w:tcPr>
            <w:tcW w:w="3997" w:type="dxa"/>
          </w:tcPr>
          <w:p w14:paraId="6F88DCDE" w14:textId="77777777" w:rsidR="00782E0B" w:rsidRPr="00A67277" w:rsidRDefault="00782E0B" w:rsidP="00782E0B">
            <w:pPr>
              <w:pStyle w:val="ListParagraph"/>
              <w:numPr>
                <w:ilvl w:val="0"/>
                <w:numId w:val="479"/>
              </w:numPr>
              <w:spacing w:line="240" w:lineRule="auto"/>
              <w:ind w:left="402" w:hanging="402"/>
              <w:jc w:val="left"/>
              <w:rPr>
                <w:rFonts w:cs="Arial"/>
                <w:b/>
              </w:rPr>
            </w:pPr>
            <w:r w:rsidRPr="00A67277">
              <w:rPr>
                <w:rFonts w:cs="Arial"/>
                <w:b/>
              </w:rPr>
              <w:t xml:space="preserve">Force Majeure </w:t>
            </w:r>
          </w:p>
        </w:tc>
        <w:tc>
          <w:tcPr>
            <w:tcW w:w="969" w:type="dxa"/>
          </w:tcPr>
          <w:p w14:paraId="708E199F" w14:textId="1C41040B" w:rsidR="00782E0B" w:rsidRPr="00A67277" w:rsidRDefault="00782E0B" w:rsidP="00782E0B">
            <w:pPr>
              <w:jc w:val="right"/>
              <w:rPr>
                <w:rFonts w:ascii="Arial" w:hAnsi="Arial" w:cs="Arial"/>
                <w:sz w:val="21"/>
                <w:szCs w:val="21"/>
              </w:rPr>
            </w:pPr>
            <w:r>
              <w:rPr>
                <w:rFonts w:ascii="Arial" w:hAnsi="Arial" w:cs="Arial"/>
                <w:sz w:val="21"/>
                <w:szCs w:val="21"/>
              </w:rPr>
              <w:t>132</w:t>
            </w:r>
          </w:p>
        </w:tc>
        <w:tc>
          <w:tcPr>
            <w:tcW w:w="3723" w:type="dxa"/>
          </w:tcPr>
          <w:p w14:paraId="1679D509" w14:textId="77777777" w:rsidR="00782E0B" w:rsidRPr="00A67277" w:rsidRDefault="00782E0B" w:rsidP="00782E0B">
            <w:pPr>
              <w:pStyle w:val="ListParagraph"/>
              <w:numPr>
                <w:ilvl w:val="0"/>
                <w:numId w:val="483"/>
              </w:numPr>
              <w:spacing w:line="240" w:lineRule="auto"/>
              <w:ind w:left="397" w:hanging="397"/>
              <w:jc w:val="left"/>
              <w:rPr>
                <w:rFonts w:cs="Arial"/>
                <w:b/>
                <w:lang w:val="id-ID"/>
              </w:rPr>
            </w:pPr>
            <w:r w:rsidRPr="00A67277">
              <w:rPr>
                <w:rFonts w:cs="Arial"/>
                <w:b/>
                <w:lang w:val="id-ID"/>
              </w:rPr>
              <w:t>Keadaan Kahar</w:t>
            </w:r>
          </w:p>
        </w:tc>
        <w:tc>
          <w:tcPr>
            <w:tcW w:w="260" w:type="dxa"/>
          </w:tcPr>
          <w:p w14:paraId="5AEE7FE0" w14:textId="77777777" w:rsidR="00782E0B" w:rsidRPr="00A67277" w:rsidRDefault="00782E0B" w:rsidP="00782E0B">
            <w:pPr>
              <w:rPr>
                <w:rFonts w:ascii="Arial" w:hAnsi="Arial" w:cs="Arial"/>
                <w:sz w:val="21"/>
                <w:szCs w:val="21"/>
              </w:rPr>
            </w:pPr>
          </w:p>
        </w:tc>
        <w:tc>
          <w:tcPr>
            <w:tcW w:w="969" w:type="dxa"/>
          </w:tcPr>
          <w:p w14:paraId="0AACAAC4" w14:textId="038D863D" w:rsidR="00782E0B" w:rsidRPr="00A67277" w:rsidRDefault="00782E0B" w:rsidP="00782E0B">
            <w:pPr>
              <w:jc w:val="right"/>
              <w:rPr>
                <w:rFonts w:ascii="Arial" w:hAnsi="Arial" w:cs="Arial"/>
                <w:sz w:val="21"/>
                <w:szCs w:val="21"/>
              </w:rPr>
            </w:pPr>
            <w:r>
              <w:rPr>
                <w:rFonts w:ascii="Arial" w:hAnsi="Arial" w:cs="Arial"/>
                <w:sz w:val="21"/>
                <w:szCs w:val="21"/>
              </w:rPr>
              <w:t>132</w:t>
            </w:r>
          </w:p>
        </w:tc>
      </w:tr>
      <w:tr w:rsidR="00782E0B" w:rsidRPr="00A67277" w14:paraId="1ACF2C9F" w14:textId="77777777" w:rsidTr="00782E0B">
        <w:tc>
          <w:tcPr>
            <w:tcW w:w="3997" w:type="dxa"/>
          </w:tcPr>
          <w:p w14:paraId="69236966"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Definition and Instances of Force Majeure Event </w:t>
            </w:r>
          </w:p>
        </w:tc>
        <w:tc>
          <w:tcPr>
            <w:tcW w:w="969" w:type="dxa"/>
          </w:tcPr>
          <w:p w14:paraId="0E8F57EF" w14:textId="05A5E6A6" w:rsidR="00782E0B" w:rsidRPr="00A67277" w:rsidRDefault="00782E0B" w:rsidP="00782E0B">
            <w:pPr>
              <w:jc w:val="right"/>
              <w:rPr>
                <w:rFonts w:ascii="Arial" w:hAnsi="Arial" w:cs="Arial"/>
                <w:sz w:val="21"/>
                <w:szCs w:val="21"/>
              </w:rPr>
            </w:pPr>
            <w:r>
              <w:rPr>
                <w:rFonts w:ascii="Arial" w:hAnsi="Arial" w:cs="Arial"/>
                <w:sz w:val="21"/>
                <w:szCs w:val="21"/>
              </w:rPr>
              <w:t>132</w:t>
            </w:r>
          </w:p>
        </w:tc>
        <w:tc>
          <w:tcPr>
            <w:tcW w:w="3723" w:type="dxa"/>
          </w:tcPr>
          <w:p w14:paraId="2C2D1230"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Definisi dan Contoh Keadaan Kahar</w:t>
            </w:r>
          </w:p>
        </w:tc>
        <w:tc>
          <w:tcPr>
            <w:tcW w:w="260" w:type="dxa"/>
          </w:tcPr>
          <w:p w14:paraId="581F9546" w14:textId="77777777" w:rsidR="00782E0B" w:rsidRPr="00A67277" w:rsidRDefault="00782E0B" w:rsidP="00782E0B">
            <w:pPr>
              <w:rPr>
                <w:rFonts w:ascii="Arial" w:hAnsi="Arial" w:cs="Arial"/>
                <w:sz w:val="21"/>
                <w:szCs w:val="21"/>
              </w:rPr>
            </w:pPr>
          </w:p>
        </w:tc>
        <w:tc>
          <w:tcPr>
            <w:tcW w:w="969" w:type="dxa"/>
          </w:tcPr>
          <w:p w14:paraId="4EAE9677" w14:textId="67637779" w:rsidR="00782E0B" w:rsidRPr="00A67277" w:rsidRDefault="00782E0B" w:rsidP="00782E0B">
            <w:pPr>
              <w:jc w:val="right"/>
              <w:rPr>
                <w:rFonts w:ascii="Arial" w:hAnsi="Arial" w:cs="Arial"/>
                <w:sz w:val="21"/>
                <w:szCs w:val="21"/>
              </w:rPr>
            </w:pPr>
            <w:r>
              <w:rPr>
                <w:rFonts w:ascii="Arial" w:hAnsi="Arial" w:cs="Arial"/>
                <w:sz w:val="21"/>
                <w:szCs w:val="21"/>
              </w:rPr>
              <w:t>132</w:t>
            </w:r>
          </w:p>
        </w:tc>
      </w:tr>
      <w:tr w:rsidR="00782E0B" w:rsidRPr="00A67277" w14:paraId="7E8A8E13" w14:textId="77777777" w:rsidTr="00782E0B">
        <w:tc>
          <w:tcPr>
            <w:tcW w:w="3997" w:type="dxa"/>
          </w:tcPr>
          <w:p w14:paraId="18EF9DFD"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Responsibilities of the Parties during a Force Majeure Event </w:t>
            </w:r>
          </w:p>
        </w:tc>
        <w:tc>
          <w:tcPr>
            <w:tcW w:w="969" w:type="dxa"/>
          </w:tcPr>
          <w:p w14:paraId="3B8CBEAA" w14:textId="52C1F19B" w:rsidR="00782E0B" w:rsidRPr="00A67277" w:rsidRDefault="00782E0B" w:rsidP="00782E0B">
            <w:pPr>
              <w:jc w:val="right"/>
              <w:rPr>
                <w:rFonts w:ascii="Arial" w:hAnsi="Arial" w:cs="Arial"/>
                <w:sz w:val="21"/>
                <w:szCs w:val="21"/>
              </w:rPr>
            </w:pPr>
            <w:r>
              <w:rPr>
                <w:rFonts w:ascii="Arial" w:hAnsi="Arial" w:cs="Arial"/>
                <w:sz w:val="21"/>
                <w:szCs w:val="21"/>
              </w:rPr>
              <w:t>136</w:t>
            </w:r>
          </w:p>
        </w:tc>
        <w:tc>
          <w:tcPr>
            <w:tcW w:w="3723" w:type="dxa"/>
          </w:tcPr>
          <w:p w14:paraId="217B4BBD"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Tanggung Jawab Para Pihak selama Peristiwa Keadaan Kahar</w:t>
            </w:r>
          </w:p>
        </w:tc>
        <w:tc>
          <w:tcPr>
            <w:tcW w:w="260" w:type="dxa"/>
          </w:tcPr>
          <w:p w14:paraId="12154C2F" w14:textId="77777777" w:rsidR="00782E0B" w:rsidRPr="00A67277" w:rsidRDefault="00782E0B" w:rsidP="00782E0B">
            <w:pPr>
              <w:rPr>
                <w:rFonts w:ascii="Arial" w:hAnsi="Arial" w:cs="Arial"/>
                <w:sz w:val="21"/>
                <w:szCs w:val="21"/>
              </w:rPr>
            </w:pPr>
          </w:p>
        </w:tc>
        <w:tc>
          <w:tcPr>
            <w:tcW w:w="969" w:type="dxa"/>
          </w:tcPr>
          <w:p w14:paraId="5618553B" w14:textId="6DEB4854" w:rsidR="00782E0B" w:rsidRPr="00A67277" w:rsidRDefault="00782E0B" w:rsidP="00782E0B">
            <w:pPr>
              <w:jc w:val="right"/>
              <w:rPr>
                <w:rFonts w:ascii="Arial" w:hAnsi="Arial" w:cs="Arial"/>
                <w:sz w:val="21"/>
                <w:szCs w:val="21"/>
              </w:rPr>
            </w:pPr>
            <w:r>
              <w:rPr>
                <w:rFonts w:ascii="Arial" w:hAnsi="Arial" w:cs="Arial"/>
                <w:sz w:val="21"/>
                <w:szCs w:val="21"/>
              </w:rPr>
              <w:t>136</w:t>
            </w:r>
          </w:p>
        </w:tc>
      </w:tr>
      <w:tr w:rsidR="00782E0B" w:rsidRPr="00A67277" w14:paraId="0549D72C" w14:textId="77777777" w:rsidTr="00782E0B">
        <w:tc>
          <w:tcPr>
            <w:tcW w:w="3997" w:type="dxa"/>
          </w:tcPr>
          <w:p w14:paraId="24796059"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Effect of Force Majeure </w:t>
            </w:r>
          </w:p>
        </w:tc>
        <w:tc>
          <w:tcPr>
            <w:tcW w:w="969" w:type="dxa"/>
          </w:tcPr>
          <w:p w14:paraId="5F71EA1B" w14:textId="7E82DE2E" w:rsidR="00782E0B" w:rsidRPr="00A67277" w:rsidRDefault="00782E0B" w:rsidP="00782E0B">
            <w:pPr>
              <w:jc w:val="right"/>
              <w:rPr>
                <w:rFonts w:ascii="Arial" w:hAnsi="Arial" w:cs="Arial"/>
                <w:sz w:val="21"/>
                <w:szCs w:val="21"/>
              </w:rPr>
            </w:pPr>
            <w:r>
              <w:rPr>
                <w:rFonts w:ascii="Arial" w:hAnsi="Arial" w:cs="Arial"/>
                <w:sz w:val="21"/>
                <w:szCs w:val="21"/>
              </w:rPr>
              <w:t>139</w:t>
            </w:r>
          </w:p>
        </w:tc>
        <w:tc>
          <w:tcPr>
            <w:tcW w:w="3723" w:type="dxa"/>
          </w:tcPr>
          <w:p w14:paraId="302EFB5B"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Dampak Keadaan Kahar</w:t>
            </w:r>
          </w:p>
        </w:tc>
        <w:tc>
          <w:tcPr>
            <w:tcW w:w="260" w:type="dxa"/>
          </w:tcPr>
          <w:p w14:paraId="156D9AF7" w14:textId="77777777" w:rsidR="00782E0B" w:rsidRPr="00A67277" w:rsidRDefault="00782E0B" w:rsidP="00782E0B">
            <w:pPr>
              <w:rPr>
                <w:rFonts w:ascii="Arial" w:hAnsi="Arial" w:cs="Arial"/>
                <w:sz w:val="21"/>
                <w:szCs w:val="21"/>
              </w:rPr>
            </w:pPr>
          </w:p>
        </w:tc>
        <w:tc>
          <w:tcPr>
            <w:tcW w:w="969" w:type="dxa"/>
          </w:tcPr>
          <w:p w14:paraId="28DEC575" w14:textId="7642A384" w:rsidR="00782E0B" w:rsidRPr="00A67277" w:rsidRDefault="00782E0B" w:rsidP="00782E0B">
            <w:pPr>
              <w:jc w:val="right"/>
              <w:rPr>
                <w:rFonts w:ascii="Arial" w:hAnsi="Arial" w:cs="Arial"/>
                <w:sz w:val="21"/>
                <w:szCs w:val="21"/>
              </w:rPr>
            </w:pPr>
            <w:r>
              <w:rPr>
                <w:rFonts w:ascii="Arial" w:hAnsi="Arial" w:cs="Arial"/>
                <w:sz w:val="21"/>
                <w:szCs w:val="21"/>
              </w:rPr>
              <w:t>139</w:t>
            </w:r>
          </w:p>
        </w:tc>
      </w:tr>
      <w:tr w:rsidR="00782E0B" w:rsidRPr="00A67277" w14:paraId="0F4D61F8" w14:textId="77777777" w:rsidTr="00782E0B">
        <w:tc>
          <w:tcPr>
            <w:tcW w:w="3997" w:type="dxa"/>
          </w:tcPr>
          <w:p w14:paraId="7CD07944"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Certain Events Do Not Constitute a Force Majeure Event </w:t>
            </w:r>
          </w:p>
        </w:tc>
        <w:tc>
          <w:tcPr>
            <w:tcW w:w="969" w:type="dxa"/>
          </w:tcPr>
          <w:p w14:paraId="64C90E14" w14:textId="5AE1E9B7" w:rsidR="00782E0B" w:rsidRPr="00A67277" w:rsidRDefault="00782E0B" w:rsidP="00782E0B">
            <w:pPr>
              <w:jc w:val="right"/>
              <w:rPr>
                <w:rFonts w:ascii="Arial" w:hAnsi="Arial" w:cs="Arial"/>
                <w:sz w:val="21"/>
                <w:szCs w:val="21"/>
              </w:rPr>
            </w:pPr>
            <w:r>
              <w:rPr>
                <w:rFonts w:ascii="Arial" w:hAnsi="Arial" w:cs="Arial"/>
                <w:sz w:val="21"/>
                <w:szCs w:val="21"/>
              </w:rPr>
              <w:t>148</w:t>
            </w:r>
          </w:p>
        </w:tc>
        <w:tc>
          <w:tcPr>
            <w:tcW w:w="3723" w:type="dxa"/>
          </w:tcPr>
          <w:p w14:paraId="102DF028"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Peristiwa Tertentu Bukan Merupakan Peristiwa Keadaan Kahar</w:t>
            </w:r>
          </w:p>
        </w:tc>
        <w:tc>
          <w:tcPr>
            <w:tcW w:w="260" w:type="dxa"/>
          </w:tcPr>
          <w:p w14:paraId="4D62EEAB" w14:textId="77777777" w:rsidR="00782E0B" w:rsidRPr="00A67277" w:rsidRDefault="00782E0B" w:rsidP="00782E0B">
            <w:pPr>
              <w:rPr>
                <w:rFonts w:ascii="Arial" w:hAnsi="Arial" w:cs="Arial"/>
                <w:sz w:val="21"/>
                <w:szCs w:val="21"/>
              </w:rPr>
            </w:pPr>
          </w:p>
        </w:tc>
        <w:tc>
          <w:tcPr>
            <w:tcW w:w="969" w:type="dxa"/>
          </w:tcPr>
          <w:p w14:paraId="676B028A" w14:textId="40E17EBA" w:rsidR="00782E0B" w:rsidRPr="00A67277" w:rsidRDefault="00782E0B" w:rsidP="00782E0B">
            <w:pPr>
              <w:jc w:val="right"/>
              <w:rPr>
                <w:rFonts w:ascii="Arial" w:hAnsi="Arial" w:cs="Arial"/>
                <w:sz w:val="21"/>
                <w:szCs w:val="21"/>
              </w:rPr>
            </w:pPr>
            <w:r>
              <w:rPr>
                <w:rFonts w:ascii="Arial" w:hAnsi="Arial" w:cs="Arial"/>
                <w:sz w:val="21"/>
                <w:szCs w:val="21"/>
              </w:rPr>
              <w:t>148</w:t>
            </w:r>
          </w:p>
        </w:tc>
      </w:tr>
      <w:tr w:rsidR="00782E0B" w:rsidRPr="00A67277" w14:paraId="6DF24B83" w14:textId="77777777" w:rsidTr="00782E0B">
        <w:tc>
          <w:tcPr>
            <w:tcW w:w="3997" w:type="dxa"/>
          </w:tcPr>
          <w:p w14:paraId="26B427E9" w14:textId="77777777" w:rsidR="00782E0B" w:rsidRPr="00A67277" w:rsidRDefault="00782E0B" w:rsidP="00782E0B">
            <w:pPr>
              <w:rPr>
                <w:rFonts w:ascii="Arial" w:hAnsi="Arial" w:cs="Arial"/>
                <w:sz w:val="21"/>
                <w:szCs w:val="21"/>
              </w:rPr>
            </w:pPr>
          </w:p>
        </w:tc>
        <w:tc>
          <w:tcPr>
            <w:tcW w:w="969" w:type="dxa"/>
          </w:tcPr>
          <w:p w14:paraId="686BCDB0" w14:textId="77777777" w:rsidR="00782E0B" w:rsidRPr="00A67277" w:rsidRDefault="00782E0B" w:rsidP="00782E0B">
            <w:pPr>
              <w:jc w:val="right"/>
              <w:rPr>
                <w:rFonts w:ascii="Arial" w:hAnsi="Arial" w:cs="Arial"/>
                <w:sz w:val="21"/>
                <w:szCs w:val="21"/>
              </w:rPr>
            </w:pPr>
          </w:p>
        </w:tc>
        <w:tc>
          <w:tcPr>
            <w:tcW w:w="3723" w:type="dxa"/>
          </w:tcPr>
          <w:p w14:paraId="0ABED40C" w14:textId="77777777" w:rsidR="00782E0B" w:rsidRPr="00A67277" w:rsidRDefault="00782E0B" w:rsidP="00782E0B">
            <w:pPr>
              <w:rPr>
                <w:rFonts w:ascii="Arial" w:hAnsi="Arial" w:cs="Arial"/>
                <w:sz w:val="21"/>
                <w:szCs w:val="21"/>
                <w:lang w:val="id-ID"/>
              </w:rPr>
            </w:pPr>
          </w:p>
        </w:tc>
        <w:tc>
          <w:tcPr>
            <w:tcW w:w="260" w:type="dxa"/>
          </w:tcPr>
          <w:p w14:paraId="55D9948B" w14:textId="77777777" w:rsidR="00782E0B" w:rsidRPr="00A67277" w:rsidRDefault="00782E0B" w:rsidP="00782E0B">
            <w:pPr>
              <w:rPr>
                <w:rFonts w:ascii="Arial" w:hAnsi="Arial" w:cs="Arial"/>
                <w:sz w:val="21"/>
                <w:szCs w:val="21"/>
              </w:rPr>
            </w:pPr>
          </w:p>
        </w:tc>
        <w:tc>
          <w:tcPr>
            <w:tcW w:w="969" w:type="dxa"/>
          </w:tcPr>
          <w:p w14:paraId="17247D94" w14:textId="77777777" w:rsidR="00782E0B" w:rsidRPr="00A67277" w:rsidRDefault="00782E0B" w:rsidP="00782E0B">
            <w:pPr>
              <w:jc w:val="right"/>
              <w:rPr>
                <w:rFonts w:ascii="Arial" w:hAnsi="Arial" w:cs="Arial"/>
                <w:sz w:val="21"/>
                <w:szCs w:val="21"/>
              </w:rPr>
            </w:pPr>
          </w:p>
        </w:tc>
      </w:tr>
      <w:tr w:rsidR="00782E0B" w:rsidRPr="00A67277" w14:paraId="1EBDA89F" w14:textId="77777777" w:rsidTr="00782E0B">
        <w:tc>
          <w:tcPr>
            <w:tcW w:w="3997" w:type="dxa"/>
          </w:tcPr>
          <w:p w14:paraId="0347DC00"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lastRenderedPageBreak/>
              <w:t xml:space="preserve">Political Event </w:t>
            </w:r>
          </w:p>
        </w:tc>
        <w:tc>
          <w:tcPr>
            <w:tcW w:w="969" w:type="dxa"/>
          </w:tcPr>
          <w:p w14:paraId="76CFA5C4" w14:textId="39180D72" w:rsidR="00782E0B" w:rsidRPr="00A67277" w:rsidRDefault="00782E0B" w:rsidP="00782E0B">
            <w:pPr>
              <w:jc w:val="right"/>
              <w:rPr>
                <w:rFonts w:ascii="Arial" w:hAnsi="Arial" w:cs="Arial"/>
                <w:sz w:val="21"/>
                <w:szCs w:val="21"/>
              </w:rPr>
            </w:pPr>
            <w:r>
              <w:rPr>
                <w:rFonts w:ascii="Arial" w:hAnsi="Arial" w:cs="Arial"/>
                <w:sz w:val="21"/>
                <w:szCs w:val="21"/>
              </w:rPr>
              <w:t>150</w:t>
            </w:r>
          </w:p>
        </w:tc>
        <w:tc>
          <w:tcPr>
            <w:tcW w:w="3723" w:type="dxa"/>
          </w:tcPr>
          <w:p w14:paraId="17175222"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Peristiwa Politik</w:t>
            </w:r>
          </w:p>
        </w:tc>
        <w:tc>
          <w:tcPr>
            <w:tcW w:w="260" w:type="dxa"/>
          </w:tcPr>
          <w:p w14:paraId="74B6AB8E" w14:textId="77777777" w:rsidR="00782E0B" w:rsidRPr="00A67277" w:rsidRDefault="00782E0B" w:rsidP="00782E0B">
            <w:pPr>
              <w:rPr>
                <w:rFonts w:ascii="Arial" w:hAnsi="Arial" w:cs="Arial"/>
                <w:sz w:val="21"/>
                <w:szCs w:val="21"/>
              </w:rPr>
            </w:pPr>
          </w:p>
        </w:tc>
        <w:tc>
          <w:tcPr>
            <w:tcW w:w="969" w:type="dxa"/>
          </w:tcPr>
          <w:p w14:paraId="1EE0522F" w14:textId="25C786AE" w:rsidR="00782E0B" w:rsidRPr="00A67277" w:rsidRDefault="00782E0B" w:rsidP="00782E0B">
            <w:pPr>
              <w:jc w:val="right"/>
              <w:rPr>
                <w:rFonts w:ascii="Arial" w:hAnsi="Arial" w:cs="Arial"/>
                <w:sz w:val="21"/>
                <w:szCs w:val="21"/>
              </w:rPr>
            </w:pPr>
            <w:r>
              <w:rPr>
                <w:rFonts w:ascii="Arial" w:hAnsi="Arial" w:cs="Arial"/>
                <w:sz w:val="21"/>
                <w:szCs w:val="21"/>
              </w:rPr>
              <w:t>150</w:t>
            </w:r>
          </w:p>
        </w:tc>
      </w:tr>
      <w:tr w:rsidR="00782E0B" w:rsidRPr="00A67277" w14:paraId="42868053" w14:textId="77777777" w:rsidTr="00782E0B">
        <w:tc>
          <w:tcPr>
            <w:tcW w:w="3997" w:type="dxa"/>
          </w:tcPr>
          <w:p w14:paraId="6CFAA38A"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Event of Government Action or Inaction </w:t>
            </w:r>
          </w:p>
        </w:tc>
        <w:tc>
          <w:tcPr>
            <w:tcW w:w="969" w:type="dxa"/>
          </w:tcPr>
          <w:p w14:paraId="6660E5C8" w14:textId="0D3EF1B2" w:rsidR="00782E0B" w:rsidRPr="00A67277" w:rsidRDefault="00782E0B" w:rsidP="00782E0B">
            <w:pPr>
              <w:jc w:val="right"/>
              <w:rPr>
                <w:rFonts w:ascii="Arial" w:hAnsi="Arial" w:cs="Arial"/>
                <w:sz w:val="21"/>
                <w:szCs w:val="21"/>
              </w:rPr>
            </w:pPr>
            <w:r>
              <w:rPr>
                <w:rFonts w:ascii="Arial" w:hAnsi="Arial" w:cs="Arial"/>
                <w:sz w:val="21"/>
                <w:szCs w:val="21"/>
              </w:rPr>
              <w:t>150</w:t>
            </w:r>
          </w:p>
        </w:tc>
        <w:tc>
          <w:tcPr>
            <w:tcW w:w="3723" w:type="dxa"/>
          </w:tcPr>
          <w:p w14:paraId="2E5C2537"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Peristiwa Tindakan atau Tidak Bertindaknya Pemerintah</w:t>
            </w:r>
          </w:p>
        </w:tc>
        <w:tc>
          <w:tcPr>
            <w:tcW w:w="260" w:type="dxa"/>
          </w:tcPr>
          <w:p w14:paraId="200C769D" w14:textId="77777777" w:rsidR="00782E0B" w:rsidRPr="00A67277" w:rsidRDefault="00782E0B" w:rsidP="00782E0B">
            <w:pPr>
              <w:rPr>
                <w:rFonts w:ascii="Arial" w:hAnsi="Arial" w:cs="Arial"/>
                <w:sz w:val="21"/>
                <w:szCs w:val="21"/>
              </w:rPr>
            </w:pPr>
          </w:p>
        </w:tc>
        <w:tc>
          <w:tcPr>
            <w:tcW w:w="969" w:type="dxa"/>
          </w:tcPr>
          <w:p w14:paraId="192F3164" w14:textId="72868445" w:rsidR="00782E0B" w:rsidRPr="00A67277" w:rsidRDefault="00782E0B" w:rsidP="00782E0B">
            <w:pPr>
              <w:jc w:val="right"/>
              <w:rPr>
                <w:rFonts w:ascii="Arial" w:hAnsi="Arial" w:cs="Arial"/>
                <w:sz w:val="21"/>
                <w:szCs w:val="21"/>
              </w:rPr>
            </w:pPr>
            <w:r>
              <w:rPr>
                <w:rFonts w:ascii="Arial" w:hAnsi="Arial" w:cs="Arial"/>
                <w:sz w:val="21"/>
                <w:szCs w:val="21"/>
              </w:rPr>
              <w:t>150</w:t>
            </w:r>
          </w:p>
        </w:tc>
      </w:tr>
      <w:tr w:rsidR="00782E0B" w:rsidRPr="00A67277" w14:paraId="0831DFA0" w14:textId="77777777" w:rsidTr="00782E0B">
        <w:tc>
          <w:tcPr>
            <w:tcW w:w="3997" w:type="dxa"/>
          </w:tcPr>
          <w:p w14:paraId="3CF5D66E" w14:textId="68123AAB" w:rsidR="00782E0B" w:rsidRPr="00A67277" w:rsidRDefault="00782E0B" w:rsidP="00782E0B">
            <w:pPr>
              <w:pStyle w:val="ListParagraph"/>
              <w:numPr>
                <w:ilvl w:val="1"/>
                <w:numId w:val="479"/>
              </w:numPr>
              <w:spacing w:line="240" w:lineRule="auto"/>
              <w:ind w:left="972" w:hanging="540"/>
              <w:jc w:val="left"/>
              <w:rPr>
                <w:rFonts w:cs="Arial"/>
              </w:rPr>
            </w:pPr>
            <w:r>
              <w:rPr>
                <w:rFonts w:cs="Arial"/>
              </w:rPr>
              <w:t>Qualifying</w:t>
            </w:r>
            <w:r w:rsidRPr="00A67277">
              <w:rPr>
                <w:rFonts w:cs="Arial"/>
              </w:rPr>
              <w:t xml:space="preserve"> Change in Law </w:t>
            </w:r>
          </w:p>
        </w:tc>
        <w:tc>
          <w:tcPr>
            <w:tcW w:w="969" w:type="dxa"/>
          </w:tcPr>
          <w:p w14:paraId="3E30117A" w14:textId="1C3AB502" w:rsidR="00782E0B" w:rsidRPr="00A67277" w:rsidRDefault="00782E0B" w:rsidP="00782E0B">
            <w:pPr>
              <w:jc w:val="right"/>
              <w:rPr>
                <w:rFonts w:ascii="Arial" w:hAnsi="Arial" w:cs="Arial"/>
                <w:sz w:val="21"/>
                <w:szCs w:val="21"/>
              </w:rPr>
            </w:pPr>
            <w:r>
              <w:rPr>
                <w:rFonts w:ascii="Arial" w:hAnsi="Arial" w:cs="Arial"/>
                <w:sz w:val="21"/>
                <w:szCs w:val="21"/>
              </w:rPr>
              <w:t>155</w:t>
            </w:r>
          </w:p>
        </w:tc>
        <w:tc>
          <w:tcPr>
            <w:tcW w:w="3723" w:type="dxa"/>
          </w:tcPr>
          <w:p w14:paraId="551B5527" w14:textId="1E619E05"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 xml:space="preserve">Perubahan Hukum Yang </w:t>
            </w:r>
            <w:r>
              <w:rPr>
                <w:rFonts w:cs="Arial"/>
                <w:lang w:val="en-US"/>
              </w:rPr>
              <w:t>Memenuhi Syarat</w:t>
            </w:r>
          </w:p>
        </w:tc>
        <w:tc>
          <w:tcPr>
            <w:tcW w:w="260" w:type="dxa"/>
          </w:tcPr>
          <w:p w14:paraId="149E9F39" w14:textId="77777777" w:rsidR="00782E0B" w:rsidRPr="00A67277" w:rsidRDefault="00782E0B" w:rsidP="00782E0B">
            <w:pPr>
              <w:rPr>
                <w:rFonts w:ascii="Arial" w:hAnsi="Arial" w:cs="Arial"/>
                <w:sz w:val="21"/>
                <w:szCs w:val="21"/>
              </w:rPr>
            </w:pPr>
          </w:p>
        </w:tc>
        <w:tc>
          <w:tcPr>
            <w:tcW w:w="969" w:type="dxa"/>
          </w:tcPr>
          <w:p w14:paraId="244F1052" w14:textId="2D8D3AB6" w:rsidR="00782E0B" w:rsidRPr="00A67277" w:rsidRDefault="00782E0B" w:rsidP="00782E0B">
            <w:pPr>
              <w:jc w:val="right"/>
              <w:rPr>
                <w:rFonts w:ascii="Arial" w:hAnsi="Arial" w:cs="Arial"/>
                <w:sz w:val="21"/>
                <w:szCs w:val="21"/>
              </w:rPr>
            </w:pPr>
            <w:r>
              <w:rPr>
                <w:rFonts w:ascii="Arial" w:hAnsi="Arial" w:cs="Arial"/>
                <w:sz w:val="21"/>
                <w:szCs w:val="21"/>
              </w:rPr>
              <w:t>155</w:t>
            </w:r>
          </w:p>
        </w:tc>
      </w:tr>
      <w:tr w:rsidR="00782E0B" w:rsidRPr="00A67277" w14:paraId="154599E1" w14:textId="77777777" w:rsidTr="00782E0B">
        <w:tc>
          <w:tcPr>
            <w:tcW w:w="3997" w:type="dxa"/>
          </w:tcPr>
          <w:p w14:paraId="7C5CBBB0"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Compensation for Political Event </w:t>
            </w:r>
          </w:p>
        </w:tc>
        <w:tc>
          <w:tcPr>
            <w:tcW w:w="969" w:type="dxa"/>
          </w:tcPr>
          <w:p w14:paraId="0C99427B" w14:textId="09BFABF7" w:rsidR="00782E0B" w:rsidRPr="00A67277" w:rsidRDefault="00782E0B" w:rsidP="00782E0B">
            <w:pPr>
              <w:jc w:val="right"/>
              <w:rPr>
                <w:rFonts w:ascii="Arial" w:hAnsi="Arial" w:cs="Arial"/>
                <w:sz w:val="21"/>
                <w:szCs w:val="21"/>
              </w:rPr>
            </w:pPr>
            <w:r>
              <w:rPr>
                <w:rFonts w:ascii="Arial" w:hAnsi="Arial" w:cs="Arial"/>
                <w:sz w:val="21"/>
                <w:szCs w:val="21"/>
              </w:rPr>
              <w:t>161</w:t>
            </w:r>
          </w:p>
        </w:tc>
        <w:tc>
          <w:tcPr>
            <w:tcW w:w="3723" w:type="dxa"/>
          </w:tcPr>
          <w:p w14:paraId="6E981FC1"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id-ID"/>
              </w:rPr>
              <w:t>Kompensasi atas Peristiwa Politik</w:t>
            </w:r>
          </w:p>
        </w:tc>
        <w:tc>
          <w:tcPr>
            <w:tcW w:w="260" w:type="dxa"/>
          </w:tcPr>
          <w:p w14:paraId="5D071C5B" w14:textId="77777777" w:rsidR="00782E0B" w:rsidRPr="00A67277" w:rsidRDefault="00782E0B" w:rsidP="00782E0B">
            <w:pPr>
              <w:rPr>
                <w:rFonts w:ascii="Arial" w:hAnsi="Arial" w:cs="Arial"/>
                <w:sz w:val="21"/>
                <w:szCs w:val="21"/>
              </w:rPr>
            </w:pPr>
          </w:p>
        </w:tc>
        <w:tc>
          <w:tcPr>
            <w:tcW w:w="969" w:type="dxa"/>
          </w:tcPr>
          <w:p w14:paraId="74D7C8F7" w14:textId="1E122479" w:rsidR="00782E0B" w:rsidRPr="00A67277" w:rsidRDefault="00782E0B" w:rsidP="00782E0B">
            <w:pPr>
              <w:jc w:val="right"/>
              <w:rPr>
                <w:rFonts w:ascii="Arial" w:hAnsi="Arial" w:cs="Arial"/>
                <w:sz w:val="21"/>
                <w:szCs w:val="21"/>
              </w:rPr>
            </w:pPr>
            <w:r>
              <w:rPr>
                <w:rFonts w:ascii="Arial" w:hAnsi="Arial" w:cs="Arial"/>
                <w:sz w:val="21"/>
                <w:szCs w:val="21"/>
              </w:rPr>
              <w:t>161</w:t>
            </w:r>
          </w:p>
        </w:tc>
      </w:tr>
      <w:tr w:rsidR="00782E0B" w:rsidRPr="00A67277" w14:paraId="54C1A32C" w14:textId="77777777" w:rsidTr="00782E0B">
        <w:tc>
          <w:tcPr>
            <w:tcW w:w="3997" w:type="dxa"/>
          </w:tcPr>
          <w:p w14:paraId="2A2D00D1" w14:textId="77777777" w:rsidR="00782E0B" w:rsidRPr="00A67277" w:rsidRDefault="00782E0B" w:rsidP="00782E0B">
            <w:pPr>
              <w:rPr>
                <w:rFonts w:ascii="Arial" w:hAnsi="Arial" w:cs="Arial"/>
                <w:sz w:val="21"/>
                <w:szCs w:val="21"/>
              </w:rPr>
            </w:pPr>
          </w:p>
        </w:tc>
        <w:tc>
          <w:tcPr>
            <w:tcW w:w="969" w:type="dxa"/>
          </w:tcPr>
          <w:p w14:paraId="1B850E9F" w14:textId="77777777" w:rsidR="00782E0B" w:rsidRPr="00A67277" w:rsidRDefault="00782E0B" w:rsidP="00782E0B">
            <w:pPr>
              <w:jc w:val="right"/>
              <w:rPr>
                <w:rFonts w:ascii="Arial" w:hAnsi="Arial" w:cs="Arial"/>
                <w:sz w:val="21"/>
                <w:szCs w:val="21"/>
              </w:rPr>
            </w:pPr>
          </w:p>
        </w:tc>
        <w:tc>
          <w:tcPr>
            <w:tcW w:w="3723" w:type="dxa"/>
          </w:tcPr>
          <w:p w14:paraId="5A8EA22E" w14:textId="77777777" w:rsidR="00782E0B" w:rsidRPr="00A67277" w:rsidRDefault="00782E0B" w:rsidP="00782E0B">
            <w:pPr>
              <w:rPr>
                <w:rFonts w:ascii="Arial" w:hAnsi="Arial" w:cs="Arial"/>
                <w:sz w:val="21"/>
                <w:szCs w:val="21"/>
                <w:lang w:val="id-ID"/>
              </w:rPr>
            </w:pPr>
          </w:p>
        </w:tc>
        <w:tc>
          <w:tcPr>
            <w:tcW w:w="260" w:type="dxa"/>
          </w:tcPr>
          <w:p w14:paraId="2CF0B64C" w14:textId="77777777" w:rsidR="00782E0B" w:rsidRPr="00A67277" w:rsidRDefault="00782E0B" w:rsidP="00782E0B">
            <w:pPr>
              <w:rPr>
                <w:rFonts w:ascii="Arial" w:hAnsi="Arial" w:cs="Arial"/>
                <w:sz w:val="21"/>
                <w:szCs w:val="21"/>
              </w:rPr>
            </w:pPr>
          </w:p>
        </w:tc>
        <w:tc>
          <w:tcPr>
            <w:tcW w:w="969" w:type="dxa"/>
          </w:tcPr>
          <w:p w14:paraId="298E578E" w14:textId="77777777" w:rsidR="00782E0B" w:rsidRPr="00A67277" w:rsidRDefault="00782E0B" w:rsidP="00782E0B">
            <w:pPr>
              <w:jc w:val="right"/>
              <w:rPr>
                <w:rFonts w:ascii="Arial" w:hAnsi="Arial" w:cs="Arial"/>
                <w:sz w:val="21"/>
                <w:szCs w:val="21"/>
              </w:rPr>
            </w:pPr>
          </w:p>
        </w:tc>
      </w:tr>
      <w:tr w:rsidR="00782E0B" w:rsidRPr="00A67277" w14:paraId="0470549A" w14:textId="77777777" w:rsidTr="00782E0B">
        <w:tc>
          <w:tcPr>
            <w:tcW w:w="3997" w:type="dxa"/>
          </w:tcPr>
          <w:p w14:paraId="239DBEDB"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t xml:space="preserve">Modifications </w:t>
            </w:r>
          </w:p>
        </w:tc>
        <w:tc>
          <w:tcPr>
            <w:tcW w:w="969" w:type="dxa"/>
          </w:tcPr>
          <w:p w14:paraId="75AF924D" w14:textId="0B0BC894" w:rsidR="00782E0B" w:rsidRPr="00A67277" w:rsidRDefault="00782E0B" w:rsidP="00782E0B">
            <w:pPr>
              <w:jc w:val="right"/>
              <w:rPr>
                <w:rFonts w:ascii="Arial" w:hAnsi="Arial" w:cs="Arial"/>
                <w:sz w:val="21"/>
                <w:szCs w:val="21"/>
              </w:rPr>
            </w:pPr>
            <w:r>
              <w:rPr>
                <w:rFonts w:ascii="Arial" w:hAnsi="Arial" w:cs="Arial"/>
                <w:sz w:val="21"/>
                <w:szCs w:val="21"/>
              </w:rPr>
              <w:t>164</w:t>
            </w:r>
          </w:p>
        </w:tc>
        <w:tc>
          <w:tcPr>
            <w:tcW w:w="3723" w:type="dxa"/>
          </w:tcPr>
          <w:p w14:paraId="6B8C7D65"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Modifikasi</w:t>
            </w:r>
          </w:p>
        </w:tc>
        <w:tc>
          <w:tcPr>
            <w:tcW w:w="260" w:type="dxa"/>
          </w:tcPr>
          <w:p w14:paraId="07B37B6A" w14:textId="77777777" w:rsidR="00782E0B" w:rsidRPr="00A67277" w:rsidRDefault="00782E0B" w:rsidP="00782E0B">
            <w:pPr>
              <w:rPr>
                <w:rFonts w:ascii="Arial" w:hAnsi="Arial" w:cs="Arial"/>
                <w:sz w:val="21"/>
                <w:szCs w:val="21"/>
              </w:rPr>
            </w:pPr>
          </w:p>
        </w:tc>
        <w:tc>
          <w:tcPr>
            <w:tcW w:w="969" w:type="dxa"/>
          </w:tcPr>
          <w:p w14:paraId="0B923E65" w14:textId="390DECF5" w:rsidR="00782E0B" w:rsidRPr="00A67277" w:rsidRDefault="00782E0B" w:rsidP="00782E0B">
            <w:pPr>
              <w:jc w:val="right"/>
              <w:rPr>
                <w:rFonts w:ascii="Arial" w:hAnsi="Arial" w:cs="Arial"/>
                <w:sz w:val="21"/>
                <w:szCs w:val="21"/>
              </w:rPr>
            </w:pPr>
            <w:r>
              <w:rPr>
                <w:rFonts w:ascii="Arial" w:hAnsi="Arial" w:cs="Arial"/>
                <w:sz w:val="21"/>
                <w:szCs w:val="21"/>
              </w:rPr>
              <w:t>164</w:t>
            </w:r>
          </w:p>
        </w:tc>
      </w:tr>
      <w:tr w:rsidR="00782E0B" w:rsidRPr="00A67277" w14:paraId="7CD628EB" w14:textId="77777777" w:rsidTr="00782E0B">
        <w:tc>
          <w:tcPr>
            <w:tcW w:w="3997" w:type="dxa"/>
          </w:tcPr>
          <w:p w14:paraId="646A5C5A"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 xml:space="preserve">Modification Notice </w:t>
            </w:r>
          </w:p>
        </w:tc>
        <w:tc>
          <w:tcPr>
            <w:tcW w:w="969" w:type="dxa"/>
          </w:tcPr>
          <w:p w14:paraId="5F65E2AD" w14:textId="067B1EFC" w:rsidR="00782E0B" w:rsidRPr="00A67277" w:rsidRDefault="00782E0B" w:rsidP="00782E0B">
            <w:pPr>
              <w:jc w:val="right"/>
              <w:rPr>
                <w:rFonts w:ascii="Arial" w:hAnsi="Arial" w:cs="Arial"/>
                <w:sz w:val="21"/>
                <w:szCs w:val="21"/>
              </w:rPr>
            </w:pPr>
            <w:r>
              <w:rPr>
                <w:rFonts w:ascii="Arial" w:hAnsi="Arial" w:cs="Arial"/>
                <w:sz w:val="21"/>
                <w:szCs w:val="21"/>
              </w:rPr>
              <w:t>164</w:t>
            </w:r>
          </w:p>
        </w:tc>
        <w:tc>
          <w:tcPr>
            <w:tcW w:w="3723" w:type="dxa"/>
          </w:tcPr>
          <w:p w14:paraId="62B5FBF5"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en-ID"/>
              </w:rPr>
              <w:t>Pemberitahuan Modifikasi</w:t>
            </w:r>
          </w:p>
        </w:tc>
        <w:tc>
          <w:tcPr>
            <w:tcW w:w="260" w:type="dxa"/>
          </w:tcPr>
          <w:p w14:paraId="7A8FE288" w14:textId="77777777" w:rsidR="00782E0B" w:rsidRPr="00A67277" w:rsidRDefault="00782E0B" w:rsidP="00782E0B">
            <w:pPr>
              <w:rPr>
                <w:rFonts w:ascii="Arial" w:hAnsi="Arial" w:cs="Arial"/>
                <w:sz w:val="21"/>
                <w:szCs w:val="21"/>
              </w:rPr>
            </w:pPr>
          </w:p>
        </w:tc>
        <w:tc>
          <w:tcPr>
            <w:tcW w:w="969" w:type="dxa"/>
          </w:tcPr>
          <w:p w14:paraId="7CF27742" w14:textId="664832EA" w:rsidR="00782E0B" w:rsidRPr="00A67277" w:rsidRDefault="00782E0B" w:rsidP="00782E0B">
            <w:pPr>
              <w:jc w:val="right"/>
              <w:rPr>
                <w:rFonts w:ascii="Arial" w:hAnsi="Arial" w:cs="Arial"/>
                <w:sz w:val="21"/>
                <w:szCs w:val="21"/>
              </w:rPr>
            </w:pPr>
            <w:r>
              <w:rPr>
                <w:rFonts w:ascii="Arial" w:hAnsi="Arial" w:cs="Arial"/>
                <w:sz w:val="21"/>
                <w:szCs w:val="21"/>
              </w:rPr>
              <w:t>164</w:t>
            </w:r>
          </w:p>
        </w:tc>
      </w:tr>
      <w:tr w:rsidR="00782E0B" w:rsidRPr="00A67277" w14:paraId="00882219" w14:textId="77777777" w:rsidTr="00782E0B">
        <w:tc>
          <w:tcPr>
            <w:tcW w:w="3997" w:type="dxa"/>
          </w:tcPr>
          <w:p w14:paraId="3EECA8A5" w14:textId="77777777" w:rsidR="00782E0B" w:rsidRPr="00A67277" w:rsidRDefault="00782E0B" w:rsidP="00782E0B">
            <w:pPr>
              <w:pStyle w:val="ListParagraph"/>
              <w:numPr>
                <w:ilvl w:val="1"/>
                <w:numId w:val="479"/>
              </w:numPr>
              <w:spacing w:line="240" w:lineRule="auto"/>
              <w:ind w:left="972" w:hanging="540"/>
              <w:jc w:val="left"/>
              <w:rPr>
                <w:rFonts w:cs="Arial"/>
              </w:rPr>
            </w:pPr>
            <w:r w:rsidRPr="00A67277">
              <w:rPr>
                <w:rFonts w:cs="Arial"/>
              </w:rPr>
              <w:t>Compensation for Modification</w:t>
            </w:r>
          </w:p>
        </w:tc>
        <w:tc>
          <w:tcPr>
            <w:tcW w:w="969" w:type="dxa"/>
          </w:tcPr>
          <w:p w14:paraId="180EA3BA" w14:textId="1E5B53A9" w:rsidR="00782E0B" w:rsidRPr="00A67277" w:rsidRDefault="00782E0B" w:rsidP="00782E0B">
            <w:pPr>
              <w:jc w:val="right"/>
              <w:rPr>
                <w:rFonts w:ascii="Arial" w:hAnsi="Arial" w:cs="Arial"/>
                <w:sz w:val="21"/>
                <w:szCs w:val="21"/>
              </w:rPr>
            </w:pPr>
            <w:r>
              <w:rPr>
                <w:rFonts w:ascii="Arial" w:hAnsi="Arial" w:cs="Arial"/>
                <w:sz w:val="21"/>
                <w:szCs w:val="21"/>
              </w:rPr>
              <w:t>172</w:t>
            </w:r>
          </w:p>
        </w:tc>
        <w:tc>
          <w:tcPr>
            <w:tcW w:w="3723" w:type="dxa"/>
          </w:tcPr>
          <w:p w14:paraId="04ABCBA0" w14:textId="77777777" w:rsidR="00782E0B" w:rsidRPr="00A67277" w:rsidRDefault="00782E0B" w:rsidP="00782E0B">
            <w:pPr>
              <w:pStyle w:val="ListParagraph"/>
              <w:numPr>
                <w:ilvl w:val="1"/>
                <w:numId w:val="483"/>
              </w:numPr>
              <w:spacing w:line="240" w:lineRule="auto"/>
              <w:ind w:left="937" w:hanging="540"/>
              <w:jc w:val="left"/>
              <w:rPr>
                <w:rFonts w:cs="Arial"/>
                <w:lang w:val="id-ID"/>
              </w:rPr>
            </w:pPr>
            <w:r w:rsidRPr="00A67277">
              <w:rPr>
                <w:rFonts w:cs="Arial"/>
                <w:lang w:val="en-ID"/>
              </w:rPr>
              <w:t>Kompensasi Atas Modifikasi</w:t>
            </w:r>
          </w:p>
        </w:tc>
        <w:tc>
          <w:tcPr>
            <w:tcW w:w="260" w:type="dxa"/>
          </w:tcPr>
          <w:p w14:paraId="4DAF5D51" w14:textId="77777777" w:rsidR="00782E0B" w:rsidRPr="00A67277" w:rsidRDefault="00782E0B" w:rsidP="00782E0B">
            <w:pPr>
              <w:rPr>
                <w:rFonts w:ascii="Arial" w:hAnsi="Arial" w:cs="Arial"/>
                <w:sz w:val="21"/>
                <w:szCs w:val="21"/>
              </w:rPr>
            </w:pPr>
          </w:p>
        </w:tc>
        <w:tc>
          <w:tcPr>
            <w:tcW w:w="969" w:type="dxa"/>
          </w:tcPr>
          <w:p w14:paraId="5B9BBC00" w14:textId="7AD638E2" w:rsidR="00782E0B" w:rsidRPr="00A67277" w:rsidRDefault="00782E0B" w:rsidP="00782E0B">
            <w:pPr>
              <w:jc w:val="right"/>
              <w:rPr>
                <w:rFonts w:ascii="Arial" w:hAnsi="Arial" w:cs="Arial"/>
                <w:sz w:val="21"/>
                <w:szCs w:val="21"/>
              </w:rPr>
            </w:pPr>
            <w:r>
              <w:rPr>
                <w:rFonts w:ascii="Arial" w:hAnsi="Arial" w:cs="Arial"/>
                <w:sz w:val="21"/>
                <w:szCs w:val="21"/>
              </w:rPr>
              <w:t>172</w:t>
            </w:r>
          </w:p>
        </w:tc>
      </w:tr>
      <w:tr w:rsidR="00782E0B" w:rsidRPr="00A67277" w14:paraId="46528D46" w14:textId="77777777" w:rsidTr="00782E0B">
        <w:tc>
          <w:tcPr>
            <w:tcW w:w="3997" w:type="dxa"/>
          </w:tcPr>
          <w:p w14:paraId="0190C13F" w14:textId="77777777" w:rsidR="00782E0B" w:rsidRPr="00A67277" w:rsidRDefault="00782E0B" w:rsidP="00782E0B">
            <w:pPr>
              <w:rPr>
                <w:rFonts w:ascii="Arial" w:hAnsi="Arial" w:cs="Arial"/>
                <w:sz w:val="21"/>
                <w:szCs w:val="21"/>
              </w:rPr>
            </w:pPr>
          </w:p>
        </w:tc>
        <w:tc>
          <w:tcPr>
            <w:tcW w:w="969" w:type="dxa"/>
          </w:tcPr>
          <w:p w14:paraId="29524F27" w14:textId="77777777" w:rsidR="00782E0B" w:rsidRPr="00A67277" w:rsidRDefault="00782E0B" w:rsidP="00782E0B">
            <w:pPr>
              <w:jc w:val="right"/>
              <w:rPr>
                <w:rFonts w:ascii="Arial" w:hAnsi="Arial" w:cs="Arial"/>
                <w:sz w:val="21"/>
                <w:szCs w:val="21"/>
              </w:rPr>
            </w:pPr>
          </w:p>
        </w:tc>
        <w:tc>
          <w:tcPr>
            <w:tcW w:w="3723" w:type="dxa"/>
          </w:tcPr>
          <w:p w14:paraId="55B35229" w14:textId="77777777" w:rsidR="00782E0B" w:rsidRPr="00A67277" w:rsidRDefault="00782E0B" w:rsidP="00782E0B">
            <w:pPr>
              <w:rPr>
                <w:rFonts w:ascii="Arial" w:hAnsi="Arial" w:cs="Arial"/>
                <w:sz w:val="21"/>
                <w:szCs w:val="21"/>
                <w:lang w:val="id-ID"/>
              </w:rPr>
            </w:pPr>
          </w:p>
        </w:tc>
        <w:tc>
          <w:tcPr>
            <w:tcW w:w="260" w:type="dxa"/>
          </w:tcPr>
          <w:p w14:paraId="5B63C8EB" w14:textId="77777777" w:rsidR="00782E0B" w:rsidRPr="00A67277" w:rsidRDefault="00782E0B" w:rsidP="00782E0B">
            <w:pPr>
              <w:rPr>
                <w:rFonts w:ascii="Arial" w:hAnsi="Arial" w:cs="Arial"/>
                <w:sz w:val="21"/>
                <w:szCs w:val="21"/>
              </w:rPr>
            </w:pPr>
          </w:p>
        </w:tc>
        <w:tc>
          <w:tcPr>
            <w:tcW w:w="969" w:type="dxa"/>
          </w:tcPr>
          <w:p w14:paraId="1E1FD59C" w14:textId="77777777" w:rsidR="00782E0B" w:rsidRPr="00A67277" w:rsidRDefault="00782E0B" w:rsidP="00782E0B">
            <w:pPr>
              <w:jc w:val="right"/>
              <w:rPr>
                <w:rFonts w:ascii="Arial" w:hAnsi="Arial" w:cs="Arial"/>
                <w:sz w:val="21"/>
                <w:szCs w:val="21"/>
              </w:rPr>
            </w:pPr>
          </w:p>
        </w:tc>
      </w:tr>
      <w:tr w:rsidR="00782E0B" w:rsidRPr="00A67277" w14:paraId="7DE70AB0" w14:textId="77777777" w:rsidTr="00782E0B">
        <w:tc>
          <w:tcPr>
            <w:tcW w:w="3997" w:type="dxa"/>
          </w:tcPr>
          <w:p w14:paraId="68029AD5"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t xml:space="preserve">Default and Termination </w:t>
            </w:r>
          </w:p>
        </w:tc>
        <w:tc>
          <w:tcPr>
            <w:tcW w:w="969" w:type="dxa"/>
          </w:tcPr>
          <w:p w14:paraId="46FAC681" w14:textId="420A123A" w:rsidR="00782E0B" w:rsidRPr="00A67277" w:rsidRDefault="00782E0B" w:rsidP="00782E0B">
            <w:pPr>
              <w:jc w:val="right"/>
              <w:rPr>
                <w:rFonts w:ascii="Arial" w:hAnsi="Arial" w:cs="Arial"/>
                <w:sz w:val="21"/>
                <w:szCs w:val="21"/>
              </w:rPr>
            </w:pPr>
            <w:r>
              <w:rPr>
                <w:rFonts w:ascii="Arial" w:hAnsi="Arial" w:cs="Arial"/>
                <w:sz w:val="21"/>
                <w:szCs w:val="21"/>
              </w:rPr>
              <w:t>175</w:t>
            </w:r>
          </w:p>
        </w:tc>
        <w:tc>
          <w:tcPr>
            <w:tcW w:w="3723" w:type="dxa"/>
          </w:tcPr>
          <w:p w14:paraId="1D9E16A3"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Cidera Janji dan Pengakhiran</w:t>
            </w:r>
          </w:p>
        </w:tc>
        <w:tc>
          <w:tcPr>
            <w:tcW w:w="260" w:type="dxa"/>
          </w:tcPr>
          <w:p w14:paraId="54D72189" w14:textId="77777777" w:rsidR="00782E0B" w:rsidRPr="00A67277" w:rsidRDefault="00782E0B" w:rsidP="00782E0B">
            <w:pPr>
              <w:rPr>
                <w:rFonts w:ascii="Arial" w:hAnsi="Arial" w:cs="Arial"/>
                <w:sz w:val="21"/>
                <w:szCs w:val="21"/>
              </w:rPr>
            </w:pPr>
          </w:p>
        </w:tc>
        <w:tc>
          <w:tcPr>
            <w:tcW w:w="969" w:type="dxa"/>
          </w:tcPr>
          <w:p w14:paraId="5C2E790F" w14:textId="07513C4D" w:rsidR="00782E0B" w:rsidRPr="00A67277" w:rsidRDefault="00782E0B" w:rsidP="00782E0B">
            <w:pPr>
              <w:jc w:val="right"/>
              <w:rPr>
                <w:rFonts w:ascii="Arial" w:hAnsi="Arial" w:cs="Arial"/>
                <w:sz w:val="21"/>
                <w:szCs w:val="21"/>
              </w:rPr>
            </w:pPr>
            <w:r>
              <w:rPr>
                <w:rFonts w:ascii="Arial" w:hAnsi="Arial" w:cs="Arial"/>
                <w:sz w:val="21"/>
                <w:szCs w:val="21"/>
              </w:rPr>
              <w:t>175</w:t>
            </w:r>
          </w:p>
        </w:tc>
      </w:tr>
      <w:tr w:rsidR="00782E0B" w:rsidRPr="00A67277" w14:paraId="10D214AC" w14:textId="77777777" w:rsidTr="00782E0B">
        <w:tc>
          <w:tcPr>
            <w:tcW w:w="3997" w:type="dxa"/>
          </w:tcPr>
          <w:p w14:paraId="239204C4"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Default by IBE </w:t>
            </w:r>
          </w:p>
        </w:tc>
        <w:tc>
          <w:tcPr>
            <w:tcW w:w="969" w:type="dxa"/>
          </w:tcPr>
          <w:p w14:paraId="33CD8C60" w14:textId="78F4FF19" w:rsidR="00782E0B" w:rsidRPr="00A67277" w:rsidRDefault="00782E0B" w:rsidP="00782E0B">
            <w:pPr>
              <w:jc w:val="right"/>
              <w:rPr>
                <w:rFonts w:ascii="Arial" w:hAnsi="Arial" w:cs="Arial"/>
                <w:sz w:val="21"/>
                <w:szCs w:val="21"/>
              </w:rPr>
            </w:pPr>
            <w:r>
              <w:rPr>
                <w:rFonts w:ascii="Arial" w:hAnsi="Arial" w:cs="Arial"/>
                <w:sz w:val="21"/>
                <w:szCs w:val="21"/>
              </w:rPr>
              <w:t>175</w:t>
            </w:r>
          </w:p>
        </w:tc>
        <w:tc>
          <w:tcPr>
            <w:tcW w:w="3723" w:type="dxa"/>
          </w:tcPr>
          <w:p w14:paraId="6F8F090D"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Cidera Janji oleh BUP</w:t>
            </w:r>
          </w:p>
        </w:tc>
        <w:tc>
          <w:tcPr>
            <w:tcW w:w="260" w:type="dxa"/>
          </w:tcPr>
          <w:p w14:paraId="5D5B312E" w14:textId="77777777" w:rsidR="00782E0B" w:rsidRPr="00A67277" w:rsidRDefault="00782E0B" w:rsidP="00782E0B">
            <w:pPr>
              <w:rPr>
                <w:rFonts w:ascii="Arial" w:hAnsi="Arial" w:cs="Arial"/>
                <w:sz w:val="21"/>
                <w:szCs w:val="21"/>
              </w:rPr>
            </w:pPr>
          </w:p>
        </w:tc>
        <w:tc>
          <w:tcPr>
            <w:tcW w:w="969" w:type="dxa"/>
          </w:tcPr>
          <w:p w14:paraId="0E7A9C7D" w14:textId="528315BC" w:rsidR="00782E0B" w:rsidRPr="00A67277" w:rsidRDefault="00782E0B" w:rsidP="00782E0B">
            <w:pPr>
              <w:jc w:val="right"/>
              <w:rPr>
                <w:rFonts w:ascii="Arial" w:hAnsi="Arial" w:cs="Arial"/>
                <w:sz w:val="21"/>
                <w:szCs w:val="21"/>
              </w:rPr>
            </w:pPr>
            <w:r>
              <w:rPr>
                <w:rFonts w:ascii="Arial" w:hAnsi="Arial" w:cs="Arial"/>
                <w:sz w:val="21"/>
                <w:szCs w:val="21"/>
              </w:rPr>
              <w:t>175</w:t>
            </w:r>
          </w:p>
        </w:tc>
      </w:tr>
      <w:tr w:rsidR="00782E0B" w:rsidRPr="00A67277" w14:paraId="7A64CB97" w14:textId="77777777" w:rsidTr="00782E0B">
        <w:tc>
          <w:tcPr>
            <w:tcW w:w="3997" w:type="dxa"/>
          </w:tcPr>
          <w:p w14:paraId="666FB2DE"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Default by GCA </w:t>
            </w:r>
          </w:p>
        </w:tc>
        <w:tc>
          <w:tcPr>
            <w:tcW w:w="969" w:type="dxa"/>
          </w:tcPr>
          <w:p w14:paraId="662DEB2D" w14:textId="2206834C" w:rsidR="00782E0B" w:rsidRPr="00A67277" w:rsidRDefault="00782E0B" w:rsidP="00782E0B">
            <w:pPr>
              <w:jc w:val="right"/>
              <w:rPr>
                <w:rFonts w:ascii="Arial" w:hAnsi="Arial" w:cs="Arial"/>
                <w:sz w:val="21"/>
                <w:szCs w:val="21"/>
              </w:rPr>
            </w:pPr>
            <w:r>
              <w:rPr>
                <w:rFonts w:ascii="Arial" w:hAnsi="Arial" w:cs="Arial"/>
                <w:sz w:val="21"/>
                <w:szCs w:val="21"/>
              </w:rPr>
              <w:t>177</w:t>
            </w:r>
          </w:p>
        </w:tc>
        <w:tc>
          <w:tcPr>
            <w:tcW w:w="3723" w:type="dxa"/>
          </w:tcPr>
          <w:p w14:paraId="0AA41935"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Cidera Janji oleh PJPK</w:t>
            </w:r>
          </w:p>
        </w:tc>
        <w:tc>
          <w:tcPr>
            <w:tcW w:w="260" w:type="dxa"/>
          </w:tcPr>
          <w:p w14:paraId="5467C365" w14:textId="77777777" w:rsidR="00782E0B" w:rsidRPr="00A67277" w:rsidRDefault="00782E0B" w:rsidP="00782E0B">
            <w:pPr>
              <w:rPr>
                <w:rFonts w:ascii="Arial" w:hAnsi="Arial" w:cs="Arial"/>
                <w:sz w:val="21"/>
                <w:szCs w:val="21"/>
              </w:rPr>
            </w:pPr>
          </w:p>
        </w:tc>
        <w:tc>
          <w:tcPr>
            <w:tcW w:w="969" w:type="dxa"/>
          </w:tcPr>
          <w:p w14:paraId="2BBFDBED" w14:textId="09E5BD3E" w:rsidR="00782E0B" w:rsidRPr="00A67277" w:rsidRDefault="00782E0B" w:rsidP="00782E0B">
            <w:pPr>
              <w:jc w:val="right"/>
              <w:rPr>
                <w:rFonts w:ascii="Arial" w:hAnsi="Arial" w:cs="Arial"/>
                <w:sz w:val="21"/>
                <w:szCs w:val="21"/>
              </w:rPr>
            </w:pPr>
            <w:r>
              <w:rPr>
                <w:rFonts w:ascii="Arial" w:hAnsi="Arial" w:cs="Arial"/>
                <w:sz w:val="21"/>
                <w:szCs w:val="21"/>
              </w:rPr>
              <w:t>177</w:t>
            </w:r>
          </w:p>
        </w:tc>
      </w:tr>
      <w:tr w:rsidR="00782E0B" w:rsidRPr="00A67277" w14:paraId="0C6FFE52" w14:textId="77777777" w:rsidTr="00782E0B">
        <w:tc>
          <w:tcPr>
            <w:tcW w:w="3997" w:type="dxa"/>
          </w:tcPr>
          <w:p w14:paraId="07E35E6A" w14:textId="77777777" w:rsidR="00782E0B" w:rsidRPr="00A67277" w:rsidRDefault="00782E0B" w:rsidP="00782E0B">
            <w:pPr>
              <w:pStyle w:val="ListParagraph"/>
              <w:spacing w:line="240" w:lineRule="auto"/>
              <w:ind w:left="1062"/>
              <w:jc w:val="left"/>
              <w:rPr>
                <w:rFonts w:cs="Arial"/>
              </w:rPr>
            </w:pPr>
          </w:p>
        </w:tc>
        <w:tc>
          <w:tcPr>
            <w:tcW w:w="969" w:type="dxa"/>
          </w:tcPr>
          <w:p w14:paraId="38A9B40B" w14:textId="77777777" w:rsidR="00782E0B" w:rsidRPr="00A67277" w:rsidRDefault="00782E0B" w:rsidP="00782E0B">
            <w:pPr>
              <w:jc w:val="right"/>
              <w:rPr>
                <w:rFonts w:ascii="Arial" w:hAnsi="Arial" w:cs="Arial"/>
                <w:sz w:val="21"/>
                <w:szCs w:val="21"/>
              </w:rPr>
            </w:pPr>
          </w:p>
        </w:tc>
        <w:tc>
          <w:tcPr>
            <w:tcW w:w="3723" w:type="dxa"/>
          </w:tcPr>
          <w:p w14:paraId="616CD1ED" w14:textId="77777777" w:rsidR="00782E0B" w:rsidRPr="00A67277" w:rsidRDefault="00782E0B" w:rsidP="00782E0B">
            <w:pPr>
              <w:pStyle w:val="ListParagraph"/>
              <w:spacing w:line="240" w:lineRule="auto"/>
              <w:ind w:left="1027"/>
              <w:jc w:val="left"/>
              <w:rPr>
                <w:rFonts w:cs="Arial"/>
                <w:lang w:val="id-ID"/>
              </w:rPr>
            </w:pPr>
          </w:p>
        </w:tc>
        <w:tc>
          <w:tcPr>
            <w:tcW w:w="260" w:type="dxa"/>
          </w:tcPr>
          <w:p w14:paraId="26BE5953" w14:textId="77777777" w:rsidR="00782E0B" w:rsidRPr="00A67277" w:rsidRDefault="00782E0B" w:rsidP="00782E0B">
            <w:pPr>
              <w:rPr>
                <w:rFonts w:ascii="Arial" w:hAnsi="Arial" w:cs="Arial"/>
                <w:sz w:val="21"/>
                <w:szCs w:val="21"/>
              </w:rPr>
            </w:pPr>
          </w:p>
        </w:tc>
        <w:tc>
          <w:tcPr>
            <w:tcW w:w="969" w:type="dxa"/>
          </w:tcPr>
          <w:p w14:paraId="6F759207" w14:textId="77777777" w:rsidR="00782E0B" w:rsidRPr="00A67277" w:rsidRDefault="00782E0B" w:rsidP="00782E0B">
            <w:pPr>
              <w:jc w:val="right"/>
              <w:rPr>
                <w:rFonts w:ascii="Arial" w:hAnsi="Arial" w:cs="Arial"/>
                <w:sz w:val="21"/>
                <w:szCs w:val="21"/>
              </w:rPr>
            </w:pPr>
          </w:p>
        </w:tc>
      </w:tr>
      <w:tr w:rsidR="00782E0B" w:rsidRPr="00A67277" w14:paraId="06750175" w14:textId="77777777" w:rsidTr="00782E0B">
        <w:tc>
          <w:tcPr>
            <w:tcW w:w="3997" w:type="dxa"/>
          </w:tcPr>
          <w:p w14:paraId="3F7C594B"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t xml:space="preserve">Termination </w:t>
            </w:r>
          </w:p>
        </w:tc>
        <w:tc>
          <w:tcPr>
            <w:tcW w:w="969" w:type="dxa"/>
          </w:tcPr>
          <w:p w14:paraId="207A735B" w14:textId="1D729CF3" w:rsidR="00782E0B" w:rsidRPr="00A67277" w:rsidRDefault="00782E0B" w:rsidP="00782E0B">
            <w:pPr>
              <w:ind w:left="360"/>
              <w:rPr>
                <w:rFonts w:cs="Arial"/>
                <w:b/>
              </w:rPr>
            </w:pPr>
            <w:r>
              <w:rPr>
                <w:rFonts w:cs="Arial"/>
                <w:b/>
              </w:rPr>
              <w:t>178</w:t>
            </w:r>
          </w:p>
        </w:tc>
        <w:tc>
          <w:tcPr>
            <w:tcW w:w="3723" w:type="dxa"/>
          </w:tcPr>
          <w:p w14:paraId="14A82D1F" w14:textId="77777777" w:rsidR="00782E0B" w:rsidRPr="00A67277" w:rsidRDefault="00782E0B" w:rsidP="00782E0B">
            <w:pPr>
              <w:pStyle w:val="ListParagraph"/>
              <w:numPr>
                <w:ilvl w:val="0"/>
                <w:numId w:val="479"/>
              </w:numPr>
              <w:spacing w:line="240" w:lineRule="auto"/>
              <w:ind w:left="397" w:hanging="397"/>
              <w:jc w:val="left"/>
              <w:rPr>
                <w:rFonts w:cs="Arial"/>
                <w:b/>
              </w:rPr>
            </w:pPr>
            <w:r w:rsidRPr="00A67277">
              <w:rPr>
                <w:rFonts w:cs="Arial"/>
                <w:b/>
              </w:rPr>
              <w:t xml:space="preserve">Pengakhiran </w:t>
            </w:r>
          </w:p>
        </w:tc>
        <w:tc>
          <w:tcPr>
            <w:tcW w:w="260" w:type="dxa"/>
          </w:tcPr>
          <w:p w14:paraId="12D7C78B" w14:textId="77777777" w:rsidR="00782E0B" w:rsidRPr="00A67277" w:rsidRDefault="00782E0B" w:rsidP="00782E0B">
            <w:pPr>
              <w:ind w:left="360"/>
              <w:rPr>
                <w:rFonts w:cs="Arial"/>
                <w:b/>
              </w:rPr>
            </w:pPr>
          </w:p>
        </w:tc>
        <w:tc>
          <w:tcPr>
            <w:tcW w:w="969" w:type="dxa"/>
          </w:tcPr>
          <w:p w14:paraId="7B0EEBB2" w14:textId="4D99B53C" w:rsidR="00782E0B" w:rsidRPr="00A67277" w:rsidRDefault="00782E0B" w:rsidP="00782E0B">
            <w:pPr>
              <w:ind w:left="360"/>
              <w:rPr>
                <w:rFonts w:cs="Arial"/>
                <w:b/>
              </w:rPr>
            </w:pPr>
            <w:r>
              <w:rPr>
                <w:rFonts w:cs="Arial"/>
                <w:b/>
              </w:rPr>
              <w:t>178</w:t>
            </w:r>
          </w:p>
        </w:tc>
      </w:tr>
      <w:tr w:rsidR="00782E0B" w:rsidRPr="00A67277" w14:paraId="24F73B75" w14:textId="77777777" w:rsidTr="00782E0B">
        <w:tc>
          <w:tcPr>
            <w:tcW w:w="3997" w:type="dxa"/>
          </w:tcPr>
          <w:p w14:paraId="51C5874C"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Remedial Procedures and Termination upon Default </w:t>
            </w:r>
          </w:p>
        </w:tc>
        <w:tc>
          <w:tcPr>
            <w:tcW w:w="969" w:type="dxa"/>
          </w:tcPr>
          <w:p w14:paraId="21E44561" w14:textId="5A65E345" w:rsidR="00782E0B" w:rsidRPr="00A67277" w:rsidRDefault="00782E0B" w:rsidP="00782E0B">
            <w:pPr>
              <w:jc w:val="right"/>
              <w:rPr>
                <w:rFonts w:ascii="Arial" w:hAnsi="Arial" w:cs="Arial"/>
                <w:sz w:val="21"/>
                <w:szCs w:val="21"/>
              </w:rPr>
            </w:pPr>
            <w:r>
              <w:rPr>
                <w:rFonts w:ascii="Arial" w:hAnsi="Arial" w:cs="Arial"/>
                <w:sz w:val="21"/>
                <w:szCs w:val="21"/>
              </w:rPr>
              <w:t>178</w:t>
            </w:r>
          </w:p>
        </w:tc>
        <w:tc>
          <w:tcPr>
            <w:tcW w:w="3723" w:type="dxa"/>
          </w:tcPr>
          <w:p w14:paraId="4D465AC0"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Prosedur Pemulihan dan Pengakhiran karena Cidera Janji</w:t>
            </w:r>
          </w:p>
        </w:tc>
        <w:tc>
          <w:tcPr>
            <w:tcW w:w="260" w:type="dxa"/>
          </w:tcPr>
          <w:p w14:paraId="1F1460A7" w14:textId="77777777" w:rsidR="00782E0B" w:rsidRPr="00A67277" w:rsidRDefault="00782E0B" w:rsidP="00782E0B">
            <w:pPr>
              <w:rPr>
                <w:rFonts w:ascii="Arial" w:hAnsi="Arial" w:cs="Arial"/>
                <w:sz w:val="21"/>
                <w:szCs w:val="21"/>
              </w:rPr>
            </w:pPr>
          </w:p>
        </w:tc>
        <w:tc>
          <w:tcPr>
            <w:tcW w:w="969" w:type="dxa"/>
          </w:tcPr>
          <w:p w14:paraId="6BCCA588" w14:textId="1CCAA41A" w:rsidR="00782E0B" w:rsidRPr="00A67277" w:rsidRDefault="00782E0B" w:rsidP="00782E0B">
            <w:pPr>
              <w:jc w:val="right"/>
              <w:rPr>
                <w:rFonts w:ascii="Arial" w:hAnsi="Arial" w:cs="Arial"/>
                <w:sz w:val="21"/>
                <w:szCs w:val="21"/>
              </w:rPr>
            </w:pPr>
            <w:r>
              <w:rPr>
                <w:rFonts w:ascii="Arial" w:hAnsi="Arial" w:cs="Arial"/>
                <w:sz w:val="21"/>
                <w:szCs w:val="21"/>
              </w:rPr>
              <w:t>178</w:t>
            </w:r>
          </w:p>
        </w:tc>
      </w:tr>
      <w:tr w:rsidR="00782E0B" w:rsidRPr="00A67277" w14:paraId="76E56F90" w14:textId="77777777" w:rsidTr="00782E0B">
        <w:tc>
          <w:tcPr>
            <w:tcW w:w="3997" w:type="dxa"/>
          </w:tcPr>
          <w:p w14:paraId="3BB0C475"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Termination upon Prolonged Political Event </w:t>
            </w:r>
          </w:p>
        </w:tc>
        <w:tc>
          <w:tcPr>
            <w:tcW w:w="969" w:type="dxa"/>
          </w:tcPr>
          <w:p w14:paraId="076D84E3" w14:textId="2B93C149" w:rsidR="00782E0B" w:rsidRPr="00A67277" w:rsidRDefault="00782E0B" w:rsidP="00782E0B">
            <w:pPr>
              <w:jc w:val="right"/>
              <w:rPr>
                <w:rFonts w:ascii="Arial" w:hAnsi="Arial" w:cs="Arial"/>
                <w:sz w:val="21"/>
                <w:szCs w:val="21"/>
              </w:rPr>
            </w:pPr>
            <w:r>
              <w:rPr>
                <w:rFonts w:ascii="Arial" w:hAnsi="Arial" w:cs="Arial"/>
                <w:sz w:val="21"/>
                <w:szCs w:val="21"/>
              </w:rPr>
              <w:t>180</w:t>
            </w:r>
          </w:p>
        </w:tc>
        <w:tc>
          <w:tcPr>
            <w:tcW w:w="3723" w:type="dxa"/>
          </w:tcPr>
          <w:p w14:paraId="0F8FBDC7"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Pengakhiran karena Peristiwa Politik Berkepanjangan</w:t>
            </w:r>
          </w:p>
        </w:tc>
        <w:tc>
          <w:tcPr>
            <w:tcW w:w="260" w:type="dxa"/>
          </w:tcPr>
          <w:p w14:paraId="18702F72" w14:textId="77777777" w:rsidR="00782E0B" w:rsidRPr="00A67277" w:rsidRDefault="00782E0B" w:rsidP="00782E0B">
            <w:pPr>
              <w:rPr>
                <w:rFonts w:ascii="Arial" w:hAnsi="Arial" w:cs="Arial"/>
                <w:sz w:val="21"/>
                <w:szCs w:val="21"/>
              </w:rPr>
            </w:pPr>
          </w:p>
        </w:tc>
        <w:tc>
          <w:tcPr>
            <w:tcW w:w="969" w:type="dxa"/>
          </w:tcPr>
          <w:p w14:paraId="22D8EC14" w14:textId="2506431A" w:rsidR="00782E0B" w:rsidRPr="00A67277" w:rsidRDefault="00782E0B" w:rsidP="00782E0B">
            <w:pPr>
              <w:jc w:val="right"/>
              <w:rPr>
                <w:rFonts w:ascii="Arial" w:hAnsi="Arial" w:cs="Arial"/>
                <w:sz w:val="21"/>
                <w:szCs w:val="21"/>
              </w:rPr>
            </w:pPr>
            <w:r>
              <w:rPr>
                <w:rFonts w:ascii="Arial" w:hAnsi="Arial" w:cs="Arial"/>
                <w:sz w:val="21"/>
                <w:szCs w:val="21"/>
              </w:rPr>
              <w:t>180</w:t>
            </w:r>
          </w:p>
        </w:tc>
      </w:tr>
      <w:tr w:rsidR="00782E0B" w:rsidRPr="00A67277" w14:paraId="737051DE" w14:textId="77777777" w:rsidTr="00782E0B">
        <w:tc>
          <w:tcPr>
            <w:tcW w:w="3997" w:type="dxa"/>
          </w:tcPr>
          <w:p w14:paraId="5AF5DF45"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Termination upon GCA Voluntary Take-Over Event </w:t>
            </w:r>
          </w:p>
        </w:tc>
        <w:tc>
          <w:tcPr>
            <w:tcW w:w="969" w:type="dxa"/>
          </w:tcPr>
          <w:p w14:paraId="258352ED" w14:textId="390D1931" w:rsidR="00782E0B" w:rsidRPr="00A67277" w:rsidRDefault="00782E0B" w:rsidP="00782E0B">
            <w:pPr>
              <w:jc w:val="right"/>
              <w:rPr>
                <w:rFonts w:ascii="Arial" w:hAnsi="Arial" w:cs="Arial"/>
                <w:sz w:val="21"/>
                <w:szCs w:val="21"/>
              </w:rPr>
            </w:pPr>
            <w:r>
              <w:rPr>
                <w:rFonts w:ascii="Arial" w:hAnsi="Arial" w:cs="Arial"/>
                <w:sz w:val="21"/>
                <w:szCs w:val="21"/>
              </w:rPr>
              <w:t>182</w:t>
            </w:r>
          </w:p>
        </w:tc>
        <w:tc>
          <w:tcPr>
            <w:tcW w:w="3723" w:type="dxa"/>
          </w:tcPr>
          <w:p w14:paraId="3A11276A"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Pengakhiran karena Peristiwa Pengambilalihan Sukarela PJPK</w:t>
            </w:r>
          </w:p>
        </w:tc>
        <w:tc>
          <w:tcPr>
            <w:tcW w:w="260" w:type="dxa"/>
          </w:tcPr>
          <w:p w14:paraId="3F21D4C4" w14:textId="77777777" w:rsidR="00782E0B" w:rsidRPr="00A67277" w:rsidRDefault="00782E0B" w:rsidP="00782E0B">
            <w:pPr>
              <w:rPr>
                <w:rFonts w:ascii="Arial" w:hAnsi="Arial" w:cs="Arial"/>
                <w:sz w:val="21"/>
                <w:szCs w:val="21"/>
              </w:rPr>
            </w:pPr>
          </w:p>
        </w:tc>
        <w:tc>
          <w:tcPr>
            <w:tcW w:w="969" w:type="dxa"/>
          </w:tcPr>
          <w:p w14:paraId="0FEC3314" w14:textId="7C49051F" w:rsidR="00782E0B" w:rsidRPr="00A67277" w:rsidRDefault="00782E0B" w:rsidP="00782E0B">
            <w:pPr>
              <w:jc w:val="right"/>
              <w:rPr>
                <w:rFonts w:ascii="Arial" w:hAnsi="Arial" w:cs="Arial"/>
                <w:sz w:val="21"/>
                <w:szCs w:val="21"/>
              </w:rPr>
            </w:pPr>
            <w:r>
              <w:rPr>
                <w:rFonts w:ascii="Arial" w:hAnsi="Arial" w:cs="Arial"/>
                <w:sz w:val="21"/>
                <w:szCs w:val="21"/>
              </w:rPr>
              <w:t>182</w:t>
            </w:r>
          </w:p>
        </w:tc>
      </w:tr>
      <w:tr w:rsidR="00782E0B" w:rsidRPr="00A67277" w14:paraId="5882BD89" w14:textId="77777777" w:rsidTr="00782E0B">
        <w:tc>
          <w:tcPr>
            <w:tcW w:w="3997" w:type="dxa"/>
          </w:tcPr>
          <w:p w14:paraId="3701960E"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Termination upon Prolonged Force Majeure </w:t>
            </w:r>
          </w:p>
        </w:tc>
        <w:tc>
          <w:tcPr>
            <w:tcW w:w="969" w:type="dxa"/>
          </w:tcPr>
          <w:p w14:paraId="52E659D9" w14:textId="2A823011" w:rsidR="00782E0B" w:rsidRPr="00A67277" w:rsidRDefault="00782E0B" w:rsidP="00782E0B">
            <w:pPr>
              <w:jc w:val="right"/>
              <w:rPr>
                <w:rFonts w:ascii="Arial" w:hAnsi="Arial" w:cs="Arial"/>
                <w:sz w:val="21"/>
                <w:szCs w:val="21"/>
              </w:rPr>
            </w:pPr>
            <w:r>
              <w:rPr>
                <w:rFonts w:ascii="Arial" w:hAnsi="Arial" w:cs="Arial"/>
                <w:sz w:val="21"/>
                <w:szCs w:val="21"/>
              </w:rPr>
              <w:t>182</w:t>
            </w:r>
          </w:p>
        </w:tc>
        <w:tc>
          <w:tcPr>
            <w:tcW w:w="3723" w:type="dxa"/>
          </w:tcPr>
          <w:p w14:paraId="6A11AD9A"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Pengakhiran karena Keadaan Kahar Berkepanjangan</w:t>
            </w:r>
          </w:p>
        </w:tc>
        <w:tc>
          <w:tcPr>
            <w:tcW w:w="260" w:type="dxa"/>
          </w:tcPr>
          <w:p w14:paraId="433DC9A2" w14:textId="77777777" w:rsidR="00782E0B" w:rsidRPr="00A67277" w:rsidRDefault="00782E0B" w:rsidP="00782E0B">
            <w:pPr>
              <w:rPr>
                <w:rFonts w:ascii="Arial" w:hAnsi="Arial" w:cs="Arial"/>
                <w:sz w:val="21"/>
                <w:szCs w:val="21"/>
              </w:rPr>
            </w:pPr>
          </w:p>
        </w:tc>
        <w:tc>
          <w:tcPr>
            <w:tcW w:w="969" w:type="dxa"/>
          </w:tcPr>
          <w:p w14:paraId="346D19C7" w14:textId="18567DCF" w:rsidR="00782E0B" w:rsidRPr="00A67277" w:rsidRDefault="00782E0B" w:rsidP="00782E0B">
            <w:pPr>
              <w:jc w:val="right"/>
              <w:rPr>
                <w:rFonts w:ascii="Arial" w:hAnsi="Arial" w:cs="Arial"/>
                <w:sz w:val="21"/>
                <w:szCs w:val="21"/>
              </w:rPr>
            </w:pPr>
            <w:r>
              <w:rPr>
                <w:rFonts w:ascii="Arial" w:hAnsi="Arial" w:cs="Arial"/>
                <w:sz w:val="21"/>
                <w:szCs w:val="21"/>
              </w:rPr>
              <w:t>182</w:t>
            </w:r>
          </w:p>
        </w:tc>
      </w:tr>
      <w:tr w:rsidR="00782E0B" w:rsidRPr="00A67277" w14:paraId="68497D26" w14:textId="77777777" w:rsidTr="00782E0B">
        <w:tc>
          <w:tcPr>
            <w:tcW w:w="3997" w:type="dxa"/>
          </w:tcPr>
          <w:p w14:paraId="2AAE0D3C"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Termination upon Expiration of Term</w:t>
            </w:r>
          </w:p>
        </w:tc>
        <w:tc>
          <w:tcPr>
            <w:tcW w:w="969" w:type="dxa"/>
          </w:tcPr>
          <w:p w14:paraId="723E6FD1" w14:textId="44F11F10" w:rsidR="00782E0B" w:rsidRPr="00A67277" w:rsidRDefault="00782E0B" w:rsidP="00782E0B">
            <w:pPr>
              <w:jc w:val="right"/>
              <w:rPr>
                <w:rFonts w:ascii="Arial" w:hAnsi="Arial" w:cs="Arial"/>
                <w:sz w:val="21"/>
                <w:szCs w:val="21"/>
              </w:rPr>
            </w:pPr>
            <w:r>
              <w:rPr>
                <w:rFonts w:ascii="Arial" w:hAnsi="Arial" w:cs="Arial"/>
                <w:sz w:val="21"/>
                <w:szCs w:val="21"/>
              </w:rPr>
              <w:t>184</w:t>
            </w:r>
          </w:p>
        </w:tc>
        <w:tc>
          <w:tcPr>
            <w:tcW w:w="3723" w:type="dxa"/>
          </w:tcPr>
          <w:p w14:paraId="60548788"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Pengakhiran karena Daluarsa Jangka Waktu Perjanjian</w:t>
            </w:r>
          </w:p>
        </w:tc>
        <w:tc>
          <w:tcPr>
            <w:tcW w:w="260" w:type="dxa"/>
          </w:tcPr>
          <w:p w14:paraId="25E047BF" w14:textId="77777777" w:rsidR="00782E0B" w:rsidRPr="00A67277" w:rsidRDefault="00782E0B" w:rsidP="00782E0B">
            <w:pPr>
              <w:rPr>
                <w:rFonts w:ascii="Arial" w:hAnsi="Arial" w:cs="Arial"/>
                <w:sz w:val="21"/>
                <w:szCs w:val="21"/>
              </w:rPr>
            </w:pPr>
          </w:p>
        </w:tc>
        <w:tc>
          <w:tcPr>
            <w:tcW w:w="969" w:type="dxa"/>
          </w:tcPr>
          <w:p w14:paraId="282D2DF9" w14:textId="4925384E" w:rsidR="00782E0B" w:rsidRPr="00A67277" w:rsidRDefault="00782E0B" w:rsidP="00782E0B">
            <w:pPr>
              <w:jc w:val="right"/>
              <w:rPr>
                <w:rFonts w:ascii="Arial" w:hAnsi="Arial" w:cs="Arial"/>
                <w:sz w:val="21"/>
                <w:szCs w:val="21"/>
              </w:rPr>
            </w:pPr>
            <w:r>
              <w:rPr>
                <w:rFonts w:ascii="Arial" w:hAnsi="Arial" w:cs="Arial"/>
                <w:sz w:val="21"/>
                <w:szCs w:val="21"/>
              </w:rPr>
              <w:t>184</w:t>
            </w:r>
          </w:p>
        </w:tc>
      </w:tr>
      <w:tr w:rsidR="00782E0B" w:rsidRPr="00A67277" w14:paraId="6F850E00" w14:textId="77777777" w:rsidTr="00782E0B">
        <w:tc>
          <w:tcPr>
            <w:tcW w:w="3997" w:type="dxa"/>
          </w:tcPr>
          <w:p w14:paraId="665316E2"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Consequences of Termination other than upon Expiration of Term </w:t>
            </w:r>
          </w:p>
        </w:tc>
        <w:tc>
          <w:tcPr>
            <w:tcW w:w="969" w:type="dxa"/>
          </w:tcPr>
          <w:p w14:paraId="1CA1D484" w14:textId="70D5D1B3" w:rsidR="00782E0B" w:rsidRPr="00A67277" w:rsidRDefault="00782E0B" w:rsidP="00782E0B">
            <w:pPr>
              <w:jc w:val="right"/>
              <w:rPr>
                <w:rFonts w:ascii="Arial" w:hAnsi="Arial" w:cs="Arial"/>
                <w:sz w:val="21"/>
                <w:szCs w:val="21"/>
              </w:rPr>
            </w:pPr>
            <w:r>
              <w:rPr>
                <w:rFonts w:ascii="Arial" w:hAnsi="Arial" w:cs="Arial"/>
                <w:sz w:val="21"/>
                <w:szCs w:val="21"/>
              </w:rPr>
              <w:t>184</w:t>
            </w:r>
          </w:p>
        </w:tc>
        <w:tc>
          <w:tcPr>
            <w:tcW w:w="3723" w:type="dxa"/>
          </w:tcPr>
          <w:p w14:paraId="07627B76"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Konsekuensi Pengakhiran selain karena Daluarsa Jangka Waktu Perjanjian</w:t>
            </w:r>
          </w:p>
        </w:tc>
        <w:tc>
          <w:tcPr>
            <w:tcW w:w="260" w:type="dxa"/>
          </w:tcPr>
          <w:p w14:paraId="6827177C" w14:textId="77777777" w:rsidR="00782E0B" w:rsidRPr="00A67277" w:rsidRDefault="00782E0B" w:rsidP="00782E0B">
            <w:pPr>
              <w:rPr>
                <w:rFonts w:ascii="Arial" w:hAnsi="Arial" w:cs="Arial"/>
                <w:sz w:val="21"/>
                <w:szCs w:val="21"/>
              </w:rPr>
            </w:pPr>
          </w:p>
        </w:tc>
        <w:tc>
          <w:tcPr>
            <w:tcW w:w="969" w:type="dxa"/>
          </w:tcPr>
          <w:p w14:paraId="3EBCE409" w14:textId="33EDD477" w:rsidR="00782E0B" w:rsidRPr="00A67277" w:rsidRDefault="00782E0B" w:rsidP="00782E0B">
            <w:pPr>
              <w:jc w:val="right"/>
              <w:rPr>
                <w:rFonts w:ascii="Arial" w:hAnsi="Arial" w:cs="Arial"/>
                <w:sz w:val="21"/>
                <w:szCs w:val="21"/>
              </w:rPr>
            </w:pPr>
            <w:r>
              <w:rPr>
                <w:rFonts w:ascii="Arial" w:hAnsi="Arial" w:cs="Arial"/>
                <w:sz w:val="21"/>
                <w:szCs w:val="21"/>
              </w:rPr>
              <w:t>184</w:t>
            </w:r>
          </w:p>
        </w:tc>
      </w:tr>
      <w:tr w:rsidR="00782E0B" w:rsidRPr="00A67277" w14:paraId="6FDA36ED" w14:textId="77777777" w:rsidTr="00782E0B">
        <w:tc>
          <w:tcPr>
            <w:tcW w:w="3997" w:type="dxa"/>
          </w:tcPr>
          <w:p w14:paraId="5E7702F2"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Waiver of Indonesian Civil Code </w:t>
            </w:r>
          </w:p>
        </w:tc>
        <w:tc>
          <w:tcPr>
            <w:tcW w:w="969" w:type="dxa"/>
          </w:tcPr>
          <w:p w14:paraId="16B8DBF4" w14:textId="348518AF" w:rsidR="00782E0B" w:rsidRPr="00A67277" w:rsidRDefault="00782E0B" w:rsidP="00782E0B">
            <w:pPr>
              <w:jc w:val="right"/>
              <w:rPr>
                <w:rFonts w:ascii="Arial" w:hAnsi="Arial" w:cs="Arial"/>
                <w:sz w:val="21"/>
                <w:szCs w:val="21"/>
              </w:rPr>
            </w:pPr>
            <w:r>
              <w:rPr>
                <w:rFonts w:ascii="Arial" w:hAnsi="Arial" w:cs="Arial"/>
                <w:sz w:val="21"/>
                <w:szCs w:val="21"/>
              </w:rPr>
              <w:t>186</w:t>
            </w:r>
          </w:p>
        </w:tc>
        <w:tc>
          <w:tcPr>
            <w:tcW w:w="3723" w:type="dxa"/>
          </w:tcPr>
          <w:p w14:paraId="4CDAD18B" w14:textId="77777777" w:rsidR="00782E0B" w:rsidRPr="00A67277" w:rsidRDefault="00782E0B" w:rsidP="00782E0B">
            <w:pPr>
              <w:pStyle w:val="ListParagraph"/>
              <w:numPr>
                <w:ilvl w:val="1"/>
                <w:numId w:val="483"/>
              </w:numPr>
              <w:spacing w:line="240" w:lineRule="auto"/>
              <w:ind w:left="1027" w:hanging="630"/>
              <w:jc w:val="left"/>
              <w:rPr>
                <w:rFonts w:cs="Arial"/>
                <w:lang w:val="id-ID"/>
              </w:rPr>
            </w:pPr>
            <w:r w:rsidRPr="00A67277">
              <w:rPr>
                <w:rFonts w:cs="Arial"/>
                <w:lang w:val="id-ID"/>
              </w:rPr>
              <w:t>Pengesampingan Ketentuan Kitab Undang-Undang Hukum Perdata</w:t>
            </w:r>
          </w:p>
        </w:tc>
        <w:tc>
          <w:tcPr>
            <w:tcW w:w="260" w:type="dxa"/>
          </w:tcPr>
          <w:p w14:paraId="01A59A4A" w14:textId="77777777" w:rsidR="00782E0B" w:rsidRPr="00A67277" w:rsidRDefault="00782E0B" w:rsidP="00782E0B">
            <w:pPr>
              <w:rPr>
                <w:rFonts w:ascii="Arial" w:hAnsi="Arial" w:cs="Arial"/>
                <w:sz w:val="21"/>
                <w:szCs w:val="21"/>
              </w:rPr>
            </w:pPr>
          </w:p>
        </w:tc>
        <w:tc>
          <w:tcPr>
            <w:tcW w:w="969" w:type="dxa"/>
          </w:tcPr>
          <w:p w14:paraId="491CC5B9" w14:textId="45FCA1B0" w:rsidR="00782E0B" w:rsidRPr="00A67277" w:rsidRDefault="00782E0B" w:rsidP="00782E0B">
            <w:pPr>
              <w:jc w:val="right"/>
              <w:rPr>
                <w:rFonts w:ascii="Arial" w:hAnsi="Arial" w:cs="Arial"/>
                <w:sz w:val="21"/>
                <w:szCs w:val="21"/>
              </w:rPr>
            </w:pPr>
            <w:r>
              <w:rPr>
                <w:rFonts w:ascii="Arial" w:hAnsi="Arial" w:cs="Arial"/>
                <w:sz w:val="21"/>
                <w:szCs w:val="21"/>
              </w:rPr>
              <w:t>186</w:t>
            </w:r>
          </w:p>
        </w:tc>
      </w:tr>
      <w:tr w:rsidR="00782E0B" w:rsidRPr="00A67277" w14:paraId="13D24866" w14:textId="77777777" w:rsidTr="00782E0B">
        <w:tc>
          <w:tcPr>
            <w:tcW w:w="3997" w:type="dxa"/>
          </w:tcPr>
          <w:p w14:paraId="217A1CE8" w14:textId="77777777" w:rsidR="00782E0B" w:rsidRPr="00A67277" w:rsidRDefault="00782E0B" w:rsidP="00782E0B">
            <w:pPr>
              <w:rPr>
                <w:rFonts w:ascii="Arial" w:hAnsi="Arial" w:cs="Arial"/>
                <w:sz w:val="21"/>
                <w:szCs w:val="21"/>
              </w:rPr>
            </w:pPr>
          </w:p>
        </w:tc>
        <w:tc>
          <w:tcPr>
            <w:tcW w:w="969" w:type="dxa"/>
          </w:tcPr>
          <w:p w14:paraId="64B3BF07" w14:textId="77777777" w:rsidR="00782E0B" w:rsidRPr="00A67277" w:rsidRDefault="00782E0B" w:rsidP="00782E0B">
            <w:pPr>
              <w:jc w:val="right"/>
              <w:rPr>
                <w:rFonts w:ascii="Arial" w:hAnsi="Arial" w:cs="Arial"/>
                <w:sz w:val="21"/>
                <w:szCs w:val="21"/>
              </w:rPr>
            </w:pPr>
          </w:p>
        </w:tc>
        <w:tc>
          <w:tcPr>
            <w:tcW w:w="3723" w:type="dxa"/>
          </w:tcPr>
          <w:p w14:paraId="5EB46C12" w14:textId="77777777" w:rsidR="00782E0B" w:rsidRPr="00A67277" w:rsidRDefault="00782E0B" w:rsidP="00782E0B">
            <w:pPr>
              <w:rPr>
                <w:rFonts w:ascii="Arial" w:hAnsi="Arial" w:cs="Arial"/>
                <w:sz w:val="21"/>
                <w:szCs w:val="21"/>
                <w:lang w:val="id-ID"/>
              </w:rPr>
            </w:pPr>
          </w:p>
        </w:tc>
        <w:tc>
          <w:tcPr>
            <w:tcW w:w="260" w:type="dxa"/>
          </w:tcPr>
          <w:p w14:paraId="4AA2EA65" w14:textId="77777777" w:rsidR="00782E0B" w:rsidRPr="00A67277" w:rsidRDefault="00782E0B" w:rsidP="00782E0B">
            <w:pPr>
              <w:rPr>
                <w:rFonts w:ascii="Arial" w:hAnsi="Arial" w:cs="Arial"/>
                <w:sz w:val="21"/>
                <w:szCs w:val="21"/>
              </w:rPr>
            </w:pPr>
          </w:p>
        </w:tc>
        <w:tc>
          <w:tcPr>
            <w:tcW w:w="969" w:type="dxa"/>
          </w:tcPr>
          <w:p w14:paraId="67070832" w14:textId="77777777" w:rsidR="00782E0B" w:rsidRPr="00A67277" w:rsidRDefault="00782E0B" w:rsidP="00782E0B">
            <w:pPr>
              <w:jc w:val="right"/>
              <w:rPr>
                <w:rFonts w:ascii="Arial" w:hAnsi="Arial" w:cs="Arial"/>
                <w:sz w:val="21"/>
                <w:szCs w:val="21"/>
              </w:rPr>
            </w:pPr>
          </w:p>
        </w:tc>
      </w:tr>
      <w:tr w:rsidR="00782E0B" w:rsidRPr="00A67277" w14:paraId="54F529A4" w14:textId="77777777" w:rsidTr="00782E0B">
        <w:tc>
          <w:tcPr>
            <w:tcW w:w="3997" w:type="dxa"/>
          </w:tcPr>
          <w:p w14:paraId="0530298E"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t xml:space="preserve">Hand-Over of the Project </w:t>
            </w:r>
          </w:p>
        </w:tc>
        <w:tc>
          <w:tcPr>
            <w:tcW w:w="969" w:type="dxa"/>
          </w:tcPr>
          <w:p w14:paraId="23B6DE6A" w14:textId="77ECE930" w:rsidR="00782E0B" w:rsidRPr="00A67277" w:rsidRDefault="00782E0B" w:rsidP="00782E0B">
            <w:pPr>
              <w:jc w:val="right"/>
              <w:rPr>
                <w:rFonts w:ascii="Arial" w:hAnsi="Arial" w:cs="Arial"/>
                <w:sz w:val="21"/>
                <w:szCs w:val="21"/>
              </w:rPr>
            </w:pPr>
            <w:r>
              <w:rPr>
                <w:rFonts w:ascii="Arial" w:hAnsi="Arial" w:cs="Arial"/>
                <w:sz w:val="21"/>
                <w:szCs w:val="21"/>
              </w:rPr>
              <w:t>186</w:t>
            </w:r>
          </w:p>
        </w:tc>
        <w:tc>
          <w:tcPr>
            <w:tcW w:w="3723" w:type="dxa"/>
          </w:tcPr>
          <w:p w14:paraId="397F5A55"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Penyerahan Kembali Proyek</w:t>
            </w:r>
          </w:p>
        </w:tc>
        <w:tc>
          <w:tcPr>
            <w:tcW w:w="260" w:type="dxa"/>
          </w:tcPr>
          <w:p w14:paraId="65B92FD7" w14:textId="77777777" w:rsidR="00782E0B" w:rsidRPr="00A67277" w:rsidRDefault="00782E0B" w:rsidP="00782E0B">
            <w:pPr>
              <w:rPr>
                <w:rFonts w:ascii="Arial" w:hAnsi="Arial" w:cs="Arial"/>
                <w:sz w:val="21"/>
                <w:szCs w:val="21"/>
              </w:rPr>
            </w:pPr>
          </w:p>
        </w:tc>
        <w:tc>
          <w:tcPr>
            <w:tcW w:w="969" w:type="dxa"/>
          </w:tcPr>
          <w:p w14:paraId="0C6D3775" w14:textId="07D3A938" w:rsidR="00782E0B" w:rsidRPr="00A67277" w:rsidRDefault="00782E0B" w:rsidP="00782E0B">
            <w:pPr>
              <w:jc w:val="right"/>
              <w:rPr>
                <w:rFonts w:ascii="Arial" w:hAnsi="Arial" w:cs="Arial"/>
                <w:sz w:val="21"/>
                <w:szCs w:val="21"/>
              </w:rPr>
            </w:pPr>
            <w:r>
              <w:rPr>
                <w:rFonts w:ascii="Arial" w:hAnsi="Arial" w:cs="Arial"/>
                <w:sz w:val="21"/>
                <w:szCs w:val="21"/>
              </w:rPr>
              <w:t>186</w:t>
            </w:r>
          </w:p>
        </w:tc>
      </w:tr>
      <w:tr w:rsidR="00782E0B" w:rsidRPr="00A67277" w14:paraId="346ABB44" w14:textId="77777777" w:rsidTr="00782E0B">
        <w:tc>
          <w:tcPr>
            <w:tcW w:w="3997" w:type="dxa"/>
          </w:tcPr>
          <w:p w14:paraId="5C4B63E0"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Preparation for Transfer </w:t>
            </w:r>
          </w:p>
        </w:tc>
        <w:tc>
          <w:tcPr>
            <w:tcW w:w="969" w:type="dxa"/>
          </w:tcPr>
          <w:p w14:paraId="53436669" w14:textId="1DCC86CE" w:rsidR="00782E0B" w:rsidRPr="00A67277" w:rsidRDefault="00782E0B" w:rsidP="00782E0B">
            <w:pPr>
              <w:jc w:val="right"/>
              <w:rPr>
                <w:rFonts w:ascii="Arial" w:hAnsi="Arial" w:cs="Arial"/>
                <w:sz w:val="21"/>
                <w:szCs w:val="21"/>
              </w:rPr>
            </w:pPr>
            <w:r>
              <w:rPr>
                <w:rFonts w:ascii="Arial" w:hAnsi="Arial" w:cs="Arial"/>
                <w:sz w:val="21"/>
                <w:szCs w:val="21"/>
              </w:rPr>
              <w:t>186</w:t>
            </w:r>
          </w:p>
        </w:tc>
        <w:tc>
          <w:tcPr>
            <w:tcW w:w="3723" w:type="dxa"/>
          </w:tcPr>
          <w:p w14:paraId="5BBCA269"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Persiapan Penyerahan</w:t>
            </w:r>
          </w:p>
        </w:tc>
        <w:tc>
          <w:tcPr>
            <w:tcW w:w="260" w:type="dxa"/>
          </w:tcPr>
          <w:p w14:paraId="6EAF6EEF" w14:textId="77777777" w:rsidR="00782E0B" w:rsidRPr="00A67277" w:rsidRDefault="00782E0B" w:rsidP="00782E0B">
            <w:pPr>
              <w:rPr>
                <w:rFonts w:ascii="Arial" w:hAnsi="Arial" w:cs="Arial"/>
                <w:sz w:val="21"/>
                <w:szCs w:val="21"/>
              </w:rPr>
            </w:pPr>
          </w:p>
        </w:tc>
        <w:tc>
          <w:tcPr>
            <w:tcW w:w="969" w:type="dxa"/>
          </w:tcPr>
          <w:p w14:paraId="5B3FAA07" w14:textId="5E0F795F" w:rsidR="00782E0B" w:rsidRPr="00A67277" w:rsidRDefault="00782E0B" w:rsidP="00782E0B">
            <w:pPr>
              <w:jc w:val="right"/>
              <w:rPr>
                <w:rFonts w:ascii="Arial" w:hAnsi="Arial" w:cs="Arial"/>
                <w:sz w:val="21"/>
                <w:szCs w:val="21"/>
              </w:rPr>
            </w:pPr>
            <w:r>
              <w:rPr>
                <w:rFonts w:ascii="Arial" w:hAnsi="Arial" w:cs="Arial"/>
                <w:sz w:val="21"/>
                <w:szCs w:val="21"/>
              </w:rPr>
              <w:t>186</w:t>
            </w:r>
          </w:p>
        </w:tc>
      </w:tr>
      <w:tr w:rsidR="00782E0B" w:rsidRPr="00A67277" w14:paraId="31B090F1" w14:textId="77777777" w:rsidTr="00782E0B">
        <w:tc>
          <w:tcPr>
            <w:tcW w:w="3997" w:type="dxa"/>
          </w:tcPr>
          <w:p w14:paraId="7D9EE8AE"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Training of GCA’s Personnel </w:t>
            </w:r>
          </w:p>
        </w:tc>
        <w:tc>
          <w:tcPr>
            <w:tcW w:w="969" w:type="dxa"/>
          </w:tcPr>
          <w:p w14:paraId="54515844" w14:textId="457D63C9" w:rsidR="00782E0B" w:rsidRPr="00A67277" w:rsidRDefault="00782E0B" w:rsidP="00782E0B">
            <w:pPr>
              <w:jc w:val="right"/>
              <w:rPr>
                <w:rFonts w:ascii="Arial" w:hAnsi="Arial" w:cs="Arial"/>
                <w:sz w:val="21"/>
                <w:szCs w:val="21"/>
              </w:rPr>
            </w:pPr>
            <w:r>
              <w:rPr>
                <w:rFonts w:ascii="Arial" w:hAnsi="Arial" w:cs="Arial"/>
                <w:sz w:val="21"/>
                <w:szCs w:val="21"/>
              </w:rPr>
              <w:t>187</w:t>
            </w:r>
          </w:p>
        </w:tc>
        <w:tc>
          <w:tcPr>
            <w:tcW w:w="3723" w:type="dxa"/>
          </w:tcPr>
          <w:p w14:paraId="4FB408B0"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Pelatihan Personil PJPK</w:t>
            </w:r>
          </w:p>
        </w:tc>
        <w:tc>
          <w:tcPr>
            <w:tcW w:w="260" w:type="dxa"/>
          </w:tcPr>
          <w:p w14:paraId="48BE1590" w14:textId="77777777" w:rsidR="00782E0B" w:rsidRPr="00A67277" w:rsidRDefault="00782E0B" w:rsidP="00782E0B">
            <w:pPr>
              <w:rPr>
                <w:rFonts w:ascii="Arial" w:hAnsi="Arial" w:cs="Arial"/>
                <w:sz w:val="21"/>
                <w:szCs w:val="21"/>
              </w:rPr>
            </w:pPr>
          </w:p>
        </w:tc>
        <w:tc>
          <w:tcPr>
            <w:tcW w:w="969" w:type="dxa"/>
          </w:tcPr>
          <w:p w14:paraId="3F4E160C" w14:textId="12B01BEA" w:rsidR="00782E0B" w:rsidRPr="00A67277" w:rsidRDefault="00782E0B" w:rsidP="00782E0B">
            <w:pPr>
              <w:jc w:val="right"/>
              <w:rPr>
                <w:rFonts w:ascii="Arial" w:hAnsi="Arial" w:cs="Arial"/>
                <w:sz w:val="21"/>
                <w:szCs w:val="21"/>
              </w:rPr>
            </w:pPr>
            <w:r>
              <w:rPr>
                <w:rFonts w:ascii="Arial" w:hAnsi="Arial" w:cs="Arial"/>
                <w:sz w:val="21"/>
                <w:szCs w:val="21"/>
              </w:rPr>
              <w:t>187</w:t>
            </w:r>
          </w:p>
        </w:tc>
      </w:tr>
      <w:tr w:rsidR="00782E0B" w:rsidRPr="00A67277" w14:paraId="6E269987" w14:textId="77777777" w:rsidTr="00782E0B">
        <w:tc>
          <w:tcPr>
            <w:tcW w:w="3997" w:type="dxa"/>
          </w:tcPr>
          <w:p w14:paraId="5DB54B6F"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Inventories </w:t>
            </w:r>
          </w:p>
        </w:tc>
        <w:tc>
          <w:tcPr>
            <w:tcW w:w="969" w:type="dxa"/>
          </w:tcPr>
          <w:p w14:paraId="0F1BD205" w14:textId="7311D01D" w:rsidR="00782E0B" w:rsidRPr="00A67277" w:rsidRDefault="00782E0B" w:rsidP="00782E0B">
            <w:pPr>
              <w:jc w:val="right"/>
              <w:rPr>
                <w:rFonts w:ascii="Arial" w:hAnsi="Arial" w:cs="Arial"/>
                <w:sz w:val="21"/>
                <w:szCs w:val="21"/>
              </w:rPr>
            </w:pPr>
            <w:r>
              <w:rPr>
                <w:rFonts w:ascii="Arial" w:hAnsi="Arial" w:cs="Arial"/>
                <w:sz w:val="21"/>
                <w:szCs w:val="21"/>
              </w:rPr>
              <w:t>188</w:t>
            </w:r>
          </w:p>
        </w:tc>
        <w:tc>
          <w:tcPr>
            <w:tcW w:w="3723" w:type="dxa"/>
          </w:tcPr>
          <w:p w14:paraId="3954C47C"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Inventaris</w:t>
            </w:r>
          </w:p>
        </w:tc>
        <w:tc>
          <w:tcPr>
            <w:tcW w:w="260" w:type="dxa"/>
          </w:tcPr>
          <w:p w14:paraId="0402AB82" w14:textId="77777777" w:rsidR="00782E0B" w:rsidRPr="00A67277" w:rsidRDefault="00782E0B" w:rsidP="00782E0B">
            <w:pPr>
              <w:rPr>
                <w:rFonts w:ascii="Arial" w:hAnsi="Arial" w:cs="Arial"/>
                <w:sz w:val="21"/>
                <w:szCs w:val="21"/>
              </w:rPr>
            </w:pPr>
          </w:p>
        </w:tc>
        <w:tc>
          <w:tcPr>
            <w:tcW w:w="969" w:type="dxa"/>
          </w:tcPr>
          <w:p w14:paraId="757A4143" w14:textId="092B90CA" w:rsidR="00782E0B" w:rsidRPr="00A67277" w:rsidRDefault="00782E0B" w:rsidP="00782E0B">
            <w:pPr>
              <w:jc w:val="right"/>
              <w:rPr>
                <w:rFonts w:ascii="Arial" w:hAnsi="Arial" w:cs="Arial"/>
                <w:sz w:val="21"/>
                <w:szCs w:val="21"/>
              </w:rPr>
            </w:pPr>
            <w:r>
              <w:rPr>
                <w:rFonts w:ascii="Arial" w:hAnsi="Arial" w:cs="Arial"/>
                <w:sz w:val="21"/>
                <w:szCs w:val="21"/>
              </w:rPr>
              <w:t>188</w:t>
            </w:r>
          </w:p>
        </w:tc>
      </w:tr>
      <w:tr w:rsidR="00782E0B" w:rsidRPr="00A67277" w14:paraId="4369CF4E" w14:textId="77777777" w:rsidTr="00782E0B">
        <w:tc>
          <w:tcPr>
            <w:tcW w:w="3997" w:type="dxa"/>
          </w:tcPr>
          <w:p w14:paraId="59DCC95A" w14:textId="77777777" w:rsidR="00782E0B" w:rsidRPr="00A67277" w:rsidRDefault="00782E0B" w:rsidP="00782E0B">
            <w:pPr>
              <w:pStyle w:val="ListParagraph"/>
              <w:numPr>
                <w:ilvl w:val="1"/>
                <w:numId w:val="483"/>
              </w:numPr>
              <w:spacing w:line="240" w:lineRule="auto"/>
              <w:ind w:left="1062" w:hanging="630"/>
              <w:jc w:val="left"/>
              <w:rPr>
                <w:rFonts w:cs="Arial"/>
              </w:rPr>
            </w:pPr>
            <w:r w:rsidRPr="00A67277">
              <w:rPr>
                <w:rFonts w:cs="Arial"/>
              </w:rPr>
              <w:t xml:space="preserve">Condition Warranties at Transfer </w:t>
            </w:r>
          </w:p>
        </w:tc>
        <w:tc>
          <w:tcPr>
            <w:tcW w:w="969" w:type="dxa"/>
          </w:tcPr>
          <w:p w14:paraId="06255E89" w14:textId="697A6624" w:rsidR="00782E0B" w:rsidRPr="00A67277" w:rsidRDefault="00782E0B" w:rsidP="00782E0B">
            <w:pPr>
              <w:jc w:val="right"/>
              <w:rPr>
                <w:rFonts w:ascii="Arial" w:hAnsi="Arial" w:cs="Arial"/>
                <w:sz w:val="21"/>
                <w:szCs w:val="21"/>
              </w:rPr>
            </w:pPr>
            <w:r>
              <w:rPr>
                <w:rFonts w:ascii="Arial" w:hAnsi="Arial" w:cs="Arial"/>
                <w:sz w:val="21"/>
                <w:szCs w:val="21"/>
              </w:rPr>
              <w:t>189</w:t>
            </w:r>
          </w:p>
        </w:tc>
        <w:tc>
          <w:tcPr>
            <w:tcW w:w="3723" w:type="dxa"/>
          </w:tcPr>
          <w:p w14:paraId="62A86344"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Kondisi Jaminan saat Penyerahan</w:t>
            </w:r>
          </w:p>
        </w:tc>
        <w:tc>
          <w:tcPr>
            <w:tcW w:w="260" w:type="dxa"/>
          </w:tcPr>
          <w:p w14:paraId="70F51C10" w14:textId="77777777" w:rsidR="00782E0B" w:rsidRPr="00A67277" w:rsidRDefault="00782E0B" w:rsidP="00782E0B">
            <w:pPr>
              <w:rPr>
                <w:rFonts w:ascii="Arial" w:hAnsi="Arial" w:cs="Arial"/>
                <w:sz w:val="21"/>
                <w:szCs w:val="21"/>
              </w:rPr>
            </w:pPr>
          </w:p>
        </w:tc>
        <w:tc>
          <w:tcPr>
            <w:tcW w:w="969" w:type="dxa"/>
          </w:tcPr>
          <w:p w14:paraId="06429564" w14:textId="675E525F" w:rsidR="00782E0B" w:rsidRPr="00A67277" w:rsidRDefault="00782E0B" w:rsidP="00782E0B">
            <w:pPr>
              <w:jc w:val="right"/>
              <w:rPr>
                <w:rFonts w:ascii="Arial" w:hAnsi="Arial" w:cs="Arial"/>
                <w:sz w:val="21"/>
                <w:szCs w:val="21"/>
              </w:rPr>
            </w:pPr>
            <w:r>
              <w:rPr>
                <w:rFonts w:ascii="Arial" w:hAnsi="Arial" w:cs="Arial"/>
                <w:sz w:val="21"/>
                <w:szCs w:val="21"/>
              </w:rPr>
              <w:t>189</w:t>
            </w:r>
          </w:p>
        </w:tc>
      </w:tr>
      <w:tr w:rsidR="00782E0B" w:rsidRPr="00A67277" w14:paraId="4036C946" w14:textId="77777777" w:rsidTr="00782E0B">
        <w:tc>
          <w:tcPr>
            <w:tcW w:w="3997" w:type="dxa"/>
          </w:tcPr>
          <w:p w14:paraId="4D42C318" w14:textId="77777777" w:rsidR="00782E0B" w:rsidRPr="00A67277" w:rsidRDefault="00782E0B" w:rsidP="00782E0B">
            <w:pPr>
              <w:pStyle w:val="ListParagraph"/>
              <w:numPr>
                <w:ilvl w:val="1"/>
                <w:numId w:val="483"/>
              </w:numPr>
              <w:spacing w:line="240" w:lineRule="auto"/>
              <w:ind w:left="1140" w:hanging="708"/>
              <w:jc w:val="left"/>
              <w:rPr>
                <w:rFonts w:cs="Arial"/>
              </w:rPr>
            </w:pPr>
            <w:r w:rsidRPr="00A67277">
              <w:rPr>
                <w:rFonts w:cs="Arial"/>
              </w:rPr>
              <w:t xml:space="preserve">Transfer Date </w:t>
            </w:r>
          </w:p>
        </w:tc>
        <w:tc>
          <w:tcPr>
            <w:tcW w:w="969" w:type="dxa"/>
          </w:tcPr>
          <w:p w14:paraId="15434ECE" w14:textId="6BCB1ECF" w:rsidR="00782E0B" w:rsidRPr="00A67277" w:rsidRDefault="00782E0B" w:rsidP="00782E0B">
            <w:pPr>
              <w:jc w:val="right"/>
              <w:rPr>
                <w:rFonts w:ascii="Arial" w:hAnsi="Arial" w:cs="Arial"/>
                <w:sz w:val="21"/>
                <w:szCs w:val="21"/>
              </w:rPr>
            </w:pPr>
            <w:r>
              <w:rPr>
                <w:rFonts w:ascii="Arial" w:hAnsi="Arial" w:cs="Arial"/>
                <w:sz w:val="21"/>
                <w:szCs w:val="21"/>
              </w:rPr>
              <w:t>190</w:t>
            </w:r>
          </w:p>
        </w:tc>
        <w:tc>
          <w:tcPr>
            <w:tcW w:w="3723" w:type="dxa"/>
          </w:tcPr>
          <w:p w14:paraId="5232FB91" w14:textId="77777777" w:rsidR="00782E0B" w:rsidRPr="00A67277" w:rsidRDefault="00782E0B" w:rsidP="00782E0B">
            <w:pPr>
              <w:pStyle w:val="ListParagraph"/>
              <w:numPr>
                <w:ilvl w:val="1"/>
                <w:numId w:val="479"/>
              </w:numPr>
              <w:spacing w:line="240" w:lineRule="auto"/>
              <w:ind w:left="1027" w:hanging="630"/>
              <w:jc w:val="left"/>
              <w:rPr>
                <w:rFonts w:cs="Arial"/>
                <w:lang w:val="id-ID"/>
              </w:rPr>
            </w:pPr>
            <w:r w:rsidRPr="00A67277">
              <w:rPr>
                <w:rFonts w:cs="Arial"/>
                <w:lang w:val="id-ID"/>
              </w:rPr>
              <w:t>Tanggal Penyerahan</w:t>
            </w:r>
          </w:p>
        </w:tc>
        <w:tc>
          <w:tcPr>
            <w:tcW w:w="260" w:type="dxa"/>
          </w:tcPr>
          <w:p w14:paraId="08E9D580" w14:textId="77777777" w:rsidR="00782E0B" w:rsidRPr="00A67277" w:rsidRDefault="00782E0B" w:rsidP="00782E0B">
            <w:pPr>
              <w:rPr>
                <w:rFonts w:ascii="Arial" w:hAnsi="Arial" w:cs="Arial"/>
                <w:sz w:val="21"/>
                <w:szCs w:val="21"/>
              </w:rPr>
            </w:pPr>
          </w:p>
        </w:tc>
        <w:tc>
          <w:tcPr>
            <w:tcW w:w="969" w:type="dxa"/>
          </w:tcPr>
          <w:p w14:paraId="0DB05197" w14:textId="288B012C" w:rsidR="00782E0B" w:rsidRPr="00A67277" w:rsidRDefault="00782E0B" w:rsidP="00782E0B">
            <w:pPr>
              <w:jc w:val="right"/>
              <w:rPr>
                <w:rFonts w:ascii="Arial" w:hAnsi="Arial" w:cs="Arial"/>
                <w:sz w:val="21"/>
                <w:szCs w:val="21"/>
              </w:rPr>
            </w:pPr>
            <w:r>
              <w:rPr>
                <w:rFonts w:ascii="Arial" w:hAnsi="Arial" w:cs="Arial"/>
                <w:sz w:val="21"/>
                <w:szCs w:val="21"/>
              </w:rPr>
              <w:t>190</w:t>
            </w:r>
          </w:p>
        </w:tc>
      </w:tr>
      <w:tr w:rsidR="00782E0B" w:rsidRPr="00A67277" w14:paraId="120189EC" w14:textId="77777777" w:rsidTr="00782E0B">
        <w:tc>
          <w:tcPr>
            <w:tcW w:w="3997" w:type="dxa"/>
          </w:tcPr>
          <w:p w14:paraId="10D45DD8" w14:textId="77777777" w:rsidR="00782E0B" w:rsidRPr="00A67277" w:rsidRDefault="00782E0B" w:rsidP="00782E0B">
            <w:pPr>
              <w:rPr>
                <w:rFonts w:ascii="Arial" w:hAnsi="Arial" w:cs="Arial"/>
                <w:sz w:val="21"/>
                <w:szCs w:val="21"/>
              </w:rPr>
            </w:pPr>
          </w:p>
        </w:tc>
        <w:tc>
          <w:tcPr>
            <w:tcW w:w="969" w:type="dxa"/>
          </w:tcPr>
          <w:p w14:paraId="3E20F206" w14:textId="77777777" w:rsidR="00782E0B" w:rsidRPr="00A67277" w:rsidRDefault="00782E0B" w:rsidP="00782E0B">
            <w:pPr>
              <w:jc w:val="right"/>
              <w:rPr>
                <w:rFonts w:ascii="Arial" w:hAnsi="Arial" w:cs="Arial"/>
                <w:sz w:val="21"/>
                <w:szCs w:val="21"/>
              </w:rPr>
            </w:pPr>
          </w:p>
        </w:tc>
        <w:tc>
          <w:tcPr>
            <w:tcW w:w="3723" w:type="dxa"/>
          </w:tcPr>
          <w:p w14:paraId="10F19FC2" w14:textId="77777777" w:rsidR="00782E0B" w:rsidRPr="00A67277" w:rsidRDefault="00782E0B" w:rsidP="00782E0B">
            <w:pPr>
              <w:rPr>
                <w:rFonts w:ascii="Arial" w:hAnsi="Arial" w:cs="Arial"/>
                <w:sz w:val="21"/>
                <w:szCs w:val="21"/>
                <w:lang w:val="id-ID"/>
              </w:rPr>
            </w:pPr>
          </w:p>
        </w:tc>
        <w:tc>
          <w:tcPr>
            <w:tcW w:w="260" w:type="dxa"/>
          </w:tcPr>
          <w:p w14:paraId="208A8535" w14:textId="77777777" w:rsidR="00782E0B" w:rsidRPr="00A67277" w:rsidRDefault="00782E0B" w:rsidP="00782E0B">
            <w:pPr>
              <w:rPr>
                <w:rFonts w:ascii="Arial" w:hAnsi="Arial" w:cs="Arial"/>
                <w:sz w:val="21"/>
                <w:szCs w:val="21"/>
              </w:rPr>
            </w:pPr>
          </w:p>
        </w:tc>
        <w:tc>
          <w:tcPr>
            <w:tcW w:w="969" w:type="dxa"/>
          </w:tcPr>
          <w:p w14:paraId="7D2510C6" w14:textId="77777777" w:rsidR="00782E0B" w:rsidRPr="00A67277" w:rsidRDefault="00782E0B" w:rsidP="00782E0B">
            <w:pPr>
              <w:jc w:val="right"/>
              <w:rPr>
                <w:rFonts w:ascii="Arial" w:hAnsi="Arial" w:cs="Arial"/>
                <w:sz w:val="21"/>
                <w:szCs w:val="21"/>
              </w:rPr>
            </w:pPr>
          </w:p>
        </w:tc>
      </w:tr>
      <w:tr w:rsidR="00782E0B" w:rsidRPr="00A67277" w14:paraId="77CE26F7" w14:textId="77777777" w:rsidTr="00782E0B">
        <w:tc>
          <w:tcPr>
            <w:tcW w:w="3997" w:type="dxa"/>
          </w:tcPr>
          <w:p w14:paraId="6014DE4D" w14:textId="77777777" w:rsidR="00782E0B" w:rsidRPr="00A67277" w:rsidRDefault="00782E0B" w:rsidP="00782E0B">
            <w:pPr>
              <w:rPr>
                <w:rFonts w:ascii="Arial" w:hAnsi="Arial" w:cs="Arial"/>
                <w:sz w:val="21"/>
                <w:szCs w:val="21"/>
              </w:rPr>
            </w:pPr>
          </w:p>
        </w:tc>
        <w:tc>
          <w:tcPr>
            <w:tcW w:w="969" w:type="dxa"/>
          </w:tcPr>
          <w:p w14:paraId="1BA11953" w14:textId="77777777" w:rsidR="00782E0B" w:rsidRPr="00A67277" w:rsidRDefault="00782E0B" w:rsidP="00782E0B">
            <w:pPr>
              <w:jc w:val="right"/>
              <w:rPr>
                <w:rFonts w:ascii="Arial" w:hAnsi="Arial" w:cs="Arial"/>
                <w:sz w:val="21"/>
                <w:szCs w:val="21"/>
              </w:rPr>
            </w:pPr>
          </w:p>
        </w:tc>
        <w:tc>
          <w:tcPr>
            <w:tcW w:w="3723" w:type="dxa"/>
          </w:tcPr>
          <w:p w14:paraId="0E554778" w14:textId="77777777" w:rsidR="00782E0B" w:rsidRPr="00A67277" w:rsidRDefault="00782E0B" w:rsidP="00782E0B">
            <w:pPr>
              <w:rPr>
                <w:rFonts w:ascii="Arial" w:hAnsi="Arial" w:cs="Arial"/>
                <w:sz w:val="21"/>
                <w:szCs w:val="21"/>
                <w:lang w:val="id-ID"/>
              </w:rPr>
            </w:pPr>
          </w:p>
        </w:tc>
        <w:tc>
          <w:tcPr>
            <w:tcW w:w="260" w:type="dxa"/>
          </w:tcPr>
          <w:p w14:paraId="78A3708D" w14:textId="77777777" w:rsidR="00782E0B" w:rsidRPr="00A67277" w:rsidRDefault="00782E0B" w:rsidP="00782E0B">
            <w:pPr>
              <w:rPr>
                <w:rFonts w:ascii="Arial" w:hAnsi="Arial" w:cs="Arial"/>
                <w:sz w:val="21"/>
                <w:szCs w:val="21"/>
              </w:rPr>
            </w:pPr>
          </w:p>
        </w:tc>
        <w:tc>
          <w:tcPr>
            <w:tcW w:w="969" w:type="dxa"/>
          </w:tcPr>
          <w:p w14:paraId="3121C6A3" w14:textId="77777777" w:rsidR="00782E0B" w:rsidRPr="00A67277" w:rsidRDefault="00782E0B" w:rsidP="00782E0B">
            <w:pPr>
              <w:jc w:val="right"/>
              <w:rPr>
                <w:rFonts w:ascii="Arial" w:hAnsi="Arial" w:cs="Arial"/>
                <w:sz w:val="21"/>
                <w:szCs w:val="21"/>
              </w:rPr>
            </w:pPr>
          </w:p>
        </w:tc>
      </w:tr>
      <w:tr w:rsidR="00782E0B" w:rsidRPr="00A67277" w14:paraId="4C5C2850" w14:textId="77777777" w:rsidTr="00782E0B">
        <w:tc>
          <w:tcPr>
            <w:tcW w:w="3997" w:type="dxa"/>
          </w:tcPr>
          <w:p w14:paraId="3AB9C412" w14:textId="77777777" w:rsidR="00782E0B" w:rsidRPr="00A67277" w:rsidRDefault="00782E0B" w:rsidP="00782E0B">
            <w:pPr>
              <w:pStyle w:val="ListParagraph"/>
              <w:numPr>
                <w:ilvl w:val="0"/>
                <w:numId w:val="483"/>
              </w:numPr>
              <w:spacing w:line="240" w:lineRule="auto"/>
              <w:ind w:left="402" w:hanging="402"/>
              <w:jc w:val="left"/>
              <w:rPr>
                <w:rFonts w:cs="Arial"/>
                <w:b/>
              </w:rPr>
            </w:pPr>
            <w:r w:rsidRPr="00A67277">
              <w:rPr>
                <w:rFonts w:cs="Arial"/>
                <w:b/>
              </w:rPr>
              <w:t>Asset Ownership</w:t>
            </w:r>
          </w:p>
        </w:tc>
        <w:tc>
          <w:tcPr>
            <w:tcW w:w="969" w:type="dxa"/>
          </w:tcPr>
          <w:p w14:paraId="03A3C793" w14:textId="0208187C" w:rsidR="00782E0B" w:rsidRPr="00A67277" w:rsidRDefault="00782E0B" w:rsidP="00782E0B">
            <w:pPr>
              <w:jc w:val="right"/>
              <w:rPr>
                <w:rFonts w:ascii="Arial" w:hAnsi="Arial" w:cs="Arial"/>
                <w:sz w:val="21"/>
                <w:szCs w:val="21"/>
              </w:rPr>
            </w:pPr>
            <w:r>
              <w:rPr>
                <w:rFonts w:ascii="Arial" w:hAnsi="Arial" w:cs="Arial"/>
                <w:sz w:val="21"/>
                <w:szCs w:val="21"/>
              </w:rPr>
              <w:t>191</w:t>
            </w:r>
          </w:p>
        </w:tc>
        <w:tc>
          <w:tcPr>
            <w:tcW w:w="3723" w:type="dxa"/>
          </w:tcPr>
          <w:p w14:paraId="3D2C0E7F"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Kepemilikan Aset</w:t>
            </w:r>
          </w:p>
        </w:tc>
        <w:tc>
          <w:tcPr>
            <w:tcW w:w="260" w:type="dxa"/>
          </w:tcPr>
          <w:p w14:paraId="5E34EB89" w14:textId="77777777" w:rsidR="00782E0B" w:rsidRPr="00A67277" w:rsidRDefault="00782E0B" w:rsidP="00782E0B">
            <w:pPr>
              <w:rPr>
                <w:rFonts w:ascii="Arial" w:hAnsi="Arial" w:cs="Arial"/>
                <w:sz w:val="21"/>
                <w:szCs w:val="21"/>
              </w:rPr>
            </w:pPr>
          </w:p>
        </w:tc>
        <w:tc>
          <w:tcPr>
            <w:tcW w:w="969" w:type="dxa"/>
          </w:tcPr>
          <w:p w14:paraId="2F3CD8F6" w14:textId="77B8B5B8" w:rsidR="00782E0B" w:rsidRPr="00A67277" w:rsidRDefault="00782E0B" w:rsidP="00782E0B">
            <w:pPr>
              <w:jc w:val="right"/>
              <w:rPr>
                <w:rFonts w:ascii="Arial" w:hAnsi="Arial" w:cs="Arial"/>
                <w:sz w:val="21"/>
                <w:szCs w:val="21"/>
              </w:rPr>
            </w:pPr>
            <w:r>
              <w:rPr>
                <w:rFonts w:ascii="Arial" w:hAnsi="Arial" w:cs="Arial"/>
                <w:sz w:val="21"/>
                <w:szCs w:val="21"/>
              </w:rPr>
              <w:t>191</w:t>
            </w:r>
          </w:p>
        </w:tc>
      </w:tr>
      <w:tr w:rsidR="00782E0B" w:rsidRPr="00A67277" w14:paraId="0E42A637" w14:textId="77777777" w:rsidTr="00782E0B">
        <w:tc>
          <w:tcPr>
            <w:tcW w:w="3997" w:type="dxa"/>
          </w:tcPr>
          <w:p w14:paraId="068361D4" w14:textId="77777777" w:rsidR="00782E0B" w:rsidRPr="00A67277" w:rsidRDefault="00782E0B" w:rsidP="00782E0B">
            <w:pPr>
              <w:pStyle w:val="ListParagraph"/>
              <w:ind w:left="519"/>
              <w:rPr>
                <w:rFonts w:cs="Arial"/>
                <w:b/>
              </w:rPr>
            </w:pPr>
          </w:p>
        </w:tc>
        <w:tc>
          <w:tcPr>
            <w:tcW w:w="969" w:type="dxa"/>
          </w:tcPr>
          <w:p w14:paraId="794CB08B" w14:textId="77777777" w:rsidR="00782E0B" w:rsidRPr="00A67277" w:rsidRDefault="00782E0B" w:rsidP="00782E0B">
            <w:pPr>
              <w:jc w:val="right"/>
              <w:rPr>
                <w:rFonts w:ascii="Arial" w:hAnsi="Arial" w:cs="Arial"/>
                <w:sz w:val="21"/>
                <w:szCs w:val="21"/>
              </w:rPr>
            </w:pPr>
          </w:p>
        </w:tc>
        <w:tc>
          <w:tcPr>
            <w:tcW w:w="3723" w:type="dxa"/>
          </w:tcPr>
          <w:p w14:paraId="0E1DBCFC" w14:textId="77777777" w:rsidR="00782E0B" w:rsidRPr="00A67277" w:rsidRDefault="00782E0B" w:rsidP="00782E0B">
            <w:pPr>
              <w:pStyle w:val="ListParagraph"/>
              <w:ind w:left="519"/>
              <w:rPr>
                <w:rFonts w:cs="Arial"/>
                <w:b/>
                <w:lang w:val="id-ID"/>
              </w:rPr>
            </w:pPr>
          </w:p>
        </w:tc>
        <w:tc>
          <w:tcPr>
            <w:tcW w:w="260" w:type="dxa"/>
          </w:tcPr>
          <w:p w14:paraId="25E7C606" w14:textId="77777777" w:rsidR="00782E0B" w:rsidRPr="00A67277" w:rsidRDefault="00782E0B" w:rsidP="00782E0B">
            <w:pPr>
              <w:rPr>
                <w:rFonts w:ascii="Arial" w:hAnsi="Arial" w:cs="Arial"/>
                <w:sz w:val="21"/>
                <w:szCs w:val="21"/>
              </w:rPr>
            </w:pPr>
          </w:p>
        </w:tc>
        <w:tc>
          <w:tcPr>
            <w:tcW w:w="969" w:type="dxa"/>
          </w:tcPr>
          <w:p w14:paraId="47A489AE" w14:textId="77777777" w:rsidR="00782E0B" w:rsidRPr="00A67277" w:rsidRDefault="00782E0B" w:rsidP="00782E0B">
            <w:pPr>
              <w:jc w:val="right"/>
              <w:rPr>
                <w:rFonts w:ascii="Arial" w:hAnsi="Arial" w:cs="Arial"/>
                <w:sz w:val="21"/>
                <w:szCs w:val="21"/>
              </w:rPr>
            </w:pPr>
          </w:p>
        </w:tc>
      </w:tr>
      <w:tr w:rsidR="00782E0B" w:rsidRPr="00A67277" w14:paraId="26F3631D" w14:textId="77777777" w:rsidTr="00782E0B">
        <w:tc>
          <w:tcPr>
            <w:tcW w:w="3997" w:type="dxa"/>
          </w:tcPr>
          <w:p w14:paraId="2DEF42D4"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Representations and Warranties </w:t>
            </w:r>
          </w:p>
        </w:tc>
        <w:tc>
          <w:tcPr>
            <w:tcW w:w="969" w:type="dxa"/>
          </w:tcPr>
          <w:p w14:paraId="4EE3975B" w14:textId="0B054A35" w:rsidR="00782E0B" w:rsidRPr="00A67277" w:rsidRDefault="00782E0B" w:rsidP="00782E0B">
            <w:pPr>
              <w:jc w:val="right"/>
              <w:rPr>
                <w:rFonts w:ascii="Arial" w:hAnsi="Arial" w:cs="Arial"/>
                <w:sz w:val="21"/>
                <w:szCs w:val="21"/>
              </w:rPr>
            </w:pPr>
            <w:r>
              <w:rPr>
                <w:rFonts w:ascii="Arial" w:hAnsi="Arial" w:cs="Arial"/>
                <w:sz w:val="21"/>
                <w:szCs w:val="21"/>
              </w:rPr>
              <w:t>192</w:t>
            </w:r>
          </w:p>
        </w:tc>
        <w:tc>
          <w:tcPr>
            <w:tcW w:w="3723" w:type="dxa"/>
          </w:tcPr>
          <w:p w14:paraId="0C325DD2"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Pernyataan dan Jaminan</w:t>
            </w:r>
          </w:p>
        </w:tc>
        <w:tc>
          <w:tcPr>
            <w:tcW w:w="260" w:type="dxa"/>
          </w:tcPr>
          <w:p w14:paraId="0345FA04" w14:textId="77777777" w:rsidR="00782E0B" w:rsidRPr="00A67277" w:rsidRDefault="00782E0B" w:rsidP="00782E0B">
            <w:pPr>
              <w:rPr>
                <w:rFonts w:ascii="Arial" w:hAnsi="Arial" w:cs="Arial"/>
                <w:sz w:val="21"/>
                <w:szCs w:val="21"/>
              </w:rPr>
            </w:pPr>
          </w:p>
        </w:tc>
        <w:tc>
          <w:tcPr>
            <w:tcW w:w="969" w:type="dxa"/>
          </w:tcPr>
          <w:p w14:paraId="2E950BD3" w14:textId="57FAACAB" w:rsidR="00782E0B" w:rsidRPr="00A67277" w:rsidRDefault="00782E0B" w:rsidP="00782E0B">
            <w:pPr>
              <w:jc w:val="right"/>
              <w:rPr>
                <w:rFonts w:ascii="Arial" w:hAnsi="Arial" w:cs="Arial"/>
                <w:sz w:val="21"/>
                <w:szCs w:val="21"/>
              </w:rPr>
            </w:pPr>
            <w:r>
              <w:rPr>
                <w:rFonts w:ascii="Arial" w:hAnsi="Arial" w:cs="Arial"/>
                <w:sz w:val="21"/>
                <w:szCs w:val="21"/>
              </w:rPr>
              <w:t>192</w:t>
            </w:r>
          </w:p>
        </w:tc>
      </w:tr>
      <w:tr w:rsidR="00782E0B" w:rsidRPr="00A67277" w14:paraId="53C1E58E" w14:textId="77777777" w:rsidTr="00782E0B">
        <w:tc>
          <w:tcPr>
            <w:tcW w:w="3997" w:type="dxa"/>
          </w:tcPr>
          <w:p w14:paraId="622E28A0"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Representations and Warranties of the IBE </w:t>
            </w:r>
          </w:p>
        </w:tc>
        <w:tc>
          <w:tcPr>
            <w:tcW w:w="969" w:type="dxa"/>
          </w:tcPr>
          <w:p w14:paraId="1FD95AD8" w14:textId="770861CE" w:rsidR="00782E0B" w:rsidRPr="00A67277" w:rsidRDefault="00782E0B" w:rsidP="00782E0B">
            <w:pPr>
              <w:jc w:val="right"/>
              <w:rPr>
                <w:rFonts w:ascii="Arial" w:hAnsi="Arial" w:cs="Arial"/>
                <w:sz w:val="21"/>
                <w:szCs w:val="21"/>
              </w:rPr>
            </w:pPr>
            <w:r>
              <w:rPr>
                <w:rFonts w:ascii="Arial" w:hAnsi="Arial" w:cs="Arial"/>
                <w:sz w:val="21"/>
                <w:szCs w:val="21"/>
              </w:rPr>
              <w:t>192</w:t>
            </w:r>
          </w:p>
        </w:tc>
        <w:tc>
          <w:tcPr>
            <w:tcW w:w="3723" w:type="dxa"/>
          </w:tcPr>
          <w:p w14:paraId="707EC657"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Pernyataan dan Jaminan BUP</w:t>
            </w:r>
          </w:p>
        </w:tc>
        <w:tc>
          <w:tcPr>
            <w:tcW w:w="260" w:type="dxa"/>
          </w:tcPr>
          <w:p w14:paraId="4A8BE872" w14:textId="77777777" w:rsidR="00782E0B" w:rsidRPr="00A67277" w:rsidRDefault="00782E0B" w:rsidP="00782E0B">
            <w:pPr>
              <w:rPr>
                <w:rFonts w:ascii="Arial" w:hAnsi="Arial" w:cs="Arial"/>
                <w:sz w:val="21"/>
                <w:szCs w:val="21"/>
              </w:rPr>
            </w:pPr>
          </w:p>
        </w:tc>
        <w:tc>
          <w:tcPr>
            <w:tcW w:w="969" w:type="dxa"/>
          </w:tcPr>
          <w:p w14:paraId="74614C88" w14:textId="46BEF3DD" w:rsidR="00782E0B" w:rsidRPr="00A67277" w:rsidRDefault="00782E0B" w:rsidP="00782E0B">
            <w:pPr>
              <w:jc w:val="right"/>
              <w:rPr>
                <w:rFonts w:ascii="Arial" w:hAnsi="Arial" w:cs="Arial"/>
                <w:sz w:val="21"/>
                <w:szCs w:val="21"/>
              </w:rPr>
            </w:pPr>
            <w:r>
              <w:rPr>
                <w:rFonts w:ascii="Arial" w:hAnsi="Arial" w:cs="Arial"/>
                <w:sz w:val="21"/>
                <w:szCs w:val="21"/>
              </w:rPr>
              <w:t>192</w:t>
            </w:r>
          </w:p>
        </w:tc>
      </w:tr>
      <w:tr w:rsidR="00782E0B" w:rsidRPr="00A67277" w14:paraId="45A720B6" w14:textId="77777777" w:rsidTr="00782E0B">
        <w:tc>
          <w:tcPr>
            <w:tcW w:w="3997" w:type="dxa"/>
          </w:tcPr>
          <w:p w14:paraId="50906502"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Representations and Warranties of GCA </w:t>
            </w:r>
          </w:p>
        </w:tc>
        <w:tc>
          <w:tcPr>
            <w:tcW w:w="969" w:type="dxa"/>
          </w:tcPr>
          <w:p w14:paraId="4E7FD132" w14:textId="1ECEFED1" w:rsidR="00782E0B" w:rsidRPr="00A67277" w:rsidRDefault="00782E0B" w:rsidP="00782E0B">
            <w:pPr>
              <w:jc w:val="right"/>
              <w:rPr>
                <w:rFonts w:ascii="Arial" w:hAnsi="Arial" w:cs="Arial"/>
                <w:sz w:val="21"/>
                <w:szCs w:val="21"/>
              </w:rPr>
            </w:pPr>
            <w:r>
              <w:rPr>
                <w:rFonts w:ascii="Arial" w:hAnsi="Arial" w:cs="Arial"/>
                <w:sz w:val="21"/>
                <w:szCs w:val="21"/>
              </w:rPr>
              <w:t>194</w:t>
            </w:r>
          </w:p>
        </w:tc>
        <w:tc>
          <w:tcPr>
            <w:tcW w:w="3723" w:type="dxa"/>
          </w:tcPr>
          <w:p w14:paraId="18895258"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Pernyataan dan Jaminan PJPK</w:t>
            </w:r>
          </w:p>
        </w:tc>
        <w:tc>
          <w:tcPr>
            <w:tcW w:w="260" w:type="dxa"/>
          </w:tcPr>
          <w:p w14:paraId="6728B203" w14:textId="77777777" w:rsidR="00782E0B" w:rsidRPr="00A67277" w:rsidRDefault="00782E0B" w:rsidP="00782E0B">
            <w:pPr>
              <w:rPr>
                <w:rFonts w:ascii="Arial" w:hAnsi="Arial" w:cs="Arial"/>
                <w:sz w:val="21"/>
                <w:szCs w:val="21"/>
              </w:rPr>
            </w:pPr>
          </w:p>
        </w:tc>
        <w:tc>
          <w:tcPr>
            <w:tcW w:w="969" w:type="dxa"/>
          </w:tcPr>
          <w:p w14:paraId="1F421833" w14:textId="269E33A9" w:rsidR="00782E0B" w:rsidRPr="00A67277" w:rsidRDefault="00782E0B" w:rsidP="00782E0B">
            <w:pPr>
              <w:jc w:val="right"/>
              <w:rPr>
                <w:rFonts w:ascii="Arial" w:hAnsi="Arial" w:cs="Arial"/>
                <w:sz w:val="21"/>
                <w:szCs w:val="21"/>
              </w:rPr>
            </w:pPr>
            <w:r>
              <w:rPr>
                <w:rFonts w:ascii="Arial" w:hAnsi="Arial" w:cs="Arial"/>
                <w:sz w:val="21"/>
                <w:szCs w:val="21"/>
              </w:rPr>
              <w:t>194</w:t>
            </w:r>
          </w:p>
        </w:tc>
      </w:tr>
      <w:tr w:rsidR="00782E0B" w:rsidRPr="00A67277" w14:paraId="09BCCACA" w14:textId="77777777" w:rsidTr="00782E0B">
        <w:tc>
          <w:tcPr>
            <w:tcW w:w="3997" w:type="dxa"/>
          </w:tcPr>
          <w:p w14:paraId="379ECB32" w14:textId="77777777" w:rsidR="00782E0B" w:rsidRPr="00A67277" w:rsidRDefault="00782E0B" w:rsidP="00782E0B">
            <w:pPr>
              <w:rPr>
                <w:rFonts w:ascii="Arial" w:hAnsi="Arial" w:cs="Arial"/>
                <w:sz w:val="21"/>
                <w:szCs w:val="21"/>
              </w:rPr>
            </w:pPr>
          </w:p>
        </w:tc>
        <w:tc>
          <w:tcPr>
            <w:tcW w:w="969" w:type="dxa"/>
          </w:tcPr>
          <w:p w14:paraId="61E61846" w14:textId="77777777" w:rsidR="00782E0B" w:rsidRPr="00A67277" w:rsidRDefault="00782E0B" w:rsidP="00782E0B">
            <w:pPr>
              <w:jc w:val="right"/>
              <w:rPr>
                <w:rFonts w:ascii="Arial" w:hAnsi="Arial" w:cs="Arial"/>
                <w:sz w:val="21"/>
                <w:szCs w:val="21"/>
              </w:rPr>
            </w:pPr>
          </w:p>
        </w:tc>
        <w:tc>
          <w:tcPr>
            <w:tcW w:w="3723" w:type="dxa"/>
          </w:tcPr>
          <w:p w14:paraId="533E30D6" w14:textId="77777777" w:rsidR="00782E0B" w:rsidRPr="00A67277" w:rsidRDefault="00782E0B" w:rsidP="00782E0B">
            <w:pPr>
              <w:rPr>
                <w:rFonts w:ascii="Arial" w:hAnsi="Arial" w:cs="Arial"/>
                <w:sz w:val="21"/>
                <w:szCs w:val="21"/>
                <w:lang w:val="id-ID"/>
              </w:rPr>
            </w:pPr>
          </w:p>
        </w:tc>
        <w:tc>
          <w:tcPr>
            <w:tcW w:w="260" w:type="dxa"/>
          </w:tcPr>
          <w:p w14:paraId="13E461CE" w14:textId="77777777" w:rsidR="00782E0B" w:rsidRPr="00A67277" w:rsidRDefault="00782E0B" w:rsidP="00782E0B">
            <w:pPr>
              <w:rPr>
                <w:rFonts w:ascii="Arial" w:hAnsi="Arial" w:cs="Arial"/>
                <w:sz w:val="21"/>
                <w:szCs w:val="21"/>
              </w:rPr>
            </w:pPr>
          </w:p>
        </w:tc>
        <w:tc>
          <w:tcPr>
            <w:tcW w:w="969" w:type="dxa"/>
          </w:tcPr>
          <w:p w14:paraId="3B88CA11" w14:textId="77777777" w:rsidR="00782E0B" w:rsidRPr="00A67277" w:rsidRDefault="00782E0B" w:rsidP="00782E0B">
            <w:pPr>
              <w:jc w:val="right"/>
              <w:rPr>
                <w:rFonts w:ascii="Arial" w:hAnsi="Arial" w:cs="Arial"/>
                <w:sz w:val="21"/>
                <w:szCs w:val="21"/>
              </w:rPr>
            </w:pPr>
          </w:p>
        </w:tc>
      </w:tr>
      <w:tr w:rsidR="00782E0B" w:rsidRPr="00A67277" w14:paraId="65D99659" w14:textId="77777777" w:rsidTr="00782E0B">
        <w:tc>
          <w:tcPr>
            <w:tcW w:w="3997" w:type="dxa"/>
          </w:tcPr>
          <w:p w14:paraId="2ABC6E57"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Settlement of Disputes </w:t>
            </w:r>
          </w:p>
        </w:tc>
        <w:tc>
          <w:tcPr>
            <w:tcW w:w="969" w:type="dxa"/>
          </w:tcPr>
          <w:p w14:paraId="19E1D9F9" w14:textId="2ABFCFF8" w:rsidR="00782E0B" w:rsidRPr="00A67277" w:rsidRDefault="00782E0B" w:rsidP="00782E0B">
            <w:pPr>
              <w:jc w:val="right"/>
              <w:rPr>
                <w:rFonts w:ascii="Arial" w:hAnsi="Arial" w:cs="Arial"/>
                <w:sz w:val="21"/>
                <w:szCs w:val="21"/>
              </w:rPr>
            </w:pPr>
            <w:r>
              <w:rPr>
                <w:rFonts w:ascii="Arial" w:hAnsi="Arial" w:cs="Arial"/>
                <w:sz w:val="21"/>
                <w:szCs w:val="21"/>
              </w:rPr>
              <w:t>196</w:t>
            </w:r>
          </w:p>
        </w:tc>
        <w:tc>
          <w:tcPr>
            <w:tcW w:w="3723" w:type="dxa"/>
          </w:tcPr>
          <w:p w14:paraId="0873DB2F"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Penyelesaian Sengketa</w:t>
            </w:r>
          </w:p>
        </w:tc>
        <w:tc>
          <w:tcPr>
            <w:tcW w:w="260" w:type="dxa"/>
          </w:tcPr>
          <w:p w14:paraId="5FAC569D" w14:textId="77777777" w:rsidR="00782E0B" w:rsidRPr="00A67277" w:rsidRDefault="00782E0B" w:rsidP="00782E0B">
            <w:pPr>
              <w:rPr>
                <w:rFonts w:ascii="Arial" w:hAnsi="Arial" w:cs="Arial"/>
                <w:sz w:val="21"/>
                <w:szCs w:val="21"/>
              </w:rPr>
            </w:pPr>
          </w:p>
        </w:tc>
        <w:tc>
          <w:tcPr>
            <w:tcW w:w="969" w:type="dxa"/>
          </w:tcPr>
          <w:p w14:paraId="7183BC3E" w14:textId="1E30B416" w:rsidR="00782E0B" w:rsidRPr="00A67277" w:rsidRDefault="00782E0B" w:rsidP="00782E0B">
            <w:pPr>
              <w:jc w:val="right"/>
              <w:rPr>
                <w:rFonts w:ascii="Arial" w:hAnsi="Arial" w:cs="Arial"/>
                <w:sz w:val="21"/>
                <w:szCs w:val="21"/>
              </w:rPr>
            </w:pPr>
            <w:r>
              <w:rPr>
                <w:rFonts w:ascii="Arial" w:hAnsi="Arial" w:cs="Arial"/>
                <w:sz w:val="21"/>
                <w:szCs w:val="21"/>
              </w:rPr>
              <w:t>196</w:t>
            </w:r>
          </w:p>
        </w:tc>
      </w:tr>
      <w:tr w:rsidR="00782E0B" w:rsidRPr="00A67277" w14:paraId="1890A574" w14:textId="77777777" w:rsidTr="00782E0B">
        <w:tc>
          <w:tcPr>
            <w:tcW w:w="3997" w:type="dxa"/>
          </w:tcPr>
          <w:p w14:paraId="6769D009" w14:textId="77777777" w:rsidR="00782E0B" w:rsidRPr="00A67277" w:rsidRDefault="00782E0B" w:rsidP="00782E0B">
            <w:pPr>
              <w:pStyle w:val="ListParagraph"/>
              <w:numPr>
                <w:ilvl w:val="1"/>
                <w:numId w:val="485"/>
              </w:numPr>
              <w:spacing w:line="240" w:lineRule="auto"/>
              <w:ind w:left="1062" w:hanging="630"/>
              <w:jc w:val="left"/>
              <w:rPr>
                <w:rFonts w:cs="Arial"/>
              </w:rPr>
            </w:pPr>
            <w:r w:rsidRPr="00A67277">
              <w:rPr>
                <w:rFonts w:cs="Arial"/>
              </w:rPr>
              <w:t xml:space="preserve">Mutual Discussions and Mediation </w:t>
            </w:r>
          </w:p>
        </w:tc>
        <w:tc>
          <w:tcPr>
            <w:tcW w:w="969" w:type="dxa"/>
          </w:tcPr>
          <w:p w14:paraId="615EE533" w14:textId="60C2DB2E" w:rsidR="00782E0B" w:rsidRPr="00A67277" w:rsidRDefault="00782E0B" w:rsidP="00782E0B">
            <w:pPr>
              <w:jc w:val="right"/>
              <w:rPr>
                <w:rFonts w:ascii="Arial" w:hAnsi="Arial" w:cs="Arial"/>
                <w:sz w:val="21"/>
                <w:szCs w:val="21"/>
              </w:rPr>
            </w:pPr>
            <w:r>
              <w:rPr>
                <w:rFonts w:ascii="Arial" w:hAnsi="Arial" w:cs="Arial"/>
                <w:sz w:val="21"/>
                <w:szCs w:val="21"/>
              </w:rPr>
              <w:t>196</w:t>
            </w:r>
          </w:p>
        </w:tc>
        <w:tc>
          <w:tcPr>
            <w:tcW w:w="3723" w:type="dxa"/>
          </w:tcPr>
          <w:p w14:paraId="108BC001" w14:textId="77777777" w:rsidR="00782E0B" w:rsidRPr="00A67277" w:rsidRDefault="00782E0B" w:rsidP="00782E0B">
            <w:pPr>
              <w:pStyle w:val="ListParagraph"/>
              <w:numPr>
                <w:ilvl w:val="1"/>
                <w:numId w:val="479"/>
              </w:numPr>
              <w:spacing w:line="240" w:lineRule="auto"/>
              <w:ind w:left="882" w:hanging="567"/>
              <w:rPr>
                <w:rFonts w:cs="Arial"/>
                <w:lang w:val="id-ID"/>
              </w:rPr>
            </w:pPr>
            <w:r w:rsidRPr="00A67277">
              <w:rPr>
                <w:rFonts w:cs="Arial"/>
                <w:lang w:val="id-ID"/>
              </w:rPr>
              <w:t>Musyawarah dan Mediasi</w:t>
            </w:r>
          </w:p>
        </w:tc>
        <w:tc>
          <w:tcPr>
            <w:tcW w:w="260" w:type="dxa"/>
          </w:tcPr>
          <w:p w14:paraId="5C519E1C" w14:textId="77777777" w:rsidR="00782E0B" w:rsidRPr="00A67277" w:rsidRDefault="00782E0B" w:rsidP="00782E0B">
            <w:pPr>
              <w:rPr>
                <w:rFonts w:ascii="Arial" w:hAnsi="Arial" w:cs="Arial"/>
                <w:sz w:val="21"/>
                <w:szCs w:val="21"/>
              </w:rPr>
            </w:pPr>
          </w:p>
        </w:tc>
        <w:tc>
          <w:tcPr>
            <w:tcW w:w="969" w:type="dxa"/>
          </w:tcPr>
          <w:p w14:paraId="422B7768" w14:textId="4D7973BA" w:rsidR="00782E0B" w:rsidRPr="00A67277" w:rsidRDefault="00782E0B" w:rsidP="00782E0B">
            <w:pPr>
              <w:jc w:val="right"/>
              <w:rPr>
                <w:rFonts w:ascii="Arial" w:hAnsi="Arial" w:cs="Arial"/>
                <w:sz w:val="21"/>
                <w:szCs w:val="21"/>
              </w:rPr>
            </w:pPr>
            <w:r>
              <w:rPr>
                <w:rFonts w:ascii="Arial" w:hAnsi="Arial" w:cs="Arial"/>
                <w:sz w:val="21"/>
                <w:szCs w:val="21"/>
              </w:rPr>
              <w:t>196</w:t>
            </w:r>
          </w:p>
        </w:tc>
      </w:tr>
      <w:tr w:rsidR="00782E0B" w:rsidRPr="00A67277" w14:paraId="7D67821F" w14:textId="77777777" w:rsidTr="00782E0B">
        <w:tc>
          <w:tcPr>
            <w:tcW w:w="3997" w:type="dxa"/>
          </w:tcPr>
          <w:p w14:paraId="0028105C" w14:textId="77777777" w:rsidR="00782E0B" w:rsidRPr="00A67277" w:rsidRDefault="00782E0B" w:rsidP="00782E0B">
            <w:pPr>
              <w:pStyle w:val="ListParagraph"/>
              <w:numPr>
                <w:ilvl w:val="1"/>
                <w:numId w:val="485"/>
              </w:numPr>
              <w:spacing w:line="240" w:lineRule="auto"/>
              <w:ind w:left="1062" w:hanging="630"/>
              <w:jc w:val="left"/>
              <w:rPr>
                <w:rFonts w:cs="Arial"/>
              </w:rPr>
            </w:pPr>
            <w:r w:rsidRPr="00A67277">
              <w:rPr>
                <w:rFonts w:cs="Arial"/>
              </w:rPr>
              <w:t xml:space="preserve">Referral to a Third Party Expert </w:t>
            </w:r>
          </w:p>
        </w:tc>
        <w:tc>
          <w:tcPr>
            <w:tcW w:w="969" w:type="dxa"/>
          </w:tcPr>
          <w:p w14:paraId="1C085C43" w14:textId="6AD7D4CC" w:rsidR="00782E0B" w:rsidRPr="00A67277" w:rsidRDefault="00782E0B" w:rsidP="00782E0B">
            <w:pPr>
              <w:jc w:val="right"/>
              <w:rPr>
                <w:rFonts w:ascii="Arial" w:hAnsi="Arial" w:cs="Arial"/>
                <w:sz w:val="21"/>
                <w:szCs w:val="21"/>
              </w:rPr>
            </w:pPr>
            <w:r>
              <w:rPr>
                <w:rFonts w:ascii="Arial" w:hAnsi="Arial" w:cs="Arial"/>
                <w:sz w:val="21"/>
                <w:szCs w:val="21"/>
              </w:rPr>
              <w:t>199</w:t>
            </w:r>
          </w:p>
        </w:tc>
        <w:tc>
          <w:tcPr>
            <w:tcW w:w="3723" w:type="dxa"/>
          </w:tcPr>
          <w:p w14:paraId="07C82AB8" w14:textId="77777777" w:rsidR="00782E0B" w:rsidRPr="00A67277" w:rsidRDefault="00782E0B" w:rsidP="00782E0B">
            <w:pPr>
              <w:pStyle w:val="ListParagraph"/>
              <w:numPr>
                <w:ilvl w:val="1"/>
                <w:numId w:val="479"/>
              </w:numPr>
              <w:spacing w:line="240" w:lineRule="auto"/>
              <w:ind w:left="882" w:hanging="567"/>
              <w:rPr>
                <w:rFonts w:cs="Arial"/>
                <w:lang w:val="id-ID"/>
              </w:rPr>
            </w:pPr>
            <w:r w:rsidRPr="00A67277">
              <w:rPr>
                <w:rFonts w:cs="Arial"/>
                <w:lang w:val="id-ID"/>
              </w:rPr>
              <w:t>Rujukan kepada Ahli Independen</w:t>
            </w:r>
          </w:p>
        </w:tc>
        <w:tc>
          <w:tcPr>
            <w:tcW w:w="260" w:type="dxa"/>
          </w:tcPr>
          <w:p w14:paraId="251B956F" w14:textId="77777777" w:rsidR="00782E0B" w:rsidRPr="00A67277" w:rsidRDefault="00782E0B" w:rsidP="00782E0B">
            <w:pPr>
              <w:rPr>
                <w:rFonts w:ascii="Arial" w:hAnsi="Arial" w:cs="Arial"/>
                <w:sz w:val="21"/>
                <w:szCs w:val="21"/>
              </w:rPr>
            </w:pPr>
          </w:p>
        </w:tc>
        <w:tc>
          <w:tcPr>
            <w:tcW w:w="969" w:type="dxa"/>
          </w:tcPr>
          <w:p w14:paraId="2E408CD5" w14:textId="47598834" w:rsidR="00782E0B" w:rsidRPr="00A67277" w:rsidRDefault="00782E0B" w:rsidP="00782E0B">
            <w:pPr>
              <w:jc w:val="right"/>
              <w:rPr>
                <w:rFonts w:ascii="Arial" w:hAnsi="Arial" w:cs="Arial"/>
                <w:sz w:val="21"/>
                <w:szCs w:val="21"/>
              </w:rPr>
            </w:pPr>
            <w:r>
              <w:rPr>
                <w:rFonts w:ascii="Arial" w:hAnsi="Arial" w:cs="Arial"/>
                <w:sz w:val="21"/>
                <w:szCs w:val="21"/>
              </w:rPr>
              <w:t>199</w:t>
            </w:r>
          </w:p>
        </w:tc>
      </w:tr>
      <w:tr w:rsidR="00782E0B" w:rsidRPr="00A67277" w14:paraId="5C9171C3" w14:textId="77777777" w:rsidTr="00782E0B">
        <w:tc>
          <w:tcPr>
            <w:tcW w:w="3997" w:type="dxa"/>
          </w:tcPr>
          <w:p w14:paraId="06F7C8B1" w14:textId="77777777" w:rsidR="00782E0B" w:rsidRPr="00A67277" w:rsidRDefault="00782E0B" w:rsidP="00782E0B">
            <w:pPr>
              <w:pStyle w:val="ListParagraph"/>
              <w:numPr>
                <w:ilvl w:val="1"/>
                <w:numId w:val="485"/>
              </w:numPr>
              <w:spacing w:line="240" w:lineRule="auto"/>
              <w:ind w:left="1062" w:hanging="630"/>
              <w:jc w:val="left"/>
              <w:rPr>
                <w:rFonts w:cs="Arial"/>
              </w:rPr>
            </w:pPr>
            <w:r w:rsidRPr="00A67277">
              <w:rPr>
                <w:rFonts w:cs="Arial"/>
              </w:rPr>
              <w:t xml:space="preserve">Arbitration </w:t>
            </w:r>
          </w:p>
        </w:tc>
        <w:tc>
          <w:tcPr>
            <w:tcW w:w="969" w:type="dxa"/>
          </w:tcPr>
          <w:p w14:paraId="6ADAD14A" w14:textId="7FF3F914" w:rsidR="00782E0B" w:rsidRPr="00A67277" w:rsidRDefault="00782E0B" w:rsidP="00782E0B">
            <w:pPr>
              <w:jc w:val="right"/>
              <w:rPr>
                <w:rFonts w:ascii="Arial" w:hAnsi="Arial" w:cs="Arial"/>
                <w:sz w:val="21"/>
                <w:szCs w:val="21"/>
              </w:rPr>
            </w:pPr>
            <w:r>
              <w:rPr>
                <w:rFonts w:ascii="Arial" w:hAnsi="Arial" w:cs="Arial"/>
                <w:sz w:val="21"/>
                <w:szCs w:val="21"/>
              </w:rPr>
              <w:t>201</w:t>
            </w:r>
          </w:p>
        </w:tc>
        <w:tc>
          <w:tcPr>
            <w:tcW w:w="3723" w:type="dxa"/>
          </w:tcPr>
          <w:p w14:paraId="679BFD6A" w14:textId="77777777" w:rsidR="00782E0B" w:rsidRPr="00A67277" w:rsidRDefault="00782E0B" w:rsidP="00782E0B">
            <w:pPr>
              <w:pStyle w:val="ListParagraph"/>
              <w:numPr>
                <w:ilvl w:val="1"/>
                <w:numId w:val="479"/>
              </w:numPr>
              <w:spacing w:line="240" w:lineRule="auto"/>
              <w:ind w:left="882" w:hanging="567"/>
              <w:rPr>
                <w:rFonts w:cs="Arial"/>
                <w:lang w:val="id-ID"/>
              </w:rPr>
            </w:pPr>
            <w:r w:rsidRPr="00A67277">
              <w:rPr>
                <w:rFonts w:cs="Arial"/>
                <w:lang w:val="id-ID"/>
              </w:rPr>
              <w:t>Arbitrase</w:t>
            </w:r>
          </w:p>
        </w:tc>
        <w:tc>
          <w:tcPr>
            <w:tcW w:w="260" w:type="dxa"/>
          </w:tcPr>
          <w:p w14:paraId="6655BD52" w14:textId="77777777" w:rsidR="00782E0B" w:rsidRPr="00A67277" w:rsidRDefault="00782E0B" w:rsidP="00782E0B">
            <w:pPr>
              <w:rPr>
                <w:rFonts w:ascii="Arial" w:hAnsi="Arial" w:cs="Arial"/>
                <w:sz w:val="21"/>
                <w:szCs w:val="21"/>
              </w:rPr>
            </w:pPr>
          </w:p>
        </w:tc>
        <w:tc>
          <w:tcPr>
            <w:tcW w:w="969" w:type="dxa"/>
          </w:tcPr>
          <w:p w14:paraId="024CEFA0" w14:textId="50CB005E" w:rsidR="00782E0B" w:rsidRPr="00A67277" w:rsidRDefault="00782E0B" w:rsidP="00782E0B">
            <w:pPr>
              <w:jc w:val="right"/>
              <w:rPr>
                <w:rFonts w:ascii="Arial" w:hAnsi="Arial" w:cs="Arial"/>
                <w:sz w:val="21"/>
                <w:szCs w:val="21"/>
              </w:rPr>
            </w:pPr>
            <w:r>
              <w:rPr>
                <w:rFonts w:ascii="Arial" w:hAnsi="Arial" w:cs="Arial"/>
                <w:sz w:val="21"/>
                <w:szCs w:val="21"/>
              </w:rPr>
              <w:t>201</w:t>
            </w:r>
          </w:p>
        </w:tc>
      </w:tr>
      <w:tr w:rsidR="00782E0B" w:rsidRPr="00A67277" w14:paraId="375D5EFC" w14:textId="77777777" w:rsidTr="00782E0B">
        <w:tc>
          <w:tcPr>
            <w:tcW w:w="3997" w:type="dxa"/>
          </w:tcPr>
          <w:p w14:paraId="52C63F3A" w14:textId="77777777" w:rsidR="00782E0B" w:rsidRPr="00A67277" w:rsidRDefault="00782E0B" w:rsidP="00782E0B">
            <w:pPr>
              <w:rPr>
                <w:rFonts w:ascii="Arial" w:hAnsi="Arial" w:cs="Arial"/>
                <w:sz w:val="21"/>
                <w:szCs w:val="21"/>
              </w:rPr>
            </w:pPr>
          </w:p>
        </w:tc>
        <w:tc>
          <w:tcPr>
            <w:tcW w:w="969" w:type="dxa"/>
          </w:tcPr>
          <w:p w14:paraId="1A746871" w14:textId="77777777" w:rsidR="00782E0B" w:rsidRPr="00A67277" w:rsidRDefault="00782E0B" w:rsidP="00782E0B">
            <w:pPr>
              <w:jc w:val="right"/>
              <w:rPr>
                <w:rFonts w:ascii="Arial" w:hAnsi="Arial" w:cs="Arial"/>
                <w:sz w:val="21"/>
                <w:szCs w:val="21"/>
              </w:rPr>
            </w:pPr>
          </w:p>
        </w:tc>
        <w:tc>
          <w:tcPr>
            <w:tcW w:w="3723" w:type="dxa"/>
          </w:tcPr>
          <w:p w14:paraId="7ED77EC1" w14:textId="77777777" w:rsidR="00782E0B" w:rsidRPr="00A67277" w:rsidRDefault="00782E0B" w:rsidP="00782E0B">
            <w:pPr>
              <w:rPr>
                <w:rFonts w:ascii="Arial" w:hAnsi="Arial" w:cs="Arial"/>
                <w:sz w:val="21"/>
                <w:szCs w:val="21"/>
                <w:lang w:val="id-ID"/>
              </w:rPr>
            </w:pPr>
          </w:p>
        </w:tc>
        <w:tc>
          <w:tcPr>
            <w:tcW w:w="260" w:type="dxa"/>
          </w:tcPr>
          <w:p w14:paraId="2C26ABCC" w14:textId="77777777" w:rsidR="00782E0B" w:rsidRPr="00A67277" w:rsidRDefault="00782E0B" w:rsidP="00782E0B">
            <w:pPr>
              <w:rPr>
                <w:rFonts w:ascii="Arial" w:hAnsi="Arial" w:cs="Arial"/>
                <w:sz w:val="21"/>
                <w:szCs w:val="21"/>
              </w:rPr>
            </w:pPr>
          </w:p>
        </w:tc>
        <w:tc>
          <w:tcPr>
            <w:tcW w:w="969" w:type="dxa"/>
          </w:tcPr>
          <w:p w14:paraId="62998A59" w14:textId="77777777" w:rsidR="00782E0B" w:rsidRPr="00A67277" w:rsidRDefault="00782E0B" w:rsidP="00782E0B">
            <w:pPr>
              <w:jc w:val="right"/>
              <w:rPr>
                <w:rFonts w:ascii="Arial" w:hAnsi="Arial" w:cs="Arial"/>
                <w:sz w:val="21"/>
                <w:szCs w:val="21"/>
              </w:rPr>
            </w:pPr>
          </w:p>
        </w:tc>
      </w:tr>
      <w:tr w:rsidR="00782E0B" w:rsidRPr="00A67277" w14:paraId="5E6C28F4" w14:textId="77777777" w:rsidTr="00782E0B">
        <w:tc>
          <w:tcPr>
            <w:tcW w:w="3997" w:type="dxa"/>
          </w:tcPr>
          <w:p w14:paraId="1411BD8B"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Intellectual Property </w:t>
            </w:r>
          </w:p>
        </w:tc>
        <w:tc>
          <w:tcPr>
            <w:tcW w:w="969" w:type="dxa"/>
          </w:tcPr>
          <w:p w14:paraId="07A148BA" w14:textId="46E8696C" w:rsidR="00782E0B" w:rsidRPr="00A67277" w:rsidRDefault="00782E0B" w:rsidP="00782E0B">
            <w:pPr>
              <w:jc w:val="right"/>
              <w:rPr>
                <w:rFonts w:ascii="Arial" w:hAnsi="Arial" w:cs="Arial"/>
                <w:sz w:val="21"/>
                <w:szCs w:val="21"/>
              </w:rPr>
            </w:pPr>
            <w:r>
              <w:rPr>
                <w:rFonts w:ascii="Arial" w:hAnsi="Arial" w:cs="Arial"/>
                <w:sz w:val="21"/>
                <w:szCs w:val="21"/>
              </w:rPr>
              <w:t>205</w:t>
            </w:r>
          </w:p>
        </w:tc>
        <w:tc>
          <w:tcPr>
            <w:tcW w:w="3723" w:type="dxa"/>
          </w:tcPr>
          <w:p w14:paraId="516FC922"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Hak Atas Kekayaan Intelektual</w:t>
            </w:r>
          </w:p>
        </w:tc>
        <w:tc>
          <w:tcPr>
            <w:tcW w:w="260" w:type="dxa"/>
          </w:tcPr>
          <w:p w14:paraId="4883F4B8" w14:textId="77777777" w:rsidR="00782E0B" w:rsidRPr="00A67277" w:rsidRDefault="00782E0B" w:rsidP="00782E0B">
            <w:pPr>
              <w:rPr>
                <w:rFonts w:ascii="Arial" w:hAnsi="Arial" w:cs="Arial"/>
                <w:sz w:val="21"/>
                <w:szCs w:val="21"/>
              </w:rPr>
            </w:pPr>
          </w:p>
        </w:tc>
        <w:tc>
          <w:tcPr>
            <w:tcW w:w="969" w:type="dxa"/>
          </w:tcPr>
          <w:p w14:paraId="095008BE" w14:textId="16D9E8F2" w:rsidR="00782E0B" w:rsidRPr="00A67277" w:rsidRDefault="00782E0B" w:rsidP="00782E0B">
            <w:pPr>
              <w:jc w:val="right"/>
              <w:rPr>
                <w:rFonts w:ascii="Arial" w:hAnsi="Arial" w:cs="Arial"/>
                <w:sz w:val="21"/>
                <w:szCs w:val="21"/>
              </w:rPr>
            </w:pPr>
            <w:r>
              <w:rPr>
                <w:rFonts w:ascii="Arial" w:hAnsi="Arial" w:cs="Arial"/>
                <w:sz w:val="21"/>
                <w:szCs w:val="21"/>
              </w:rPr>
              <w:t>205</w:t>
            </w:r>
          </w:p>
        </w:tc>
      </w:tr>
      <w:tr w:rsidR="00782E0B" w:rsidRPr="00A67277" w14:paraId="23429352" w14:textId="77777777" w:rsidTr="00782E0B">
        <w:tc>
          <w:tcPr>
            <w:tcW w:w="3997" w:type="dxa"/>
          </w:tcPr>
          <w:p w14:paraId="766C00DD"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Intellectual Property </w:t>
            </w:r>
          </w:p>
        </w:tc>
        <w:tc>
          <w:tcPr>
            <w:tcW w:w="969" w:type="dxa"/>
          </w:tcPr>
          <w:p w14:paraId="286A1187" w14:textId="77777777" w:rsidR="00782E0B" w:rsidRPr="00A67277" w:rsidRDefault="00782E0B" w:rsidP="00782E0B">
            <w:pPr>
              <w:jc w:val="right"/>
              <w:rPr>
                <w:rFonts w:ascii="Arial" w:hAnsi="Arial" w:cs="Arial"/>
                <w:sz w:val="21"/>
                <w:szCs w:val="21"/>
              </w:rPr>
            </w:pPr>
          </w:p>
        </w:tc>
        <w:tc>
          <w:tcPr>
            <w:tcW w:w="3723" w:type="dxa"/>
          </w:tcPr>
          <w:p w14:paraId="082F299C" w14:textId="77777777" w:rsidR="00782E0B" w:rsidRPr="00A67277" w:rsidRDefault="00782E0B" w:rsidP="00782E0B">
            <w:pPr>
              <w:pStyle w:val="ListParagraph"/>
              <w:numPr>
                <w:ilvl w:val="1"/>
                <w:numId w:val="486"/>
              </w:numPr>
              <w:spacing w:line="240" w:lineRule="auto"/>
              <w:ind w:left="1027" w:hanging="630"/>
              <w:jc w:val="left"/>
              <w:rPr>
                <w:rFonts w:cs="Arial"/>
                <w:lang w:val="id-ID"/>
              </w:rPr>
            </w:pPr>
            <w:r w:rsidRPr="00A67277">
              <w:rPr>
                <w:rFonts w:cs="Arial"/>
                <w:lang w:val="id-ID"/>
              </w:rPr>
              <w:t>Hak Atas Kekayaan Intelektual</w:t>
            </w:r>
          </w:p>
        </w:tc>
        <w:tc>
          <w:tcPr>
            <w:tcW w:w="260" w:type="dxa"/>
          </w:tcPr>
          <w:p w14:paraId="145BF6AE" w14:textId="77777777" w:rsidR="00782E0B" w:rsidRPr="00A67277" w:rsidRDefault="00782E0B" w:rsidP="00782E0B">
            <w:pPr>
              <w:rPr>
                <w:rFonts w:ascii="Arial" w:hAnsi="Arial" w:cs="Arial"/>
                <w:sz w:val="21"/>
                <w:szCs w:val="21"/>
              </w:rPr>
            </w:pPr>
          </w:p>
        </w:tc>
        <w:tc>
          <w:tcPr>
            <w:tcW w:w="969" w:type="dxa"/>
          </w:tcPr>
          <w:p w14:paraId="27131CBF" w14:textId="77777777" w:rsidR="00782E0B" w:rsidRPr="00A67277" w:rsidRDefault="00782E0B" w:rsidP="00782E0B">
            <w:pPr>
              <w:jc w:val="right"/>
              <w:rPr>
                <w:rFonts w:ascii="Arial" w:hAnsi="Arial" w:cs="Arial"/>
                <w:sz w:val="21"/>
                <w:szCs w:val="21"/>
              </w:rPr>
            </w:pPr>
          </w:p>
        </w:tc>
      </w:tr>
      <w:tr w:rsidR="00782E0B" w:rsidRPr="00A67277" w14:paraId="6A56E5FE" w14:textId="77777777" w:rsidTr="00782E0B">
        <w:tc>
          <w:tcPr>
            <w:tcW w:w="3997" w:type="dxa"/>
          </w:tcPr>
          <w:p w14:paraId="4C1A72A7" w14:textId="77777777" w:rsidR="00782E0B" w:rsidRPr="00A67277" w:rsidRDefault="00782E0B" w:rsidP="00782E0B">
            <w:pPr>
              <w:rPr>
                <w:rFonts w:ascii="Arial" w:hAnsi="Arial" w:cs="Arial"/>
                <w:sz w:val="21"/>
                <w:szCs w:val="21"/>
              </w:rPr>
            </w:pPr>
          </w:p>
        </w:tc>
        <w:tc>
          <w:tcPr>
            <w:tcW w:w="969" w:type="dxa"/>
          </w:tcPr>
          <w:p w14:paraId="2DAD3D8C" w14:textId="77777777" w:rsidR="00782E0B" w:rsidRPr="00A67277" w:rsidRDefault="00782E0B" w:rsidP="00782E0B">
            <w:pPr>
              <w:jc w:val="right"/>
              <w:rPr>
                <w:rFonts w:ascii="Arial" w:hAnsi="Arial" w:cs="Arial"/>
                <w:sz w:val="21"/>
                <w:szCs w:val="21"/>
              </w:rPr>
            </w:pPr>
          </w:p>
        </w:tc>
        <w:tc>
          <w:tcPr>
            <w:tcW w:w="3723" w:type="dxa"/>
          </w:tcPr>
          <w:p w14:paraId="6A1EE545" w14:textId="77777777" w:rsidR="00782E0B" w:rsidRPr="00A67277" w:rsidRDefault="00782E0B" w:rsidP="00782E0B">
            <w:pPr>
              <w:rPr>
                <w:rFonts w:ascii="Arial" w:hAnsi="Arial" w:cs="Arial"/>
                <w:sz w:val="21"/>
                <w:szCs w:val="21"/>
                <w:lang w:val="id-ID"/>
              </w:rPr>
            </w:pPr>
          </w:p>
        </w:tc>
        <w:tc>
          <w:tcPr>
            <w:tcW w:w="260" w:type="dxa"/>
          </w:tcPr>
          <w:p w14:paraId="3E4E77DC" w14:textId="77777777" w:rsidR="00782E0B" w:rsidRPr="00A67277" w:rsidRDefault="00782E0B" w:rsidP="00782E0B">
            <w:pPr>
              <w:rPr>
                <w:rFonts w:ascii="Arial" w:hAnsi="Arial" w:cs="Arial"/>
                <w:sz w:val="21"/>
                <w:szCs w:val="21"/>
              </w:rPr>
            </w:pPr>
          </w:p>
        </w:tc>
        <w:tc>
          <w:tcPr>
            <w:tcW w:w="969" w:type="dxa"/>
          </w:tcPr>
          <w:p w14:paraId="63590D0F" w14:textId="77777777" w:rsidR="00782E0B" w:rsidRPr="00A67277" w:rsidRDefault="00782E0B" w:rsidP="00782E0B">
            <w:pPr>
              <w:jc w:val="right"/>
              <w:rPr>
                <w:rFonts w:ascii="Arial" w:hAnsi="Arial" w:cs="Arial"/>
                <w:sz w:val="21"/>
                <w:szCs w:val="21"/>
              </w:rPr>
            </w:pPr>
          </w:p>
        </w:tc>
      </w:tr>
      <w:tr w:rsidR="00782E0B" w:rsidRPr="00A67277" w14:paraId="43F2D9D6" w14:textId="77777777" w:rsidTr="00782E0B">
        <w:tc>
          <w:tcPr>
            <w:tcW w:w="3997" w:type="dxa"/>
          </w:tcPr>
          <w:p w14:paraId="22C2308B"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Assignment </w:t>
            </w:r>
          </w:p>
        </w:tc>
        <w:tc>
          <w:tcPr>
            <w:tcW w:w="969" w:type="dxa"/>
          </w:tcPr>
          <w:p w14:paraId="0ECD1439" w14:textId="6490D819" w:rsidR="00782E0B" w:rsidRPr="00A67277" w:rsidRDefault="00782E0B" w:rsidP="00782E0B">
            <w:pPr>
              <w:jc w:val="right"/>
              <w:rPr>
                <w:rFonts w:ascii="Arial" w:hAnsi="Arial" w:cs="Arial"/>
                <w:sz w:val="21"/>
                <w:szCs w:val="21"/>
              </w:rPr>
            </w:pPr>
            <w:r>
              <w:rPr>
                <w:rFonts w:ascii="Arial" w:hAnsi="Arial" w:cs="Arial"/>
                <w:sz w:val="21"/>
                <w:szCs w:val="21"/>
              </w:rPr>
              <w:t>207</w:t>
            </w:r>
          </w:p>
        </w:tc>
        <w:tc>
          <w:tcPr>
            <w:tcW w:w="3723" w:type="dxa"/>
          </w:tcPr>
          <w:p w14:paraId="6C8D8C5F"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Pengalihan</w:t>
            </w:r>
          </w:p>
        </w:tc>
        <w:tc>
          <w:tcPr>
            <w:tcW w:w="260" w:type="dxa"/>
          </w:tcPr>
          <w:p w14:paraId="0D4F0529" w14:textId="77777777" w:rsidR="00782E0B" w:rsidRPr="00A67277" w:rsidRDefault="00782E0B" w:rsidP="00782E0B">
            <w:pPr>
              <w:rPr>
                <w:rFonts w:ascii="Arial" w:hAnsi="Arial" w:cs="Arial"/>
                <w:sz w:val="21"/>
                <w:szCs w:val="21"/>
              </w:rPr>
            </w:pPr>
          </w:p>
        </w:tc>
        <w:tc>
          <w:tcPr>
            <w:tcW w:w="969" w:type="dxa"/>
          </w:tcPr>
          <w:p w14:paraId="2B85B80F" w14:textId="40CA5ABD" w:rsidR="00782E0B" w:rsidRPr="00A67277" w:rsidRDefault="00782E0B" w:rsidP="00782E0B">
            <w:pPr>
              <w:jc w:val="right"/>
              <w:rPr>
                <w:rFonts w:ascii="Arial" w:hAnsi="Arial" w:cs="Arial"/>
                <w:sz w:val="21"/>
                <w:szCs w:val="21"/>
              </w:rPr>
            </w:pPr>
            <w:r>
              <w:rPr>
                <w:rFonts w:ascii="Arial" w:hAnsi="Arial" w:cs="Arial"/>
                <w:sz w:val="21"/>
                <w:szCs w:val="21"/>
              </w:rPr>
              <w:t>207</w:t>
            </w:r>
          </w:p>
        </w:tc>
      </w:tr>
      <w:tr w:rsidR="00782E0B" w:rsidRPr="00A67277" w14:paraId="09ABC835" w14:textId="77777777" w:rsidTr="00782E0B">
        <w:tc>
          <w:tcPr>
            <w:tcW w:w="3997" w:type="dxa"/>
          </w:tcPr>
          <w:p w14:paraId="569BBE08" w14:textId="77777777" w:rsidR="00782E0B" w:rsidRPr="00A67277" w:rsidRDefault="00782E0B" w:rsidP="00782E0B">
            <w:pPr>
              <w:rPr>
                <w:rFonts w:ascii="Arial" w:hAnsi="Arial" w:cs="Arial"/>
                <w:sz w:val="21"/>
                <w:szCs w:val="21"/>
              </w:rPr>
            </w:pPr>
          </w:p>
        </w:tc>
        <w:tc>
          <w:tcPr>
            <w:tcW w:w="969" w:type="dxa"/>
          </w:tcPr>
          <w:p w14:paraId="2FD62A33" w14:textId="77777777" w:rsidR="00782E0B" w:rsidRPr="00A67277" w:rsidRDefault="00782E0B" w:rsidP="00782E0B">
            <w:pPr>
              <w:jc w:val="right"/>
              <w:rPr>
                <w:rFonts w:ascii="Arial" w:hAnsi="Arial" w:cs="Arial"/>
                <w:sz w:val="21"/>
                <w:szCs w:val="21"/>
              </w:rPr>
            </w:pPr>
          </w:p>
        </w:tc>
        <w:tc>
          <w:tcPr>
            <w:tcW w:w="3723" w:type="dxa"/>
          </w:tcPr>
          <w:p w14:paraId="461DB294" w14:textId="77777777" w:rsidR="00782E0B" w:rsidRPr="00A67277" w:rsidRDefault="00782E0B" w:rsidP="00782E0B">
            <w:pPr>
              <w:rPr>
                <w:rFonts w:ascii="Arial" w:hAnsi="Arial" w:cs="Arial"/>
                <w:sz w:val="21"/>
                <w:szCs w:val="21"/>
                <w:lang w:val="id-ID"/>
              </w:rPr>
            </w:pPr>
          </w:p>
        </w:tc>
        <w:tc>
          <w:tcPr>
            <w:tcW w:w="260" w:type="dxa"/>
          </w:tcPr>
          <w:p w14:paraId="7C58BF9D" w14:textId="77777777" w:rsidR="00782E0B" w:rsidRPr="00A67277" w:rsidRDefault="00782E0B" w:rsidP="00782E0B">
            <w:pPr>
              <w:rPr>
                <w:rFonts w:ascii="Arial" w:hAnsi="Arial" w:cs="Arial"/>
                <w:sz w:val="21"/>
                <w:szCs w:val="21"/>
              </w:rPr>
            </w:pPr>
          </w:p>
        </w:tc>
        <w:tc>
          <w:tcPr>
            <w:tcW w:w="969" w:type="dxa"/>
          </w:tcPr>
          <w:p w14:paraId="73BBE0CB" w14:textId="77777777" w:rsidR="00782E0B" w:rsidRPr="00A67277" w:rsidRDefault="00782E0B" w:rsidP="00782E0B">
            <w:pPr>
              <w:jc w:val="right"/>
              <w:rPr>
                <w:rFonts w:ascii="Arial" w:hAnsi="Arial" w:cs="Arial"/>
                <w:sz w:val="21"/>
                <w:szCs w:val="21"/>
              </w:rPr>
            </w:pPr>
          </w:p>
        </w:tc>
      </w:tr>
      <w:tr w:rsidR="00782E0B" w:rsidRPr="00A67277" w14:paraId="0AE71E2A" w14:textId="77777777" w:rsidTr="00782E0B">
        <w:tc>
          <w:tcPr>
            <w:tcW w:w="3997" w:type="dxa"/>
          </w:tcPr>
          <w:p w14:paraId="1E2C417E"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Monitoring, Records, Reports, Audit </w:t>
            </w:r>
          </w:p>
        </w:tc>
        <w:tc>
          <w:tcPr>
            <w:tcW w:w="969" w:type="dxa"/>
          </w:tcPr>
          <w:p w14:paraId="22D94702" w14:textId="7EE6F9B0" w:rsidR="00782E0B" w:rsidRPr="00A67277" w:rsidRDefault="00782E0B" w:rsidP="00782E0B">
            <w:pPr>
              <w:jc w:val="right"/>
              <w:rPr>
                <w:rFonts w:ascii="Arial" w:hAnsi="Arial" w:cs="Arial"/>
                <w:sz w:val="21"/>
                <w:szCs w:val="21"/>
              </w:rPr>
            </w:pPr>
            <w:r>
              <w:rPr>
                <w:rFonts w:ascii="Arial" w:hAnsi="Arial" w:cs="Arial"/>
                <w:sz w:val="21"/>
                <w:szCs w:val="21"/>
              </w:rPr>
              <w:t>208</w:t>
            </w:r>
          </w:p>
        </w:tc>
        <w:tc>
          <w:tcPr>
            <w:tcW w:w="3723" w:type="dxa"/>
          </w:tcPr>
          <w:p w14:paraId="0485CF1A" w14:textId="77777777" w:rsidR="00782E0B" w:rsidRPr="00A67277" w:rsidRDefault="00782E0B" w:rsidP="00782E0B">
            <w:pPr>
              <w:pStyle w:val="ListParagraph"/>
              <w:numPr>
                <w:ilvl w:val="0"/>
                <w:numId w:val="479"/>
              </w:numPr>
              <w:spacing w:line="240" w:lineRule="auto"/>
              <w:ind w:left="397" w:hanging="397"/>
              <w:jc w:val="left"/>
              <w:rPr>
                <w:rFonts w:cs="Arial"/>
                <w:b/>
                <w:lang w:val="id-ID"/>
              </w:rPr>
            </w:pPr>
            <w:r w:rsidRPr="00A67277">
              <w:rPr>
                <w:rFonts w:cs="Arial"/>
                <w:b/>
                <w:lang w:val="id-ID"/>
              </w:rPr>
              <w:t>Pengawasan, Catatan, Laporan, Audit</w:t>
            </w:r>
          </w:p>
        </w:tc>
        <w:tc>
          <w:tcPr>
            <w:tcW w:w="260" w:type="dxa"/>
          </w:tcPr>
          <w:p w14:paraId="1C66D4D7" w14:textId="77777777" w:rsidR="00782E0B" w:rsidRPr="00A67277" w:rsidRDefault="00782E0B" w:rsidP="00782E0B">
            <w:pPr>
              <w:rPr>
                <w:rFonts w:ascii="Arial" w:hAnsi="Arial" w:cs="Arial"/>
                <w:sz w:val="21"/>
                <w:szCs w:val="21"/>
              </w:rPr>
            </w:pPr>
          </w:p>
        </w:tc>
        <w:tc>
          <w:tcPr>
            <w:tcW w:w="969" w:type="dxa"/>
          </w:tcPr>
          <w:p w14:paraId="2FFFFF05" w14:textId="2E07E1CC" w:rsidR="00782E0B" w:rsidRPr="00A67277" w:rsidRDefault="00782E0B" w:rsidP="00782E0B">
            <w:pPr>
              <w:jc w:val="right"/>
              <w:rPr>
                <w:rFonts w:ascii="Arial" w:hAnsi="Arial" w:cs="Arial"/>
                <w:sz w:val="21"/>
                <w:szCs w:val="21"/>
              </w:rPr>
            </w:pPr>
            <w:r>
              <w:rPr>
                <w:rFonts w:ascii="Arial" w:hAnsi="Arial" w:cs="Arial"/>
                <w:sz w:val="21"/>
                <w:szCs w:val="21"/>
              </w:rPr>
              <w:t>208</w:t>
            </w:r>
          </w:p>
        </w:tc>
      </w:tr>
      <w:tr w:rsidR="00782E0B" w:rsidRPr="00A67277" w14:paraId="52FAF5C9" w14:textId="77777777" w:rsidTr="00782E0B">
        <w:tc>
          <w:tcPr>
            <w:tcW w:w="3997" w:type="dxa"/>
          </w:tcPr>
          <w:p w14:paraId="5F7CDF56"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Monitoring Rights; Reports </w:t>
            </w:r>
          </w:p>
        </w:tc>
        <w:tc>
          <w:tcPr>
            <w:tcW w:w="969" w:type="dxa"/>
          </w:tcPr>
          <w:p w14:paraId="5490DB47" w14:textId="5A25CE67" w:rsidR="00782E0B" w:rsidRPr="00A67277" w:rsidRDefault="00782E0B" w:rsidP="00782E0B">
            <w:pPr>
              <w:jc w:val="right"/>
              <w:rPr>
                <w:rFonts w:ascii="Arial" w:hAnsi="Arial" w:cs="Arial"/>
                <w:sz w:val="21"/>
                <w:szCs w:val="21"/>
              </w:rPr>
            </w:pPr>
            <w:r>
              <w:rPr>
                <w:rFonts w:ascii="Arial" w:hAnsi="Arial" w:cs="Arial"/>
                <w:sz w:val="21"/>
                <w:szCs w:val="21"/>
              </w:rPr>
              <w:t>208</w:t>
            </w:r>
          </w:p>
        </w:tc>
        <w:tc>
          <w:tcPr>
            <w:tcW w:w="3723" w:type="dxa"/>
          </w:tcPr>
          <w:p w14:paraId="5439285B"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Hak Pengawasan; Laporan-Laporan</w:t>
            </w:r>
          </w:p>
        </w:tc>
        <w:tc>
          <w:tcPr>
            <w:tcW w:w="260" w:type="dxa"/>
          </w:tcPr>
          <w:p w14:paraId="2FCE04AD" w14:textId="77777777" w:rsidR="00782E0B" w:rsidRPr="00A67277" w:rsidRDefault="00782E0B" w:rsidP="00782E0B">
            <w:pPr>
              <w:rPr>
                <w:rFonts w:ascii="Arial" w:hAnsi="Arial" w:cs="Arial"/>
                <w:sz w:val="21"/>
                <w:szCs w:val="21"/>
              </w:rPr>
            </w:pPr>
          </w:p>
        </w:tc>
        <w:tc>
          <w:tcPr>
            <w:tcW w:w="969" w:type="dxa"/>
          </w:tcPr>
          <w:p w14:paraId="0D961D9E" w14:textId="7F6E207A" w:rsidR="00782E0B" w:rsidRPr="00A67277" w:rsidRDefault="00782E0B" w:rsidP="00782E0B">
            <w:pPr>
              <w:jc w:val="right"/>
              <w:rPr>
                <w:rFonts w:ascii="Arial" w:hAnsi="Arial" w:cs="Arial"/>
                <w:sz w:val="21"/>
                <w:szCs w:val="21"/>
              </w:rPr>
            </w:pPr>
            <w:r>
              <w:rPr>
                <w:rFonts w:ascii="Arial" w:hAnsi="Arial" w:cs="Arial"/>
                <w:sz w:val="21"/>
                <w:szCs w:val="21"/>
              </w:rPr>
              <w:t>208</w:t>
            </w:r>
          </w:p>
        </w:tc>
      </w:tr>
      <w:tr w:rsidR="00782E0B" w:rsidRPr="00A67277" w14:paraId="36D445F6" w14:textId="77777777" w:rsidTr="00782E0B">
        <w:tc>
          <w:tcPr>
            <w:tcW w:w="3997" w:type="dxa"/>
          </w:tcPr>
          <w:p w14:paraId="00B4137D"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Books and Records; Audit </w:t>
            </w:r>
          </w:p>
        </w:tc>
        <w:tc>
          <w:tcPr>
            <w:tcW w:w="969" w:type="dxa"/>
          </w:tcPr>
          <w:p w14:paraId="175C525E" w14:textId="4594EA24" w:rsidR="00782E0B" w:rsidRPr="00A67277" w:rsidRDefault="00782E0B" w:rsidP="00782E0B">
            <w:pPr>
              <w:jc w:val="right"/>
              <w:rPr>
                <w:rFonts w:ascii="Arial" w:hAnsi="Arial" w:cs="Arial"/>
                <w:sz w:val="21"/>
                <w:szCs w:val="21"/>
              </w:rPr>
            </w:pPr>
            <w:r>
              <w:rPr>
                <w:rFonts w:ascii="Arial" w:hAnsi="Arial" w:cs="Arial"/>
                <w:sz w:val="21"/>
                <w:szCs w:val="21"/>
              </w:rPr>
              <w:t>212</w:t>
            </w:r>
          </w:p>
        </w:tc>
        <w:tc>
          <w:tcPr>
            <w:tcW w:w="3723" w:type="dxa"/>
          </w:tcPr>
          <w:p w14:paraId="4BD09D37"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Buku dan Catatan; Audit</w:t>
            </w:r>
          </w:p>
        </w:tc>
        <w:tc>
          <w:tcPr>
            <w:tcW w:w="260" w:type="dxa"/>
          </w:tcPr>
          <w:p w14:paraId="1D2C2DBF" w14:textId="77777777" w:rsidR="00782E0B" w:rsidRPr="00A67277" w:rsidRDefault="00782E0B" w:rsidP="00782E0B">
            <w:pPr>
              <w:rPr>
                <w:rFonts w:ascii="Arial" w:hAnsi="Arial" w:cs="Arial"/>
                <w:sz w:val="21"/>
                <w:szCs w:val="21"/>
              </w:rPr>
            </w:pPr>
          </w:p>
        </w:tc>
        <w:tc>
          <w:tcPr>
            <w:tcW w:w="969" w:type="dxa"/>
          </w:tcPr>
          <w:p w14:paraId="42E3C39D" w14:textId="3EE0F290" w:rsidR="00782E0B" w:rsidRPr="00A67277" w:rsidRDefault="00782E0B" w:rsidP="00782E0B">
            <w:pPr>
              <w:jc w:val="right"/>
              <w:rPr>
                <w:rFonts w:ascii="Arial" w:hAnsi="Arial" w:cs="Arial"/>
                <w:sz w:val="21"/>
                <w:szCs w:val="21"/>
              </w:rPr>
            </w:pPr>
            <w:r>
              <w:rPr>
                <w:rFonts w:ascii="Arial" w:hAnsi="Arial" w:cs="Arial"/>
                <w:sz w:val="21"/>
                <w:szCs w:val="21"/>
              </w:rPr>
              <w:t>212</w:t>
            </w:r>
          </w:p>
        </w:tc>
      </w:tr>
      <w:tr w:rsidR="00782E0B" w:rsidRPr="00A67277" w14:paraId="5E8F9A28" w14:textId="77777777" w:rsidTr="00782E0B">
        <w:tc>
          <w:tcPr>
            <w:tcW w:w="3997" w:type="dxa"/>
          </w:tcPr>
          <w:p w14:paraId="088CC5BD"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Non-Interference </w:t>
            </w:r>
          </w:p>
        </w:tc>
        <w:tc>
          <w:tcPr>
            <w:tcW w:w="969" w:type="dxa"/>
          </w:tcPr>
          <w:p w14:paraId="1B8A8F32" w14:textId="7BD28107" w:rsidR="00782E0B" w:rsidRPr="00A67277" w:rsidRDefault="00782E0B" w:rsidP="00782E0B">
            <w:pPr>
              <w:jc w:val="right"/>
              <w:rPr>
                <w:rFonts w:ascii="Arial" w:hAnsi="Arial" w:cs="Arial"/>
                <w:sz w:val="21"/>
                <w:szCs w:val="21"/>
              </w:rPr>
            </w:pPr>
            <w:r>
              <w:rPr>
                <w:rFonts w:ascii="Arial" w:hAnsi="Arial" w:cs="Arial"/>
                <w:sz w:val="21"/>
                <w:szCs w:val="21"/>
              </w:rPr>
              <w:t>215</w:t>
            </w:r>
          </w:p>
        </w:tc>
        <w:tc>
          <w:tcPr>
            <w:tcW w:w="3723" w:type="dxa"/>
          </w:tcPr>
          <w:p w14:paraId="2DA43919"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Tidak Ada Gangguan</w:t>
            </w:r>
          </w:p>
        </w:tc>
        <w:tc>
          <w:tcPr>
            <w:tcW w:w="260" w:type="dxa"/>
          </w:tcPr>
          <w:p w14:paraId="102F35F2" w14:textId="77777777" w:rsidR="00782E0B" w:rsidRPr="00A67277" w:rsidRDefault="00782E0B" w:rsidP="00782E0B">
            <w:pPr>
              <w:rPr>
                <w:rFonts w:ascii="Arial" w:hAnsi="Arial" w:cs="Arial"/>
                <w:sz w:val="21"/>
                <w:szCs w:val="21"/>
              </w:rPr>
            </w:pPr>
          </w:p>
        </w:tc>
        <w:tc>
          <w:tcPr>
            <w:tcW w:w="969" w:type="dxa"/>
          </w:tcPr>
          <w:p w14:paraId="7E3551C9" w14:textId="56C65D19" w:rsidR="00782E0B" w:rsidRPr="00A67277" w:rsidRDefault="00782E0B" w:rsidP="00782E0B">
            <w:pPr>
              <w:jc w:val="right"/>
              <w:rPr>
                <w:rFonts w:ascii="Arial" w:hAnsi="Arial" w:cs="Arial"/>
                <w:sz w:val="21"/>
                <w:szCs w:val="21"/>
              </w:rPr>
            </w:pPr>
            <w:r>
              <w:rPr>
                <w:rFonts w:ascii="Arial" w:hAnsi="Arial" w:cs="Arial"/>
                <w:sz w:val="21"/>
                <w:szCs w:val="21"/>
              </w:rPr>
              <w:t>215</w:t>
            </w:r>
          </w:p>
        </w:tc>
      </w:tr>
      <w:tr w:rsidR="00782E0B" w:rsidRPr="00A67277" w14:paraId="04DCE974" w14:textId="77777777" w:rsidTr="00782E0B">
        <w:tc>
          <w:tcPr>
            <w:tcW w:w="3997" w:type="dxa"/>
          </w:tcPr>
          <w:p w14:paraId="4619E066"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Strategic Committee </w:t>
            </w:r>
          </w:p>
        </w:tc>
        <w:tc>
          <w:tcPr>
            <w:tcW w:w="969" w:type="dxa"/>
          </w:tcPr>
          <w:p w14:paraId="69C28A29" w14:textId="681A303D" w:rsidR="00782E0B" w:rsidRPr="00A67277" w:rsidRDefault="00782E0B" w:rsidP="00782E0B">
            <w:pPr>
              <w:jc w:val="right"/>
              <w:rPr>
                <w:rFonts w:ascii="Arial" w:hAnsi="Arial" w:cs="Arial"/>
                <w:sz w:val="21"/>
                <w:szCs w:val="21"/>
              </w:rPr>
            </w:pPr>
            <w:r>
              <w:rPr>
                <w:rFonts w:ascii="Arial" w:hAnsi="Arial" w:cs="Arial"/>
                <w:sz w:val="21"/>
                <w:szCs w:val="21"/>
              </w:rPr>
              <w:t>216</w:t>
            </w:r>
          </w:p>
        </w:tc>
        <w:tc>
          <w:tcPr>
            <w:tcW w:w="3723" w:type="dxa"/>
          </w:tcPr>
          <w:p w14:paraId="673B3051"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Komite Strategis</w:t>
            </w:r>
          </w:p>
        </w:tc>
        <w:tc>
          <w:tcPr>
            <w:tcW w:w="260" w:type="dxa"/>
          </w:tcPr>
          <w:p w14:paraId="64B98311" w14:textId="77777777" w:rsidR="00782E0B" w:rsidRPr="00A67277" w:rsidRDefault="00782E0B" w:rsidP="00782E0B">
            <w:pPr>
              <w:rPr>
                <w:rFonts w:ascii="Arial" w:hAnsi="Arial" w:cs="Arial"/>
                <w:sz w:val="21"/>
                <w:szCs w:val="21"/>
              </w:rPr>
            </w:pPr>
          </w:p>
        </w:tc>
        <w:tc>
          <w:tcPr>
            <w:tcW w:w="969" w:type="dxa"/>
          </w:tcPr>
          <w:p w14:paraId="3BE615BE" w14:textId="12EE594F" w:rsidR="00782E0B" w:rsidRPr="00A67277" w:rsidRDefault="00782E0B" w:rsidP="00782E0B">
            <w:pPr>
              <w:jc w:val="right"/>
              <w:rPr>
                <w:rFonts w:ascii="Arial" w:hAnsi="Arial" w:cs="Arial"/>
                <w:sz w:val="21"/>
                <w:szCs w:val="21"/>
              </w:rPr>
            </w:pPr>
            <w:r>
              <w:rPr>
                <w:rFonts w:ascii="Arial" w:hAnsi="Arial" w:cs="Arial"/>
                <w:sz w:val="21"/>
                <w:szCs w:val="21"/>
              </w:rPr>
              <w:t>216</w:t>
            </w:r>
          </w:p>
        </w:tc>
      </w:tr>
      <w:tr w:rsidR="00782E0B" w:rsidRPr="00A67277" w14:paraId="2517135C" w14:textId="77777777" w:rsidTr="00782E0B">
        <w:tc>
          <w:tcPr>
            <w:tcW w:w="3997" w:type="dxa"/>
          </w:tcPr>
          <w:p w14:paraId="29F4A8EF" w14:textId="77777777" w:rsidR="00782E0B" w:rsidRPr="00A67277" w:rsidRDefault="00782E0B" w:rsidP="00782E0B">
            <w:pPr>
              <w:rPr>
                <w:rFonts w:ascii="Arial" w:hAnsi="Arial" w:cs="Arial"/>
                <w:sz w:val="21"/>
                <w:szCs w:val="21"/>
              </w:rPr>
            </w:pPr>
          </w:p>
        </w:tc>
        <w:tc>
          <w:tcPr>
            <w:tcW w:w="969" w:type="dxa"/>
          </w:tcPr>
          <w:p w14:paraId="2A01AF98" w14:textId="77777777" w:rsidR="00782E0B" w:rsidRPr="00A67277" w:rsidRDefault="00782E0B" w:rsidP="00782E0B">
            <w:pPr>
              <w:jc w:val="right"/>
              <w:rPr>
                <w:rFonts w:ascii="Arial" w:hAnsi="Arial" w:cs="Arial"/>
                <w:sz w:val="21"/>
                <w:szCs w:val="21"/>
              </w:rPr>
            </w:pPr>
          </w:p>
        </w:tc>
        <w:tc>
          <w:tcPr>
            <w:tcW w:w="3723" w:type="dxa"/>
          </w:tcPr>
          <w:p w14:paraId="1DBA1ABC" w14:textId="77777777" w:rsidR="00782E0B" w:rsidRPr="00A67277" w:rsidRDefault="00782E0B" w:rsidP="00782E0B">
            <w:pPr>
              <w:rPr>
                <w:rFonts w:ascii="Arial" w:hAnsi="Arial" w:cs="Arial"/>
                <w:sz w:val="21"/>
                <w:szCs w:val="21"/>
                <w:lang w:val="id-ID"/>
              </w:rPr>
            </w:pPr>
          </w:p>
        </w:tc>
        <w:tc>
          <w:tcPr>
            <w:tcW w:w="260" w:type="dxa"/>
          </w:tcPr>
          <w:p w14:paraId="07A060D6" w14:textId="77777777" w:rsidR="00782E0B" w:rsidRPr="00A67277" w:rsidRDefault="00782E0B" w:rsidP="00782E0B">
            <w:pPr>
              <w:rPr>
                <w:rFonts w:ascii="Arial" w:hAnsi="Arial" w:cs="Arial"/>
                <w:sz w:val="21"/>
                <w:szCs w:val="21"/>
              </w:rPr>
            </w:pPr>
          </w:p>
        </w:tc>
        <w:tc>
          <w:tcPr>
            <w:tcW w:w="969" w:type="dxa"/>
          </w:tcPr>
          <w:p w14:paraId="2EAFB09C" w14:textId="77777777" w:rsidR="00782E0B" w:rsidRPr="00A67277" w:rsidRDefault="00782E0B" w:rsidP="00782E0B">
            <w:pPr>
              <w:jc w:val="right"/>
              <w:rPr>
                <w:rFonts w:ascii="Arial" w:hAnsi="Arial" w:cs="Arial"/>
                <w:sz w:val="21"/>
                <w:szCs w:val="21"/>
              </w:rPr>
            </w:pPr>
          </w:p>
        </w:tc>
      </w:tr>
      <w:tr w:rsidR="00782E0B" w:rsidRPr="00A67277" w14:paraId="6FB8F895" w14:textId="77777777" w:rsidTr="00782E0B">
        <w:tc>
          <w:tcPr>
            <w:tcW w:w="3997" w:type="dxa"/>
          </w:tcPr>
          <w:p w14:paraId="014E7D3A" w14:textId="77777777" w:rsidR="00782E0B" w:rsidRPr="00A67277" w:rsidRDefault="00782E0B" w:rsidP="00782E0B">
            <w:pPr>
              <w:pStyle w:val="ListParagraph"/>
              <w:numPr>
                <w:ilvl w:val="0"/>
                <w:numId w:val="484"/>
              </w:numPr>
              <w:spacing w:line="240" w:lineRule="auto"/>
              <w:ind w:left="394" w:hanging="394"/>
              <w:jc w:val="left"/>
              <w:rPr>
                <w:rFonts w:cs="Arial"/>
                <w:b/>
              </w:rPr>
            </w:pPr>
            <w:r w:rsidRPr="00A67277">
              <w:rPr>
                <w:rFonts w:cs="Arial"/>
                <w:b/>
              </w:rPr>
              <w:t xml:space="preserve">Miscellaneous </w:t>
            </w:r>
          </w:p>
        </w:tc>
        <w:tc>
          <w:tcPr>
            <w:tcW w:w="969" w:type="dxa"/>
          </w:tcPr>
          <w:p w14:paraId="3B26D484" w14:textId="091C2E3E" w:rsidR="00782E0B" w:rsidRPr="00A67277" w:rsidRDefault="00782E0B" w:rsidP="00782E0B">
            <w:pPr>
              <w:jc w:val="right"/>
              <w:rPr>
                <w:rFonts w:ascii="Arial" w:hAnsi="Arial" w:cs="Arial"/>
                <w:sz w:val="21"/>
                <w:szCs w:val="21"/>
              </w:rPr>
            </w:pPr>
            <w:r>
              <w:rPr>
                <w:rFonts w:ascii="Arial" w:hAnsi="Arial" w:cs="Arial"/>
                <w:sz w:val="21"/>
                <w:szCs w:val="21"/>
              </w:rPr>
              <w:t>217</w:t>
            </w:r>
          </w:p>
        </w:tc>
        <w:tc>
          <w:tcPr>
            <w:tcW w:w="3723" w:type="dxa"/>
          </w:tcPr>
          <w:p w14:paraId="5BB39981" w14:textId="77777777" w:rsidR="00782E0B" w:rsidRPr="00A67277" w:rsidRDefault="00782E0B" w:rsidP="00782E0B">
            <w:pPr>
              <w:pStyle w:val="ListParagraph"/>
              <w:numPr>
                <w:ilvl w:val="0"/>
                <w:numId w:val="479"/>
              </w:numPr>
              <w:spacing w:line="240" w:lineRule="auto"/>
              <w:ind w:left="549" w:hanging="549"/>
              <w:jc w:val="left"/>
              <w:rPr>
                <w:rFonts w:cs="Arial"/>
                <w:b/>
                <w:lang w:val="id-ID"/>
              </w:rPr>
            </w:pPr>
            <w:r w:rsidRPr="00A67277">
              <w:rPr>
                <w:rFonts w:cs="Arial"/>
                <w:b/>
                <w:lang w:val="id-ID"/>
              </w:rPr>
              <w:t>Ketentuan Lain-Lain</w:t>
            </w:r>
          </w:p>
        </w:tc>
        <w:tc>
          <w:tcPr>
            <w:tcW w:w="260" w:type="dxa"/>
          </w:tcPr>
          <w:p w14:paraId="1414CF18" w14:textId="77777777" w:rsidR="00782E0B" w:rsidRPr="00A67277" w:rsidRDefault="00782E0B" w:rsidP="00782E0B">
            <w:pPr>
              <w:rPr>
                <w:rFonts w:ascii="Arial" w:hAnsi="Arial" w:cs="Arial"/>
                <w:sz w:val="21"/>
                <w:szCs w:val="21"/>
              </w:rPr>
            </w:pPr>
          </w:p>
        </w:tc>
        <w:tc>
          <w:tcPr>
            <w:tcW w:w="969" w:type="dxa"/>
          </w:tcPr>
          <w:p w14:paraId="7D598E67" w14:textId="5CE4DB47" w:rsidR="00782E0B" w:rsidRPr="00A67277" w:rsidRDefault="00782E0B" w:rsidP="00782E0B">
            <w:pPr>
              <w:jc w:val="right"/>
              <w:rPr>
                <w:rFonts w:ascii="Arial" w:hAnsi="Arial" w:cs="Arial"/>
                <w:sz w:val="21"/>
                <w:szCs w:val="21"/>
              </w:rPr>
            </w:pPr>
            <w:r>
              <w:rPr>
                <w:rFonts w:ascii="Arial" w:hAnsi="Arial" w:cs="Arial"/>
                <w:sz w:val="21"/>
                <w:szCs w:val="21"/>
              </w:rPr>
              <w:t>217</w:t>
            </w:r>
          </w:p>
        </w:tc>
      </w:tr>
      <w:tr w:rsidR="00782E0B" w:rsidRPr="00A67277" w14:paraId="32086CA3" w14:textId="77777777" w:rsidTr="00782E0B">
        <w:tc>
          <w:tcPr>
            <w:tcW w:w="3997" w:type="dxa"/>
          </w:tcPr>
          <w:p w14:paraId="26254D03"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Language </w:t>
            </w:r>
          </w:p>
        </w:tc>
        <w:tc>
          <w:tcPr>
            <w:tcW w:w="969" w:type="dxa"/>
          </w:tcPr>
          <w:p w14:paraId="000840B0" w14:textId="1BBA2C8B" w:rsidR="00782E0B" w:rsidRPr="00A67277" w:rsidRDefault="00782E0B" w:rsidP="00782E0B">
            <w:pPr>
              <w:jc w:val="right"/>
              <w:rPr>
                <w:rFonts w:ascii="Arial" w:hAnsi="Arial" w:cs="Arial"/>
                <w:sz w:val="21"/>
                <w:szCs w:val="21"/>
              </w:rPr>
            </w:pPr>
            <w:r>
              <w:rPr>
                <w:rFonts w:ascii="Arial" w:hAnsi="Arial" w:cs="Arial"/>
                <w:sz w:val="21"/>
                <w:szCs w:val="21"/>
              </w:rPr>
              <w:t>217</w:t>
            </w:r>
          </w:p>
        </w:tc>
        <w:tc>
          <w:tcPr>
            <w:tcW w:w="3723" w:type="dxa"/>
          </w:tcPr>
          <w:p w14:paraId="57A6562F"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Bahasa</w:t>
            </w:r>
          </w:p>
        </w:tc>
        <w:tc>
          <w:tcPr>
            <w:tcW w:w="260" w:type="dxa"/>
          </w:tcPr>
          <w:p w14:paraId="23453666" w14:textId="77777777" w:rsidR="00782E0B" w:rsidRPr="00A67277" w:rsidRDefault="00782E0B" w:rsidP="00782E0B">
            <w:pPr>
              <w:rPr>
                <w:rFonts w:ascii="Arial" w:hAnsi="Arial" w:cs="Arial"/>
                <w:sz w:val="21"/>
                <w:szCs w:val="21"/>
              </w:rPr>
            </w:pPr>
          </w:p>
        </w:tc>
        <w:tc>
          <w:tcPr>
            <w:tcW w:w="969" w:type="dxa"/>
          </w:tcPr>
          <w:p w14:paraId="3144A8B1" w14:textId="52BD19BE" w:rsidR="00782E0B" w:rsidRPr="00A67277" w:rsidRDefault="00782E0B" w:rsidP="00782E0B">
            <w:pPr>
              <w:jc w:val="right"/>
              <w:rPr>
                <w:rFonts w:ascii="Arial" w:hAnsi="Arial" w:cs="Arial"/>
                <w:sz w:val="21"/>
                <w:szCs w:val="21"/>
              </w:rPr>
            </w:pPr>
            <w:r>
              <w:rPr>
                <w:rFonts w:ascii="Arial" w:hAnsi="Arial" w:cs="Arial"/>
                <w:sz w:val="21"/>
                <w:szCs w:val="21"/>
              </w:rPr>
              <w:t>217</w:t>
            </w:r>
          </w:p>
        </w:tc>
      </w:tr>
      <w:tr w:rsidR="00782E0B" w:rsidRPr="00A67277" w14:paraId="06D37D08" w14:textId="77777777" w:rsidTr="00782E0B">
        <w:tc>
          <w:tcPr>
            <w:tcW w:w="3997" w:type="dxa"/>
          </w:tcPr>
          <w:p w14:paraId="083C76FF"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Notices </w:t>
            </w:r>
          </w:p>
        </w:tc>
        <w:tc>
          <w:tcPr>
            <w:tcW w:w="969" w:type="dxa"/>
          </w:tcPr>
          <w:p w14:paraId="12ADB695" w14:textId="1071EDB4" w:rsidR="00782E0B" w:rsidRPr="00A67277" w:rsidRDefault="00782E0B" w:rsidP="00782E0B">
            <w:pPr>
              <w:jc w:val="right"/>
              <w:rPr>
                <w:rFonts w:ascii="Arial" w:hAnsi="Arial" w:cs="Arial"/>
                <w:sz w:val="21"/>
                <w:szCs w:val="21"/>
              </w:rPr>
            </w:pPr>
            <w:r>
              <w:rPr>
                <w:rFonts w:ascii="Arial" w:hAnsi="Arial" w:cs="Arial"/>
                <w:sz w:val="21"/>
                <w:szCs w:val="21"/>
              </w:rPr>
              <w:t>217</w:t>
            </w:r>
          </w:p>
        </w:tc>
        <w:tc>
          <w:tcPr>
            <w:tcW w:w="3723" w:type="dxa"/>
          </w:tcPr>
          <w:p w14:paraId="2D423079"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Pemberitahuan</w:t>
            </w:r>
          </w:p>
        </w:tc>
        <w:tc>
          <w:tcPr>
            <w:tcW w:w="260" w:type="dxa"/>
          </w:tcPr>
          <w:p w14:paraId="5F4A4A3A" w14:textId="77777777" w:rsidR="00782E0B" w:rsidRPr="00A67277" w:rsidRDefault="00782E0B" w:rsidP="00782E0B">
            <w:pPr>
              <w:rPr>
                <w:rFonts w:ascii="Arial" w:hAnsi="Arial" w:cs="Arial"/>
                <w:sz w:val="21"/>
                <w:szCs w:val="21"/>
              </w:rPr>
            </w:pPr>
          </w:p>
        </w:tc>
        <w:tc>
          <w:tcPr>
            <w:tcW w:w="969" w:type="dxa"/>
          </w:tcPr>
          <w:p w14:paraId="400E7CB8" w14:textId="3B917DE4" w:rsidR="00782E0B" w:rsidRPr="00A67277" w:rsidRDefault="00782E0B" w:rsidP="00782E0B">
            <w:pPr>
              <w:jc w:val="right"/>
              <w:rPr>
                <w:rFonts w:ascii="Arial" w:hAnsi="Arial" w:cs="Arial"/>
                <w:sz w:val="21"/>
                <w:szCs w:val="21"/>
              </w:rPr>
            </w:pPr>
            <w:r>
              <w:rPr>
                <w:rFonts w:ascii="Arial" w:hAnsi="Arial" w:cs="Arial"/>
                <w:sz w:val="21"/>
                <w:szCs w:val="21"/>
              </w:rPr>
              <w:t>217</w:t>
            </w:r>
          </w:p>
        </w:tc>
      </w:tr>
      <w:tr w:rsidR="00782E0B" w:rsidRPr="00A67277" w14:paraId="3572DA7F" w14:textId="77777777" w:rsidTr="00782E0B">
        <w:tc>
          <w:tcPr>
            <w:tcW w:w="3997" w:type="dxa"/>
          </w:tcPr>
          <w:p w14:paraId="7A705BBE"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Confidentiality </w:t>
            </w:r>
          </w:p>
        </w:tc>
        <w:tc>
          <w:tcPr>
            <w:tcW w:w="969" w:type="dxa"/>
          </w:tcPr>
          <w:p w14:paraId="437C7EEF" w14:textId="042C2D97" w:rsidR="00782E0B" w:rsidRPr="00A67277" w:rsidRDefault="00782E0B" w:rsidP="00782E0B">
            <w:pPr>
              <w:jc w:val="right"/>
              <w:rPr>
                <w:rFonts w:ascii="Arial" w:hAnsi="Arial" w:cs="Arial"/>
                <w:sz w:val="21"/>
                <w:szCs w:val="21"/>
              </w:rPr>
            </w:pPr>
            <w:r>
              <w:rPr>
                <w:rFonts w:ascii="Arial" w:hAnsi="Arial" w:cs="Arial"/>
                <w:sz w:val="21"/>
                <w:szCs w:val="21"/>
              </w:rPr>
              <w:t>218</w:t>
            </w:r>
          </w:p>
        </w:tc>
        <w:tc>
          <w:tcPr>
            <w:tcW w:w="3723" w:type="dxa"/>
          </w:tcPr>
          <w:p w14:paraId="1A1E7ADB"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Kerahasiaan</w:t>
            </w:r>
          </w:p>
        </w:tc>
        <w:tc>
          <w:tcPr>
            <w:tcW w:w="260" w:type="dxa"/>
          </w:tcPr>
          <w:p w14:paraId="1E5BE9D8" w14:textId="77777777" w:rsidR="00782E0B" w:rsidRPr="00A67277" w:rsidRDefault="00782E0B" w:rsidP="00782E0B">
            <w:pPr>
              <w:rPr>
                <w:rFonts w:ascii="Arial" w:hAnsi="Arial" w:cs="Arial"/>
                <w:sz w:val="21"/>
                <w:szCs w:val="21"/>
              </w:rPr>
            </w:pPr>
          </w:p>
        </w:tc>
        <w:tc>
          <w:tcPr>
            <w:tcW w:w="969" w:type="dxa"/>
          </w:tcPr>
          <w:p w14:paraId="4726C57B" w14:textId="579774EF" w:rsidR="00782E0B" w:rsidRPr="00A67277" w:rsidRDefault="00782E0B" w:rsidP="00782E0B">
            <w:pPr>
              <w:jc w:val="right"/>
              <w:rPr>
                <w:rFonts w:ascii="Arial" w:hAnsi="Arial" w:cs="Arial"/>
                <w:sz w:val="21"/>
                <w:szCs w:val="21"/>
              </w:rPr>
            </w:pPr>
            <w:r>
              <w:rPr>
                <w:rFonts w:ascii="Arial" w:hAnsi="Arial" w:cs="Arial"/>
                <w:sz w:val="21"/>
                <w:szCs w:val="21"/>
              </w:rPr>
              <w:t>218</w:t>
            </w:r>
          </w:p>
        </w:tc>
      </w:tr>
      <w:tr w:rsidR="00782E0B" w:rsidRPr="00A67277" w14:paraId="3F72E857" w14:textId="77777777" w:rsidTr="00782E0B">
        <w:tc>
          <w:tcPr>
            <w:tcW w:w="3997" w:type="dxa"/>
          </w:tcPr>
          <w:p w14:paraId="123519AC"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Sovereign Immunity </w:t>
            </w:r>
          </w:p>
        </w:tc>
        <w:tc>
          <w:tcPr>
            <w:tcW w:w="969" w:type="dxa"/>
          </w:tcPr>
          <w:p w14:paraId="1A26A5AB" w14:textId="2E65259A" w:rsidR="00782E0B" w:rsidRPr="00A67277" w:rsidRDefault="00782E0B" w:rsidP="00782E0B">
            <w:pPr>
              <w:jc w:val="right"/>
              <w:rPr>
                <w:rFonts w:ascii="Arial" w:hAnsi="Arial" w:cs="Arial"/>
                <w:sz w:val="21"/>
                <w:szCs w:val="21"/>
              </w:rPr>
            </w:pPr>
            <w:r>
              <w:rPr>
                <w:rFonts w:ascii="Arial" w:hAnsi="Arial" w:cs="Arial"/>
                <w:sz w:val="21"/>
                <w:szCs w:val="21"/>
              </w:rPr>
              <w:t>220</w:t>
            </w:r>
          </w:p>
        </w:tc>
        <w:tc>
          <w:tcPr>
            <w:tcW w:w="3723" w:type="dxa"/>
          </w:tcPr>
          <w:p w14:paraId="57AE3DDA"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Imunitas</w:t>
            </w:r>
            <w:r w:rsidRPr="00A67277">
              <w:rPr>
                <w:rFonts w:cs="Arial"/>
              </w:rPr>
              <w:t xml:space="preserve"> Kedaulatan</w:t>
            </w:r>
          </w:p>
        </w:tc>
        <w:tc>
          <w:tcPr>
            <w:tcW w:w="260" w:type="dxa"/>
          </w:tcPr>
          <w:p w14:paraId="5287BEE4" w14:textId="77777777" w:rsidR="00782E0B" w:rsidRPr="00A67277" w:rsidRDefault="00782E0B" w:rsidP="00782E0B">
            <w:pPr>
              <w:rPr>
                <w:rFonts w:ascii="Arial" w:hAnsi="Arial" w:cs="Arial"/>
                <w:sz w:val="21"/>
                <w:szCs w:val="21"/>
              </w:rPr>
            </w:pPr>
          </w:p>
        </w:tc>
        <w:tc>
          <w:tcPr>
            <w:tcW w:w="969" w:type="dxa"/>
          </w:tcPr>
          <w:p w14:paraId="3CB323D8" w14:textId="686DDE3F" w:rsidR="00782E0B" w:rsidRPr="00A67277" w:rsidRDefault="00782E0B" w:rsidP="00782E0B">
            <w:pPr>
              <w:jc w:val="right"/>
              <w:rPr>
                <w:rFonts w:ascii="Arial" w:hAnsi="Arial" w:cs="Arial"/>
                <w:sz w:val="21"/>
                <w:szCs w:val="21"/>
              </w:rPr>
            </w:pPr>
            <w:r>
              <w:rPr>
                <w:rFonts w:ascii="Arial" w:hAnsi="Arial" w:cs="Arial"/>
                <w:sz w:val="21"/>
                <w:szCs w:val="21"/>
              </w:rPr>
              <w:t>220</w:t>
            </w:r>
          </w:p>
        </w:tc>
      </w:tr>
      <w:tr w:rsidR="00782E0B" w:rsidRPr="00A67277" w14:paraId="51FDC898" w14:textId="77777777" w:rsidTr="00782E0B">
        <w:tc>
          <w:tcPr>
            <w:tcW w:w="3997" w:type="dxa"/>
          </w:tcPr>
          <w:p w14:paraId="36482766"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Payments by Guarantors </w:t>
            </w:r>
          </w:p>
        </w:tc>
        <w:tc>
          <w:tcPr>
            <w:tcW w:w="969" w:type="dxa"/>
          </w:tcPr>
          <w:p w14:paraId="091C4D13" w14:textId="119E38B4" w:rsidR="00782E0B" w:rsidRPr="00A67277" w:rsidRDefault="00782E0B" w:rsidP="00782E0B">
            <w:pPr>
              <w:jc w:val="right"/>
              <w:rPr>
                <w:rFonts w:ascii="Arial" w:hAnsi="Arial" w:cs="Arial"/>
                <w:sz w:val="21"/>
                <w:szCs w:val="21"/>
              </w:rPr>
            </w:pPr>
            <w:r>
              <w:rPr>
                <w:rFonts w:ascii="Arial" w:hAnsi="Arial" w:cs="Arial"/>
                <w:sz w:val="21"/>
                <w:szCs w:val="21"/>
              </w:rPr>
              <w:t>222</w:t>
            </w:r>
          </w:p>
        </w:tc>
        <w:tc>
          <w:tcPr>
            <w:tcW w:w="3723" w:type="dxa"/>
          </w:tcPr>
          <w:p w14:paraId="1DC57D4A"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Pembayaran oleh Penjamin</w:t>
            </w:r>
          </w:p>
        </w:tc>
        <w:tc>
          <w:tcPr>
            <w:tcW w:w="260" w:type="dxa"/>
          </w:tcPr>
          <w:p w14:paraId="3C6439E1" w14:textId="77777777" w:rsidR="00782E0B" w:rsidRPr="00A67277" w:rsidRDefault="00782E0B" w:rsidP="00782E0B">
            <w:pPr>
              <w:rPr>
                <w:rFonts w:ascii="Arial" w:hAnsi="Arial" w:cs="Arial"/>
                <w:sz w:val="21"/>
                <w:szCs w:val="21"/>
              </w:rPr>
            </w:pPr>
          </w:p>
        </w:tc>
        <w:tc>
          <w:tcPr>
            <w:tcW w:w="969" w:type="dxa"/>
          </w:tcPr>
          <w:p w14:paraId="6C0D36D7" w14:textId="59F40687" w:rsidR="00782E0B" w:rsidRPr="00A67277" w:rsidRDefault="00782E0B" w:rsidP="00782E0B">
            <w:pPr>
              <w:jc w:val="right"/>
              <w:rPr>
                <w:rFonts w:ascii="Arial" w:hAnsi="Arial" w:cs="Arial"/>
                <w:sz w:val="21"/>
                <w:szCs w:val="21"/>
              </w:rPr>
            </w:pPr>
            <w:r>
              <w:rPr>
                <w:rFonts w:ascii="Arial" w:hAnsi="Arial" w:cs="Arial"/>
                <w:sz w:val="21"/>
                <w:szCs w:val="21"/>
              </w:rPr>
              <w:t>222</w:t>
            </w:r>
          </w:p>
        </w:tc>
      </w:tr>
      <w:tr w:rsidR="00782E0B" w:rsidRPr="00A67277" w14:paraId="3AF2C9B2" w14:textId="77777777" w:rsidTr="00782E0B">
        <w:tc>
          <w:tcPr>
            <w:tcW w:w="3997" w:type="dxa"/>
          </w:tcPr>
          <w:p w14:paraId="10055E0A"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Severability of Provisions </w:t>
            </w:r>
          </w:p>
        </w:tc>
        <w:tc>
          <w:tcPr>
            <w:tcW w:w="969" w:type="dxa"/>
          </w:tcPr>
          <w:p w14:paraId="38F571E9" w14:textId="0F15E836" w:rsidR="00782E0B" w:rsidRPr="00A67277" w:rsidRDefault="00782E0B" w:rsidP="00782E0B">
            <w:pPr>
              <w:jc w:val="right"/>
              <w:rPr>
                <w:rFonts w:ascii="Arial" w:hAnsi="Arial" w:cs="Arial"/>
                <w:sz w:val="21"/>
                <w:szCs w:val="21"/>
              </w:rPr>
            </w:pPr>
            <w:r>
              <w:rPr>
                <w:rFonts w:ascii="Arial" w:hAnsi="Arial" w:cs="Arial"/>
                <w:sz w:val="21"/>
                <w:szCs w:val="21"/>
              </w:rPr>
              <w:t>223</w:t>
            </w:r>
          </w:p>
        </w:tc>
        <w:tc>
          <w:tcPr>
            <w:tcW w:w="3723" w:type="dxa"/>
          </w:tcPr>
          <w:p w14:paraId="3B1FCE0A"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Keterpisahan</w:t>
            </w:r>
          </w:p>
        </w:tc>
        <w:tc>
          <w:tcPr>
            <w:tcW w:w="260" w:type="dxa"/>
          </w:tcPr>
          <w:p w14:paraId="4E3019AB" w14:textId="77777777" w:rsidR="00782E0B" w:rsidRPr="00A67277" w:rsidRDefault="00782E0B" w:rsidP="00782E0B">
            <w:pPr>
              <w:rPr>
                <w:rFonts w:ascii="Arial" w:hAnsi="Arial" w:cs="Arial"/>
                <w:sz w:val="21"/>
                <w:szCs w:val="21"/>
              </w:rPr>
            </w:pPr>
          </w:p>
        </w:tc>
        <w:tc>
          <w:tcPr>
            <w:tcW w:w="969" w:type="dxa"/>
          </w:tcPr>
          <w:p w14:paraId="26558C44" w14:textId="01AB5B9D" w:rsidR="00782E0B" w:rsidRPr="00A67277" w:rsidRDefault="00782E0B" w:rsidP="00782E0B">
            <w:pPr>
              <w:jc w:val="right"/>
              <w:rPr>
                <w:rFonts w:ascii="Arial" w:hAnsi="Arial" w:cs="Arial"/>
                <w:sz w:val="21"/>
                <w:szCs w:val="21"/>
              </w:rPr>
            </w:pPr>
            <w:r>
              <w:rPr>
                <w:rFonts w:ascii="Arial" w:hAnsi="Arial" w:cs="Arial"/>
                <w:sz w:val="21"/>
                <w:szCs w:val="21"/>
              </w:rPr>
              <w:t>223</w:t>
            </w:r>
          </w:p>
        </w:tc>
      </w:tr>
      <w:tr w:rsidR="00782E0B" w:rsidRPr="00A67277" w14:paraId="38DE805B" w14:textId="77777777" w:rsidTr="00782E0B">
        <w:tc>
          <w:tcPr>
            <w:tcW w:w="3997" w:type="dxa"/>
          </w:tcPr>
          <w:p w14:paraId="0F3085F6"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Waiver </w:t>
            </w:r>
          </w:p>
        </w:tc>
        <w:tc>
          <w:tcPr>
            <w:tcW w:w="969" w:type="dxa"/>
          </w:tcPr>
          <w:p w14:paraId="538FEF1B" w14:textId="55697BB5" w:rsidR="00782E0B" w:rsidRPr="00A67277" w:rsidRDefault="00782E0B" w:rsidP="00782E0B">
            <w:pPr>
              <w:jc w:val="right"/>
              <w:rPr>
                <w:rFonts w:ascii="Arial" w:hAnsi="Arial" w:cs="Arial"/>
                <w:sz w:val="21"/>
                <w:szCs w:val="21"/>
              </w:rPr>
            </w:pPr>
            <w:r>
              <w:rPr>
                <w:rFonts w:ascii="Arial" w:hAnsi="Arial" w:cs="Arial"/>
                <w:sz w:val="21"/>
                <w:szCs w:val="21"/>
              </w:rPr>
              <w:t>224</w:t>
            </w:r>
          </w:p>
        </w:tc>
        <w:tc>
          <w:tcPr>
            <w:tcW w:w="3723" w:type="dxa"/>
          </w:tcPr>
          <w:p w14:paraId="53D4B640"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Pengesampingan</w:t>
            </w:r>
          </w:p>
        </w:tc>
        <w:tc>
          <w:tcPr>
            <w:tcW w:w="260" w:type="dxa"/>
          </w:tcPr>
          <w:p w14:paraId="22608E1E" w14:textId="77777777" w:rsidR="00782E0B" w:rsidRPr="00A67277" w:rsidRDefault="00782E0B" w:rsidP="00782E0B">
            <w:pPr>
              <w:rPr>
                <w:rFonts w:ascii="Arial" w:hAnsi="Arial" w:cs="Arial"/>
                <w:sz w:val="21"/>
                <w:szCs w:val="21"/>
              </w:rPr>
            </w:pPr>
          </w:p>
        </w:tc>
        <w:tc>
          <w:tcPr>
            <w:tcW w:w="969" w:type="dxa"/>
          </w:tcPr>
          <w:p w14:paraId="6D38D8B5" w14:textId="25E63F19" w:rsidR="00782E0B" w:rsidRPr="00A67277" w:rsidRDefault="00782E0B" w:rsidP="00782E0B">
            <w:pPr>
              <w:jc w:val="right"/>
              <w:rPr>
                <w:rFonts w:ascii="Arial" w:hAnsi="Arial" w:cs="Arial"/>
                <w:sz w:val="21"/>
                <w:szCs w:val="21"/>
              </w:rPr>
            </w:pPr>
            <w:r>
              <w:rPr>
                <w:rFonts w:ascii="Arial" w:hAnsi="Arial" w:cs="Arial"/>
                <w:sz w:val="21"/>
                <w:szCs w:val="21"/>
              </w:rPr>
              <w:t>224</w:t>
            </w:r>
          </w:p>
        </w:tc>
      </w:tr>
      <w:tr w:rsidR="00782E0B" w:rsidRPr="00A67277" w14:paraId="50C77E84" w14:textId="77777777" w:rsidTr="00782E0B">
        <w:tc>
          <w:tcPr>
            <w:tcW w:w="3997" w:type="dxa"/>
          </w:tcPr>
          <w:p w14:paraId="4AEEEC6A"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Amendment </w:t>
            </w:r>
          </w:p>
        </w:tc>
        <w:tc>
          <w:tcPr>
            <w:tcW w:w="969" w:type="dxa"/>
          </w:tcPr>
          <w:p w14:paraId="4AF071AE" w14:textId="4C3E5C17" w:rsidR="00782E0B" w:rsidRPr="00A67277" w:rsidRDefault="00782E0B" w:rsidP="00782E0B">
            <w:pPr>
              <w:jc w:val="right"/>
              <w:rPr>
                <w:rFonts w:ascii="Arial" w:hAnsi="Arial" w:cs="Arial"/>
                <w:sz w:val="21"/>
                <w:szCs w:val="21"/>
              </w:rPr>
            </w:pPr>
            <w:r>
              <w:rPr>
                <w:rFonts w:ascii="Arial" w:hAnsi="Arial" w:cs="Arial"/>
                <w:sz w:val="21"/>
                <w:szCs w:val="21"/>
              </w:rPr>
              <w:t>224</w:t>
            </w:r>
          </w:p>
        </w:tc>
        <w:tc>
          <w:tcPr>
            <w:tcW w:w="3723" w:type="dxa"/>
          </w:tcPr>
          <w:p w14:paraId="0545EB85"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Perubahan Perjanjian/Amandemen</w:t>
            </w:r>
          </w:p>
        </w:tc>
        <w:tc>
          <w:tcPr>
            <w:tcW w:w="260" w:type="dxa"/>
          </w:tcPr>
          <w:p w14:paraId="6668EF7B" w14:textId="77777777" w:rsidR="00782E0B" w:rsidRPr="00A67277" w:rsidRDefault="00782E0B" w:rsidP="00782E0B">
            <w:pPr>
              <w:rPr>
                <w:rFonts w:ascii="Arial" w:hAnsi="Arial" w:cs="Arial"/>
                <w:sz w:val="21"/>
                <w:szCs w:val="21"/>
              </w:rPr>
            </w:pPr>
          </w:p>
        </w:tc>
        <w:tc>
          <w:tcPr>
            <w:tcW w:w="969" w:type="dxa"/>
          </w:tcPr>
          <w:p w14:paraId="62B83B4A" w14:textId="0D0F6A3E" w:rsidR="00782E0B" w:rsidRPr="00A67277" w:rsidRDefault="00782E0B" w:rsidP="00782E0B">
            <w:pPr>
              <w:jc w:val="right"/>
              <w:rPr>
                <w:rFonts w:ascii="Arial" w:hAnsi="Arial" w:cs="Arial"/>
                <w:sz w:val="21"/>
                <w:szCs w:val="21"/>
              </w:rPr>
            </w:pPr>
            <w:r>
              <w:rPr>
                <w:rFonts w:ascii="Arial" w:hAnsi="Arial" w:cs="Arial"/>
                <w:sz w:val="21"/>
                <w:szCs w:val="21"/>
              </w:rPr>
              <w:t>224</w:t>
            </w:r>
          </w:p>
        </w:tc>
      </w:tr>
      <w:tr w:rsidR="00782E0B" w:rsidRPr="00A67277" w14:paraId="4E7F30CB" w14:textId="77777777" w:rsidTr="00782E0B">
        <w:tc>
          <w:tcPr>
            <w:tcW w:w="3997" w:type="dxa"/>
          </w:tcPr>
          <w:p w14:paraId="104D78BB"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Entire Agreement </w:t>
            </w:r>
          </w:p>
        </w:tc>
        <w:tc>
          <w:tcPr>
            <w:tcW w:w="969" w:type="dxa"/>
          </w:tcPr>
          <w:p w14:paraId="071D4B32" w14:textId="2F73D876" w:rsidR="00782E0B" w:rsidRPr="00A67277" w:rsidRDefault="00782E0B" w:rsidP="00782E0B">
            <w:pPr>
              <w:jc w:val="right"/>
              <w:rPr>
                <w:rFonts w:ascii="Arial" w:hAnsi="Arial" w:cs="Arial"/>
                <w:sz w:val="21"/>
                <w:szCs w:val="21"/>
              </w:rPr>
            </w:pPr>
            <w:r>
              <w:rPr>
                <w:rFonts w:ascii="Arial" w:hAnsi="Arial" w:cs="Arial"/>
                <w:sz w:val="21"/>
                <w:szCs w:val="21"/>
              </w:rPr>
              <w:t>225</w:t>
            </w:r>
          </w:p>
        </w:tc>
        <w:tc>
          <w:tcPr>
            <w:tcW w:w="3723" w:type="dxa"/>
          </w:tcPr>
          <w:p w14:paraId="09DA658E"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Keseluruhan Perjanjian</w:t>
            </w:r>
          </w:p>
        </w:tc>
        <w:tc>
          <w:tcPr>
            <w:tcW w:w="260" w:type="dxa"/>
          </w:tcPr>
          <w:p w14:paraId="1A76A865" w14:textId="77777777" w:rsidR="00782E0B" w:rsidRPr="00A67277" w:rsidRDefault="00782E0B" w:rsidP="00782E0B">
            <w:pPr>
              <w:rPr>
                <w:rFonts w:ascii="Arial" w:hAnsi="Arial" w:cs="Arial"/>
                <w:sz w:val="21"/>
                <w:szCs w:val="21"/>
              </w:rPr>
            </w:pPr>
          </w:p>
        </w:tc>
        <w:tc>
          <w:tcPr>
            <w:tcW w:w="969" w:type="dxa"/>
          </w:tcPr>
          <w:p w14:paraId="5526D9D2" w14:textId="236B93EF" w:rsidR="00782E0B" w:rsidRPr="00A67277" w:rsidRDefault="00782E0B" w:rsidP="00782E0B">
            <w:pPr>
              <w:jc w:val="right"/>
              <w:rPr>
                <w:rFonts w:ascii="Arial" w:hAnsi="Arial" w:cs="Arial"/>
                <w:sz w:val="21"/>
                <w:szCs w:val="21"/>
              </w:rPr>
            </w:pPr>
            <w:r>
              <w:rPr>
                <w:rFonts w:ascii="Arial" w:hAnsi="Arial" w:cs="Arial"/>
                <w:sz w:val="21"/>
                <w:szCs w:val="21"/>
              </w:rPr>
              <w:t>225</w:t>
            </w:r>
          </w:p>
        </w:tc>
      </w:tr>
      <w:tr w:rsidR="00782E0B" w:rsidRPr="00A67277" w14:paraId="33B7C7AA" w14:textId="77777777" w:rsidTr="00782E0B">
        <w:tc>
          <w:tcPr>
            <w:tcW w:w="3997" w:type="dxa"/>
          </w:tcPr>
          <w:p w14:paraId="007FBDFB"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Survival</w:t>
            </w:r>
          </w:p>
        </w:tc>
        <w:tc>
          <w:tcPr>
            <w:tcW w:w="969" w:type="dxa"/>
          </w:tcPr>
          <w:p w14:paraId="3FA7FEAE" w14:textId="6F076A92" w:rsidR="00782E0B" w:rsidRPr="00A67277" w:rsidRDefault="00782E0B" w:rsidP="00782E0B">
            <w:pPr>
              <w:jc w:val="right"/>
              <w:rPr>
                <w:rFonts w:ascii="Arial" w:hAnsi="Arial" w:cs="Arial"/>
                <w:sz w:val="21"/>
                <w:szCs w:val="21"/>
              </w:rPr>
            </w:pPr>
            <w:r>
              <w:rPr>
                <w:rFonts w:ascii="Arial" w:hAnsi="Arial" w:cs="Arial"/>
                <w:sz w:val="21"/>
                <w:szCs w:val="21"/>
              </w:rPr>
              <w:t>226</w:t>
            </w:r>
          </w:p>
        </w:tc>
        <w:tc>
          <w:tcPr>
            <w:tcW w:w="3723" w:type="dxa"/>
          </w:tcPr>
          <w:p w14:paraId="2AE23168"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en-US"/>
              </w:rPr>
              <w:t>Keberlanjutan Ketentuan</w:t>
            </w:r>
          </w:p>
        </w:tc>
        <w:tc>
          <w:tcPr>
            <w:tcW w:w="260" w:type="dxa"/>
          </w:tcPr>
          <w:p w14:paraId="428E19B4" w14:textId="77777777" w:rsidR="00782E0B" w:rsidRPr="00A67277" w:rsidRDefault="00782E0B" w:rsidP="00782E0B">
            <w:pPr>
              <w:rPr>
                <w:rFonts w:ascii="Arial" w:hAnsi="Arial" w:cs="Arial"/>
                <w:sz w:val="21"/>
                <w:szCs w:val="21"/>
              </w:rPr>
            </w:pPr>
          </w:p>
        </w:tc>
        <w:tc>
          <w:tcPr>
            <w:tcW w:w="969" w:type="dxa"/>
          </w:tcPr>
          <w:p w14:paraId="607CEDB3" w14:textId="7116EF45" w:rsidR="00782E0B" w:rsidRPr="00A67277" w:rsidRDefault="00782E0B" w:rsidP="00782E0B">
            <w:pPr>
              <w:jc w:val="right"/>
              <w:rPr>
                <w:rFonts w:ascii="Arial" w:hAnsi="Arial" w:cs="Arial"/>
                <w:sz w:val="21"/>
                <w:szCs w:val="21"/>
              </w:rPr>
            </w:pPr>
            <w:r>
              <w:rPr>
                <w:rFonts w:ascii="Arial" w:hAnsi="Arial" w:cs="Arial"/>
                <w:sz w:val="21"/>
                <w:szCs w:val="21"/>
              </w:rPr>
              <w:t>226</w:t>
            </w:r>
          </w:p>
        </w:tc>
      </w:tr>
      <w:tr w:rsidR="00782E0B" w:rsidRPr="00A67277" w14:paraId="47D1BEA2" w14:textId="77777777" w:rsidTr="00782E0B">
        <w:tc>
          <w:tcPr>
            <w:tcW w:w="3997" w:type="dxa"/>
          </w:tcPr>
          <w:p w14:paraId="2C73A438" w14:textId="77777777" w:rsidR="00782E0B" w:rsidRPr="00A67277" w:rsidRDefault="00782E0B" w:rsidP="00782E0B">
            <w:pPr>
              <w:pStyle w:val="ListParagraph"/>
              <w:numPr>
                <w:ilvl w:val="1"/>
                <w:numId w:val="479"/>
              </w:numPr>
              <w:spacing w:line="240" w:lineRule="auto"/>
              <w:ind w:left="1062" w:hanging="630"/>
              <w:jc w:val="left"/>
              <w:rPr>
                <w:rFonts w:cs="Arial"/>
              </w:rPr>
            </w:pPr>
            <w:r w:rsidRPr="00A67277">
              <w:rPr>
                <w:rFonts w:cs="Arial"/>
              </w:rPr>
              <w:t xml:space="preserve">Governing Law </w:t>
            </w:r>
          </w:p>
        </w:tc>
        <w:tc>
          <w:tcPr>
            <w:tcW w:w="969" w:type="dxa"/>
          </w:tcPr>
          <w:p w14:paraId="6B6FBB8D" w14:textId="193C643D" w:rsidR="00782E0B" w:rsidRPr="00A67277" w:rsidRDefault="00782E0B" w:rsidP="00782E0B">
            <w:pPr>
              <w:jc w:val="right"/>
              <w:rPr>
                <w:rFonts w:ascii="Arial" w:hAnsi="Arial" w:cs="Arial"/>
                <w:sz w:val="21"/>
                <w:szCs w:val="21"/>
              </w:rPr>
            </w:pPr>
            <w:r>
              <w:rPr>
                <w:rFonts w:ascii="Arial" w:hAnsi="Arial" w:cs="Arial"/>
                <w:sz w:val="21"/>
                <w:szCs w:val="21"/>
              </w:rPr>
              <w:t>226</w:t>
            </w:r>
          </w:p>
        </w:tc>
        <w:tc>
          <w:tcPr>
            <w:tcW w:w="3723" w:type="dxa"/>
          </w:tcPr>
          <w:p w14:paraId="387B0DCE" w14:textId="77777777" w:rsidR="00782E0B" w:rsidRPr="00A67277" w:rsidRDefault="00782E0B" w:rsidP="00782E0B">
            <w:pPr>
              <w:pStyle w:val="ListParagraph"/>
              <w:numPr>
                <w:ilvl w:val="1"/>
                <w:numId w:val="484"/>
              </w:numPr>
              <w:spacing w:line="240" w:lineRule="auto"/>
              <w:ind w:left="1027" w:hanging="630"/>
              <w:jc w:val="left"/>
              <w:rPr>
                <w:rFonts w:cs="Arial"/>
                <w:lang w:val="id-ID"/>
              </w:rPr>
            </w:pPr>
            <w:r w:rsidRPr="00A67277">
              <w:rPr>
                <w:rFonts w:cs="Arial"/>
                <w:lang w:val="id-ID"/>
              </w:rPr>
              <w:t>Hukum Yang Berlaku</w:t>
            </w:r>
          </w:p>
        </w:tc>
        <w:tc>
          <w:tcPr>
            <w:tcW w:w="260" w:type="dxa"/>
          </w:tcPr>
          <w:p w14:paraId="63CD5BCB" w14:textId="77777777" w:rsidR="00782E0B" w:rsidRPr="00A67277" w:rsidRDefault="00782E0B" w:rsidP="00782E0B">
            <w:pPr>
              <w:rPr>
                <w:rFonts w:ascii="Arial" w:hAnsi="Arial" w:cs="Arial"/>
                <w:sz w:val="21"/>
                <w:szCs w:val="21"/>
              </w:rPr>
            </w:pPr>
          </w:p>
        </w:tc>
        <w:tc>
          <w:tcPr>
            <w:tcW w:w="969" w:type="dxa"/>
          </w:tcPr>
          <w:p w14:paraId="58477148" w14:textId="17E613CB" w:rsidR="00782E0B" w:rsidRPr="00A67277" w:rsidRDefault="00782E0B" w:rsidP="00782E0B">
            <w:pPr>
              <w:jc w:val="right"/>
              <w:rPr>
                <w:rFonts w:ascii="Arial" w:hAnsi="Arial" w:cs="Arial"/>
                <w:sz w:val="21"/>
                <w:szCs w:val="21"/>
              </w:rPr>
            </w:pPr>
            <w:r>
              <w:rPr>
                <w:rFonts w:ascii="Arial" w:hAnsi="Arial" w:cs="Arial"/>
                <w:sz w:val="21"/>
                <w:szCs w:val="21"/>
              </w:rPr>
              <w:t>226</w:t>
            </w:r>
          </w:p>
        </w:tc>
      </w:tr>
      <w:bookmarkEnd w:id="0"/>
    </w:tbl>
    <w:p w14:paraId="548B20C5" w14:textId="77777777" w:rsidR="008C087B" w:rsidRPr="00A67277" w:rsidRDefault="008C087B"/>
    <w:p w14:paraId="78751030" w14:textId="77777777" w:rsidR="008C087B" w:rsidRPr="00A67277" w:rsidRDefault="008C087B"/>
    <w:p w14:paraId="3DFAED7C" w14:textId="77777777" w:rsidR="008C087B" w:rsidRPr="00A67277" w:rsidRDefault="008C087B"/>
    <w:p w14:paraId="5E758530" w14:textId="77777777" w:rsidR="008C087B" w:rsidRPr="00A67277" w:rsidRDefault="008C087B"/>
    <w:p w14:paraId="5D8365CA" w14:textId="77777777" w:rsidR="00BA7204" w:rsidRPr="00A67277" w:rsidRDefault="008C087B">
      <w:r w:rsidRPr="00A67277">
        <w:br w:type="page"/>
      </w:r>
    </w:p>
    <w:tbl>
      <w:tblPr>
        <w:tblStyle w:val="TableGrid"/>
        <w:tblpPr w:leftFromText="180" w:rightFromText="180" w:vertAnchor="page" w:tblpX="1240" w:tblpY="1681"/>
        <w:tblW w:w="45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6"/>
        <w:gridCol w:w="285"/>
        <w:gridCol w:w="4238"/>
        <w:gridCol w:w="79"/>
      </w:tblGrid>
      <w:tr w:rsidR="00A67277" w:rsidRPr="00A67277" w14:paraId="70DE0D86" w14:textId="77777777" w:rsidTr="00862B0B">
        <w:tc>
          <w:tcPr>
            <w:tcW w:w="2270" w:type="pct"/>
          </w:tcPr>
          <w:p w14:paraId="14E4F10B" w14:textId="77777777" w:rsidR="00605389" w:rsidRPr="00A67277" w:rsidRDefault="005D2FC4" w:rsidP="00862B0B">
            <w:pPr>
              <w:spacing w:before="60" w:after="60"/>
              <w:jc w:val="center"/>
              <w:rPr>
                <w:rFonts w:ascii="Arial" w:hAnsi="Arial" w:cs="Arial"/>
                <w:b/>
                <w:i/>
                <w:sz w:val="21"/>
                <w:szCs w:val="21"/>
              </w:rPr>
            </w:pPr>
            <w:r w:rsidRPr="00A67277">
              <w:rPr>
                <w:rFonts w:ascii="Arial" w:hAnsi="Arial" w:cs="Arial"/>
                <w:b/>
                <w:i/>
                <w:sz w:val="21"/>
                <w:szCs w:val="21"/>
              </w:rPr>
              <w:lastRenderedPageBreak/>
              <w:t xml:space="preserve">COOPERATION </w:t>
            </w:r>
            <w:r w:rsidR="00605389" w:rsidRPr="00A67277">
              <w:rPr>
                <w:rFonts w:ascii="Arial" w:hAnsi="Arial" w:cs="Arial"/>
                <w:b/>
                <w:i/>
                <w:sz w:val="21"/>
                <w:szCs w:val="21"/>
              </w:rPr>
              <w:t>AGREEMENT</w:t>
            </w:r>
          </w:p>
        </w:tc>
        <w:tc>
          <w:tcPr>
            <w:tcW w:w="169" w:type="pct"/>
          </w:tcPr>
          <w:p w14:paraId="2DFFF3BC" w14:textId="77777777" w:rsidR="00605389" w:rsidRPr="00A67277" w:rsidRDefault="00605389" w:rsidP="00862B0B">
            <w:pPr>
              <w:spacing w:before="60" w:after="60"/>
              <w:rPr>
                <w:rFonts w:ascii="Arial" w:hAnsi="Arial" w:cs="Arial"/>
                <w:sz w:val="21"/>
                <w:szCs w:val="21"/>
              </w:rPr>
            </w:pPr>
          </w:p>
        </w:tc>
        <w:tc>
          <w:tcPr>
            <w:tcW w:w="2561" w:type="pct"/>
            <w:gridSpan w:val="2"/>
          </w:tcPr>
          <w:p w14:paraId="4F364ABD"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 xml:space="preserve">PERJANJIAN </w:t>
            </w:r>
            <w:r w:rsidR="005D2FC4" w:rsidRPr="00A67277">
              <w:rPr>
                <w:rFonts w:ascii="Arial" w:hAnsi="Arial" w:cs="Arial"/>
                <w:b/>
                <w:i/>
                <w:sz w:val="21"/>
                <w:szCs w:val="21"/>
              </w:rPr>
              <w:t>KERJASAMA</w:t>
            </w:r>
          </w:p>
        </w:tc>
      </w:tr>
      <w:tr w:rsidR="00A67277" w:rsidRPr="00A67277" w14:paraId="458F1F4B" w14:textId="77777777" w:rsidTr="00862B0B">
        <w:tc>
          <w:tcPr>
            <w:tcW w:w="2270" w:type="pct"/>
          </w:tcPr>
          <w:p w14:paraId="11B9B7DB"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BETWEEN</w:t>
            </w:r>
          </w:p>
        </w:tc>
        <w:tc>
          <w:tcPr>
            <w:tcW w:w="169" w:type="pct"/>
          </w:tcPr>
          <w:p w14:paraId="1CCF0EDF" w14:textId="77777777" w:rsidR="00605389" w:rsidRPr="00A67277" w:rsidRDefault="00605389" w:rsidP="00862B0B">
            <w:pPr>
              <w:spacing w:before="60" w:after="60"/>
              <w:rPr>
                <w:rFonts w:ascii="Arial" w:hAnsi="Arial" w:cs="Arial"/>
                <w:sz w:val="21"/>
                <w:szCs w:val="21"/>
              </w:rPr>
            </w:pPr>
          </w:p>
        </w:tc>
        <w:tc>
          <w:tcPr>
            <w:tcW w:w="2561" w:type="pct"/>
            <w:gridSpan w:val="2"/>
          </w:tcPr>
          <w:p w14:paraId="4E7A5156"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ANTARA</w:t>
            </w:r>
          </w:p>
        </w:tc>
      </w:tr>
      <w:tr w:rsidR="00A67277" w:rsidRPr="00A67277" w14:paraId="0ECAF7B6" w14:textId="77777777" w:rsidTr="00862B0B">
        <w:tc>
          <w:tcPr>
            <w:tcW w:w="2270" w:type="pct"/>
          </w:tcPr>
          <w:p w14:paraId="1EB04BED"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INDONESIA TOLL ROAD REGULATORY AGENCY ON BEHALF OF MINSTER OF PUBLIC WORKS AND HOUSING</w:t>
            </w:r>
          </w:p>
        </w:tc>
        <w:tc>
          <w:tcPr>
            <w:tcW w:w="169" w:type="pct"/>
          </w:tcPr>
          <w:p w14:paraId="6C5D881B" w14:textId="77777777" w:rsidR="00605389" w:rsidRPr="00A67277" w:rsidRDefault="00605389" w:rsidP="00862B0B">
            <w:pPr>
              <w:spacing w:before="60" w:after="60"/>
              <w:rPr>
                <w:rFonts w:ascii="Arial" w:hAnsi="Arial" w:cs="Arial"/>
                <w:sz w:val="21"/>
                <w:szCs w:val="21"/>
              </w:rPr>
            </w:pPr>
          </w:p>
        </w:tc>
        <w:tc>
          <w:tcPr>
            <w:tcW w:w="2561" w:type="pct"/>
            <w:gridSpan w:val="2"/>
          </w:tcPr>
          <w:p w14:paraId="5B3B58D0" w14:textId="77777777" w:rsidR="00605389" w:rsidRPr="00A67277" w:rsidRDefault="00605389" w:rsidP="00862B0B">
            <w:pPr>
              <w:spacing w:before="60" w:after="60"/>
              <w:ind w:left="720" w:hanging="720"/>
              <w:jc w:val="center"/>
              <w:rPr>
                <w:rFonts w:ascii="Arial" w:hAnsi="Arial" w:cs="Arial"/>
                <w:b/>
                <w:i/>
                <w:sz w:val="21"/>
                <w:szCs w:val="21"/>
              </w:rPr>
            </w:pPr>
            <w:r w:rsidRPr="00A67277">
              <w:rPr>
                <w:rFonts w:ascii="Arial" w:hAnsi="Arial" w:cs="Arial"/>
                <w:b/>
                <w:i/>
                <w:sz w:val="21"/>
                <w:szCs w:val="21"/>
              </w:rPr>
              <w:t>BADAN PENGATUR JALAN TOL ATAS NAMA MENTERI PEKERJAAN UMUM DAN PERUMAHAN RAKYAT</w:t>
            </w:r>
          </w:p>
        </w:tc>
      </w:tr>
      <w:tr w:rsidR="00A67277" w:rsidRPr="00A67277" w14:paraId="70A1B0BE" w14:textId="77777777" w:rsidTr="00862B0B">
        <w:tc>
          <w:tcPr>
            <w:tcW w:w="2270" w:type="pct"/>
          </w:tcPr>
          <w:p w14:paraId="1B8DB3EC"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WITH</w:t>
            </w:r>
          </w:p>
        </w:tc>
        <w:tc>
          <w:tcPr>
            <w:tcW w:w="169" w:type="pct"/>
          </w:tcPr>
          <w:p w14:paraId="263C1E0E" w14:textId="77777777" w:rsidR="00605389" w:rsidRPr="00A67277" w:rsidRDefault="00605389" w:rsidP="00862B0B">
            <w:pPr>
              <w:spacing w:before="60" w:after="60"/>
              <w:rPr>
                <w:rFonts w:ascii="Arial" w:hAnsi="Arial" w:cs="Arial"/>
                <w:sz w:val="21"/>
                <w:szCs w:val="21"/>
              </w:rPr>
            </w:pPr>
          </w:p>
        </w:tc>
        <w:tc>
          <w:tcPr>
            <w:tcW w:w="2561" w:type="pct"/>
            <w:gridSpan w:val="2"/>
          </w:tcPr>
          <w:p w14:paraId="6B59D733"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DENGAN</w:t>
            </w:r>
          </w:p>
        </w:tc>
      </w:tr>
      <w:tr w:rsidR="00A67277" w:rsidRPr="00A67277" w14:paraId="49508BA9" w14:textId="77777777" w:rsidTr="00862B0B">
        <w:tc>
          <w:tcPr>
            <w:tcW w:w="2270" w:type="pct"/>
          </w:tcPr>
          <w:p w14:paraId="0606548D"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[insert the name of Implementing Business Entity]</w:t>
            </w:r>
          </w:p>
        </w:tc>
        <w:tc>
          <w:tcPr>
            <w:tcW w:w="169" w:type="pct"/>
          </w:tcPr>
          <w:p w14:paraId="3BE64B83" w14:textId="77777777" w:rsidR="00605389" w:rsidRPr="00A67277" w:rsidRDefault="00605389" w:rsidP="00862B0B">
            <w:pPr>
              <w:spacing w:before="60" w:after="60"/>
              <w:rPr>
                <w:rFonts w:ascii="Arial" w:hAnsi="Arial" w:cs="Arial"/>
                <w:sz w:val="21"/>
                <w:szCs w:val="21"/>
              </w:rPr>
            </w:pPr>
          </w:p>
        </w:tc>
        <w:tc>
          <w:tcPr>
            <w:tcW w:w="2561" w:type="pct"/>
            <w:gridSpan w:val="2"/>
          </w:tcPr>
          <w:p w14:paraId="0CEBB377"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[masukan nama Badan Usaha Pelaksana]</w:t>
            </w:r>
          </w:p>
        </w:tc>
      </w:tr>
      <w:tr w:rsidR="00A67277" w:rsidRPr="00A67277" w14:paraId="481E068B" w14:textId="77777777" w:rsidTr="00862B0B">
        <w:tc>
          <w:tcPr>
            <w:tcW w:w="2270" w:type="pct"/>
          </w:tcPr>
          <w:p w14:paraId="320AAB69"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NUMBER:</w:t>
            </w:r>
          </w:p>
        </w:tc>
        <w:tc>
          <w:tcPr>
            <w:tcW w:w="169" w:type="pct"/>
          </w:tcPr>
          <w:p w14:paraId="5E5EACE4" w14:textId="77777777" w:rsidR="00605389" w:rsidRPr="00A67277" w:rsidRDefault="00605389" w:rsidP="00862B0B">
            <w:pPr>
              <w:spacing w:before="60" w:after="60"/>
              <w:rPr>
                <w:rFonts w:ascii="Arial" w:hAnsi="Arial" w:cs="Arial"/>
                <w:sz w:val="21"/>
                <w:szCs w:val="21"/>
              </w:rPr>
            </w:pPr>
          </w:p>
        </w:tc>
        <w:tc>
          <w:tcPr>
            <w:tcW w:w="2561" w:type="pct"/>
            <w:gridSpan w:val="2"/>
          </w:tcPr>
          <w:p w14:paraId="711B872F"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NOMOR:</w:t>
            </w:r>
          </w:p>
        </w:tc>
      </w:tr>
      <w:tr w:rsidR="00A67277" w:rsidRPr="00A67277" w14:paraId="4396B460" w14:textId="77777777" w:rsidTr="00862B0B">
        <w:tc>
          <w:tcPr>
            <w:tcW w:w="2270" w:type="pct"/>
          </w:tcPr>
          <w:p w14:paraId="42EDCEB3"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ON</w:t>
            </w:r>
          </w:p>
        </w:tc>
        <w:tc>
          <w:tcPr>
            <w:tcW w:w="169" w:type="pct"/>
          </w:tcPr>
          <w:p w14:paraId="381F7874" w14:textId="77777777" w:rsidR="00605389" w:rsidRPr="00A67277" w:rsidRDefault="00605389" w:rsidP="00862B0B">
            <w:pPr>
              <w:spacing w:before="60" w:after="60"/>
              <w:rPr>
                <w:rFonts w:ascii="Arial" w:hAnsi="Arial" w:cs="Arial"/>
                <w:sz w:val="21"/>
                <w:szCs w:val="21"/>
              </w:rPr>
            </w:pPr>
          </w:p>
        </w:tc>
        <w:tc>
          <w:tcPr>
            <w:tcW w:w="2561" w:type="pct"/>
            <w:gridSpan w:val="2"/>
          </w:tcPr>
          <w:p w14:paraId="2A5CC24C"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TENTANG</w:t>
            </w:r>
          </w:p>
        </w:tc>
      </w:tr>
      <w:tr w:rsidR="00A67277" w:rsidRPr="00A67277" w14:paraId="524CDA74" w14:textId="77777777" w:rsidTr="00862B0B">
        <w:tc>
          <w:tcPr>
            <w:tcW w:w="2270" w:type="pct"/>
          </w:tcPr>
          <w:p w14:paraId="0792ADC1"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Indonesia National Multi-Lane Free Flow Electronic Toll Collection System Public Private Partnership Project</w:t>
            </w:r>
          </w:p>
        </w:tc>
        <w:tc>
          <w:tcPr>
            <w:tcW w:w="169" w:type="pct"/>
          </w:tcPr>
          <w:p w14:paraId="212087A7" w14:textId="77777777" w:rsidR="00605389" w:rsidRPr="00A67277" w:rsidRDefault="00605389" w:rsidP="00862B0B">
            <w:pPr>
              <w:spacing w:before="60" w:after="60"/>
              <w:rPr>
                <w:rFonts w:ascii="Arial" w:hAnsi="Arial" w:cs="Arial"/>
                <w:sz w:val="21"/>
                <w:szCs w:val="21"/>
              </w:rPr>
            </w:pPr>
          </w:p>
        </w:tc>
        <w:tc>
          <w:tcPr>
            <w:tcW w:w="2561" w:type="pct"/>
            <w:gridSpan w:val="2"/>
          </w:tcPr>
          <w:p w14:paraId="7800D088"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Proyek Kerjasama Pemerintah dengan Badan Usaha Sistem Transaksi Tol Elektronik Nasional Multi-Lane Free Flow</w:t>
            </w:r>
          </w:p>
        </w:tc>
      </w:tr>
      <w:tr w:rsidR="00A67277" w:rsidRPr="00A67277" w14:paraId="6E4FFE84" w14:textId="77777777" w:rsidTr="00862B0B">
        <w:tc>
          <w:tcPr>
            <w:tcW w:w="2270" w:type="pct"/>
          </w:tcPr>
          <w:p w14:paraId="69658774" w14:textId="77777777" w:rsidR="00605389" w:rsidRPr="00A67277" w:rsidRDefault="00605389" w:rsidP="00862B0B">
            <w:pPr>
              <w:spacing w:before="60" w:after="60"/>
              <w:jc w:val="center"/>
              <w:rPr>
                <w:rFonts w:ascii="Arial" w:hAnsi="Arial" w:cs="Arial"/>
                <w:sz w:val="21"/>
                <w:szCs w:val="21"/>
              </w:rPr>
            </w:pPr>
            <w:r w:rsidRPr="00A67277">
              <w:rPr>
                <w:rFonts w:ascii="Arial" w:hAnsi="Arial" w:cs="Arial"/>
                <w:b/>
                <w:i/>
                <w:sz w:val="21"/>
                <w:szCs w:val="21"/>
              </w:rPr>
              <w:t>Date [insert the date of signing]</w:t>
            </w:r>
          </w:p>
        </w:tc>
        <w:tc>
          <w:tcPr>
            <w:tcW w:w="169" w:type="pct"/>
          </w:tcPr>
          <w:p w14:paraId="770A5BE2" w14:textId="77777777" w:rsidR="00605389" w:rsidRPr="00A67277" w:rsidRDefault="00605389" w:rsidP="00862B0B">
            <w:pPr>
              <w:spacing w:before="60" w:after="60"/>
              <w:rPr>
                <w:rFonts w:ascii="Arial" w:hAnsi="Arial" w:cs="Arial"/>
                <w:sz w:val="21"/>
                <w:szCs w:val="21"/>
              </w:rPr>
            </w:pPr>
          </w:p>
        </w:tc>
        <w:tc>
          <w:tcPr>
            <w:tcW w:w="2561" w:type="pct"/>
            <w:gridSpan w:val="2"/>
          </w:tcPr>
          <w:p w14:paraId="6373D8C6" w14:textId="77777777" w:rsidR="00605389" w:rsidRPr="00A67277" w:rsidRDefault="00605389" w:rsidP="00862B0B">
            <w:pPr>
              <w:spacing w:before="60" w:after="60"/>
              <w:jc w:val="center"/>
              <w:rPr>
                <w:rFonts w:ascii="Arial" w:hAnsi="Arial" w:cs="Arial"/>
                <w:b/>
                <w:i/>
                <w:sz w:val="21"/>
                <w:szCs w:val="21"/>
              </w:rPr>
            </w:pPr>
            <w:r w:rsidRPr="00A67277">
              <w:rPr>
                <w:rFonts w:ascii="Arial" w:hAnsi="Arial" w:cs="Arial"/>
                <w:b/>
                <w:i/>
                <w:sz w:val="21"/>
                <w:szCs w:val="21"/>
              </w:rPr>
              <w:t>Tanggal [masukan tanggal penandatanganan]</w:t>
            </w:r>
          </w:p>
        </w:tc>
      </w:tr>
      <w:tr w:rsidR="00A67277" w:rsidRPr="00A67277" w14:paraId="3425295F" w14:textId="77777777" w:rsidTr="00862B0B">
        <w:tc>
          <w:tcPr>
            <w:tcW w:w="2270" w:type="pct"/>
          </w:tcPr>
          <w:p w14:paraId="0DE3FEF3" w14:textId="77777777" w:rsidR="00605389" w:rsidRPr="00A67277" w:rsidRDefault="00605389" w:rsidP="00862B0B">
            <w:pPr>
              <w:spacing w:before="60" w:after="60"/>
              <w:jc w:val="center"/>
              <w:rPr>
                <w:rFonts w:ascii="Arial" w:hAnsi="Arial" w:cs="Arial"/>
                <w:b/>
                <w:i/>
                <w:sz w:val="21"/>
                <w:szCs w:val="21"/>
              </w:rPr>
            </w:pPr>
          </w:p>
        </w:tc>
        <w:tc>
          <w:tcPr>
            <w:tcW w:w="169" w:type="pct"/>
          </w:tcPr>
          <w:p w14:paraId="7EB86074" w14:textId="77777777" w:rsidR="00605389" w:rsidRPr="00A67277" w:rsidRDefault="00605389" w:rsidP="00862B0B">
            <w:pPr>
              <w:spacing w:before="60" w:after="60"/>
              <w:rPr>
                <w:rFonts w:ascii="Arial" w:hAnsi="Arial" w:cs="Arial"/>
                <w:sz w:val="21"/>
                <w:szCs w:val="21"/>
              </w:rPr>
            </w:pPr>
          </w:p>
        </w:tc>
        <w:tc>
          <w:tcPr>
            <w:tcW w:w="2561" w:type="pct"/>
            <w:gridSpan w:val="2"/>
          </w:tcPr>
          <w:p w14:paraId="02593A7B" w14:textId="77777777" w:rsidR="00605389" w:rsidRPr="00A67277" w:rsidRDefault="00605389" w:rsidP="00862B0B">
            <w:pPr>
              <w:spacing w:before="60" w:after="60"/>
              <w:jc w:val="center"/>
              <w:rPr>
                <w:rFonts w:ascii="Arial" w:hAnsi="Arial" w:cs="Arial"/>
                <w:b/>
                <w:i/>
                <w:sz w:val="21"/>
                <w:szCs w:val="21"/>
              </w:rPr>
            </w:pPr>
          </w:p>
        </w:tc>
      </w:tr>
      <w:tr w:rsidR="00A67277" w:rsidRPr="00A67277" w14:paraId="20483A8C" w14:textId="77777777" w:rsidTr="00862B0B">
        <w:tc>
          <w:tcPr>
            <w:tcW w:w="2270" w:type="pct"/>
          </w:tcPr>
          <w:p w14:paraId="10B0ED32" w14:textId="77777777" w:rsidR="00BA7204" w:rsidRPr="00A67277" w:rsidRDefault="00BA7204" w:rsidP="00862B0B">
            <w:pPr>
              <w:pStyle w:val="Body1"/>
              <w:spacing w:before="60" w:after="60"/>
              <w:rPr>
                <w:rFonts w:cs="Arial"/>
              </w:rPr>
            </w:pPr>
            <w:r w:rsidRPr="00A67277">
              <w:rPr>
                <w:rFonts w:cs="Arial"/>
              </w:rPr>
              <w:t>This</w:t>
            </w:r>
            <w:r w:rsidRPr="00A67277">
              <w:rPr>
                <w:rFonts w:cs="Arial"/>
                <w:b/>
              </w:rPr>
              <w:t xml:space="preserve"> </w:t>
            </w:r>
            <w:r w:rsidR="005D2FC4" w:rsidRPr="00A67277">
              <w:rPr>
                <w:rFonts w:cs="Arial"/>
              </w:rPr>
              <w:t xml:space="preserve">Cooperation </w:t>
            </w:r>
            <w:r w:rsidRPr="00A67277">
              <w:rPr>
                <w:rFonts w:cs="Arial"/>
              </w:rPr>
              <w:t xml:space="preserve">Agreement (the </w:t>
            </w:r>
            <w:r w:rsidRPr="00A67277">
              <w:rPr>
                <w:rFonts w:cs="Arial"/>
                <w:b/>
              </w:rPr>
              <w:t>Agreement</w:t>
            </w:r>
            <w:r w:rsidRPr="00A67277">
              <w:rPr>
                <w:rFonts w:cs="Arial"/>
              </w:rPr>
              <w:t>) is made on __________________ by and between:</w:t>
            </w:r>
          </w:p>
        </w:tc>
        <w:tc>
          <w:tcPr>
            <w:tcW w:w="169" w:type="pct"/>
          </w:tcPr>
          <w:p w14:paraId="6E884CCF" w14:textId="77777777" w:rsidR="00BA7204" w:rsidRPr="00A67277" w:rsidRDefault="00BA7204" w:rsidP="00862B0B">
            <w:pPr>
              <w:spacing w:before="60" w:after="60"/>
              <w:rPr>
                <w:rFonts w:ascii="Arial" w:hAnsi="Arial" w:cs="Arial"/>
                <w:sz w:val="21"/>
                <w:szCs w:val="21"/>
              </w:rPr>
            </w:pPr>
          </w:p>
        </w:tc>
        <w:tc>
          <w:tcPr>
            <w:tcW w:w="2561" w:type="pct"/>
            <w:gridSpan w:val="2"/>
          </w:tcPr>
          <w:p w14:paraId="7DF7A37F" w14:textId="77777777" w:rsidR="00BA7204" w:rsidRPr="00A67277" w:rsidRDefault="00BA7204" w:rsidP="00862B0B">
            <w:pPr>
              <w:pStyle w:val="Body1"/>
              <w:spacing w:before="60" w:after="60"/>
              <w:rPr>
                <w:rFonts w:cs="Arial"/>
              </w:rPr>
            </w:pPr>
            <w:r w:rsidRPr="00A67277">
              <w:rPr>
                <w:rFonts w:cs="Arial"/>
              </w:rPr>
              <w:t xml:space="preserve">Perjanjian </w:t>
            </w:r>
            <w:r w:rsidR="005D2FC4" w:rsidRPr="00A67277">
              <w:rPr>
                <w:rFonts w:cs="Arial"/>
              </w:rPr>
              <w:t xml:space="preserve">Kerjasama </w:t>
            </w:r>
            <w:r w:rsidRPr="00A67277">
              <w:rPr>
                <w:rFonts w:cs="Arial"/>
              </w:rPr>
              <w:t>ini (</w:t>
            </w:r>
            <w:r w:rsidRPr="00A67277">
              <w:rPr>
                <w:rFonts w:cs="Arial"/>
                <w:b/>
              </w:rPr>
              <w:t>Perjanjian</w:t>
            </w:r>
            <w:r w:rsidRPr="00A67277">
              <w:rPr>
                <w:rFonts w:cs="Arial"/>
              </w:rPr>
              <w:t>) dibuat pada tanggal __________________ oleh dan antara:</w:t>
            </w:r>
          </w:p>
        </w:tc>
      </w:tr>
      <w:tr w:rsidR="00A67277" w:rsidRPr="00A67277" w14:paraId="26427E50" w14:textId="77777777" w:rsidTr="00862B0B">
        <w:tc>
          <w:tcPr>
            <w:tcW w:w="2270" w:type="pct"/>
          </w:tcPr>
          <w:p w14:paraId="0DFAC6A2" w14:textId="77777777" w:rsidR="00BA7204" w:rsidRPr="00A67277" w:rsidRDefault="00605389" w:rsidP="00862B0B">
            <w:pPr>
              <w:pStyle w:val="Parties"/>
              <w:spacing w:before="60" w:after="60"/>
              <w:rPr>
                <w:rFonts w:cs="Arial"/>
                <w:b/>
                <w:i/>
              </w:rPr>
            </w:pPr>
            <w:r w:rsidRPr="00A67277">
              <w:rPr>
                <w:rFonts w:cs="Arial"/>
                <w:b/>
              </w:rPr>
              <w:t xml:space="preserve">Indonesian Toll Road Regulatory Agency on behalf of Minister of Public Works and Housing </w:t>
            </w:r>
            <w:r w:rsidR="00BA7204" w:rsidRPr="00A67277">
              <w:rPr>
                <w:rFonts w:cs="Arial"/>
                <w:b/>
              </w:rPr>
              <w:t xml:space="preserve">of </w:t>
            </w:r>
            <w:r w:rsidRPr="00A67277">
              <w:rPr>
                <w:rFonts w:cs="Arial"/>
                <w:b/>
              </w:rPr>
              <w:t>the Rebublic of Indonesia</w:t>
            </w:r>
            <w:r w:rsidRPr="00A67277">
              <w:rPr>
                <w:rFonts w:cs="Arial"/>
              </w:rPr>
              <w:t xml:space="preserve">, </w:t>
            </w:r>
            <w:r w:rsidR="00BA7204" w:rsidRPr="00A67277">
              <w:rPr>
                <w:rFonts w:cs="Arial"/>
              </w:rPr>
              <w:t xml:space="preserve">having its domicile in [●] with office address at [●], in this matter represented by [●] as the </w:t>
            </w:r>
            <w:r w:rsidRPr="00A67277">
              <w:rPr>
                <w:rFonts w:cs="Arial"/>
              </w:rPr>
              <w:t xml:space="preserve">Head of Indonesian Toll Road Regulatory Agency </w:t>
            </w:r>
            <w:r w:rsidR="00BA7204" w:rsidRPr="00A67277">
              <w:rPr>
                <w:rFonts w:cs="Arial"/>
              </w:rPr>
              <w:t xml:space="preserve">appointed pursuant to Decree Number [●] dated [●] and </w:t>
            </w:r>
            <w:r w:rsidRPr="00A67277">
              <w:rPr>
                <w:rFonts w:cs="Arial"/>
              </w:rPr>
              <w:t xml:space="preserve">based on power of attorney dated [●] </w:t>
            </w:r>
            <w:r w:rsidR="00BA7204" w:rsidRPr="00A67277">
              <w:rPr>
                <w:rFonts w:cs="Arial"/>
              </w:rPr>
              <w:t xml:space="preserve">therefore duly authorised to act for and on behalf of </w:t>
            </w:r>
            <w:r w:rsidRPr="00A67277">
              <w:rPr>
                <w:rFonts w:cs="Arial"/>
              </w:rPr>
              <w:t xml:space="preserve"> Indonesian Toll Road Regulatory Agency on behalf of Minister of Public Works and Housing of the Rebublic of Indonesia </w:t>
            </w:r>
            <w:r w:rsidR="00BA7204" w:rsidRPr="00A67277">
              <w:rPr>
                <w:rFonts w:cs="Arial"/>
              </w:rPr>
              <w:t xml:space="preserve">(the </w:t>
            </w:r>
            <w:r w:rsidR="00BA7204" w:rsidRPr="00A67277">
              <w:rPr>
                <w:rFonts w:cs="Arial"/>
                <w:b/>
              </w:rPr>
              <w:t xml:space="preserve">Government Contracting Agency </w:t>
            </w:r>
            <w:r w:rsidR="00BA7204" w:rsidRPr="00A67277">
              <w:rPr>
                <w:rFonts w:cs="Arial"/>
              </w:rPr>
              <w:t>or</w:t>
            </w:r>
            <w:r w:rsidR="00BA7204" w:rsidRPr="00A67277">
              <w:rPr>
                <w:rFonts w:cs="Arial"/>
                <w:b/>
              </w:rPr>
              <w:t xml:space="preserve"> GCA</w:t>
            </w:r>
            <w:r w:rsidR="00BA7204" w:rsidRPr="00A67277">
              <w:rPr>
                <w:rFonts w:cs="Arial"/>
              </w:rPr>
              <w:t xml:space="preserve">); and </w:t>
            </w:r>
          </w:p>
        </w:tc>
        <w:tc>
          <w:tcPr>
            <w:tcW w:w="169" w:type="pct"/>
          </w:tcPr>
          <w:p w14:paraId="68A2EA0C" w14:textId="77777777" w:rsidR="00BA7204" w:rsidRPr="00A67277" w:rsidRDefault="00BA7204" w:rsidP="00862B0B">
            <w:pPr>
              <w:spacing w:before="60" w:after="60"/>
              <w:rPr>
                <w:rFonts w:ascii="Arial" w:hAnsi="Arial" w:cs="Arial"/>
                <w:sz w:val="21"/>
                <w:szCs w:val="21"/>
              </w:rPr>
            </w:pPr>
          </w:p>
        </w:tc>
        <w:tc>
          <w:tcPr>
            <w:tcW w:w="2561" w:type="pct"/>
            <w:gridSpan w:val="2"/>
          </w:tcPr>
          <w:p w14:paraId="4CF9CD36" w14:textId="77777777" w:rsidR="00BA7204" w:rsidRPr="00A67277" w:rsidRDefault="00605389" w:rsidP="00862B0B">
            <w:pPr>
              <w:pStyle w:val="Parties"/>
              <w:spacing w:before="60" w:after="60"/>
              <w:rPr>
                <w:rFonts w:cs="Arial"/>
                <w:lang w:val="en-US" w:eastAsia="en-US"/>
              </w:rPr>
            </w:pPr>
            <w:r w:rsidRPr="00A67277">
              <w:rPr>
                <w:rFonts w:cs="Arial"/>
                <w:b/>
              </w:rPr>
              <w:t>Badan Pengatur Jalan Tol atas nama Menteri Pekerjaan Umum dan Perumahan Rakyat Republik Indonesia</w:t>
            </w:r>
            <w:r w:rsidRPr="00A67277">
              <w:rPr>
                <w:rFonts w:cs="Arial"/>
              </w:rPr>
              <w:t xml:space="preserve">, </w:t>
            </w:r>
            <w:r w:rsidR="00BA7204" w:rsidRPr="00A67277">
              <w:rPr>
                <w:rFonts w:cs="Arial"/>
              </w:rPr>
              <w:t xml:space="preserve">berdomisili di [●] dengan alamat kantor di [●], dalam hal ini diwakili oleh [●] sebagai </w:t>
            </w:r>
            <w:r w:rsidRPr="00A67277">
              <w:rPr>
                <w:rFonts w:cs="Arial"/>
              </w:rPr>
              <w:t xml:space="preserve">Ketua Badan Pengatur Jalan Tol </w:t>
            </w:r>
            <w:r w:rsidR="00BA7204" w:rsidRPr="00A67277">
              <w:rPr>
                <w:rFonts w:cs="Arial"/>
              </w:rPr>
              <w:t xml:space="preserve">yang ditunjuk berdasarkan Keputusan [●] Nomor [●] tertanggal [●] dan </w:t>
            </w:r>
            <w:r w:rsidRPr="00A67277">
              <w:rPr>
                <w:rFonts w:cs="Arial"/>
              </w:rPr>
              <w:t xml:space="preserve">berdasarkan Surat Kuasa tanggal [●] </w:t>
            </w:r>
            <w:r w:rsidR="00BA7204" w:rsidRPr="00A67277">
              <w:rPr>
                <w:rFonts w:cs="Arial"/>
              </w:rPr>
              <w:t xml:space="preserve">dengan demikian berwenang untuk bertindak untuk dan atas nama </w:t>
            </w:r>
            <w:r w:rsidRPr="00A67277">
              <w:rPr>
                <w:rFonts w:cs="Arial"/>
              </w:rPr>
              <w:t xml:space="preserve"> Badan Pengatur Jalan Tol atas nama Menteri Pekerjaan Umum dan Perumahan Rakyat Republik Indonesia </w:t>
            </w:r>
            <w:r w:rsidR="00BA7204" w:rsidRPr="00A67277">
              <w:rPr>
                <w:rFonts w:cs="Arial"/>
              </w:rPr>
              <w:t>(</w:t>
            </w:r>
            <w:r w:rsidR="00BA7204" w:rsidRPr="00A67277">
              <w:rPr>
                <w:rFonts w:cs="Arial"/>
                <w:b/>
              </w:rPr>
              <w:t>Penanggung Jawab Proyek Kerjasama</w:t>
            </w:r>
            <w:r w:rsidR="00BA7204" w:rsidRPr="00A67277">
              <w:rPr>
                <w:rFonts w:cs="Arial"/>
              </w:rPr>
              <w:t xml:space="preserve"> atau </w:t>
            </w:r>
            <w:r w:rsidR="00BA7204" w:rsidRPr="00A67277">
              <w:rPr>
                <w:rFonts w:cs="Arial"/>
                <w:b/>
              </w:rPr>
              <w:t>PJPK</w:t>
            </w:r>
            <w:r w:rsidR="00BA7204" w:rsidRPr="00A67277">
              <w:rPr>
                <w:rFonts w:cs="Arial"/>
              </w:rPr>
              <w:t xml:space="preserve">); dan </w:t>
            </w:r>
          </w:p>
        </w:tc>
      </w:tr>
      <w:tr w:rsidR="00A67277" w:rsidRPr="00A67277" w14:paraId="73013C00" w14:textId="77777777" w:rsidTr="00862B0B">
        <w:tc>
          <w:tcPr>
            <w:tcW w:w="2270" w:type="pct"/>
          </w:tcPr>
          <w:p w14:paraId="5FF499E7" w14:textId="77777777" w:rsidR="00BA7204" w:rsidRPr="00A67277" w:rsidRDefault="00BA7204" w:rsidP="00862B0B">
            <w:pPr>
              <w:pStyle w:val="Parties"/>
              <w:spacing w:before="60" w:after="60"/>
              <w:rPr>
                <w:rFonts w:cs="Arial"/>
                <w:lang w:val="en-US" w:eastAsia="en-US"/>
              </w:rPr>
            </w:pPr>
            <w:r w:rsidRPr="00A67277">
              <w:rPr>
                <w:rFonts w:cs="Arial"/>
              </w:rPr>
              <w:t>[**</w:t>
            </w:r>
            <w:r w:rsidRPr="00A67277">
              <w:rPr>
                <w:rFonts w:cs="Arial"/>
                <w:b/>
                <w:i/>
              </w:rPr>
              <w:t>insert company name</w:t>
            </w:r>
            <w:r w:rsidRPr="00A67277">
              <w:rPr>
                <w:rFonts w:cs="Arial"/>
                <w:i/>
              </w:rPr>
              <w:t>**</w:t>
            </w:r>
            <w:r w:rsidRPr="00A67277">
              <w:rPr>
                <w:rFonts w:cs="Arial"/>
              </w:rPr>
              <w:t xml:space="preserve">] a limited liability company incorporated in the Republic of Indonesia by virtue of Deed Number  [●] dated [●], made before [●], Notary in [●], which has been approved by the Minister of Law and Human Rights pursuant to Decree No. [●] dated [●] on [●], and having its domicile in [●] with office address at </w:t>
            </w:r>
            <w:r w:rsidRPr="00A67277">
              <w:rPr>
                <w:rFonts w:cs="Arial"/>
              </w:rPr>
              <w:lastRenderedPageBreak/>
              <w:t>[●], in this matter represented by [●] as the President Director appointed pursuant to Deed Number [●] dated [●], made before [●], Notary in [●] and therefore duly authorised to act for and on behalf of [**</w:t>
            </w:r>
            <w:r w:rsidRPr="00A67277">
              <w:rPr>
                <w:rFonts w:cs="Arial"/>
                <w:b/>
                <w:i/>
              </w:rPr>
              <w:t>insert company name</w:t>
            </w:r>
            <w:r w:rsidRPr="00A67277">
              <w:rPr>
                <w:rFonts w:cs="Arial"/>
                <w:i/>
              </w:rPr>
              <w:t>**</w:t>
            </w:r>
            <w:r w:rsidRPr="00A67277">
              <w:rPr>
                <w:rFonts w:cs="Arial"/>
              </w:rPr>
              <w:t xml:space="preserve">] (the </w:t>
            </w:r>
            <w:r w:rsidRPr="00A67277">
              <w:rPr>
                <w:rFonts w:cs="Arial"/>
                <w:b/>
              </w:rPr>
              <w:t xml:space="preserve">Implementing Business Entity </w:t>
            </w:r>
            <w:r w:rsidRPr="00A67277">
              <w:rPr>
                <w:rFonts w:cs="Arial"/>
              </w:rPr>
              <w:t>or</w:t>
            </w:r>
            <w:r w:rsidRPr="00A67277">
              <w:rPr>
                <w:rFonts w:cs="Arial"/>
                <w:b/>
              </w:rPr>
              <w:t xml:space="preserve"> IBE</w:t>
            </w:r>
            <w:r w:rsidRPr="00A67277">
              <w:rPr>
                <w:rFonts w:cs="Arial"/>
              </w:rPr>
              <w:t>).</w:t>
            </w:r>
          </w:p>
        </w:tc>
        <w:tc>
          <w:tcPr>
            <w:tcW w:w="169" w:type="pct"/>
          </w:tcPr>
          <w:p w14:paraId="45C120C3" w14:textId="77777777" w:rsidR="00BA7204" w:rsidRPr="00A67277" w:rsidRDefault="00BA7204" w:rsidP="00862B0B">
            <w:pPr>
              <w:spacing w:before="60" w:after="60"/>
              <w:rPr>
                <w:rFonts w:ascii="Arial" w:hAnsi="Arial" w:cs="Arial"/>
                <w:sz w:val="21"/>
                <w:szCs w:val="21"/>
              </w:rPr>
            </w:pPr>
          </w:p>
        </w:tc>
        <w:tc>
          <w:tcPr>
            <w:tcW w:w="2561" w:type="pct"/>
            <w:gridSpan w:val="2"/>
          </w:tcPr>
          <w:p w14:paraId="1D12BD9F" w14:textId="77777777" w:rsidR="00BA7204" w:rsidRPr="00A67277" w:rsidRDefault="00BA7204" w:rsidP="00862B0B">
            <w:pPr>
              <w:pStyle w:val="Parties"/>
              <w:spacing w:before="60" w:after="60"/>
              <w:rPr>
                <w:rFonts w:cs="Arial"/>
                <w:lang w:val="en-US" w:eastAsia="en-US"/>
              </w:rPr>
            </w:pPr>
            <w:r w:rsidRPr="00A67277">
              <w:rPr>
                <w:rFonts w:cs="Arial"/>
              </w:rPr>
              <w:t>[**</w:t>
            </w:r>
            <w:r w:rsidRPr="00A67277">
              <w:rPr>
                <w:rFonts w:cs="Arial"/>
                <w:b/>
                <w:i/>
              </w:rPr>
              <w:t>masukkan nama perusahaan</w:t>
            </w:r>
            <w:r w:rsidRPr="00A67277">
              <w:rPr>
                <w:rFonts w:cs="Arial"/>
                <w:i/>
              </w:rPr>
              <w:t>**</w:t>
            </w:r>
            <w:r w:rsidRPr="00A67277">
              <w:rPr>
                <w:rFonts w:cs="Arial"/>
              </w:rPr>
              <w:t xml:space="preserve">] sebuah perseroan terbatas yang didirikan di Republik Indonesia berdasarkan Akta Nomor [●] tertanggal [●], dibuat di hadapan [●], Notaris di [●], yang telah disetujui oleh Menteri Hukum dan Hak Asasi Manusia berdasarkan Keputusan Nomor [●] tertanggal [●] tahun [●], dan berdomisili di [●] dengan alamat kantor di [●], dalam hal </w:t>
            </w:r>
            <w:r w:rsidRPr="00A67277">
              <w:rPr>
                <w:rFonts w:cs="Arial"/>
              </w:rPr>
              <w:lastRenderedPageBreak/>
              <w:t xml:space="preserve">ini diwakili oleh [●] sebagai Direktur Utama yang ditunjuk berdarkan Akta Nomor [●] tertanggal [●], dibuat di hadapan [●], Notaris di [●] dan dengan demikian berwenang untuk bertindak untuk dan atas nama </w:t>
            </w:r>
            <w:r w:rsidRPr="00A67277">
              <w:rPr>
                <w:rFonts w:cs="Arial"/>
                <w:i/>
              </w:rPr>
              <w:t>[**</w:t>
            </w:r>
            <w:r w:rsidRPr="00A67277">
              <w:rPr>
                <w:rFonts w:cs="Arial"/>
                <w:b/>
                <w:i/>
              </w:rPr>
              <w:t>masukkan nama perusahaan</w:t>
            </w:r>
            <w:r w:rsidRPr="00A67277">
              <w:rPr>
                <w:rFonts w:cs="Arial"/>
                <w:i/>
              </w:rPr>
              <w:t>**]</w:t>
            </w:r>
            <w:r w:rsidRPr="00A67277">
              <w:rPr>
                <w:rFonts w:cs="Arial"/>
              </w:rPr>
              <w:t xml:space="preserve"> (</w:t>
            </w:r>
            <w:r w:rsidRPr="00A67277">
              <w:rPr>
                <w:rFonts w:cs="Arial"/>
                <w:b/>
              </w:rPr>
              <w:t xml:space="preserve">Badan Usaha Pelaksana </w:t>
            </w:r>
            <w:r w:rsidRPr="00A67277">
              <w:rPr>
                <w:rFonts w:cs="Arial"/>
              </w:rPr>
              <w:t>atau</w:t>
            </w:r>
            <w:r w:rsidRPr="00A67277">
              <w:rPr>
                <w:rFonts w:cs="Arial"/>
                <w:b/>
              </w:rPr>
              <w:t xml:space="preserve"> BUP</w:t>
            </w:r>
            <w:r w:rsidRPr="00A67277">
              <w:rPr>
                <w:rFonts w:cs="Arial"/>
              </w:rPr>
              <w:t>).</w:t>
            </w:r>
          </w:p>
        </w:tc>
      </w:tr>
      <w:tr w:rsidR="00A67277" w:rsidRPr="00A67277" w14:paraId="5BBFBA52" w14:textId="77777777" w:rsidTr="00862B0B">
        <w:tc>
          <w:tcPr>
            <w:tcW w:w="2270" w:type="pct"/>
          </w:tcPr>
          <w:p w14:paraId="1167B188" w14:textId="77777777" w:rsidR="00BA7204" w:rsidRPr="00A67277" w:rsidRDefault="00BA7204" w:rsidP="00862B0B">
            <w:pPr>
              <w:pStyle w:val="Body1"/>
              <w:spacing w:before="60" w:after="60"/>
              <w:jc w:val="center"/>
              <w:rPr>
                <w:rFonts w:cs="Arial"/>
                <w:lang w:val="en-US" w:eastAsia="en-US"/>
              </w:rPr>
            </w:pPr>
            <w:r w:rsidRPr="00A67277">
              <w:rPr>
                <w:rFonts w:cs="Arial"/>
                <w:b/>
              </w:rPr>
              <w:lastRenderedPageBreak/>
              <w:t>RECITALS</w:t>
            </w:r>
          </w:p>
        </w:tc>
        <w:tc>
          <w:tcPr>
            <w:tcW w:w="169" w:type="pct"/>
          </w:tcPr>
          <w:p w14:paraId="521266AD" w14:textId="77777777" w:rsidR="00BA7204" w:rsidRPr="00A67277" w:rsidRDefault="00BA7204" w:rsidP="00862B0B">
            <w:pPr>
              <w:spacing w:before="60" w:after="60"/>
              <w:rPr>
                <w:rFonts w:ascii="Arial" w:hAnsi="Arial" w:cs="Arial"/>
                <w:sz w:val="21"/>
                <w:szCs w:val="21"/>
              </w:rPr>
            </w:pPr>
          </w:p>
        </w:tc>
        <w:tc>
          <w:tcPr>
            <w:tcW w:w="2561" w:type="pct"/>
            <w:gridSpan w:val="2"/>
          </w:tcPr>
          <w:p w14:paraId="26F9E480" w14:textId="77777777" w:rsidR="00BA7204" w:rsidRPr="00A67277" w:rsidRDefault="00BA7204" w:rsidP="00862B0B">
            <w:pPr>
              <w:pStyle w:val="Body1"/>
              <w:spacing w:before="60" w:after="60"/>
              <w:jc w:val="center"/>
              <w:rPr>
                <w:rFonts w:cs="Arial"/>
                <w:lang w:val="en-US" w:eastAsia="en-US"/>
              </w:rPr>
            </w:pPr>
            <w:r w:rsidRPr="00A67277">
              <w:rPr>
                <w:rFonts w:cs="Arial"/>
                <w:b/>
              </w:rPr>
              <w:t>PENDAHULUAN</w:t>
            </w:r>
          </w:p>
        </w:tc>
      </w:tr>
      <w:tr w:rsidR="00A67277" w:rsidRPr="00A67277" w14:paraId="56C04133" w14:textId="77777777" w:rsidTr="00862B0B">
        <w:tc>
          <w:tcPr>
            <w:tcW w:w="2270" w:type="pct"/>
          </w:tcPr>
          <w:p w14:paraId="655BC1FD" w14:textId="03A50715" w:rsidR="00BA7204" w:rsidRPr="00A67277" w:rsidRDefault="00BA7204" w:rsidP="00862B0B">
            <w:pPr>
              <w:pStyle w:val="Recitals"/>
              <w:numPr>
                <w:ilvl w:val="0"/>
                <w:numId w:val="206"/>
              </w:numPr>
              <w:tabs>
                <w:tab w:val="clear" w:pos="709"/>
                <w:tab w:val="num" w:pos="426"/>
              </w:tabs>
              <w:spacing w:before="60" w:after="60"/>
              <w:ind w:left="426" w:hanging="426"/>
              <w:rPr>
                <w:rFonts w:cs="Arial"/>
                <w:lang w:val="en-US" w:eastAsia="en-US"/>
              </w:rPr>
            </w:pPr>
            <w:r w:rsidRPr="00A67277">
              <w:rPr>
                <w:rFonts w:cs="Arial"/>
                <w:lang w:val="en-US" w:eastAsia="en-US"/>
              </w:rPr>
              <w:t xml:space="preserve">Whereas, </w:t>
            </w:r>
            <w:r w:rsidR="00DE43F2" w:rsidRPr="00A67277">
              <w:rPr>
                <w:rFonts w:cs="Arial"/>
                <w:lang w:val="en-US" w:eastAsia="en-US"/>
              </w:rPr>
              <w:t xml:space="preserve">the </w:t>
            </w:r>
            <w:r w:rsidR="00605389" w:rsidRPr="00A67277">
              <w:rPr>
                <w:rFonts w:cs="Arial"/>
                <w:lang w:val="en-US" w:eastAsia="en-US"/>
              </w:rPr>
              <w:t xml:space="preserve">Ministry of Public Works and Housing </w:t>
            </w:r>
            <w:r w:rsidR="00DE43F2" w:rsidRPr="00A67277">
              <w:rPr>
                <w:rFonts w:cs="Arial"/>
                <w:lang w:val="en-US" w:eastAsia="en-US"/>
              </w:rPr>
              <w:t xml:space="preserve">of the Republic of Indonesia </w:t>
            </w:r>
            <w:r w:rsidR="00605389" w:rsidRPr="00A67277">
              <w:rPr>
                <w:rFonts w:cs="Arial"/>
                <w:lang w:val="en-US" w:eastAsia="en-US"/>
              </w:rPr>
              <w:t xml:space="preserve">through Indonesian Toll Road Regulatory Agency </w:t>
            </w:r>
            <w:r w:rsidR="00DE43F2" w:rsidRPr="00A67277">
              <w:rPr>
                <w:rFonts w:cs="Arial"/>
                <w:lang w:val="en-US" w:eastAsia="en-US"/>
              </w:rPr>
              <w:t xml:space="preserve">intends to apply the technology on free flow electronic toll collection for all toll road sections in Indonesia through </w:t>
            </w:r>
            <w:r w:rsidR="005F3D5C" w:rsidRPr="00A67277">
              <w:rPr>
                <w:rFonts w:cs="Arial"/>
                <w:lang w:val="en-US" w:eastAsia="en-US"/>
              </w:rPr>
              <w:t xml:space="preserve">a </w:t>
            </w:r>
            <w:r w:rsidR="00DE43F2" w:rsidRPr="00A67277">
              <w:rPr>
                <w:rFonts w:cs="Arial"/>
                <w:lang w:val="en-US" w:eastAsia="en-US"/>
              </w:rPr>
              <w:t xml:space="preserve">public private partnership scheme. </w:t>
            </w:r>
          </w:p>
        </w:tc>
        <w:tc>
          <w:tcPr>
            <w:tcW w:w="169" w:type="pct"/>
          </w:tcPr>
          <w:p w14:paraId="0C2DFDD3" w14:textId="77777777" w:rsidR="00BA7204" w:rsidRPr="00A67277" w:rsidRDefault="00BA7204" w:rsidP="00862B0B">
            <w:pPr>
              <w:spacing w:before="60" w:after="60"/>
              <w:rPr>
                <w:rFonts w:ascii="Arial" w:hAnsi="Arial" w:cs="Arial"/>
                <w:sz w:val="21"/>
                <w:szCs w:val="21"/>
              </w:rPr>
            </w:pPr>
          </w:p>
        </w:tc>
        <w:tc>
          <w:tcPr>
            <w:tcW w:w="2561" w:type="pct"/>
            <w:gridSpan w:val="2"/>
          </w:tcPr>
          <w:p w14:paraId="5B6F453E" w14:textId="77777777" w:rsidR="00BA7204" w:rsidRPr="00A67277" w:rsidRDefault="00BA7204" w:rsidP="00862B0B">
            <w:pPr>
              <w:pStyle w:val="Recitals"/>
              <w:tabs>
                <w:tab w:val="clear" w:pos="709"/>
              </w:tabs>
              <w:spacing w:before="60" w:after="60"/>
              <w:ind w:left="457" w:hanging="457"/>
              <w:rPr>
                <w:rFonts w:cs="Arial"/>
                <w:lang w:val="en-US" w:eastAsia="en-US"/>
              </w:rPr>
            </w:pPr>
            <w:r w:rsidRPr="00A67277">
              <w:rPr>
                <w:rFonts w:cs="Arial"/>
              </w:rPr>
              <w:t xml:space="preserve">Bahwa, </w:t>
            </w:r>
            <w:r w:rsidR="00605389" w:rsidRPr="00A67277">
              <w:rPr>
                <w:rFonts w:cs="Arial"/>
              </w:rPr>
              <w:t xml:space="preserve">Kementerian Pekerjaan Umum dan Perumahan Rakyat </w:t>
            </w:r>
            <w:r w:rsidR="00DE43F2" w:rsidRPr="00A67277">
              <w:rPr>
                <w:rFonts w:cs="Arial"/>
              </w:rPr>
              <w:t xml:space="preserve">Republik Indonesia </w:t>
            </w:r>
            <w:r w:rsidR="00605389" w:rsidRPr="00A67277">
              <w:rPr>
                <w:rFonts w:cs="Arial"/>
              </w:rPr>
              <w:t xml:space="preserve">melalui Badan Pengatur Jalan Tol bermaksud menerapkan teknologi untuk transaksi tol elektronik tanpa henti </w:t>
            </w:r>
            <w:r w:rsidR="00DE43F2" w:rsidRPr="00A67277">
              <w:rPr>
                <w:rFonts w:cs="Arial"/>
              </w:rPr>
              <w:t xml:space="preserve">untuk seluruh jalan tol </w:t>
            </w:r>
            <w:r w:rsidR="00605389" w:rsidRPr="00A67277">
              <w:rPr>
                <w:rFonts w:cs="Arial"/>
              </w:rPr>
              <w:t>di</w:t>
            </w:r>
            <w:r w:rsidR="00DE43F2" w:rsidRPr="00A67277">
              <w:rPr>
                <w:rFonts w:cs="Arial"/>
              </w:rPr>
              <w:t xml:space="preserve"> </w:t>
            </w:r>
            <w:r w:rsidR="00605389" w:rsidRPr="00A67277">
              <w:rPr>
                <w:rFonts w:cs="Arial"/>
              </w:rPr>
              <w:t xml:space="preserve">seluruh Indonesia melalui skema Kerjasama Pemerintah dengan Badan Usaha. </w:t>
            </w:r>
          </w:p>
        </w:tc>
      </w:tr>
      <w:tr w:rsidR="00A67277" w:rsidRPr="00A67277" w14:paraId="721D36EC" w14:textId="77777777" w:rsidTr="00862B0B">
        <w:tc>
          <w:tcPr>
            <w:tcW w:w="2270" w:type="pct"/>
          </w:tcPr>
          <w:p w14:paraId="28922E06" w14:textId="671F4781" w:rsidR="00BA7204" w:rsidRPr="00A67277" w:rsidRDefault="00BA7204" w:rsidP="00862B0B">
            <w:pPr>
              <w:pStyle w:val="Recitals"/>
              <w:numPr>
                <w:ilvl w:val="0"/>
                <w:numId w:val="206"/>
              </w:numPr>
              <w:tabs>
                <w:tab w:val="clear" w:pos="709"/>
                <w:tab w:val="num" w:pos="426"/>
              </w:tabs>
              <w:spacing w:before="60" w:after="60"/>
              <w:ind w:left="426" w:hanging="426"/>
              <w:rPr>
                <w:rFonts w:cs="Arial"/>
                <w:lang w:val="en-US" w:eastAsia="en-US"/>
              </w:rPr>
            </w:pPr>
            <w:r w:rsidRPr="00A67277">
              <w:rPr>
                <w:rFonts w:cs="Arial"/>
                <w:lang w:val="en-US" w:eastAsia="en-US"/>
              </w:rPr>
              <w:t xml:space="preserve">Whereas, in accordance with the Head of National Public Procurement Agency Regulation Number 19 of 2015 </w:t>
            </w:r>
            <w:r w:rsidR="005F3D5C" w:rsidRPr="00A67277">
              <w:rPr>
                <w:rFonts w:cs="Arial"/>
                <w:lang w:val="en-US" w:eastAsia="en-US"/>
              </w:rPr>
              <w:t xml:space="preserve">on </w:t>
            </w:r>
            <w:r w:rsidR="005F3D5C" w:rsidRPr="00A67277">
              <w:t>Procedures</w:t>
            </w:r>
            <w:r w:rsidRPr="00A67277">
              <w:rPr>
                <w:rFonts w:cs="Arial"/>
                <w:lang w:val="en-US" w:eastAsia="en-US"/>
              </w:rPr>
              <w:t xml:space="preserve"> of Procurement of Public Private Partnership in Providing Infrastructure, the GCA has carried out a competitive procurement process to select a business entity.</w:t>
            </w:r>
          </w:p>
        </w:tc>
        <w:tc>
          <w:tcPr>
            <w:tcW w:w="169" w:type="pct"/>
          </w:tcPr>
          <w:p w14:paraId="0AFC769F" w14:textId="77777777" w:rsidR="00BA7204" w:rsidRPr="00A67277" w:rsidRDefault="00BA7204" w:rsidP="00862B0B">
            <w:pPr>
              <w:spacing w:before="60" w:after="60"/>
              <w:rPr>
                <w:rFonts w:ascii="Arial" w:hAnsi="Arial" w:cs="Arial"/>
                <w:sz w:val="21"/>
                <w:szCs w:val="21"/>
              </w:rPr>
            </w:pPr>
          </w:p>
        </w:tc>
        <w:tc>
          <w:tcPr>
            <w:tcW w:w="2561" w:type="pct"/>
            <w:gridSpan w:val="2"/>
          </w:tcPr>
          <w:p w14:paraId="125F6E75" w14:textId="77777777" w:rsidR="00BA7204" w:rsidRPr="00A67277" w:rsidRDefault="00BA7204" w:rsidP="00862B0B">
            <w:pPr>
              <w:pStyle w:val="Recitals"/>
              <w:numPr>
                <w:ilvl w:val="0"/>
                <w:numId w:val="204"/>
              </w:numPr>
              <w:tabs>
                <w:tab w:val="clear" w:pos="709"/>
                <w:tab w:val="num" w:pos="409"/>
              </w:tabs>
              <w:spacing w:before="60" w:after="60"/>
              <w:ind w:left="409" w:hanging="409"/>
              <w:rPr>
                <w:rFonts w:cs="Arial"/>
              </w:rPr>
            </w:pPr>
            <w:r w:rsidRPr="00A67277">
              <w:rPr>
                <w:rFonts w:cs="Arial"/>
              </w:rPr>
              <w:t>Bahwa, sesuai dengan Peraturan Kepala Lembaga Kebijakan Pengadaan Barang/Jasa Pemerintah Nomor 19 Tahun 2015 tentang Tata Cara Pelaksanaan Pengadaan Badan Usaha Kerjasama Pemerintah dengan Badan Usaha dalam Penyediaan Infrastruktur, PJPK telah melaksanakan proses pengadaan yang kompetitif untuk memilih badan usaha.</w:t>
            </w:r>
          </w:p>
        </w:tc>
      </w:tr>
      <w:tr w:rsidR="00A67277" w:rsidRPr="00A67277" w14:paraId="039D9FF9" w14:textId="77777777" w:rsidTr="00862B0B">
        <w:tc>
          <w:tcPr>
            <w:tcW w:w="2270" w:type="pct"/>
          </w:tcPr>
          <w:p w14:paraId="65D0F351" w14:textId="2206A846" w:rsidR="00BA7204" w:rsidRPr="00A67277" w:rsidRDefault="00BA7204" w:rsidP="00862B0B">
            <w:pPr>
              <w:pStyle w:val="Recitals"/>
              <w:numPr>
                <w:ilvl w:val="0"/>
                <w:numId w:val="206"/>
              </w:numPr>
              <w:tabs>
                <w:tab w:val="clear" w:pos="709"/>
                <w:tab w:val="num" w:pos="426"/>
              </w:tabs>
              <w:spacing w:before="60" w:after="60"/>
              <w:ind w:left="426" w:hanging="426"/>
              <w:rPr>
                <w:rFonts w:cs="Arial"/>
                <w:lang w:val="en-US" w:eastAsia="en-US"/>
              </w:rPr>
            </w:pPr>
            <w:r w:rsidRPr="00A67277">
              <w:rPr>
                <w:rFonts w:cs="Arial"/>
                <w:lang w:val="en-US" w:eastAsia="en-US"/>
              </w:rPr>
              <w:t xml:space="preserve">Whereas, upon completion of a competitive bidding process, the </w:t>
            </w:r>
            <w:r w:rsidR="0049332C">
              <w:rPr>
                <w:rFonts w:cs="Arial"/>
                <w:lang w:val="en-US" w:eastAsia="en-US"/>
              </w:rPr>
              <w:t>[</w:t>
            </w:r>
            <w:r w:rsidRPr="00A67277">
              <w:rPr>
                <w:rFonts w:cs="Arial"/>
                <w:lang w:val="en-US" w:eastAsia="en-US"/>
              </w:rPr>
              <w:t xml:space="preserve">[●] </w:t>
            </w:r>
            <w:r w:rsidR="0049332C" w:rsidRPr="00FA4467">
              <w:rPr>
                <w:rFonts w:cs="Arial"/>
                <w:b/>
                <w:i/>
                <w:lang w:val="en-US" w:eastAsia="en-US"/>
              </w:rPr>
              <w:t>will be inserted the name of the Winning Bidder</w:t>
            </w:r>
            <w:r w:rsidR="0049332C">
              <w:rPr>
                <w:rFonts w:cs="Arial"/>
                <w:lang w:val="en-US" w:eastAsia="en-US"/>
              </w:rPr>
              <w:t xml:space="preserve">] </w:t>
            </w:r>
            <w:r w:rsidRPr="00A67277">
              <w:rPr>
                <w:rFonts w:cs="Arial"/>
                <w:lang w:val="en-US" w:eastAsia="en-US"/>
              </w:rPr>
              <w:t>is nominated and selected as the winning bidder under the Decree of GCA No [●] dated [●].</w:t>
            </w:r>
          </w:p>
        </w:tc>
        <w:tc>
          <w:tcPr>
            <w:tcW w:w="169" w:type="pct"/>
          </w:tcPr>
          <w:p w14:paraId="1C1366BC" w14:textId="77777777" w:rsidR="00BA7204" w:rsidRPr="00A67277" w:rsidRDefault="00BA7204" w:rsidP="00862B0B">
            <w:pPr>
              <w:spacing w:before="60" w:after="60"/>
              <w:rPr>
                <w:rFonts w:ascii="Arial" w:hAnsi="Arial" w:cs="Arial"/>
                <w:sz w:val="21"/>
                <w:szCs w:val="21"/>
              </w:rPr>
            </w:pPr>
          </w:p>
        </w:tc>
        <w:tc>
          <w:tcPr>
            <w:tcW w:w="2561" w:type="pct"/>
            <w:gridSpan w:val="2"/>
          </w:tcPr>
          <w:p w14:paraId="2F58FAE3" w14:textId="02687892" w:rsidR="00BA7204" w:rsidRPr="00A67277" w:rsidRDefault="00BA7204" w:rsidP="00862B0B">
            <w:pPr>
              <w:pStyle w:val="Recitals"/>
              <w:numPr>
                <w:ilvl w:val="0"/>
                <w:numId w:val="205"/>
              </w:numPr>
              <w:tabs>
                <w:tab w:val="clear" w:pos="709"/>
                <w:tab w:val="num" w:pos="409"/>
              </w:tabs>
              <w:spacing w:before="60" w:after="60"/>
              <w:ind w:left="409" w:hanging="409"/>
              <w:rPr>
                <w:rFonts w:cs="Arial"/>
              </w:rPr>
            </w:pPr>
            <w:r w:rsidRPr="00A67277">
              <w:rPr>
                <w:rFonts w:cs="Arial"/>
              </w:rPr>
              <w:t>Bahwa, setelah penyelesaian proses lelang yang kompetitif, [</w:t>
            </w:r>
            <w:r w:rsidR="0049332C" w:rsidRPr="00FA4467">
              <w:rPr>
                <w:rFonts w:cs="Arial"/>
                <w:b/>
                <w:i/>
              </w:rPr>
              <w:t>akan dimasukan nama Pemenang Lelang</w:t>
            </w:r>
            <w:r w:rsidRPr="00A67277">
              <w:rPr>
                <w:rFonts w:cs="Arial"/>
              </w:rPr>
              <w:t>] telah dinominasikan dan dipilih sebagai pemenang pelelangan berdasarkan Keputusan PJPK No [●] tertanggal [●].</w:t>
            </w:r>
          </w:p>
        </w:tc>
      </w:tr>
      <w:tr w:rsidR="00A67277" w:rsidRPr="00A67277" w14:paraId="7FC07B9C" w14:textId="77777777" w:rsidTr="00862B0B">
        <w:tc>
          <w:tcPr>
            <w:tcW w:w="2270" w:type="pct"/>
          </w:tcPr>
          <w:p w14:paraId="510ECE33" w14:textId="27BC194F" w:rsidR="00BA7204" w:rsidRPr="00A67277" w:rsidRDefault="00BA7204" w:rsidP="00862B0B">
            <w:pPr>
              <w:pStyle w:val="Recitals"/>
              <w:numPr>
                <w:ilvl w:val="0"/>
                <w:numId w:val="206"/>
              </w:numPr>
              <w:tabs>
                <w:tab w:val="clear" w:pos="709"/>
                <w:tab w:val="num" w:pos="426"/>
              </w:tabs>
              <w:spacing w:before="60" w:after="60"/>
              <w:ind w:left="426" w:hanging="426"/>
              <w:rPr>
                <w:rFonts w:cs="Arial"/>
                <w:lang w:val="en-US" w:eastAsia="en-US"/>
              </w:rPr>
            </w:pPr>
            <w:r w:rsidRPr="00A67277">
              <w:rPr>
                <w:rFonts w:cs="Arial"/>
                <w:lang w:val="en-US" w:eastAsia="en-US"/>
              </w:rPr>
              <w:t xml:space="preserve">Whereas, the </w:t>
            </w:r>
            <w:r w:rsidR="0049332C">
              <w:rPr>
                <w:rFonts w:cs="Arial"/>
                <w:lang w:val="en-US" w:eastAsia="en-US"/>
              </w:rPr>
              <w:t>[</w:t>
            </w:r>
            <w:r w:rsidR="0049332C" w:rsidRPr="00A67277">
              <w:rPr>
                <w:rFonts w:cs="Arial"/>
                <w:lang w:val="en-US" w:eastAsia="en-US"/>
              </w:rPr>
              <w:t xml:space="preserve">[●] </w:t>
            </w:r>
            <w:r w:rsidR="0049332C" w:rsidRPr="001D557D">
              <w:rPr>
                <w:rFonts w:cs="Arial"/>
                <w:b/>
                <w:i/>
                <w:lang w:val="en-US" w:eastAsia="en-US"/>
              </w:rPr>
              <w:t>will be inserted the name of the Winning Bidder</w:t>
            </w:r>
            <w:r w:rsidR="0049332C">
              <w:rPr>
                <w:rFonts w:cs="Arial"/>
                <w:lang w:val="en-US" w:eastAsia="en-US"/>
              </w:rPr>
              <w:t xml:space="preserve">] </w:t>
            </w:r>
            <w:r w:rsidRPr="00A67277">
              <w:rPr>
                <w:rFonts w:cs="Arial"/>
                <w:lang w:val="en-US" w:eastAsia="en-US"/>
              </w:rPr>
              <w:t xml:space="preserve"> has formed and established the IBE in order to enter </w:t>
            </w:r>
            <w:r w:rsidR="00347CA3">
              <w:rPr>
                <w:rFonts w:cs="Arial"/>
                <w:lang w:val="en-US" w:eastAsia="en-US"/>
              </w:rPr>
              <w:t xml:space="preserve">into </w:t>
            </w:r>
            <w:r w:rsidRPr="00A67277">
              <w:rPr>
                <w:rFonts w:cs="Arial"/>
                <w:lang w:val="en-US" w:eastAsia="en-US"/>
              </w:rPr>
              <w:t>this Agreement and carry out the rights and obligations as set out in this Agreement.</w:t>
            </w:r>
          </w:p>
          <w:p w14:paraId="400963F4" w14:textId="77777777" w:rsidR="00BA7204" w:rsidRPr="00A67277" w:rsidRDefault="00BA7204" w:rsidP="00862B0B">
            <w:pPr>
              <w:spacing w:before="60" w:after="60"/>
              <w:rPr>
                <w:rFonts w:ascii="Arial" w:hAnsi="Arial" w:cs="Arial"/>
                <w:sz w:val="21"/>
                <w:szCs w:val="21"/>
              </w:rPr>
            </w:pPr>
          </w:p>
        </w:tc>
        <w:tc>
          <w:tcPr>
            <w:tcW w:w="169" w:type="pct"/>
          </w:tcPr>
          <w:p w14:paraId="434C50EC" w14:textId="77777777" w:rsidR="00BA7204" w:rsidRPr="00A67277" w:rsidRDefault="00BA7204" w:rsidP="00862B0B">
            <w:pPr>
              <w:spacing w:before="60" w:after="60"/>
              <w:rPr>
                <w:rFonts w:ascii="Arial" w:hAnsi="Arial" w:cs="Arial"/>
                <w:sz w:val="21"/>
                <w:szCs w:val="21"/>
              </w:rPr>
            </w:pPr>
          </w:p>
        </w:tc>
        <w:tc>
          <w:tcPr>
            <w:tcW w:w="2561" w:type="pct"/>
            <w:gridSpan w:val="2"/>
          </w:tcPr>
          <w:p w14:paraId="61C939EF" w14:textId="4FFA4EE1" w:rsidR="00BA7204" w:rsidRPr="00A67277" w:rsidRDefault="00BA7204" w:rsidP="00862B0B">
            <w:pPr>
              <w:pStyle w:val="Recitals"/>
              <w:numPr>
                <w:ilvl w:val="0"/>
                <w:numId w:val="206"/>
              </w:numPr>
              <w:tabs>
                <w:tab w:val="clear" w:pos="709"/>
                <w:tab w:val="num" w:pos="409"/>
              </w:tabs>
              <w:spacing w:before="60" w:after="60"/>
              <w:ind w:left="409" w:hanging="409"/>
              <w:rPr>
                <w:rFonts w:cs="Arial"/>
              </w:rPr>
            </w:pPr>
            <w:r w:rsidRPr="00A67277">
              <w:rPr>
                <w:rFonts w:cs="Arial"/>
              </w:rPr>
              <w:t xml:space="preserve">Bahwa, </w:t>
            </w:r>
            <w:r w:rsidR="0049332C" w:rsidRPr="00A67277">
              <w:rPr>
                <w:rFonts w:cs="Arial"/>
              </w:rPr>
              <w:t>[</w:t>
            </w:r>
            <w:r w:rsidR="0049332C" w:rsidRPr="001D557D">
              <w:rPr>
                <w:rFonts w:cs="Arial"/>
                <w:b/>
                <w:i/>
              </w:rPr>
              <w:t>akan dimasukan nama Pemenang Lelan</w:t>
            </w:r>
            <w:r w:rsidR="00580A81">
              <w:rPr>
                <w:rFonts w:cs="Arial"/>
                <w:b/>
                <w:i/>
              </w:rPr>
              <w:t>g</w:t>
            </w:r>
            <w:r w:rsidR="0049332C">
              <w:rPr>
                <w:rFonts w:cs="Arial"/>
              </w:rPr>
              <w:t xml:space="preserve">] </w:t>
            </w:r>
            <w:r w:rsidRPr="00A67277">
              <w:rPr>
                <w:rFonts w:cs="Arial"/>
              </w:rPr>
              <w:t>telah membentuk dan mendirikan BUP dalam rangka menandatangani Perjanjian ini dan melaksanakan hak dan kewajiban sebagaimana yang tertuang dalam Perjanjian ini.</w:t>
            </w:r>
          </w:p>
        </w:tc>
      </w:tr>
      <w:tr w:rsidR="00A67277" w:rsidRPr="00A67277" w14:paraId="23C00504" w14:textId="77777777" w:rsidTr="00862B0B">
        <w:tc>
          <w:tcPr>
            <w:tcW w:w="2270" w:type="pct"/>
          </w:tcPr>
          <w:p w14:paraId="1652FE32" w14:textId="77777777" w:rsidR="00BA7204" w:rsidRPr="00A67277" w:rsidRDefault="00BA7204" w:rsidP="00862B0B">
            <w:pPr>
              <w:pStyle w:val="Recitals"/>
              <w:numPr>
                <w:ilvl w:val="0"/>
                <w:numId w:val="0"/>
              </w:numPr>
              <w:spacing w:before="60" w:after="60"/>
              <w:rPr>
                <w:rFonts w:cs="Arial"/>
              </w:rPr>
            </w:pPr>
            <w:r w:rsidRPr="00A67277">
              <w:rPr>
                <w:rFonts w:cs="Arial"/>
              </w:rPr>
              <w:t>NOW THEREFORE, this Agreement sets out the terms and conditions upon which the Parties have agreed to undertake the Project</w:t>
            </w:r>
            <w:r w:rsidR="00DE43F2" w:rsidRPr="00A67277">
              <w:rPr>
                <w:rFonts w:cs="Arial"/>
              </w:rPr>
              <w:t>.</w:t>
            </w:r>
          </w:p>
        </w:tc>
        <w:tc>
          <w:tcPr>
            <w:tcW w:w="169" w:type="pct"/>
          </w:tcPr>
          <w:p w14:paraId="08EE74A5" w14:textId="77777777" w:rsidR="00BA7204" w:rsidRPr="00A67277" w:rsidRDefault="00BA7204" w:rsidP="00862B0B">
            <w:pPr>
              <w:spacing w:before="60" w:after="60"/>
              <w:rPr>
                <w:rFonts w:ascii="Arial" w:hAnsi="Arial" w:cs="Arial"/>
                <w:sz w:val="21"/>
                <w:szCs w:val="21"/>
              </w:rPr>
            </w:pPr>
          </w:p>
        </w:tc>
        <w:tc>
          <w:tcPr>
            <w:tcW w:w="2561" w:type="pct"/>
            <w:gridSpan w:val="2"/>
          </w:tcPr>
          <w:p w14:paraId="3EFDA56C" w14:textId="77777777" w:rsidR="00BA7204" w:rsidRPr="00A67277" w:rsidRDefault="00BA7204" w:rsidP="00862B0B">
            <w:pPr>
              <w:pStyle w:val="Recitals"/>
              <w:numPr>
                <w:ilvl w:val="0"/>
                <w:numId w:val="0"/>
              </w:numPr>
              <w:spacing w:before="60" w:after="60"/>
              <w:rPr>
                <w:rFonts w:cs="Arial"/>
              </w:rPr>
            </w:pPr>
            <w:r w:rsidRPr="00A67277">
              <w:rPr>
                <w:rFonts w:cs="Arial"/>
              </w:rPr>
              <w:t>MAKA DENGAN DEMIKIAN, Perjanjian ini mengatur syarat dan ketentuan yang telah disepakati oleh Para Pihak untuk melaksanakan Proyek</w:t>
            </w:r>
          </w:p>
        </w:tc>
      </w:tr>
      <w:tr w:rsidR="00A67277" w:rsidRPr="00A67277" w14:paraId="6947F13B" w14:textId="77777777" w:rsidTr="00862B0B">
        <w:tc>
          <w:tcPr>
            <w:tcW w:w="2270" w:type="pct"/>
          </w:tcPr>
          <w:p w14:paraId="188D29B2" w14:textId="77777777" w:rsidR="00DE43F2" w:rsidRPr="00A67277" w:rsidRDefault="00DE43F2" w:rsidP="00862B0B">
            <w:pPr>
              <w:pStyle w:val="Recitals"/>
              <w:numPr>
                <w:ilvl w:val="0"/>
                <w:numId w:val="0"/>
              </w:numPr>
              <w:spacing w:before="60" w:after="60"/>
              <w:rPr>
                <w:rFonts w:cs="Arial"/>
              </w:rPr>
            </w:pPr>
          </w:p>
        </w:tc>
        <w:tc>
          <w:tcPr>
            <w:tcW w:w="169" w:type="pct"/>
          </w:tcPr>
          <w:p w14:paraId="7A8550D3" w14:textId="77777777" w:rsidR="00DE43F2" w:rsidRPr="00A67277" w:rsidRDefault="00DE43F2" w:rsidP="00862B0B">
            <w:pPr>
              <w:spacing w:before="60" w:after="60"/>
              <w:rPr>
                <w:rFonts w:ascii="Arial" w:hAnsi="Arial" w:cs="Arial"/>
                <w:sz w:val="21"/>
                <w:szCs w:val="21"/>
              </w:rPr>
            </w:pPr>
          </w:p>
        </w:tc>
        <w:tc>
          <w:tcPr>
            <w:tcW w:w="2561" w:type="pct"/>
            <w:gridSpan w:val="2"/>
          </w:tcPr>
          <w:p w14:paraId="677AB393" w14:textId="77777777" w:rsidR="00DE43F2" w:rsidRPr="00A67277" w:rsidRDefault="00DE43F2" w:rsidP="00862B0B">
            <w:pPr>
              <w:pStyle w:val="Recitals"/>
              <w:numPr>
                <w:ilvl w:val="0"/>
                <w:numId w:val="0"/>
              </w:numPr>
              <w:spacing w:before="60" w:after="60"/>
              <w:rPr>
                <w:rFonts w:cs="Arial"/>
              </w:rPr>
            </w:pPr>
          </w:p>
        </w:tc>
      </w:tr>
      <w:tr w:rsidR="00A67277" w:rsidRPr="00A67277" w14:paraId="149ECF99" w14:textId="77777777" w:rsidTr="00862B0B">
        <w:tc>
          <w:tcPr>
            <w:tcW w:w="2270" w:type="pct"/>
          </w:tcPr>
          <w:p w14:paraId="07FE54AE" w14:textId="5C90D1CF" w:rsidR="00BA7204" w:rsidRPr="00A67277" w:rsidRDefault="00BA7204" w:rsidP="00862B0B">
            <w:pPr>
              <w:pStyle w:val="CentredHeading"/>
              <w:numPr>
                <w:ilvl w:val="0"/>
                <w:numId w:val="3"/>
              </w:numPr>
              <w:spacing w:before="60" w:after="60"/>
              <w:ind w:left="453" w:hanging="453"/>
              <w:jc w:val="left"/>
              <w:rPr>
                <w:rFonts w:cs="Arial"/>
              </w:rPr>
            </w:pPr>
            <w:bookmarkStart w:id="2" w:name="_Toc501177808"/>
            <w:r w:rsidRPr="00A67277">
              <w:rPr>
                <w:rFonts w:cs="Arial"/>
                <w:lang w:val="en-US" w:eastAsia="en-US"/>
              </w:rPr>
              <w:t>Definitions and Interpretations</w:t>
            </w:r>
            <w:bookmarkEnd w:id="2"/>
          </w:p>
        </w:tc>
        <w:tc>
          <w:tcPr>
            <w:tcW w:w="169" w:type="pct"/>
          </w:tcPr>
          <w:p w14:paraId="43034E6F" w14:textId="77777777" w:rsidR="00BA7204" w:rsidRPr="00A67277" w:rsidRDefault="00BA7204" w:rsidP="00862B0B">
            <w:pPr>
              <w:spacing w:before="60" w:after="60"/>
              <w:rPr>
                <w:rFonts w:ascii="Arial" w:hAnsi="Arial" w:cs="Arial"/>
                <w:sz w:val="21"/>
                <w:szCs w:val="21"/>
              </w:rPr>
            </w:pPr>
          </w:p>
        </w:tc>
        <w:tc>
          <w:tcPr>
            <w:tcW w:w="2561" w:type="pct"/>
            <w:gridSpan w:val="2"/>
          </w:tcPr>
          <w:p w14:paraId="70E4CD24" w14:textId="77777777" w:rsidR="00BA7204" w:rsidRPr="00A67277" w:rsidRDefault="00BA7204" w:rsidP="00862B0B">
            <w:pPr>
              <w:pStyle w:val="CentredHeading"/>
              <w:numPr>
                <w:ilvl w:val="0"/>
                <w:numId w:val="470"/>
              </w:numPr>
              <w:spacing w:before="60" w:after="60"/>
              <w:ind w:left="433"/>
              <w:jc w:val="left"/>
              <w:rPr>
                <w:rFonts w:cs="Arial"/>
                <w:lang w:val="en-US" w:eastAsia="en-US"/>
              </w:rPr>
            </w:pPr>
            <w:bookmarkStart w:id="3" w:name="_Hlk501525731"/>
            <w:r w:rsidRPr="00A67277">
              <w:rPr>
                <w:rFonts w:cs="Arial"/>
                <w:lang w:val="en-US" w:eastAsia="en-US"/>
              </w:rPr>
              <w:t>Definisi dan Interpretasi</w:t>
            </w:r>
            <w:bookmarkEnd w:id="3"/>
          </w:p>
        </w:tc>
      </w:tr>
      <w:tr w:rsidR="00A67277" w:rsidRPr="00A67277" w14:paraId="7E9E2B5B" w14:textId="77777777" w:rsidTr="00862B0B">
        <w:tc>
          <w:tcPr>
            <w:tcW w:w="2270" w:type="pct"/>
          </w:tcPr>
          <w:p w14:paraId="2B8EDB41" w14:textId="2C23F2D2" w:rsidR="00BA7204" w:rsidRPr="00A67277" w:rsidRDefault="00BA7204" w:rsidP="00862B0B">
            <w:pPr>
              <w:pStyle w:val="ListParagraph"/>
              <w:numPr>
                <w:ilvl w:val="1"/>
                <w:numId w:val="207"/>
              </w:numPr>
              <w:spacing w:before="60" w:after="60" w:line="240" w:lineRule="auto"/>
              <w:ind w:left="851" w:hanging="425"/>
              <w:jc w:val="left"/>
              <w:rPr>
                <w:rFonts w:cs="Arial"/>
                <w:b/>
              </w:rPr>
            </w:pPr>
            <w:bookmarkStart w:id="4" w:name="_Toc501177809"/>
            <w:r w:rsidRPr="00A67277">
              <w:rPr>
                <w:rFonts w:cs="Arial"/>
                <w:b/>
              </w:rPr>
              <w:t>Definitions</w:t>
            </w:r>
            <w:bookmarkEnd w:id="4"/>
          </w:p>
        </w:tc>
        <w:tc>
          <w:tcPr>
            <w:tcW w:w="169" w:type="pct"/>
          </w:tcPr>
          <w:p w14:paraId="227E08B5" w14:textId="77777777" w:rsidR="00BA7204" w:rsidRPr="00A67277" w:rsidRDefault="00BA7204" w:rsidP="00862B0B">
            <w:pPr>
              <w:spacing w:before="60" w:after="60"/>
              <w:rPr>
                <w:rFonts w:ascii="Arial" w:hAnsi="Arial" w:cs="Arial"/>
                <w:b/>
                <w:sz w:val="21"/>
                <w:szCs w:val="21"/>
              </w:rPr>
            </w:pPr>
          </w:p>
        </w:tc>
        <w:tc>
          <w:tcPr>
            <w:tcW w:w="2561" w:type="pct"/>
            <w:gridSpan w:val="2"/>
          </w:tcPr>
          <w:p w14:paraId="5820D527" w14:textId="77777777" w:rsidR="00BA7204" w:rsidRPr="00A67277" w:rsidRDefault="00BA7204" w:rsidP="00862B0B">
            <w:pPr>
              <w:pStyle w:val="ListParagraph"/>
              <w:numPr>
                <w:ilvl w:val="1"/>
                <w:numId w:val="208"/>
              </w:numPr>
              <w:spacing w:before="60" w:after="60" w:line="240" w:lineRule="auto"/>
              <w:ind w:left="835" w:hanging="426"/>
              <w:jc w:val="left"/>
              <w:rPr>
                <w:rFonts w:cs="Arial"/>
                <w:b/>
              </w:rPr>
            </w:pPr>
            <w:r w:rsidRPr="00A67277">
              <w:rPr>
                <w:rFonts w:cs="Arial"/>
                <w:b/>
              </w:rPr>
              <w:t>Definisi</w:t>
            </w:r>
          </w:p>
        </w:tc>
      </w:tr>
      <w:tr w:rsidR="00A67277" w:rsidRPr="00A67277" w14:paraId="02BF7626" w14:textId="77777777" w:rsidTr="00862B0B">
        <w:tc>
          <w:tcPr>
            <w:tcW w:w="2270" w:type="pct"/>
          </w:tcPr>
          <w:p w14:paraId="14F23B5F" w14:textId="77777777" w:rsidR="00BA7204" w:rsidRPr="00A67277" w:rsidRDefault="00BA7204" w:rsidP="00862B0B">
            <w:pPr>
              <w:pStyle w:val="Body2"/>
              <w:spacing w:before="60" w:after="60"/>
              <w:ind w:left="851"/>
              <w:rPr>
                <w:rFonts w:cs="Arial"/>
              </w:rPr>
            </w:pPr>
            <w:r w:rsidRPr="00A67277">
              <w:rPr>
                <w:rFonts w:cs="Arial"/>
              </w:rPr>
              <w:t>In this Agreement:</w:t>
            </w:r>
          </w:p>
        </w:tc>
        <w:tc>
          <w:tcPr>
            <w:tcW w:w="169" w:type="pct"/>
          </w:tcPr>
          <w:p w14:paraId="2BDC61FC" w14:textId="77777777" w:rsidR="00BA7204" w:rsidRPr="00A67277" w:rsidRDefault="00BA7204" w:rsidP="00862B0B">
            <w:pPr>
              <w:spacing w:before="60" w:after="60"/>
              <w:rPr>
                <w:rFonts w:ascii="Arial" w:hAnsi="Arial" w:cs="Arial"/>
                <w:sz w:val="21"/>
                <w:szCs w:val="21"/>
              </w:rPr>
            </w:pPr>
          </w:p>
        </w:tc>
        <w:tc>
          <w:tcPr>
            <w:tcW w:w="2561" w:type="pct"/>
            <w:gridSpan w:val="2"/>
          </w:tcPr>
          <w:p w14:paraId="40A7DC69" w14:textId="77777777" w:rsidR="00BA7204" w:rsidRPr="00A67277" w:rsidRDefault="00BA7204" w:rsidP="00862B0B">
            <w:pPr>
              <w:pStyle w:val="Level1"/>
              <w:tabs>
                <w:tab w:val="clear" w:pos="889"/>
                <w:tab w:val="num" w:pos="793"/>
              </w:tabs>
              <w:spacing w:before="60" w:after="60"/>
              <w:ind w:left="793" w:firstLine="0"/>
              <w:rPr>
                <w:rFonts w:cs="Arial"/>
              </w:rPr>
            </w:pPr>
            <w:r w:rsidRPr="00A67277">
              <w:rPr>
                <w:rFonts w:cs="Arial"/>
              </w:rPr>
              <w:t>Dalam Perjanjian ini:</w:t>
            </w:r>
          </w:p>
        </w:tc>
      </w:tr>
      <w:tr w:rsidR="00A67277" w:rsidRPr="00A67277" w14:paraId="35A7016B" w14:textId="77777777" w:rsidTr="00862B0B">
        <w:tc>
          <w:tcPr>
            <w:tcW w:w="2270" w:type="pct"/>
          </w:tcPr>
          <w:p w14:paraId="062446A8" w14:textId="7F6C0486" w:rsidR="00BA7204" w:rsidRPr="00A67277" w:rsidRDefault="00BA7204" w:rsidP="00862B0B">
            <w:pPr>
              <w:pStyle w:val="Body2"/>
              <w:spacing w:before="60" w:after="60"/>
              <w:ind w:left="851"/>
              <w:rPr>
                <w:rFonts w:cs="Arial"/>
              </w:rPr>
            </w:pPr>
            <w:r w:rsidRPr="00A67277">
              <w:rPr>
                <w:rFonts w:cs="Arial"/>
                <w:b/>
              </w:rPr>
              <w:t>Accounting Principles</w:t>
            </w:r>
            <w:r w:rsidRPr="00A67277">
              <w:rPr>
                <w:rFonts w:cs="Arial"/>
              </w:rPr>
              <w:t xml:space="preserve"> means the generally accepted accounting principles issued by the Indonesia</w:t>
            </w:r>
            <w:r w:rsidR="00347CA3">
              <w:rPr>
                <w:rFonts w:cs="Arial"/>
              </w:rPr>
              <w:t xml:space="preserve">n </w:t>
            </w:r>
            <w:r w:rsidRPr="00A67277">
              <w:rPr>
                <w:rFonts w:cs="Arial"/>
              </w:rPr>
              <w:t>Accounting Standard</w:t>
            </w:r>
            <w:r w:rsidR="00347CA3">
              <w:rPr>
                <w:rFonts w:cs="Arial"/>
              </w:rPr>
              <w:t>s</w:t>
            </w:r>
            <w:r w:rsidRPr="00A67277">
              <w:rPr>
                <w:rFonts w:cs="Arial"/>
              </w:rPr>
              <w:t xml:space="preserve"> Board applicable from time to time in the Republic of Indonesia (known as </w:t>
            </w:r>
            <w:r w:rsidRPr="00A67277">
              <w:rPr>
                <w:rFonts w:cs="Arial"/>
                <w:i/>
              </w:rPr>
              <w:t>Pernyataan Standar AkuntansKeuangan,</w:t>
            </w:r>
            <w:r w:rsidRPr="00A67277">
              <w:rPr>
                <w:rFonts w:cs="Arial"/>
              </w:rPr>
              <w:t xml:space="preserve"> or PSAK);</w:t>
            </w:r>
          </w:p>
        </w:tc>
        <w:tc>
          <w:tcPr>
            <w:tcW w:w="169" w:type="pct"/>
          </w:tcPr>
          <w:p w14:paraId="38B74D03" w14:textId="77777777" w:rsidR="00BA7204" w:rsidRPr="00A67277" w:rsidRDefault="00BA7204" w:rsidP="00862B0B">
            <w:pPr>
              <w:spacing w:before="60" w:after="60"/>
              <w:rPr>
                <w:rFonts w:ascii="Arial" w:hAnsi="Arial" w:cs="Arial"/>
                <w:sz w:val="21"/>
                <w:szCs w:val="21"/>
              </w:rPr>
            </w:pPr>
          </w:p>
        </w:tc>
        <w:tc>
          <w:tcPr>
            <w:tcW w:w="2561" w:type="pct"/>
            <w:gridSpan w:val="2"/>
          </w:tcPr>
          <w:p w14:paraId="6B123C7A" w14:textId="77777777" w:rsidR="00BA7204" w:rsidRPr="00A67277" w:rsidRDefault="00BA7204" w:rsidP="00862B0B">
            <w:pPr>
              <w:pStyle w:val="Body2"/>
              <w:spacing w:before="60" w:after="60"/>
              <w:ind w:left="835"/>
              <w:rPr>
                <w:rFonts w:cs="Arial"/>
              </w:rPr>
            </w:pPr>
            <w:r w:rsidRPr="00A67277">
              <w:rPr>
                <w:rFonts w:cs="Arial"/>
                <w:b/>
              </w:rPr>
              <w:t>Prinsip-Prinsip Akuntansi</w:t>
            </w:r>
            <w:r w:rsidRPr="00A67277">
              <w:rPr>
                <w:rFonts w:cs="Arial"/>
              </w:rPr>
              <w:t xml:space="preserve"> berarti prinsip-prinsip akuntansi yang diterima secara umum yang diterbitkan oleh Dewan Standar Akuntansi Keuangan Ikatan Akutansi Indonesia yang berlaku dari waktu ke waktu di Republik Indonesia (dikenal sebagai Pernyataan Standar Akuntansi Keuangan, atau PSAK);</w:t>
            </w:r>
          </w:p>
        </w:tc>
      </w:tr>
      <w:tr w:rsidR="00A67277" w:rsidRPr="00A67277" w14:paraId="2B697294" w14:textId="77777777" w:rsidTr="00862B0B">
        <w:tc>
          <w:tcPr>
            <w:tcW w:w="2270" w:type="pct"/>
          </w:tcPr>
          <w:p w14:paraId="7C80A414" w14:textId="5F6A7F62" w:rsidR="00085809" w:rsidRPr="00A67277" w:rsidRDefault="00085809" w:rsidP="00862B0B">
            <w:pPr>
              <w:pStyle w:val="Body2"/>
              <w:spacing w:before="60" w:after="60"/>
              <w:ind w:left="851"/>
              <w:rPr>
                <w:rFonts w:cs="Arial"/>
                <w:b/>
              </w:rPr>
            </w:pPr>
            <w:r w:rsidRPr="00A67277">
              <w:rPr>
                <w:rFonts w:cs="Arial"/>
                <w:b/>
              </w:rPr>
              <w:t xml:space="preserve">Additional Lane </w:t>
            </w:r>
            <w:r w:rsidRPr="00A67277">
              <w:rPr>
                <w:rFonts w:cs="Arial"/>
              </w:rPr>
              <w:t>means</w:t>
            </w:r>
            <w:r w:rsidRPr="00A67277">
              <w:rPr>
                <w:rFonts w:cs="Arial"/>
                <w:b/>
              </w:rPr>
              <w:t xml:space="preserve"> </w:t>
            </w:r>
            <w:r w:rsidRPr="00A67277">
              <w:rPr>
                <w:rFonts w:cs="Arial"/>
              </w:rPr>
              <w:t>any</w:t>
            </w:r>
            <w:r w:rsidR="00FA14F7" w:rsidRPr="00A67277">
              <w:rPr>
                <w:rFonts w:cs="Arial"/>
              </w:rPr>
              <w:t xml:space="preserve"> </w:t>
            </w:r>
            <w:r w:rsidR="002C5282">
              <w:rPr>
                <w:rFonts w:cs="Arial"/>
              </w:rPr>
              <w:t>L</w:t>
            </w:r>
            <w:r w:rsidRPr="00A67277">
              <w:rPr>
                <w:rFonts w:cs="Arial"/>
              </w:rPr>
              <w:t xml:space="preserve">ane </w:t>
            </w:r>
            <w:r w:rsidR="00FA14F7" w:rsidRPr="00A67277">
              <w:rPr>
                <w:rFonts w:cs="Arial"/>
              </w:rPr>
              <w:t xml:space="preserve">in addition to </w:t>
            </w:r>
            <w:r w:rsidRPr="00A67277">
              <w:rPr>
                <w:rFonts w:cs="Arial"/>
              </w:rPr>
              <w:t xml:space="preserve">the </w:t>
            </w:r>
            <w:r w:rsidR="00C32635" w:rsidRPr="00A67277">
              <w:rPr>
                <w:rFonts w:cs="Arial"/>
              </w:rPr>
              <w:t>T</w:t>
            </w:r>
            <w:r w:rsidRPr="00A67277">
              <w:rPr>
                <w:rFonts w:cs="Arial"/>
              </w:rPr>
              <w:t xml:space="preserve">oll </w:t>
            </w:r>
            <w:r w:rsidR="00C32635" w:rsidRPr="00A67277">
              <w:rPr>
                <w:rFonts w:cs="Arial"/>
              </w:rPr>
              <w:t>R</w:t>
            </w:r>
            <w:r w:rsidRPr="00A67277">
              <w:rPr>
                <w:rFonts w:cs="Arial"/>
              </w:rPr>
              <w:t xml:space="preserve">oad </w:t>
            </w:r>
            <w:r w:rsidR="002C5282">
              <w:rPr>
                <w:rFonts w:cs="Arial"/>
              </w:rPr>
              <w:t>L</w:t>
            </w:r>
            <w:r w:rsidRPr="00A67277">
              <w:rPr>
                <w:rFonts w:cs="Arial"/>
              </w:rPr>
              <w:t xml:space="preserve">anes as set out in the </w:t>
            </w:r>
            <w:r w:rsidR="00467834" w:rsidRPr="00A67277">
              <w:rPr>
                <w:rFonts w:cs="Arial"/>
              </w:rPr>
              <w:t xml:space="preserve">Appendix </w:t>
            </w:r>
            <w:r w:rsidR="00135B1F" w:rsidRPr="00A67277">
              <w:rPr>
                <w:rFonts w:cs="Arial"/>
              </w:rPr>
              <w:t>13</w:t>
            </w:r>
            <w:r w:rsidR="00B27B4B" w:rsidRPr="00A67277">
              <w:rPr>
                <w:rFonts w:cs="Arial"/>
              </w:rPr>
              <w:t xml:space="preserve"> (</w:t>
            </w:r>
            <w:r w:rsidR="00B27B4B" w:rsidRPr="00A67277">
              <w:rPr>
                <w:rFonts w:cs="Arial"/>
                <w:i/>
              </w:rPr>
              <w:t>List of Toll Road Lanes</w:t>
            </w:r>
            <w:r w:rsidR="00B27B4B" w:rsidRPr="00A67277">
              <w:rPr>
                <w:rFonts w:cs="Arial"/>
              </w:rPr>
              <w:t>)</w:t>
            </w:r>
            <w:r w:rsidR="00A05A7B" w:rsidRPr="00A67277">
              <w:rPr>
                <w:rFonts w:cs="Arial"/>
              </w:rPr>
              <w:t>,</w:t>
            </w:r>
            <w:r w:rsidR="00B27B4B" w:rsidRPr="00A67277">
              <w:rPr>
                <w:rFonts w:cs="Arial"/>
              </w:rPr>
              <w:t xml:space="preserve">  </w:t>
            </w:r>
            <w:r w:rsidR="00A05A7B" w:rsidRPr="00A67277">
              <w:t xml:space="preserve"> </w:t>
            </w:r>
            <w:r w:rsidR="00A05A7B" w:rsidRPr="00A67277">
              <w:rPr>
                <w:rFonts w:cs="Arial"/>
              </w:rPr>
              <w:t xml:space="preserve">whereby for the purpose of this definition, </w:t>
            </w:r>
            <w:r w:rsidR="00634798" w:rsidRPr="00A67277">
              <w:t>“</w:t>
            </w:r>
            <w:r w:rsidR="00634798" w:rsidRPr="00A67277">
              <w:rPr>
                <w:rFonts w:cs="Arial"/>
              </w:rPr>
              <w:t>Lane” is part of a Toll Road that is designated to be used by a single line of vehicles, to control and guide drivers</w:t>
            </w:r>
            <w:r w:rsidR="00192805" w:rsidRPr="00A67277">
              <w:rPr>
                <w:rFonts w:cs="Arial"/>
              </w:rPr>
              <w:t xml:space="preserve">, including </w:t>
            </w:r>
            <w:r w:rsidR="00347CA3">
              <w:rPr>
                <w:rFonts w:cs="Arial"/>
              </w:rPr>
              <w:t xml:space="preserve">an </w:t>
            </w:r>
            <w:r w:rsidR="00192805" w:rsidRPr="00A67277">
              <w:rPr>
                <w:rFonts w:cs="Arial"/>
              </w:rPr>
              <w:t>emergency lane</w:t>
            </w:r>
            <w:r w:rsidR="00634798" w:rsidRPr="00A67277">
              <w:rPr>
                <w:rFonts w:cs="Arial"/>
              </w:rPr>
              <w:t>. One Tolled Lane is one Lane of a road section subject to toll from one entry/exit point to the neighbouring entry/exit point</w:t>
            </w:r>
            <w:r w:rsidRPr="00A67277">
              <w:rPr>
                <w:rFonts w:cs="Arial"/>
              </w:rPr>
              <w:t>;</w:t>
            </w:r>
          </w:p>
        </w:tc>
        <w:tc>
          <w:tcPr>
            <w:tcW w:w="169" w:type="pct"/>
          </w:tcPr>
          <w:p w14:paraId="6E238EE5" w14:textId="77777777" w:rsidR="00085809" w:rsidRPr="00A67277" w:rsidRDefault="00085809" w:rsidP="00862B0B">
            <w:pPr>
              <w:spacing w:before="60" w:after="60"/>
              <w:rPr>
                <w:rFonts w:ascii="Arial" w:hAnsi="Arial" w:cs="Arial"/>
                <w:sz w:val="21"/>
                <w:szCs w:val="21"/>
              </w:rPr>
            </w:pPr>
          </w:p>
        </w:tc>
        <w:tc>
          <w:tcPr>
            <w:tcW w:w="2561" w:type="pct"/>
            <w:gridSpan w:val="2"/>
            <w:shd w:val="clear" w:color="auto" w:fill="auto"/>
          </w:tcPr>
          <w:p w14:paraId="652DDC4D" w14:textId="76DB36DB" w:rsidR="009E2802" w:rsidRPr="009E2802" w:rsidRDefault="00085809" w:rsidP="00862B0B">
            <w:pPr>
              <w:pStyle w:val="Level1"/>
              <w:numPr>
                <w:ilvl w:val="0"/>
                <w:numId w:val="544"/>
              </w:numPr>
              <w:tabs>
                <w:tab w:val="num" w:pos="889"/>
              </w:tabs>
              <w:spacing w:before="60" w:after="60"/>
              <w:ind w:left="835"/>
              <w:rPr>
                <w:rFonts w:cs="Arial"/>
                <w:spacing w:val="1"/>
                <w:w w:val="102"/>
              </w:rPr>
            </w:pPr>
            <w:r w:rsidRPr="00A67277">
              <w:rPr>
                <w:rFonts w:cs="Arial"/>
                <w:b/>
                <w:spacing w:val="1"/>
                <w:w w:val="102"/>
              </w:rPr>
              <w:t xml:space="preserve">Jalur Tambahan </w:t>
            </w:r>
            <w:r w:rsidRPr="00A67277">
              <w:rPr>
                <w:rFonts w:cs="Arial"/>
                <w:spacing w:val="1"/>
                <w:w w:val="102"/>
              </w:rPr>
              <w:t xml:space="preserve">berarti setiap </w:t>
            </w:r>
            <w:r w:rsidR="002C5282">
              <w:rPr>
                <w:rFonts w:cs="Arial"/>
                <w:spacing w:val="1"/>
                <w:w w:val="102"/>
              </w:rPr>
              <w:t>J</w:t>
            </w:r>
            <w:r w:rsidRPr="00A67277">
              <w:rPr>
                <w:rFonts w:cs="Arial"/>
                <w:spacing w:val="1"/>
                <w:w w:val="102"/>
              </w:rPr>
              <w:t xml:space="preserve">alur </w:t>
            </w:r>
            <w:r w:rsidR="00C32635" w:rsidRPr="00A67277">
              <w:rPr>
                <w:rFonts w:cs="Arial"/>
                <w:spacing w:val="1"/>
                <w:w w:val="102"/>
              </w:rPr>
              <w:t xml:space="preserve">tambahan </w:t>
            </w:r>
            <w:r w:rsidR="00B27B4B" w:rsidRPr="00A67277">
              <w:rPr>
                <w:rFonts w:cs="Arial"/>
                <w:spacing w:val="1"/>
                <w:w w:val="102"/>
              </w:rPr>
              <w:t xml:space="preserve">dari </w:t>
            </w:r>
            <w:r w:rsidR="002C5282">
              <w:rPr>
                <w:rFonts w:cs="Arial"/>
                <w:spacing w:val="1"/>
                <w:w w:val="102"/>
              </w:rPr>
              <w:t>J</w:t>
            </w:r>
            <w:r w:rsidR="00C32635" w:rsidRPr="00A67277">
              <w:rPr>
                <w:rFonts w:cs="Arial"/>
                <w:spacing w:val="1"/>
                <w:w w:val="102"/>
              </w:rPr>
              <w:t xml:space="preserve">alur Jalan Tol </w:t>
            </w:r>
            <w:r w:rsidRPr="00A67277">
              <w:rPr>
                <w:rFonts w:cs="Arial"/>
                <w:spacing w:val="1"/>
                <w:w w:val="102"/>
              </w:rPr>
              <w:t xml:space="preserve">sebagaimana terlampir pada Lampiran </w:t>
            </w:r>
            <w:r w:rsidR="00135B1F" w:rsidRPr="00A67277">
              <w:rPr>
                <w:rFonts w:cs="Arial"/>
                <w:spacing w:val="1"/>
                <w:w w:val="102"/>
              </w:rPr>
              <w:t>13</w:t>
            </w:r>
            <w:r w:rsidR="00B27B4B" w:rsidRPr="00A67277">
              <w:rPr>
                <w:rFonts w:cs="Arial"/>
                <w:spacing w:val="1"/>
                <w:w w:val="102"/>
              </w:rPr>
              <w:t xml:space="preserve"> (</w:t>
            </w:r>
            <w:r w:rsidR="00B27B4B" w:rsidRPr="00A67277">
              <w:rPr>
                <w:rFonts w:cs="Arial"/>
                <w:i/>
                <w:spacing w:val="1"/>
                <w:w w:val="102"/>
              </w:rPr>
              <w:t>Daftar Jalur Jalan Tol</w:t>
            </w:r>
            <w:r w:rsidR="00B27B4B" w:rsidRPr="00A67277">
              <w:rPr>
                <w:rFonts w:cs="Arial"/>
                <w:spacing w:val="1"/>
                <w:w w:val="102"/>
              </w:rPr>
              <w:t>)</w:t>
            </w:r>
            <w:r w:rsidR="00A05A7B" w:rsidRPr="00A67277">
              <w:rPr>
                <w:rFonts w:cs="Arial"/>
              </w:rPr>
              <w:t>, dimana untuk tujuan definisi ini “</w:t>
            </w:r>
            <w:r w:rsidR="00634798" w:rsidRPr="00A67277">
              <w:rPr>
                <w:rFonts w:cs="Arial"/>
              </w:rPr>
              <w:t>J</w:t>
            </w:r>
            <w:r w:rsidR="00C109BF" w:rsidRPr="00A67277">
              <w:rPr>
                <w:rFonts w:cs="Arial"/>
              </w:rPr>
              <w:t>alur”</w:t>
            </w:r>
            <w:r w:rsidR="00634798" w:rsidRPr="00A67277">
              <w:rPr>
                <w:rFonts w:cs="Arial"/>
              </w:rPr>
              <w:t xml:space="preserve"> adalah bagian dari Jalan Tol yang ditujukan untuk digunakan oleh satu jalur kendaraan untuk mengendalikan dan mengarahkan pengemudi</w:t>
            </w:r>
            <w:r w:rsidR="00192805" w:rsidRPr="00A67277">
              <w:rPr>
                <w:rFonts w:cs="Arial"/>
              </w:rPr>
              <w:t>, termasuk jalur darurat</w:t>
            </w:r>
            <w:r w:rsidR="00634798" w:rsidRPr="00A67277">
              <w:rPr>
                <w:rFonts w:cs="Arial"/>
              </w:rPr>
              <w:t>. Satu jalur tol adalah satu Jalur ruas jalan yang dikenakan tol dari titik masuk/titik keluar ke titik masuk/titik keluar terdeka</w:t>
            </w:r>
          </w:p>
        </w:tc>
      </w:tr>
      <w:tr w:rsidR="009E2802" w:rsidRPr="006C4422" w14:paraId="6BCC53FD" w14:textId="77777777" w:rsidTr="00862B0B">
        <w:tc>
          <w:tcPr>
            <w:tcW w:w="2270" w:type="pct"/>
          </w:tcPr>
          <w:p w14:paraId="2ADDF4D6" w14:textId="24E9DBA7" w:rsidR="009E2802" w:rsidRPr="00FA4467" w:rsidRDefault="009E2802" w:rsidP="00862B0B">
            <w:pPr>
              <w:pStyle w:val="Body2"/>
              <w:spacing w:before="60" w:after="60"/>
              <w:ind w:left="851"/>
              <w:rPr>
                <w:rFonts w:cs="Arial"/>
              </w:rPr>
            </w:pPr>
            <w:r w:rsidRPr="00A67277">
              <w:rPr>
                <w:rFonts w:cs="Arial"/>
                <w:b/>
              </w:rPr>
              <w:t>Affiliate</w:t>
            </w:r>
            <w:r w:rsidRPr="00A67277">
              <w:rPr>
                <w:rFonts w:cs="Arial"/>
              </w:rPr>
              <w:t xml:space="preserve"> means, with respect to any person, any other person that, directly or indirectly, through one or more intermediaries, </w:t>
            </w:r>
            <w:bookmarkStart w:id="5" w:name="_cp_text_1_104"/>
            <w:r>
              <w:rPr>
                <w:rFonts w:cs="Arial"/>
              </w:rPr>
              <w:t>c</w:t>
            </w:r>
            <w:r w:rsidRPr="00A67277">
              <w:rPr>
                <w:rFonts w:cs="Arial"/>
              </w:rPr>
              <w:t xml:space="preserve">ontrols </w:t>
            </w:r>
            <w:bookmarkEnd w:id="5"/>
            <w:r w:rsidRPr="00A67277">
              <w:rPr>
                <w:rFonts w:cs="Arial"/>
              </w:rPr>
              <w:t xml:space="preserve">or is </w:t>
            </w:r>
            <w:bookmarkStart w:id="6" w:name="_cp_text_1_106"/>
            <w:r>
              <w:rPr>
                <w:rFonts w:cs="Arial"/>
              </w:rPr>
              <w:t>c</w:t>
            </w:r>
            <w:r w:rsidRPr="00A67277">
              <w:rPr>
                <w:rFonts w:cs="Arial"/>
              </w:rPr>
              <w:t xml:space="preserve">ontrolled </w:t>
            </w:r>
            <w:bookmarkEnd w:id="6"/>
            <w:r w:rsidRPr="00A67277">
              <w:rPr>
                <w:rFonts w:cs="Arial"/>
              </w:rPr>
              <w:t xml:space="preserve">by or is under common </w:t>
            </w:r>
            <w:bookmarkStart w:id="7" w:name="_cp_text_1_108"/>
            <w:r>
              <w:rPr>
                <w:rFonts w:cs="Arial"/>
              </w:rPr>
              <w:t>c</w:t>
            </w:r>
            <w:r w:rsidRPr="00A67277">
              <w:rPr>
                <w:rFonts w:cs="Arial"/>
              </w:rPr>
              <w:t xml:space="preserve">ontrol </w:t>
            </w:r>
            <w:bookmarkEnd w:id="7"/>
            <w:r w:rsidRPr="00A67277">
              <w:rPr>
                <w:rFonts w:cs="Arial"/>
              </w:rPr>
              <w:t>with that person;  whereby for the purpose of this definition, the term “</w:t>
            </w:r>
            <w:r w:rsidRPr="00A67277">
              <w:rPr>
                <w:rFonts w:cs="Arial"/>
                <w:b/>
              </w:rPr>
              <w:t xml:space="preserve">person” </w:t>
            </w:r>
            <w:r w:rsidRPr="00A67277">
              <w:rPr>
                <w:rFonts w:cs="Arial"/>
              </w:rPr>
              <w:t xml:space="preserve">shall mean any individual, partnership, joint venture, company, corporation, trust, estate, juridical entity, association, statutory body, unincorporated organization, or government or political </w:t>
            </w:r>
            <w:r w:rsidRPr="00A67277">
              <w:rPr>
                <w:rFonts w:cs="Arial"/>
              </w:rPr>
              <w:lastRenderedPageBreak/>
              <w:t>subdivision, instrumentality, agency, or authority</w:t>
            </w:r>
            <w:r>
              <w:rPr>
                <w:rFonts w:cs="Arial"/>
              </w:rPr>
              <w:t xml:space="preserve"> </w:t>
            </w:r>
            <w:r w:rsidRPr="00A67277">
              <w:rPr>
                <w:rFonts w:cs="Arial"/>
              </w:rPr>
              <w:t>an</w:t>
            </w:r>
            <w:r>
              <w:rPr>
                <w:rFonts w:cs="Arial"/>
              </w:rPr>
              <w:t>d</w:t>
            </w:r>
            <w:r w:rsidRPr="00A67277">
              <w:rPr>
                <w:rFonts w:cs="Arial"/>
              </w:rPr>
              <w:t xml:space="preserve"> entity or individual.</w:t>
            </w:r>
          </w:p>
        </w:tc>
        <w:tc>
          <w:tcPr>
            <w:tcW w:w="169" w:type="pct"/>
          </w:tcPr>
          <w:p w14:paraId="20068A1D" w14:textId="77777777" w:rsidR="009E2802" w:rsidRPr="0084723A" w:rsidRDefault="009E2802" w:rsidP="00862B0B">
            <w:pPr>
              <w:spacing w:before="60" w:after="60"/>
              <w:rPr>
                <w:rFonts w:ascii="Arial" w:hAnsi="Arial" w:cs="Arial"/>
                <w:sz w:val="21"/>
                <w:szCs w:val="21"/>
              </w:rPr>
            </w:pPr>
          </w:p>
        </w:tc>
        <w:tc>
          <w:tcPr>
            <w:tcW w:w="2561" w:type="pct"/>
            <w:gridSpan w:val="2"/>
          </w:tcPr>
          <w:p w14:paraId="35ED4DBE" w14:textId="1A750DAF" w:rsidR="009E2802" w:rsidRPr="00FA4467" w:rsidRDefault="009E2802" w:rsidP="00862B0B">
            <w:pPr>
              <w:pStyle w:val="Level1"/>
              <w:numPr>
                <w:ilvl w:val="0"/>
                <w:numId w:val="544"/>
              </w:numPr>
              <w:tabs>
                <w:tab w:val="num" w:pos="889"/>
              </w:tabs>
              <w:spacing w:before="60" w:after="60"/>
              <w:ind w:left="835"/>
              <w:rPr>
                <w:rFonts w:cs="Arial"/>
              </w:rPr>
            </w:pPr>
            <w:r w:rsidRPr="00A67277">
              <w:rPr>
                <w:rFonts w:cs="Arial"/>
                <w:b/>
              </w:rPr>
              <w:t xml:space="preserve">Afiliasi </w:t>
            </w:r>
            <w:r w:rsidRPr="00A67277">
              <w:rPr>
                <w:rFonts w:cs="Arial"/>
              </w:rPr>
              <w:t xml:space="preserve">berarti, sehubungan dengan setiap orang, atau orang yang, secara langsung atau tidak langsung, melalui satu atau lebih perantara, Mengendalikan atau Dikendalikan oleh atau berada dalam Kendali bersama dengan orang tersebut;  dimana untuk tujuan definisi ini, istilah </w:t>
            </w:r>
            <w:r w:rsidRPr="00A67277">
              <w:rPr>
                <w:rFonts w:cs="Arial"/>
                <w:b/>
              </w:rPr>
              <w:t xml:space="preserve">“orang” </w:t>
            </w:r>
            <w:r w:rsidRPr="00A67277">
              <w:rPr>
                <w:rFonts w:cs="Arial"/>
              </w:rPr>
              <w:t>berarti orang-perorangan, persekutuan perdata, kemitraan, perseroan terbatas, perusahaan, badan hukum, perhimpunan, organisasi yang tidak berbadan hukum, atau badan</w:t>
            </w:r>
            <w:r>
              <w:rPr>
                <w:rFonts w:cs="Arial"/>
              </w:rPr>
              <w:t xml:space="preserve"> dan entitas atau pribadi</w:t>
            </w:r>
            <w:r w:rsidRPr="00A67277">
              <w:rPr>
                <w:rFonts w:cs="Arial"/>
              </w:rPr>
              <w:t xml:space="preserve">, perangkat, kantor atau instansi pemerintah atau </w:t>
            </w:r>
            <w:r w:rsidRPr="00A67277">
              <w:rPr>
                <w:rFonts w:cs="Arial"/>
              </w:rPr>
              <w:lastRenderedPageBreak/>
              <w:t>politik.</w:t>
            </w:r>
          </w:p>
        </w:tc>
      </w:tr>
      <w:tr w:rsidR="009E2802" w:rsidRPr="006C4422" w14:paraId="55F182B9" w14:textId="77777777" w:rsidTr="00862B0B">
        <w:tc>
          <w:tcPr>
            <w:tcW w:w="2270" w:type="pct"/>
          </w:tcPr>
          <w:p w14:paraId="075D743B" w14:textId="78590BB2" w:rsidR="009E2802" w:rsidRPr="0084723A" w:rsidRDefault="009E2802" w:rsidP="00862B0B">
            <w:pPr>
              <w:pStyle w:val="Body2"/>
              <w:spacing w:before="60" w:after="60"/>
              <w:ind w:left="851"/>
              <w:rPr>
                <w:rFonts w:cs="Arial"/>
              </w:rPr>
            </w:pPr>
            <w:r w:rsidRPr="0084723A">
              <w:rPr>
                <w:rFonts w:cs="Arial"/>
                <w:b/>
              </w:rPr>
              <w:lastRenderedPageBreak/>
              <w:t>Authorisations</w:t>
            </w:r>
            <w:r w:rsidRPr="0084723A">
              <w:rPr>
                <w:rFonts w:cs="Arial"/>
              </w:rPr>
              <w:t xml:space="preserve"> means any consent, registration, filing, agreement, notice of non-objection, notarisation, certificate, licence, approval, permit or exemption from, by or with GCA or another Governmental Instrumentality (including Authorisations stipulated in Appendix 11 (</w:t>
            </w:r>
            <w:r w:rsidRPr="0084723A">
              <w:rPr>
                <w:rFonts w:cs="Arial"/>
                <w:i/>
              </w:rPr>
              <w:t>Key Authorisations</w:t>
            </w:r>
            <w:r w:rsidRPr="0084723A">
              <w:rPr>
                <w:rFonts w:cs="Arial"/>
              </w:rPr>
              <w:t>));</w:t>
            </w:r>
          </w:p>
        </w:tc>
        <w:tc>
          <w:tcPr>
            <w:tcW w:w="169" w:type="pct"/>
          </w:tcPr>
          <w:p w14:paraId="2740B475" w14:textId="77777777" w:rsidR="009E2802" w:rsidRPr="0084723A" w:rsidRDefault="009E2802" w:rsidP="00862B0B">
            <w:pPr>
              <w:spacing w:before="60" w:after="60"/>
              <w:rPr>
                <w:rFonts w:ascii="Arial" w:hAnsi="Arial" w:cs="Arial"/>
                <w:sz w:val="21"/>
                <w:szCs w:val="21"/>
              </w:rPr>
            </w:pPr>
          </w:p>
        </w:tc>
        <w:tc>
          <w:tcPr>
            <w:tcW w:w="2561" w:type="pct"/>
            <w:gridSpan w:val="2"/>
          </w:tcPr>
          <w:p w14:paraId="7857A8BE" w14:textId="0B22ADAB" w:rsidR="009E2802" w:rsidRPr="0084723A" w:rsidRDefault="009E2802" w:rsidP="00862B0B">
            <w:pPr>
              <w:pStyle w:val="Level1"/>
              <w:spacing w:before="60" w:after="60"/>
              <w:ind w:left="835" w:firstLine="0"/>
              <w:rPr>
                <w:rFonts w:cs="Arial"/>
              </w:rPr>
            </w:pPr>
            <w:r w:rsidRPr="0084723A">
              <w:rPr>
                <w:rFonts w:cs="Arial"/>
                <w:b/>
              </w:rPr>
              <w:t>Persetujuan</w:t>
            </w:r>
            <w:r w:rsidRPr="0084723A">
              <w:rPr>
                <w:rFonts w:cs="Arial"/>
              </w:rPr>
              <w:t xml:space="preserve"> berarti seluruh perizinan, pendaftaran, pengajuan, perjanjian, pemberitahuan tidak ada keberatan, notarisasi, sertifikat, lisensi, persetujuan, izin atau pengecualian dari, oleh atau dengan PJPK atau Lembaga Pemerintahan lain (termasuk Persetujuan-Persetujuan yang tercantum dalam Lampiran 11 (</w:t>
            </w:r>
            <w:r w:rsidRPr="0084723A">
              <w:rPr>
                <w:rFonts w:cs="Arial"/>
                <w:i/>
              </w:rPr>
              <w:t>Persetujuan-Persetujuan Utama</w:t>
            </w:r>
            <w:r w:rsidRPr="0084723A">
              <w:rPr>
                <w:rFonts w:cs="Arial"/>
              </w:rPr>
              <w:t>);</w:t>
            </w:r>
          </w:p>
        </w:tc>
      </w:tr>
      <w:tr w:rsidR="009E2802" w:rsidRPr="00A67277" w14:paraId="56810919" w14:textId="77777777" w:rsidTr="00862B0B">
        <w:tc>
          <w:tcPr>
            <w:tcW w:w="2270" w:type="pct"/>
          </w:tcPr>
          <w:p w14:paraId="2E503D7D" w14:textId="24B8AABA" w:rsidR="009E2802" w:rsidRPr="0084723A" w:rsidRDefault="009E2802" w:rsidP="00862B0B">
            <w:pPr>
              <w:pStyle w:val="Body2"/>
              <w:spacing w:before="60" w:after="60"/>
              <w:ind w:left="851"/>
              <w:rPr>
                <w:rFonts w:cs="Arial"/>
                <w:b/>
                <w:lang w:val="en-US"/>
              </w:rPr>
            </w:pPr>
          </w:p>
        </w:tc>
        <w:tc>
          <w:tcPr>
            <w:tcW w:w="169" w:type="pct"/>
          </w:tcPr>
          <w:p w14:paraId="5753AF30" w14:textId="77777777" w:rsidR="009E2802" w:rsidRPr="0084723A" w:rsidRDefault="009E2802" w:rsidP="00862B0B">
            <w:pPr>
              <w:spacing w:before="60" w:after="60"/>
              <w:rPr>
                <w:rFonts w:ascii="Arial" w:hAnsi="Arial" w:cs="Arial"/>
                <w:sz w:val="21"/>
                <w:szCs w:val="21"/>
              </w:rPr>
            </w:pPr>
          </w:p>
        </w:tc>
        <w:tc>
          <w:tcPr>
            <w:tcW w:w="2561" w:type="pct"/>
            <w:gridSpan w:val="2"/>
          </w:tcPr>
          <w:p w14:paraId="4074A8EB" w14:textId="331AC307" w:rsidR="009E2802" w:rsidRPr="0084723A" w:rsidRDefault="009E2802" w:rsidP="00862B0B">
            <w:pPr>
              <w:pStyle w:val="Body2"/>
              <w:spacing w:before="60" w:after="60"/>
              <w:ind w:left="835"/>
              <w:rPr>
                <w:szCs w:val="24"/>
              </w:rPr>
            </w:pPr>
          </w:p>
        </w:tc>
      </w:tr>
      <w:tr w:rsidR="009E2802" w:rsidRPr="00A67277" w14:paraId="183FC449" w14:textId="77777777" w:rsidTr="00862B0B">
        <w:tc>
          <w:tcPr>
            <w:tcW w:w="2270" w:type="pct"/>
          </w:tcPr>
          <w:p w14:paraId="46857F30" w14:textId="21C736A7" w:rsidR="009E2802" w:rsidRPr="0084723A" w:rsidRDefault="009E2802" w:rsidP="00862B0B">
            <w:pPr>
              <w:pStyle w:val="Body2"/>
              <w:spacing w:before="60" w:after="60"/>
              <w:ind w:left="851"/>
              <w:rPr>
                <w:rFonts w:cs="Arial"/>
                <w:b/>
              </w:rPr>
            </w:pPr>
            <w:r w:rsidRPr="0084723A">
              <w:rPr>
                <w:rFonts w:cs="Arial"/>
                <w:b/>
              </w:rPr>
              <w:t xml:space="preserve">Bank Agreement </w:t>
            </w:r>
            <w:r w:rsidRPr="0084723A">
              <w:rPr>
                <w:rFonts w:cs="Arial"/>
                <w:bCs/>
              </w:rPr>
              <w:t xml:space="preserve">means </w:t>
            </w:r>
            <w:r w:rsidRPr="0084723A">
              <w:rPr>
                <w:rFonts w:cs="Arial"/>
              </w:rPr>
              <w:t xml:space="preserve">the agrement made between the IBE and the bank(s) for the purpose of toll payment and settlement process. </w:t>
            </w:r>
          </w:p>
        </w:tc>
        <w:tc>
          <w:tcPr>
            <w:tcW w:w="169" w:type="pct"/>
          </w:tcPr>
          <w:p w14:paraId="0A6D376C" w14:textId="77777777" w:rsidR="009E2802" w:rsidRPr="0084723A" w:rsidRDefault="009E2802" w:rsidP="00862B0B">
            <w:pPr>
              <w:spacing w:before="60" w:after="60"/>
              <w:rPr>
                <w:rFonts w:ascii="Arial" w:hAnsi="Arial" w:cs="Arial"/>
                <w:sz w:val="21"/>
                <w:szCs w:val="21"/>
              </w:rPr>
            </w:pPr>
          </w:p>
        </w:tc>
        <w:tc>
          <w:tcPr>
            <w:tcW w:w="2561" w:type="pct"/>
            <w:gridSpan w:val="2"/>
          </w:tcPr>
          <w:p w14:paraId="1AF3DBB1" w14:textId="326E667F" w:rsidR="009E2802" w:rsidRPr="0084723A" w:rsidRDefault="009E2802" w:rsidP="00862B0B">
            <w:pPr>
              <w:pStyle w:val="Level1"/>
              <w:spacing w:before="60" w:after="60"/>
              <w:ind w:left="835" w:firstLine="0"/>
              <w:rPr>
                <w:rFonts w:cs="Arial"/>
                <w:b/>
              </w:rPr>
            </w:pPr>
            <w:r w:rsidRPr="0084723A">
              <w:rPr>
                <w:rFonts w:cs="Arial"/>
                <w:b/>
              </w:rPr>
              <w:t xml:space="preserve">Perjanjian Bank </w:t>
            </w:r>
            <w:r w:rsidRPr="0084723A">
              <w:rPr>
                <w:rFonts w:cs="Arial"/>
                <w:bCs/>
              </w:rPr>
              <w:t xml:space="preserve">berarti </w:t>
            </w:r>
            <w:r w:rsidRPr="0084723A">
              <w:rPr>
                <w:rFonts w:cs="Arial"/>
              </w:rPr>
              <w:t>perjanjian yang dibuat antara BUP dan bank untuk tujuan pembayaran tol dan penyelesaian pembayaran akhir (</w:t>
            </w:r>
            <w:r w:rsidRPr="0084723A">
              <w:rPr>
                <w:rFonts w:cs="Arial"/>
                <w:i/>
                <w:iCs/>
              </w:rPr>
              <w:t>settlement).</w:t>
            </w:r>
            <w:r w:rsidRPr="0084723A">
              <w:rPr>
                <w:rFonts w:cs="Arial"/>
              </w:rPr>
              <w:t xml:space="preserve">  </w:t>
            </w:r>
          </w:p>
        </w:tc>
      </w:tr>
      <w:tr w:rsidR="009E2802" w:rsidRPr="00A67277" w14:paraId="06E14134" w14:textId="77777777" w:rsidTr="00862B0B">
        <w:tc>
          <w:tcPr>
            <w:tcW w:w="2270" w:type="pct"/>
          </w:tcPr>
          <w:p w14:paraId="2D30DD3B" w14:textId="3C51ECCC" w:rsidR="009E2802" w:rsidRPr="00A67277" w:rsidRDefault="009E2802" w:rsidP="00862B0B">
            <w:pPr>
              <w:pStyle w:val="Body2"/>
              <w:spacing w:before="60" w:after="60"/>
              <w:ind w:left="851"/>
              <w:rPr>
                <w:rFonts w:cs="Arial"/>
              </w:rPr>
            </w:pPr>
            <w:r w:rsidRPr="00A67277">
              <w:rPr>
                <w:rFonts w:cs="Arial"/>
                <w:b/>
              </w:rPr>
              <w:t xml:space="preserve">Base Case Equity IRR </w:t>
            </w:r>
            <w:r w:rsidRPr="00A67277">
              <w:rPr>
                <w:rFonts w:cs="Arial"/>
              </w:rPr>
              <w:t>means</w:t>
            </w:r>
            <w:r>
              <w:rPr>
                <w:rFonts w:cs="Arial"/>
              </w:rPr>
              <w:t xml:space="preserve"> </w:t>
            </w:r>
            <w:r w:rsidRPr="00A67277">
              <w:rPr>
                <w:rFonts w:cs="Arial"/>
              </w:rPr>
              <w:t>the base case equity IRR as stated in the Financial Model submitted by [●] on the Proposal Date</w:t>
            </w:r>
            <w:r>
              <w:rPr>
                <w:rFonts w:cs="Arial"/>
              </w:rPr>
              <w:t xml:space="preserve">, </w:t>
            </w:r>
            <w:r w:rsidRPr="00A67277">
              <w:rPr>
                <w:rFonts w:cs="Arial"/>
              </w:rPr>
              <w:t xml:space="preserve"> as updated from time to time in accordance with this Agreement;</w:t>
            </w:r>
          </w:p>
          <w:p w14:paraId="46A3FB19" w14:textId="77777777" w:rsidR="009E2802" w:rsidRPr="00A67277" w:rsidRDefault="009E2802" w:rsidP="00862B0B">
            <w:pPr>
              <w:spacing w:before="60" w:after="60"/>
              <w:rPr>
                <w:rFonts w:ascii="Arial" w:hAnsi="Arial" w:cs="Arial"/>
                <w:sz w:val="21"/>
                <w:szCs w:val="21"/>
              </w:rPr>
            </w:pPr>
          </w:p>
        </w:tc>
        <w:tc>
          <w:tcPr>
            <w:tcW w:w="169" w:type="pct"/>
          </w:tcPr>
          <w:p w14:paraId="1BE4BFAE" w14:textId="77777777" w:rsidR="009E2802" w:rsidRPr="00A67277" w:rsidRDefault="009E2802" w:rsidP="00862B0B">
            <w:pPr>
              <w:spacing w:before="60" w:after="60"/>
              <w:rPr>
                <w:rFonts w:ascii="Arial" w:hAnsi="Arial" w:cs="Arial"/>
                <w:sz w:val="21"/>
                <w:szCs w:val="21"/>
              </w:rPr>
            </w:pPr>
          </w:p>
        </w:tc>
        <w:tc>
          <w:tcPr>
            <w:tcW w:w="2561" w:type="pct"/>
            <w:gridSpan w:val="2"/>
          </w:tcPr>
          <w:p w14:paraId="319A48A2" w14:textId="31ABD94B" w:rsidR="009E2802" w:rsidRPr="00A67277" w:rsidRDefault="009E2802" w:rsidP="00862B0B">
            <w:pPr>
              <w:pStyle w:val="Level1"/>
              <w:spacing w:before="60" w:after="60"/>
              <w:ind w:left="835" w:firstLine="0"/>
              <w:rPr>
                <w:rFonts w:cs="Arial"/>
              </w:rPr>
            </w:pPr>
            <w:r w:rsidRPr="00A67277">
              <w:rPr>
                <w:rFonts w:cs="Arial"/>
                <w:b/>
              </w:rPr>
              <w:t xml:space="preserve">Posisi Dasar Ekuitas IRR </w:t>
            </w:r>
            <w:r w:rsidRPr="00A67277">
              <w:rPr>
                <w:rFonts w:cs="Arial"/>
              </w:rPr>
              <w:t>berarti [posisi dasar IRR ekuitas yang dinyatakan dalam Model Keuangan yang disampaikan oleh [●] pada Tanggal Dokumen Penawaran</w:t>
            </w:r>
            <w:r>
              <w:rPr>
                <w:rFonts w:cs="Arial"/>
              </w:rPr>
              <w:t xml:space="preserve">, </w:t>
            </w:r>
            <w:r w:rsidRPr="00A67277">
              <w:rPr>
                <w:rFonts w:cs="Arial"/>
              </w:rPr>
              <w:t>sebagaimana diperbaharui dari waktu ke waktu sesuai dengan ketentuan dalam Perjanjian ini ;</w:t>
            </w:r>
          </w:p>
        </w:tc>
      </w:tr>
      <w:tr w:rsidR="009E2802" w:rsidRPr="00A67277" w14:paraId="524BBD4D" w14:textId="77777777" w:rsidTr="00862B0B">
        <w:tc>
          <w:tcPr>
            <w:tcW w:w="2270" w:type="pct"/>
          </w:tcPr>
          <w:p w14:paraId="0A8F0CE9" w14:textId="785EBEEC" w:rsidR="009E2802" w:rsidRPr="00A67277" w:rsidRDefault="009E2802" w:rsidP="00862B0B">
            <w:pPr>
              <w:pStyle w:val="Body2"/>
              <w:spacing w:before="60" w:after="60"/>
              <w:ind w:left="851"/>
              <w:rPr>
                <w:rFonts w:cs="Arial"/>
                <w:b/>
              </w:rPr>
            </w:pPr>
            <w:r w:rsidRPr="00A67277">
              <w:rPr>
                <w:rFonts w:cs="Arial"/>
                <w:b/>
              </w:rPr>
              <w:t xml:space="preserve">Baseline Design </w:t>
            </w:r>
            <w:r w:rsidRPr="00A67277">
              <w:rPr>
                <w:rFonts w:cs="Arial"/>
              </w:rPr>
              <w:t>is the baseline design of the Works that the IBE will undertake in accordance with the Design and Technical Specifications as refer to Appendix 5 (</w:t>
            </w:r>
            <w:r w:rsidRPr="00A67277">
              <w:rPr>
                <w:rFonts w:cs="Arial"/>
                <w:i/>
              </w:rPr>
              <w:t>Design and Technical Spesification)</w:t>
            </w:r>
            <w:r w:rsidRPr="00A67277">
              <w:rPr>
                <w:rFonts w:cs="Arial"/>
              </w:rPr>
              <w:t>;</w:t>
            </w:r>
          </w:p>
        </w:tc>
        <w:tc>
          <w:tcPr>
            <w:tcW w:w="169" w:type="pct"/>
          </w:tcPr>
          <w:p w14:paraId="2CEEEFC8" w14:textId="77777777" w:rsidR="009E2802" w:rsidRPr="00A67277" w:rsidRDefault="009E2802" w:rsidP="00862B0B">
            <w:pPr>
              <w:spacing w:before="60" w:after="60"/>
              <w:rPr>
                <w:rFonts w:ascii="Arial" w:hAnsi="Arial" w:cs="Arial"/>
                <w:sz w:val="21"/>
                <w:szCs w:val="21"/>
              </w:rPr>
            </w:pPr>
          </w:p>
        </w:tc>
        <w:tc>
          <w:tcPr>
            <w:tcW w:w="2561" w:type="pct"/>
            <w:gridSpan w:val="2"/>
          </w:tcPr>
          <w:p w14:paraId="65719AC7" w14:textId="65CF632F" w:rsidR="009E2802" w:rsidRPr="00A67277" w:rsidRDefault="009E2802" w:rsidP="00862B0B">
            <w:pPr>
              <w:pStyle w:val="Level1"/>
              <w:spacing w:before="60" w:after="60"/>
              <w:ind w:left="835" w:firstLine="0"/>
              <w:rPr>
                <w:rFonts w:cs="Arial"/>
                <w:b/>
              </w:rPr>
            </w:pPr>
            <w:r w:rsidRPr="00A67277">
              <w:rPr>
                <w:rFonts w:cs="Arial"/>
                <w:b/>
              </w:rPr>
              <w:t xml:space="preserve">Desain Dasar </w:t>
            </w:r>
            <w:r w:rsidRPr="00A67277">
              <w:rPr>
                <w:rFonts w:cs="Arial"/>
              </w:rPr>
              <w:t>adalah desain dasar dari Pekerjaan yang akan dilaksanakan BUP sesuai dengan Spesifikasi Desain dan Teknis sebagaimana dimaksud dalam Lampiran 5 (Spesifikasi Desain dan Teknis);</w:t>
            </w:r>
          </w:p>
        </w:tc>
      </w:tr>
      <w:tr w:rsidR="009E2802" w:rsidRPr="00A67277" w14:paraId="074E0FF6" w14:textId="77777777" w:rsidTr="00862B0B">
        <w:tc>
          <w:tcPr>
            <w:tcW w:w="2270" w:type="pct"/>
          </w:tcPr>
          <w:p w14:paraId="3EAA1A39" w14:textId="77777777" w:rsidR="009E2802" w:rsidRPr="00A67277" w:rsidRDefault="009E2802" w:rsidP="00862B0B">
            <w:pPr>
              <w:pStyle w:val="Body2"/>
              <w:spacing w:before="60" w:after="60"/>
              <w:ind w:left="851"/>
              <w:rPr>
                <w:rFonts w:cs="Arial"/>
              </w:rPr>
            </w:pPr>
            <w:r w:rsidRPr="00A67277">
              <w:rPr>
                <w:rFonts w:cs="Arial"/>
                <w:b/>
              </w:rPr>
              <w:t xml:space="preserve">Billing Period </w:t>
            </w:r>
            <w:r w:rsidRPr="00A67277">
              <w:rPr>
                <w:rFonts w:cs="Arial"/>
              </w:rPr>
              <w:t xml:space="preserve">means: </w:t>
            </w:r>
          </w:p>
        </w:tc>
        <w:tc>
          <w:tcPr>
            <w:tcW w:w="169" w:type="pct"/>
          </w:tcPr>
          <w:p w14:paraId="1EBCE216" w14:textId="77777777" w:rsidR="009E2802" w:rsidRPr="00A67277" w:rsidRDefault="009E2802" w:rsidP="00862B0B">
            <w:pPr>
              <w:spacing w:before="60" w:after="60"/>
              <w:rPr>
                <w:rFonts w:ascii="Arial" w:hAnsi="Arial" w:cs="Arial"/>
                <w:sz w:val="21"/>
                <w:szCs w:val="21"/>
              </w:rPr>
            </w:pPr>
          </w:p>
        </w:tc>
        <w:tc>
          <w:tcPr>
            <w:tcW w:w="2561" w:type="pct"/>
            <w:gridSpan w:val="2"/>
          </w:tcPr>
          <w:p w14:paraId="4F3A369D" w14:textId="77777777" w:rsidR="009E2802" w:rsidRPr="00A67277" w:rsidRDefault="009E2802" w:rsidP="00862B0B">
            <w:pPr>
              <w:pStyle w:val="Level1"/>
              <w:spacing w:before="60" w:after="60"/>
              <w:ind w:left="835" w:firstLine="0"/>
              <w:rPr>
                <w:rFonts w:cs="Arial"/>
              </w:rPr>
            </w:pPr>
            <w:r w:rsidRPr="00A67277">
              <w:rPr>
                <w:rFonts w:cs="Arial"/>
                <w:b/>
              </w:rPr>
              <w:t xml:space="preserve">Periode Penagihan </w:t>
            </w:r>
            <w:r w:rsidRPr="00A67277">
              <w:rPr>
                <w:rFonts w:cs="Arial"/>
              </w:rPr>
              <w:t xml:space="preserve">berarti: </w:t>
            </w:r>
            <w:r w:rsidRPr="00A67277">
              <w:rPr>
                <w:rFonts w:cs="Arial"/>
                <w:i/>
                <w:highlight w:val="yellow"/>
              </w:rPr>
              <w:t xml:space="preserve"> </w:t>
            </w:r>
          </w:p>
        </w:tc>
      </w:tr>
      <w:tr w:rsidR="009E2802" w:rsidRPr="00A67277" w14:paraId="2BCD53B5" w14:textId="77777777" w:rsidTr="00862B0B">
        <w:tc>
          <w:tcPr>
            <w:tcW w:w="2270" w:type="pct"/>
          </w:tcPr>
          <w:p w14:paraId="58C70B8F" w14:textId="4A70EDC6" w:rsidR="009E2802" w:rsidRPr="00A67277" w:rsidRDefault="009E2802" w:rsidP="00862B0B">
            <w:pPr>
              <w:pStyle w:val="Level3"/>
              <w:numPr>
                <w:ilvl w:val="0"/>
                <w:numId w:val="331"/>
              </w:numPr>
              <w:spacing w:before="60" w:after="60"/>
              <w:ind w:left="1298" w:hanging="425"/>
              <w:rPr>
                <w:rFonts w:cs="Arial"/>
              </w:rPr>
            </w:pPr>
            <w:bookmarkStart w:id="8" w:name="_Toc501177812"/>
            <w:r w:rsidRPr="00A67277">
              <w:rPr>
                <w:rFonts w:cs="Arial"/>
              </w:rPr>
              <w:t>the period from the Commercial Operation Date until the last Day of the same Month;</w:t>
            </w:r>
            <w:bookmarkEnd w:id="8"/>
          </w:p>
        </w:tc>
        <w:tc>
          <w:tcPr>
            <w:tcW w:w="169" w:type="pct"/>
          </w:tcPr>
          <w:p w14:paraId="671359D1" w14:textId="77777777" w:rsidR="009E2802" w:rsidRPr="00A67277" w:rsidRDefault="009E2802" w:rsidP="00862B0B">
            <w:pPr>
              <w:spacing w:before="60" w:after="60"/>
              <w:rPr>
                <w:rFonts w:ascii="Arial" w:hAnsi="Arial" w:cs="Arial"/>
                <w:sz w:val="21"/>
                <w:szCs w:val="21"/>
              </w:rPr>
            </w:pPr>
          </w:p>
        </w:tc>
        <w:tc>
          <w:tcPr>
            <w:tcW w:w="2561" w:type="pct"/>
            <w:gridSpan w:val="2"/>
          </w:tcPr>
          <w:p w14:paraId="6C69A434" w14:textId="77777777" w:rsidR="009E2802" w:rsidRPr="00A67277" w:rsidRDefault="009E2802" w:rsidP="00862B0B">
            <w:pPr>
              <w:pStyle w:val="Level3"/>
              <w:numPr>
                <w:ilvl w:val="2"/>
                <w:numId w:val="209"/>
              </w:numPr>
              <w:tabs>
                <w:tab w:val="clear" w:pos="1417"/>
                <w:tab w:val="num" w:pos="1260"/>
              </w:tabs>
              <w:spacing w:before="60" w:after="60"/>
              <w:ind w:left="1260" w:hanging="425"/>
              <w:rPr>
                <w:rFonts w:cs="Arial"/>
              </w:rPr>
            </w:pPr>
            <w:r w:rsidRPr="00A67277">
              <w:rPr>
                <w:rFonts w:cs="Arial"/>
              </w:rPr>
              <w:t>periode sejak Hari pada Bulan dimana Tanggal Operasi Komersial telah tercapai, sampai dengan Hari terakhir pada Bulan tersebut;</w:t>
            </w:r>
          </w:p>
        </w:tc>
      </w:tr>
      <w:tr w:rsidR="009E2802" w:rsidRPr="00A67277" w14:paraId="4713C926" w14:textId="77777777" w:rsidTr="00862B0B">
        <w:tc>
          <w:tcPr>
            <w:tcW w:w="2270" w:type="pct"/>
          </w:tcPr>
          <w:p w14:paraId="7F11011F" w14:textId="026616AB" w:rsidR="009E2802" w:rsidRPr="00A67277" w:rsidRDefault="009E2802" w:rsidP="00862B0B">
            <w:pPr>
              <w:pStyle w:val="Level3"/>
              <w:numPr>
                <w:ilvl w:val="0"/>
                <w:numId w:val="331"/>
              </w:numPr>
              <w:spacing w:before="60" w:after="60"/>
              <w:ind w:left="1298" w:hanging="425"/>
              <w:rPr>
                <w:rFonts w:cs="Arial"/>
              </w:rPr>
            </w:pPr>
            <w:bookmarkStart w:id="9" w:name="_Toc501177813"/>
            <w:r w:rsidRPr="00A67277">
              <w:rPr>
                <w:rFonts w:cs="Arial"/>
              </w:rPr>
              <w:t>each successive period of one (1) Month after the date referred to in paragraph (a); and</w:t>
            </w:r>
            <w:bookmarkEnd w:id="9"/>
          </w:p>
        </w:tc>
        <w:tc>
          <w:tcPr>
            <w:tcW w:w="169" w:type="pct"/>
          </w:tcPr>
          <w:p w14:paraId="4A64EF35" w14:textId="77777777" w:rsidR="009E2802" w:rsidRPr="00A67277" w:rsidRDefault="009E2802" w:rsidP="00862B0B">
            <w:pPr>
              <w:spacing w:before="60" w:after="60"/>
              <w:rPr>
                <w:rFonts w:ascii="Arial" w:hAnsi="Arial" w:cs="Arial"/>
                <w:sz w:val="21"/>
                <w:szCs w:val="21"/>
              </w:rPr>
            </w:pPr>
          </w:p>
        </w:tc>
        <w:tc>
          <w:tcPr>
            <w:tcW w:w="2561" w:type="pct"/>
            <w:gridSpan w:val="2"/>
          </w:tcPr>
          <w:p w14:paraId="1D39A24B" w14:textId="77777777" w:rsidR="009E2802" w:rsidRPr="00A67277" w:rsidRDefault="009E2802" w:rsidP="00862B0B">
            <w:pPr>
              <w:pStyle w:val="Level3"/>
              <w:numPr>
                <w:ilvl w:val="2"/>
                <w:numId w:val="210"/>
              </w:numPr>
              <w:tabs>
                <w:tab w:val="clear" w:pos="1417"/>
                <w:tab w:val="num" w:pos="1260"/>
              </w:tabs>
              <w:spacing w:before="60" w:after="60"/>
              <w:ind w:left="1260" w:hanging="425"/>
              <w:rPr>
                <w:rFonts w:cs="Arial"/>
              </w:rPr>
            </w:pPr>
            <w:r w:rsidRPr="00A67277">
              <w:rPr>
                <w:rFonts w:cs="Arial"/>
              </w:rPr>
              <w:t>periode selanjutnya dari satu (1) Bulan setelah tanggal sebagaimana dimaksud dalam paragraf (a); dan</w:t>
            </w:r>
          </w:p>
        </w:tc>
      </w:tr>
      <w:tr w:rsidR="009E2802" w:rsidRPr="00A67277" w14:paraId="1E7B93FD" w14:textId="77777777" w:rsidTr="00862B0B">
        <w:tc>
          <w:tcPr>
            <w:tcW w:w="2270" w:type="pct"/>
          </w:tcPr>
          <w:p w14:paraId="5D188F98" w14:textId="06DD10B3" w:rsidR="009E2802" w:rsidRPr="00A67277" w:rsidRDefault="009E2802" w:rsidP="00862B0B">
            <w:pPr>
              <w:pStyle w:val="Level3"/>
              <w:numPr>
                <w:ilvl w:val="0"/>
                <w:numId w:val="331"/>
              </w:numPr>
              <w:spacing w:before="60" w:after="60"/>
              <w:ind w:left="1298" w:hanging="425"/>
              <w:rPr>
                <w:rFonts w:cs="Arial"/>
              </w:rPr>
            </w:pPr>
            <w:bookmarkStart w:id="10" w:name="_Toc501177814"/>
            <w:r w:rsidRPr="00A67277">
              <w:rPr>
                <w:rFonts w:cs="Arial"/>
              </w:rPr>
              <w:t xml:space="preserve">the period from the first </w:t>
            </w:r>
            <w:r w:rsidRPr="00A67277">
              <w:rPr>
                <w:rFonts w:cs="Arial"/>
              </w:rPr>
              <w:lastRenderedPageBreak/>
              <w:t>Day of the last Month of the Term to the Expiry Date, or, if this Agreement is terminated earlier in accordance with the terms of this Agreement, from the first Day of the Month in which this Agreement is terminated until the Termination Date;</w:t>
            </w:r>
            <w:bookmarkEnd w:id="10"/>
          </w:p>
        </w:tc>
        <w:tc>
          <w:tcPr>
            <w:tcW w:w="169" w:type="pct"/>
          </w:tcPr>
          <w:p w14:paraId="12499D6D" w14:textId="77777777" w:rsidR="009E2802" w:rsidRPr="00A67277" w:rsidRDefault="009E2802" w:rsidP="00862B0B">
            <w:pPr>
              <w:spacing w:before="60" w:after="60"/>
              <w:rPr>
                <w:rFonts w:ascii="Arial" w:hAnsi="Arial" w:cs="Arial"/>
                <w:sz w:val="21"/>
                <w:szCs w:val="21"/>
              </w:rPr>
            </w:pPr>
          </w:p>
        </w:tc>
        <w:tc>
          <w:tcPr>
            <w:tcW w:w="2561" w:type="pct"/>
            <w:gridSpan w:val="2"/>
          </w:tcPr>
          <w:p w14:paraId="2D2924F5" w14:textId="77777777" w:rsidR="009E2802" w:rsidRPr="00A67277" w:rsidRDefault="009E2802" w:rsidP="00862B0B">
            <w:pPr>
              <w:pStyle w:val="Level3"/>
              <w:numPr>
                <w:ilvl w:val="2"/>
                <w:numId w:val="211"/>
              </w:numPr>
              <w:tabs>
                <w:tab w:val="clear" w:pos="1417"/>
                <w:tab w:val="num" w:pos="1260"/>
              </w:tabs>
              <w:spacing w:before="60" w:after="60"/>
              <w:ind w:left="1260" w:hanging="425"/>
              <w:rPr>
                <w:rFonts w:cs="Arial"/>
              </w:rPr>
            </w:pPr>
            <w:r w:rsidRPr="00A67277">
              <w:rPr>
                <w:rFonts w:cs="Arial"/>
              </w:rPr>
              <w:t xml:space="preserve">periode dari Hari pertama </w:t>
            </w:r>
            <w:r w:rsidRPr="00A67277">
              <w:rPr>
                <w:rFonts w:cs="Arial"/>
              </w:rPr>
              <w:lastRenderedPageBreak/>
              <w:t xml:space="preserve">pada Bulan terakhir dari Jangka Waktu sampai dengan </w:t>
            </w:r>
            <w:bookmarkStart w:id="11" w:name="_Hlk500969541"/>
            <w:r w:rsidRPr="00A67277">
              <w:rPr>
                <w:rFonts w:cs="Arial"/>
              </w:rPr>
              <w:t>Tanggal Daluarsa Perjanjian</w:t>
            </w:r>
            <w:bookmarkEnd w:id="11"/>
            <w:r w:rsidRPr="00A67277">
              <w:rPr>
                <w:rFonts w:cs="Arial"/>
              </w:rPr>
              <w:t>, atau, jika Perjanjian ini diakhiri lebih awal sesuai dengan ketentuan-ketentuan dalam Perjanjian ini, sejak Hari pertama pada Bulan dimana Perjanjian ini diakhiri sampai dengan Tanggal Pengakhiran;</w:t>
            </w:r>
          </w:p>
        </w:tc>
      </w:tr>
      <w:tr w:rsidR="009E2802" w:rsidRPr="00A67277" w14:paraId="363B8105" w14:textId="77777777" w:rsidTr="00862B0B">
        <w:tc>
          <w:tcPr>
            <w:tcW w:w="2270" w:type="pct"/>
          </w:tcPr>
          <w:p w14:paraId="05E9013E" w14:textId="77777777" w:rsidR="009E2802" w:rsidRPr="00A67277" w:rsidRDefault="009E2802" w:rsidP="00862B0B">
            <w:pPr>
              <w:pStyle w:val="Body2"/>
              <w:spacing w:before="60" w:after="60"/>
              <w:ind w:left="851"/>
              <w:rPr>
                <w:rFonts w:cs="Arial"/>
              </w:rPr>
            </w:pPr>
            <w:r w:rsidRPr="00A67277">
              <w:rPr>
                <w:rFonts w:cs="Arial"/>
                <w:b/>
              </w:rPr>
              <w:lastRenderedPageBreak/>
              <w:t>Business Day</w:t>
            </w:r>
            <w:r w:rsidRPr="00A67277">
              <w:rPr>
                <w:rFonts w:cs="Arial"/>
              </w:rPr>
              <w:t xml:space="preserve"> means any Day excluding a Saturday, Sunday and any other Day which is a legal holiday in the Republic of Indonesia or a Day on which banking institutions are authorised or required by Law or other governmental bodies to be closed in the Republic of Indonesia;</w:t>
            </w:r>
          </w:p>
        </w:tc>
        <w:tc>
          <w:tcPr>
            <w:tcW w:w="169" w:type="pct"/>
          </w:tcPr>
          <w:p w14:paraId="56E16111" w14:textId="77777777" w:rsidR="009E2802" w:rsidRPr="00A67277" w:rsidRDefault="009E2802" w:rsidP="00862B0B">
            <w:pPr>
              <w:spacing w:before="60" w:after="60"/>
              <w:rPr>
                <w:rFonts w:ascii="Arial" w:hAnsi="Arial" w:cs="Arial"/>
                <w:sz w:val="21"/>
                <w:szCs w:val="21"/>
              </w:rPr>
            </w:pPr>
          </w:p>
        </w:tc>
        <w:tc>
          <w:tcPr>
            <w:tcW w:w="2561" w:type="pct"/>
            <w:gridSpan w:val="2"/>
          </w:tcPr>
          <w:p w14:paraId="1F55B633" w14:textId="77777777" w:rsidR="009E2802" w:rsidRPr="00A67277" w:rsidRDefault="009E2802" w:rsidP="00862B0B">
            <w:pPr>
              <w:pStyle w:val="Level1"/>
              <w:spacing w:before="60" w:after="60"/>
              <w:ind w:left="835" w:firstLine="0"/>
              <w:rPr>
                <w:rFonts w:cs="Arial"/>
              </w:rPr>
            </w:pPr>
            <w:r w:rsidRPr="00A67277">
              <w:rPr>
                <w:rFonts w:cs="Arial"/>
                <w:b/>
              </w:rPr>
              <w:t>Hari Kerja</w:t>
            </w:r>
            <w:r w:rsidRPr="00A67277">
              <w:rPr>
                <w:rFonts w:cs="Arial"/>
              </w:rPr>
              <w:t xml:space="preserve"> berarti setiap Hari selain Sabtu, Minggu dan Hari lain yang merupakan Hari libur resmi di Republik Indonesia atau Hari dimana bank-bank diberikan wewenang atau diwajibkan oleh Hukum atau lembaga pemerintahan lainnya untuk tutup di Republik Indonesia;</w:t>
            </w:r>
          </w:p>
        </w:tc>
      </w:tr>
      <w:tr w:rsidR="009E2802" w:rsidRPr="00A67277" w14:paraId="7A55B7C1" w14:textId="77777777" w:rsidTr="00862B0B">
        <w:tc>
          <w:tcPr>
            <w:tcW w:w="2270" w:type="pct"/>
          </w:tcPr>
          <w:p w14:paraId="23D16307" w14:textId="77777777" w:rsidR="009E2802" w:rsidRPr="00A67277" w:rsidRDefault="009E2802" w:rsidP="00862B0B">
            <w:pPr>
              <w:pStyle w:val="Body2"/>
              <w:spacing w:before="60" w:after="60"/>
              <w:ind w:left="851"/>
              <w:rPr>
                <w:rFonts w:cs="Arial"/>
              </w:rPr>
            </w:pPr>
            <w:r w:rsidRPr="00A67277">
              <w:rPr>
                <w:rFonts w:cs="Arial"/>
                <w:b/>
              </w:rPr>
              <w:t>Claim</w:t>
            </w:r>
            <w:r w:rsidRPr="00A67277">
              <w:rPr>
                <w:rFonts w:cs="Arial"/>
              </w:rPr>
              <w:t xml:space="preserve"> means any and all suits, sanctions, legal proceedings, claims, actions, assessments, judgements, penalties, demands or fines brought or enforced against a </w:t>
            </w:r>
            <w:bookmarkStart w:id="12" w:name="_cp_text_1_193"/>
            <w:r w:rsidRPr="00A67277">
              <w:rPr>
                <w:rFonts w:cs="Arial"/>
              </w:rPr>
              <w:t>Party</w:t>
            </w:r>
            <w:bookmarkEnd w:id="12"/>
            <w:r w:rsidRPr="00A67277">
              <w:rPr>
                <w:rFonts w:cs="Arial"/>
              </w:rPr>
              <w:t>;</w:t>
            </w:r>
          </w:p>
        </w:tc>
        <w:tc>
          <w:tcPr>
            <w:tcW w:w="169" w:type="pct"/>
          </w:tcPr>
          <w:p w14:paraId="32D0BE96" w14:textId="77777777" w:rsidR="009E2802" w:rsidRPr="00A67277" w:rsidRDefault="009E2802" w:rsidP="00862B0B">
            <w:pPr>
              <w:spacing w:before="60" w:after="60"/>
              <w:rPr>
                <w:rFonts w:ascii="Arial" w:hAnsi="Arial" w:cs="Arial"/>
                <w:sz w:val="21"/>
                <w:szCs w:val="21"/>
              </w:rPr>
            </w:pPr>
          </w:p>
        </w:tc>
        <w:tc>
          <w:tcPr>
            <w:tcW w:w="2561" w:type="pct"/>
            <w:gridSpan w:val="2"/>
          </w:tcPr>
          <w:p w14:paraId="0D2C5F6E" w14:textId="77777777" w:rsidR="009E2802" w:rsidRPr="00A67277" w:rsidRDefault="009E2802" w:rsidP="00862B0B">
            <w:pPr>
              <w:pStyle w:val="Body2"/>
              <w:spacing w:before="60" w:after="60"/>
              <w:ind w:left="835"/>
              <w:rPr>
                <w:rFonts w:cs="Arial"/>
              </w:rPr>
            </w:pPr>
            <w:r w:rsidRPr="00A67277">
              <w:rPr>
                <w:rFonts w:cs="Arial"/>
                <w:b/>
              </w:rPr>
              <w:t>Klaim</w:t>
            </w:r>
            <w:r w:rsidRPr="00A67277">
              <w:rPr>
                <w:rFonts w:cs="Arial"/>
              </w:rPr>
              <w:t xml:space="preserve"> berarti setiap dan segala gugatan, sanksi, proses peradilan, klaim, tindakan, penilaian, keputusan, penalti, tuntutan atau denda yang dilakukan atau ditegakkan terhadap suatu Pihak;</w:t>
            </w:r>
          </w:p>
        </w:tc>
      </w:tr>
      <w:tr w:rsidR="009E2802" w:rsidRPr="00A67277" w14:paraId="05F30A40" w14:textId="77777777" w:rsidTr="00862B0B">
        <w:tc>
          <w:tcPr>
            <w:tcW w:w="2270" w:type="pct"/>
          </w:tcPr>
          <w:p w14:paraId="68CF89E8" w14:textId="1856240C" w:rsidR="009E2802" w:rsidRPr="00A67277" w:rsidRDefault="009E2802" w:rsidP="00862B0B">
            <w:pPr>
              <w:pStyle w:val="Body2"/>
              <w:spacing w:before="60" w:after="60" w:line="240" w:lineRule="auto"/>
              <w:ind w:left="900"/>
              <w:rPr>
                <w:rFonts w:cs="Arial"/>
                <w:b/>
              </w:rPr>
            </w:pPr>
            <w:r w:rsidRPr="00A67277">
              <w:rPr>
                <w:b/>
                <w:szCs w:val="24"/>
              </w:rPr>
              <w:t>Commercial Operation Date</w:t>
            </w:r>
            <w:r w:rsidRPr="00A67277">
              <w:rPr>
                <w:szCs w:val="24"/>
              </w:rPr>
              <w:t xml:space="preserve"> means the date on which the construction and development of </w:t>
            </w:r>
            <w:r>
              <w:rPr>
                <w:szCs w:val="24"/>
              </w:rPr>
              <w:t>the Facility</w:t>
            </w:r>
            <w:r w:rsidRPr="00A67277">
              <w:rPr>
                <w:szCs w:val="24"/>
              </w:rPr>
              <w:t xml:space="preserve"> has passed the acceptance tests as certified by Independent Supervisory Consultant </w:t>
            </w:r>
            <w:r w:rsidRPr="00A67277">
              <w:rPr>
                <w:rFonts w:cs="Arial"/>
              </w:rPr>
              <w:t xml:space="preserve"> in accordance with the </w:t>
            </w:r>
            <w:r w:rsidRPr="00A67277">
              <w:rPr>
                <w:szCs w:val="24"/>
              </w:rPr>
              <w:t xml:space="preserve"> Start-up and Testing Procedures and IBE is ready to commence commercial operation as further provided in Clause 9.2 (</w:t>
            </w:r>
            <w:r w:rsidRPr="00A67277">
              <w:rPr>
                <w:i/>
                <w:szCs w:val="24"/>
              </w:rPr>
              <w:t>Commercial Operation Date</w:t>
            </w:r>
            <w:r w:rsidRPr="00A67277">
              <w:rPr>
                <w:szCs w:val="24"/>
              </w:rPr>
              <w:t>);</w:t>
            </w:r>
          </w:p>
        </w:tc>
        <w:tc>
          <w:tcPr>
            <w:tcW w:w="169" w:type="pct"/>
          </w:tcPr>
          <w:p w14:paraId="7CEA6AAF" w14:textId="77777777" w:rsidR="009E2802" w:rsidRPr="00A67277" w:rsidRDefault="009E2802" w:rsidP="00862B0B">
            <w:pPr>
              <w:spacing w:before="60" w:after="60"/>
              <w:rPr>
                <w:rFonts w:ascii="Arial" w:hAnsi="Arial" w:cs="Arial"/>
                <w:sz w:val="21"/>
                <w:szCs w:val="21"/>
              </w:rPr>
            </w:pPr>
          </w:p>
        </w:tc>
        <w:tc>
          <w:tcPr>
            <w:tcW w:w="2561" w:type="pct"/>
            <w:gridSpan w:val="2"/>
          </w:tcPr>
          <w:p w14:paraId="480BC0DF" w14:textId="27925E21" w:rsidR="009E2802" w:rsidRPr="00A67277" w:rsidRDefault="009E2802" w:rsidP="00862B0B">
            <w:pPr>
              <w:pStyle w:val="Body2"/>
              <w:spacing w:before="60" w:after="60"/>
              <w:ind w:left="835"/>
              <w:rPr>
                <w:rFonts w:cs="Arial"/>
                <w:b/>
              </w:rPr>
            </w:pPr>
            <w:r w:rsidRPr="00A67277">
              <w:rPr>
                <w:rFonts w:cs="Arial"/>
                <w:b/>
              </w:rPr>
              <w:t>Tanggal Operasi Komersial</w:t>
            </w:r>
            <w:r w:rsidRPr="00A67277">
              <w:rPr>
                <w:rFonts w:cs="Arial"/>
              </w:rPr>
              <w:t xml:space="preserve"> berarti tanggal dimana </w:t>
            </w:r>
            <w:r>
              <w:rPr>
                <w:rFonts w:cs="Arial"/>
              </w:rPr>
              <w:t>Fasilitas</w:t>
            </w:r>
            <w:r w:rsidRPr="00A67277">
              <w:rPr>
                <w:rFonts w:cs="Arial"/>
              </w:rPr>
              <w:t xml:space="preserve"> telah lolos uji penerimaan sebagaimana disertifikasi oleh Konsultan Pengawas Independen sesuai dengan Prosedur Permulaan dan Pengujian dan BUP siap untuk memulai pengoperasian komersial sebagaimana diatur lebih lanjut dalam Pasal 9.2 (</w:t>
            </w:r>
            <w:r w:rsidRPr="00A67277">
              <w:rPr>
                <w:rFonts w:cs="Arial"/>
                <w:i/>
              </w:rPr>
              <w:t>Tanggal Operasi Komersial</w:t>
            </w:r>
            <w:r w:rsidRPr="00A67277">
              <w:rPr>
                <w:rFonts w:cs="Arial"/>
              </w:rPr>
              <w:t>);</w:t>
            </w:r>
          </w:p>
        </w:tc>
      </w:tr>
      <w:tr w:rsidR="009E2802" w:rsidRPr="00A67277" w14:paraId="0246F8AB" w14:textId="77777777" w:rsidTr="00862B0B">
        <w:tc>
          <w:tcPr>
            <w:tcW w:w="2270" w:type="pct"/>
          </w:tcPr>
          <w:p w14:paraId="5D854540" w14:textId="77777777" w:rsidR="009E2802" w:rsidRPr="00A67277" w:rsidRDefault="009E2802" w:rsidP="00862B0B">
            <w:pPr>
              <w:pStyle w:val="Body2"/>
              <w:spacing w:before="60" w:after="60" w:line="240" w:lineRule="auto"/>
              <w:ind w:left="900"/>
              <w:rPr>
                <w:rFonts w:cs="Arial"/>
              </w:rPr>
            </w:pPr>
            <w:r w:rsidRPr="00A67277">
              <w:rPr>
                <w:rFonts w:cs="Arial"/>
                <w:b/>
              </w:rPr>
              <w:t>Conditions Precedent</w:t>
            </w:r>
            <w:r w:rsidRPr="00A67277">
              <w:rPr>
                <w:rFonts w:cs="Arial"/>
              </w:rPr>
              <w:t xml:space="preserve"> means the conditions </w:t>
            </w:r>
            <w:r w:rsidRPr="00A67277">
              <w:rPr>
                <w:szCs w:val="24"/>
              </w:rPr>
              <w:t>precedent</w:t>
            </w:r>
            <w:r w:rsidRPr="00A67277">
              <w:rPr>
                <w:rFonts w:cs="Arial"/>
              </w:rPr>
              <w:t xml:space="preserve"> specified in Appendix 2 (</w:t>
            </w:r>
            <w:r w:rsidRPr="00A67277">
              <w:rPr>
                <w:rFonts w:cs="Arial"/>
                <w:i/>
              </w:rPr>
              <w:t>Conditions Precedent</w:t>
            </w:r>
            <w:r w:rsidRPr="00A67277">
              <w:rPr>
                <w:rFonts w:cs="Arial"/>
              </w:rPr>
              <w:t>);</w:t>
            </w:r>
          </w:p>
        </w:tc>
        <w:tc>
          <w:tcPr>
            <w:tcW w:w="169" w:type="pct"/>
          </w:tcPr>
          <w:p w14:paraId="5CBE9784" w14:textId="77777777" w:rsidR="009E2802" w:rsidRPr="00A67277" w:rsidRDefault="009E2802" w:rsidP="00862B0B">
            <w:pPr>
              <w:spacing w:before="60" w:after="60"/>
              <w:rPr>
                <w:rFonts w:ascii="Arial" w:hAnsi="Arial" w:cs="Arial"/>
                <w:sz w:val="21"/>
                <w:szCs w:val="21"/>
              </w:rPr>
            </w:pPr>
          </w:p>
        </w:tc>
        <w:tc>
          <w:tcPr>
            <w:tcW w:w="2561" w:type="pct"/>
            <w:gridSpan w:val="2"/>
          </w:tcPr>
          <w:p w14:paraId="16C7990B" w14:textId="77777777" w:rsidR="009E2802" w:rsidRPr="00A67277" w:rsidRDefault="009E2802" w:rsidP="00862B0B">
            <w:pPr>
              <w:pStyle w:val="Body2"/>
              <w:spacing w:before="60" w:after="60"/>
              <w:ind w:left="835"/>
              <w:rPr>
                <w:rFonts w:cs="Arial"/>
              </w:rPr>
            </w:pPr>
            <w:r w:rsidRPr="00A67277">
              <w:rPr>
                <w:rFonts w:cs="Arial"/>
                <w:b/>
              </w:rPr>
              <w:t>Persyaratan Pendahuluan</w:t>
            </w:r>
            <w:r w:rsidRPr="00A67277">
              <w:rPr>
                <w:rFonts w:cs="Arial"/>
              </w:rPr>
              <w:t xml:space="preserve"> berarti persyaratan pendahuluan yang ditentukan dalam Lampiran 2 (</w:t>
            </w:r>
            <w:r w:rsidRPr="00A67277">
              <w:rPr>
                <w:rFonts w:cs="Arial"/>
                <w:i/>
              </w:rPr>
              <w:t>Persyaratan Pendahuluan</w:t>
            </w:r>
            <w:r w:rsidRPr="00A67277">
              <w:rPr>
                <w:rFonts w:cs="Arial"/>
              </w:rPr>
              <w:t>);</w:t>
            </w:r>
          </w:p>
        </w:tc>
      </w:tr>
      <w:tr w:rsidR="009E2802" w:rsidRPr="00A67277" w14:paraId="72B490F6" w14:textId="77777777" w:rsidTr="00862B0B">
        <w:tc>
          <w:tcPr>
            <w:tcW w:w="2270" w:type="pct"/>
          </w:tcPr>
          <w:p w14:paraId="77BE580A" w14:textId="3531E983" w:rsidR="009E2802" w:rsidRPr="00A67277" w:rsidRDefault="009E2802" w:rsidP="00862B0B">
            <w:pPr>
              <w:pStyle w:val="Body2"/>
              <w:spacing w:before="60" w:after="60" w:line="240" w:lineRule="auto"/>
              <w:ind w:left="900"/>
              <w:rPr>
                <w:szCs w:val="24"/>
              </w:rPr>
            </w:pPr>
            <w:r w:rsidRPr="00A67277">
              <w:rPr>
                <w:rFonts w:cs="Arial"/>
                <w:b/>
              </w:rPr>
              <w:t>Confidential Information</w:t>
            </w:r>
            <w:r>
              <w:rPr>
                <w:rFonts w:cs="Arial"/>
                <w:b/>
              </w:rPr>
              <w:t xml:space="preserve"> </w:t>
            </w:r>
            <w:r w:rsidRPr="00A67277">
              <w:rPr>
                <w:szCs w:val="24"/>
              </w:rPr>
              <w:t xml:space="preserve">means information including Intellectual Property Rights </w:t>
            </w:r>
            <w:r w:rsidRPr="00A67277">
              <w:rPr>
                <w:szCs w:val="24"/>
              </w:rPr>
              <w:lastRenderedPageBreak/>
              <w:t xml:space="preserve">relating to the business of </w:t>
            </w:r>
            <w:r>
              <w:rPr>
                <w:szCs w:val="24"/>
              </w:rPr>
              <w:t>a p</w:t>
            </w:r>
            <w:r w:rsidRPr="00A67277">
              <w:rPr>
                <w:szCs w:val="24"/>
              </w:rPr>
              <w:t>arty to this Agreement or any of its Affiliate</w:t>
            </w:r>
            <w:r>
              <w:rPr>
                <w:szCs w:val="24"/>
              </w:rPr>
              <w:t>s</w:t>
            </w:r>
            <w:r w:rsidRPr="00A67277">
              <w:rPr>
                <w:szCs w:val="24"/>
              </w:rPr>
              <w:t xml:space="preserve"> which has been provided by </w:t>
            </w:r>
            <w:r>
              <w:rPr>
                <w:szCs w:val="24"/>
              </w:rPr>
              <w:t>that</w:t>
            </w:r>
            <w:r w:rsidRPr="00A67277">
              <w:rPr>
                <w:szCs w:val="24"/>
              </w:rPr>
              <w:t xml:space="preserve"> Party to </w:t>
            </w:r>
            <w:r>
              <w:rPr>
                <w:szCs w:val="24"/>
              </w:rPr>
              <w:t xml:space="preserve">another </w:t>
            </w:r>
            <w:r w:rsidRPr="00A67277">
              <w:rPr>
                <w:szCs w:val="24"/>
              </w:rPr>
              <w:t xml:space="preserve">under or </w:t>
            </w:r>
            <w:r>
              <w:rPr>
                <w:szCs w:val="24"/>
              </w:rPr>
              <w:t xml:space="preserve">in accordance with the purpose of </w:t>
            </w:r>
            <w:r w:rsidRPr="00A67277">
              <w:rPr>
                <w:szCs w:val="24"/>
              </w:rPr>
              <w:t xml:space="preserve">this Agreement, subject to the </w:t>
            </w:r>
            <w:r>
              <w:rPr>
                <w:szCs w:val="24"/>
              </w:rPr>
              <w:t>ex</w:t>
            </w:r>
            <w:r w:rsidRPr="00A67277">
              <w:rPr>
                <w:szCs w:val="24"/>
              </w:rPr>
              <w:t>ceptions described in Clause 32.3 (b);</w:t>
            </w:r>
          </w:p>
        </w:tc>
        <w:tc>
          <w:tcPr>
            <w:tcW w:w="169" w:type="pct"/>
          </w:tcPr>
          <w:p w14:paraId="5C446002" w14:textId="77777777" w:rsidR="009E2802" w:rsidRPr="00A67277" w:rsidRDefault="009E2802" w:rsidP="00862B0B">
            <w:pPr>
              <w:spacing w:before="60" w:after="60"/>
              <w:rPr>
                <w:rFonts w:ascii="Arial" w:hAnsi="Arial" w:cs="Arial"/>
                <w:sz w:val="21"/>
                <w:szCs w:val="21"/>
              </w:rPr>
            </w:pPr>
          </w:p>
        </w:tc>
        <w:tc>
          <w:tcPr>
            <w:tcW w:w="2561" w:type="pct"/>
            <w:gridSpan w:val="2"/>
          </w:tcPr>
          <w:p w14:paraId="46241E8B" w14:textId="77777777" w:rsidR="009E2802" w:rsidRPr="00A67277" w:rsidRDefault="009E2802" w:rsidP="00862B0B">
            <w:pPr>
              <w:pStyle w:val="Body2"/>
              <w:spacing w:before="60" w:after="60"/>
              <w:ind w:left="835"/>
              <w:rPr>
                <w:rFonts w:cs="Arial"/>
              </w:rPr>
            </w:pPr>
            <w:r w:rsidRPr="00A67277">
              <w:rPr>
                <w:rFonts w:cs="Arial"/>
                <w:b/>
              </w:rPr>
              <w:t xml:space="preserve">Informasi Rahasia </w:t>
            </w:r>
            <w:r w:rsidRPr="00A67277">
              <w:rPr>
                <w:rFonts w:cs="Arial"/>
              </w:rPr>
              <w:t xml:space="preserve">berarti informasi termasuk Hak Kekayaan Intelektual sehubungan dengan </w:t>
            </w:r>
            <w:r w:rsidRPr="00A67277">
              <w:rPr>
                <w:rFonts w:cs="Arial"/>
              </w:rPr>
              <w:lastRenderedPageBreak/>
              <w:t>usaha suatu Pihak dalam Perjanjian ini atau Afiliasinya yang telah diberikan oleh pihak tersebut kepada Pihak lainnya, atau sesuai dengan tujuan dari Perjanjian ini, tunduk dengan pengecualian sebagaimana diatur dalam Pasal 32.3 (b);</w:t>
            </w:r>
          </w:p>
        </w:tc>
      </w:tr>
      <w:tr w:rsidR="009E2802" w:rsidRPr="00A67277" w14:paraId="77309131" w14:textId="77777777" w:rsidTr="00862B0B">
        <w:tc>
          <w:tcPr>
            <w:tcW w:w="2270" w:type="pct"/>
          </w:tcPr>
          <w:p w14:paraId="142A1EBD" w14:textId="7EE791FF" w:rsidR="009E2802" w:rsidRPr="00A67277" w:rsidRDefault="009E2802" w:rsidP="00862B0B">
            <w:pPr>
              <w:pStyle w:val="Body2"/>
              <w:spacing w:before="60" w:after="60"/>
              <w:ind w:left="851"/>
              <w:rPr>
                <w:rFonts w:cs="Arial"/>
              </w:rPr>
            </w:pPr>
            <w:r w:rsidRPr="00A67277">
              <w:rPr>
                <w:rFonts w:cs="Arial"/>
                <w:b/>
              </w:rPr>
              <w:lastRenderedPageBreak/>
              <w:t>Construction Period</w:t>
            </w:r>
            <w:r w:rsidRPr="00A67277">
              <w:rPr>
                <w:rFonts w:cs="Arial"/>
              </w:rPr>
              <w:t xml:space="preserve"> means the </w:t>
            </w:r>
            <w:r>
              <w:rPr>
                <w:rFonts w:cs="Arial"/>
              </w:rPr>
              <w:t>p</w:t>
            </w:r>
            <w:r w:rsidRPr="00A67277">
              <w:rPr>
                <w:rFonts w:cs="Arial"/>
              </w:rPr>
              <w:t xml:space="preserve">eriod for construction and development of </w:t>
            </w:r>
            <w:r>
              <w:rPr>
                <w:rFonts w:cs="Arial"/>
              </w:rPr>
              <w:t>the Facility</w:t>
            </w:r>
            <w:r w:rsidRPr="00A67277">
              <w:rPr>
                <w:rFonts w:cs="Arial"/>
              </w:rPr>
              <w:t xml:space="preserve"> commencing on and from the Efective Date to the Commercial Operation Date ;</w:t>
            </w:r>
          </w:p>
        </w:tc>
        <w:tc>
          <w:tcPr>
            <w:tcW w:w="169" w:type="pct"/>
          </w:tcPr>
          <w:p w14:paraId="2EE9E565" w14:textId="77777777" w:rsidR="009E2802" w:rsidRPr="00A67277" w:rsidRDefault="009E2802" w:rsidP="00862B0B">
            <w:pPr>
              <w:spacing w:before="60" w:after="60"/>
              <w:rPr>
                <w:rFonts w:ascii="Arial" w:hAnsi="Arial" w:cs="Arial"/>
                <w:sz w:val="21"/>
                <w:szCs w:val="21"/>
              </w:rPr>
            </w:pPr>
          </w:p>
        </w:tc>
        <w:tc>
          <w:tcPr>
            <w:tcW w:w="2561" w:type="pct"/>
            <w:gridSpan w:val="2"/>
          </w:tcPr>
          <w:p w14:paraId="5E121806" w14:textId="34EB1732" w:rsidR="009E2802" w:rsidRPr="00A67277" w:rsidRDefault="009E2802" w:rsidP="00862B0B">
            <w:pPr>
              <w:pStyle w:val="Body2"/>
              <w:spacing w:before="60" w:after="60"/>
              <w:ind w:left="835"/>
              <w:rPr>
                <w:rFonts w:cs="Arial"/>
                <w:b/>
              </w:rPr>
            </w:pPr>
            <w:r w:rsidRPr="00A67277">
              <w:rPr>
                <w:rFonts w:cs="Arial"/>
                <w:b/>
              </w:rPr>
              <w:t xml:space="preserve">Jangka Waktu Konstruksi </w:t>
            </w:r>
            <w:r w:rsidRPr="00A67277">
              <w:rPr>
                <w:rFonts w:cs="Arial"/>
              </w:rPr>
              <w:t xml:space="preserve"> berarti jangka waktu untuk konstruksi dan pengembangan </w:t>
            </w:r>
            <w:r>
              <w:rPr>
                <w:rFonts w:cs="Arial"/>
              </w:rPr>
              <w:t>Fasilitas</w:t>
            </w:r>
            <w:r w:rsidRPr="00A67277">
              <w:rPr>
                <w:rFonts w:cs="Arial"/>
              </w:rPr>
              <w:t xml:space="preserve"> dimulai pada dan sejak Tanggal Efektif sampai dengan Tanggal Operasi Komersial</w:t>
            </w:r>
            <w:r w:rsidRPr="00A67277" w:rsidDel="008A0C26">
              <w:rPr>
                <w:rFonts w:cs="Arial"/>
              </w:rPr>
              <w:t xml:space="preserve"> </w:t>
            </w:r>
            <w:r w:rsidRPr="00A67277">
              <w:rPr>
                <w:rFonts w:cs="Arial"/>
              </w:rPr>
              <w:t>;</w:t>
            </w:r>
          </w:p>
        </w:tc>
      </w:tr>
      <w:tr w:rsidR="009E2802" w:rsidRPr="00A67277" w14:paraId="0D9E93F4" w14:textId="77777777" w:rsidTr="00862B0B">
        <w:tc>
          <w:tcPr>
            <w:tcW w:w="2270" w:type="pct"/>
          </w:tcPr>
          <w:p w14:paraId="32952E9B" w14:textId="77777777" w:rsidR="009E2802" w:rsidRPr="00A67277" w:rsidRDefault="009E2802" w:rsidP="00862B0B">
            <w:pPr>
              <w:pStyle w:val="Body2"/>
              <w:spacing w:before="60" w:after="60"/>
              <w:ind w:left="851"/>
              <w:rPr>
                <w:rFonts w:cs="Arial"/>
              </w:rPr>
            </w:pPr>
            <w:r w:rsidRPr="00A67277">
              <w:rPr>
                <w:rFonts w:cs="Arial"/>
                <w:b/>
              </w:rPr>
              <w:t>Contract Year</w:t>
            </w:r>
            <w:r w:rsidRPr="00A67277">
              <w:rPr>
                <w:rFonts w:cs="Arial"/>
              </w:rPr>
              <w:t xml:space="preserve"> means each Year from the Commercial Operation Date to the Expiry Date or early termination of the Term;</w:t>
            </w:r>
          </w:p>
        </w:tc>
        <w:tc>
          <w:tcPr>
            <w:tcW w:w="169" w:type="pct"/>
          </w:tcPr>
          <w:p w14:paraId="2029B35F" w14:textId="77777777" w:rsidR="009E2802" w:rsidRPr="00A67277" w:rsidRDefault="009E2802" w:rsidP="00862B0B">
            <w:pPr>
              <w:spacing w:before="60" w:after="60"/>
              <w:rPr>
                <w:rFonts w:ascii="Arial" w:hAnsi="Arial" w:cs="Arial"/>
                <w:sz w:val="21"/>
                <w:szCs w:val="21"/>
              </w:rPr>
            </w:pPr>
          </w:p>
        </w:tc>
        <w:tc>
          <w:tcPr>
            <w:tcW w:w="2561" w:type="pct"/>
            <w:gridSpan w:val="2"/>
          </w:tcPr>
          <w:p w14:paraId="7AD30CCA" w14:textId="77777777" w:rsidR="009E2802" w:rsidRPr="00A67277" w:rsidRDefault="009E2802" w:rsidP="00862B0B">
            <w:pPr>
              <w:pStyle w:val="Body2"/>
              <w:spacing w:before="60" w:after="60"/>
              <w:ind w:left="835"/>
              <w:rPr>
                <w:rFonts w:cs="Arial"/>
              </w:rPr>
            </w:pPr>
            <w:r w:rsidRPr="00A67277">
              <w:rPr>
                <w:rFonts w:cs="Arial"/>
                <w:b/>
              </w:rPr>
              <w:t>Tahun Kontrak</w:t>
            </w:r>
            <w:r w:rsidRPr="00A67277">
              <w:rPr>
                <w:rFonts w:cs="Arial"/>
              </w:rPr>
              <w:t xml:space="preserve"> berarti setiap Tahun sejak Tanggal Operasi Komersial sampai dengan Tanggal Daluarsa Perjanjian atau pengakhiran Jangka Waktu lebih awal;</w:t>
            </w:r>
          </w:p>
        </w:tc>
      </w:tr>
      <w:tr w:rsidR="009E2802" w:rsidRPr="00A67277" w14:paraId="6C8CC734" w14:textId="77777777" w:rsidTr="00862B0B">
        <w:tc>
          <w:tcPr>
            <w:tcW w:w="2270" w:type="pct"/>
          </w:tcPr>
          <w:p w14:paraId="179EA0C7" w14:textId="77777777" w:rsidR="009E2802" w:rsidRPr="00A67277" w:rsidRDefault="009E2802" w:rsidP="00862B0B">
            <w:pPr>
              <w:pStyle w:val="Body2"/>
              <w:spacing w:before="60" w:after="60"/>
              <w:ind w:left="851"/>
              <w:rPr>
                <w:rFonts w:cs="Arial"/>
              </w:rPr>
            </w:pPr>
            <w:r w:rsidRPr="00A67277">
              <w:rPr>
                <w:rFonts w:cs="Arial"/>
                <w:b/>
              </w:rPr>
              <w:t xml:space="preserve">Contractors </w:t>
            </w:r>
            <w:r w:rsidRPr="00A67277">
              <w:rPr>
                <w:rFonts w:cs="Arial"/>
              </w:rPr>
              <w:t xml:space="preserve">means </w:t>
            </w:r>
            <w:r w:rsidRPr="00A67277">
              <w:rPr>
                <w:rFonts w:cs="Arial"/>
                <w:lang w:val="id-ID"/>
              </w:rPr>
              <w:t xml:space="preserve">the </w:t>
            </w:r>
            <w:r w:rsidRPr="00A67277">
              <w:rPr>
                <w:rFonts w:cs="Arial"/>
              </w:rPr>
              <w:t>EPC Contractor</w:t>
            </w:r>
            <w:r w:rsidRPr="00A67277">
              <w:rPr>
                <w:rFonts w:cs="Arial"/>
                <w:lang w:val="id-ID"/>
              </w:rPr>
              <w:t xml:space="preserve">, </w:t>
            </w:r>
            <w:r w:rsidRPr="00A67277">
              <w:rPr>
                <w:rFonts w:cs="Arial"/>
                <w:lang w:val="en-US"/>
              </w:rPr>
              <w:t>O&amp;M Contractor</w:t>
            </w:r>
            <w:r w:rsidRPr="00A67277">
              <w:rPr>
                <w:rFonts w:cs="Arial"/>
                <w:lang w:val="id-ID"/>
              </w:rPr>
              <w:t xml:space="preserve">, any supplier and any other contractors engaged by the IBE in connection with the design, engineering, construction, testing of the </w:t>
            </w:r>
            <w:r w:rsidRPr="00A67277">
              <w:rPr>
                <w:rFonts w:cs="Arial"/>
                <w:lang w:val="en-US"/>
              </w:rPr>
              <w:t xml:space="preserve">Facility </w:t>
            </w:r>
            <w:r w:rsidRPr="00A67277">
              <w:rPr>
                <w:rFonts w:cs="Arial"/>
                <w:lang w:val="id-ID"/>
              </w:rPr>
              <w:t xml:space="preserve">and/or the operation, management and maintenance of the Project and/or the supply of </w:t>
            </w:r>
            <w:r w:rsidRPr="00A67277">
              <w:rPr>
                <w:rFonts w:cs="Arial"/>
                <w:lang w:val="en-US"/>
              </w:rPr>
              <w:t xml:space="preserve">equipment </w:t>
            </w:r>
            <w:r w:rsidRPr="00A67277">
              <w:rPr>
                <w:rFonts w:cs="Arial"/>
                <w:lang w:val="id-ID"/>
              </w:rPr>
              <w:t xml:space="preserve">for the Project, and </w:t>
            </w:r>
            <w:r w:rsidRPr="00A67277">
              <w:rPr>
                <w:rFonts w:cs="Arial"/>
                <w:b/>
                <w:lang w:val="id-ID"/>
              </w:rPr>
              <w:t>“Contractor”</w:t>
            </w:r>
            <w:r w:rsidRPr="00A67277">
              <w:rPr>
                <w:rFonts w:cs="Arial"/>
                <w:lang w:val="id-ID"/>
              </w:rPr>
              <w:t xml:space="preserve"> means any one of them.</w:t>
            </w:r>
          </w:p>
        </w:tc>
        <w:tc>
          <w:tcPr>
            <w:tcW w:w="169" w:type="pct"/>
          </w:tcPr>
          <w:p w14:paraId="3B8AC16B" w14:textId="77777777" w:rsidR="009E2802" w:rsidRPr="00A67277" w:rsidRDefault="009E2802" w:rsidP="00862B0B">
            <w:pPr>
              <w:spacing w:before="60" w:after="60"/>
              <w:rPr>
                <w:rFonts w:ascii="Arial" w:hAnsi="Arial" w:cs="Arial"/>
                <w:sz w:val="21"/>
                <w:szCs w:val="21"/>
              </w:rPr>
            </w:pPr>
          </w:p>
        </w:tc>
        <w:tc>
          <w:tcPr>
            <w:tcW w:w="2561" w:type="pct"/>
            <w:gridSpan w:val="2"/>
          </w:tcPr>
          <w:p w14:paraId="552AF884" w14:textId="77777777" w:rsidR="009E2802" w:rsidRPr="00A67277" w:rsidRDefault="009E2802" w:rsidP="00862B0B">
            <w:pPr>
              <w:pStyle w:val="Body2"/>
              <w:spacing w:before="60" w:after="60"/>
              <w:ind w:left="835"/>
              <w:rPr>
                <w:rFonts w:cs="Arial"/>
              </w:rPr>
            </w:pPr>
            <w:r w:rsidRPr="00A67277">
              <w:rPr>
                <w:rFonts w:cs="Arial"/>
                <w:b/>
              </w:rPr>
              <w:t xml:space="preserve">Para Kontraktor </w:t>
            </w:r>
            <w:r w:rsidRPr="00A67277">
              <w:rPr>
                <w:rFonts w:cs="Arial"/>
              </w:rPr>
              <w:t>berarti  Kontraktor EPC dan Kontraktor O&amp;M</w:t>
            </w:r>
            <w:r w:rsidRPr="00A67277">
              <w:rPr>
                <w:rFonts w:cs="Arial"/>
                <w:lang w:val="id-ID"/>
              </w:rPr>
              <w:t>, pemasok dan kontraktor-kontraktor lain yang ditunjuk oleh BUP sehubungan dengan desain, rekayasa, konstruksi, pengujian</w:t>
            </w:r>
            <w:r w:rsidRPr="00A67277">
              <w:rPr>
                <w:rFonts w:cs="Arial"/>
              </w:rPr>
              <w:t xml:space="preserve"> sistem </w:t>
            </w:r>
            <w:r w:rsidRPr="00A67277">
              <w:rPr>
                <w:rFonts w:cs="Arial"/>
                <w:lang w:val="id-ID"/>
              </w:rPr>
              <w:t xml:space="preserve">Fasilitas dan/atau pengoperasian, pengelolaan dan pemeliharaan Proyek dan/atau pasokan </w:t>
            </w:r>
            <w:r w:rsidRPr="00A67277">
              <w:rPr>
                <w:rFonts w:cs="Arial"/>
                <w:lang w:val="en-US"/>
              </w:rPr>
              <w:t xml:space="preserve">perlengkapan </w:t>
            </w:r>
            <w:r w:rsidRPr="00A67277">
              <w:rPr>
                <w:rFonts w:cs="Arial"/>
                <w:lang w:val="id-ID"/>
              </w:rPr>
              <w:t>bagi Proyek, dan “</w:t>
            </w:r>
            <w:r w:rsidRPr="00A67277">
              <w:rPr>
                <w:rFonts w:cs="Arial"/>
                <w:b/>
                <w:lang w:val="id-ID"/>
              </w:rPr>
              <w:t>Kontraktor</w:t>
            </w:r>
            <w:r w:rsidRPr="00A67277">
              <w:rPr>
                <w:rFonts w:cs="Arial"/>
                <w:lang w:val="id-ID"/>
              </w:rPr>
              <w:t>” berarti salah satu dari mereka.</w:t>
            </w:r>
          </w:p>
        </w:tc>
      </w:tr>
      <w:tr w:rsidR="009E2802" w:rsidRPr="00A67277" w14:paraId="15988B3E" w14:textId="77777777" w:rsidTr="00862B0B">
        <w:tc>
          <w:tcPr>
            <w:tcW w:w="2270" w:type="pct"/>
          </w:tcPr>
          <w:p w14:paraId="6FC2FB44" w14:textId="23D8FA1D" w:rsidR="009E2802" w:rsidRPr="00A67277" w:rsidRDefault="009E2802" w:rsidP="00862B0B">
            <w:pPr>
              <w:pStyle w:val="Body2"/>
              <w:spacing w:before="60" w:after="60"/>
              <w:ind w:left="851"/>
              <w:rPr>
                <w:rFonts w:cs="Arial"/>
              </w:rPr>
            </w:pPr>
            <w:r w:rsidRPr="00A67277">
              <w:rPr>
                <w:rFonts w:cs="Arial"/>
                <w:b/>
              </w:rPr>
              <w:t>Control</w:t>
            </w:r>
            <w:r w:rsidRPr="00A67277">
              <w:rPr>
                <w:rFonts w:cs="Arial"/>
              </w:rPr>
              <w:t xml:space="preserve"> means, as </w:t>
            </w:r>
            <w:r>
              <w:rPr>
                <w:rFonts w:cs="Arial"/>
              </w:rPr>
              <w:t>is the case for everyone</w:t>
            </w:r>
            <w:r w:rsidRPr="00A67277">
              <w:rPr>
                <w:rFonts w:cs="Arial"/>
              </w:rPr>
              <w:t xml:space="preserve">, direct or indirect ownership of more than 50% of the outstanding </w:t>
            </w:r>
            <w:r>
              <w:rPr>
                <w:rFonts w:cs="Arial"/>
              </w:rPr>
              <w:t xml:space="preserve">shares </w:t>
            </w:r>
            <w:r w:rsidRPr="00A67277">
              <w:rPr>
                <w:rFonts w:cs="Arial"/>
              </w:rPr>
              <w:t xml:space="preserve">or other equity interest having ordinary </w:t>
            </w:r>
            <w:r>
              <w:rPr>
                <w:rFonts w:cs="Arial"/>
              </w:rPr>
              <w:t>right</w:t>
            </w:r>
            <w:r w:rsidRPr="00A67277">
              <w:rPr>
                <w:rFonts w:cs="Arial"/>
              </w:rPr>
              <w:t xml:space="preserve"> or the power to direct or cause the </w:t>
            </w:r>
            <w:r>
              <w:rPr>
                <w:rFonts w:cs="Arial"/>
              </w:rPr>
              <w:t xml:space="preserve">management of that person to be </w:t>
            </w:r>
            <w:r w:rsidRPr="00A67277">
              <w:rPr>
                <w:rFonts w:cs="Arial"/>
              </w:rPr>
              <w:t>direct</w:t>
            </w:r>
            <w:r>
              <w:rPr>
                <w:rFonts w:cs="Arial"/>
              </w:rPr>
              <w:t xml:space="preserve">ed </w:t>
            </w:r>
            <w:r w:rsidRPr="00A67277">
              <w:rPr>
                <w:rFonts w:cs="Arial"/>
              </w:rPr>
              <w:t>and the terms</w:t>
            </w:r>
            <w:r>
              <w:rPr>
                <w:rFonts w:cs="Arial"/>
              </w:rPr>
              <w:t xml:space="preserve"> “Controlling”, </w:t>
            </w:r>
            <w:r w:rsidRPr="00A67277">
              <w:rPr>
                <w:rFonts w:cs="Arial"/>
              </w:rPr>
              <w:t xml:space="preserve"> “Controlled by” and “under common Control with” have </w:t>
            </w:r>
            <w:r>
              <w:rPr>
                <w:rFonts w:cs="Arial"/>
              </w:rPr>
              <w:t xml:space="preserve">the same </w:t>
            </w:r>
            <w:r w:rsidRPr="00A67277">
              <w:rPr>
                <w:rFonts w:cs="Arial"/>
              </w:rPr>
              <w:t xml:space="preserve">meaning; </w:t>
            </w:r>
          </w:p>
        </w:tc>
        <w:tc>
          <w:tcPr>
            <w:tcW w:w="169" w:type="pct"/>
          </w:tcPr>
          <w:p w14:paraId="262E56C4" w14:textId="77777777" w:rsidR="009E2802" w:rsidRPr="00A67277" w:rsidRDefault="009E2802" w:rsidP="00862B0B">
            <w:pPr>
              <w:spacing w:before="60" w:after="60"/>
              <w:rPr>
                <w:rFonts w:ascii="Arial" w:hAnsi="Arial" w:cs="Arial"/>
                <w:sz w:val="21"/>
                <w:szCs w:val="21"/>
              </w:rPr>
            </w:pPr>
          </w:p>
        </w:tc>
        <w:tc>
          <w:tcPr>
            <w:tcW w:w="2561" w:type="pct"/>
            <w:gridSpan w:val="2"/>
          </w:tcPr>
          <w:p w14:paraId="5AC368CE" w14:textId="77777777" w:rsidR="009E2802" w:rsidRPr="00A67277" w:rsidRDefault="009E2802" w:rsidP="00862B0B">
            <w:pPr>
              <w:pStyle w:val="Body2"/>
              <w:spacing w:before="60" w:after="60"/>
              <w:ind w:left="878"/>
              <w:rPr>
                <w:rFonts w:cs="Arial"/>
              </w:rPr>
            </w:pPr>
            <w:bookmarkStart w:id="13" w:name="_cp_text_1_214"/>
            <w:r w:rsidRPr="00A67277">
              <w:rPr>
                <w:rFonts w:cs="Arial"/>
                <w:b/>
              </w:rPr>
              <w:t>Kendali</w:t>
            </w:r>
            <w:r w:rsidRPr="00A67277">
              <w:rPr>
                <w:rFonts w:cs="Arial"/>
              </w:rPr>
              <w:t xml:space="preserve"> berarti, sebagaimana yang berlaku untuk setiap orang, kepemilikan secara langsung atau tidak langsung atas lebih dari </w:t>
            </w:r>
            <w:bookmarkStart w:id="14" w:name="_cp_text_4_215"/>
            <w:bookmarkEnd w:id="13"/>
            <w:r w:rsidRPr="00A67277">
              <w:rPr>
                <w:rFonts w:cs="Arial"/>
              </w:rPr>
              <w:t xml:space="preserve">50% saham dengan hak suara atau kepentingan Ekuitas lainnya atau memiliki hak untuk mengarahkan atau menyebabkan manajemen dari orang tersebut diarahkan dan istilah </w:t>
            </w:r>
            <w:bookmarkStart w:id="15" w:name="_Hlk500970698"/>
            <w:bookmarkStart w:id="16" w:name="_cp_text_1_216"/>
            <w:bookmarkEnd w:id="14"/>
            <w:r w:rsidRPr="00A67277">
              <w:rPr>
                <w:rFonts w:cs="Arial"/>
              </w:rPr>
              <w:t xml:space="preserve">"Mengendalikan", “Dikendalikan” dan “berada dalam Kendali bersama” </w:t>
            </w:r>
            <w:bookmarkEnd w:id="15"/>
            <w:r w:rsidRPr="00A67277">
              <w:rPr>
                <w:rFonts w:cs="Arial"/>
              </w:rPr>
              <w:t>memiliki pengertian yang sama;</w:t>
            </w:r>
            <w:bookmarkEnd w:id="16"/>
          </w:p>
        </w:tc>
      </w:tr>
      <w:tr w:rsidR="009E2802" w:rsidRPr="00A67277" w14:paraId="685195F7" w14:textId="77777777" w:rsidTr="00862B0B">
        <w:tc>
          <w:tcPr>
            <w:tcW w:w="2270" w:type="pct"/>
          </w:tcPr>
          <w:p w14:paraId="18228C4A" w14:textId="77777777" w:rsidR="009E2802" w:rsidRPr="00A67277" w:rsidRDefault="009E2802" w:rsidP="00862B0B">
            <w:pPr>
              <w:pStyle w:val="Body2"/>
              <w:spacing w:before="60" w:after="60"/>
              <w:ind w:left="851"/>
              <w:rPr>
                <w:rFonts w:cs="Arial"/>
                <w:b/>
              </w:rPr>
            </w:pPr>
            <w:r w:rsidRPr="00A67277">
              <w:rPr>
                <w:rFonts w:cs="Arial"/>
                <w:b/>
              </w:rPr>
              <w:t>Day</w:t>
            </w:r>
            <w:r w:rsidRPr="00A67277">
              <w:rPr>
                <w:rFonts w:cs="Arial"/>
              </w:rPr>
              <w:t xml:space="preserve"> means a calendar </w:t>
            </w:r>
            <w:bookmarkStart w:id="17" w:name="_cp_text_1_218"/>
            <w:r w:rsidRPr="00A67277">
              <w:rPr>
                <w:rFonts w:cs="Arial"/>
              </w:rPr>
              <w:t>day</w:t>
            </w:r>
            <w:bookmarkEnd w:id="17"/>
            <w:r w:rsidRPr="00A67277">
              <w:rPr>
                <w:rFonts w:cs="Arial"/>
              </w:rPr>
              <w:t xml:space="preserve">, consisting of twenty-four (24) hours from midnight to </w:t>
            </w:r>
            <w:r w:rsidRPr="00A67277">
              <w:rPr>
                <w:rFonts w:cs="Arial"/>
              </w:rPr>
              <w:lastRenderedPageBreak/>
              <w:t>midnight;</w:t>
            </w:r>
          </w:p>
        </w:tc>
        <w:tc>
          <w:tcPr>
            <w:tcW w:w="169" w:type="pct"/>
          </w:tcPr>
          <w:p w14:paraId="006CA04B" w14:textId="77777777" w:rsidR="009E2802" w:rsidRPr="00A67277" w:rsidRDefault="009E2802" w:rsidP="00862B0B">
            <w:pPr>
              <w:spacing w:before="60" w:after="60"/>
              <w:rPr>
                <w:rFonts w:ascii="Arial" w:hAnsi="Arial" w:cs="Arial"/>
                <w:sz w:val="21"/>
                <w:szCs w:val="21"/>
              </w:rPr>
            </w:pPr>
          </w:p>
        </w:tc>
        <w:tc>
          <w:tcPr>
            <w:tcW w:w="2561" w:type="pct"/>
            <w:gridSpan w:val="2"/>
          </w:tcPr>
          <w:p w14:paraId="624E1391" w14:textId="77777777" w:rsidR="009E2802" w:rsidRPr="00A67277" w:rsidRDefault="009E2802" w:rsidP="00862B0B">
            <w:pPr>
              <w:pStyle w:val="Body2"/>
              <w:spacing w:before="60" w:after="60"/>
              <w:ind w:left="878"/>
              <w:rPr>
                <w:rFonts w:cs="Arial"/>
              </w:rPr>
            </w:pPr>
            <w:r w:rsidRPr="00A67277">
              <w:rPr>
                <w:rFonts w:cs="Arial"/>
                <w:b/>
              </w:rPr>
              <w:t>Hari</w:t>
            </w:r>
            <w:r w:rsidRPr="00A67277">
              <w:rPr>
                <w:rFonts w:cs="Arial"/>
              </w:rPr>
              <w:t xml:space="preserve"> berarti hari kalender, yang terdiri dua-puluh-empat </w:t>
            </w:r>
            <w:bookmarkStart w:id="18" w:name="_cp_text_1_219"/>
            <w:r w:rsidRPr="00A67277">
              <w:rPr>
                <w:rFonts w:cs="Arial"/>
              </w:rPr>
              <w:t>(</w:t>
            </w:r>
            <w:bookmarkEnd w:id="18"/>
            <w:r w:rsidRPr="00A67277">
              <w:rPr>
                <w:rFonts w:cs="Arial"/>
              </w:rPr>
              <w:t>24</w:t>
            </w:r>
            <w:bookmarkStart w:id="19" w:name="_cp_text_1_220"/>
            <w:r w:rsidRPr="00A67277">
              <w:rPr>
                <w:rFonts w:cs="Arial"/>
              </w:rPr>
              <w:t xml:space="preserve">) </w:t>
            </w:r>
            <w:bookmarkEnd w:id="19"/>
            <w:r w:rsidRPr="00A67277">
              <w:rPr>
                <w:rFonts w:cs="Arial"/>
              </w:rPr>
              <w:t xml:space="preserve">jam dari tengah malam ke tengah </w:t>
            </w:r>
            <w:r w:rsidRPr="00A67277">
              <w:rPr>
                <w:rFonts w:cs="Arial"/>
              </w:rPr>
              <w:lastRenderedPageBreak/>
              <w:t>malam;</w:t>
            </w:r>
          </w:p>
        </w:tc>
      </w:tr>
      <w:tr w:rsidR="009E2802" w:rsidRPr="00A67277" w14:paraId="427129BE" w14:textId="77777777" w:rsidTr="00862B0B">
        <w:tc>
          <w:tcPr>
            <w:tcW w:w="2270" w:type="pct"/>
          </w:tcPr>
          <w:p w14:paraId="1CF30670" w14:textId="77777777" w:rsidR="009E2802" w:rsidRPr="00A67277" w:rsidRDefault="009E2802" w:rsidP="00862B0B">
            <w:pPr>
              <w:pStyle w:val="Body2"/>
              <w:spacing w:before="60" w:after="60"/>
              <w:ind w:left="851"/>
              <w:rPr>
                <w:rFonts w:cs="Arial"/>
              </w:rPr>
            </w:pPr>
            <w:r w:rsidRPr="00A67277">
              <w:rPr>
                <w:rFonts w:cs="Arial"/>
                <w:b/>
              </w:rPr>
              <w:lastRenderedPageBreak/>
              <w:t xml:space="preserve">Default by GCA </w:t>
            </w:r>
            <w:r w:rsidRPr="00A67277">
              <w:rPr>
                <w:rFonts w:cs="Arial"/>
              </w:rPr>
              <w:t>means</w:t>
            </w:r>
            <w:r w:rsidRPr="00A67277">
              <w:rPr>
                <w:rFonts w:cs="Arial"/>
                <w:b/>
              </w:rPr>
              <w:t xml:space="preserve"> </w:t>
            </w:r>
            <w:r w:rsidRPr="00A67277">
              <w:rPr>
                <w:rFonts w:cs="Arial"/>
              </w:rPr>
              <w:t>GCA event of default as provided in Clause 24.2(a);</w:t>
            </w:r>
          </w:p>
        </w:tc>
        <w:tc>
          <w:tcPr>
            <w:tcW w:w="169" w:type="pct"/>
          </w:tcPr>
          <w:p w14:paraId="324ACB22" w14:textId="77777777" w:rsidR="009E2802" w:rsidRPr="00A67277" w:rsidRDefault="009E2802" w:rsidP="00862B0B">
            <w:pPr>
              <w:spacing w:before="60" w:after="60"/>
              <w:rPr>
                <w:rFonts w:ascii="Arial" w:hAnsi="Arial" w:cs="Arial"/>
                <w:sz w:val="21"/>
                <w:szCs w:val="21"/>
              </w:rPr>
            </w:pPr>
          </w:p>
        </w:tc>
        <w:tc>
          <w:tcPr>
            <w:tcW w:w="2561" w:type="pct"/>
            <w:gridSpan w:val="2"/>
          </w:tcPr>
          <w:p w14:paraId="7A5FA606" w14:textId="2B2FB32D" w:rsidR="009E2802" w:rsidRPr="00A67277" w:rsidRDefault="009E2802" w:rsidP="00862B0B">
            <w:pPr>
              <w:pStyle w:val="Body2"/>
              <w:spacing w:before="60" w:after="60"/>
              <w:ind w:left="878"/>
              <w:rPr>
                <w:rFonts w:cs="Arial"/>
                <w:b/>
              </w:rPr>
            </w:pPr>
            <w:r w:rsidRPr="00A67277">
              <w:rPr>
                <w:rFonts w:cs="Arial"/>
                <w:b/>
              </w:rPr>
              <w:t xml:space="preserve">Cidera Janji Oleh PJPK </w:t>
            </w:r>
            <w:r w:rsidRPr="00A67277">
              <w:rPr>
                <w:rFonts w:cs="Arial"/>
              </w:rPr>
              <w:t>berarti peristiwa pelanggaran oleh PJK sebagaimana diatur dalam Pasal 24.2(a);</w:t>
            </w:r>
            <w:r w:rsidRPr="00A67277">
              <w:rPr>
                <w:rFonts w:cs="Arial"/>
                <w:b/>
              </w:rPr>
              <w:t xml:space="preserve"> </w:t>
            </w:r>
          </w:p>
        </w:tc>
      </w:tr>
      <w:tr w:rsidR="009E2802" w:rsidRPr="00A67277" w14:paraId="2E285A83" w14:textId="77777777" w:rsidTr="00862B0B">
        <w:tc>
          <w:tcPr>
            <w:tcW w:w="2270" w:type="pct"/>
          </w:tcPr>
          <w:p w14:paraId="0A5B37B7" w14:textId="5FF97CB8" w:rsidR="009E2802" w:rsidRPr="00A67277" w:rsidRDefault="009E2802" w:rsidP="00862B0B">
            <w:pPr>
              <w:pStyle w:val="Body2"/>
              <w:spacing w:before="60" w:after="60"/>
              <w:ind w:left="851"/>
              <w:rPr>
                <w:rFonts w:cs="Arial"/>
              </w:rPr>
            </w:pPr>
            <w:r w:rsidRPr="00A67277">
              <w:rPr>
                <w:rFonts w:cs="Arial"/>
                <w:b/>
              </w:rPr>
              <w:t>Design and Technical Specifications</w:t>
            </w:r>
            <w:r w:rsidRPr="00A67277">
              <w:rPr>
                <w:rFonts w:cs="Arial"/>
              </w:rPr>
              <w:t xml:space="preserve"> means the design and technical specifications for the Project that the IBE must comply with when designing, developing, and constructing the Facility, as set out in Appendix 5 (</w:t>
            </w:r>
            <w:r w:rsidRPr="00A67277">
              <w:rPr>
                <w:rFonts w:cs="Arial"/>
                <w:i/>
              </w:rPr>
              <w:t>Design and Technical Specifications</w:t>
            </w:r>
            <w:r w:rsidRPr="00A67277">
              <w:rPr>
                <w:rFonts w:cs="Arial"/>
              </w:rPr>
              <w:t>);</w:t>
            </w:r>
          </w:p>
        </w:tc>
        <w:tc>
          <w:tcPr>
            <w:tcW w:w="169" w:type="pct"/>
          </w:tcPr>
          <w:p w14:paraId="68752B37" w14:textId="77777777" w:rsidR="009E2802" w:rsidRPr="00A67277" w:rsidRDefault="009E2802" w:rsidP="00862B0B">
            <w:pPr>
              <w:spacing w:before="60" w:after="60"/>
              <w:rPr>
                <w:rFonts w:ascii="Arial" w:hAnsi="Arial" w:cs="Arial"/>
                <w:sz w:val="21"/>
                <w:szCs w:val="21"/>
              </w:rPr>
            </w:pPr>
          </w:p>
        </w:tc>
        <w:tc>
          <w:tcPr>
            <w:tcW w:w="2561" w:type="pct"/>
            <w:gridSpan w:val="2"/>
          </w:tcPr>
          <w:p w14:paraId="7207BE9C" w14:textId="0132819A" w:rsidR="009E2802" w:rsidRPr="00A67277" w:rsidRDefault="009E2802" w:rsidP="00862B0B">
            <w:pPr>
              <w:pStyle w:val="Body2"/>
              <w:spacing w:before="60" w:after="60"/>
              <w:ind w:left="878"/>
              <w:rPr>
                <w:rFonts w:cs="Arial"/>
              </w:rPr>
            </w:pPr>
            <w:r w:rsidRPr="00A67277">
              <w:rPr>
                <w:rFonts w:cs="Arial"/>
                <w:b/>
              </w:rPr>
              <w:t>Spesifikasi Desain dan Teknis</w:t>
            </w:r>
            <w:r w:rsidRPr="00A67277">
              <w:rPr>
                <w:rFonts w:cs="Arial"/>
              </w:rPr>
              <w:t xml:space="preserve"> berarti Spesifikasi Desain dan Teknis untuk Proyek yang harus dipatuhi BUP pada saat mendesain, mengembangkan dan membangun Fasilitas, sebagaimana diatur dalam Lampiran 5 (</w:t>
            </w:r>
            <w:r w:rsidRPr="00A67277">
              <w:rPr>
                <w:rFonts w:cs="Arial"/>
                <w:i/>
              </w:rPr>
              <w:t>Spesifikasi Desain dan Teknis</w:t>
            </w:r>
            <w:r w:rsidRPr="00A67277">
              <w:rPr>
                <w:rFonts w:cs="Arial"/>
              </w:rPr>
              <w:t>);</w:t>
            </w:r>
          </w:p>
        </w:tc>
      </w:tr>
      <w:tr w:rsidR="009E2802" w:rsidRPr="00A67277" w14:paraId="74A44FDF" w14:textId="77777777" w:rsidTr="00862B0B">
        <w:tc>
          <w:tcPr>
            <w:tcW w:w="2270" w:type="pct"/>
          </w:tcPr>
          <w:p w14:paraId="641E1368" w14:textId="77777777" w:rsidR="009E2802" w:rsidRPr="00A67277" w:rsidRDefault="009E2802" w:rsidP="00862B0B">
            <w:pPr>
              <w:pStyle w:val="Body2"/>
              <w:spacing w:before="60" w:after="60"/>
              <w:ind w:left="851"/>
              <w:rPr>
                <w:rFonts w:cs="Arial"/>
              </w:rPr>
            </w:pPr>
            <w:r w:rsidRPr="00A67277">
              <w:rPr>
                <w:rFonts w:cs="Arial"/>
                <w:b/>
              </w:rPr>
              <w:t>Distributions</w:t>
            </w:r>
            <w:r w:rsidRPr="00A67277">
              <w:rPr>
                <w:rFonts w:cs="Arial"/>
              </w:rPr>
              <w:t xml:space="preserve"> mean, with respect to Equity investment, any dividends, interest payments or other distributions by the IBE to its shareholders, including amounts available for such distributions - whether such distributions are in respect of share capital or subordinated debt - and receipt of any other benefit by those parties (including the release of any contingent liabilities), but excluding payments made to a related body corporate under a sub-contract (where the related body corporate is a sub-contractor) or otherwise on arm's length terms;</w:t>
            </w:r>
          </w:p>
        </w:tc>
        <w:tc>
          <w:tcPr>
            <w:tcW w:w="169" w:type="pct"/>
          </w:tcPr>
          <w:p w14:paraId="70DB6E98" w14:textId="77777777" w:rsidR="009E2802" w:rsidRPr="00A67277" w:rsidRDefault="009E2802" w:rsidP="00862B0B">
            <w:pPr>
              <w:spacing w:before="60" w:after="60"/>
              <w:rPr>
                <w:rFonts w:ascii="Arial" w:hAnsi="Arial" w:cs="Arial"/>
                <w:sz w:val="21"/>
                <w:szCs w:val="21"/>
              </w:rPr>
            </w:pPr>
          </w:p>
        </w:tc>
        <w:tc>
          <w:tcPr>
            <w:tcW w:w="2561" w:type="pct"/>
            <w:gridSpan w:val="2"/>
          </w:tcPr>
          <w:p w14:paraId="2D2EBA0D" w14:textId="77777777" w:rsidR="009E2802" w:rsidRPr="00A67277" w:rsidRDefault="009E2802" w:rsidP="00862B0B">
            <w:pPr>
              <w:pStyle w:val="Body2"/>
              <w:spacing w:before="60" w:after="60"/>
              <w:ind w:left="878"/>
              <w:rPr>
                <w:rFonts w:cs="Arial"/>
              </w:rPr>
            </w:pPr>
            <w:r w:rsidRPr="00A67277">
              <w:rPr>
                <w:rFonts w:cs="Arial"/>
                <w:b/>
              </w:rPr>
              <w:t xml:space="preserve">Distribusi </w:t>
            </w:r>
            <w:r w:rsidRPr="00A67277">
              <w:rPr>
                <w:rFonts w:cs="Arial"/>
              </w:rPr>
              <w:t xml:space="preserve">berarti, sehubungan dengan investasi Ekuitas, segala dividen, pembayaran bunga atau pembagian keuntungan lainnya oleh BUP kepada para pemegang sahamnya, termasuk jumlah yang tersedia untuk pembagian keuntungan tersebut – apakah pembagian keuntungan tersebut sehubungan dengan modal saham atau hutang subordinasi – dan penerimaan dari keuntungan lainnya oleh pihak-pihak tersebut (termasuk pembebasan dari tanggung jawab kontijensi), tetapi selain dari pembayaran yang dibuat untuk badan perusahaan tersebut berdasarkan suatu sub-kontrak (dimana badan perusahaan terkait tersebut merupakan subkontraktor) atau perjanjian lain dengan ketentuan secara </w:t>
            </w:r>
            <w:r w:rsidRPr="00A67277">
              <w:rPr>
                <w:rFonts w:cs="Arial"/>
                <w:i/>
              </w:rPr>
              <w:t>arm’s length</w:t>
            </w:r>
            <w:r w:rsidRPr="00A67277">
              <w:rPr>
                <w:rFonts w:cs="Arial"/>
              </w:rPr>
              <w:t>;</w:t>
            </w:r>
          </w:p>
        </w:tc>
      </w:tr>
      <w:tr w:rsidR="009E2802" w:rsidRPr="00A67277" w14:paraId="5FF961B8" w14:textId="77777777" w:rsidTr="00862B0B">
        <w:tc>
          <w:tcPr>
            <w:tcW w:w="2270" w:type="pct"/>
          </w:tcPr>
          <w:p w14:paraId="5E992555" w14:textId="39E5A06C" w:rsidR="009E2802" w:rsidRPr="00A67277" w:rsidRDefault="009E2802" w:rsidP="00862B0B">
            <w:pPr>
              <w:pStyle w:val="Body2"/>
              <w:spacing w:before="60" w:after="60"/>
              <w:ind w:left="851"/>
              <w:rPr>
                <w:rFonts w:cs="Arial"/>
              </w:rPr>
            </w:pPr>
            <w:r w:rsidRPr="00A67277">
              <w:rPr>
                <w:rFonts w:cs="Arial"/>
                <w:b/>
              </w:rPr>
              <w:t>Effective Date</w:t>
            </w:r>
            <w:r w:rsidRPr="00A67277">
              <w:rPr>
                <w:rFonts w:cs="Arial"/>
              </w:rPr>
              <w:t xml:space="preserve"> </w:t>
            </w:r>
            <w:r w:rsidRPr="00A67277">
              <w:rPr>
                <w:szCs w:val="24"/>
              </w:rPr>
              <w:t>means the date the Parties certif</w:t>
            </w:r>
            <w:r>
              <w:rPr>
                <w:szCs w:val="24"/>
              </w:rPr>
              <w:t>y</w:t>
            </w:r>
            <w:r w:rsidRPr="00A67277">
              <w:rPr>
                <w:szCs w:val="24"/>
              </w:rPr>
              <w:t xml:space="preserve"> that all of the Conditions Precedent have been satisfied or waived in accordance with Clause 3.2(c) (</w:t>
            </w:r>
            <w:r w:rsidRPr="00A67277">
              <w:rPr>
                <w:i/>
                <w:szCs w:val="24"/>
              </w:rPr>
              <w:t>Satisfaction of Conditions Precedent</w:t>
            </w:r>
            <w:r w:rsidRPr="00A67277">
              <w:rPr>
                <w:szCs w:val="24"/>
              </w:rPr>
              <w:t>);</w:t>
            </w:r>
          </w:p>
        </w:tc>
        <w:tc>
          <w:tcPr>
            <w:tcW w:w="169" w:type="pct"/>
          </w:tcPr>
          <w:p w14:paraId="343A0984" w14:textId="77777777" w:rsidR="009E2802" w:rsidRPr="00A67277" w:rsidRDefault="009E2802" w:rsidP="00862B0B">
            <w:pPr>
              <w:spacing w:before="60" w:after="60"/>
              <w:rPr>
                <w:rFonts w:ascii="Arial" w:hAnsi="Arial" w:cs="Arial"/>
                <w:sz w:val="21"/>
                <w:szCs w:val="21"/>
              </w:rPr>
            </w:pPr>
          </w:p>
        </w:tc>
        <w:tc>
          <w:tcPr>
            <w:tcW w:w="2561" w:type="pct"/>
            <w:gridSpan w:val="2"/>
          </w:tcPr>
          <w:p w14:paraId="318BEC6A" w14:textId="77777777" w:rsidR="009E2802" w:rsidRPr="00A67277" w:rsidRDefault="009E2802" w:rsidP="00862B0B">
            <w:pPr>
              <w:pStyle w:val="Body2"/>
              <w:spacing w:before="60" w:after="60"/>
              <w:ind w:left="878"/>
              <w:rPr>
                <w:rFonts w:cs="Arial"/>
              </w:rPr>
            </w:pPr>
            <w:r w:rsidRPr="00A67277">
              <w:rPr>
                <w:rFonts w:cs="Arial"/>
                <w:b/>
              </w:rPr>
              <w:t>Tanggal Efektif</w:t>
            </w:r>
            <w:r w:rsidRPr="00A67277">
              <w:rPr>
                <w:rFonts w:cs="Arial"/>
              </w:rPr>
              <w:t xml:space="preserve"> berarti tanggal dimana Para Pihak menyatakan bahwa seluruh Persyaratan Pendahuluan telah dipenuhi atau dikesampingkan sesuai dengan ketentuan Pasal 3.2(c) (</w:t>
            </w:r>
            <w:r w:rsidRPr="00A67277">
              <w:rPr>
                <w:rFonts w:cs="Arial"/>
                <w:i/>
              </w:rPr>
              <w:t>Pemenuhan Persyaratan Pendahuluan</w:t>
            </w:r>
            <w:r w:rsidRPr="00A67277">
              <w:rPr>
                <w:rFonts w:cs="Arial"/>
              </w:rPr>
              <w:t>);</w:t>
            </w:r>
          </w:p>
        </w:tc>
      </w:tr>
      <w:tr w:rsidR="009E2802" w:rsidRPr="00A67277" w14:paraId="18502CCB" w14:textId="77777777" w:rsidTr="00862B0B">
        <w:tc>
          <w:tcPr>
            <w:tcW w:w="2270" w:type="pct"/>
          </w:tcPr>
          <w:p w14:paraId="7D26A70F" w14:textId="77777777" w:rsidR="009E2802" w:rsidRPr="00A67277" w:rsidRDefault="009E2802" w:rsidP="00862B0B">
            <w:pPr>
              <w:pStyle w:val="Body2"/>
              <w:spacing w:before="60" w:after="60"/>
              <w:ind w:left="851"/>
              <w:rPr>
                <w:rFonts w:cs="Arial"/>
              </w:rPr>
            </w:pPr>
            <w:r w:rsidRPr="00A67277">
              <w:rPr>
                <w:rFonts w:cs="Arial"/>
                <w:b/>
              </w:rPr>
              <w:t>Encumbrance</w:t>
            </w:r>
            <w:r w:rsidRPr="00A67277">
              <w:rPr>
                <w:rFonts w:cs="Arial"/>
              </w:rPr>
              <w:t xml:space="preserve"> means an interest or power:</w:t>
            </w:r>
          </w:p>
        </w:tc>
        <w:tc>
          <w:tcPr>
            <w:tcW w:w="169" w:type="pct"/>
          </w:tcPr>
          <w:p w14:paraId="4EE3D4C6" w14:textId="77777777" w:rsidR="009E2802" w:rsidRPr="00A67277" w:rsidRDefault="009E2802" w:rsidP="00862B0B">
            <w:pPr>
              <w:spacing w:before="60" w:after="60"/>
              <w:rPr>
                <w:rFonts w:ascii="Arial" w:hAnsi="Arial" w:cs="Arial"/>
                <w:sz w:val="21"/>
                <w:szCs w:val="21"/>
              </w:rPr>
            </w:pPr>
          </w:p>
        </w:tc>
        <w:tc>
          <w:tcPr>
            <w:tcW w:w="2561" w:type="pct"/>
            <w:gridSpan w:val="2"/>
          </w:tcPr>
          <w:p w14:paraId="1566802E" w14:textId="77777777" w:rsidR="009E2802" w:rsidRPr="00A67277" w:rsidRDefault="009E2802" w:rsidP="00862B0B">
            <w:pPr>
              <w:pStyle w:val="Body2"/>
              <w:spacing w:before="60" w:after="60"/>
              <w:ind w:left="878"/>
              <w:rPr>
                <w:rFonts w:cs="Arial"/>
              </w:rPr>
            </w:pPr>
            <w:r w:rsidRPr="00A67277">
              <w:rPr>
                <w:rFonts w:cs="Arial"/>
                <w:b/>
              </w:rPr>
              <w:t>Hak Jaminan</w:t>
            </w:r>
            <w:r w:rsidRPr="00A67277">
              <w:rPr>
                <w:rFonts w:cs="Arial"/>
              </w:rPr>
              <w:t xml:space="preserve"> berarti kepentingan atau kekuasaan yang:</w:t>
            </w:r>
          </w:p>
        </w:tc>
      </w:tr>
      <w:tr w:rsidR="009E2802" w:rsidRPr="00A67277" w14:paraId="703AB85C" w14:textId="77777777" w:rsidTr="00862B0B">
        <w:tc>
          <w:tcPr>
            <w:tcW w:w="2270" w:type="pct"/>
          </w:tcPr>
          <w:p w14:paraId="56D3378B" w14:textId="77777777" w:rsidR="009E2802" w:rsidRPr="00A67277" w:rsidRDefault="009E2802" w:rsidP="00862B0B">
            <w:pPr>
              <w:pStyle w:val="Body2"/>
              <w:numPr>
                <w:ilvl w:val="0"/>
                <w:numId w:val="178"/>
              </w:numPr>
              <w:spacing w:before="60" w:after="60"/>
              <w:ind w:left="1276" w:hanging="425"/>
              <w:rPr>
                <w:rFonts w:cs="Arial"/>
              </w:rPr>
            </w:pPr>
            <w:r w:rsidRPr="00A67277">
              <w:rPr>
                <w:rFonts w:cs="Arial"/>
              </w:rPr>
              <w:t xml:space="preserve">reserved in or over an </w:t>
            </w:r>
            <w:r w:rsidRPr="00A67277">
              <w:rPr>
                <w:rFonts w:cs="Arial"/>
              </w:rPr>
              <w:lastRenderedPageBreak/>
              <w:t>interest in any asset, including any retention of title; or</w:t>
            </w:r>
          </w:p>
        </w:tc>
        <w:tc>
          <w:tcPr>
            <w:tcW w:w="169" w:type="pct"/>
          </w:tcPr>
          <w:p w14:paraId="0006BA7F" w14:textId="77777777" w:rsidR="009E2802" w:rsidRPr="00A67277" w:rsidRDefault="009E2802" w:rsidP="00862B0B">
            <w:pPr>
              <w:spacing w:before="60" w:after="60"/>
              <w:rPr>
                <w:rFonts w:ascii="Arial" w:hAnsi="Arial" w:cs="Arial"/>
                <w:sz w:val="21"/>
                <w:szCs w:val="21"/>
              </w:rPr>
            </w:pPr>
          </w:p>
        </w:tc>
        <w:tc>
          <w:tcPr>
            <w:tcW w:w="2561" w:type="pct"/>
            <w:gridSpan w:val="2"/>
          </w:tcPr>
          <w:p w14:paraId="1D2D5C4D" w14:textId="77777777" w:rsidR="009E2802" w:rsidRPr="00A67277" w:rsidRDefault="009E2802" w:rsidP="00862B0B">
            <w:pPr>
              <w:pStyle w:val="Body2"/>
              <w:numPr>
                <w:ilvl w:val="0"/>
                <w:numId w:val="214"/>
              </w:numPr>
              <w:spacing w:before="60" w:after="60"/>
              <w:ind w:hanging="403"/>
              <w:rPr>
                <w:rFonts w:cs="Arial"/>
                <w:b/>
              </w:rPr>
            </w:pPr>
            <w:r w:rsidRPr="00A67277">
              <w:rPr>
                <w:rFonts w:cs="Arial"/>
              </w:rPr>
              <w:t xml:space="preserve">dicadangkan di dalam atau </w:t>
            </w:r>
            <w:r w:rsidRPr="00A67277">
              <w:rPr>
                <w:rFonts w:cs="Arial"/>
              </w:rPr>
              <w:lastRenderedPageBreak/>
              <w:t>atas kepentingan pada setiap aset, termasuk retensi dari hak milik; atau</w:t>
            </w:r>
          </w:p>
        </w:tc>
      </w:tr>
      <w:tr w:rsidR="009E2802" w:rsidRPr="00A67277" w14:paraId="77D4C3CE" w14:textId="77777777" w:rsidTr="00862B0B">
        <w:tc>
          <w:tcPr>
            <w:tcW w:w="2270" w:type="pct"/>
          </w:tcPr>
          <w:p w14:paraId="17BF865A" w14:textId="032DB139" w:rsidR="009E2802" w:rsidRPr="00A67277" w:rsidRDefault="009E2802" w:rsidP="00862B0B">
            <w:pPr>
              <w:pStyle w:val="Body2"/>
              <w:numPr>
                <w:ilvl w:val="0"/>
                <w:numId w:val="178"/>
              </w:numPr>
              <w:spacing w:before="60" w:after="60"/>
              <w:ind w:left="1276" w:hanging="425"/>
              <w:rPr>
                <w:rFonts w:cs="Arial"/>
              </w:rPr>
            </w:pPr>
            <w:r w:rsidRPr="00AD000B">
              <w:rPr>
                <w:rFonts w:cs="Arial"/>
              </w:rPr>
              <w:lastRenderedPageBreak/>
              <w:t>created or otherwise arising in or over any interest in any asset under a bill of sale, mortgage, fiduciary guarantee, mortgage encumbrance, lien, pledge, trust or power of attorney,</w:t>
            </w:r>
          </w:p>
        </w:tc>
        <w:tc>
          <w:tcPr>
            <w:tcW w:w="169" w:type="pct"/>
          </w:tcPr>
          <w:p w14:paraId="2991F7F3" w14:textId="77777777" w:rsidR="009E2802" w:rsidRPr="00A67277" w:rsidRDefault="009E2802" w:rsidP="00862B0B">
            <w:pPr>
              <w:spacing w:before="60" w:after="60"/>
              <w:rPr>
                <w:rFonts w:ascii="Arial" w:hAnsi="Arial" w:cs="Arial"/>
                <w:sz w:val="21"/>
                <w:szCs w:val="21"/>
              </w:rPr>
            </w:pPr>
          </w:p>
        </w:tc>
        <w:tc>
          <w:tcPr>
            <w:tcW w:w="2561" w:type="pct"/>
            <w:gridSpan w:val="2"/>
          </w:tcPr>
          <w:p w14:paraId="5FE1E32B" w14:textId="77777777" w:rsidR="009E2802" w:rsidRPr="00A67277" w:rsidRDefault="009E2802" w:rsidP="00862B0B">
            <w:pPr>
              <w:pStyle w:val="Body2"/>
              <w:numPr>
                <w:ilvl w:val="0"/>
                <w:numId w:val="214"/>
              </w:numPr>
              <w:spacing w:before="60" w:after="60"/>
              <w:ind w:hanging="403"/>
              <w:rPr>
                <w:rFonts w:cs="Arial"/>
              </w:rPr>
            </w:pPr>
            <w:r w:rsidRPr="00A67277">
              <w:rPr>
                <w:rFonts w:cs="Arial"/>
              </w:rPr>
              <w:t xml:space="preserve">dibuat atau sebaliknya timbul di dalam atau di atas kepentingan di dalam segala aset berdasarkan nota penjualan </w:t>
            </w:r>
            <w:r w:rsidRPr="00A67277">
              <w:rPr>
                <w:rFonts w:cs="Arial"/>
                <w:i/>
              </w:rPr>
              <w:t>(bill of sale)</w:t>
            </w:r>
            <w:r w:rsidRPr="00A67277">
              <w:rPr>
                <w:rFonts w:cs="Arial"/>
              </w:rPr>
              <w:t>, hak tanggungan, jaminan fidusia, hipotek, pembebanan, gadai, janji, perwalian atau kuasa,</w:t>
            </w:r>
          </w:p>
        </w:tc>
      </w:tr>
      <w:tr w:rsidR="009E2802" w:rsidRPr="00A67277" w14:paraId="2053AFAE" w14:textId="77777777" w:rsidTr="00862B0B">
        <w:tc>
          <w:tcPr>
            <w:tcW w:w="2270" w:type="pct"/>
          </w:tcPr>
          <w:p w14:paraId="3868B836" w14:textId="77777777" w:rsidR="009E2802" w:rsidRPr="00A67277" w:rsidRDefault="009E2802" w:rsidP="00862B0B">
            <w:pPr>
              <w:pStyle w:val="Body2"/>
              <w:spacing w:before="60" w:after="60"/>
              <w:ind w:left="851"/>
              <w:rPr>
                <w:rFonts w:cs="Arial"/>
              </w:rPr>
            </w:pPr>
            <w:r w:rsidRPr="00A67277">
              <w:rPr>
                <w:rFonts w:cs="Arial"/>
              </w:rPr>
              <w:t>by way, or having similar commercial effect, of security for the payment of a debt, any other monetary obligation or the performance of any other obligation and includes any agreement to grant or create any of the above;</w:t>
            </w:r>
          </w:p>
        </w:tc>
        <w:tc>
          <w:tcPr>
            <w:tcW w:w="169" w:type="pct"/>
          </w:tcPr>
          <w:p w14:paraId="246FCB8E" w14:textId="77777777" w:rsidR="009E2802" w:rsidRPr="00A67277" w:rsidRDefault="009E2802" w:rsidP="00862B0B">
            <w:pPr>
              <w:spacing w:before="60" w:after="60"/>
              <w:rPr>
                <w:rFonts w:ascii="Arial" w:hAnsi="Arial" w:cs="Arial"/>
                <w:sz w:val="21"/>
                <w:szCs w:val="21"/>
              </w:rPr>
            </w:pPr>
          </w:p>
        </w:tc>
        <w:tc>
          <w:tcPr>
            <w:tcW w:w="2561" w:type="pct"/>
            <w:gridSpan w:val="2"/>
          </w:tcPr>
          <w:p w14:paraId="6FE0DB8D" w14:textId="77777777" w:rsidR="009E2802" w:rsidRPr="00A67277" w:rsidRDefault="009E2802" w:rsidP="00862B0B">
            <w:pPr>
              <w:pStyle w:val="Body2"/>
              <w:spacing w:before="60" w:after="60"/>
              <w:ind w:left="878"/>
              <w:rPr>
                <w:rFonts w:cs="Arial"/>
              </w:rPr>
            </w:pPr>
            <w:r w:rsidRPr="00A67277">
              <w:rPr>
                <w:rFonts w:cs="Arial"/>
              </w:rPr>
              <w:t>dengan cara, atau dengan dampak komersial yang serupa, dari jaminan untuk pembayaran suatu hutang, segala kewajiban moneter lainnya atau pelaksanaan dari kewajiban lainnya dan termasuk perjanjian untuk memberikan atau menciptakan hal tersebut di atas;</w:t>
            </w:r>
          </w:p>
        </w:tc>
      </w:tr>
      <w:tr w:rsidR="009E2802" w:rsidRPr="00A67277" w14:paraId="230A0F13" w14:textId="77777777" w:rsidTr="00862B0B">
        <w:tc>
          <w:tcPr>
            <w:tcW w:w="2270" w:type="pct"/>
          </w:tcPr>
          <w:p w14:paraId="0A217018" w14:textId="77777777" w:rsidR="009E2802" w:rsidRPr="00A67277" w:rsidRDefault="009E2802" w:rsidP="00862B0B">
            <w:pPr>
              <w:pStyle w:val="Body2"/>
              <w:spacing w:before="60" w:after="60"/>
              <w:ind w:left="851"/>
              <w:rPr>
                <w:rFonts w:cs="Arial"/>
              </w:rPr>
            </w:pPr>
            <w:r w:rsidRPr="00A67277">
              <w:rPr>
                <w:rFonts w:cs="Arial"/>
                <w:b/>
              </w:rPr>
              <w:t>EPC Contract</w:t>
            </w:r>
            <w:r w:rsidRPr="00A67277">
              <w:rPr>
                <w:rFonts w:cs="Arial"/>
              </w:rPr>
              <w:t xml:space="preserve"> means the contract made between the IBE and the EPC Contractor;</w:t>
            </w:r>
          </w:p>
        </w:tc>
        <w:tc>
          <w:tcPr>
            <w:tcW w:w="169" w:type="pct"/>
          </w:tcPr>
          <w:p w14:paraId="3FD5FE4B" w14:textId="77777777" w:rsidR="009E2802" w:rsidRPr="00A67277" w:rsidRDefault="009E2802" w:rsidP="00862B0B">
            <w:pPr>
              <w:spacing w:before="60" w:after="60"/>
              <w:rPr>
                <w:rFonts w:ascii="Arial" w:hAnsi="Arial" w:cs="Arial"/>
                <w:sz w:val="21"/>
                <w:szCs w:val="21"/>
              </w:rPr>
            </w:pPr>
          </w:p>
        </w:tc>
        <w:tc>
          <w:tcPr>
            <w:tcW w:w="2561" w:type="pct"/>
            <w:gridSpan w:val="2"/>
          </w:tcPr>
          <w:p w14:paraId="0F895838" w14:textId="77777777" w:rsidR="009E2802" w:rsidRPr="00A67277" w:rsidRDefault="009E2802" w:rsidP="00862B0B">
            <w:pPr>
              <w:pStyle w:val="Body2"/>
              <w:spacing w:before="60" w:after="60"/>
              <w:ind w:left="878"/>
              <w:rPr>
                <w:rFonts w:cs="Arial"/>
              </w:rPr>
            </w:pPr>
            <w:r w:rsidRPr="00A67277">
              <w:rPr>
                <w:rFonts w:cs="Arial"/>
                <w:b/>
              </w:rPr>
              <w:t>Kontrak EPC</w:t>
            </w:r>
            <w:r w:rsidRPr="00A67277">
              <w:rPr>
                <w:rFonts w:cs="Arial"/>
              </w:rPr>
              <w:t xml:space="preserve"> berarti kontrak yang dibuat antara BUP dan Kontraktor EPC;</w:t>
            </w:r>
          </w:p>
        </w:tc>
      </w:tr>
      <w:tr w:rsidR="009E2802" w:rsidRPr="00A67277" w14:paraId="7008355A" w14:textId="77777777" w:rsidTr="00862B0B">
        <w:tc>
          <w:tcPr>
            <w:tcW w:w="2270" w:type="pct"/>
          </w:tcPr>
          <w:p w14:paraId="53F0FE41" w14:textId="77777777" w:rsidR="009E2802" w:rsidRPr="00A67277" w:rsidRDefault="009E2802" w:rsidP="00862B0B">
            <w:pPr>
              <w:pStyle w:val="Body2"/>
              <w:spacing w:before="60" w:after="60"/>
              <w:ind w:left="851"/>
              <w:rPr>
                <w:rFonts w:cs="Arial"/>
              </w:rPr>
            </w:pPr>
            <w:r w:rsidRPr="00A67277">
              <w:rPr>
                <w:rFonts w:cs="Arial"/>
                <w:b/>
              </w:rPr>
              <w:t>EPC Contractor</w:t>
            </w:r>
            <w:r w:rsidRPr="00A67277">
              <w:rPr>
                <w:rFonts w:cs="Arial"/>
              </w:rPr>
              <w:t xml:space="preserve"> means the contractor engaged by the IBE under the EPC Contract to undertake the design, engineering, procurement, construction, and testing of the Facility;</w:t>
            </w:r>
          </w:p>
          <w:p w14:paraId="5F56DFD9" w14:textId="77777777" w:rsidR="009E2802" w:rsidRPr="00A67277" w:rsidRDefault="009E2802" w:rsidP="00862B0B">
            <w:pPr>
              <w:spacing w:before="60" w:after="60"/>
              <w:jc w:val="center"/>
              <w:rPr>
                <w:rFonts w:ascii="Arial" w:hAnsi="Arial" w:cs="Arial"/>
                <w:sz w:val="21"/>
                <w:szCs w:val="21"/>
              </w:rPr>
            </w:pPr>
          </w:p>
        </w:tc>
        <w:tc>
          <w:tcPr>
            <w:tcW w:w="169" w:type="pct"/>
          </w:tcPr>
          <w:p w14:paraId="22D678AD" w14:textId="77777777" w:rsidR="009E2802" w:rsidRPr="00A67277" w:rsidRDefault="009E2802" w:rsidP="00862B0B">
            <w:pPr>
              <w:spacing w:before="60" w:after="60"/>
              <w:rPr>
                <w:rFonts w:ascii="Arial" w:hAnsi="Arial" w:cs="Arial"/>
                <w:sz w:val="21"/>
                <w:szCs w:val="21"/>
              </w:rPr>
            </w:pPr>
          </w:p>
        </w:tc>
        <w:tc>
          <w:tcPr>
            <w:tcW w:w="2561" w:type="pct"/>
            <w:gridSpan w:val="2"/>
          </w:tcPr>
          <w:p w14:paraId="18E04D75" w14:textId="77777777" w:rsidR="009E2802" w:rsidRPr="00A67277" w:rsidRDefault="009E2802" w:rsidP="00862B0B">
            <w:pPr>
              <w:pStyle w:val="Body2"/>
              <w:spacing w:before="60" w:after="60"/>
              <w:ind w:left="878"/>
              <w:rPr>
                <w:rFonts w:cs="Arial"/>
              </w:rPr>
            </w:pPr>
            <w:r w:rsidRPr="00A67277">
              <w:rPr>
                <w:rFonts w:cs="Arial"/>
                <w:b/>
              </w:rPr>
              <w:t>Kontraktor EPC</w:t>
            </w:r>
            <w:r w:rsidRPr="00A67277">
              <w:rPr>
                <w:rFonts w:cs="Arial"/>
              </w:rPr>
              <w:t xml:space="preserve"> berarti kontraktor yang dilibatkan oleh BUP berdasarkan Kontrak EPC untuk melaksanakan desain, rekayasa, pengadaan, konstruksi, dan pengujian dari Fasilitas;</w:t>
            </w:r>
          </w:p>
        </w:tc>
      </w:tr>
      <w:tr w:rsidR="009E2802" w:rsidRPr="00A67277" w14:paraId="18A32B81" w14:textId="77777777" w:rsidTr="00862B0B">
        <w:tc>
          <w:tcPr>
            <w:tcW w:w="2270" w:type="pct"/>
          </w:tcPr>
          <w:p w14:paraId="05F3B236" w14:textId="2B1F4DA4" w:rsidR="009E2802" w:rsidRPr="00A67277" w:rsidRDefault="009E2802" w:rsidP="00862B0B">
            <w:pPr>
              <w:pStyle w:val="Body2"/>
              <w:spacing w:before="60" w:after="60"/>
              <w:ind w:left="851"/>
              <w:rPr>
                <w:rFonts w:cs="Arial"/>
              </w:rPr>
            </w:pPr>
            <w:r w:rsidRPr="00A67277">
              <w:rPr>
                <w:rFonts w:cs="Arial"/>
                <w:b/>
              </w:rPr>
              <w:t xml:space="preserve">Equity </w:t>
            </w:r>
            <w:r w:rsidRPr="00A67277">
              <w:rPr>
                <w:rFonts w:cs="Arial"/>
              </w:rPr>
              <w:t>means the capital of the IBE attributable to the Shareholders or their Affiliates in respect of their investment in the IBE (including share capital, Shareholder Loans and Equity Bridg</w:t>
            </w:r>
            <w:r>
              <w:rPr>
                <w:rFonts w:cs="Arial"/>
              </w:rPr>
              <w:t>ing</w:t>
            </w:r>
            <w:r w:rsidRPr="00A67277">
              <w:rPr>
                <w:rFonts w:cs="Arial"/>
              </w:rPr>
              <w:t xml:space="preserve"> Loans).  For the purpose of this definition, Equity Bridg</w:t>
            </w:r>
            <w:r>
              <w:rPr>
                <w:rFonts w:cs="Arial"/>
              </w:rPr>
              <w:t>ing</w:t>
            </w:r>
            <w:r w:rsidRPr="00A67277">
              <w:rPr>
                <w:rFonts w:cs="Arial"/>
              </w:rPr>
              <w:t xml:space="preserve"> Loans</w:t>
            </w:r>
            <w:r w:rsidRPr="00A67277">
              <w:rPr>
                <w:rFonts w:cs="Arial"/>
                <w:b/>
              </w:rPr>
              <w:t xml:space="preserve"> </w:t>
            </w:r>
            <w:r w:rsidRPr="00A67277">
              <w:rPr>
                <w:rFonts w:cs="Arial"/>
              </w:rPr>
              <w:t xml:space="preserve">means indebtedness for principal borrowed by the IBE from a third party (whether or not guaranteed by a Sponsor or Affiliate of a Sponsor) which by its terms is subordinated to any indebtedness for borrowed money incurred by </w:t>
            </w:r>
            <w:r w:rsidRPr="00A67277">
              <w:rPr>
                <w:rFonts w:cs="Arial"/>
              </w:rPr>
              <w:lastRenderedPageBreak/>
              <w:t>the IBE under any Financing Document;</w:t>
            </w:r>
          </w:p>
        </w:tc>
        <w:tc>
          <w:tcPr>
            <w:tcW w:w="169" w:type="pct"/>
          </w:tcPr>
          <w:p w14:paraId="71088679" w14:textId="77777777" w:rsidR="009E2802" w:rsidRPr="00A67277" w:rsidRDefault="009E2802" w:rsidP="00862B0B">
            <w:pPr>
              <w:spacing w:before="60" w:after="60"/>
              <w:rPr>
                <w:rFonts w:ascii="Arial" w:hAnsi="Arial" w:cs="Arial"/>
                <w:sz w:val="21"/>
                <w:szCs w:val="21"/>
              </w:rPr>
            </w:pPr>
          </w:p>
        </w:tc>
        <w:tc>
          <w:tcPr>
            <w:tcW w:w="2561" w:type="pct"/>
            <w:gridSpan w:val="2"/>
          </w:tcPr>
          <w:p w14:paraId="6F1BCD62" w14:textId="77777777" w:rsidR="009E2802" w:rsidRPr="00A67277" w:rsidRDefault="009E2802" w:rsidP="00862B0B">
            <w:pPr>
              <w:pStyle w:val="Body2"/>
              <w:spacing w:before="60" w:after="60"/>
              <w:ind w:left="878"/>
              <w:rPr>
                <w:rFonts w:cs="Arial"/>
              </w:rPr>
            </w:pPr>
            <w:r w:rsidRPr="00A67277">
              <w:rPr>
                <w:rFonts w:cs="Arial"/>
                <w:b/>
              </w:rPr>
              <w:t xml:space="preserve">Ekuitas </w:t>
            </w:r>
            <w:r w:rsidRPr="00A67277">
              <w:rPr>
                <w:rFonts w:cs="Arial"/>
              </w:rPr>
              <w:t>berarti</w:t>
            </w:r>
            <w:r w:rsidRPr="00A67277">
              <w:rPr>
                <w:rFonts w:cs="Arial"/>
                <w:b/>
              </w:rPr>
              <w:t xml:space="preserve"> </w:t>
            </w:r>
            <w:r w:rsidRPr="00A67277">
              <w:rPr>
                <w:rFonts w:cs="Arial"/>
              </w:rPr>
              <w:t>modal dari BUP yang berasal dari Pemegang Saham atau Afiliasi mereka sehubungan dengan investasi mereka di dalam BUP (termasuk modal saham, Pinjaman Pemegang Saham dan Pinjaman Talangan Ekuitas).  Untuk tujuan definisi ini, Pinjaman Talangan Ekuitas berarti</w:t>
            </w:r>
            <w:r w:rsidRPr="00A67277">
              <w:rPr>
                <w:rFonts w:cs="Arial"/>
                <w:b/>
              </w:rPr>
              <w:t xml:space="preserve"> </w:t>
            </w:r>
            <w:r w:rsidRPr="00A67277">
              <w:rPr>
                <w:rFonts w:cs="Arial"/>
              </w:rPr>
              <w:t>hutang</w:t>
            </w:r>
            <w:r w:rsidRPr="00A67277">
              <w:rPr>
                <w:rFonts w:cs="Arial"/>
                <w:b/>
              </w:rPr>
              <w:t xml:space="preserve"> </w:t>
            </w:r>
            <w:r w:rsidRPr="00A67277">
              <w:rPr>
                <w:rFonts w:cs="Arial"/>
              </w:rPr>
              <w:t xml:space="preserve">pokok yang dipinjam oleh BUP dari pihak ketiga (baik yang dijamin maupun tidak dijamin oleh Sponsor atau Afiliasi dari Sponsor) yang mana berdasarkan ketentuannya adalah subordinasi dari segala hutang untuk pinjaman uang yang timbul oleh BUP berdasarkan setiap </w:t>
            </w:r>
            <w:r w:rsidRPr="00A67277">
              <w:rPr>
                <w:rFonts w:cs="Arial"/>
              </w:rPr>
              <w:lastRenderedPageBreak/>
              <w:t>Dokumen Pembiayaan;</w:t>
            </w:r>
          </w:p>
        </w:tc>
      </w:tr>
      <w:tr w:rsidR="009E2802" w:rsidRPr="00A67277" w14:paraId="259E1A5E" w14:textId="77777777" w:rsidTr="00862B0B">
        <w:tc>
          <w:tcPr>
            <w:tcW w:w="2270" w:type="pct"/>
          </w:tcPr>
          <w:p w14:paraId="46C8B3ED" w14:textId="77777777" w:rsidR="009E2802" w:rsidRPr="00A67277" w:rsidRDefault="009E2802" w:rsidP="00862B0B">
            <w:pPr>
              <w:pStyle w:val="Body2"/>
              <w:spacing w:before="60" w:after="60"/>
              <w:ind w:left="851"/>
              <w:rPr>
                <w:rFonts w:cs="Arial"/>
              </w:rPr>
            </w:pPr>
            <w:r w:rsidRPr="00A67277">
              <w:rPr>
                <w:rFonts w:cs="Arial"/>
                <w:b/>
              </w:rPr>
              <w:lastRenderedPageBreak/>
              <w:t xml:space="preserve">Estimated Change in Project Cost </w:t>
            </w:r>
            <w:r w:rsidRPr="00A67277">
              <w:rPr>
                <w:rFonts w:cs="Arial"/>
              </w:rPr>
              <w:t>means the aggregate of:</w:t>
            </w:r>
          </w:p>
        </w:tc>
        <w:tc>
          <w:tcPr>
            <w:tcW w:w="169" w:type="pct"/>
          </w:tcPr>
          <w:p w14:paraId="1CAB708E" w14:textId="77777777" w:rsidR="009E2802" w:rsidRPr="00A67277" w:rsidRDefault="009E2802" w:rsidP="00862B0B">
            <w:pPr>
              <w:spacing w:before="60" w:after="60"/>
              <w:rPr>
                <w:rFonts w:ascii="Arial" w:hAnsi="Arial" w:cs="Arial"/>
                <w:sz w:val="21"/>
                <w:szCs w:val="21"/>
              </w:rPr>
            </w:pPr>
          </w:p>
        </w:tc>
        <w:tc>
          <w:tcPr>
            <w:tcW w:w="2561" w:type="pct"/>
            <w:gridSpan w:val="2"/>
          </w:tcPr>
          <w:p w14:paraId="7809A8D0" w14:textId="77777777" w:rsidR="009E2802" w:rsidRPr="00A67277" w:rsidRDefault="009E2802" w:rsidP="00862B0B">
            <w:pPr>
              <w:pStyle w:val="Body2"/>
              <w:spacing w:before="60" w:after="60"/>
              <w:ind w:left="878"/>
              <w:rPr>
                <w:rFonts w:cs="Arial"/>
              </w:rPr>
            </w:pPr>
            <w:r w:rsidRPr="00A67277">
              <w:rPr>
                <w:rFonts w:cs="Arial"/>
                <w:b/>
              </w:rPr>
              <w:t xml:space="preserve">Perkiraan Perubahan Terhadap Biaya Proyek </w:t>
            </w:r>
            <w:r w:rsidRPr="00A67277">
              <w:rPr>
                <w:rFonts w:cs="Arial"/>
              </w:rPr>
              <w:t>berarti</w:t>
            </w:r>
            <w:r w:rsidRPr="00A67277">
              <w:rPr>
                <w:rFonts w:cs="Arial"/>
                <w:b/>
              </w:rPr>
              <w:t xml:space="preserve"> </w:t>
            </w:r>
            <w:r w:rsidRPr="00A67277">
              <w:rPr>
                <w:rFonts w:cs="Arial"/>
              </w:rPr>
              <w:t>keseluruhan dari:</w:t>
            </w:r>
          </w:p>
        </w:tc>
      </w:tr>
      <w:tr w:rsidR="009E2802" w:rsidRPr="00A67277" w14:paraId="70D33B9F" w14:textId="77777777" w:rsidTr="00862B0B">
        <w:tc>
          <w:tcPr>
            <w:tcW w:w="2270" w:type="pct"/>
          </w:tcPr>
          <w:p w14:paraId="3D6643B8" w14:textId="76D6B9BE" w:rsidR="009E2802" w:rsidRPr="00A67277" w:rsidRDefault="009E2802" w:rsidP="00862B0B">
            <w:pPr>
              <w:pStyle w:val="ListParagraph"/>
              <w:numPr>
                <w:ilvl w:val="0"/>
                <w:numId w:val="179"/>
              </w:numPr>
              <w:spacing w:before="60" w:after="60" w:line="240" w:lineRule="auto"/>
              <w:ind w:left="1276" w:hanging="425"/>
              <w:rPr>
                <w:rFonts w:cs="Arial"/>
              </w:rPr>
            </w:pPr>
            <w:r w:rsidRPr="00A67277">
              <w:rPr>
                <w:rFonts w:cs="Arial"/>
              </w:rPr>
              <w:t xml:space="preserve">any estimated increase in construction costs, operating costs and financing costs and </w:t>
            </w:r>
            <w:r>
              <w:rPr>
                <w:rFonts w:cs="Arial"/>
              </w:rPr>
              <w:t>L</w:t>
            </w:r>
            <w:r w:rsidRPr="00A67277">
              <w:rPr>
                <w:rFonts w:cs="Arial"/>
              </w:rPr>
              <w:t>osses, which are not covered by the Required Insurances; less</w:t>
            </w:r>
          </w:p>
        </w:tc>
        <w:tc>
          <w:tcPr>
            <w:tcW w:w="169" w:type="pct"/>
          </w:tcPr>
          <w:p w14:paraId="1740ACD5" w14:textId="77777777" w:rsidR="009E2802" w:rsidRPr="00A67277" w:rsidRDefault="009E2802" w:rsidP="00862B0B">
            <w:pPr>
              <w:spacing w:before="60" w:after="60"/>
              <w:rPr>
                <w:rFonts w:ascii="Arial" w:hAnsi="Arial" w:cs="Arial"/>
                <w:sz w:val="21"/>
                <w:szCs w:val="21"/>
              </w:rPr>
            </w:pPr>
          </w:p>
        </w:tc>
        <w:tc>
          <w:tcPr>
            <w:tcW w:w="2561" w:type="pct"/>
            <w:gridSpan w:val="2"/>
          </w:tcPr>
          <w:p w14:paraId="273329B1" w14:textId="39481F1C" w:rsidR="009E2802" w:rsidRPr="00A67277" w:rsidRDefault="009E2802" w:rsidP="00862B0B">
            <w:pPr>
              <w:pStyle w:val="Body2"/>
              <w:numPr>
                <w:ilvl w:val="0"/>
                <w:numId w:val="215"/>
              </w:numPr>
              <w:spacing w:before="60" w:after="60"/>
              <w:ind w:left="1260" w:hanging="425"/>
              <w:rPr>
                <w:rFonts w:cs="Arial"/>
                <w:b/>
              </w:rPr>
            </w:pPr>
            <w:r w:rsidRPr="00A67277">
              <w:rPr>
                <w:rFonts w:cs="Arial"/>
              </w:rPr>
              <w:t xml:space="preserve">segala </w:t>
            </w:r>
            <w:r>
              <w:rPr>
                <w:rFonts w:cs="Arial"/>
              </w:rPr>
              <w:t>kenaikan</w:t>
            </w:r>
            <w:r w:rsidRPr="00A67277">
              <w:rPr>
                <w:rFonts w:cs="Arial"/>
              </w:rPr>
              <w:t xml:space="preserve"> yang diperkirakan dalam biaya konstruksi, biaya operasi dan biaya pembiayaan dan Kerugian, yang tidak tercakup oleh Asuransi Yang Disyaratkan; dikurangi</w:t>
            </w:r>
          </w:p>
        </w:tc>
      </w:tr>
      <w:tr w:rsidR="009E2802" w:rsidRPr="00A67277" w14:paraId="789FAF0F" w14:textId="77777777" w:rsidTr="00862B0B">
        <w:tc>
          <w:tcPr>
            <w:tcW w:w="2270" w:type="pct"/>
          </w:tcPr>
          <w:p w14:paraId="72A3382C" w14:textId="7C8DF48F" w:rsidR="009E2802" w:rsidRPr="00A67277" w:rsidRDefault="009E2802" w:rsidP="00862B0B">
            <w:pPr>
              <w:pStyle w:val="ListParagraph"/>
              <w:numPr>
                <w:ilvl w:val="0"/>
                <w:numId w:val="179"/>
              </w:numPr>
              <w:spacing w:before="60" w:after="60" w:line="240" w:lineRule="auto"/>
              <w:ind w:left="1276" w:hanging="425"/>
              <w:rPr>
                <w:rFonts w:cs="Arial"/>
              </w:rPr>
            </w:pPr>
            <w:r w:rsidRPr="00A67277">
              <w:rPr>
                <w:rFonts w:cs="Arial"/>
              </w:rPr>
              <w:t>the aggregate of any estimated reduction in construction costs, operating costs and financing costs and Losses which are not covered by the Required Insurances.</w:t>
            </w:r>
          </w:p>
        </w:tc>
        <w:tc>
          <w:tcPr>
            <w:tcW w:w="169" w:type="pct"/>
          </w:tcPr>
          <w:p w14:paraId="7AAEE219" w14:textId="77777777" w:rsidR="009E2802" w:rsidRPr="00A67277" w:rsidRDefault="009E2802" w:rsidP="00862B0B">
            <w:pPr>
              <w:spacing w:before="60" w:after="60"/>
              <w:rPr>
                <w:rFonts w:ascii="Arial" w:hAnsi="Arial" w:cs="Arial"/>
                <w:sz w:val="21"/>
                <w:szCs w:val="21"/>
              </w:rPr>
            </w:pPr>
          </w:p>
        </w:tc>
        <w:tc>
          <w:tcPr>
            <w:tcW w:w="2561" w:type="pct"/>
            <w:gridSpan w:val="2"/>
          </w:tcPr>
          <w:p w14:paraId="2224CB80" w14:textId="77777777" w:rsidR="009E2802" w:rsidRPr="00A67277" w:rsidRDefault="009E2802" w:rsidP="00862B0B">
            <w:pPr>
              <w:pStyle w:val="Body2"/>
              <w:numPr>
                <w:ilvl w:val="0"/>
                <w:numId w:val="215"/>
              </w:numPr>
              <w:spacing w:before="60" w:after="60"/>
              <w:ind w:left="1260" w:hanging="425"/>
              <w:rPr>
                <w:rFonts w:cs="Arial"/>
                <w:b/>
              </w:rPr>
            </w:pPr>
            <w:r w:rsidRPr="00A67277">
              <w:rPr>
                <w:rFonts w:cs="Arial"/>
              </w:rPr>
              <w:t>keseluruhan dari pengurangan yang diperkirakan dalam biaya konstruksi, biaya operasi dan biaya pembiayaan dan Kerugian, yang tidak tercakup oleh Asuransi Yang Disyaratkan.</w:t>
            </w:r>
          </w:p>
        </w:tc>
      </w:tr>
      <w:tr w:rsidR="009E2802" w:rsidRPr="00A67277" w14:paraId="1B564DF4" w14:textId="77777777" w:rsidTr="00862B0B">
        <w:tc>
          <w:tcPr>
            <w:tcW w:w="2270" w:type="pct"/>
          </w:tcPr>
          <w:p w14:paraId="210BD02E" w14:textId="78B34C95" w:rsidR="009E2802" w:rsidRPr="00A67277" w:rsidRDefault="009E2802" w:rsidP="00862B0B">
            <w:pPr>
              <w:pStyle w:val="Body2"/>
              <w:spacing w:before="60" w:after="60"/>
              <w:ind w:left="851"/>
              <w:rPr>
                <w:rFonts w:cs="Arial"/>
              </w:rPr>
            </w:pPr>
            <w:r w:rsidRPr="00A67277">
              <w:rPr>
                <w:rFonts w:cs="Arial"/>
                <w:b/>
              </w:rPr>
              <w:t xml:space="preserve">Event of Government Action or Inaction </w:t>
            </w:r>
            <w:r w:rsidRPr="00A67277">
              <w:rPr>
                <w:rFonts w:cs="Arial"/>
              </w:rPr>
              <w:t>means any action or failure to act without justifiable cause by any Governmental Instrumentality (including any action or failure to act without justifiable cause by any duly authorised agent of any such Governmental Instrumentality), affecting the IBE, any Contractor or the Project, including without limitation:</w:t>
            </w:r>
          </w:p>
        </w:tc>
        <w:tc>
          <w:tcPr>
            <w:tcW w:w="169" w:type="pct"/>
          </w:tcPr>
          <w:p w14:paraId="5D3E46C2" w14:textId="77777777" w:rsidR="009E2802" w:rsidRPr="00A67277" w:rsidRDefault="009E2802" w:rsidP="00862B0B">
            <w:pPr>
              <w:spacing w:before="60" w:after="60"/>
              <w:rPr>
                <w:rFonts w:ascii="Arial" w:hAnsi="Arial" w:cs="Arial"/>
                <w:sz w:val="21"/>
                <w:szCs w:val="21"/>
              </w:rPr>
            </w:pPr>
          </w:p>
        </w:tc>
        <w:tc>
          <w:tcPr>
            <w:tcW w:w="2561" w:type="pct"/>
            <w:gridSpan w:val="2"/>
          </w:tcPr>
          <w:p w14:paraId="392D5658" w14:textId="118DF940" w:rsidR="009E2802" w:rsidRPr="00A67277" w:rsidRDefault="009E2802" w:rsidP="00862B0B">
            <w:pPr>
              <w:pStyle w:val="Body2"/>
              <w:spacing w:before="60" w:after="60"/>
              <w:ind w:left="878"/>
              <w:rPr>
                <w:rFonts w:cs="Arial"/>
              </w:rPr>
            </w:pPr>
            <w:r w:rsidRPr="00A67277">
              <w:rPr>
                <w:rFonts w:cs="Arial"/>
                <w:b/>
              </w:rPr>
              <w:t xml:space="preserve">Peristiwa Tindakan atau Tidak Bertindaknya Pemerintah </w:t>
            </w:r>
            <w:r w:rsidRPr="00A67277">
              <w:rPr>
                <w:rFonts w:cs="Arial"/>
              </w:rPr>
              <w:t>berarti</w:t>
            </w:r>
            <w:r w:rsidRPr="00A67277">
              <w:rPr>
                <w:rFonts w:cs="Arial"/>
                <w:b/>
              </w:rPr>
              <w:t xml:space="preserve"> </w:t>
            </w:r>
            <w:r w:rsidRPr="00A67277">
              <w:rPr>
                <w:rFonts w:cs="Arial"/>
              </w:rPr>
              <w:t>segala</w:t>
            </w:r>
            <w:r w:rsidRPr="00A67277">
              <w:rPr>
                <w:rFonts w:cs="Arial"/>
                <w:b/>
              </w:rPr>
              <w:t xml:space="preserve"> </w:t>
            </w:r>
            <w:r w:rsidRPr="00A67277">
              <w:rPr>
                <w:rFonts w:cs="Arial"/>
              </w:rPr>
              <w:t>tindakan</w:t>
            </w:r>
            <w:r w:rsidRPr="00A67277">
              <w:rPr>
                <w:rFonts w:cs="Arial"/>
                <w:b/>
              </w:rPr>
              <w:t xml:space="preserve"> </w:t>
            </w:r>
            <w:r w:rsidRPr="00A67277">
              <w:rPr>
                <w:rFonts w:cs="Arial"/>
              </w:rPr>
              <w:t xml:space="preserve">atau kegagalan untuk bertindak tanpa penyebab yang dapat dibenarkan oleh </w:t>
            </w:r>
            <w:bookmarkStart w:id="20" w:name="_cp_text_1_293"/>
            <w:r w:rsidRPr="00A67277">
              <w:rPr>
                <w:rFonts w:cs="Arial"/>
              </w:rPr>
              <w:t xml:space="preserve">satupun Lembaga Pemerintahan </w:t>
            </w:r>
            <w:bookmarkEnd w:id="20"/>
            <w:r w:rsidRPr="00A67277">
              <w:rPr>
                <w:rFonts w:cs="Arial"/>
              </w:rPr>
              <w:t>(termasuk segala tindakan atau kegagalan untuk bertindak tanpa penyebab yang dapat dibenarkan oleh wakil yang diberikan wewenang dari Lembaga Pemerintahan tersebut), yang mempengaruhi BUP, setiap Kontraktor atau Proyek, termasuk namun tidak terbatas:</w:t>
            </w:r>
          </w:p>
        </w:tc>
      </w:tr>
      <w:tr w:rsidR="009E2802" w:rsidRPr="00A67277" w14:paraId="118E341B" w14:textId="77777777" w:rsidTr="00862B0B">
        <w:tc>
          <w:tcPr>
            <w:tcW w:w="2270" w:type="pct"/>
          </w:tcPr>
          <w:p w14:paraId="58F95744" w14:textId="20442A6F" w:rsidR="009E2802" w:rsidRPr="00A67277" w:rsidRDefault="009E2802" w:rsidP="00862B0B">
            <w:pPr>
              <w:pStyle w:val="ListParagraph"/>
              <w:numPr>
                <w:ilvl w:val="0"/>
                <w:numId w:val="180"/>
              </w:numPr>
              <w:spacing w:before="60" w:after="60" w:line="240" w:lineRule="auto"/>
              <w:rPr>
                <w:rFonts w:cs="Arial"/>
              </w:rPr>
            </w:pPr>
            <w:r w:rsidRPr="00A67277">
              <w:rPr>
                <w:rFonts w:cs="Arial"/>
              </w:rPr>
              <w:t>the denial of, or delay in, the granting of any Authorisation notwithstanding the due and timely application therefore and diligent effort by the applicant to obtain such Authorisation;</w:t>
            </w:r>
          </w:p>
        </w:tc>
        <w:tc>
          <w:tcPr>
            <w:tcW w:w="169" w:type="pct"/>
          </w:tcPr>
          <w:p w14:paraId="7095AC6F" w14:textId="77777777" w:rsidR="009E2802" w:rsidRPr="00A67277" w:rsidRDefault="009E2802" w:rsidP="00862B0B">
            <w:pPr>
              <w:spacing w:before="60" w:after="60"/>
              <w:rPr>
                <w:rFonts w:ascii="Arial" w:hAnsi="Arial" w:cs="Arial"/>
                <w:sz w:val="21"/>
                <w:szCs w:val="21"/>
              </w:rPr>
            </w:pPr>
          </w:p>
        </w:tc>
        <w:tc>
          <w:tcPr>
            <w:tcW w:w="2561" w:type="pct"/>
            <w:gridSpan w:val="2"/>
          </w:tcPr>
          <w:p w14:paraId="39050B45" w14:textId="77777777" w:rsidR="009E2802" w:rsidRPr="00A67277" w:rsidRDefault="009E2802" w:rsidP="00862B0B">
            <w:pPr>
              <w:pStyle w:val="Body2"/>
              <w:numPr>
                <w:ilvl w:val="0"/>
                <w:numId w:val="216"/>
              </w:numPr>
              <w:spacing w:before="60" w:after="60"/>
              <w:ind w:hanging="403"/>
              <w:rPr>
                <w:rFonts w:cs="Arial"/>
                <w:b/>
              </w:rPr>
            </w:pPr>
            <w:r w:rsidRPr="00A67277">
              <w:rPr>
                <w:rFonts w:cs="Arial"/>
              </w:rPr>
              <w:t>penyangkalan dari, atau keterlambatan dalam, pemberian segala Persetujuan walaupun telah dilakukannya pengajuan yang tepat waktu daripadanya dan usaha yang teliti dari pemohon untuk mendapatkan Persetujuan tersebut;</w:t>
            </w:r>
          </w:p>
        </w:tc>
      </w:tr>
      <w:tr w:rsidR="009E2802" w:rsidRPr="00A67277" w14:paraId="4EDEDFC4" w14:textId="77777777" w:rsidTr="00862B0B">
        <w:tc>
          <w:tcPr>
            <w:tcW w:w="2270" w:type="pct"/>
          </w:tcPr>
          <w:p w14:paraId="1771A1B7" w14:textId="43D0DA2B" w:rsidR="009E2802" w:rsidRPr="00A67277" w:rsidRDefault="009E2802" w:rsidP="00862B0B">
            <w:pPr>
              <w:pStyle w:val="ListParagraph"/>
              <w:numPr>
                <w:ilvl w:val="0"/>
                <w:numId w:val="180"/>
              </w:numPr>
              <w:spacing w:before="60" w:after="60" w:line="240" w:lineRule="auto"/>
              <w:rPr>
                <w:rFonts w:cs="Arial"/>
              </w:rPr>
            </w:pPr>
            <w:r w:rsidRPr="00A67277">
              <w:rPr>
                <w:rFonts w:cs="Arial"/>
              </w:rPr>
              <w:t xml:space="preserve">any Authorisation, once granted, ceasing to remain in full force and effect or failing to be renewed on substantially similar terms </w:t>
            </w:r>
            <w:r w:rsidRPr="00A67277">
              <w:rPr>
                <w:rFonts w:cs="Arial"/>
              </w:rPr>
              <w:lastRenderedPageBreak/>
              <w:t>notwithstanding the due and timely application there</w:t>
            </w:r>
            <w:r>
              <w:rPr>
                <w:rFonts w:cs="Arial"/>
              </w:rPr>
              <w:t>of</w:t>
            </w:r>
            <w:r w:rsidRPr="00A67277">
              <w:rPr>
                <w:rFonts w:cs="Arial"/>
              </w:rPr>
              <w:t xml:space="preserve"> and diligent effort by the applicant to obtain the maintenance or renewal of such Authorisation; or</w:t>
            </w:r>
          </w:p>
        </w:tc>
        <w:tc>
          <w:tcPr>
            <w:tcW w:w="169" w:type="pct"/>
          </w:tcPr>
          <w:p w14:paraId="7D559BE7" w14:textId="77777777" w:rsidR="009E2802" w:rsidRPr="00A67277" w:rsidRDefault="009E2802" w:rsidP="00862B0B">
            <w:pPr>
              <w:spacing w:before="60" w:after="60"/>
              <w:rPr>
                <w:rFonts w:ascii="Arial" w:hAnsi="Arial" w:cs="Arial"/>
                <w:sz w:val="21"/>
                <w:szCs w:val="21"/>
              </w:rPr>
            </w:pPr>
          </w:p>
        </w:tc>
        <w:tc>
          <w:tcPr>
            <w:tcW w:w="2561" w:type="pct"/>
            <w:gridSpan w:val="2"/>
          </w:tcPr>
          <w:p w14:paraId="584AF67C" w14:textId="77777777" w:rsidR="009E2802" w:rsidRPr="00A67277" w:rsidRDefault="009E2802" w:rsidP="00862B0B">
            <w:pPr>
              <w:pStyle w:val="Body2"/>
              <w:numPr>
                <w:ilvl w:val="0"/>
                <w:numId w:val="216"/>
              </w:numPr>
              <w:spacing w:before="60" w:after="60"/>
              <w:ind w:left="1303" w:right="27" w:hanging="425"/>
              <w:rPr>
                <w:rFonts w:cs="Arial"/>
                <w:b/>
              </w:rPr>
            </w:pPr>
            <w:r w:rsidRPr="00A67277">
              <w:rPr>
                <w:rFonts w:cs="Arial"/>
              </w:rPr>
              <w:t xml:space="preserve">segala Persetujuan, yang telah diberikan, tidak lagi berlaku dengan kekuatan penuh dan gagal untuk diperbaharui dengan </w:t>
            </w:r>
            <w:r w:rsidRPr="00A67277">
              <w:rPr>
                <w:rFonts w:cs="Arial"/>
              </w:rPr>
              <w:lastRenderedPageBreak/>
              <w:t>ketentuan yang secara substansi serupa walaupun telah dilakukannya pengajuan yang tepat waktu daripadanya dan usaha yang teliti dari pemohon untuk mendapatkan keberlanjutan atau pembaharuan dari Persetujuan tersebut;</w:t>
            </w:r>
          </w:p>
        </w:tc>
      </w:tr>
      <w:tr w:rsidR="009E2802" w:rsidRPr="00A67277" w14:paraId="04DCEA03" w14:textId="77777777" w:rsidTr="00862B0B">
        <w:tc>
          <w:tcPr>
            <w:tcW w:w="2270" w:type="pct"/>
          </w:tcPr>
          <w:p w14:paraId="573B518C" w14:textId="77777777" w:rsidR="009E2802" w:rsidRPr="00A67277" w:rsidRDefault="009E2802" w:rsidP="00862B0B">
            <w:pPr>
              <w:pStyle w:val="ListParagraph"/>
              <w:numPr>
                <w:ilvl w:val="0"/>
                <w:numId w:val="180"/>
              </w:numPr>
              <w:spacing w:before="60" w:after="60" w:line="240" w:lineRule="auto"/>
              <w:rPr>
                <w:rFonts w:cs="Arial"/>
              </w:rPr>
            </w:pPr>
            <w:r w:rsidRPr="00A67277">
              <w:rPr>
                <w:rFonts w:cs="Arial"/>
              </w:rPr>
              <w:lastRenderedPageBreak/>
              <w:t>any delay in the importation of equipment or supplies into the Republic of Indonesia resulting from any action or failure to act by any Governmental Instrumentality;</w:t>
            </w:r>
          </w:p>
        </w:tc>
        <w:tc>
          <w:tcPr>
            <w:tcW w:w="169" w:type="pct"/>
          </w:tcPr>
          <w:p w14:paraId="19B43E8E" w14:textId="77777777" w:rsidR="009E2802" w:rsidRPr="00A67277" w:rsidRDefault="009E2802" w:rsidP="00862B0B">
            <w:pPr>
              <w:spacing w:before="60" w:after="60"/>
              <w:rPr>
                <w:rFonts w:ascii="Arial" w:hAnsi="Arial" w:cs="Arial"/>
                <w:sz w:val="21"/>
                <w:szCs w:val="21"/>
              </w:rPr>
            </w:pPr>
          </w:p>
        </w:tc>
        <w:tc>
          <w:tcPr>
            <w:tcW w:w="2561" w:type="pct"/>
            <w:gridSpan w:val="2"/>
          </w:tcPr>
          <w:p w14:paraId="32D08722" w14:textId="77777777" w:rsidR="009E2802" w:rsidRPr="00A67277" w:rsidRDefault="009E2802" w:rsidP="00862B0B">
            <w:pPr>
              <w:pStyle w:val="Body2"/>
              <w:numPr>
                <w:ilvl w:val="0"/>
                <w:numId w:val="216"/>
              </w:numPr>
              <w:spacing w:before="60" w:after="60"/>
              <w:ind w:left="1303" w:right="27" w:hanging="425"/>
              <w:rPr>
                <w:rFonts w:cs="Arial"/>
                <w:b/>
              </w:rPr>
            </w:pPr>
            <w:r w:rsidRPr="00A67277">
              <w:rPr>
                <w:rFonts w:cs="Arial"/>
              </w:rPr>
              <w:t>segala keterlambatan dalam impor dari peralatan atau persediaan ke dalam Republik Indonesia yang disebabkan oleh segala tindakan atau kegagalan untuk bertindak oleh setiap Lembaga Pemerintahan manapun; atau</w:t>
            </w:r>
          </w:p>
        </w:tc>
      </w:tr>
      <w:tr w:rsidR="009E2802" w:rsidRPr="00A67277" w14:paraId="38665C3D" w14:textId="77777777" w:rsidTr="00862B0B">
        <w:tc>
          <w:tcPr>
            <w:tcW w:w="2270" w:type="pct"/>
          </w:tcPr>
          <w:p w14:paraId="2A0A3395" w14:textId="77777777" w:rsidR="009E2802" w:rsidRPr="00A67277" w:rsidRDefault="009E2802" w:rsidP="00862B0B">
            <w:pPr>
              <w:pStyle w:val="ListParagraph"/>
              <w:numPr>
                <w:ilvl w:val="0"/>
                <w:numId w:val="180"/>
              </w:numPr>
              <w:spacing w:before="60" w:after="60" w:line="240" w:lineRule="auto"/>
              <w:rPr>
                <w:rFonts w:cs="Arial"/>
              </w:rPr>
            </w:pPr>
            <w:r w:rsidRPr="00A67277">
              <w:rPr>
                <w:rFonts w:cs="Arial"/>
              </w:rPr>
              <w:t>any compulsory acquisition or expropriation or compulsory attachment by Government Instrumentality over the assets of the IBE or the share ownership in the IBE,</w:t>
            </w:r>
          </w:p>
        </w:tc>
        <w:tc>
          <w:tcPr>
            <w:tcW w:w="169" w:type="pct"/>
          </w:tcPr>
          <w:p w14:paraId="6469A156" w14:textId="77777777" w:rsidR="009E2802" w:rsidRPr="00A67277" w:rsidRDefault="009E2802" w:rsidP="00862B0B">
            <w:pPr>
              <w:spacing w:before="60" w:after="60"/>
              <w:rPr>
                <w:rFonts w:ascii="Arial" w:hAnsi="Arial" w:cs="Arial"/>
                <w:sz w:val="21"/>
                <w:szCs w:val="21"/>
              </w:rPr>
            </w:pPr>
          </w:p>
        </w:tc>
        <w:tc>
          <w:tcPr>
            <w:tcW w:w="2561" w:type="pct"/>
            <w:gridSpan w:val="2"/>
          </w:tcPr>
          <w:p w14:paraId="435F41A6" w14:textId="77777777" w:rsidR="009E2802" w:rsidRPr="00A67277" w:rsidRDefault="009E2802" w:rsidP="00862B0B">
            <w:pPr>
              <w:pStyle w:val="Body2"/>
              <w:numPr>
                <w:ilvl w:val="0"/>
                <w:numId w:val="216"/>
              </w:numPr>
              <w:spacing w:before="60" w:after="60"/>
              <w:ind w:left="1303" w:right="27" w:hanging="425"/>
              <w:rPr>
                <w:rFonts w:cs="Arial"/>
                <w:b/>
              </w:rPr>
            </w:pPr>
            <w:r w:rsidRPr="00A67277">
              <w:rPr>
                <w:rFonts w:cs="Arial"/>
              </w:rPr>
              <w:t>segala pengambilalihan, ekspropriasi atau pelekatan secara paksa oleh Lembaga Pemerintahan atas aset BUP atau kepemilikan saham dalam BUP,</w:t>
            </w:r>
          </w:p>
        </w:tc>
      </w:tr>
      <w:tr w:rsidR="009E2802" w:rsidRPr="00A67277" w14:paraId="485BA55D" w14:textId="77777777" w:rsidTr="00862B0B">
        <w:tc>
          <w:tcPr>
            <w:tcW w:w="2270" w:type="pct"/>
          </w:tcPr>
          <w:p w14:paraId="49ED6F52" w14:textId="77777777" w:rsidR="009E2802" w:rsidRPr="00A67277" w:rsidRDefault="009E2802" w:rsidP="00862B0B">
            <w:pPr>
              <w:pStyle w:val="Body2"/>
              <w:spacing w:before="60" w:after="60"/>
              <w:ind w:left="851"/>
              <w:rPr>
                <w:rFonts w:cs="Arial"/>
              </w:rPr>
            </w:pPr>
            <w:r w:rsidRPr="00A67277">
              <w:rPr>
                <w:rFonts w:cs="Arial"/>
              </w:rPr>
              <w:t>except to the extent such action or failure to act is the direct or indirect result of a failure by the IBE or any Contractor to:</w:t>
            </w:r>
          </w:p>
          <w:p w14:paraId="34D46A7E" w14:textId="77777777" w:rsidR="009E2802" w:rsidRPr="00A67277" w:rsidRDefault="009E2802" w:rsidP="00862B0B">
            <w:pPr>
              <w:spacing w:before="60" w:after="60"/>
              <w:rPr>
                <w:rFonts w:ascii="Arial" w:hAnsi="Arial" w:cs="Arial"/>
                <w:sz w:val="21"/>
                <w:szCs w:val="21"/>
              </w:rPr>
            </w:pPr>
          </w:p>
          <w:p w14:paraId="5406251C" w14:textId="77777777" w:rsidR="009E2802" w:rsidRPr="00A67277" w:rsidRDefault="009E2802" w:rsidP="00862B0B">
            <w:pPr>
              <w:spacing w:before="60" w:after="60"/>
              <w:jc w:val="center"/>
              <w:rPr>
                <w:rFonts w:ascii="Arial" w:hAnsi="Arial" w:cs="Arial"/>
                <w:sz w:val="21"/>
                <w:szCs w:val="21"/>
              </w:rPr>
            </w:pPr>
          </w:p>
        </w:tc>
        <w:tc>
          <w:tcPr>
            <w:tcW w:w="169" w:type="pct"/>
          </w:tcPr>
          <w:p w14:paraId="0ACA8C00" w14:textId="77777777" w:rsidR="009E2802" w:rsidRPr="00A67277" w:rsidRDefault="009E2802" w:rsidP="00862B0B">
            <w:pPr>
              <w:spacing w:before="60" w:after="60"/>
              <w:rPr>
                <w:rFonts w:ascii="Arial" w:hAnsi="Arial" w:cs="Arial"/>
                <w:sz w:val="21"/>
                <w:szCs w:val="21"/>
              </w:rPr>
            </w:pPr>
          </w:p>
        </w:tc>
        <w:tc>
          <w:tcPr>
            <w:tcW w:w="2561" w:type="pct"/>
            <w:gridSpan w:val="2"/>
          </w:tcPr>
          <w:p w14:paraId="176993E6" w14:textId="77777777" w:rsidR="009E2802" w:rsidRPr="00A67277" w:rsidRDefault="009E2802" w:rsidP="00862B0B">
            <w:pPr>
              <w:pStyle w:val="Body2"/>
              <w:spacing w:before="60" w:after="60"/>
              <w:ind w:left="878"/>
              <w:rPr>
                <w:rFonts w:cs="Arial"/>
              </w:rPr>
            </w:pPr>
            <w:r w:rsidRPr="00A67277">
              <w:rPr>
                <w:rFonts w:cs="Arial"/>
              </w:rPr>
              <w:t>kecuali sejauh tindakan atau kegagalan untuk bertindak tersebut merupakan akibat langsung atau tidak langsung dari kegagalan BUP atau Kontraktor untuk:</w:t>
            </w:r>
          </w:p>
        </w:tc>
      </w:tr>
      <w:tr w:rsidR="009E2802" w:rsidRPr="00A67277" w14:paraId="3DF3AC60" w14:textId="77777777" w:rsidTr="00862B0B">
        <w:tc>
          <w:tcPr>
            <w:tcW w:w="2270" w:type="pct"/>
          </w:tcPr>
          <w:p w14:paraId="7EE3AD35" w14:textId="77777777" w:rsidR="009E2802" w:rsidRPr="00A67277" w:rsidRDefault="009E2802" w:rsidP="00862B0B">
            <w:pPr>
              <w:pStyle w:val="Level5"/>
              <w:numPr>
                <w:ilvl w:val="4"/>
                <w:numId w:val="396"/>
              </w:numPr>
              <w:spacing w:before="60" w:after="60"/>
              <w:ind w:left="1276" w:hanging="425"/>
              <w:rPr>
                <w:rFonts w:cs="Arial"/>
              </w:rPr>
            </w:pPr>
            <w:r w:rsidRPr="00A67277">
              <w:rPr>
                <w:rFonts w:cs="Arial"/>
              </w:rPr>
              <w:t>perform or comply with any of its obligations under any of the Project Agreements; or</w:t>
            </w:r>
          </w:p>
        </w:tc>
        <w:tc>
          <w:tcPr>
            <w:tcW w:w="169" w:type="pct"/>
          </w:tcPr>
          <w:p w14:paraId="7F78D4F1" w14:textId="77777777" w:rsidR="009E2802" w:rsidRPr="00A67277" w:rsidRDefault="009E2802" w:rsidP="00862B0B">
            <w:pPr>
              <w:spacing w:before="60" w:after="60"/>
              <w:rPr>
                <w:rFonts w:ascii="Arial" w:hAnsi="Arial" w:cs="Arial"/>
                <w:sz w:val="21"/>
                <w:szCs w:val="21"/>
              </w:rPr>
            </w:pPr>
          </w:p>
        </w:tc>
        <w:tc>
          <w:tcPr>
            <w:tcW w:w="2561" w:type="pct"/>
            <w:gridSpan w:val="2"/>
          </w:tcPr>
          <w:p w14:paraId="598E2A25" w14:textId="77777777" w:rsidR="009E2802" w:rsidRPr="00A67277" w:rsidRDefault="009E2802" w:rsidP="00862B0B">
            <w:pPr>
              <w:pStyle w:val="Level5"/>
              <w:numPr>
                <w:ilvl w:val="4"/>
                <w:numId w:val="217"/>
              </w:numPr>
              <w:tabs>
                <w:tab w:val="clear" w:pos="2835"/>
                <w:tab w:val="num" w:pos="1260"/>
              </w:tabs>
              <w:spacing w:before="60" w:after="60"/>
              <w:ind w:left="1260" w:hanging="425"/>
              <w:rPr>
                <w:rFonts w:cs="Arial"/>
                <w:b/>
              </w:rPr>
            </w:pPr>
            <w:r w:rsidRPr="00A67277">
              <w:rPr>
                <w:rFonts w:cs="Arial"/>
              </w:rPr>
              <w:t>melaksanakan atau mematuhi segala kewajibannya berdasarkan Perjanjian Proyek; atau</w:t>
            </w:r>
          </w:p>
        </w:tc>
      </w:tr>
      <w:tr w:rsidR="009E2802" w:rsidRPr="00A67277" w14:paraId="4C470D92" w14:textId="77777777" w:rsidTr="00862B0B">
        <w:tc>
          <w:tcPr>
            <w:tcW w:w="2270" w:type="pct"/>
          </w:tcPr>
          <w:p w14:paraId="4828BE09" w14:textId="77777777" w:rsidR="009E2802" w:rsidRPr="00A67277" w:rsidRDefault="009E2802" w:rsidP="00862B0B">
            <w:pPr>
              <w:pStyle w:val="Level5"/>
              <w:numPr>
                <w:ilvl w:val="4"/>
                <w:numId w:val="396"/>
              </w:numPr>
              <w:spacing w:before="60" w:after="60"/>
              <w:ind w:left="1276" w:hanging="425"/>
              <w:rPr>
                <w:rFonts w:cs="Arial"/>
              </w:rPr>
            </w:pPr>
            <w:r w:rsidRPr="00A67277">
              <w:rPr>
                <w:rFonts w:cs="Arial"/>
              </w:rPr>
              <w:t>comply with any Laws and Authorisations and injunction or judgment applicable to it;</w:t>
            </w:r>
          </w:p>
        </w:tc>
        <w:tc>
          <w:tcPr>
            <w:tcW w:w="169" w:type="pct"/>
          </w:tcPr>
          <w:p w14:paraId="5E0F2CF8" w14:textId="77777777" w:rsidR="009E2802" w:rsidRPr="00A67277" w:rsidRDefault="009E2802" w:rsidP="00862B0B">
            <w:pPr>
              <w:spacing w:before="60" w:after="60"/>
              <w:rPr>
                <w:rFonts w:ascii="Arial" w:hAnsi="Arial" w:cs="Arial"/>
                <w:sz w:val="21"/>
                <w:szCs w:val="21"/>
              </w:rPr>
            </w:pPr>
          </w:p>
        </w:tc>
        <w:tc>
          <w:tcPr>
            <w:tcW w:w="2561" w:type="pct"/>
            <w:gridSpan w:val="2"/>
          </w:tcPr>
          <w:p w14:paraId="073D0DCC" w14:textId="77777777" w:rsidR="009E2802" w:rsidRPr="00A67277" w:rsidRDefault="009E2802" w:rsidP="00862B0B">
            <w:pPr>
              <w:pStyle w:val="Level5"/>
              <w:numPr>
                <w:ilvl w:val="4"/>
                <w:numId w:val="217"/>
              </w:numPr>
              <w:tabs>
                <w:tab w:val="clear" w:pos="2835"/>
                <w:tab w:val="num" w:pos="1260"/>
              </w:tabs>
              <w:spacing w:before="60" w:after="60"/>
              <w:ind w:left="1260" w:hanging="425"/>
              <w:rPr>
                <w:rFonts w:cs="Arial"/>
                <w:b/>
              </w:rPr>
            </w:pPr>
            <w:r w:rsidRPr="00A67277">
              <w:rPr>
                <w:rFonts w:cs="Arial"/>
              </w:rPr>
              <w:t>mematuhi segala Hukum dan Persetujuan-Persetujuan atau keputusan yang berlaku untuk BUP atau Kontraktor;</w:t>
            </w:r>
          </w:p>
        </w:tc>
      </w:tr>
      <w:tr w:rsidR="009E2802" w:rsidRPr="00A67277" w14:paraId="5220C2F5" w14:textId="77777777" w:rsidTr="00862B0B">
        <w:tc>
          <w:tcPr>
            <w:tcW w:w="2270" w:type="pct"/>
          </w:tcPr>
          <w:p w14:paraId="5CE0784C" w14:textId="77777777" w:rsidR="009E2802" w:rsidRPr="00A67277" w:rsidRDefault="009E2802" w:rsidP="00862B0B">
            <w:pPr>
              <w:pStyle w:val="Body2"/>
              <w:spacing w:before="60" w:after="60"/>
              <w:ind w:left="851"/>
              <w:rPr>
                <w:rFonts w:cs="Arial"/>
              </w:rPr>
            </w:pPr>
            <w:r w:rsidRPr="00A67277">
              <w:rPr>
                <w:rFonts w:cs="Arial"/>
                <w:b/>
              </w:rPr>
              <w:t>Expert Proceeding</w:t>
            </w:r>
            <w:r w:rsidRPr="00A67277">
              <w:rPr>
                <w:rFonts w:cs="Arial"/>
              </w:rPr>
              <w:t xml:space="preserve"> is defined in Clause 28.2(a)</w:t>
            </w:r>
            <w:r w:rsidRPr="00A67277">
              <w:rPr>
                <w:rFonts w:cs="Arial"/>
                <w:i/>
              </w:rPr>
              <w:t xml:space="preserve"> </w:t>
            </w:r>
            <w:r w:rsidRPr="00A67277">
              <w:rPr>
                <w:rFonts w:cs="Arial"/>
              </w:rPr>
              <w:t>(</w:t>
            </w:r>
            <w:r w:rsidRPr="00A67277">
              <w:rPr>
                <w:rFonts w:eastAsia="Times New Roman" w:cs="Arial"/>
                <w:i/>
              </w:rPr>
              <w:t>Referral to a</w:t>
            </w:r>
            <w:r w:rsidRPr="00A67277">
              <w:rPr>
                <w:rFonts w:cs="Arial"/>
                <w:i/>
              </w:rPr>
              <w:t xml:space="preserve"> Third Party Expert</w:t>
            </w:r>
            <w:r w:rsidRPr="00A67277">
              <w:rPr>
                <w:rFonts w:cs="Arial"/>
              </w:rPr>
              <w:t>);</w:t>
            </w:r>
          </w:p>
        </w:tc>
        <w:tc>
          <w:tcPr>
            <w:tcW w:w="169" w:type="pct"/>
          </w:tcPr>
          <w:p w14:paraId="2A73E8C8" w14:textId="77777777" w:rsidR="009E2802" w:rsidRPr="00A67277" w:rsidRDefault="009E2802" w:rsidP="00862B0B">
            <w:pPr>
              <w:spacing w:before="60" w:after="60"/>
              <w:rPr>
                <w:rFonts w:ascii="Arial" w:hAnsi="Arial" w:cs="Arial"/>
                <w:sz w:val="21"/>
                <w:szCs w:val="21"/>
              </w:rPr>
            </w:pPr>
          </w:p>
        </w:tc>
        <w:tc>
          <w:tcPr>
            <w:tcW w:w="2561" w:type="pct"/>
            <w:gridSpan w:val="2"/>
          </w:tcPr>
          <w:p w14:paraId="3BB60D15" w14:textId="77777777" w:rsidR="009E2802" w:rsidRPr="00A67277" w:rsidRDefault="009E2802" w:rsidP="00862B0B">
            <w:pPr>
              <w:pStyle w:val="Body2"/>
              <w:spacing w:before="60" w:after="60"/>
              <w:ind w:left="878"/>
              <w:rPr>
                <w:rFonts w:cs="Arial"/>
              </w:rPr>
            </w:pPr>
            <w:r w:rsidRPr="00A67277">
              <w:rPr>
                <w:rFonts w:cs="Arial"/>
                <w:b/>
              </w:rPr>
              <w:t>Proses Ahli</w:t>
            </w:r>
            <w:r w:rsidRPr="00A67277">
              <w:rPr>
                <w:rFonts w:cs="Arial"/>
              </w:rPr>
              <w:t xml:space="preserve"> didefinisikan dalam Pasal 28.2(a)</w:t>
            </w:r>
            <w:r w:rsidRPr="00A67277">
              <w:rPr>
                <w:rFonts w:cs="Arial"/>
                <w:i/>
              </w:rPr>
              <w:t xml:space="preserve"> </w:t>
            </w:r>
            <w:r w:rsidRPr="00A67277">
              <w:rPr>
                <w:rFonts w:cs="Arial"/>
              </w:rPr>
              <w:t>(</w:t>
            </w:r>
            <w:r w:rsidRPr="00A67277">
              <w:rPr>
                <w:rFonts w:eastAsia="Times New Roman" w:cs="Arial"/>
                <w:i/>
              </w:rPr>
              <w:t>Rujukan kepada</w:t>
            </w:r>
            <w:r w:rsidRPr="00A67277">
              <w:rPr>
                <w:rFonts w:cs="Arial"/>
                <w:i/>
              </w:rPr>
              <w:t xml:space="preserve"> Ahli Independen</w:t>
            </w:r>
            <w:r w:rsidRPr="00A67277">
              <w:rPr>
                <w:rFonts w:cs="Arial"/>
              </w:rPr>
              <w:t>);</w:t>
            </w:r>
          </w:p>
        </w:tc>
      </w:tr>
      <w:tr w:rsidR="009E2802" w:rsidRPr="00A67277" w14:paraId="0238F854" w14:textId="77777777" w:rsidTr="00862B0B">
        <w:tc>
          <w:tcPr>
            <w:tcW w:w="2270" w:type="pct"/>
          </w:tcPr>
          <w:p w14:paraId="4DE41329" w14:textId="77777777" w:rsidR="009E2802" w:rsidRPr="00A67277" w:rsidRDefault="009E2802" w:rsidP="00862B0B">
            <w:pPr>
              <w:pStyle w:val="Body2"/>
              <w:spacing w:before="60" w:after="60"/>
              <w:ind w:left="851"/>
              <w:rPr>
                <w:rFonts w:cs="Arial"/>
              </w:rPr>
            </w:pPr>
            <w:r w:rsidRPr="00A67277">
              <w:rPr>
                <w:rFonts w:cs="Arial"/>
                <w:b/>
              </w:rPr>
              <w:t>Expert’s Report</w:t>
            </w:r>
            <w:r w:rsidRPr="00A67277">
              <w:rPr>
                <w:rFonts w:cs="Arial"/>
              </w:rPr>
              <w:t xml:space="preserve"> is defined in Clause 28.2(b)</w:t>
            </w:r>
            <w:r w:rsidRPr="00A67277">
              <w:rPr>
                <w:rFonts w:cs="Arial"/>
                <w:i/>
              </w:rPr>
              <w:t xml:space="preserve"> </w:t>
            </w:r>
            <w:r w:rsidRPr="00A67277">
              <w:rPr>
                <w:rFonts w:cs="Arial"/>
              </w:rPr>
              <w:t>(</w:t>
            </w:r>
            <w:r w:rsidRPr="00A67277">
              <w:rPr>
                <w:rFonts w:eastAsia="Times New Roman" w:cs="Arial"/>
                <w:i/>
              </w:rPr>
              <w:t>Referral to a</w:t>
            </w:r>
            <w:r w:rsidRPr="00A67277">
              <w:rPr>
                <w:rFonts w:cs="Arial"/>
                <w:i/>
              </w:rPr>
              <w:t xml:space="preserve"> Third Party Expert</w:t>
            </w:r>
            <w:r w:rsidRPr="00A67277">
              <w:rPr>
                <w:rFonts w:cs="Arial"/>
              </w:rPr>
              <w:t>);</w:t>
            </w:r>
          </w:p>
        </w:tc>
        <w:tc>
          <w:tcPr>
            <w:tcW w:w="169" w:type="pct"/>
          </w:tcPr>
          <w:p w14:paraId="41BFE3C9" w14:textId="77777777" w:rsidR="009E2802" w:rsidRPr="00A67277" w:rsidRDefault="009E2802" w:rsidP="00862B0B">
            <w:pPr>
              <w:spacing w:before="60" w:after="60"/>
              <w:rPr>
                <w:rFonts w:ascii="Arial" w:hAnsi="Arial" w:cs="Arial"/>
                <w:sz w:val="21"/>
                <w:szCs w:val="21"/>
              </w:rPr>
            </w:pPr>
          </w:p>
        </w:tc>
        <w:tc>
          <w:tcPr>
            <w:tcW w:w="2561" w:type="pct"/>
            <w:gridSpan w:val="2"/>
          </w:tcPr>
          <w:p w14:paraId="79927254" w14:textId="77777777" w:rsidR="009E2802" w:rsidRPr="00A67277" w:rsidRDefault="009E2802" w:rsidP="00862B0B">
            <w:pPr>
              <w:pStyle w:val="Body2"/>
              <w:spacing w:before="60" w:after="60"/>
              <w:ind w:left="878"/>
              <w:rPr>
                <w:rFonts w:cs="Arial"/>
              </w:rPr>
            </w:pPr>
            <w:r w:rsidRPr="00A67277">
              <w:rPr>
                <w:rFonts w:cs="Arial"/>
                <w:b/>
              </w:rPr>
              <w:t>Laporan Ahli</w:t>
            </w:r>
            <w:r w:rsidRPr="00A67277">
              <w:rPr>
                <w:rFonts w:cs="Arial"/>
              </w:rPr>
              <w:t xml:space="preserve"> didefinisikan dalam </w:t>
            </w:r>
            <w:bookmarkStart w:id="21" w:name="_Hlk500972143"/>
            <w:r w:rsidRPr="00A67277">
              <w:rPr>
                <w:rFonts w:cs="Arial"/>
              </w:rPr>
              <w:t>Pasal 28.2(b)</w:t>
            </w:r>
            <w:r w:rsidRPr="00A67277">
              <w:rPr>
                <w:rFonts w:cs="Arial"/>
                <w:i/>
              </w:rPr>
              <w:t xml:space="preserve"> </w:t>
            </w:r>
            <w:r w:rsidRPr="00A67277">
              <w:rPr>
                <w:rFonts w:cs="Arial"/>
              </w:rPr>
              <w:t>(</w:t>
            </w:r>
            <w:r w:rsidRPr="00A67277">
              <w:rPr>
                <w:rFonts w:eastAsia="Times New Roman" w:cs="Arial"/>
                <w:i/>
              </w:rPr>
              <w:t>Rujukan kepada</w:t>
            </w:r>
            <w:r w:rsidRPr="00A67277">
              <w:rPr>
                <w:rFonts w:cs="Arial"/>
                <w:i/>
              </w:rPr>
              <w:t xml:space="preserve"> Ahli Independen</w:t>
            </w:r>
            <w:r w:rsidRPr="00A67277">
              <w:rPr>
                <w:rFonts w:cs="Arial"/>
              </w:rPr>
              <w:t>)</w:t>
            </w:r>
            <w:bookmarkEnd w:id="21"/>
            <w:r w:rsidRPr="00A67277">
              <w:rPr>
                <w:rFonts w:cs="Arial"/>
              </w:rPr>
              <w:t>;</w:t>
            </w:r>
          </w:p>
        </w:tc>
      </w:tr>
      <w:tr w:rsidR="009E2802" w:rsidRPr="00A67277" w14:paraId="33887C17" w14:textId="77777777" w:rsidTr="00862B0B">
        <w:tc>
          <w:tcPr>
            <w:tcW w:w="2270" w:type="pct"/>
          </w:tcPr>
          <w:p w14:paraId="5E9B7313" w14:textId="77777777" w:rsidR="009E2802" w:rsidRPr="00A67277" w:rsidRDefault="009E2802" w:rsidP="00862B0B">
            <w:pPr>
              <w:pStyle w:val="Body2"/>
              <w:spacing w:before="60" w:after="60"/>
              <w:ind w:left="851"/>
              <w:rPr>
                <w:rFonts w:cs="Arial"/>
              </w:rPr>
            </w:pPr>
            <w:r w:rsidRPr="00A67277">
              <w:rPr>
                <w:rFonts w:cs="Arial"/>
                <w:b/>
              </w:rPr>
              <w:lastRenderedPageBreak/>
              <w:t>Expiry Date</w:t>
            </w:r>
            <w:r w:rsidRPr="00A67277">
              <w:rPr>
                <w:rFonts w:cs="Arial"/>
              </w:rPr>
              <w:t xml:space="preserve"> means the last Day of the Term (other than early termination);</w:t>
            </w:r>
          </w:p>
        </w:tc>
        <w:tc>
          <w:tcPr>
            <w:tcW w:w="169" w:type="pct"/>
          </w:tcPr>
          <w:p w14:paraId="0C9A8177" w14:textId="77777777" w:rsidR="009E2802" w:rsidRPr="00A67277" w:rsidRDefault="009E2802" w:rsidP="00862B0B">
            <w:pPr>
              <w:spacing w:before="60" w:after="60"/>
              <w:rPr>
                <w:rFonts w:ascii="Arial" w:hAnsi="Arial" w:cs="Arial"/>
                <w:sz w:val="21"/>
                <w:szCs w:val="21"/>
              </w:rPr>
            </w:pPr>
          </w:p>
        </w:tc>
        <w:tc>
          <w:tcPr>
            <w:tcW w:w="2561" w:type="pct"/>
            <w:gridSpan w:val="2"/>
          </w:tcPr>
          <w:p w14:paraId="1E656961" w14:textId="77777777" w:rsidR="009E2802" w:rsidRPr="00A67277" w:rsidRDefault="009E2802" w:rsidP="00862B0B">
            <w:pPr>
              <w:pStyle w:val="Body2"/>
              <w:spacing w:before="60" w:after="60"/>
              <w:ind w:left="878"/>
              <w:rPr>
                <w:rFonts w:cs="Arial"/>
              </w:rPr>
            </w:pPr>
            <w:r w:rsidRPr="00A67277">
              <w:rPr>
                <w:rFonts w:cs="Arial"/>
                <w:b/>
              </w:rPr>
              <w:t>Tanggal Daluarsa Perjanjian</w:t>
            </w:r>
            <w:r w:rsidRPr="00A67277">
              <w:rPr>
                <w:rFonts w:cs="Arial"/>
              </w:rPr>
              <w:t xml:space="preserve"> berarti Hari terakhir dari Jangka Waktu (selain dari pengakhiran lebih awal);</w:t>
            </w:r>
          </w:p>
        </w:tc>
      </w:tr>
      <w:tr w:rsidR="009E2802" w:rsidRPr="00A67277" w14:paraId="285ECE7E" w14:textId="77777777" w:rsidTr="00862B0B">
        <w:tc>
          <w:tcPr>
            <w:tcW w:w="2270" w:type="pct"/>
          </w:tcPr>
          <w:p w14:paraId="247723C4" w14:textId="1EDE40C7" w:rsidR="009E2802" w:rsidRPr="00A67277" w:rsidRDefault="009E2802" w:rsidP="00862B0B">
            <w:pPr>
              <w:pStyle w:val="Body2"/>
              <w:spacing w:before="60" w:after="60"/>
              <w:ind w:left="851"/>
              <w:rPr>
                <w:rFonts w:cs="Arial"/>
              </w:rPr>
            </w:pPr>
            <w:r w:rsidRPr="00A67277">
              <w:rPr>
                <w:rFonts w:cs="Arial"/>
                <w:b/>
              </w:rPr>
              <w:t xml:space="preserve">Facility </w:t>
            </w:r>
            <w:r w:rsidRPr="00A67277">
              <w:rPr>
                <w:rFonts w:cs="Arial"/>
              </w:rPr>
              <w:t xml:space="preserve">means </w:t>
            </w:r>
            <w:r w:rsidRPr="00A67277">
              <w:t xml:space="preserve">a Toll Road information system and </w:t>
            </w:r>
            <w:r w:rsidRPr="00A67277">
              <w:rPr>
                <w:rFonts w:cs="Arial"/>
              </w:rPr>
              <w:t>an electronic, cash-less, tolling system, that allows multi-lane free-flow tolling for all Toll Road Users which includes:</w:t>
            </w:r>
          </w:p>
          <w:p w14:paraId="1767FA13" w14:textId="77777777" w:rsidR="009E2802" w:rsidRPr="00A67277" w:rsidRDefault="009E2802" w:rsidP="00862B0B">
            <w:pPr>
              <w:spacing w:before="60" w:after="60"/>
              <w:jc w:val="center"/>
              <w:rPr>
                <w:rFonts w:ascii="Arial" w:hAnsi="Arial" w:cs="Arial"/>
                <w:sz w:val="21"/>
                <w:szCs w:val="21"/>
              </w:rPr>
            </w:pPr>
          </w:p>
        </w:tc>
        <w:tc>
          <w:tcPr>
            <w:tcW w:w="169" w:type="pct"/>
          </w:tcPr>
          <w:p w14:paraId="0AF1638D" w14:textId="77777777" w:rsidR="009E2802" w:rsidRPr="00A67277" w:rsidRDefault="009E2802" w:rsidP="00862B0B">
            <w:pPr>
              <w:spacing w:before="60" w:after="60"/>
              <w:rPr>
                <w:rFonts w:ascii="Arial" w:hAnsi="Arial" w:cs="Arial"/>
                <w:sz w:val="21"/>
                <w:szCs w:val="21"/>
              </w:rPr>
            </w:pPr>
          </w:p>
        </w:tc>
        <w:tc>
          <w:tcPr>
            <w:tcW w:w="2561" w:type="pct"/>
            <w:gridSpan w:val="2"/>
          </w:tcPr>
          <w:p w14:paraId="6984D7FC" w14:textId="1347115E" w:rsidR="009E2802" w:rsidRPr="00A67277" w:rsidRDefault="009E2802" w:rsidP="00862B0B">
            <w:pPr>
              <w:pStyle w:val="Body2"/>
              <w:keepNext/>
              <w:spacing w:before="60" w:after="60"/>
              <w:ind w:left="878"/>
              <w:rPr>
                <w:rFonts w:cs="Arial"/>
              </w:rPr>
            </w:pPr>
            <w:r w:rsidRPr="00A67277">
              <w:rPr>
                <w:rFonts w:cs="Arial"/>
                <w:b/>
              </w:rPr>
              <w:t xml:space="preserve">Fasilitas </w:t>
            </w:r>
            <w:r w:rsidRPr="00A67277">
              <w:rPr>
                <w:rFonts w:cs="Arial"/>
              </w:rPr>
              <w:t>berarti suatu</w:t>
            </w:r>
            <w:r w:rsidRPr="00A67277">
              <w:t xml:space="preserve"> </w:t>
            </w:r>
            <w:r w:rsidRPr="00A67277">
              <w:rPr>
                <w:rFonts w:cs="Arial"/>
              </w:rPr>
              <w:t xml:space="preserve">sistem informasi Jalan Tol dan suatu system transaksi tol secara elektronik dan nontunai yang memungkinkan transaksi tol </w:t>
            </w:r>
            <w:r w:rsidRPr="00A67277">
              <w:rPr>
                <w:rFonts w:cs="Arial"/>
                <w:i/>
              </w:rPr>
              <w:t>multi lane free flow</w:t>
            </w:r>
            <w:r w:rsidRPr="00A67277">
              <w:rPr>
                <w:rFonts w:cs="Arial"/>
              </w:rPr>
              <w:t xml:space="preserve"> untuk semua Pengguna Jalan Tol  yang meliputi:</w:t>
            </w:r>
          </w:p>
        </w:tc>
      </w:tr>
      <w:tr w:rsidR="009E2802" w:rsidRPr="00A67277" w14:paraId="758BC4DA" w14:textId="77777777" w:rsidTr="00862B0B">
        <w:tc>
          <w:tcPr>
            <w:tcW w:w="2270" w:type="pct"/>
          </w:tcPr>
          <w:p w14:paraId="5C9E3C3F" w14:textId="041D2D0B" w:rsidR="009E2802" w:rsidRPr="00A67277" w:rsidRDefault="009E2802" w:rsidP="00862B0B">
            <w:pPr>
              <w:pStyle w:val="ListParagraph"/>
              <w:spacing w:before="60" w:after="60" w:line="240" w:lineRule="auto"/>
              <w:ind w:left="1440" w:hanging="540"/>
              <w:rPr>
                <w:rFonts w:cs="Arial"/>
              </w:rPr>
            </w:pPr>
            <w:r w:rsidRPr="00A67277">
              <w:rPr>
                <w:rFonts w:cs="Arial"/>
              </w:rPr>
              <w:t>(</w:t>
            </w:r>
            <w:r>
              <w:rPr>
                <w:rFonts w:cs="Arial"/>
              </w:rPr>
              <w:t>a</w:t>
            </w:r>
            <w:r w:rsidRPr="00A67277">
              <w:rPr>
                <w:rFonts w:cs="Arial"/>
              </w:rPr>
              <w:t>)</w:t>
            </w:r>
            <w:r w:rsidRPr="00A67277">
              <w:rPr>
                <w:rFonts w:cs="Arial"/>
              </w:rPr>
              <w:tab/>
              <w:t>central IT system, roadside infrastructure, enforcement unit and associated equipment and facilities for the MLFF System as further described in Appendix 5 (Design and Technical Specifications);</w:t>
            </w:r>
          </w:p>
        </w:tc>
        <w:tc>
          <w:tcPr>
            <w:tcW w:w="169" w:type="pct"/>
          </w:tcPr>
          <w:p w14:paraId="3D7A1D9F" w14:textId="77777777" w:rsidR="009E2802" w:rsidRPr="00A67277" w:rsidRDefault="009E2802" w:rsidP="00862B0B">
            <w:pPr>
              <w:pStyle w:val="ListParagraph"/>
              <w:numPr>
                <w:ilvl w:val="0"/>
                <w:numId w:val="181"/>
              </w:numPr>
              <w:spacing w:before="60" w:after="60" w:line="240" w:lineRule="auto"/>
              <w:ind w:left="1276" w:hanging="425"/>
              <w:rPr>
                <w:rFonts w:cs="Arial"/>
              </w:rPr>
            </w:pPr>
          </w:p>
        </w:tc>
        <w:tc>
          <w:tcPr>
            <w:tcW w:w="2561" w:type="pct"/>
            <w:gridSpan w:val="2"/>
          </w:tcPr>
          <w:p w14:paraId="10CF2359" w14:textId="6010C7E5" w:rsidR="009E2802" w:rsidRPr="00A67277" w:rsidRDefault="009E2802" w:rsidP="00862B0B">
            <w:pPr>
              <w:pStyle w:val="Body2"/>
              <w:keepNext/>
              <w:numPr>
                <w:ilvl w:val="0"/>
                <w:numId w:val="218"/>
              </w:numPr>
              <w:spacing w:before="60" w:after="60"/>
              <w:ind w:left="1303" w:hanging="425"/>
              <w:rPr>
                <w:rFonts w:cs="Arial"/>
              </w:rPr>
            </w:pPr>
            <w:r w:rsidRPr="00A67277">
              <w:rPr>
                <w:rFonts w:cs="Arial"/>
              </w:rPr>
              <w:t>pusat sistem IT, infrastruktur sisi jalan, unit untuk penegakan hukum dan peralatan serta fasilitas untuk sistem MLFF terkait sebagaimana diuraikan lebih lanjut dalam Lampiran 5 (Desain dan Spesifikasi Teknis);</w:t>
            </w:r>
          </w:p>
        </w:tc>
      </w:tr>
      <w:tr w:rsidR="009E2802" w:rsidRPr="00A67277" w14:paraId="407C34FF" w14:textId="77777777" w:rsidTr="00862B0B">
        <w:tc>
          <w:tcPr>
            <w:tcW w:w="2270" w:type="pct"/>
          </w:tcPr>
          <w:p w14:paraId="173BE77B" w14:textId="31B2A827" w:rsidR="009E2802" w:rsidRPr="00A67277" w:rsidRDefault="009E2802" w:rsidP="00862B0B">
            <w:pPr>
              <w:pStyle w:val="ListParagraph"/>
              <w:spacing w:before="60" w:after="60" w:line="240" w:lineRule="auto"/>
              <w:ind w:left="1440" w:hanging="540"/>
              <w:rPr>
                <w:rFonts w:cs="Arial"/>
              </w:rPr>
            </w:pPr>
            <w:r w:rsidRPr="00A67277">
              <w:rPr>
                <w:rFonts w:cs="Arial"/>
              </w:rPr>
              <w:t>(</w:t>
            </w:r>
            <w:r>
              <w:rPr>
                <w:rFonts w:cs="Arial"/>
              </w:rPr>
              <w:t>b</w:t>
            </w:r>
            <w:r w:rsidRPr="00A67277">
              <w:rPr>
                <w:rFonts w:cs="Arial"/>
              </w:rPr>
              <w:t>)</w:t>
            </w:r>
            <w:r w:rsidRPr="00A67277">
              <w:rPr>
                <w:rFonts w:cs="Arial"/>
              </w:rPr>
              <w:tab/>
              <w:t xml:space="preserve">any additions, modifications, </w:t>
            </w:r>
            <w:r>
              <w:rPr>
                <w:rFonts w:cs="Arial"/>
              </w:rPr>
              <w:t xml:space="preserve">replacement, quality </w:t>
            </w:r>
            <w:r w:rsidRPr="00A67277">
              <w:rPr>
                <w:rFonts w:cs="Arial"/>
              </w:rPr>
              <w:t>improvements</w:t>
            </w:r>
            <w:r>
              <w:rPr>
                <w:rFonts w:cs="Arial"/>
              </w:rPr>
              <w:t xml:space="preserve"> </w:t>
            </w:r>
            <w:r w:rsidRPr="00A67277">
              <w:rPr>
                <w:rFonts w:cs="Arial"/>
              </w:rPr>
              <w:t xml:space="preserve"> or replacements made over the facilities mentioned in paragraph (a); and</w:t>
            </w:r>
          </w:p>
          <w:p w14:paraId="702C1ED7" w14:textId="77777777" w:rsidR="009E2802" w:rsidRPr="00A67277" w:rsidRDefault="009E2802" w:rsidP="00862B0B">
            <w:pPr>
              <w:pStyle w:val="ListParagraph"/>
              <w:spacing w:before="60" w:after="60" w:line="240" w:lineRule="auto"/>
              <w:ind w:left="1440" w:hanging="540"/>
              <w:rPr>
                <w:rFonts w:cs="Arial"/>
              </w:rPr>
            </w:pPr>
            <w:r w:rsidRPr="00A67277">
              <w:rPr>
                <w:rFonts w:cs="Arial"/>
              </w:rPr>
              <w:t xml:space="preserve"> </w:t>
            </w:r>
          </w:p>
        </w:tc>
        <w:tc>
          <w:tcPr>
            <w:tcW w:w="169" w:type="pct"/>
          </w:tcPr>
          <w:p w14:paraId="67A8110B" w14:textId="77777777" w:rsidR="009E2802" w:rsidRPr="00A67277" w:rsidRDefault="009E2802" w:rsidP="00862B0B">
            <w:pPr>
              <w:spacing w:before="60" w:after="60"/>
              <w:rPr>
                <w:rFonts w:ascii="Arial" w:hAnsi="Arial" w:cs="Arial"/>
                <w:sz w:val="21"/>
                <w:szCs w:val="21"/>
              </w:rPr>
            </w:pPr>
          </w:p>
        </w:tc>
        <w:tc>
          <w:tcPr>
            <w:tcW w:w="2561" w:type="pct"/>
            <w:gridSpan w:val="2"/>
          </w:tcPr>
          <w:p w14:paraId="35A2C56A" w14:textId="2DE9BFEE" w:rsidR="009E2802" w:rsidRPr="00A67277" w:rsidRDefault="009E2802" w:rsidP="00862B0B">
            <w:pPr>
              <w:pStyle w:val="Body2"/>
              <w:keepNext/>
              <w:numPr>
                <w:ilvl w:val="0"/>
                <w:numId w:val="218"/>
              </w:numPr>
              <w:spacing w:before="60" w:after="60"/>
              <w:ind w:left="1303" w:hanging="425"/>
              <w:rPr>
                <w:rFonts w:cs="Arial"/>
              </w:rPr>
            </w:pPr>
            <w:r w:rsidRPr="00A67277">
              <w:rPr>
                <w:rFonts w:cs="Arial"/>
              </w:rPr>
              <w:t>penambahan, modifikasi, perbaikan, penggantian atau peningkatan mutu apa pun yang dibuat terhadap fasilitas yang disebutkan dalam ayat (a); dan</w:t>
            </w:r>
          </w:p>
        </w:tc>
      </w:tr>
      <w:tr w:rsidR="009E2802" w:rsidRPr="00A67277" w14:paraId="0E5CD870" w14:textId="77777777" w:rsidTr="00862B0B">
        <w:tc>
          <w:tcPr>
            <w:tcW w:w="2270" w:type="pct"/>
          </w:tcPr>
          <w:p w14:paraId="7809EB08" w14:textId="7B74C62E" w:rsidR="009E2802" w:rsidRPr="00A67277" w:rsidRDefault="009E2802" w:rsidP="00862B0B">
            <w:pPr>
              <w:pStyle w:val="ListParagraph"/>
              <w:spacing w:before="60" w:after="60" w:line="240" w:lineRule="auto"/>
              <w:ind w:left="1440" w:hanging="540"/>
            </w:pPr>
            <w:r w:rsidRPr="00A67277">
              <w:rPr>
                <w:rFonts w:cs="Arial"/>
              </w:rPr>
              <w:t>(</w:t>
            </w:r>
            <w:r>
              <w:rPr>
                <w:rFonts w:cs="Arial"/>
              </w:rPr>
              <w:t>c</w:t>
            </w:r>
            <w:r w:rsidRPr="00A67277">
              <w:rPr>
                <w:rFonts w:cs="Arial"/>
              </w:rPr>
              <w:t>)</w:t>
            </w:r>
            <w:r w:rsidRPr="00A67277">
              <w:rPr>
                <w:rFonts w:cs="Arial"/>
              </w:rPr>
              <w:tab/>
              <w:t xml:space="preserve">other equipment and facilities, either </w:t>
            </w:r>
            <w:r>
              <w:rPr>
                <w:rFonts w:cs="Arial"/>
              </w:rPr>
              <w:t>currently existing</w:t>
            </w:r>
            <w:r w:rsidRPr="00A67277">
              <w:rPr>
                <w:rFonts w:cs="Arial"/>
              </w:rPr>
              <w:t xml:space="preserve"> or </w:t>
            </w:r>
            <w:r>
              <w:rPr>
                <w:rFonts w:cs="Arial"/>
              </w:rPr>
              <w:t xml:space="preserve">that </w:t>
            </w:r>
            <w:r w:rsidRPr="00A67277">
              <w:rPr>
                <w:rFonts w:cs="Arial"/>
              </w:rPr>
              <w:t>will exist, owned by the IBE which are used or will be used for the provision of Services.</w:t>
            </w:r>
          </w:p>
        </w:tc>
        <w:tc>
          <w:tcPr>
            <w:tcW w:w="169" w:type="pct"/>
          </w:tcPr>
          <w:p w14:paraId="2F8A8E4A" w14:textId="77777777" w:rsidR="009E2802" w:rsidRPr="00A67277" w:rsidRDefault="009E2802" w:rsidP="00862B0B">
            <w:pPr>
              <w:spacing w:before="60" w:after="60"/>
              <w:rPr>
                <w:rFonts w:ascii="Arial" w:hAnsi="Arial" w:cs="Arial"/>
                <w:sz w:val="21"/>
                <w:szCs w:val="21"/>
              </w:rPr>
            </w:pPr>
          </w:p>
        </w:tc>
        <w:tc>
          <w:tcPr>
            <w:tcW w:w="2561" w:type="pct"/>
            <w:gridSpan w:val="2"/>
          </w:tcPr>
          <w:p w14:paraId="71817470" w14:textId="77777777" w:rsidR="009E2802" w:rsidRPr="00A67277" w:rsidRDefault="009E2802" w:rsidP="00862B0B">
            <w:pPr>
              <w:pStyle w:val="Body2"/>
              <w:keepNext/>
              <w:numPr>
                <w:ilvl w:val="0"/>
                <w:numId w:val="218"/>
              </w:numPr>
              <w:spacing w:before="60" w:after="60"/>
              <w:ind w:left="1303" w:hanging="425"/>
              <w:rPr>
                <w:rFonts w:cs="Arial"/>
                <w:b/>
              </w:rPr>
            </w:pPr>
            <w:r w:rsidRPr="00A67277">
              <w:rPr>
                <w:rFonts w:cs="Arial"/>
              </w:rPr>
              <w:t>peralatan dan fasilitas lain, baik yang saat ini ada maupun yang akan ada, yang dimiliki oleh BUP yang digunakan atau akan digunakan untuk penyediaan Layanan.</w:t>
            </w:r>
          </w:p>
        </w:tc>
      </w:tr>
      <w:tr w:rsidR="009E2802" w:rsidRPr="00A67277" w14:paraId="21146583" w14:textId="77777777" w:rsidTr="00862B0B">
        <w:tc>
          <w:tcPr>
            <w:tcW w:w="2270" w:type="pct"/>
          </w:tcPr>
          <w:p w14:paraId="1AE7FBF5" w14:textId="65D34C47" w:rsidR="009E2802" w:rsidRPr="00A67277" w:rsidRDefault="009E2802" w:rsidP="00862B0B">
            <w:pPr>
              <w:pStyle w:val="Body2"/>
              <w:spacing w:before="60" w:after="60"/>
              <w:ind w:left="851"/>
              <w:rPr>
                <w:rFonts w:cs="Arial"/>
              </w:rPr>
            </w:pPr>
            <w:r w:rsidRPr="00A67277">
              <w:rPr>
                <w:rFonts w:cs="Arial"/>
                <w:b/>
              </w:rPr>
              <w:t>Factual Issue(s)</w:t>
            </w:r>
            <w:r w:rsidRPr="00A67277">
              <w:rPr>
                <w:rFonts w:cs="Arial"/>
              </w:rPr>
              <w:t xml:space="preserve"> is defined in Clause 28.2(a) </w:t>
            </w:r>
            <w:r w:rsidRPr="00A67277">
              <w:rPr>
                <w:rFonts w:cs="Arial"/>
                <w:i/>
              </w:rPr>
              <w:t>(</w:t>
            </w:r>
            <w:r w:rsidRPr="00A67277">
              <w:rPr>
                <w:rFonts w:eastAsia="Times New Roman" w:cs="Arial"/>
                <w:i/>
              </w:rPr>
              <w:t>Referral to a</w:t>
            </w:r>
            <w:r w:rsidRPr="00A67277">
              <w:rPr>
                <w:rFonts w:cs="Arial"/>
                <w:i/>
              </w:rPr>
              <w:t xml:space="preserve"> Third Party Expert)</w:t>
            </w:r>
            <w:r w:rsidRPr="00A67277">
              <w:rPr>
                <w:rFonts w:cs="Arial"/>
              </w:rPr>
              <w:t>;</w:t>
            </w:r>
          </w:p>
        </w:tc>
        <w:tc>
          <w:tcPr>
            <w:tcW w:w="169" w:type="pct"/>
          </w:tcPr>
          <w:p w14:paraId="50B9B37B" w14:textId="77777777" w:rsidR="009E2802" w:rsidRPr="00A67277" w:rsidRDefault="009E2802" w:rsidP="00862B0B">
            <w:pPr>
              <w:spacing w:before="60" w:after="60"/>
              <w:rPr>
                <w:rFonts w:ascii="Arial" w:hAnsi="Arial" w:cs="Arial"/>
                <w:sz w:val="21"/>
                <w:szCs w:val="21"/>
              </w:rPr>
            </w:pPr>
          </w:p>
        </w:tc>
        <w:tc>
          <w:tcPr>
            <w:tcW w:w="2561" w:type="pct"/>
            <w:gridSpan w:val="2"/>
          </w:tcPr>
          <w:p w14:paraId="7F27487A" w14:textId="77777777" w:rsidR="009E2802" w:rsidRPr="00A67277" w:rsidRDefault="009E2802" w:rsidP="00862B0B">
            <w:pPr>
              <w:pStyle w:val="Body2"/>
              <w:keepNext/>
              <w:spacing w:before="60" w:after="60"/>
              <w:ind w:left="878"/>
              <w:rPr>
                <w:rFonts w:cs="Arial"/>
              </w:rPr>
            </w:pPr>
            <w:r w:rsidRPr="00A67277">
              <w:rPr>
                <w:rFonts w:cs="Arial"/>
                <w:b/>
              </w:rPr>
              <w:t>Permasalahan(-Permasalahan) Faktual</w:t>
            </w:r>
            <w:r w:rsidRPr="00A67277">
              <w:rPr>
                <w:rFonts w:cs="Arial"/>
              </w:rPr>
              <w:t xml:space="preserve"> didefinisikan dalam Pasal 28.2(a) </w:t>
            </w:r>
            <w:r w:rsidRPr="00A67277">
              <w:rPr>
                <w:rFonts w:cs="Arial"/>
                <w:i/>
              </w:rPr>
              <w:t>(</w:t>
            </w:r>
            <w:r w:rsidRPr="00A67277">
              <w:rPr>
                <w:rFonts w:eastAsia="Times New Roman" w:cs="Arial"/>
                <w:i/>
              </w:rPr>
              <w:t>Rujukan kepada</w:t>
            </w:r>
            <w:r w:rsidRPr="00A67277">
              <w:rPr>
                <w:rFonts w:cs="Arial"/>
                <w:i/>
              </w:rPr>
              <w:t xml:space="preserve"> Ahli Independen)</w:t>
            </w:r>
            <w:r w:rsidRPr="00A67277">
              <w:rPr>
                <w:rFonts w:cs="Arial"/>
              </w:rPr>
              <w:t>;</w:t>
            </w:r>
          </w:p>
        </w:tc>
      </w:tr>
      <w:tr w:rsidR="009E2802" w:rsidRPr="00A67277" w14:paraId="70AE6ADA" w14:textId="77777777" w:rsidTr="00862B0B">
        <w:tc>
          <w:tcPr>
            <w:tcW w:w="2270" w:type="pct"/>
          </w:tcPr>
          <w:p w14:paraId="2687095D" w14:textId="76221F19" w:rsidR="009E2802" w:rsidRPr="00A67277" w:rsidRDefault="009E2802" w:rsidP="00862B0B">
            <w:pPr>
              <w:pStyle w:val="Body2"/>
              <w:spacing w:before="60" w:after="60"/>
              <w:ind w:left="851"/>
              <w:rPr>
                <w:rFonts w:cs="Arial"/>
              </w:rPr>
            </w:pPr>
            <w:r w:rsidRPr="00A67277">
              <w:rPr>
                <w:rFonts w:cs="Arial"/>
                <w:b/>
              </w:rPr>
              <w:t>Financial Model</w:t>
            </w:r>
            <w:r w:rsidRPr="00A67277">
              <w:rPr>
                <w:rFonts w:cs="Arial"/>
              </w:rPr>
              <w:t xml:space="preserve"> means the IBE’s financial model for the Project as set out in Appendix 16 (</w:t>
            </w:r>
            <w:r w:rsidRPr="00A67277">
              <w:rPr>
                <w:rFonts w:cs="Arial"/>
                <w:i/>
              </w:rPr>
              <w:t>Financial Model</w:t>
            </w:r>
            <w:r w:rsidRPr="00A67277">
              <w:rPr>
                <w:rFonts w:cs="Arial"/>
              </w:rPr>
              <w:t>), as updated from time to time in accordance with this Agreement;</w:t>
            </w:r>
          </w:p>
        </w:tc>
        <w:tc>
          <w:tcPr>
            <w:tcW w:w="169" w:type="pct"/>
          </w:tcPr>
          <w:p w14:paraId="257F0629" w14:textId="77777777" w:rsidR="009E2802" w:rsidRPr="00A67277" w:rsidRDefault="009E2802" w:rsidP="00862B0B">
            <w:pPr>
              <w:spacing w:before="60" w:after="60"/>
              <w:rPr>
                <w:rFonts w:ascii="Arial" w:hAnsi="Arial" w:cs="Arial"/>
                <w:sz w:val="21"/>
                <w:szCs w:val="21"/>
              </w:rPr>
            </w:pPr>
          </w:p>
        </w:tc>
        <w:tc>
          <w:tcPr>
            <w:tcW w:w="2561" w:type="pct"/>
            <w:gridSpan w:val="2"/>
          </w:tcPr>
          <w:p w14:paraId="151C106A" w14:textId="16100416" w:rsidR="009E2802" w:rsidRPr="00A67277" w:rsidRDefault="009E2802" w:rsidP="00862B0B">
            <w:pPr>
              <w:pStyle w:val="Body2"/>
              <w:keepNext/>
              <w:spacing w:before="60" w:after="60"/>
              <w:ind w:left="878"/>
              <w:rPr>
                <w:rFonts w:cs="Arial"/>
              </w:rPr>
            </w:pPr>
            <w:r w:rsidRPr="00A67277">
              <w:rPr>
                <w:rFonts w:cs="Arial"/>
                <w:b/>
              </w:rPr>
              <w:t>Model Keuangan</w:t>
            </w:r>
            <w:r w:rsidRPr="00A67277">
              <w:rPr>
                <w:rFonts w:cs="Arial"/>
              </w:rPr>
              <w:t xml:space="preserve"> berarti model keuangan dari BUP untuk Proyek sebagaimana diatur di dalam Lampiran 16 (</w:t>
            </w:r>
            <w:r w:rsidRPr="00A67277">
              <w:rPr>
                <w:rFonts w:cs="Arial"/>
                <w:i/>
              </w:rPr>
              <w:t>Model Keuangan</w:t>
            </w:r>
            <w:r w:rsidRPr="00A67277">
              <w:rPr>
                <w:rFonts w:cs="Arial"/>
              </w:rPr>
              <w:t>), sebagaimana diperbaharui dari waktu ke waktu sesuai dengan ketentuan dalam Perjanjian ini;</w:t>
            </w:r>
          </w:p>
        </w:tc>
      </w:tr>
      <w:tr w:rsidR="009E2802" w:rsidRPr="00A67277" w14:paraId="445DEE2E" w14:textId="77777777" w:rsidTr="00862B0B">
        <w:tc>
          <w:tcPr>
            <w:tcW w:w="2270" w:type="pct"/>
          </w:tcPr>
          <w:p w14:paraId="6E461DCF" w14:textId="77777777" w:rsidR="009E2802" w:rsidRPr="00A67277" w:rsidRDefault="009E2802" w:rsidP="00862B0B">
            <w:pPr>
              <w:pStyle w:val="Body2"/>
              <w:spacing w:before="60" w:after="60"/>
              <w:ind w:left="851"/>
              <w:rPr>
                <w:rFonts w:cs="Arial"/>
              </w:rPr>
            </w:pPr>
            <w:r w:rsidRPr="00A67277">
              <w:rPr>
                <w:rFonts w:cs="Arial"/>
                <w:b/>
              </w:rPr>
              <w:t>Force Majeure Event</w:t>
            </w:r>
            <w:r w:rsidRPr="00A67277">
              <w:rPr>
                <w:rFonts w:cs="Arial"/>
              </w:rPr>
              <w:t xml:space="preserve"> is </w:t>
            </w:r>
            <w:r w:rsidRPr="00A67277">
              <w:rPr>
                <w:rFonts w:cs="Arial"/>
              </w:rPr>
              <w:lastRenderedPageBreak/>
              <w:t>defined in Clause 20.1(a) (</w:t>
            </w:r>
            <w:r w:rsidRPr="00A67277">
              <w:rPr>
                <w:rFonts w:cs="Arial"/>
                <w:i/>
              </w:rPr>
              <w:t>Definition and Instances of Force Majeure Event</w:t>
            </w:r>
            <w:r w:rsidRPr="00A67277">
              <w:rPr>
                <w:rFonts w:cs="Arial"/>
              </w:rPr>
              <w:t>);</w:t>
            </w:r>
          </w:p>
        </w:tc>
        <w:tc>
          <w:tcPr>
            <w:tcW w:w="169" w:type="pct"/>
          </w:tcPr>
          <w:p w14:paraId="12F28EB4" w14:textId="77777777" w:rsidR="009E2802" w:rsidRPr="00A67277" w:rsidRDefault="009E2802" w:rsidP="00862B0B">
            <w:pPr>
              <w:spacing w:before="60" w:after="60"/>
              <w:rPr>
                <w:rFonts w:ascii="Arial" w:hAnsi="Arial" w:cs="Arial"/>
                <w:sz w:val="21"/>
                <w:szCs w:val="21"/>
              </w:rPr>
            </w:pPr>
          </w:p>
        </w:tc>
        <w:tc>
          <w:tcPr>
            <w:tcW w:w="2561" w:type="pct"/>
            <w:gridSpan w:val="2"/>
          </w:tcPr>
          <w:p w14:paraId="7E5956A5" w14:textId="77777777" w:rsidR="009E2802" w:rsidRPr="00A67277" w:rsidRDefault="009E2802" w:rsidP="00862B0B">
            <w:pPr>
              <w:pStyle w:val="Body2"/>
              <w:keepNext/>
              <w:spacing w:before="60" w:after="60"/>
              <w:ind w:left="878"/>
              <w:rPr>
                <w:rFonts w:cs="Arial"/>
              </w:rPr>
            </w:pPr>
            <w:r w:rsidRPr="00A67277">
              <w:rPr>
                <w:rFonts w:cs="Arial"/>
                <w:b/>
              </w:rPr>
              <w:t>Peristiwa Keadaan Kahar</w:t>
            </w:r>
            <w:r w:rsidRPr="00A67277">
              <w:rPr>
                <w:rFonts w:cs="Arial"/>
              </w:rPr>
              <w:t xml:space="preserve"> </w:t>
            </w:r>
            <w:r w:rsidRPr="00A67277">
              <w:rPr>
                <w:rFonts w:cs="Arial"/>
              </w:rPr>
              <w:lastRenderedPageBreak/>
              <w:t>didefinisikan dalam Pasal 20.1(a) (</w:t>
            </w:r>
            <w:r w:rsidRPr="00A67277">
              <w:rPr>
                <w:rFonts w:cs="Arial"/>
                <w:i/>
              </w:rPr>
              <w:t>Definisi dan Contoh</w:t>
            </w:r>
            <w:r w:rsidRPr="00A67277">
              <w:rPr>
                <w:rFonts w:cs="Arial"/>
              </w:rPr>
              <w:t xml:space="preserve"> </w:t>
            </w:r>
            <w:r w:rsidRPr="00A67277">
              <w:rPr>
                <w:rFonts w:cs="Arial"/>
                <w:i/>
              </w:rPr>
              <w:t>Keadaan Kahar</w:t>
            </w:r>
            <w:r w:rsidRPr="00A67277">
              <w:rPr>
                <w:rFonts w:cs="Arial"/>
              </w:rPr>
              <w:t>);</w:t>
            </w:r>
          </w:p>
        </w:tc>
      </w:tr>
      <w:tr w:rsidR="009E2802" w:rsidRPr="00A67277" w14:paraId="28DFA763" w14:textId="77777777" w:rsidTr="00862B0B">
        <w:tc>
          <w:tcPr>
            <w:tcW w:w="2270" w:type="pct"/>
          </w:tcPr>
          <w:p w14:paraId="62872676" w14:textId="77777777" w:rsidR="009E2802" w:rsidRPr="00A67277" w:rsidRDefault="009E2802" w:rsidP="00862B0B">
            <w:pPr>
              <w:pStyle w:val="Body2"/>
              <w:spacing w:before="60" w:after="60"/>
              <w:ind w:left="851"/>
              <w:rPr>
                <w:rFonts w:cs="Arial"/>
              </w:rPr>
            </w:pPr>
            <w:r w:rsidRPr="00A67277">
              <w:rPr>
                <w:rFonts w:cs="Arial"/>
                <w:b/>
              </w:rPr>
              <w:lastRenderedPageBreak/>
              <w:t>Financing Documents</w:t>
            </w:r>
            <w:r w:rsidRPr="00A67277">
              <w:rPr>
                <w:rFonts w:cs="Arial"/>
              </w:rPr>
              <w:t xml:space="preserve"> means any and all loan agreements, notes, bonds, indentures, security agreements, registration or disclosure statements, subordination agreements, hedging agreements, mortgages, deeds of trust, credit agreements, note or bond purchase agreements, participation agreements and other documents entered into by the IBE relating to the financing of the design, engineering, procurement, construction, ownership, operation and maintenance of the Project (including GCA Consent Letter) and any Refinancing of those provided by any Financing Party, including any modifications, supplements, extensions, renewals and replacements of that financing or refinancing (for the avoidance of doubt, excluding the Guarantee Agreement);</w:t>
            </w:r>
          </w:p>
          <w:p w14:paraId="75DB6F34" w14:textId="77777777" w:rsidR="009E2802" w:rsidRPr="00A67277" w:rsidRDefault="009E2802" w:rsidP="00862B0B">
            <w:pPr>
              <w:spacing w:before="60" w:after="60"/>
              <w:jc w:val="center"/>
              <w:rPr>
                <w:rFonts w:ascii="Arial" w:hAnsi="Arial" w:cs="Arial"/>
                <w:sz w:val="21"/>
                <w:szCs w:val="21"/>
              </w:rPr>
            </w:pPr>
          </w:p>
        </w:tc>
        <w:tc>
          <w:tcPr>
            <w:tcW w:w="169" w:type="pct"/>
          </w:tcPr>
          <w:p w14:paraId="7E462522" w14:textId="77777777" w:rsidR="009E2802" w:rsidRPr="00A67277" w:rsidRDefault="009E2802" w:rsidP="00862B0B">
            <w:pPr>
              <w:spacing w:before="60" w:after="60"/>
              <w:rPr>
                <w:rFonts w:ascii="Arial" w:hAnsi="Arial" w:cs="Arial"/>
                <w:sz w:val="21"/>
                <w:szCs w:val="21"/>
              </w:rPr>
            </w:pPr>
          </w:p>
        </w:tc>
        <w:tc>
          <w:tcPr>
            <w:tcW w:w="2561" w:type="pct"/>
            <w:gridSpan w:val="2"/>
          </w:tcPr>
          <w:p w14:paraId="640B844F" w14:textId="77777777" w:rsidR="009E2802" w:rsidRPr="00A67277" w:rsidRDefault="009E2802" w:rsidP="00862B0B">
            <w:pPr>
              <w:pStyle w:val="Body2"/>
              <w:spacing w:before="60" w:after="60"/>
              <w:ind w:left="878"/>
              <w:rPr>
                <w:rFonts w:cs="Arial"/>
              </w:rPr>
            </w:pPr>
            <w:r w:rsidRPr="00A67277">
              <w:rPr>
                <w:rFonts w:cs="Arial"/>
                <w:b/>
              </w:rPr>
              <w:t xml:space="preserve">Dokumen Pembiayaan </w:t>
            </w:r>
            <w:r w:rsidRPr="00A67277">
              <w:rPr>
                <w:rFonts w:cs="Arial"/>
              </w:rPr>
              <w:t>berarti segala dan semua perjanjian pinjaman, surat utang, obligasi, surat perjanjian, perjanjian jaminan, pendaftaran atau pernyataan pengungkapan, perjanjian subordinasi, perjanjian lindung nilai, hak tanggungan, akta-akta perwalian, perjanjian kredit, perjanjian pembelian surat utang atau obligasi, perjanjian partisipasi dan dokumen lainnya yang ditandatangani oleh BUP sehubungan dengan pembiayaan dari desain, perekayasaan, pengadaan, konstruksi, kepemilikan, operasi dan pemeliharaan dari Proyek (termasuk Surat Persetujuan PJPK) dan segala Pembiayaan Ulang yang disediakan oleh segala Pihak Pembiaya, termasuk segala modifikasi, tambahan, perpanjangan, pembaharuan dan penggantian dari pembiayaan atau pembiayaan ulang tersebut (untuk menghindari keraguan, selain dari Perjanjian Penjaminan);</w:t>
            </w:r>
          </w:p>
        </w:tc>
      </w:tr>
      <w:tr w:rsidR="009E2802" w:rsidRPr="00A67277" w14:paraId="18239F77" w14:textId="77777777" w:rsidTr="00862B0B">
        <w:tc>
          <w:tcPr>
            <w:tcW w:w="2270" w:type="pct"/>
          </w:tcPr>
          <w:p w14:paraId="14F38134" w14:textId="351428F5" w:rsidR="009E2802" w:rsidRPr="00A67277" w:rsidRDefault="009E2802" w:rsidP="00862B0B">
            <w:pPr>
              <w:pStyle w:val="Body2"/>
              <w:spacing w:before="60" w:after="60"/>
              <w:ind w:left="851"/>
              <w:rPr>
                <w:rFonts w:cs="Arial"/>
              </w:rPr>
            </w:pPr>
            <w:r w:rsidRPr="00A67277">
              <w:rPr>
                <w:rFonts w:cs="Arial"/>
                <w:b/>
              </w:rPr>
              <w:t xml:space="preserve">Financing Party </w:t>
            </w:r>
            <w:r w:rsidRPr="00A67277">
              <w:rPr>
                <w:rFonts w:cs="Arial"/>
              </w:rPr>
              <w:t xml:space="preserve">means any person or persons providing Senior Debt under the Financing Documents to the IBE for the design, engineering, procurement, construction, ownership, operation and maintenance of the Project and their permitted </w:t>
            </w:r>
            <w:r w:rsidRPr="00EB7CB0">
              <w:rPr>
                <w:rFonts w:cs="Arial"/>
              </w:rPr>
              <w:t xml:space="preserve">successors </w:t>
            </w:r>
            <w:r w:rsidRPr="00AD000B">
              <w:rPr>
                <w:rFonts w:cs="Arial"/>
              </w:rPr>
              <w:t>and assignees</w:t>
            </w:r>
            <w:r w:rsidRPr="00EB7CB0">
              <w:rPr>
                <w:rFonts w:cs="Arial"/>
              </w:rPr>
              <w:t>,</w:t>
            </w:r>
            <w:r w:rsidRPr="00A67277">
              <w:rPr>
                <w:rFonts w:cs="Arial"/>
              </w:rPr>
              <w:t xml:space="preserve"> including any agent or trustee for them but not including a Shareholder or an Affiliate of a Shareholder with respect to indebtedness constituting Equity;</w:t>
            </w:r>
          </w:p>
          <w:p w14:paraId="5D505712" w14:textId="77777777" w:rsidR="009E2802" w:rsidRPr="00A67277" w:rsidRDefault="009E2802" w:rsidP="00862B0B">
            <w:pPr>
              <w:spacing w:before="60" w:after="60"/>
              <w:rPr>
                <w:rFonts w:ascii="Arial" w:hAnsi="Arial" w:cs="Arial"/>
                <w:sz w:val="21"/>
                <w:szCs w:val="21"/>
              </w:rPr>
            </w:pPr>
          </w:p>
          <w:p w14:paraId="6E292A00" w14:textId="77777777" w:rsidR="009E2802" w:rsidRPr="00A67277" w:rsidRDefault="009E2802" w:rsidP="00862B0B">
            <w:pPr>
              <w:spacing w:before="60" w:after="60"/>
              <w:jc w:val="center"/>
              <w:rPr>
                <w:rFonts w:ascii="Arial" w:hAnsi="Arial" w:cs="Arial"/>
                <w:sz w:val="21"/>
                <w:szCs w:val="21"/>
              </w:rPr>
            </w:pPr>
          </w:p>
        </w:tc>
        <w:tc>
          <w:tcPr>
            <w:tcW w:w="169" w:type="pct"/>
          </w:tcPr>
          <w:p w14:paraId="3C3D2162" w14:textId="77777777" w:rsidR="009E2802" w:rsidRPr="00A67277" w:rsidRDefault="009E2802" w:rsidP="00862B0B">
            <w:pPr>
              <w:spacing w:before="60" w:after="60"/>
              <w:rPr>
                <w:rFonts w:ascii="Arial" w:hAnsi="Arial" w:cs="Arial"/>
                <w:sz w:val="21"/>
                <w:szCs w:val="21"/>
              </w:rPr>
            </w:pPr>
          </w:p>
        </w:tc>
        <w:tc>
          <w:tcPr>
            <w:tcW w:w="2561" w:type="pct"/>
            <w:gridSpan w:val="2"/>
          </w:tcPr>
          <w:p w14:paraId="10368F49" w14:textId="3FB32628" w:rsidR="009E2802" w:rsidRPr="00A67277" w:rsidRDefault="009E2802" w:rsidP="00862B0B">
            <w:pPr>
              <w:pStyle w:val="Body2"/>
              <w:spacing w:before="60" w:after="60"/>
              <w:ind w:left="878"/>
              <w:rPr>
                <w:rFonts w:cs="Arial"/>
              </w:rPr>
            </w:pPr>
            <w:r w:rsidRPr="00A67277">
              <w:rPr>
                <w:rFonts w:cs="Arial"/>
                <w:b/>
              </w:rPr>
              <w:t xml:space="preserve">Pihak Pembiaya </w:t>
            </w:r>
            <w:r w:rsidRPr="00A67277">
              <w:rPr>
                <w:rFonts w:cs="Arial"/>
              </w:rPr>
              <w:t xml:space="preserve">berarti setiap orang atau orang-orang yang menyediakan Hutang Senior </w:t>
            </w:r>
            <w:r w:rsidRPr="00A67277">
              <w:rPr>
                <w:rFonts w:eastAsia="PMingLiU" w:cs="Arial"/>
              </w:rPr>
              <w:t xml:space="preserve">berdasarkan </w:t>
            </w:r>
            <w:r w:rsidRPr="00A67277">
              <w:rPr>
                <w:rFonts w:cs="Arial"/>
              </w:rPr>
              <w:t>Dokumen Pembiayaan kepada BUP untuk desain, perekayasaan, pengadaan, konstruksi, kepemilikan, operasi dan pemeliharaan dari Proyek dan penerus dan penerima pengalihan mereka yang diperbolehkan, termasuk segala agen dan wali untuk mereka tapi tidak termasuk suatu Pemegang Saham atau Afilisasi dari Pemegang Saham sehubungan dengan hutang yang membentuk Ekuitas;</w:t>
            </w:r>
          </w:p>
        </w:tc>
      </w:tr>
      <w:tr w:rsidR="009E2802" w:rsidRPr="00A67277" w14:paraId="5B823E94" w14:textId="77777777" w:rsidTr="00862B0B">
        <w:tc>
          <w:tcPr>
            <w:tcW w:w="2270" w:type="pct"/>
          </w:tcPr>
          <w:p w14:paraId="29A957B2" w14:textId="54D3132D" w:rsidR="009E2802" w:rsidRPr="00A67277" w:rsidRDefault="009E2802" w:rsidP="00862B0B">
            <w:pPr>
              <w:pStyle w:val="Body2"/>
              <w:spacing w:before="60" w:after="60"/>
              <w:ind w:left="851"/>
              <w:rPr>
                <w:rFonts w:cs="Arial"/>
              </w:rPr>
            </w:pPr>
            <w:r w:rsidRPr="00A67277">
              <w:rPr>
                <w:rFonts w:cs="Arial"/>
                <w:b/>
              </w:rPr>
              <w:lastRenderedPageBreak/>
              <w:t>GCA Consent Letter</w:t>
            </w:r>
            <w:r w:rsidRPr="00A67277">
              <w:rPr>
                <w:rFonts w:cs="Arial"/>
              </w:rPr>
              <w:t xml:space="preserve"> means GCA consent letter to be entered into between GCA, the IBE and the Financing Party in substantially the same form </w:t>
            </w:r>
            <w:r>
              <w:rPr>
                <w:rFonts w:cs="Arial"/>
              </w:rPr>
              <w:t xml:space="preserve">as </w:t>
            </w:r>
            <w:r w:rsidRPr="00A67277">
              <w:rPr>
                <w:rFonts w:cs="Arial"/>
              </w:rPr>
              <w:t>contained in Appendix 19 (</w:t>
            </w:r>
            <w:r w:rsidRPr="00A67277">
              <w:rPr>
                <w:rFonts w:cs="Arial"/>
                <w:i/>
              </w:rPr>
              <w:t>GCA's Consent Letter</w:t>
            </w:r>
            <w:r w:rsidRPr="00A67277">
              <w:rPr>
                <w:rFonts w:cs="Arial"/>
              </w:rPr>
              <w:t>);</w:t>
            </w:r>
          </w:p>
        </w:tc>
        <w:tc>
          <w:tcPr>
            <w:tcW w:w="169" w:type="pct"/>
          </w:tcPr>
          <w:p w14:paraId="60961BBB" w14:textId="77777777" w:rsidR="009E2802" w:rsidRPr="00A67277" w:rsidRDefault="009E2802" w:rsidP="00862B0B">
            <w:pPr>
              <w:spacing w:before="60" w:after="60"/>
              <w:rPr>
                <w:rFonts w:ascii="Arial" w:hAnsi="Arial" w:cs="Arial"/>
                <w:sz w:val="21"/>
                <w:szCs w:val="21"/>
              </w:rPr>
            </w:pPr>
          </w:p>
        </w:tc>
        <w:tc>
          <w:tcPr>
            <w:tcW w:w="2561" w:type="pct"/>
            <w:gridSpan w:val="2"/>
          </w:tcPr>
          <w:p w14:paraId="79B2CD7D" w14:textId="5BAF33B8" w:rsidR="009E2802" w:rsidRPr="00A67277" w:rsidRDefault="009E2802" w:rsidP="00862B0B">
            <w:pPr>
              <w:pStyle w:val="Body2"/>
              <w:spacing w:before="60" w:after="60"/>
              <w:ind w:left="878"/>
              <w:rPr>
                <w:rFonts w:cs="Arial"/>
              </w:rPr>
            </w:pPr>
            <w:r w:rsidRPr="00A67277">
              <w:rPr>
                <w:rFonts w:cs="Arial"/>
                <w:b/>
              </w:rPr>
              <w:t>Surat Persetujuan PJPK</w:t>
            </w:r>
            <w:r w:rsidRPr="00A67277">
              <w:rPr>
                <w:rFonts w:cs="Arial"/>
              </w:rPr>
              <w:t xml:space="preserve"> berarti surat persetujuan PJPK yang akan ditandatangani di antara PJPK, BUP dan Pihak Pembiaya yang secara substansi sama dengan format yang tercantum dalam Lampiran 19 (</w:t>
            </w:r>
            <w:r w:rsidRPr="00A67277">
              <w:rPr>
                <w:rFonts w:cs="Arial"/>
                <w:i/>
              </w:rPr>
              <w:t>Surat Persetujuan PJPK</w:t>
            </w:r>
            <w:r w:rsidRPr="00A67277">
              <w:rPr>
                <w:rFonts w:cs="Arial"/>
              </w:rPr>
              <w:t>);</w:t>
            </w:r>
          </w:p>
        </w:tc>
      </w:tr>
      <w:tr w:rsidR="009E2802" w:rsidRPr="00A67277" w14:paraId="706398C7" w14:textId="77777777" w:rsidTr="00862B0B">
        <w:tc>
          <w:tcPr>
            <w:tcW w:w="2270" w:type="pct"/>
          </w:tcPr>
          <w:p w14:paraId="2EA78B82" w14:textId="1F4F9A3E" w:rsidR="009E2802" w:rsidRPr="00A67277" w:rsidRDefault="009E2802" w:rsidP="00862B0B">
            <w:pPr>
              <w:pStyle w:val="Body2"/>
              <w:spacing w:before="60" w:after="60"/>
              <w:ind w:left="851"/>
              <w:rPr>
                <w:rFonts w:cs="Arial"/>
              </w:rPr>
            </w:pPr>
            <w:bookmarkStart w:id="22" w:name="_Hlk36403620"/>
            <w:bookmarkStart w:id="23" w:name="_Toc501177815"/>
            <w:r w:rsidRPr="00A67277">
              <w:rPr>
                <w:rFonts w:cs="Arial"/>
                <w:b/>
              </w:rPr>
              <w:t xml:space="preserve">GCA Conditions Precedent </w:t>
            </w:r>
            <w:r>
              <w:rPr>
                <w:rFonts w:cs="Arial"/>
                <w:b/>
              </w:rPr>
              <w:t xml:space="preserve">Default </w:t>
            </w:r>
            <w:r w:rsidRPr="00A67277">
              <w:rPr>
                <w:rFonts w:cs="Arial"/>
                <w:b/>
              </w:rPr>
              <w:t>Event</w:t>
            </w:r>
            <w:r w:rsidRPr="00A67277">
              <w:rPr>
                <w:rFonts w:cs="Arial"/>
              </w:rPr>
              <w:t xml:space="preserve"> </w:t>
            </w:r>
            <w:bookmarkEnd w:id="22"/>
            <w:r w:rsidRPr="00A67277">
              <w:rPr>
                <w:rFonts w:cs="Arial"/>
              </w:rPr>
              <w:t>means:</w:t>
            </w:r>
            <w:bookmarkEnd w:id="23"/>
          </w:p>
          <w:p w14:paraId="6C9FC899" w14:textId="77777777" w:rsidR="009E2802" w:rsidRPr="00A67277" w:rsidRDefault="009E2802" w:rsidP="00862B0B">
            <w:pPr>
              <w:spacing w:before="60" w:after="60"/>
              <w:jc w:val="center"/>
              <w:rPr>
                <w:rFonts w:ascii="Arial" w:hAnsi="Arial" w:cs="Arial"/>
                <w:sz w:val="21"/>
                <w:szCs w:val="21"/>
              </w:rPr>
            </w:pPr>
          </w:p>
        </w:tc>
        <w:tc>
          <w:tcPr>
            <w:tcW w:w="169" w:type="pct"/>
          </w:tcPr>
          <w:p w14:paraId="48DF95A2" w14:textId="77777777" w:rsidR="009E2802" w:rsidRPr="00A67277" w:rsidRDefault="009E2802" w:rsidP="00862B0B">
            <w:pPr>
              <w:spacing w:before="60" w:after="60"/>
              <w:rPr>
                <w:rFonts w:ascii="Arial" w:hAnsi="Arial" w:cs="Arial"/>
                <w:sz w:val="21"/>
                <w:szCs w:val="21"/>
              </w:rPr>
            </w:pPr>
          </w:p>
        </w:tc>
        <w:tc>
          <w:tcPr>
            <w:tcW w:w="2561" w:type="pct"/>
            <w:gridSpan w:val="2"/>
          </w:tcPr>
          <w:p w14:paraId="447C5206" w14:textId="77777777" w:rsidR="009E2802" w:rsidRPr="00A67277" w:rsidRDefault="009E2802" w:rsidP="00862B0B">
            <w:pPr>
              <w:pStyle w:val="Body2"/>
              <w:spacing w:before="60" w:after="60"/>
              <w:ind w:left="878"/>
              <w:outlineLvl w:val="0"/>
              <w:rPr>
                <w:rFonts w:cs="Arial"/>
              </w:rPr>
            </w:pPr>
            <w:r w:rsidRPr="00A67277">
              <w:rPr>
                <w:rFonts w:cs="Arial"/>
                <w:b/>
              </w:rPr>
              <w:t>Peristiwa Kegagalan Persyaratan Pendahuluan PJPK</w:t>
            </w:r>
            <w:r w:rsidRPr="00A67277">
              <w:rPr>
                <w:rFonts w:cs="Arial"/>
              </w:rPr>
              <w:t xml:space="preserve"> berarti:</w:t>
            </w:r>
          </w:p>
        </w:tc>
      </w:tr>
      <w:tr w:rsidR="009E2802" w:rsidRPr="00A67277" w14:paraId="314C2584" w14:textId="77777777" w:rsidTr="00862B0B">
        <w:tc>
          <w:tcPr>
            <w:tcW w:w="2270" w:type="pct"/>
          </w:tcPr>
          <w:p w14:paraId="37E8FA03" w14:textId="77777777" w:rsidR="009E2802" w:rsidRPr="00A67277" w:rsidRDefault="009E2802" w:rsidP="00862B0B">
            <w:pPr>
              <w:pStyle w:val="ListParagraph"/>
              <w:numPr>
                <w:ilvl w:val="0"/>
                <w:numId w:val="182"/>
              </w:numPr>
              <w:spacing w:before="60" w:after="60" w:line="240" w:lineRule="auto"/>
              <w:ind w:left="1276" w:hanging="425"/>
              <w:rPr>
                <w:rFonts w:cs="Arial"/>
              </w:rPr>
            </w:pPr>
            <w:r w:rsidRPr="00A67277">
              <w:rPr>
                <w:rFonts w:cs="Arial"/>
              </w:rPr>
              <w:t>a failure or delay by GCA to satisfy, or procure the satisfaction of, conditions precedent which must be completed by the GCA as provided in Section 2 of Appendix 2 (</w:t>
            </w:r>
            <w:r w:rsidRPr="00A67277">
              <w:rPr>
                <w:rFonts w:cs="Arial"/>
                <w:i/>
              </w:rPr>
              <w:t>Conditions Precedent</w:t>
            </w:r>
            <w:r w:rsidRPr="00A67277">
              <w:rPr>
                <w:rFonts w:cs="Arial"/>
              </w:rPr>
              <w:t>) on or before the Scheduled Effective Date in connection with the Project on or before such date; or</w:t>
            </w:r>
          </w:p>
        </w:tc>
        <w:tc>
          <w:tcPr>
            <w:tcW w:w="169" w:type="pct"/>
          </w:tcPr>
          <w:p w14:paraId="7FCC1855" w14:textId="77777777" w:rsidR="009E2802" w:rsidRPr="00A67277" w:rsidRDefault="009E2802" w:rsidP="00862B0B">
            <w:pPr>
              <w:spacing w:before="60" w:after="60"/>
              <w:rPr>
                <w:rFonts w:ascii="Arial" w:hAnsi="Arial" w:cs="Arial"/>
                <w:sz w:val="21"/>
                <w:szCs w:val="21"/>
              </w:rPr>
            </w:pPr>
          </w:p>
        </w:tc>
        <w:tc>
          <w:tcPr>
            <w:tcW w:w="2561" w:type="pct"/>
            <w:gridSpan w:val="2"/>
          </w:tcPr>
          <w:p w14:paraId="53CE6D83" w14:textId="77777777" w:rsidR="009E2802" w:rsidRPr="00A67277" w:rsidRDefault="009E2802" w:rsidP="00862B0B">
            <w:pPr>
              <w:pStyle w:val="Body2"/>
              <w:numPr>
                <w:ilvl w:val="0"/>
                <w:numId w:val="219"/>
              </w:numPr>
              <w:spacing w:before="60" w:after="60"/>
              <w:ind w:left="1250" w:hanging="425"/>
              <w:rPr>
                <w:rFonts w:cs="Arial"/>
                <w:b/>
              </w:rPr>
            </w:pPr>
            <w:r w:rsidRPr="00A67277">
              <w:rPr>
                <w:rFonts w:cs="Arial"/>
              </w:rPr>
              <w:t>suatu kegagalan atau keterlambatan oleh PJPK untuk memenuhi, atau mengadakan pemenuhan dari, persyaratan pendahuluan yang harus dipenuhi oleh PJPK sebagaimana yang diatur dalam Bagian 2 dari Lampiran 2 (</w:t>
            </w:r>
            <w:r w:rsidRPr="00A67277">
              <w:rPr>
                <w:rFonts w:cs="Arial"/>
                <w:i/>
              </w:rPr>
              <w:t>Persyaratan Pendahuluan</w:t>
            </w:r>
            <w:r w:rsidRPr="00A67277">
              <w:rPr>
                <w:rFonts w:cs="Arial"/>
              </w:rPr>
              <w:t>) pada saat atau sebelum Tanggal Efektif Yang Terjadwal mengenai Proyek pada atau sebelum tanggal tersebut; atau</w:t>
            </w:r>
          </w:p>
        </w:tc>
      </w:tr>
      <w:tr w:rsidR="009E2802" w:rsidRPr="00A67277" w14:paraId="77A90EA1" w14:textId="77777777" w:rsidTr="00862B0B">
        <w:tc>
          <w:tcPr>
            <w:tcW w:w="2270" w:type="pct"/>
          </w:tcPr>
          <w:p w14:paraId="5147F425" w14:textId="77777777" w:rsidR="009E2802" w:rsidRPr="00A67277" w:rsidRDefault="009E2802" w:rsidP="00862B0B">
            <w:pPr>
              <w:pStyle w:val="ListParagraph"/>
              <w:numPr>
                <w:ilvl w:val="0"/>
                <w:numId w:val="182"/>
              </w:numPr>
              <w:spacing w:before="60" w:after="60" w:line="240" w:lineRule="auto"/>
              <w:ind w:left="1276" w:hanging="425"/>
              <w:rPr>
                <w:rFonts w:cs="Arial"/>
              </w:rPr>
            </w:pPr>
            <w:r w:rsidRPr="00A67277">
              <w:rPr>
                <w:rFonts w:cs="Arial"/>
              </w:rPr>
              <w:t>a GCA Delay Event;</w:t>
            </w:r>
          </w:p>
        </w:tc>
        <w:tc>
          <w:tcPr>
            <w:tcW w:w="169" w:type="pct"/>
          </w:tcPr>
          <w:p w14:paraId="506E1C50" w14:textId="77777777" w:rsidR="009E2802" w:rsidRPr="00A67277" w:rsidRDefault="009E2802" w:rsidP="00862B0B">
            <w:pPr>
              <w:spacing w:before="60" w:after="60"/>
              <w:rPr>
                <w:rFonts w:ascii="Arial" w:hAnsi="Arial" w:cs="Arial"/>
                <w:sz w:val="21"/>
                <w:szCs w:val="21"/>
              </w:rPr>
            </w:pPr>
          </w:p>
        </w:tc>
        <w:tc>
          <w:tcPr>
            <w:tcW w:w="2561" w:type="pct"/>
            <w:gridSpan w:val="2"/>
          </w:tcPr>
          <w:p w14:paraId="2B40FFFB" w14:textId="77777777" w:rsidR="009E2802" w:rsidRPr="00A67277" w:rsidRDefault="009E2802" w:rsidP="00862B0B">
            <w:pPr>
              <w:pStyle w:val="Body2"/>
              <w:numPr>
                <w:ilvl w:val="0"/>
                <w:numId w:val="219"/>
              </w:numPr>
              <w:spacing w:before="60" w:after="60"/>
              <w:ind w:left="1303" w:hanging="425"/>
              <w:rPr>
                <w:rFonts w:cs="Arial"/>
                <w:b/>
              </w:rPr>
            </w:pPr>
            <w:r w:rsidRPr="00A67277">
              <w:rPr>
                <w:rFonts w:cs="Arial"/>
              </w:rPr>
              <w:t>suatu Peristiwa Keterlambatan PJPK;</w:t>
            </w:r>
          </w:p>
        </w:tc>
      </w:tr>
      <w:tr w:rsidR="009E2802" w:rsidRPr="00A67277" w14:paraId="1BA7EB4B" w14:textId="77777777" w:rsidTr="00862B0B">
        <w:tc>
          <w:tcPr>
            <w:tcW w:w="2270" w:type="pct"/>
          </w:tcPr>
          <w:p w14:paraId="2BA33D83" w14:textId="363A129B" w:rsidR="009E2802" w:rsidRPr="00A67277" w:rsidRDefault="009E2802" w:rsidP="00862B0B">
            <w:pPr>
              <w:pStyle w:val="Body2"/>
              <w:spacing w:before="60" w:after="60"/>
              <w:ind w:left="851"/>
              <w:rPr>
                <w:rFonts w:cs="Arial"/>
              </w:rPr>
            </w:pPr>
            <w:bookmarkStart w:id="24" w:name="_Toc501177816"/>
            <w:r w:rsidRPr="00A67277">
              <w:rPr>
                <w:rFonts w:cs="Arial"/>
                <w:b/>
              </w:rPr>
              <w:t>GCA Parties</w:t>
            </w:r>
            <w:r w:rsidRPr="00A67277">
              <w:rPr>
                <w:rFonts w:cs="Arial"/>
              </w:rPr>
              <w:t xml:space="preserve"> means:</w:t>
            </w:r>
            <w:bookmarkEnd w:id="24"/>
          </w:p>
        </w:tc>
        <w:tc>
          <w:tcPr>
            <w:tcW w:w="169" w:type="pct"/>
          </w:tcPr>
          <w:p w14:paraId="307B8A5B" w14:textId="77777777" w:rsidR="009E2802" w:rsidRPr="00A67277" w:rsidRDefault="009E2802" w:rsidP="00862B0B">
            <w:pPr>
              <w:spacing w:before="60" w:after="60"/>
              <w:rPr>
                <w:rFonts w:ascii="Arial" w:hAnsi="Arial" w:cs="Arial"/>
                <w:sz w:val="21"/>
                <w:szCs w:val="21"/>
              </w:rPr>
            </w:pPr>
          </w:p>
        </w:tc>
        <w:tc>
          <w:tcPr>
            <w:tcW w:w="2561" w:type="pct"/>
            <w:gridSpan w:val="2"/>
          </w:tcPr>
          <w:p w14:paraId="0E778EA4" w14:textId="77777777" w:rsidR="009E2802" w:rsidRPr="00A67277" w:rsidRDefault="009E2802" w:rsidP="00862B0B">
            <w:pPr>
              <w:pStyle w:val="Body2"/>
              <w:spacing w:before="60" w:after="60"/>
              <w:ind w:left="878"/>
              <w:outlineLvl w:val="0"/>
              <w:rPr>
                <w:rFonts w:cs="Arial"/>
              </w:rPr>
            </w:pPr>
            <w:r w:rsidRPr="00A67277">
              <w:rPr>
                <w:rFonts w:cs="Arial"/>
                <w:b/>
              </w:rPr>
              <w:t>Pihak PJPK</w:t>
            </w:r>
            <w:r w:rsidRPr="00A67277">
              <w:rPr>
                <w:rFonts w:cs="Arial"/>
              </w:rPr>
              <w:t xml:space="preserve"> berarti:</w:t>
            </w:r>
          </w:p>
        </w:tc>
      </w:tr>
      <w:tr w:rsidR="009E2802" w:rsidRPr="00A67277" w14:paraId="2270413D" w14:textId="77777777" w:rsidTr="00862B0B">
        <w:tc>
          <w:tcPr>
            <w:tcW w:w="2270" w:type="pct"/>
          </w:tcPr>
          <w:p w14:paraId="13FA5B30" w14:textId="77777777" w:rsidR="009E2802" w:rsidRPr="00A67277" w:rsidRDefault="009E2802" w:rsidP="00862B0B">
            <w:pPr>
              <w:pStyle w:val="ListParagraph"/>
              <w:numPr>
                <w:ilvl w:val="0"/>
                <w:numId w:val="183"/>
              </w:numPr>
              <w:spacing w:before="60" w:after="60" w:line="240" w:lineRule="auto"/>
              <w:ind w:left="1276" w:hanging="425"/>
              <w:rPr>
                <w:rFonts w:cs="Arial"/>
              </w:rPr>
            </w:pPr>
            <w:r w:rsidRPr="00A67277">
              <w:rPr>
                <w:rFonts w:cs="Arial"/>
              </w:rPr>
              <w:t>the GCA; and</w:t>
            </w:r>
          </w:p>
        </w:tc>
        <w:tc>
          <w:tcPr>
            <w:tcW w:w="169" w:type="pct"/>
          </w:tcPr>
          <w:p w14:paraId="06890A19" w14:textId="77777777" w:rsidR="009E2802" w:rsidRPr="00A67277" w:rsidRDefault="009E2802" w:rsidP="00862B0B">
            <w:pPr>
              <w:spacing w:before="60" w:after="60"/>
              <w:rPr>
                <w:rFonts w:ascii="Arial" w:hAnsi="Arial" w:cs="Arial"/>
                <w:sz w:val="21"/>
                <w:szCs w:val="21"/>
              </w:rPr>
            </w:pPr>
          </w:p>
        </w:tc>
        <w:tc>
          <w:tcPr>
            <w:tcW w:w="2561" w:type="pct"/>
            <w:gridSpan w:val="2"/>
          </w:tcPr>
          <w:p w14:paraId="52550366" w14:textId="77777777" w:rsidR="009E2802" w:rsidRPr="00A67277" w:rsidRDefault="009E2802" w:rsidP="00862B0B">
            <w:pPr>
              <w:pStyle w:val="Body2"/>
              <w:numPr>
                <w:ilvl w:val="0"/>
                <w:numId w:val="220"/>
              </w:numPr>
              <w:spacing w:before="60" w:after="60"/>
              <w:ind w:hanging="376"/>
              <w:rPr>
                <w:rFonts w:cs="Arial"/>
                <w:b/>
              </w:rPr>
            </w:pPr>
            <w:r w:rsidRPr="00A67277">
              <w:rPr>
                <w:rFonts w:cs="Arial"/>
              </w:rPr>
              <w:t>PJPK; dan</w:t>
            </w:r>
          </w:p>
        </w:tc>
      </w:tr>
      <w:tr w:rsidR="009E2802" w:rsidRPr="00A67277" w14:paraId="15F127D2" w14:textId="77777777" w:rsidTr="00862B0B">
        <w:tc>
          <w:tcPr>
            <w:tcW w:w="2270" w:type="pct"/>
          </w:tcPr>
          <w:p w14:paraId="47838B30" w14:textId="77777777" w:rsidR="009E2802" w:rsidRPr="00A67277" w:rsidRDefault="009E2802" w:rsidP="00862B0B">
            <w:pPr>
              <w:pStyle w:val="ListParagraph"/>
              <w:numPr>
                <w:ilvl w:val="0"/>
                <w:numId w:val="183"/>
              </w:numPr>
              <w:spacing w:before="60" w:after="60" w:line="240" w:lineRule="auto"/>
              <w:ind w:left="1276" w:hanging="425"/>
              <w:rPr>
                <w:rFonts w:cs="Arial"/>
              </w:rPr>
            </w:pPr>
            <w:r w:rsidRPr="00A67277">
              <w:rPr>
                <w:rFonts w:cs="Arial"/>
              </w:rPr>
              <w:t>each of its officers, employees, agents, representatives, Affiliates, contractors and licensees, and their respective officers and employees;</w:t>
            </w:r>
          </w:p>
        </w:tc>
        <w:tc>
          <w:tcPr>
            <w:tcW w:w="169" w:type="pct"/>
          </w:tcPr>
          <w:p w14:paraId="1C7F9BF6" w14:textId="77777777" w:rsidR="009E2802" w:rsidRPr="00A67277" w:rsidRDefault="009E2802" w:rsidP="00862B0B">
            <w:pPr>
              <w:spacing w:before="60" w:after="60"/>
              <w:rPr>
                <w:rFonts w:ascii="Arial" w:hAnsi="Arial" w:cs="Arial"/>
                <w:sz w:val="21"/>
                <w:szCs w:val="21"/>
              </w:rPr>
            </w:pPr>
          </w:p>
        </w:tc>
        <w:tc>
          <w:tcPr>
            <w:tcW w:w="2561" w:type="pct"/>
            <w:gridSpan w:val="2"/>
          </w:tcPr>
          <w:p w14:paraId="668EF8F1" w14:textId="5E2DAE8D" w:rsidR="009E2802" w:rsidRPr="00A67277" w:rsidRDefault="009E2802" w:rsidP="00862B0B">
            <w:pPr>
              <w:pStyle w:val="Body2"/>
              <w:numPr>
                <w:ilvl w:val="0"/>
                <w:numId w:val="220"/>
              </w:numPr>
              <w:spacing w:before="60" w:after="60"/>
              <w:ind w:left="1303" w:hanging="425"/>
              <w:rPr>
                <w:rFonts w:cs="Arial"/>
                <w:b/>
              </w:rPr>
            </w:pPr>
            <w:r w:rsidRPr="00A67277">
              <w:rPr>
                <w:rFonts w:cs="Arial"/>
              </w:rPr>
              <w:t>setiap petugas, karyawan, agen, perwakilan, Afiliasi, kontraktor dan pemegang lisensi dari PJPK, dan masing-masing dari petugas dan karyawan mereka;</w:t>
            </w:r>
          </w:p>
        </w:tc>
      </w:tr>
      <w:tr w:rsidR="009E2802" w:rsidRPr="00A67277" w14:paraId="76A55DA1" w14:textId="77777777" w:rsidTr="00862B0B">
        <w:tc>
          <w:tcPr>
            <w:tcW w:w="2270" w:type="pct"/>
          </w:tcPr>
          <w:p w14:paraId="5F9156D7" w14:textId="77777777" w:rsidR="009E2802" w:rsidRPr="00A67277" w:rsidRDefault="009E2802" w:rsidP="00862B0B">
            <w:pPr>
              <w:pStyle w:val="Body2"/>
              <w:spacing w:before="60" w:after="60"/>
              <w:ind w:left="851"/>
              <w:rPr>
                <w:rFonts w:cs="Arial"/>
              </w:rPr>
            </w:pPr>
            <w:r w:rsidRPr="00A67277">
              <w:rPr>
                <w:rFonts w:cs="Arial"/>
                <w:b/>
              </w:rPr>
              <w:t>GCA Voluntary Take-over Event</w:t>
            </w:r>
            <w:r w:rsidRPr="00A67277">
              <w:rPr>
                <w:rFonts w:cs="Arial"/>
              </w:rPr>
              <w:t xml:space="preserve"> is defined in Clause 24.3 (</w:t>
            </w:r>
            <w:r w:rsidRPr="00A67277">
              <w:rPr>
                <w:rFonts w:cs="Arial"/>
                <w:i/>
              </w:rPr>
              <w:t>Termination upon GCA Voluntary Take-over Event</w:t>
            </w:r>
            <w:r w:rsidRPr="00A67277">
              <w:rPr>
                <w:rFonts w:cs="Arial"/>
              </w:rPr>
              <w:t>);</w:t>
            </w:r>
          </w:p>
        </w:tc>
        <w:tc>
          <w:tcPr>
            <w:tcW w:w="169" w:type="pct"/>
          </w:tcPr>
          <w:p w14:paraId="65BD4EBE" w14:textId="77777777" w:rsidR="009E2802" w:rsidRPr="00A67277" w:rsidRDefault="009E2802" w:rsidP="00862B0B">
            <w:pPr>
              <w:spacing w:before="60" w:after="60"/>
              <w:rPr>
                <w:rFonts w:ascii="Arial" w:hAnsi="Arial" w:cs="Arial"/>
                <w:sz w:val="21"/>
                <w:szCs w:val="21"/>
              </w:rPr>
            </w:pPr>
          </w:p>
        </w:tc>
        <w:tc>
          <w:tcPr>
            <w:tcW w:w="2561" w:type="pct"/>
            <w:gridSpan w:val="2"/>
          </w:tcPr>
          <w:p w14:paraId="2A82CAA8" w14:textId="77777777" w:rsidR="009E2802" w:rsidRPr="00A67277" w:rsidRDefault="009E2802" w:rsidP="00862B0B">
            <w:pPr>
              <w:pStyle w:val="Body2"/>
              <w:spacing w:before="60" w:after="60"/>
              <w:ind w:left="878"/>
              <w:rPr>
                <w:rFonts w:cs="Arial"/>
              </w:rPr>
            </w:pPr>
            <w:r w:rsidRPr="00A67277">
              <w:rPr>
                <w:rFonts w:cs="Arial"/>
                <w:b/>
              </w:rPr>
              <w:t>Peristiwa Pengambilalihan Sukarela PJPK</w:t>
            </w:r>
            <w:r w:rsidRPr="00A67277">
              <w:rPr>
                <w:rFonts w:cs="Arial"/>
              </w:rPr>
              <w:t xml:space="preserve"> didefinisikan di dalam Pasal 24.3 (</w:t>
            </w:r>
            <w:r w:rsidRPr="00A67277">
              <w:rPr>
                <w:rFonts w:cs="Arial"/>
                <w:i/>
              </w:rPr>
              <w:t>Pengakhiran karena Peristiwa Pengambilalihan Sukarela PJPK</w:t>
            </w:r>
            <w:r w:rsidRPr="00A67277">
              <w:rPr>
                <w:rFonts w:cs="Arial"/>
              </w:rPr>
              <w:t>);</w:t>
            </w:r>
          </w:p>
        </w:tc>
      </w:tr>
      <w:tr w:rsidR="009E2802" w:rsidRPr="00A67277" w14:paraId="1BB27469" w14:textId="77777777" w:rsidTr="00862B0B">
        <w:tc>
          <w:tcPr>
            <w:tcW w:w="2270" w:type="pct"/>
          </w:tcPr>
          <w:p w14:paraId="4105D815" w14:textId="7DB207C3" w:rsidR="009E2802" w:rsidRPr="00A67277" w:rsidRDefault="009E2802" w:rsidP="00862B0B">
            <w:pPr>
              <w:pStyle w:val="Body2"/>
              <w:spacing w:before="60" w:after="60"/>
              <w:ind w:left="851"/>
              <w:rPr>
                <w:rFonts w:cs="Arial"/>
                <w:b/>
              </w:rPr>
            </w:pPr>
          </w:p>
        </w:tc>
        <w:tc>
          <w:tcPr>
            <w:tcW w:w="169" w:type="pct"/>
          </w:tcPr>
          <w:p w14:paraId="183F7B5E" w14:textId="77777777" w:rsidR="009E2802" w:rsidRPr="00A67277" w:rsidRDefault="009E2802" w:rsidP="00862B0B">
            <w:pPr>
              <w:spacing w:before="60" w:after="60" w:line="259" w:lineRule="auto"/>
              <w:rPr>
                <w:rFonts w:ascii="Arial" w:hAnsi="Arial" w:cs="Arial"/>
                <w:sz w:val="21"/>
                <w:szCs w:val="21"/>
              </w:rPr>
            </w:pPr>
          </w:p>
        </w:tc>
        <w:tc>
          <w:tcPr>
            <w:tcW w:w="2561" w:type="pct"/>
            <w:gridSpan w:val="2"/>
          </w:tcPr>
          <w:p w14:paraId="566C818A" w14:textId="3DCCEE18" w:rsidR="009E2802" w:rsidRPr="00A67277" w:rsidRDefault="009E2802" w:rsidP="00862B0B">
            <w:pPr>
              <w:pStyle w:val="Body2"/>
              <w:numPr>
                <w:ilvl w:val="0"/>
                <w:numId w:val="544"/>
              </w:numPr>
              <w:spacing w:before="60" w:after="60"/>
              <w:ind w:left="878"/>
              <w:rPr>
                <w:rFonts w:cs="Arial"/>
              </w:rPr>
            </w:pPr>
          </w:p>
        </w:tc>
      </w:tr>
      <w:tr w:rsidR="009E2802" w:rsidRPr="00A67277" w14:paraId="4CA63AFF" w14:textId="77777777" w:rsidTr="00862B0B">
        <w:tc>
          <w:tcPr>
            <w:tcW w:w="2270" w:type="pct"/>
          </w:tcPr>
          <w:p w14:paraId="28289B7D" w14:textId="2DD9D97F" w:rsidR="009E2802" w:rsidRPr="00A67277" w:rsidRDefault="009E2802" w:rsidP="00862B0B">
            <w:pPr>
              <w:pStyle w:val="Body2"/>
              <w:spacing w:before="60" w:after="60"/>
              <w:ind w:left="851"/>
              <w:rPr>
                <w:rFonts w:cs="Arial"/>
              </w:rPr>
            </w:pPr>
            <w:r w:rsidRPr="00A67277">
              <w:rPr>
                <w:rFonts w:cs="Arial"/>
                <w:b/>
              </w:rPr>
              <w:t>Good Industry Practice</w:t>
            </w:r>
            <w:r w:rsidRPr="00A67277">
              <w:rPr>
                <w:rFonts w:cs="Arial"/>
              </w:rPr>
              <w:t xml:space="preserve"> means those relevant practices, methods and acts generally </w:t>
            </w:r>
            <w:r>
              <w:rPr>
                <w:rFonts w:cs="Arial"/>
              </w:rPr>
              <w:t>applied</w:t>
            </w:r>
            <w:r w:rsidRPr="00A67277">
              <w:rPr>
                <w:rFonts w:cs="Arial"/>
              </w:rPr>
              <w:t xml:space="preserve"> in, or recognized as, the international best practices in this industry </w:t>
            </w:r>
            <w:r>
              <w:rPr>
                <w:rFonts w:cs="Arial"/>
              </w:rPr>
              <w:t>at</w:t>
            </w:r>
            <w:r w:rsidRPr="00A67277">
              <w:rPr>
                <w:rFonts w:cs="Arial"/>
              </w:rPr>
              <w:t xml:space="preserve"> that time, in the exercise of reasonable judgment in the light of the facts known or that reasonably should have been known at the time a decision is made, would be expected to accomplish the desired result in a manner consistent with Law, including taking reasonable steps to ensure that: </w:t>
            </w:r>
          </w:p>
        </w:tc>
        <w:tc>
          <w:tcPr>
            <w:tcW w:w="169" w:type="pct"/>
          </w:tcPr>
          <w:p w14:paraId="38E1DEDB" w14:textId="77777777" w:rsidR="009E2802" w:rsidRPr="00A67277" w:rsidRDefault="009E2802" w:rsidP="00862B0B">
            <w:pPr>
              <w:spacing w:before="60" w:after="60"/>
              <w:rPr>
                <w:rFonts w:ascii="Arial" w:hAnsi="Arial" w:cs="Arial"/>
                <w:sz w:val="21"/>
                <w:szCs w:val="21"/>
              </w:rPr>
            </w:pPr>
          </w:p>
        </w:tc>
        <w:tc>
          <w:tcPr>
            <w:tcW w:w="2561" w:type="pct"/>
            <w:gridSpan w:val="2"/>
          </w:tcPr>
          <w:p w14:paraId="4C2F463C" w14:textId="79D6E08A" w:rsidR="009E2802" w:rsidRPr="00A67277" w:rsidRDefault="009E2802" w:rsidP="00862B0B">
            <w:pPr>
              <w:pStyle w:val="Body2"/>
              <w:spacing w:before="60" w:after="60"/>
              <w:ind w:left="878"/>
              <w:rPr>
                <w:rFonts w:cs="Arial"/>
              </w:rPr>
            </w:pPr>
            <w:r w:rsidRPr="00A67277">
              <w:rPr>
                <w:rFonts w:cs="Arial"/>
                <w:b/>
              </w:rPr>
              <w:t>Praktik Industri Yang Baik</w:t>
            </w:r>
            <w:r w:rsidRPr="00A67277">
              <w:rPr>
                <w:rFonts w:cs="Arial"/>
              </w:rPr>
              <w:t xml:space="preserve"> berarti praktik, metode dan tindakan yang relevan yang secara umum diterapkan dalam, atau diakui sebagai, praktik terbaik internasional pada sector ini, pada waktu tersebut, dalam pelaksanaan dari pertimbangan yang wajar pada fakta-fakta yang diketahui atau secara wajar telah dapat diketahui pada saat suatu keputusan diambil, diharapkan untuk memenuhi akibat yang diinginkan yang konsisten dengan Hukum, termasuk untuk mengambil langkah-langkah wajar untuk memastikan bahwa: </w:t>
            </w:r>
          </w:p>
        </w:tc>
      </w:tr>
      <w:tr w:rsidR="009E2802" w:rsidRPr="00A67277" w14:paraId="0CD38F1B" w14:textId="77777777" w:rsidTr="00862B0B">
        <w:tc>
          <w:tcPr>
            <w:tcW w:w="2270" w:type="pct"/>
          </w:tcPr>
          <w:p w14:paraId="5DD8CD99" w14:textId="46CA3F36"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adequate materials, resources and supplies, including energy, are available to meet the operation</w:t>
            </w:r>
            <w:r>
              <w:rPr>
                <w:rFonts w:cs="Arial"/>
              </w:rPr>
              <w:t>al</w:t>
            </w:r>
            <w:r w:rsidRPr="00A67277">
              <w:rPr>
                <w:rFonts w:cs="Arial"/>
              </w:rPr>
              <w:t xml:space="preserve"> needs under normal conditions and reasonably anticipated abnormal conditions;</w:t>
            </w:r>
          </w:p>
          <w:p w14:paraId="3E58D461" w14:textId="77777777" w:rsidR="009E2802" w:rsidRPr="00A67277" w:rsidRDefault="009E2802" w:rsidP="00862B0B">
            <w:pPr>
              <w:spacing w:before="60" w:after="60"/>
              <w:rPr>
                <w:rFonts w:ascii="Arial" w:hAnsi="Arial" w:cs="Arial"/>
                <w:sz w:val="21"/>
                <w:szCs w:val="21"/>
              </w:rPr>
            </w:pPr>
          </w:p>
          <w:p w14:paraId="70D872FD" w14:textId="77777777" w:rsidR="009E2802" w:rsidRPr="00A67277" w:rsidRDefault="009E2802" w:rsidP="00862B0B">
            <w:pPr>
              <w:tabs>
                <w:tab w:val="left" w:pos="1306"/>
              </w:tabs>
              <w:spacing w:before="60" w:after="60"/>
              <w:rPr>
                <w:rFonts w:ascii="Arial" w:hAnsi="Arial" w:cs="Arial"/>
                <w:sz w:val="21"/>
                <w:szCs w:val="21"/>
              </w:rPr>
            </w:pPr>
            <w:r w:rsidRPr="00A67277">
              <w:rPr>
                <w:rFonts w:ascii="Arial" w:hAnsi="Arial" w:cs="Arial"/>
                <w:sz w:val="21"/>
                <w:szCs w:val="21"/>
              </w:rPr>
              <w:tab/>
            </w:r>
          </w:p>
        </w:tc>
        <w:tc>
          <w:tcPr>
            <w:tcW w:w="169" w:type="pct"/>
          </w:tcPr>
          <w:p w14:paraId="3AC04760" w14:textId="77777777" w:rsidR="009E2802" w:rsidRPr="00A67277" w:rsidRDefault="009E2802" w:rsidP="00862B0B">
            <w:pPr>
              <w:spacing w:before="60" w:after="60"/>
              <w:rPr>
                <w:rFonts w:ascii="Arial" w:hAnsi="Arial" w:cs="Arial"/>
                <w:sz w:val="21"/>
                <w:szCs w:val="21"/>
              </w:rPr>
            </w:pPr>
          </w:p>
        </w:tc>
        <w:tc>
          <w:tcPr>
            <w:tcW w:w="2561" w:type="pct"/>
            <w:gridSpan w:val="2"/>
          </w:tcPr>
          <w:p w14:paraId="7D7F0444" w14:textId="1BAE0D99" w:rsidR="009E2802" w:rsidRPr="00A67277" w:rsidRDefault="009E2802" w:rsidP="00862B0B">
            <w:pPr>
              <w:pStyle w:val="Body2"/>
              <w:numPr>
                <w:ilvl w:val="0"/>
                <w:numId w:val="184"/>
              </w:numPr>
              <w:spacing w:before="60" w:after="60"/>
              <w:ind w:left="1303" w:hanging="425"/>
              <w:rPr>
                <w:rFonts w:cs="Arial"/>
                <w:b/>
              </w:rPr>
            </w:pPr>
            <w:r w:rsidRPr="00A67277">
              <w:rPr>
                <w:rFonts w:cs="Arial"/>
              </w:rPr>
              <w:t>material, sumber daya dan penyediaan yang memadai, termasuk energi, tersedia untuk memenuhi kebutuhan operasi berdasarkan kondisi normal dan kondisi tidak normal secara wajar yang dapat diantisipasi;</w:t>
            </w:r>
          </w:p>
        </w:tc>
      </w:tr>
      <w:tr w:rsidR="009E2802" w:rsidRPr="00A67277" w14:paraId="5BD7F203" w14:textId="77777777" w:rsidTr="00862B0B">
        <w:tc>
          <w:tcPr>
            <w:tcW w:w="2270" w:type="pct"/>
          </w:tcPr>
          <w:p w14:paraId="2B25AF97" w14:textId="77777777"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sufficient and duly licensed (as required by Law) operating personnel are available and are adequately experienced and trained to operate the Facility properly, efficiently and taking into account manufacturer’s guidelines and specifications and are capable of responding to abnormal conditions;</w:t>
            </w:r>
          </w:p>
          <w:p w14:paraId="5FCDF0D8" w14:textId="77777777" w:rsidR="009E2802" w:rsidRPr="00A67277" w:rsidRDefault="009E2802" w:rsidP="00862B0B">
            <w:pPr>
              <w:spacing w:before="60" w:after="60"/>
              <w:jc w:val="center"/>
              <w:rPr>
                <w:rFonts w:ascii="Arial" w:hAnsi="Arial" w:cs="Arial"/>
                <w:sz w:val="21"/>
                <w:szCs w:val="21"/>
              </w:rPr>
            </w:pPr>
          </w:p>
        </w:tc>
        <w:tc>
          <w:tcPr>
            <w:tcW w:w="169" w:type="pct"/>
          </w:tcPr>
          <w:p w14:paraId="7A9D8920" w14:textId="77777777" w:rsidR="009E2802" w:rsidRPr="00A67277" w:rsidRDefault="009E2802" w:rsidP="00862B0B">
            <w:pPr>
              <w:spacing w:before="60" w:after="60"/>
              <w:rPr>
                <w:rFonts w:ascii="Arial" w:hAnsi="Arial" w:cs="Arial"/>
                <w:sz w:val="21"/>
                <w:szCs w:val="21"/>
              </w:rPr>
            </w:pPr>
          </w:p>
        </w:tc>
        <w:tc>
          <w:tcPr>
            <w:tcW w:w="2561" w:type="pct"/>
            <w:gridSpan w:val="2"/>
          </w:tcPr>
          <w:p w14:paraId="08A277BB" w14:textId="77777777" w:rsidR="009E2802" w:rsidRPr="00A67277" w:rsidRDefault="009E2802" w:rsidP="00862B0B">
            <w:pPr>
              <w:pStyle w:val="Body2"/>
              <w:numPr>
                <w:ilvl w:val="0"/>
                <w:numId w:val="184"/>
              </w:numPr>
              <w:spacing w:before="60" w:after="60"/>
              <w:ind w:left="1303" w:hanging="425"/>
              <w:rPr>
                <w:rFonts w:cs="Arial"/>
              </w:rPr>
            </w:pPr>
            <w:r w:rsidRPr="00A67277">
              <w:rPr>
                <w:rFonts w:cs="Arial"/>
              </w:rPr>
              <w:t>personil operasi yang cukup dan memiliki izin secara patut (sebagaimana yang dipersyaratkan oleh Hukum) tersedia dan berpengalaman serta terlatih secara memadai untuk mengoperasikan Fasilitas secara layak, efisien dan memperhatikan panduan dan spesifikasi pabrikan serta mampu untuk menanggapi kondisi yang tidak normal;</w:t>
            </w:r>
          </w:p>
        </w:tc>
      </w:tr>
      <w:tr w:rsidR="009E2802" w:rsidRPr="00A67277" w14:paraId="447E2B9D" w14:textId="77777777" w:rsidTr="00862B0B">
        <w:tc>
          <w:tcPr>
            <w:tcW w:w="2270" w:type="pct"/>
          </w:tcPr>
          <w:p w14:paraId="066C35F5" w14:textId="77777777"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preventative, routine and non-routine maintenance and repairs are performed on a basis that ensures reliable long term and safe operation and taking into account manufacturer’s recommendations and are performed by knowledgeable, trained and experienced personnel who are duly licensed as required by Law utilising proper equipment, tools and procedures;</w:t>
            </w:r>
          </w:p>
        </w:tc>
        <w:tc>
          <w:tcPr>
            <w:tcW w:w="169" w:type="pct"/>
          </w:tcPr>
          <w:p w14:paraId="005EBBD1" w14:textId="77777777" w:rsidR="009E2802" w:rsidRPr="00A67277" w:rsidRDefault="009E2802" w:rsidP="00862B0B">
            <w:pPr>
              <w:spacing w:before="60" w:after="60"/>
              <w:rPr>
                <w:rFonts w:ascii="Arial" w:hAnsi="Arial" w:cs="Arial"/>
                <w:sz w:val="21"/>
                <w:szCs w:val="21"/>
              </w:rPr>
            </w:pPr>
          </w:p>
        </w:tc>
        <w:tc>
          <w:tcPr>
            <w:tcW w:w="2561" w:type="pct"/>
            <w:gridSpan w:val="2"/>
          </w:tcPr>
          <w:p w14:paraId="4D580329" w14:textId="77777777" w:rsidR="009E2802" w:rsidRPr="00A67277" w:rsidRDefault="009E2802" w:rsidP="00862B0B">
            <w:pPr>
              <w:pStyle w:val="Body2"/>
              <w:numPr>
                <w:ilvl w:val="0"/>
                <w:numId w:val="184"/>
              </w:numPr>
              <w:spacing w:before="60" w:after="60"/>
              <w:ind w:left="1303" w:hanging="425"/>
              <w:rPr>
                <w:rFonts w:cs="Arial"/>
                <w:b/>
              </w:rPr>
            </w:pPr>
            <w:r w:rsidRPr="00A67277">
              <w:rPr>
                <w:rFonts w:cs="Arial"/>
              </w:rPr>
              <w:t>pemeliharaan pencegahan, rutin dan tidak rutin dan perbaikan dilaksanakan dengan dasar untuk memastikan operasi jangka panjang yang dapat diandalkan dan aman serta memperhatikan rekomendasi pabrikan dan dilaksanakan oleh personil yang berpengetahuan, terlatih dan berpengalaman yang memiliki izin sebagaimana yang dipersyaratkan oleh Hukum dengan menggunakan peralatan, perlengkapan dan prosedur yang layak;</w:t>
            </w:r>
          </w:p>
        </w:tc>
      </w:tr>
      <w:tr w:rsidR="009E2802" w:rsidRPr="00A67277" w14:paraId="18D542BF" w14:textId="77777777" w:rsidTr="00862B0B">
        <w:tc>
          <w:tcPr>
            <w:tcW w:w="2270" w:type="pct"/>
          </w:tcPr>
          <w:p w14:paraId="375C0798" w14:textId="77777777"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appropriate monitoring and testing is done to ensure the Facilities and equipment are functioning as designed and to provide assurance that equipment will function properly under both normal and abnormal conditions;</w:t>
            </w:r>
          </w:p>
          <w:p w14:paraId="609C18BA" w14:textId="77777777" w:rsidR="009E2802" w:rsidRPr="00A67277" w:rsidRDefault="009E2802" w:rsidP="00862B0B">
            <w:pPr>
              <w:spacing w:before="60" w:after="60"/>
              <w:rPr>
                <w:rFonts w:ascii="Arial" w:hAnsi="Arial" w:cs="Arial"/>
                <w:sz w:val="21"/>
                <w:szCs w:val="21"/>
              </w:rPr>
            </w:pPr>
          </w:p>
          <w:p w14:paraId="5F6D6E7C" w14:textId="77777777" w:rsidR="009E2802" w:rsidRPr="00A67277" w:rsidRDefault="009E2802" w:rsidP="00862B0B">
            <w:pPr>
              <w:spacing w:before="60" w:after="60"/>
              <w:jc w:val="center"/>
              <w:rPr>
                <w:rFonts w:ascii="Arial" w:hAnsi="Arial" w:cs="Arial"/>
                <w:sz w:val="21"/>
                <w:szCs w:val="21"/>
              </w:rPr>
            </w:pPr>
          </w:p>
        </w:tc>
        <w:tc>
          <w:tcPr>
            <w:tcW w:w="169" w:type="pct"/>
          </w:tcPr>
          <w:p w14:paraId="04347FDD" w14:textId="77777777" w:rsidR="009E2802" w:rsidRPr="00A67277" w:rsidRDefault="009E2802" w:rsidP="00862B0B">
            <w:pPr>
              <w:spacing w:before="60" w:after="60"/>
              <w:rPr>
                <w:rFonts w:ascii="Arial" w:hAnsi="Arial" w:cs="Arial"/>
                <w:sz w:val="21"/>
                <w:szCs w:val="21"/>
              </w:rPr>
            </w:pPr>
          </w:p>
        </w:tc>
        <w:tc>
          <w:tcPr>
            <w:tcW w:w="2561" w:type="pct"/>
            <w:gridSpan w:val="2"/>
          </w:tcPr>
          <w:p w14:paraId="6D19FB94" w14:textId="77777777" w:rsidR="009E2802" w:rsidRPr="00A67277" w:rsidRDefault="009E2802" w:rsidP="00862B0B">
            <w:pPr>
              <w:pStyle w:val="Body2"/>
              <w:numPr>
                <w:ilvl w:val="0"/>
                <w:numId w:val="184"/>
              </w:numPr>
              <w:spacing w:before="60" w:after="60"/>
              <w:ind w:left="1303" w:hanging="425"/>
              <w:rPr>
                <w:rFonts w:cs="Arial"/>
                <w:b/>
              </w:rPr>
            </w:pPr>
            <w:r w:rsidRPr="00A67277">
              <w:rPr>
                <w:rFonts w:cs="Arial"/>
              </w:rPr>
              <w:t>pemantauan dan pengujian yang patut dilakukan untuk memastikan Fasilitas dan peralatan berfungsi sebagaimana yang didesain untuk menyediakan kepastian bahwa peralatan akan berfungsi secara baik dalam kondisi normal maupun tidak normal;</w:t>
            </w:r>
          </w:p>
        </w:tc>
      </w:tr>
      <w:tr w:rsidR="009E2802" w:rsidRPr="00A67277" w14:paraId="3E8A84B7" w14:textId="77777777" w:rsidTr="00862B0B">
        <w:tc>
          <w:tcPr>
            <w:tcW w:w="2270" w:type="pct"/>
          </w:tcPr>
          <w:p w14:paraId="486E551B" w14:textId="5D8C9450"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 xml:space="preserve">the infrastructure and equipment </w:t>
            </w:r>
            <w:r>
              <w:rPr>
                <w:rFonts w:cs="Arial"/>
              </w:rPr>
              <w:t>are</w:t>
            </w:r>
            <w:r w:rsidRPr="00A67277">
              <w:rPr>
                <w:rFonts w:cs="Arial"/>
              </w:rPr>
              <w:t xml:space="preserve"> managed and operated in a manner safe to workers, GCA, the general public and the environment; and</w:t>
            </w:r>
          </w:p>
          <w:p w14:paraId="4BC3BDBB" w14:textId="77777777" w:rsidR="009E2802" w:rsidRPr="00A67277" w:rsidRDefault="009E2802" w:rsidP="00862B0B">
            <w:pPr>
              <w:spacing w:before="60" w:after="60"/>
              <w:rPr>
                <w:rFonts w:ascii="Arial" w:hAnsi="Arial" w:cs="Arial"/>
                <w:sz w:val="21"/>
                <w:szCs w:val="21"/>
              </w:rPr>
            </w:pPr>
          </w:p>
        </w:tc>
        <w:tc>
          <w:tcPr>
            <w:tcW w:w="169" w:type="pct"/>
          </w:tcPr>
          <w:p w14:paraId="2F528F5E" w14:textId="77777777" w:rsidR="009E2802" w:rsidRPr="00A67277" w:rsidRDefault="009E2802" w:rsidP="00862B0B">
            <w:pPr>
              <w:spacing w:before="60" w:after="60"/>
              <w:rPr>
                <w:rFonts w:ascii="Arial" w:hAnsi="Arial" w:cs="Arial"/>
                <w:sz w:val="21"/>
                <w:szCs w:val="21"/>
              </w:rPr>
            </w:pPr>
          </w:p>
        </w:tc>
        <w:tc>
          <w:tcPr>
            <w:tcW w:w="2561" w:type="pct"/>
            <w:gridSpan w:val="2"/>
          </w:tcPr>
          <w:p w14:paraId="0D52DA39" w14:textId="77777777" w:rsidR="009E2802" w:rsidRPr="00A67277" w:rsidRDefault="009E2802" w:rsidP="00862B0B">
            <w:pPr>
              <w:pStyle w:val="Body2"/>
              <w:numPr>
                <w:ilvl w:val="0"/>
                <w:numId w:val="184"/>
              </w:numPr>
              <w:spacing w:before="60" w:after="60"/>
              <w:ind w:left="1303" w:hanging="425"/>
              <w:rPr>
                <w:rFonts w:cs="Arial"/>
                <w:b/>
              </w:rPr>
            </w:pPr>
            <w:r w:rsidRPr="00A67277">
              <w:rPr>
                <w:rFonts w:cs="Arial"/>
              </w:rPr>
              <w:t>infrastruktur dan peralatannya dikelola dan dioperasikan dengan cara yang aman bagi pekerja, PJPK, masyarakat umum, dan lingkungan; dan</w:t>
            </w:r>
          </w:p>
        </w:tc>
      </w:tr>
      <w:tr w:rsidR="009E2802" w:rsidRPr="00A67277" w14:paraId="0003512E" w14:textId="77777777" w:rsidTr="00862B0B">
        <w:tc>
          <w:tcPr>
            <w:tcW w:w="2270" w:type="pct"/>
          </w:tcPr>
          <w:p w14:paraId="6312294F" w14:textId="77777777" w:rsidR="009E2802" w:rsidRPr="00A67277" w:rsidRDefault="009E2802" w:rsidP="00862B0B">
            <w:pPr>
              <w:pStyle w:val="ListParagraph"/>
              <w:numPr>
                <w:ilvl w:val="0"/>
                <w:numId w:val="221"/>
              </w:numPr>
              <w:spacing w:before="60" w:after="60" w:line="240" w:lineRule="auto"/>
              <w:ind w:left="1276" w:hanging="425"/>
              <w:rPr>
                <w:rFonts w:cs="Arial"/>
              </w:rPr>
            </w:pPr>
            <w:r w:rsidRPr="00A67277">
              <w:rPr>
                <w:rFonts w:cs="Arial"/>
              </w:rPr>
              <w:t>in undertaking all other tasks, standards, practices, methods and procedures conforming to the Law are used, and the degree of skill and care, diligence, prudence and foresight which would reasonably and ordinarily be expected from a skilled and experienced person engaged in a similar type of undertaking under the same or similar circumstances is exercised;</w:t>
            </w:r>
          </w:p>
        </w:tc>
        <w:tc>
          <w:tcPr>
            <w:tcW w:w="169" w:type="pct"/>
          </w:tcPr>
          <w:p w14:paraId="4AC7AAD1" w14:textId="77777777" w:rsidR="009E2802" w:rsidRPr="00A67277" w:rsidRDefault="009E2802" w:rsidP="00862B0B">
            <w:pPr>
              <w:spacing w:before="60" w:after="60"/>
              <w:rPr>
                <w:rFonts w:ascii="Arial" w:hAnsi="Arial" w:cs="Arial"/>
                <w:sz w:val="21"/>
                <w:szCs w:val="21"/>
              </w:rPr>
            </w:pPr>
          </w:p>
        </w:tc>
        <w:tc>
          <w:tcPr>
            <w:tcW w:w="2561" w:type="pct"/>
            <w:gridSpan w:val="2"/>
          </w:tcPr>
          <w:p w14:paraId="68F0FC13" w14:textId="77777777" w:rsidR="009E2802" w:rsidRPr="00A67277" w:rsidRDefault="009E2802" w:rsidP="00862B0B">
            <w:pPr>
              <w:pStyle w:val="Body2"/>
              <w:numPr>
                <w:ilvl w:val="0"/>
                <w:numId w:val="184"/>
              </w:numPr>
              <w:spacing w:before="60" w:after="60"/>
              <w:ind w:left="1303" w:hanging="425"/>
              <w:rPr>
                <w:rFonts w:cs="Arial"/>
                <w:b/>
              </w:rPr>
            </w:pPr>
            <w:r w:rsidRPr="00A67277">
              <w:rPr>
                <w:rFonts w:eastAsia="Times New Roman" w:cs="Arial"/>
              </w:rPr>
              <w:t>dalam melaksanakan tugas lainya, standar, praktek, metode dan prosedur yang sesuai dengan Hukum digunakan, dan tingkat dari keahlian dan perhatian, ketelitian, kehati-hatian dan pandangan ke depan yang secara wajar dan biasanya diharapkan dari orang yang ahli dan berpengalaman di jenis pelaksanaan yang serupa pada keadaan yang sama atau serupa dilaksanakan</w:t>
            </w:r>
            <w:r w:rsidRPr="00A67277">
              <w:rPr>
                <w:rFonts w:cs="Arial"/>
              </w:rPr>
              <w:t>;</w:t>
            </w:r>
          </w:p>
        </w:tc>
      </w:tr>
      <w:tr w:rsidR="009E2802" w:rsidRPr="00A67277" w14:paraId="589A46C3" w14:textId="77777777" w:rsidTr="00862B0B">
        <w:tc>
          <w:tcPr>
            <w:tcW w:w="2270" w:type="pct"/>
          </w:tcPr>
          <w:p w14:paraId="1A4DF0E2" w14:textId="77777777" w:rsidR="009E2802" w:rsidRPr="00A67277" w:rsidRDefault="009E2802" w:rsidP="00862B0B">
            <w:pPr>
              <w:pStyle w:val="Body2"/>
              <w:spacing w:before="60" w:after="60"/>
              <w:ind w:left="851"/>
              <w:rPr>
                <w:rFonts w:cs="Arial"/>
              </w:rPr>
            </w:pPr>
            <w:r w:rsidRPr="00A67277">
              <w:rPr>
                <w:rFonts w:cs="Arial"/>
                <w:b/>
              </w:rPr>
              <w:t>Government</w:t>
            </w:r>
            <w:r w:rsidRPr="00A67277">
              <w:rPr>
                <w:rFonts w:cs="Arial"/>
              </w:rPr>
              <w:t xml:space="preserve"> means the Government of the Republic of Indonesia;</w:t>
            </w:r>
          </w:p>
        </w:tc>
        <w:tc>
          <w:tcPr>
            <w:tcW w:w="169" w:type="pct"/>
          </w:tcPr>
          <w:p w14:paraId="3B1ED729" w14:textId="77777777" w:rsidR="009E2802" w:rsidRPr="00A67277" w:rsidRDefault="009E2802" w:rsidP="00862B0B">
            <w:pPr>
              <w:spacing w:before="60" w:after="60"/>
              <w:rPr>
                <w:rFonts w:ascii="Arial" w:hAnsi="Arial" w:cs="Arial"/>
                <w:sz w:val="21"/>
                <w:szCs w:val="21"/>
              </w:rPr>
            </w:pPr>
          </w:p>
        </w:tc>
        <w:tc>
          <w:tcPr>
            <w:tcW w:w="2561" w:type="pct"/>
            <w:gridSpan w:val="2"/>
          </w:tcPr>
          <w:p w14:paraId="29310505" w14:textId="77777777" w:rsidR="009E2802" w:rsidRPr="00A67277" w:rsidRDefault="009E2802" w:rsidP="00862B0B">
            <w:pPr>
              <w:pStyle w:val="Body2"/>
              <w:spacing w:before="60" w:after="60"/>
              <w:ind w:left="878"/>
              <w:rPr>
                <w:rFonts w:cs="Arial"/>
              </w:rPr>
            </w:pPr>
            <w:r w:rsidRPr="00A67277">
              <w:rPr>
                <w:rFonts w:cs="Arial"/>
                <w:b/>
              </w:rPr>
              <w:t>Pemerintah</w:t>
            </w:r>
            <w:r w:rsidRPr="00A67277">
              <w:rPr>
                <w:rFonts w:cs="Arial"/>
              </w:rPr>
              <w:t xml:space="preserve"> berarti Pemerintah Republik Indonesia;</w:t>
            </w:r>
          </w:p>
        </w:tc>
      </w:tr>
      <w:tr w:rsidR="009E2802" w:rsidRPr="00A67277" w14:paraId="195C002F" w14:textId="77777777" w:rsidTr="00862B0B">
        <w:tc>
          <w:tcPr>
            <w:tcW w:w="2270" w:type="pct"/>
          </w:tcPr>
          <w:p w14:paraId="31999EA7" w14:textId="77777777" w:rsidR="009E2802" w:rsidRPr="00A67277" w:rsidRDefault="009E2802" w:rsidP="00862B0B">
            <w:pPr>
              <w:pStyle w:val="Body2"/>
              <w:spacing w:before="60" w:after="60"/>
              <w:ind w:left="851"/>
              <w:rPr>
                <w:rFonts w:cs="Arial"/>
              </w:rPr>
            </w:pPr>
            <w:r w:rsidRPr="00A67277">
              <w:rPr>
                <w:rFonts w:cs="Arial"/>
                <w:b/>
              </w:rPr>
              <w:t>Governmental Instrumentality</w:t>
            </w:r>
            <w:r w:rsidRPr="00A67277">
              <w:rPr>
                <w:rFonts w:cs="Arial"/>
              </w:rPr>
              <w:t xml:space="preserve"> means:</w:t>
            </w:r>
          </w:p>
        </w:tc>
        <w:tc>
          <w:tcPr>
            <w:tcW w:w="169" w:type="pct"/>
          </w:tcPr>
          <w:p w14:paraId="6D683126" w14:textId="77777777" w:rsidR="009E2802" w:rsidRPr="00A67277" w:rsidRDefault="009E2802" w:rsidP="00862B0B">
            <w:pPr>
              <w:spacing w:before="60" w:after="60"/>
              <w:rPr>
                <w:rFonts w:ascii="Arial" w:hAnsi="Arial" w:cs="Arial"/>
                <w:sz w:val="21"/>
                <w:szCs w:val="21"/>
              </w:rPr>
            </w:pPr>
          </w:p>
        </w:tc>
        <w:tc>
          <w:tcPr>
            <w:tcW w:w="2561" w:type="pct"/>
            <w:gridSpan w:val="2"/>
          </w:tcPr>
          <w:p w14:paraId="51327FC1" w14:textId="77777777" w:rsidR="009E2802" w:rsidRPr="00A67277" w:rsidRDefault="009E2802" w:rsidP="00862B0B">
            <w:pPr>
              <w:pStyle w:val="Body2"/>
              <w:spacing w:before="60" w:after="60"/>
              <w:ind w:left="878"/>
              <w:rPr>
                <w:rFonts w:cs="Arial"/>
              </w:rPr>
            </w:pPr>
            <w:r w:rsidRPr="00A67277">
              <w:rPr>
                <w:rFonts w:cs="Arial"/>
                <w:b/>
              </w:rPr>
              <w:t>Lembaga Pemerintahan</w:t>
            </w:r>
            <w:r w:rsidRPr="00A67277">
              <w:rPr>
                <w:rFonts w:cs="Arial"/>
              </w:rPr>
              <w:t xml:space="preserve"> berarti: </w:t>
            </w:r>
          </w:p>
        </w:tc>
      </w:tr>
      <w:tr w:rsidR="009E2802" w:rsidRPr="00A67277" w14:paraId="4E5F5629" w14:textId="77777777" w:rsidTr="00862B0B">
        <w:tc>
          <w:tcPr>
            <w:tcW w:w="2270" w:type="pct"/>
          </w:tcPr>
          <w:p w14:paraId="797FC238" w14:textId="6409A30B" w:rsidR="009E2802" w:rsidRPr="00A67277" w:rsidRDefault="009E2802" w:rsidP="00862B0B">
            <w:pPr>
              <w:pStyle w:val="ListParagraph"/>
              <w:numPr>
                <w:ilvl w:val="0"/>
                <w:numId w:val="222"/>
              </w:numPr>
              <w:spacing w:before="60" w:after="60" w:line="240" w:lineRule="auto"/>
              <w:ind w:left="1276" w:hanging="425"/>
              <w:rPr>
                <w:rFonts w:cs="Arial"/>
              </w:rPr>
            </w:pPr>
            <w:r w:rsidRPr="00A67277">
              <w:rPr>
                <w:rFonts w:cs="Arial"/>
              </w:rPr>
              <w:t xml:space="preserve">the Government, including any ministries, departments, bodies and agencies which form part and </w:t>
            </w:r>
            <w:r>
              <w:rPr>
                <w:rFonts w:cs="Arial"/>
              </w:rPr>
              <w:t xml:space="preserve">are </w:t>
            </w:r>
            <w:r w:rsidRPr="00A67277">
              <w:rPr>
                <w:rFonts w:cs="Arial"/>
              </w:rPr>
              <w:t>inseparable from the Government, and for the avoidance of doubt shall include Parliament (</w:t>
            </w:r>
            <w:r w:rsidRPr="00A67277">
              <w:rPr>
                <w:rFonts w:cs="Arial"/>
                <w:i/>
              </w:rPr>
              <w:t>Dewan Perwakilan Rakyat</w:t>
            </w:r>
            <w:r w:rsidRPr="00A67277">
              <w:rPr>
                <w:rFonts w:cs="Arial"/>
              </w:rPr>
              <w:t>) but exclude State-owned enterprises; and</w:t>
            </w:r>
          </w:p>
        </w:tc>
        <w:tc>
          <w:tcPr>
            <w:tcW w:w="169" w:type="pct"/>
          </w:tcPr>
          <w:p w14:paraId="354AD28F" w14:textId="77777777" w:rsidR="009E2802" w:rsidRPr="00A67277" w:rsidRDefault="009E2802" w:rsidP="00862B0B">
            <w:pPr>
              <w:spacing w:before="60" w:after="60"/>
              <w:rPr>
                <w:rFonts w:ascii="Arial" w:hAnsi="Arial" w:cs="Arial"/>
                <w:sz w:val="21"/>
                <w:szCs w:val="21"/>
              </w:rPr>
            </w:pPr>
          </w:p>
        </w:tc>
        <w:tc>
          <w:tcPr>
            <w:tcW w:w="2561" w:type="pct"/>
            <w:gridSpan w:val="2"/>
          </w:tcPr>
          <w:p w14:paraId="127C874D" w14:textId="77777777" w:rsidR="009E2802" w:rsidRPr="00A67277" w:rsidRDefault="009E2802" w:rsidP="00862B0B">
            <w:pPr>
              <w:pStyle w:val="Body2"/>
              <w:numPr>
                <w:ilvl w:val="0"/>
                <w:numId w:val="185"/>
              </w:numPr>
              <w:spacing w:before="60" w:after="60"/>
              <w:ind w:left="1303" w:hanging="425"/>
              <w:rPr>
                <w:rFonts w:cs="Arial"/>
                <w:b/>
              </w:rPr>
            </w:pPr>
            <w:r w:rsidRPr="00A67277">
              <w:rPr>
                <w:rFonts w:cs="Arial"/>
              </w:rPr>
              <w:t>Pemerintah, termasuk segala kementerian, departemen, badan dan lembaga yang membentuk bagian dan tidak terpisahkan dari Pemerintah, dan untuk menghindari keraguan termasuk Dewan Perwakilan Rakyat tetapi tidak termasuk badan usaha milik Negara; dan</w:t>
            </w:r>
          </w:p>
        </w:tc>
      </w:tr>
      <w:tr w:rsidR="009E2802" w:rsidRPr="00A67277" w14:paraId="3F1EAE1C" w14:textId="77777777" w:rsidTr="00862B0B">
        <w:tc>
          <w:tcPr>
            <w:tcW w:w="2270" w:type="pct"/>
          </w:tcPr>
          <w:p w14:paraId="3A793DC9" w14:textId="4EDBC016" w:rsidR="009E2802" w:rsidRPr="00A67277" w:rsidRDefault="009E2802" w:rsidP="00862B0B">
            <w:pPr>
              <w:pStyle w:val="ListParagraph"/>
              <w:numPr>
                <w:ilvl w:val="0"/>
                <w:numId w:val="222"/>
              </w:numPr>
              <w:spacing w:before="60" w:after="60" w:line="240" w:lineRule="auto"/>
              <w:ind w:left="1276" w:hanging="425"/>
              <w:rPr>
                <w:rFonts w:cs="Arial"/>
              </w:rPr>
            </w:pPr>
            <w:r w:rsidRPr="00A67277">
              <w:rPr>
                <w:rFonts w:cs="Arial"/>
              </w:rPr>
              <w:t xml:space="preserve">any provincial government, regency government or city government, including </w:t>
            </w:r>
            <w:r>
              <w:rPr>
                <w:rFonts w:cs="Arial"/>
              </w:rPr>
              <w:t xml:space="preserve">regional heads </w:t>
            </w:r>
            <w:r w:rsidRPr="00A67277">
              <w:rPr>
                <w:rFonts w:cs="Arial"/>
              </w:rPr>
              <w:t>(</w:t>
            </w:r>
            <w:r w:rsidRPr="00A67277">
              <w:rPr>
                <w:rFonts w:cs="Arial"/>
                <w:i/>
              </w:rPr>
              <w:t>kepala daerah</w:t>
            </w:r>
            <w:r w:rsidRPr="00A67277">
              <w:rPr>
                <w:rFonts w:cs="Arial"/>
              </w:rPr>
              <w:t>), regional working unit (</w:t>
            </w:r>
            <w:r w:rsidRPr="00A67277">
              <w:rPr>
                <w:rFonts w:cs="Arial"/>
                <w:i/>
              </w:rPr>
              <w:t>satuan kerja perangkat daerah</w:t>
            </w:r>
            <w:r w:rsidRPr="00A67277">
              <w:rPr>
                <w:rFonts w:cs="Arial"/>
              </w:rPr>
              <w:t>), office (</w:t>
            </w:r>
            <w:r w:rsidRPr="00A67277">
              <w:rPr>
                <w:rFonts w:cs="Arial"/>
                <w:i/>
              </w:rPr>
              <w:t>dinas</w:t>
            </w:r>
            <w:r w:rsidRPr="00A67277">
              <w:rPr>
                <w:rFonts w:cs="Arial"/>
              </w:rPr>
              <w:t>) and agency (</w:t>
            </w:r>
            <w:r w:rsidRPr="00A67277">
              <w:rPr>
                <w:rFonts w:cs="Arial"/>
                <w:i/>
              </w:rPr>
              <w:t>badan</w:t>
            </w:r>
            <w:r w:rsidRPr="00A67277">
              <w:rPr>
                <w:rFonts w:cs="Arial"/>
              </w:rPr>
              <w:t>) which forms part of and is inseparable from the relevant provincial government, regency government or city government, and for the avoidance of doubt shall include local parliament (</w:t>
            </w:r>
            <w:r w:rsidRPr="00A67277">
              <w:rPr>
                <w:rFonts w:cs="Arial"/>
                <w:i/>
              </w:rPr>
              <w:t>dewan perwakilan rakyat daerah</w:t>
            </w:r>
            <w:r w:rsidRPr="00A67277">
              <w:rPr>
                <w:rFonts w:cs="Arial"/>
              </w:rPr>
              <w:t>) but exclude region-owned enterprises;</w:t>
            </w:r>
          </w:p>
        </w:tc>
        <w:tc>
          <w:tcPr>
            <w:tcW w:w="169" w:type="pct"/>
          </w:tcPr>
          <w:p w14:paraId="58440828" w14:textId="77777777" w:rsidR="009E2802" w:rsidRPr="00A67277" w:rsidRDefault="009E2802" w:rsidP="00862B0B">
            <w:pPr>
              <w:spacing w:before="60" w:after="60"/>
              <w:rPr>
                <w:rFonts w:ascii="Arial" w:hAnsi="Arial" w:cs="Arial"/>
                <w:sz w:val="21"/>
                <w:szCs w:val="21"/>
              </w:rPr>
            </w:pPr>
          </w:p>
        </w:tc>
        <w:tc>
          <w:tcPr>
            <w:tcW w:w="2561" w:type="pct"/>
            <w:gridSpan w:val="2"/>
          </w:tcPr>
          <w:p w14:paraId="44F9D2F4" w14:textId="77777777" w:rsidR="009E2802" w:rsidRPr="00A67277" w:rsidRDefault="009E2802" w:rsidP="00862B0B">
            <w:pPr>
              <w:pStyle w:val="Body2"/>
              <w:numPr>
                <w:ilvl w:val="0"/>
                <w:numId w:val="185"/>
              </w:numPr>
              <w:spacing w:before="60" w:after="60"/>
              <w:ind w:left="1303" w:hanging="425"/>
              <w:rPr>
                <w:rFonts w:cs="Arial"/>
              </w:rPr>
            </w:pPr>
            <w:r w:rsidRPr="00A67277">
              <w:rPr>
                <w:rFonts w:cs="Arial"/>
              </w:rPr>
              <w:t>segala pemerintah provinsi, pemerintah kabupaten atau pemerintah kota, termasuk kepala daerah, satuan kerja perangkat daerah, dinas dan badan yang membentuk bagian dan tidak terpisahkan dari pemerintah provinsi, pemerintah kabupaten or pemerintah kota yang relevan, untuk menghindari keraguan termasuk Dewan Perwakilan Rakyat Daerah tetapi tidak termasuk badan usaha milik daerah;</w:t>
            </w:r>
          </w:p>
        </w:tc>
      </w:tr>
      <w:tr w:rsidR="009E2802" w:rsidRPr="00A67277" w14:paraId="247BA1C1" w14:textId="77777777" w:rsidTr="00862B0B">
        <w:tc>
          <w:tcPr>
            <w:tcW w:w="2270" w:type="pct"/>
          </w:tcPr>
          <w:p w14:paraId="170A4F5A" w14:textId="77777777" w:rsidR="009E2802" w:rsidRPr="00A67277" w:rsidRDefault="009E2802" w:rsidP="00862B0B">
            <w:pPr>
              <w:pStyle w:val="Body2"/>
              <w:spacing w:before="60" w:after="60"/>
              <w:ind w:left="851"/>
              <w:rPr>
                <w:rFonts w:cs="Arial"/>
              </w:rPr>
            </w:pPr>
            <w:r w:rsidRPr="00A67277">
              <w:rPr>
                <w:rFonts w:cs="Arial"/>
                <w:b/>
              </w:rPr>
              <w:t>Guarantee Agreement</w:t>
            </w:r>
            <w:r w:rsidRPr="00A67277">
              <w:rPr>
                <w:rFonts w:cs="Arial"/>
              </w:rPr>
              <w:t xml:space="preserve"> means the guarantee agreement entered or to be entered into between the [Guarantors] and the IBE on or about the </w:t>
            </w:r>
            <w:bookmarkStart w:id="25" w:name="_cp_text_1_343"/>
            <w:r w:rsidRPr="00A67277">
              <w:rPr>
                <w:rFonts w:cs="Arial"/>
              </w:rPr>
              <w:t>Effective Date</w:t>
            </w:r>
            <w:bookmarkEnd w:id="25"/>
            <w:r w:rsidRPr="00A67277">
              <w:rPr>
                <w:rFonts w:cs="Arial"/>
              </w:rPr>
              <w:t>;</w:t>
            </w:r>
          </w:p>
        </w:tc>
        <w:tc>
          <w:tcPr>
            <w:tcW w:w="169" w:type="pct"/>
          </w:tcPr>
          <w:p w14:paraId="0192E7BF" w14:textId="77777777" w:rsidR="009E2802" w:rsidRPr="00A67277" w:rsidRDefault="009E2802" w:rsidP="00862B0B">
            <w:pPr>
              <w:spacing w:before="60" w:after="60"/>
              <w:rPr>
                <w:rFonts w:ascii="Arial" w:hAnsi="Arial" w:cs="Arial"/>
                <w:sz w:val="21"/>
                <w:szCs w:val="21"/>
              </w:rPr>
            </w:pPr>
          </w:p>
        </w:tc>
        <w:tc>
          <w:tcPr>
            <w:tcW w:w="2561" w:type="pct"/>
            <w:gridSpan w:val="2"/>
          </w:tcPr>
          <w:p w14:paraId="7BD138C4" w14:textId="77777777" w:rsidR="009E2802" w:rsidRPr="00A67277" w:rsidRDefault="009E2802" w:rsidP="00862B0B">
            <w:pPr>
              <w:pStyle w:val="Body2"/>
              <w:spacing w:before="60" w:after="60"/>
              <w:ind w:left="878"/>
              <w:rPr>
                <w:rFonts w:cs="Arial"/>
              </w:rPr>
            </w:pPr>
            <w:r w:rsidRPr="00A67277">
              <w:rPr>
                <w:rFonts w:cs="Arial"/>
                <w:b/>
              </w:rPr>
              <w:t>Perjanjian Penjaminan</w:t>
            </w:r>
            <w:r w:rsidRPr="00A67277">
              <w:rPr>
                <w:rFonts w:cs="Arial"/>
              </w:rPr>
              <w:t xml:space="preserve"> berarti perjanjian penjaminan yang ditandatangani atau akan ditandatangani di antara [Para Penjamin] dan BUP pada atau sekitar Tanggal Efektif;</w:t>
            </w:r>
            <w:bookmarkStart w:id="26" w:name="_cp_text_2_344"/>
            <w:bookmarkEnd w:id="26"/>
          </w:p>
        </w:tc>
      </w:tr>
      <w:tr w:rsidR="009E2802" w:rsidRPr="00A67277" w14:paraId="11750032" w14:textId="77777777" w:rsidTr="00862B0B">
        <w:tc>
          <w:tcPr>
            <w:tcW w:w="2270" w:type="pct"/>
          </w:tcPr>
          <w:p w14:paraId="35F9335E" w14:textId="77777777" w:rsidR="009E2802" w:rsidRPr="00A67277" w:rsidRDefault="009E2802" w:rsidP="00862B0B">
            <w:pPr>
              <w:pStyle w:val="Body2"/>
              <w:spacing w:before="60" w:after="60"/>
              <w:ind w:left="851"/>
              <w:rPr>
                <w:rFonts w:cs="Arial"/>
              </w:rPr>
            </w:pPr>
            <w:r w:rsidRPr="00A67277">
              <w:rPr>
                <w:rFonts w:cs="Arial"/>
                <w:b/>
              </w:rPr>
              <w:t>Guarantors</w:t>
            </w:r>
            <w:r w:rsidRPr="00A67277">
              <w:rPr>
                <w:rFonts w:cs="Arial"/>
              </w:rPr>
              <w:t xml:space="preserve"> mean IIGF [and the Government, acting through the Minister of Finance]</w:t>
            </w:r>
            <w:r w:rsidRPr="00A67277">
              <w:rPr>
                <w:rStyle w:val="FootnoteReference"/>
                <w:rFonts w:cs="Arial"/>
              </w:rPr>
              <w:footnoteReference w:id="1"/>
            </w:r>
            <w:r w:rsidRPr="00A67277">
              <w:rPr>
                <w:rFonts w:cs="Arial"/>
              </w:rPr>
              <w:t xml:space="preserve"> and Guarantor means anyone of them</w:t>
            </w:r>
          </w:p>
        </w:tc>
        <w:tc>
          <w:tcPr>
            <w:tcW w:w="169" w:type="pct"/>
          </w:tcPr>
          <w:p w14:paraId="34347737" w14:textId="77777777" w:rsidR="009E2802" w:rsidRPr="00A67277" w:rsidRDefault="009E2802" w:rsidP="00862B0B">
            <w:pPr>
              <w:spacing w:before="60" w:after="60"/>
              <w:rPr>
                <w:rFonts w:ascii="Arial" w:hAnsi="Arial" w:cs="Arial"/>
                <w:sz w:val="21"/>
                <w:szCs w:val="21"/>
              </w:rPr>
            </w:pPr>
          </w:p>
        </w:tc>
        <w:tc>
          <w:tcPr>
            <w:tcW w:w="2561" w:type="pct"/>
            <w:gridSpan w:val="2"/>
          </w:tcPr>
          <w:p w14:paraId="5BCE3931" w14:textId="77777777" w:rsidR="009E2802" w:rsidRPr="00A67277" w:rsidRDefault="009E2802" w:rsidP="00862B0B">
            <w:pPr>
              <w:pStyle w:val="Body2"/>
              <w:spacing w:before="60" w:after="60"/>
              <w:ind w:left="878"/>
              <w:rPr>
                <w:rFonts w:cs="Arial"/>
              </w:rPr>
            </w:pPr>
            <w:r w:rsidRPr="00A67277">
              <w:rPr>
                <w:rFonts w:cs="Arial"/>
                <w:b/>
              </w:rPr>
              <w:t>Para Penjamin</w:t>
            </w:r>
            <w:r w:rsidRPr="00A67277">
              <w:rPr>
                <w:rFonts w:cs="Arial"/>
              </w:rPr>
              <w:t xml:space="preserve"> berarti PT PII [dan Pemerintah, bertindak melalui Menteri Keuangan]</w:t>
            </w:r>
            <w:r w:rsidRPr="00A67277">
              <w:rPr>
                <w:rStyle w:val="FootnoteReference"/>
                <w:rFonts w:cs="Arial"/>
              </w:rPr>
              <w:footnoteReference w:id="2"/>
            </w:r>
            <w:r w:rsidRPr="00A67277">
              <w:rPr>
                <w:rFonts w:cs="Arial"/>
              </w:rPr>
              <w:t xml:space="preserve"> dan Penjamin berarti salah satu dari mereka;</w:t>
            </w:r>
            <w:bookmarkStart w:id="27" w:name="_cp_text_2_348"/>
            <w:bookmarkEnd w:id="27"/>
          </w:p>
        </w:tc>
      </w:tr>
      <w:tr w:rsidR="009E2802" w:rsidRPr="00A67277" w14:paraId="444F776B" w14:textId="77777777" w:rsidTr="00862B0B">
        <w:tc>
          <w:tcPr>
            <w:tcW w:w="2270" w:type="pct"/>
          </w:tcPr>
          <w:p w14:paraId="50952726" w14:textId="4AB8B318" w:rsidR="009E2802" w:rsidRPr="00A67277" w:rsidRDefault="009E2802" w:rsidP="00862B0B">
            <w:pPr>
              <w:pStyle w:val="Body2"/>
              <w:spacing w:before="60" w:after="60"/>
              <w:ind w:left="851"/>
              <w:rPr>
                <w:rFonts w:cs="Arial"/>
              </w:rPr>
            </w:pPr>
            <w:bookmarkStart w:id="28" w:name="_Toc501177817"/>
            <w:r w:rsidRPr="00A67277">
              <w:rPr>
                <w:rFonts w:cs="Arial"/>
                <w:b/>
              </w:rPr>
              <w:t>IBE Parties</w:t>
            </w:r>
            <w:r w:rsidRPr="00A67277">
              <w:rPr>
                <w:rFonts w:cs="Arial"/>
              </w:rPr>
              <w:t xml:space="preserve"> means:</w:t>
            </w:r>
            <w:bookmarkEnd w:id="28"/>
          </w:p>
        </w:tc>
        <w:tc>
          <w:tcPr>
            <w:tcW w:w="169" w:type="pct"/>
          </w:tcPr>
          <w:p w14:paraId="050BC45C" w14:textId="77777777" w:rsidR="009E2802" w:rsidRPr="00A67277" w:rsidRDefault="009E2802" w:rsidP="00862B0B">
            <w:pPr>
              <w:spacing w:before="60" w:after="60"/>
              <w:rPr>
                <w:rFonts w:ascii="Arial" w:hAnsi="Arial" w:cs="Arial"/>
                <w:sz w:val="21"/>
                <w:szCs w:val="21"/>
              </w:rPr>
            </w:pPr>
          </w:p>
        </w:tc>
        <w:tc>
          <w:tcPr>
            <w:tcW w:w="2561" w:type="pct"/>
            <w:gridSpan w:val="2"/>
          </w:tcPr>
          <w:p w14:paraId="2F78B1F3" w14:textId="77777777" w:rsidR="009E2802" w:rsidRPr="00A67277" w:rsidRDefault="009E2802" w:rsidP="00862B0B">
            <w:pPr>
              <w:pStyle w:val="Body2"/>
              <w:spacing w:before="60" w:after="60"/>
              <w:ind w:left="878"/>
              <w:outlineLvl w:val="0"/>
              <w:rPr>
                <w:rFonts w:cs="Arial"/>
              </w:rPr>
            </w:pPr>
            <w:r w:rsidRPr="00A67277">
              <w:rPr>
                <w:rFonts w:cs="Arial"/>
                <w:b/>
              </w:rPr>
              <w:t>Pihak BUP</w:t>
            </w:r>
            <w:r w:rsidRPr="00A67277">
              <w:rPr>
                <w:rFonts w:cs="Arial"/>
              </w:rPr>
              <w:t xml:space="preserve"> berarti:</w:t>
            </w:r>
          </w:p>
        </w:tc>
      </w:tr>
      <w:tr w:rsidR="009E2802" w:rsidRPr="00A67277" w14:paraId="09EC4AA1" w14:textId="77777777" w:rsidTr="00862B0B">
        <w:tc>
          <w:tcPr>
            <w:tcW w:w="2270" w:type="pct"/>
          </w:tcPr>
          <w:p w14:paraId="37A509EE" w14:textId="77777777" w:rsidR="009E2802" w:rsidRPr="00A67277" w:rsidRDefault="009E2802" w:rsidP="00862B0B">
            <w:pPr>
              <w:pStyle w:val="ListParagraph"/>
              <w:numPr>
                <w:ilvl w:val="0"/>
                <w:numId w:val="223"/>
              </w:numPr>
              <w:spacing w:before="60" w:after="60" w:line="240" w:lineRule="auto"/>
              <w:ind w:left="1276" w:hanging="425"/>
              <w:rPr>
                <w:rFonts w:cs="Arial"/>
              </w:rPr>
            </w:pPr>
            <w:r w:rsidRPr="00A67277">
              <w:rPr>
                <w:rFonts w:cs="Arial"/>
              </w:rPr>
              <w:t>the IBE; and</w:t>
            </w:r>
          </w:p>
        </w:tc>
        <w:tc>
          <w:tcPr>
            <w:tcW w:w="169" w:type="pct"/>
          </w:tcPr>
          <w:p w14:paraId="517AC2EE" w14:textId="77777777" w:rsidR="009E2802" w:rsidRPr="00A67277" w:rsidRDefault="009E2802" w:rsidP="00862B0B">
            <w:pPr>
              <w:spacing w:before="60" w:after="60"/>
              <w:rPr>
                <w:rFonts w:ascii="Arial" w:hAnsi="Arial" w:cs="Arial"/>
                <w:sz w:val="21"/>
                <w:szCs w:val="21"/>
              </w:rPr>
            </w:pPr>
          </w:p>
        </w:tc>
        <w:tc>
          <w:tcPr>
            <w:tcW w:w="2561" w:type="pct"/>
            <w:gridSpan w:val="2"/>
          </w:tcPr>
          <w:p w14:paraId="6D950BA2" w14:textId="77777777" w:rsidR="009E2802" w:rsidRPr="00A67277" w:rsidRDefault="009E2802" w:rsidP="00862B0B">
            <w:pPr>
              <w:pStyle w:val="Body2"/>
              <w:numPr>
                <w:ilvl w:val="0"/>
                <w:numId w:val="186"/>
              </w:numPr>
              <w:spacing w:before="60" w:after="60"/>
              <w:ind w:left="1303" w:hanging="425"/>
              <w:rPr>
                <w:rFonts w:cs="Arial"/>
                <w:b/>
              </w:rPr>
            </w:pPr>
            <w:r w:rsidRPr="00A67277">
              <w:rPr>
                <w:rFonts w:cs="Arial"/>
              </w:rPr>
              <w:t>BUP; dan</w:t>
            </w:r>
          </w:p>
        </w:tc>
      </w:tr>
      <w:tr w:rsidR="009E2802" w:rsidRPr="00A67277" w14:paraId="777C73A2" w14:textId="77777777" w:rsidTr="00862B0B">
        <w:tc>
          <w:tcPr>
            <w:tcW w:w="2270" w:type="pct"/>
          </w:tcPr>
          <w:p w14:paraId="48F7B0DE" w14:textId="77777777" w:rsidR="009E2802" w:rsidRPr="00A67277" w:rsidRDefault="009E2802" w:rsidP="00862B0B">
            <w:pPr>
              <w:pStyle w:val="ListParagraph"/>
              <w:numPr>
                <w:ilvl w:val="0"/>
                <w:numId w:val="223"/>
              </w:numPr>
              <w:spacing w:before="60" w:after="60" w:line="240" w:lineRule="auto"/>
              <w:ind w:left="1276" w:hanging="425"/>
              <w:rPr>
                <w:rFonts w:cs="Arial"/>
              </w:rPr>
            </w:pPr>
            <w:r w:rsidRPr="00A67277">
              <w:rPr>
                <w:rFonts w:cs="Arial"/>
              </w:rPr>
              <w:t>each of its officers, employees, agents, representatives, Affiliates, Contractors and licensees, and their respective officers and employees;</w:t>
            </w:r>
          </w:p>
        </w:tc>
        <w:tc>
          <w:tcPr>
            <w:tcW w:w="169" w:type="pct"/>
          </w:tcPr>
          <w:p w14:paraId="61491F32" w14:textId="77777777" w:rsidR="009E2802" w:rsidRPr="00A67277" w:rsidRDefault="009E2802" w:rsidP="00862B0B">
            <w:pPr>
              <w:spacing w:before="60" w:after="60"/>
              <w:rPr>
                <w:rFonts w:ascii="Arial" w:hAnsi="Arial" w:cs="Arial"/>
                <w:sz w:val="21"/>
                <w:szCs w:val="21"/>
              </w:rPr>
            </w:pPr>
          </w:p>
        </w:tc>
        <w:tc>
          <w:tcPr>
            <w:tcW w:w="2561" w:type="pct"/>
            <w:gridSpan w:val="2"/>
          </w:tcPr>
          <w:p w14:paraId="4D3EA63E" w14:textId="77777777" w:rsidR="009E2802" w:rsidRPr="00A67277" w:rsidRDefault="009E2802" w:rsidP="00862B0B">
            <w:pPr>
              <w:pStyle w:val="Body2"/>
              <w:numPr>
                <w:ilvl w:val="0"/>
                <w:numId w:val="186"/>
              </w:numPr>
              <w:spacing w:before="60" w:after="60"/>
              <w:ind w:left="1303" w:hanging="425"/>
              <w:rPr>
                <w:rFonts w:cs="Arial"/>
                <w:b/>
              </w:rPr>
            </w:pPr>
            <w:r w:rsidRPr="00A67277">
              <w:rPr>
                <w:rFonts w:cs="Arial"/>
              </w:rPr>
              <w:t>setiap petugas, karyawan, agent, perwakilan, Afiliasi, Kontraktor dan pemegang lisensi dari BUP, dan masing-masing petugas dan karyawan dari mereka;</w:t>
            </w:r>
          </w:p>
        </w:tc>
      </w:tr>
      <w:tr w:rsidR="009E2802" w:rsidRPr="00A67277" w14:paraId="5008AEBB" w14:textId="77777777" w:rsidTr="00862B0B">
        <w:tc>
          <w:tcPr>
            <w:tcW w:w="2270" w:type="pct"/>
          </w:tcPr>
          <w:p w14:paraId="7C6D0941" w14:textId="77777777" w:rsidR="009E2802" w:rsidRPr="00A67277" w:rsidRDefault="009E2802" w:rsidP="00862B0B">
            <w:pPr>
              <w:pStyle w:val="Body2"/>
              <w:spacing w:before="60" w:after="60"/>
              <w:ind w:left="851"/>
              <w:rPr>
                <w:rFonts w:cs="Arial"/>
              </w:rPr>
            </w:pPr>
            <w:r w:rsidRPr="00A67277">
              <w:rPr>
                <w:rFonts w:cs="Arial"/>
                <w:b/>
              </w:rPr>
              <w:t>IIGF</w:t>
            </w:r>
            <w:r w:rsidRPr="00A67277">
              <w:rPr>
                <w:rFonts w:cs="Arial"/>
              </w:rPr>
              <w:t xml:space="preserve"> or </w:t>
            </w:r>
            <w:r w:rsidRPr="00A67277">
              <w:rPr>
                <w:rFonts w:cs="Arial"/>
                <w:b/>
              </w:rPr>
              <w:t>Indonesian Infrastructure Guarantee Fund</w:t>
            </w:r>
            <w:r w:rsidRPr="00A67277">
              <w:rPr>
                <w:rFonts w:cs="Arial"/>
              </w:rPr>
              <w:t xml:space="preserve"> means </w:t>
            </w:r>
            <w:r w:rsidRPr="00A67277">
              <w:rPr>
                <w:rFonts w:cs="Arial"/>
                <w:i/>
              </w:rPr>
              <w:t xml:space="preserve">PT Penjaminan Infrastruktur Indonesia </w:t>
            </w:r>
            <w:r w:rsidRPr="00A67277">
              <w:rPr>
                <w:rFonts w:cs="Arial"/>
              </w:rPr>
              <w:t>(</w:t>
            </w:r>
            <w:r w:rsidRPr="00A67277">
              <w:rPr>
                <w:rFonts w:cs="Arial"/>
                <w:i/>
              </w:rPr>
              <w:t>Persero</w:t>
            </w:r>
            <w:r w:rsidRPr="00A67277">
              <w:rPr>
                <w:rFonts w:cs="Arial"/>
              </w:rPr>
              <w:t xml:space="preserve">), a </w:t>
            </w:r>
            <w:bookmarkStart w:id="29" w:name="_cp_text_1_394"/>
            <w:r w:rsidRPr="00A67277">
              <w:rPr>
                <w:rFonts w:cs="Arial"/>
              </w:rPr>
              <w:t xml:space="preserve">state-owned </w:t>
            </w:r>
            <w:bookmarkEnd w:id="29"/>
            <w:r w:rsidRPr="00A67277">
              <w:rPr>
                <w:rFonts w:cs="Arial"/>
              </w:rPr>
              <w:t>company established and organised under the Laws of the Republic of Indonesia;</w:t>
            </w:r>
          </w:p>
        </w:tc>
        <w:tc>
          <w:tcPr>
            <w:tcW w:w="169" w:type="pct"/>
          </w:tcPr>
          <w:p w14:paraId="7E09091B" w14:textId="77777777" w:rsidR="009E2802" w:rsidRPr="00A67277" w:rsidRDefault="009E2802" w:rsidP="00862B0B">
            <w:pPr>
              <w:spacing w:before="60" w:after="60"/>
              <w:rPr>
                <w:rFonts w:ascii="Arial" w:hAnsi="Arial" w:cs="Arial"/>
                <w:sz w:val="21"/>
                <w:szCs w:val="21"/>
              </w:rPr>
            </w:pPr>
          </w:p>
        </w:tc>
        <w:tc>
          <w:tcPr>
            <w:tcW w:w="2561" w:type="pct"/>
            <w:gridSpan w:val="2"/>
          </w:tcPr>
          <w:p w14:paraId="3BAF52CF" w14:textId="77777777" w:rsidR="009E2802" w:rsidRPr="00A67277" w:rsidRDefault="009E2802" w:rsidP="00862B0B">
            <w:pPr>
              <w:pStyle w:val="Body2"/>
              <w:spacing w:before="60" w:after="60"/>
              <w:ind w:left="878"/>
              <w:rPr>
                <w:rFonts w:cs="Arial"/>
              </w:rPr>
            </w:pPr>
            <w:r w:rsidRPr="00A67277">
              <w:rPr>
                <w:rFonts w:cs="Arial"/>
                <w:b/>
              </w:rPr>
              <w:t>PT PII</w:t>
            </w:r>
            <w:r w:rsidRPr="00A67277">
              <w:rPr>
                <w:rFonts w:cs="Arial"/>
              </w:rPr>
              <w:t xml:space="preserve"> berarti PT Penjaminan Infrastruktur Indonesia (Persero), badan usaha milik negara yang didirikan dan diatur </w:t>
            </w:r>
            <w:bookmarkStart w:id="30" w:name="_cp_text_1_396"/>
            <w:r w:rsidRPr="00A67277">
              <w:rPr>
                <w:rFonts w:cs="Arial"/>
              </w:rPr>
              <w:t xml:space="preserve">berdasarkan Hukum </w:t>
            </w:r>
            <w:bookmarkEnd w:id="30"/>
            <w:r w:rsidRPr="00A67277">
              <w:rPr>
                <w:rFonts w:cs="Arial"/>
              </w:rPr>
              <w:t>Republik Indonesia;</w:t>
            </w:r>
            <w:bookmarkStart w:id="31" w:name="_cp_text_2_397"/>
            <w:bookmarkEnd w:id="31"/>
          </w:p>
        </w:tc>
      </w:tr>
      <w:tr w:rsidR="009E2802" w:rsidRPr="00A67277" w14:paraId="016C25C8" w14:textId="77777777" w:rsidTr="00862B0B">
        <w:tc>
          <w:tcPr>
            <w:tcW w:w="2270" w:type="pct"/>
          </w:tcPr>
          <w:p w14:paraId="78242C79" w14:textId="7AC619D9" w:rsidR="009E2802" w:rsidRPr="00A67277" w:rsidRDefault="009E2802" w:rsidP="00862B0B">
            <w:pPr>
              <w:pStyle w:val="Body2"/>
              <w:spacing w:before="60" w:after="60"/>
              <w:ind w:left="851"/>
              <w:rPr>
                <w:rFonts w:cs="Arial"/>
                <w:b/>
              </w:rPr>
            </w:pPr>
            <w:r w:rsidRPr="00A67277">
              <w:rPr>
                <w:rFonts w:cs="Arial"/>
                <w:b/>
              </w:rPr>
              <w:t xml:space="preserve">Implementation Schedule </w:t>
            </w:r>
            <w:r w:rsidRPr="00A67277">
              <w:rPr>
                <w:rFonts w:cs="Arial"/>
              </w:rPr>
              <w:t>means the schedule for implementation of the Project (including Milestones and Milestone Dates) set out in Appendix 6 (Implementation Schedule), as may be amended in accordance with this Agreement;</w:t>
            </w:r>
          </w:p>
        </w:tc>
        <w:tc>
          <w:tcPr>
            <w:tcW w:w="169" w:type="pct"/>
          </w:tcPr>
          <w:p w14:paraId="1ECB176B" w14:textId="77777777" w:rsidR="009E2802" w:rsidRPr="00A67277" w:rsidRDefault="009E2802" w:rsidP="00862B0B">
            <w:pPr>
              <w:spacing w:before="60" w:after="60"/>
              <w:rPr>
                <w:rFonts w:ascii="Arial" w:hAnsi="Arial" w:cs="Arial"/>
                <w:sz w:val="21"/>
                <w:szCs w:val="21"/>
              </w:rPr>
            </w:pPr>
          </w:p>
        </w:tc>
        <w:tc>
          <w:tcPr>
            <w:tcW w:w="2561" w:type="pct"/>
            <w:gridSpan w:val="2"/>
          </w:tcPr>
          <w:p w14:paraId="704E2847" w14:textId="1CDA9E9C" w:rsidR="009E2802" w:rsidRPr="00A67277" w:rsidRDefault="009E2802" w:rsidP="00862B0B">
            <w:pPr>
              <w:pStyle w:val="Body2"/>
              <w:spacing w:before="60" w:after="60"/>
              <w:ind w:left="878"/>
              <w:rPr>
                <w:rFonts w:cs="Arial"/>
              </w:rPr>
            </w:pPr>
            <w:r w:rsidRPr="00A67277">
              <w:rPr>
                <w:rFonts w:cs="Arial"/>
                <w:b/>
              </w:rPr>
              <w:t>Jadwal Pelaksanaan</w:t>
            </w:r>
            <w:r w:rsidRPr="00A67277">
              <w:rPr>
                <w:rFonts w:cs="Arial"/>
              </w:rPr>
              <w:t xml:space="preserve"> berarti jadwal untuk pelaksanaan dari Proyek (termasuk Pencapaian dan Tanggal Pencapaian) sebagaimana yang diatur dalam Lampiran 6 (</w:t>
            </w:r>
            <w:r w:rsidRPr="00A67277">
              <w:rPr>
                <w:rFonts w:cs="Arial"/>
                <w:i/>
              </w:rPr>
              <w:t>Jadwal Pelaksanaan</w:t>
            </w:r>
            <w:r w:rsidRPr="00A67277">
              <w:rPr>
                <w:rFonts w:cs="Arial"/>
              </w:rPr>
              <w:t>), sebagaimana yang mungkin diubah sesuai dengan Perjanjian ini;</w:t>
            </w:r>
          </w:p>
        </w:tc>
      </w:tr>
      <w:tr w:rsidR="009E2802" w:rsidRPr="00A67277" w14:paraId="124B3B72" w14:textId="77777777" w:rsidTr="00862B0B">
        <w:tc>
          <w:tcPr>
            <w:tcW w:w="2270" w:type="pct"/>
          </w:tcPr>
          <w:p w14:paraId="2CF2120B" w14:textId="77777777" w:rsidR="009E2802" w:rsidRPr="00A67277" w:rsidRDefault="009E2802" w:rsidP="00862B0B">
            <w:pPr>
              <w:pStyle w:val="Body2"/>
              <w:spacing w:before="60" w:after="60"/>
              <w:ind w:left="851"/>
              <w:rPr>
                <w:rFonts w:cs="Arial"/>
                <w:lang w:eastAsia="en-US"/>
              </w:rPr>
            </w:pPr>
            <w:r w:rsidRPr="00A67277">
              <w:rPr>
                <w:rFonts w:cs="Arial"/>
                <w:b/>
                <w:kern w:val="28"/>
                <w:lang w:eastAsia="en-US"/>
              </w:rPr>
              <w:t>Independent Supervisory Consultant</w:t>
            </w:r>
            <w:r w:rsidRPr="00A67277">
              <w:rPr>
                <w:rFonts w:cs="Arial"/>
                <w:kern w:val="28"/>
                <w:lang w:eastAsia="en-US"/>
              </w:rPr>
              <w:t xml:space="preserve"> means </w:t>
            </w:r>
            <w:r w:rsidRPr="00A67277">
              <w:rPr>
                <w:rFonts w:cs="Arial"/>
              </w:rPr>
              <w:t>the independent consultant nominated by the IBE and approved by the GCA to act as the Independent Supervisory Consultant in accordance with Clause 8.1 (</w:t>
            </w:r>
            <w:r w:rsidRPr="00A67277">
              <w:rPr>
                <w:rFonts w:cs="Arial"/>
                <w:i/>
              </w:rPr>
              <w:t>Independent Supervisory Consultant</w:t>
            </w:r>
            <w:r w:rsidRPr="00A67277">
              <w:rPr>
                <w:rFonts w:cs="Arial"/>
              </w:rPr>
              <w:t xml:space="preserve">) </w:t>
            </w:r>
            <w:r w:rsidRPr="00A67277">
              <w:rPr>
                <w:rFonts w:cs="Arial"/>
                <w:kern w:val="28"/>
                <w:lang w:eastAsia="en-US"/>
              </w:rPr>
              <w:t>or such substitute Independent Supervisory Consultant as may be permitted pursuant to this Agreement</w:t>
            </w:r>
            <w:bookmarkStart w:id="32" w:name="_cp_text_1_417"/>
            <w:r w:rsidRPr="00A67277">
              <w:rPr>
                <w:rStyle w:val="FootnoteReference"/>
                <w:rFonts w:cs="Arial"/>
                <w:kern w:val="28"/>
                <w:lang w:eastAsia="en-US"/>
              </w:rPr>
              <w:footnoteReference w:id="3"/>
            </w:r>
            <w:r w:rsidRPr="00A67277">
              <w:rPr>
                <w:rFonts w:cs="Arial"/>
                <w:kern w:val="28"/>
                <w:lang w:eastAsia="en-US"/>
              </w:rPr>
              <w:t xml:space="preserve"> </w:t>
            </w:r>
            <w:bookmarkEnd w:id="32"/>
            <w:r w:rsidRPr="00A67277">
              <w:rPr>
                <w:rFonts w:cs="Arial"/>
                <w:kern w:val="28"/>
                <w:lang w:eastAsia="en-US"/>
              </w:rPr>
              <w:t>and duly licensed pursuant to the Laws;</w:t>
            </w:r>
          </w:p>
        </w:tc>
        <w:tc>
          <w:tcPr>
            <w:tcW w:w="169" w:type="pct"/>
          </w:tcPr>
          <w:p w14:paraId="5DAB062A" w14:textId="77777777" w:rsidR="009E2802" w:rsidRPr="00A67277" w:rsidRDefault="009E2802" w:rsidP="00862B0B">
            <w:pPr>
              <w:spacing w:before="60" w:after="60"/>
              <w:rPr>
                <w:rFonts w:ascii="Arial" w:hAnsi="Arial" w:cs="Arial"/>
                <w:sz w:val="21"/>
                <w:szCs w:val="21"/>
              </w:rPr>
            </w:pPr>
          </w:p>
        </w:tc>
        <w:tc>
          <w:tcPr>
            <w:tcW w:w="2561" w:type="pct"/>
            <w:gridSpan w:val="2"/>
          </w:tcPr>
          <w:p w14:paraId="05185A42" w14:textId="77777777" w:rsidR="009E2802" w:rsidRPr="00A67277" w:rsidRDefault="009E2802" w:rsidP="00862B0B">
            <w:pPr>
              <w:pStyle w:val="Body2"/>
              <w:spacing w:before="60" w:after="60"/>
              <w:ind w:left="878"/>
              <w:rPr>
                <w:rFonts w:cs="Arial"/>
                <w:lang w:eastAsia="en-US"/>
              </w:rPr>
            </w:pPr>
            <w:r w:rsidRPr="00A67277">
              <w:rPr>
                <w:rFonts w:cs="Arial"/>
                <w:b/>
                <w:kern w:val="28"/>
                <w:lang w:eastAsia="en-US"/>
              </w:rPr>
              <w:t>Konsultan Pengawas Independen</w:t>
            </w:r>
            <w:r w:rsidRPr="00A67277">
              <w:rPr>
                <w:rFonts w:cs="Arial"/>
                <w:kern w:val="28"/>
                <w:lang w:eastAsia="en-US"/>
              </w:rPr>
              <w:t xml:space="preserve"> berarti konsultan independen yang ditunjuk oleh BUP dan disetujui oleh </w:t>
            </w:r>
            <w:r w:rsidRPr="00A67277">
              <w:rPr>
                <w:rFonts w:cs="Arial"/>
              </w:rPr>
              <w:t>PJPK untuk bertindak sebagai Konsultan Pengawas Independen sesuai dengan Pasal 8.1 (</w:t>
            </w:r>
            <w:r w:rsidRPr="00A67277">
              <w:rPr>
                <w:rFonts w:cs="Arial"/>
                <w:i/>
              </w:rPr>
              <w:t>Konsultan Pengawas Independen</w:t>
            </w:r>
            <w:r w:rsidRPr="00A67277">
              <w:rPr>
                <w:rFonts w:cs="Arial"/>
              </w:rPr>
              <w:t xml:space="preserve">) atau </w:t>
            </w:r>
            <w:r w:rsidRPr="00A67277">
              <w:rPr>
                <w:rFonts w:cs="Arial"/>
                <w:kern w:val="28"/>
                <w:lang w:eastAsia="en-US"/>
              </w:rPr>
              <w:t>konsultan pengawas independen pengganti sebagaimana yang diperbolehkan berdasarkan Perjanjian ini</w:t>
            </w:r>
            <w:r w:rsidRPr="00A67277">
              <w:rPr>
                <w:rStyle w:val="FootnoteReference"/>
                <w:rFonts w:cs="Arial"/>
                <w:kern w:val="28"/>
                <w:lang w:eastAsia="en-US"/>
              </w:rPr>
              <w:footnoteReference w:id="4"/>
            </w:r>
            <w:r w:rsidRPr="00A67277">
              <w:rPr>
                <w:rFonts w:cs="Arial"/>
                <w:kern w:val="28"/>
                <w:lang w:eastAsia="en-US"/>
              </w:rPr>
              <w:t xml:space="preserve"> dan memiliki izin secara patut sesuai dengan </w:t>
            </w:r>
            <w:bookmarkStart w:id="35" w:name="_cp_text_2_416"/>
            <w:bookmarkEnd w:id="35"/>
            <w:r w:rsidRPr="00A67277">
              <w:rPr>
                <w:rFonts w:cs="Arial"/>
                <w:kern w:val="28"/>
                <w:lang w:eastAsia="en-US"/>
              </w:rPr>
              <w:t>Hukum;</w:t>
            </w:r>
          </w:p>
        </w:tc>
      </w:tr>
      <w:tr w:rsidR="009E2802" w:rsidRPr="00A67277" w14:paraId="4B616024" w14:textId="77777777" w:rsidTr="00862B0B">
        <w:tc>
          <w:tcPr>
            <w:tcW w:w="2270" w:type="pct"/>
          </w:tcPr>
          <w:p w14:paraId="6B3430FE" w14:textId="0A03750E" w:rsidR="009E2802" w:rsidRPr="00A67277" w:rsidRDefault="009E2802" w:rsidP="00862B0B">
            <w:pPr>
              <w:pStyle w:val="Body2"/>
              <w:spacing w:before="60" w:after="60"/>
              <w:ind w:left="851"/>
              <w:rPr>
                <w:rFonts w:cs="Arial"/>
                <w:lang w:eastAsia="en-US"/>
              </w:rPr>
            </w:pPr>
            <w:r w:rsidRPr="00A67277">
              <w:rPr>
                <w:rFonts w:cs="Arial"/>
                <w:b/>
                <w:kern w:val="28"/>
                <w:lang w:eastAsia="en-US"/>
              </w:rPr>
              <w:t>Independent Supervisory Consultant Contract</w:t>
            </w:r>
            <w:r w:rsidRPr="00A67277">
              <w:rPr>
                <w:rFonts w:cs="Arial"/>
                <w:lang w:eastAsia="en-US"/>
              </w:rPr>
              <w:t xml:space="preserve"> means the contract between the IBE, GCA and the Independent Supervisory Consultant to be entered into in accordance with Clause 8.1 (</w:t>
            </w:r>
            <w:r w:rsidRPr="00A67277">
              <w:rPr>
                <w:rFonts w:cs="Arial"/>
                <w:i/>
                <w:lang w:eastAsia="en-US"/>
              </w:rPr>
              <w:t>Independent Supervisory Consultant</w:t>
            </w:r>
            <w:r w:rsidRPr="00A67277">
              <w:rPr>
                <w:rFonts w:cs="Arial"/>
                <w:lang w:eastAsia="en-US"/>
              </w:rPr>
              <w:t>) in the form as provided in Appendix 21 (</w:t>
            </w:r>
            <w:r w:rsidRPr="00A67277">
              <w:rPr>
                <w:rFonts w:cs="Arial"/>
                <w:i/>
                <w:lang w:eastAsia="en-US"/>
              </w:rPr>
              <w:t>Format of Independent Supervisory Consultant Contract</w:t>
            </w:r>
            <w:r w:rsidRPr="00A67277">
              <w:rPr>
                <w:rFonts w:cs="Arial"/>
                <w:lang w:eastAsia="en-US"/>
              </w:rPr>
              <w:t>);</w:t>
            </w:r>
          </w:p>
        </w:tc>
        <w:tc>
          <w:tcPr>
            <w:tcW w:w="169" w:type="pct"/>
          </w:tcPr>
          <w:p w14:paraId="4C488366" w14:textId="77777777" w:rsidR="009E2802" w:rsidRPr="00A67277" w:rsidRDefault="009E2802" w:rsidP="00862B0B">
            <w:pPr>
              <w:spacing w:before="60" w:after="60"/>
              <w:rPr>
                <w:rFonts w:ascii="Arial" w:hAnsi="Arial" w:cs="Arial"/>
                <w:sz w:val="21"/>
                <w:szCs w:val="21"/>
              </w:rPr>
            </w:pPr>
          </w:p>
        </w:tc>
        <w:tc>
          <w:tcPr>
            <w:tcW w:w="2561" w:type="pct"/>
            <w:gridSpan w:val="2"/>
          </w:tcPr>
          <w:p w14:paraId="14E5B51A" w14:textId="18960713" w:rsidR="009E2802" w:rsidRPr="00A67277" w:rsidRDefault="009E2802" w:rsidP="00862B0B">
            <w:pPr>
              <w:pStyle w:val="Body2"/>
              <w:spacing w:before="60" w:after="60"/>
              <w:ind w:left="878"/>
              <w:rPr>
                <w:rFonts w:cs="Arial"/>
                <w:lang w:eastAsia="en-US"/>
              </w:rPr>
            </w:pPr>
            <w:r w:rsidRPr="00A67277">
              <w:rPr>
                <w:rFonts w:cs="Arial"/>
                <w:b/>
                <w:kern w:val="28"/>
                <w:lang w:eastAsia="en-US"/>
              </w:rPr>
              <w:t>Perjanjian Konsultan Pengawas Independen</w:t>
            </w:r>
            <w:r w:rsidRPr="00A67277">
              <w:rPr>
                <w:rFonts w:cs="Arial"/>
                <w:lang w:eastAsia="en-US"/>
              </w:rPr>
              <w:t xml:space="preserve"> berarti kontrak diantara BUP, PJPK, dan Konsultan Pengawas Independen yang ditandatangani sesuai dengan Pasal 8.1 (</w:t>
            </w:r>
            <w:r w:rsidRPr="00A67277">
              <w:rPr>
                <w:rFonts w:cs="Arial"/>
                <w:i/>
                <w:lang w:eastAsia="en-US"/>
              </w:rPr>
              <w:t>Konsultan Pengawas Independen</w:t>
            </w:r>
            <w:r w:rsidRPr="00A67277">
              <w:rPr>
                <w:rFonts w:cs="Arial"/>
                <w:lang w:eastAsia="en-US"/>
              </w:rPr>
              <w:t>) dengan fo</w:t>
            </w:r>
            <w:r w:rsidR="001D1F1B">
              <w:rPr>
                <w:rFonts w:cs="Arial"/>
                <w:lang w:eastAsia="en-US"/>
              </w:rPr>
              <w:t>r</w:t>
            </w:r>
            <w:r w:rsidRPr="00A67277">
              <w:rPr>
                <w:rFonts w:cs="Arial"/>
                <w:lang w:eastAsia="en-US"/>
              </w:rPr>
              <w:t>mat sebagaimana yang diatur dalam Lampiran 21 (</w:t>
            </w:r>
            <w:r w:rsidRPr="00A67277">
              <w:rPr>
                <w:rFonts w:cs="Arial"/>
                <w:i/>
                <w:lang w:eastAsia="en-US"/>
              </w:rPr>
              <w:t>Format Perjanjian Konsultan Pengawas Independen</w:t>
            </w:r>
            <w:r w:rsidRPr="00A67277">
              <w:rPr>
                <w:rFonts w:cs="Arial"/>
                <w:lang w:eastAsia="en-US"/>
              </w:rPr>
              <w:t>);</w:t>
            </w:r>
          </w:p>
        </w:tc>
      </w:tr>
      <w:tr w:rsidR="009E2802" w:rsidRPr="00A67277" w14:paraId="4FA27FFF" w14:textId="77777777" w:rsidTr="00862B0B">
        <w:tc>
          <w:tcPr>
            <w:tcW w:w="2270" w:type="pct"/>
          </w:tcPr>
          <w:p w14:paraId="71B219AB" w14:textId="77777777" w:rsidR="009E2802" w:rsidRPr="00A67277" w:rsidRDefault="009E2802" w:rsidP="00862B0B">
            <w:pPr>
              <w:pStyle w:val="Body2"/>
              <w:spacing w:before="60" w:after="60"/>
              <w:ind w:left="851"/>
              <w:rPr>
                <w:rFonts w:cs="Arial"/>
              </w:rPr>
            </w:pPr>
            <w:r w:rsidRPr="00A67277">
              <w:rPr>
                <w:rFonts w:cs="Arial"/>
                <w:b/>
              </w:rPr>
              <w:t>Indonesia Rupiah</w:t>
            </w:r>
            <w:r w:rsidRPr="00A67277">
              <w:rPr>
                <w:rFonts w:cs="Arial"/>
              </w:rPr>
              <w:t xml:space="preserve"> or </w:t>
            </w:r>
            <w:r w:rsidRPr="00A67277">
              <w:rPr>
                <w:rFonts w:cs="Arial"/>
                <w:b/>
              </w:rPr>
              <w:t>IDR</w:t>
            </w:r>
            <w:r w:rsidRPr="00A67277">
              <w:rPr>
                <w:rFonts w:cs="Arial"/>
              </w:rPr>
              <w:t xml:space="preserve"> means the lawful currency of the Republic of Indonesia;</w:t>
            </w:r>
          </w:p>
        </w:tc>
        <w:tc>
          <w:tcPr>
            <w:tcW w:w="169" w:type="pct"/>
          </w:tcPr>
          <w:p w14:paraId="588FB818" w14:textId="77777777" w:rsidR="009E2802" w:rsidRPr="00A67277" w:rsidRDefault="009E2802" w:rsidP="00862B0B">
            <w:pPr>
              <w:spacing w:before="60" w:after="60"/>
              <w:rPr>
                <w:rFonts w:ascii="Arial" w:hAnsi="Arial" w:cs="Arial"/>
                <w:sz w:val="21"/>
                <w:szCs w:val="21"/>
              </w:rPr>
            </w:pPr>
          </w:p>
        </w:tc>
        <w:tc>
          <w:tcPr>
            <w:tcW w:w="2561" w:type="pct"/>
            <w:gridSpan w:val="2"/>
          </w:tcPr>
          <w:p w14:paraId="1C965E0B" w14:textId="77777777" w:rsidR="009E2802" w:rsidRPr="00A67277" w:rsidRDefault="009E2802" w:rsidP="00862B0B">
            <w:pPr>
              <w:pStyle w:val="Body2"/>
              <w:spacing w:before="60" w:after="60"/>
              <w:ind w:left="878"/>
              <w:rPr>
                <w:rFonts w:cs="Arial"/>
              </w:rPr>
            </w:pPr>
            <w:r w:rsidRPr="00A67277">
              <w:rPr>
                <w:rFonts w:cs="Arial"/>
                <w:b/>
              </w:rPr>
              <w:t>Rupiah</w:t>
            </w:r>
            <w:r w:rsidRPr="00A67277">
              <w:rPr>
                <w:rFonts w:cs="Arial"/>
              </w:rPr>
              <w:t xml:space="preserve"> atau </w:t>
            </w:r>
            <w:r w:rsidRPr="00A67277">
              <w:rPr>
                <w:rFonts w:cs="Arial"/>
                <w:b/>
              </w:rPr>
              <w:t>Rp.</w:t>
            </w:r>
            <w:r w:rsidRPr="00A67277">
              <w:rPr>
                <w:rFonts w:cs="Arial"/>
              </w:rPr>
              <w:t xml:space="preserve"> berarti mata uang resmi dari Republik Indonesia;</w:t>
            </w:r>
          </w:p>
        </w:tc>
      </w:tr>
      <w:tr w:rsidR="009E2802" w:rsidRPr="00A67277" w14:paraId="374DF311" w14:textId="77777777" w:rsidTr="00862B0B">
        <w:tc>
          <w:tcPr>
            <w:tcW w:w="2270" w:type="pct"/>
          </w:tcPr>
          <w:p w14:paraId="281535BA" w14:textId="77777777" w:rsidR="009E2802" w:rsidRPr="00A67277" w:rsidRDefault="009E2802" w:rsidP="00862B0B">
            <w:pPr>
              <w:pStyle w:val="Body2"/>
              <w:spacing w:before="60" w:after="60"/>
              <w:ind w:left="851"/>
              <w:rPr>
                <w:rFonts w:cs="Arial"/>
              </w:rPr>
            </w:pPr>
            <w:r w:rsidRPr="00A67277">
              <w:rPr>
                <w:rFonts w:cs="Arial"/>
                <w:b/>
              </w:rPr>
              <w:t>Insolvency Event</w:t>
            </w:r>
            <w:r w:rsidRPr="00A67277">
              <w:rPr>
                <w:rFonts w:cs="Arial"/>
              </w:rPr>
              <w:t xml:space="preserve"> with respect to any person, means the occurrence of any of the following with respect to that person:</w:t>
            </w:r>
          </w:p>
        </w:tc>
        <w:tc>
          <w:tcPr>
            <w:tcW w:w="169" w:type="pct"/>
          </w:tcPr>
          <w:p w14:paraId="50BADD1D" w14:textId="77777777" w:rsidR="009E2802" w:rsidRPr="00A67277" w:rsidRDefault="009E2802" w:rsidP="00862B0B">
            <w:pPr>
              <w:spacing w:before="60" w:after="60"/>
              <w:rPr>
                <w:rFonts w:ascii="Arial" w:hAnsi="Arial" w:cs="Arial"/>
                <w:sz w:val="21"/>
                <w:szCs w:val="21"/>
              </w:rPr>
            </w:pPr>
          </w:p>
        </w:tc>
        <w:tc>
          <w:tcPr>
            <w:tcW w:w="2561" w:type="pct"/>
            <w:gridSpan w:val="2"/>
          </w:tcPr>
          <w:p w14:paraId="2BC17262" w14:textId="77777777" w:rsidR="009E2802" w:rsidRPr="00A67277" w:rsidRDefault="009E2802" w:rsidP="00862B0B">
            <w:pPr>
              <w:pStyle w:val="Body2"/>
              <w:spacing w:before="60" w:after="60"/>
              <w:ind w:left="878"/>
              <w:rPr>
                <w:rFonts w:cs="Arial"/>
              </w:rPr>
            </w:pPr>
            <w:bookmarkStart w:id="36" w:name="_Hlk36403674"/>
            <w:r w:rsidRPr="00A67277">
              <w:rPr>
                <w:rFonts w:cs="Arial"/>
                <w:b/>
              </w:rPr>
              <w:t>Peristiwa Insolvensi</w:t>
            </w:r>
            <w:r w:rsidRPr="00A67277">
              <w:rPr>
                <w:rFonts w:cs="Arial"/>
              </w:rPr>
              <w:t xml:space="preserve"> </w:t>
            </w:r>
            <w:bookmarkEnd w:id="36"/>
            <w:r w:rsidRPr="00A67277">
              <w:rPr>
                <w:rFonts w:cs="Arial"/>
              </w:rPr>
              <w:t>sehubungan dengan segala orang, berarti kejadian dari segala hal berikut ini sehubungan dengan orang tersebut:</w:t>
            </w:r>
          </w:p>
        </w:tc>
      </w:tr>
      <w:tr w:rsidR="009E2802" w:rsidRPr="00A67277" w14:paraId="4166502F" w14:textId="77777777" w:rsidTr="00862B0B">
        <w:tc>
          <w:tcPr>
            <w:tcW w:w="2270" w:type="pct"/>
          </w:tcPr>
          <w:p w14:paraId="4472A85F"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a decision of any competent court granting the temporary suspension of obligations for the payment of any indebtedness or a decision declaring the bankruptcy of such person;</w:t>
            </w:r>
          </w:p>
        </w:tc>
        <w:tc>
          <w:tcPr>
            <w:tcW w:w="169" w:type="pct"/>
          </w:tcPr>
          <w:p w14:paraId="7DB20C24" w14:textId="77777777" w:rsidR="009E2802" w:rsidRPr="00A67277" w:rsidRDefault="009E2802" w:rsidP="00862B0B">
            <w:pPr>
              <w:spacing w:before="60" w:after="60"/>
              <w:rPr>
                <w:rFonts w:ascii="Arial" w:hAnsi="Arial" w:cs="Arial"/>
                <w:sz w:val="21"/>
                <w:szCs w:val="21"/>
              </w:rPr>
            </w:pPr>
          </w:p>
        </w:tc>
        <w:tc>
          <w:tcPr>
            <w:tcW w:w="2561" w:type="pct"/>
            <w:gridSpan w:val="2"/>
          </w:tcPr>
          <w:p w14:paraId="3288B3CB" w14:textId="77777777" w:rsidR="009E2802" w:rsidRPr="00A67277" w:rsidRDefault="009E2802" w:rsidP="00862B0B">
            <w:pPr>
              <w:pStyle w:val="Body2"/>
              <w:numPr>
                <w:ilvl w:val="0"/>
                <w:numId w:val="187"/>
              </w:numPr>
              <w:spacing w:before="60" w:after="60"/>
              <w:ind w:left="1303" w:hanging="425"/>
              <w:rPr>
                <w:rFonts w:cs="Arial"/>
                <w:b/>
              </w:rPr>
            </w:pPr>
            <w:r w:rsidRPr="00A67277">
              <w:rPr>
                <w:rFonts w:cs="Arial"/>
              </w:rPr>
              <w:t>suatu keputusan dari pengadilan yang memiliki kompetensi yang mengabulkan penundaan sementara dari kewajiban pembayaran segala hutang atau keputusan yang menyatakan kepailitan dari orang tersebut;</w:t>
            </w:r>
          </w:p>
        </w:tc>
      </w:tr>
      <w:tr w:rsidR="009E2802" w:rsidRPr="00A67277" w14:paraId="599190DF" w14:textId="77777777" w:rsidTr="00862B0B">
        <w:tc>
          <w:tcPr>
            <w:tcW w:w="2270" w:type="pct"/>
          </w:tcPr>
          <w:p w14:paraId="0D1EE1F6"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a meeting of its shareholders is convened for the purpose of considering any resolution to petition for or to file documents with a court or any registrar for its winding up, administration, dissolution, bankruptcy or suspension of obligations for the payment of any indebtedness and such resolution is passed;</w:t>
            </w:r>
          </w:p>
        </w:tc>
        <w:tc>
          <w:tcPr>
            <w:tcW w:w="169" w:type="pct"/>
          </w:tcPr>
          <w:p w14:paraId="74CF4765" w14:textId="77777777" w:rsidR="009E2802" w:rsidRPr="00A67277" w:rsidRDefault="009E2802" w:rsidP="00862B0B">
            <w:pPr>
              <w:spacing w:before="60" w:after="60"/>
              <w:rPr>
                <w:rFonts w:ascii="Arial" w:hAnsi="Arial" w:cs="Arial"/>
                <w:sz w:val="21"/>
                <w:szCs w:val="21"/>
              </w:rPr>
            </w:pPr>
          </w:p>
        </w:tc>
        <w:tc>
          <w:tcPr>
            <w:tcW w:w="2561" w:type="pct"/>
            <w:gridSpan w:val="2"/>
          </w:tcPr>
          <w:p w14:paraId="4EF2F443" w14:textId="77777777" w:rsidR="009E2802" w:rsidRPr="00A67277" w:rsidRDefault="009E2802" w:rsidP="00862B0B">
            <w:pPr>
              <w:pStyle w:val="Body2"/>
              <w:numPr>
                <w:ilvl w:val="0"/>
                <w:numId w:val="187"/>
              </w:numPr>
              <w:spacing w:before="60" w:after="60"/>
              <w:ind w:left="1303" w:hanging="425"/>
              <w:rPr>
                <w:rFonts w:cs="Arial"/>
              </w:rPr>
            </w:pPr>
            <w:r w:rsidRPr="00A67277">
              <w:rPr>
                <w:rFonts w:cs="Arial"/>
              </w:rPr>
              <w:t>suatu rapat dari pemegang sahamnya diadakan untuk tujuan mempertimbangkan keputusan dalam rangka mengajukan permohonan atau menyampaikan dokumen ke pengadilan atau segala panitera untuk pembubaran, pemberesan, pengakhiran, kepailitan atau penundaan kewajiban pembayaran hutang dan keputusan tersebut disetujui;</w:t>
            </w:r>
          </w:p>
        </w:tc>
      </w:tr>
      <w:tr w:rsidR="009E2802" w:rsidRPr="00A67277" w14:paraId="3B90950E" w14:textId="77777777" w:rsidTr="00862B0B">
        <w:tc>
          <w:tcPr>
            <w:tcW w:w="2270" w:type="pct"/>
          </w:tcPr>
          <w:p w14:paraId="406F8F62"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any person presenting a petition, or filing documents with a court or any registrar for its winding-up, administration, dissolution, reorganisation, bankruptcy or suspension of obligations for the payment of any indebtedness, unless such petition or documents are being contested in good faith and with due diligence and are discharged or struck out within two (2) Months;</w:t>
            </w:r>
          </w:p>
        </w:tc>
        <w:tc>
          <w:tcPr>
            <w:tcW w:w="169" w:type="pct"/>
          </w:tcPr>
          <w:p w14:paraId="12DC6A50" w14:textId="77777777" w:rsidR="009E2802" w:rsidRPr="00A67277" w:rsidRDefault="009E2802" w:rsidP="00862B0B">
            <w:pPr>
              <w:spacing w:before="60" w:after="60"/>
              <w:rPr>
                <w:rFonts w:ascii="Arial" w:hAnsi="Arial" w:cs="Arial"/>
                <w:sz w:val="21"/>
                <w:szCs w:val="21"/>
              </w:rPr>
            </w:pPr>
          </w:p>
        </w:tc>
        <w:tc>
          <w:tcPr>
            <w:tcW w:w="2561" w:type="pct"/>
            <w:gridSpan w:val="2"/>
          </w:tcPr>
          <w:p w14:paraId="2CE72C05" w14:textId="77777777" w:rsidR="009E2802" w:rsidRPr="00A67277" w:rsidRDefault="009E2802" w:rsidP="00862B0B">
            <w:pPr>
              <w:pStyle w:val="Body2"/>
              <w:numPr>
                <w:ilvl w:val="0"/>
                <w:numId w:val="187"/>
              </w:numPr>
              <w:spacing w:before="60" w:after="60"/>
              <w:ind w:left="1303" w:hanging="425"/>
              <w:rPr>
                <w:rFonts w:cs="Arial"/>
              </w:rPr>
            </w:pPr>
            <w:r w:rsidRPr="00A67277">
              <w:rPr>
                <w:rFonts w:cs="Arial"/>
              </w:rPr>
              <w:t>seorang mengajukan permohonan, atau menyampaikan dokumen ke pengadilan atau segala panitera untuk pengakhiran, pemberesan, pembubaran, reorganisasi, kepailitan atau penundaan kewajiban pembayaran hutang, kecuali permohonan atau dokumen tersebut disanggah dengan itikad baik dan dengan pemeriksaan secara tuntas dan dilepaskan atau diselesaikan dalam waktu dua (2) Bulan;</w:t>
            </w:r>
          </w:p>
        </w:tc>
      </w:tr>
      <w:tr w:rsidR="009E2802" w:rsidRPr="00A67277" w14:paraId="018E59E8" w14:textId="77777777" w:rsidTr="00862B0B">
        <w:tc>
          <w:tcPr>
            <w:tcW w:w="2270" w:type="pct"/>
          </w:tcPr>
          <w:p w14:paraId="34B320BD"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the appointment of any receiver, administrative receiver, administrator or similar officer in respect of any of its material assets;</w:t>
            </w:r>
          </w:p>
        </w:tc>
        <w:tc>
          <w:tcPr>
            <w:tcW w:w="169" w:type="pct"/>
          </w:tcPr>
          <w:p w14:paraId="56FBC6A7" w14:textId="77777777" w:rsidR="009E2802" w:rsidRPr="00A67277" w:rsidRDefault="009E2802" w:rsidP="00862B0B">
            <w:pPr>
              <w:spacing w:before="60" w:after="60"/>
              <w:rPr>
                <w:rFonts w:ascii="Arial" w:hAnsi="Arial" w:cs="Arial"/>
                <w:sz w:val="21"/>
                <w:szCs w:val="21"/>
              </w:rPr>
            </w:pPr>
          </w:p>
        </w:tc>
        <w:tc>
          <w:tcPr>
            <w:tcW w:w="2561" w:type="pct"/>
            <w:gridSpan w:val="2"/>
          </w:tcPr>
          <w:p w14:paraId="1400E643" w14:textId="77777777" w:rsidR="009E2802" w:rsidRPr="00A67277" w:rsidRDefault="009E2802" w:rsidP="00862B0B">
            <w:pPr>
              <w:pStyle w:val="Body2"/>
              <w:numPr>
                <w:ilvl w:val="0"/>
                <w:numId w:val="187"/>
              </w:numPr>
              <w:spacing w:before="60" w:after="60"/>
              <w:ind w:left="1303" w:hanging="425"/>
              <w:rPr>
                <w:rFonts w:cs="Arial"/>
              </w:rPr>
            </w:pPr>
            <w:r w:rsidRPr="00A67277">
              <w:rPr>
                <w:rFonts w:cs="Arial"/>
              </w:rPr>
              <w:t>penunjukan pengelola, administrator, pengurus atau petugas serupa sehubungan dengan pengelolaan segala aset material orang tersebut;</w:t>
            </w:r>
          </w:p>
        </w:tc>
      </w:tr>
      <w:tr w:rsidR="009E2802" w:rsidRPr="00A67277" w14:paraId="007740EA" w14:textId="77777777" w:rsidTr="00862B0B">
        <w:tc>
          <w:tcPr>
            <w:tcW w:w="2270" w:type="pct"/>
          </w:tcPr>
          <w:p w14:paraId="4D1BCA49"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the making of an order for its winding-up, administration or dissolution, or that person otherwise ceases to exist; or</w:t>
            </w:r>
          </w:p>
        </w:tc>
        <w:tc>
          <w:tcPr>
            <w:tcW w:w="169" w:type="pct"/>
          </w:tcPr>
          <w:p w14:paraId="3E2C246B" w14:textId="77777777" w:rsidR="009E2802" w:rsidRPr="00A67277" w:rsidRDefault="009E2802" w:rsidP="00862B0B">
            <w:pPr>
              <w:spacing w:before="60" w:after="60"/>
              <w:rPr>
                <w:rFonts w:ascii="Arial" w:hAnsi="Arial" w:cs="Arial"/>
                <w:sz w:val="21"/>
                <w:szCs w:val="21"/>
              </w:rPr>
            </w:pPr>
          </w:p>
        </w:tc>
        <w:tc>
          <w:tcPr>
            <w:tcW w:w="2561" w:type="pct"/>
            <w:gridSpan w:val="2"/>
          </w:tcPr>
          <w:p w14:paraId="3E7DF044" w14:textId="4E24B8D7" w:rsidR="009E2802" w:rsidRPr="00A67277" w:rsidRDefault="009E2802" w:rsidP="00862B0B">
            <w:pPr>
              <w:pStyle w:val="Body2"/>
              <w:numPr>
                <w:ilvl w:val="0"/>
                <w:numId w:val="187"/>
              </w:numPr>
              <w:spacing w:before="60" w:after="60"/>
              <w:ind w:left="1303" w:hanging="425"/>
              <w:rPr>
                <w:rFonts w:cs="Arial"/>
              </w:rPr>
            </w:pPr>
            <w:r w:rsidRPr="00A67277">
              <w:rPr>
                <w:rFonts w:cs="Arial"/>
              </w:rPr>
              <w:t>pemberian perintah untuk pengakhiran, pemberesan atau pembubaran orang tersebut, atau bahwa orang tersebut berhenti diakui keberadaannya; atau</w:t>
            </w:r>
          </w:p>
        </w:tc>
      </w:tr>
      <w:tr w:rsidR="009E2802" w:rsidRPr="00A67277" w14:paraId="4E3B35A0" w14:textId="77777777" w:rsidTr="00862B0B">
        <w:tc>
          <w:tcPr>
            <w:tcW w:w="2270" w:type="pct"/>
          </w:tcPr>
          <w:p w14:paraId="7A020D2C" w14:textId="77777777" w:rsidR="009E2802" w:rsidRPr="00A67277" w:rsidRDefault="009E2802" w:rsidP="00862B0B">
            <w:pPr>
              <w:pStyle w:val="ListParagraph"/>
              <w:numPr>
                <w:ilvl w:val="0"/>
                <w:numId w:val="224"/>
              </w:numPr>
              <w:spacing w:before="60" w:after="60" w:line="240" w:lineRule="auto"/>
              <w:ind w:left="1276" w:hanging="425"/>
              <w:rPr>
                <w:rFonts w:cs="Arial"/>
              </w:rPr>
            </w:pPr>
            <w:r w:rsidRPr="00A67277">
              <w:rPr>
                <w:rFonts w:cs="Arial"/>
              </w:rPr>
              <w:t>the appointment of any curator, supervisor judge, liquidation body (</w:t>
            </w:r>
            <w:r w:rsidRPr="00A67277">
              <w:rPr>
                <w:rFonts w:cs="Arial"/>
                <w:i/>
              </w:rPr>
              <w:t>balai harta peninggalan</w:t>
            </w:r>
            <w:r w:rsidRPr="00A67277">
              <w:rPr>
                <w:rFonts w:cs="Arial"/>
              </w:rPr>
              <w:t>) or similar officer in respect of it;</w:t>
            </w:r>
          </w:p>
        </w:tc>
        <w:tc>
          <w:tcPr>
            <w:tcW w:w="169" w:type="pct"/>
          </w:tcPr>
          <w:p w14:paraId="3BC04BB8" w14:textId="77777777" w:rsidR="009E2802" w:rsidRPr="00A67277" w:rsidRDefault="009E2802" w:rsidP="00862B0B">
            <w:pPr>
              <w:spacing w:before="60" w:after="60"/>
              <w:rPr>
                <w:rFonts w:ascii="Arial" w:hAnsi="Arial" w:cs="Arial"/>
                <w:sz w:val="21"/>
                <w:szCs w:val="21"/>
              </w:rPr>
            </w:pPr>
          </w:p>
        </w:tc>
        <w:tc>
          <w:tcPr>
            <w:tcW w:w="2561" w:type="pct"/>
            <w:gridSpan w:val="2"/>
          </w:tcPr>
          <w:p w14:paraId="5B25A516" w14:textId="77777777" w:rsidR="009E2802" w:rsidRPr="00A67277" w:rsidRDefault="009E2802" w:rsidP="00862B0B">
            <w:pPr>
              <w:pStyle w:val="Body2"/>
              <w:numPr>
                <w:ilvl w:val="0"/>
                <w:numId w:val="187"/>
              </w:numPr>
              <w:spacing w:before="60" w:after="60"/>
              <w:ind w:left="1303" w:hanging="425"/>
              <w:rPr>
                <w:rFonts w:cs="Arial"/>
              </w:rPr>
            </w:pPr>
            <w:r w:rsidRPr="00A67277">
              <w:rPr>
                <w:rFonts w:cs="Arial"/>
              </w:rPr>
              <w:t>penunjukan kurator, hakim pengawas, balai harta peninggalan atau petugas serupa sehubungan dengan orang tersebut;</w:t>
            </w:r>
          </w:p>
        </w:tc>
      </w:tr>
      <w:tr w:rsidR="009E2802" w:rsidRPr="00A67277" w14:paraId="261B6A40" w14:textId="77777777" w:rsidTr="00862B0B">
        <w:tc>
          <w:tcPr>
            <w:tcW w:w="2270" w:type="pct"/>
          </w:tcPr>
          <w:p w14:paraId="508525E6" w14:textId="77777777" w:rsidR="009E2802" w:rsidRPr="00A67277" w:rsidRDefault="009E2802" w:rsidP="00862B0B">
            <w:pPr>
              <w:pStyle w:val="Body2"/>
              <w:spacing w:before="60" w:after="60"/>
              <w:ind w:left="851"/>
              <w:rPr>
                <w:rFonts w:cs="Arial"/>
              </w:rPr>
            </w:pPr>
            <w:r w:rsidRPr="00A67277">
              <w:rPr>
                <w:rFonts w:cs="Arial"/>
                <w:b/>
              </w:rPr>
              <w:t>Intellectual Property</w:t>
            </w:r>
            <w:r w:rsidRPr="00A67277">
              <w:rPr>
                <w:rFonts w:cs="Arial"/>
              </w:rPr>
              <w:t xml:space="preserve"> means:</w:t>
            </w:r>
          </w:p>
        </w:tc>
        <w:tc>
          <w:tcPr>
            <w:tcW w:w="169" w:type="pct"/>
          </w:tcPr>
          <w:p w14:paraId="1F0BBC2D" w14:textId="77777777" w:rsidR="009E2802" w:rsidRPr="00A67277" w:rsidRDefault="009E2802" w:rsidP="00862B0B">
            <w:pPr>
              <w:spacing w:before="60" w:after="60"/>
              <w:rPr>
                <w:rFonts w:ascii="Arial" w:hAnsi="Arial" w:cs="Arial"/>
                <w:sz w:val="21"/>
                <w:szCs w:val="21"/>
              </w:rPr>
            </w:pPr>
          </w:p>
        </w:tc>
        <w:tc>
          <w:tcPr>
            <w:tcW w:w="2561" w:type="pct"/>
            <w:gridSpan w:val="2"/>
          </w:tcPr>
          <w:p w14:paraId="203ED919" w14:textId="77777777" w:rsidR="009E2802" w:rsidRPr="00A67277" w:rsidRDefault="009E2802" w:rsidP="00862B0B">
            <w:pPr>
              <w:pStyle w:val="Body2"/>
              <w:spacing w:before="60" w:after="60"/>
              <w:ind w:left="878"/>
              <w:rPr>
                <w:rFonts w:cs="Arial"/>
              </w:rPr>
            </w:pPr>
            <w:r w:rsidRPr="00A67277">
              <w:rPr>
                <w:rFonts w:cs="Arial"/>
                <w:b/>
              </w:rPr>
              <w:t>Hak Atas Kekayaan Intelektual</w:t>
            </w:r>
            <w:r w:rsidRPr="00A67277">
              <w:rPr>
                <w:rFonts w:cs="Arial"/>
              </w:rPr>
              <w:t xml:space="preserve"> berarti:</w:t>
            </w:r>
          </w:p>
        </w:tc>
      </w:tr>
      <w:tr w:rsidR="009E2802" w:rsidRPr="00A67277" w14:paraId="54A9C74A" w14:textId="77777777" w:rsidTr="00862B0B">
        <w:tc>
          <w:tcPr>
            <w:tcW w:w="2270" w:type="pct"/>
          </w:tcPr>
          <w:p w14:paraId="04C7EEBF" w14:textId="780DA375" w:rsidR="009E2802" w:rsidRPr="00A67277" w:rsidRDefault="009E2802" w:rsidP="00862B0B">
            <w:pPr>
              <w:pStyle w:val="ListParagraph"/>
              <w:numPr>
                <w:ilvl w:val="0"/>
                <w:numId w:val="225"/>
              </w:numPr>
              <w:spacing w:before="60" w:after="60" w:line="240" w:lineRule="auto"/>
              <w:ind w:left="1276" w:hanging="425"/>
              <w:rPr>
                <w:rFonts w:cs="Arial"/>
              </w:rPr>
            </w:pPr>
            <w:r w:rsidRPr="00A67277">
              <w:rPr>
                <w:rFonts w:cs="Arial"/>
              </w:rPr>
              <w:t xml:space="preserve">all current and future registered or unregistered trademarks, service marks, rights </w:t>
            </w:r>
            <w:r>
              <w:rPr>
                <w:rFonts w:cs="Arial"/>
              </w:rPr>
              <w:t xml:space="preserve">to </w:t>
            </w:r>
            <w:r w:rsidRPr="00A67277">
              <w:rPr>
                <w:rFonts w:cs="Arial"/>
              </w:rPr>
              <w:t xml:space="preserve">logos, rights </w:t>
            </w:r>
            <w:r>
              <w:rPr>
                <w:rFonts w:cs="Arial"/>
              </w:rPr>
              <w:t>to</w:t>
            </w:r>
            <w:r w:rsidRPr="00A67277">
              <w:rPr>
                <w:rFonts w:cs="Arial"/>
              </w:rPr>
              <w:t xml:space="preserve"> </w:t>
            </w:r>
            <w:r>
              <w:rPr>
                <w:rFonts w:cs="Arial"/>
              </w:rPr>
              <w:t>industrial design</w:t>
            </w:r>
            <w:r w:rsidRPr="00A67277">
              <w:rPr>
                <w:rFonts w:cs="Arial"/>
              </w:rPr>
              <w:t xml:space="preserve">, trade names, domain names, rights </w:t>
            </w:r>
            <w:r>
              <w:rPr>
                <w:rFonts w:cs="Arial"/>
              </w:rPr>
              <w:t>to</w:t>
            </w:r>
            <w:r w:rsidRPr="00A67277">
              <w:rPr>
                <w:rFonts w:cs="Arial"/>
              </w:rPr>
              <w:t xml:space="preserve"> e-mail addresses, patents, rights </w:t>
            </w:r>
            <w:r>
              <w:rPr>
                <w:rFonts w:cs="Arial"/>
              </w:rPr>
              <w:t xml:space="preserve">to </w:t>
            </w:r>
            <w:r w:rsidRPr="00A67277">
              <w:rPr>
                <w:rFonts w:cs="Arial"/>
              </w:rPr>
              <w:t xml:space="preserve"> inventions, rights </w:t>
            </w:r>
            <w:r>
              <w:rPr>
                <w:rFonts w:cs="Arial"/>
              </w:rPr>
              <w:t>to</w:t>
            </w:r>
            <w:r w:rsidRPr="00A67277">
              <w:rPr>
                <w:rFonts w:cs="Arial"/>
              </w:rPr>
              <w:t xml:space="preserve"> designs, utility models, copyright (including rights </w:t>
            </w:r>
            <w:r>
              <w:rPr>
                <w:rFonts w:cs="Arial"/>
              </w:rPr>
              <w:t>to</w:t>
            </w:r>
            <w:r w:rsidRPr="00A67277">
              <w:rPr>
                <w:rFonts w:cs="Arial"/>
              </w:rPr>
              <w:t xml:space="preserve"> computer software and copyright relating to any construction, technical and/or design plans relating to the Project) and moral rights, semi-conductor topography rights, database rights (including rights to extract information from databases), and rights </w:t>
            </w:r>
            <w:r>
              <w:rPr>
                <w:rFonts w:cs="Arial"/>
              </w:rPr>
              <w:t>to</w:t>
            </w:r>
            <w:r w:rsidRPr="00A67277">
              <w:rPr>
                <w:rFonts w:cs="Arial"/>
              </w:rPr>
              <w:t xml:space="preserve"> confidential information, trade secrets and know-how; and</w:t>
            </w:r>
          </w:p>
        </w:tc>
        <w:tc>
          <w:tcPr>
            <w:tcW w:w="169" w:type="pct"/>
          </w:tcPr>
          <w:p w14:paraId="051ED288" w14:textId="77777777" w:rsidR="009E2802" w:rsidRPr="00A67277" w:rsidRDefault="009E2802" w:rsidP="00862B0B">
            <w:pPr>
              <w:spacing w:before="60" w:after="60"/>
              <w:rPr>
                <w:rFonts w:ascii="Arial" w:hAnsi="Arial" w:cs="Arial"/>
                <w:sz w:val="21"/>
                <w:szCs w:val="21"/>
              </w:rPr>
            </w:pPr>
          </w:p>
        </w:tc>
        <w:tc>
          <w:tcPr>
            <w:tcW w:w="2561" w:type="pct"/>
            <w:gridSpan w:val="2"/>
          </w:tcPr>
          <w:p w14:paraId="0A7F6747" w14:textId="59636225" w:rsidR="009E2802" w:rsidRPr="00A67277" w:rsidRDefault="009E2802" w:rsidP="00862B0B">
            <w:pPr>
              <w:pStyle w:val="Body2"/>
              <w:numPr>
                <w:ilvl w:val="0"/>
                <w:numId w:val="188"/>
              </w:numPr>
              <w:spacing w:before="60" w:after="60"/>
              <w:ind w:left="1303" w:hanging="425"/>
              <w:rPr>
                <w:rFonts w:cs="Arial"/>
                <w:b/>
              </w:rPr>
            </w:pPr>
            <w:r w:rsidRPr="00A67277">
              <w:rPr>
                <w:rFonts w:eastAsia="Times New Roman" w:cs="Arial"/>
              </w:rPr>
              <w:t>segala hal yang ada sekarang dan akan datang yang terdaftar maupun tidak terdaftar atas merek dagang, merek jasa, hak atas logo, hak untuk pembuatan / desain industri (</w:t>
            </w:r>
            <w:r w:rsidRPr="00A67277">
              <w:rPr>
                <w:rFonts w:eastAsia="Times New Roman" w:cs="Arial"/>
                <w:i/>
              </w:rPr>
              <w:t>rights in get-up</w:t>
            </w:r>
            <w:r w:rsidRPr="00A67277">
              <w:rPr>
                <w:rFonts w:eastAsia="Times New Roman" w:cs="Arial"/>
              </w:rPr>
              <w:t xml:space="preserve">), nama dagang, nama domain, hak atas alamat e-mail, paten, hak atas  temuan, hak dalam desain, model penggunaan, hak cipta (termasuk hak dalam piranti lunak dan hak cipta komputer sehubungan dengan konstruksi, teknis dan/atau rencana desain sehubungan dengan Proyek) dan hak moral, hak topografi semi-konduktor, hak atas basis data (termasuk hak untuk melakukan ekstrasi informasi dari basis data), dan hak atas </w:t>
            </w:r>
            <w:r w:rsidRPr="00A67277">
              <w:rPr>
                <w:rFonts w:cs="Arial"/>
              </w:rPr>
              <w:t xml:space="preserve">Informasi Rahasia, rahasia dagang dan </w:t>
            </w:r>
            <w:r w:rsidRPr="00A67277">
              <w:rPr>
                <w:rFonts w:cs="Arial"/>
                <w:i/>
              </w:rPr>
              <w:t>know-how</w:t>
            </w:r>
            <w:r w:rsidRPr="00A67277">
              <w:rPr>
                <w:rFonts w:cs="Arial"/>
              </w:rPr>
              <w:t>; dan</w:t>
            </w:r>
          </w:p>
        </w:tc>
      </w:tr>
      <w:tr w:rsidR="00862B0B" w:rsidRPr="00A67277" w14:paraId="2E054E5A" w14:textId="77777777" w:rsidTr="00862B0B">
        <w:tc>
          <w:tcPr>
            <w:tcW w:w="2270" w:type="pct"/>
          </w:tcPr>
          <w:p w14:paraId="6BD8FD9D" w14:textId="29517D8C" w:rsidR="00862B0B" w:rsidRPr="00862B0B" w:rsidRDefault="00862B0B" w:rsidP="00A6430C">
            <w:pPr>
              <w:tabs>
                <w:tab w:val="left" w:pos="709"/>
                <w:tab w:val="left" w:pos="851"/>
              </w:tabs>
              <w:spacing w:before="60" w:after="60"/>
              <w:ind w:left="851"/>
              <w:jc w:val="both"/>
              <w:rPr>
                <w:rFonts w:cs="Arial"/>
              </w:rPr>
            </w:pPr>
            <w:r w:rsidRPr="00862B0B">
              <w:rPr>
                <w:rFonts w:ascii="Arial" w:hAnsi="Arial" w:cs="Arial"/>
                <w:b/>
                <w:sz w:val="21"/>
                <w:szCs w:val="21"/>
              </w:rPr>
              <w:t xml:space="preserve">Key Performance Indicators </w:t>
            </w:r>
            <w:r w:rsidRPr="00862B0B">
              <w:rPr>
                <w:rFonts w:ascii="Arial" w:hAnsi="Arial" w:cs="Arial"/>
                <w:sz w:val="21"/>
                <w:szCs w:val="21"/>
              </w:rPr>
              <w:t>means the level of service required for Facility as set out at Appendix 9 (</w:t>
            </w:r>
            <w:r w:rsidRPr="00862B0B">
              <w:rPr>
                <w:rFonts w:ascii="Arial" w:hAnsi="Arial" w:cs="Arial"/>
                <w:i/>
                <w:sz w:val="21"/>
                <w:szCs w:val="21"/>
              </w:rPr>
              <w:t>Key Performance  Indicators</w:t>
            </w:r>
            <w:r w:rsidRPr="00862B0B">
              <w:rPr>
                <w:rFonts w:ascii="Arial" w:hAnsi="Arial" w:cs="Arial"/>
                <w:sz w:val="21"/>
                <w:szCs w:val="21"/>
              </w:rPr>
              <w:t>);</w:t>
            </w:r>
          </w:p>
        </w:tc>
        <w:tc>
          <w:tcPr>
            <w:tcW w:w="169" w:type="pct"/>
          </w:tcPr>
          <w:p w14:paraId="7E865B54" w14:textId="77777777" w:rsidR="00862B0B" w:rsidRPr="00A67277" w:rsidRDefault="00862B0B" w:rsidP="00862B0B">
            <w:pPr>
              <w:spacing w:before="60" w:after="60"/>
              <w:rPr>
                <w:rFonts w:ascii="Arial" w:hAnsi="Arial" w:cs="Arial"/>
                <w:sz w:val="21"/>
                <w:szCs w:val="21"/>
              </w:rPr>
            </w:pPr>
          </w:p>
        </w:tc>
        <w:tc>
          <w:tcPr>
            <w:tcW w:w="2561" w:type="pct"/>
            <w:gridSpan w:val="2"/>
          </w:tcPr>
          <w:p w14:paraId="036AA9EB" w14:textId="364A3682" w:rsidR="00862B0B" w:rsidRPr="00A67277" w:rsidRDefault="00862B0B" w:rsidP="00862B0B">
            <w:pPr>
              <w:pStyle w:val="Body2"/>
              <w:spacing w:before="60" w:after="60"/>
              <w:ind w:left="857"/>
              <w:rPr>
                <w:rFonts w:cs="Arial"/>
              </w:rPr>
            </w:pPr>
            <w:r w:rsidRPr="00A67277">
              <w:rPr>
                <w:rFonts w:cs="Arial"/>
                <w:b/>
              </w:rPr>
              <w:t xml:space="preserve">Indikator Kinerja Utama </w:t>
            </w:r>
            <w:r w:rsidRPr="00A67277">
              <w:rPr>
                <w:rFonts w:cs="Arial"/>
              </w:rPr>
              <w:t xml:space="preserve">berarti tingkat pelayanan yang disyaratkan untuk </w:t>
            </w:r>
            <w:r>
              <w:rPr>
                <w:rFonts w:cs="Arial"/>
              </w:rPr>
              <w:t>Fasilitas</w:t>
            </w:r>
            <w:r w:rsidRPr="00A67277">
              <w:rPr>
                <w:rFonts w:cs="Arial"/>
              </w:rPr>
              <w:t xml:space="preserve"> sebagaimana diatur dalam Lampiran 9 (</w:t>
            </w:r>
            <w:r w:rsidRPr="00A67277">
              <w:rPr>
                <w:rFonts w:cs="Arial"/>
                <w:i/>
              </w:rPr>
              <w:t>Indikator Kinerja Utama</w:t>
            </w:r>
            <w:r w:rsidRPr="00A67277">
              <w:rPr>
                <w:rFonts w:cs="Arial"/>
              </w:rPr>
              <w:t>);</w:t>
            </w:r>
          </w:p>
        </w:tc>
      </w:tr>
      <w:tr w:rsidR="00862B0B" w:rsidRPr="00A67277" w14:paraId="10D9FA7B" w14:textId="77777777" w:rsidTr="00862B0B">
        <w:tc>
          <w:tcPr>
            <w:tcW w:w="2270" w:type="pct"/>
          </w:tcPr>
          <w:p w14:paraId="75D29CFA" w14:textId="77777777" w:rsidR="00862B0B" w:rsidRDefault="00862B0B" w:rsidP="00862B0B">
            <w:pPr>
              <w:pStyle w:val="Body2"/>
              <w:spacing w:before="60" w:after="60"/>
              <w:ind w:left="851"/>
              <w:rPr>
                <w:rFonts w:cs="Arial"/>
                <w:b/>
              </w:rPr>
            </w:pPr>
          </w:p>
          <w:p w14:paraId="1C9B8C18" w14:textId="22AA2ED0" w:rsidR="00862B0B" w:rsidRPr="00A67277" w:rsidRDefault="00862B0B" w:rsidP="00862B0B">
            <w:pPr>
              <w:pStyle w:val="Body2"/>
              <w:spacing w:before="60" w:after="60"/>
              <w:ind w:left="851"/>
              <w:rPr>
                <w:rFonts w:cs="Arial"/>
              </w:rPr>
            </w:pPr>
            <w:r w:rsidRPr="00A67277">
              <w:rPr>
                <w:rFonts w:cs="Arial"/>
                <w:b/>
              </w:rPr>
              <w:t>Key Shareholder</w:t>
            </w:r>
            <w:r w:rsidRPr="00A67277">
              <w:rPr>
                <w:rFonts w:cs="Arial"/>
              </w:rPr>
              <w:t xml:space="preserve"> means the key shareholders in the capital of the IBE as set out in Appendix 3 (</w:t>
            </w:r>
            <w:r w:rsidRPr="00A67277">
              <w:rPr>
                <w:rFonts w:cs="Arial"/>
                <w:i/>
              </w:rPr>
              <w:t>Shareholders</w:t>
            </w:r>
            <w:r w:rsidRPr="00A67277">
              <w:rPr>
                <w:rFonts w:cs="Arial"/>
              </w:rPr>
              <w:t>);</w:t>
            </w:r>
          </w:p>
        </w:tc>
        <w:tc>
          <w:tcPr>
            <w:tcW w:w="169" w:type="pct"/>
          </w:tcPr>
          <w:p w14:paraId="165A2D71" w14:textId="77777777" w:rsidR="00862B0B" w:rsidRPr="00A67277" w:rsidRDefault="00862B0B" w:rsidP="00862B0B">
            <w:pPr>
              <w:spacing w:before="60" w:after="60"/>
              <w:rPr>
                <w:rFonts w:ascii="Arial" w:hAnsi="Arial" w:cs="Arial"/>
                <w:sz w:val="21"/>
                <w:szCs w:val="21"/>
              </w:rPr>
            </w:pPr>
          </w:p>
        </w:tc>
        <w:tc>
          <w:tcPr>
            <w:tcW w:w="2561" w:type="pct"/>
            <w:gridSpan w:val="2"/>
          </w:tcPr>
          <w:p w14:paraId="5DD1CC22" w14:textId="77777777" w:rsidR="00862B0B" w:rsidRDefault="00862B0B" w:rsidP="00862B0B">
            <w:pPr>
              <w:pStyle w:val="Body2"/>
              <w:spacing w:before="60" w:after="60"/>
              <w:ind w:left="878"/>
              <w:rPr>
                <w:rFonts w:cs="Arial"/>
                <w:b/>
              </w:rPr>
            </w:pPr>
          </w:p>
          <w:p w14:paraId="1C8E0EC9" w14:textId="2BDD2499" w:rsidR="00862B0B" w:rsidRPr="00A67277" w:rsidRDefault="00862B0B" w:rsidP="00862B0B">
            <w:pPr>
              <w:pStyle w:val="Body2"/>
              <w:spacing w:before="60" w:after="60"/>
              <w:ind w:left="878"/>
              <w:rPr>
                <w:rFonts w:cs="Arial"/>
              </w:rPr>
            </w:pPr>
            <w:r w:rsidRPr="00A67277">
              <w:rPr>
                <w:rFonts w:cs="Arial"/>
                <w:b/>
              </w:rPr>
              <w:t>Pemegang Saham Utama</w:t>
            </w:r>
            <w:r w:rsidRPr="00A67277">
              <w:rPr>
                <w:rFonts w:cs="Arial"/>
              </w:rPr>
              <w:t xml:space="preserve"> berarti pemegang saham utama dalam modal BUP sebagaimana yang diatur dalam Lampiran 3 (</w:t>
            </w:r>
            <w:r w:rsidRPr="00A67277">
              <w:rPr>
                <w:rFonts w:cs="Arial"/>
                <w:i/>
              </w:rPr>
              <w:t>Pemegang Saham</w:t>
            </w:r>
            <w:r w:rsidRPr="00A67277">
              <w:rPr>
                <w:rFonts w:cs="Arial"/>
              </w:rPr>
              <w:t>);</w:t>
            </w:r>
          </w:p>
        </w:tc>
      </w:tr>
      <w:tr w:rsidR="00862B0B" w:rsidRPr="00A67277" w14:paraId="7CF01FF0" w14:textId="77777777" w:rsidTr="00862B0B">
        <w:tc>
          <w:tcPr>
            <w:tcW w:w="2270" w:type="pct"/>
          </w:tcPr>
          <w:p w14:paraId="156B02C6" w14:textId="77777777" w:rsidR="00862B0B" w:rsidRPr="00A67277" w:rsidRDefault="00862B0B" w:rsidP="00862B0B">
            <w:pPr>
              <w:pStyle w:val="Body2"/>
              <w:spacing w:before="60" w:after="60"/>
              <w:ind w:left="851"/>
              <w:rPr>
                <w:rFonts w:cs="Arial"/>
              </w:rPr>
            </w:pPr>
            <w:r w:rsidRPr="00A67277">
              <w:rPr>
                <w:rFonts w:cs="Arial"/>
                <w:b/>
              </w:rPr>
              <w:t xml:space="preserve">Late Payment Interest Rate </w:t>
            </w:r>
            <w:r w:rsidRPr="00A67277">
              <w:rPr>
                <w:rFonts w:cs="Arial"/>
              </w:rPr>
              <w:t xml:space="preserve">means </w:t>
            </w:r>
            <w:bookmarkStart w:id="37" w:name="_cp_text_1_521"/>
            <w:r w:rsidRPr="00A67277">
              <w:rPr>
                <w:rFonts w:cs="Arial"/>
              </w:rPr>
              <w:t xml:space="preserve">the </w:t>
            </w:r>
            <w:bookmarkEnd w:id="37"/>
            <w:r w:rsidRPr="00A67277">
              <w:rPr>
                <w:rFonts w:cs="Arial"/>
              </w:rPr>
              <w:t>policy rate (currently known as "</w:t>
            </w:r>
            <w:r w:rsidRPr="00A67277">
              <w:rPr>
                <w:rFonts w:cs="Arial"/>
                <w:i/>
              </w:rPr>
              <w:t>BI 7-Days Repo Rate</w:t>
            </w:r>
            <w:r w:rsidRPr="00A67277">
              <w:rPr>
                <w:rFonts w:cs="Arial"/>
              </w:rPr>
              <w:t xml:space="preserve">", or any substituting reference) per annum which is announced by the Board of Governors of the Central Bank Of Indonesia (Bank Indonesia) in each Monthly Board of Governors Meeting (provided that if the rate of interest cannot be determined, the rate most nearly approximating this rate having regard to comparable indices then available in the financial markets) plus </w:t>
            </w:r>
            <w:bookmarkStart w:id="38" w:name="_cp_text_1_522"/>
            <w:r w:rsidRPr="00A67277">
              <w:rPr>
                <w:rFonts w:cs="Arial"/>
              </w:rPr>
              <w:t>two percent (</w:t>
            </w:r>
            <w:bookmarkEnd w:id="38"/>
            <w:r w:rsidRPr="00A67277">
              <w:rPr>
                <w:rFonts w:cs="Arial"/>
              </w:rPr>
              <w:t>2%</w:t>
            </w:r>
            <w:bookmarkStart w:id="39" w:name="_cp_text_1_523"/>
            <w:r w:rsidRPr="00A67277">
              <w:rPr>
                <w:rFonts w:cs="Arial"/>
              </w:rPr>
              <w:t>)</w:t>
            </w:r>
            <w:bookmarkEnd w:id="39"/>
            <w:r w:rsidRPr="00A67277">
              <w:rPr>
                <w:rFonts w:cs="Arial"/>
              </w:rPr>
              <w:t xml:space="preserve">, which shall be applied to any overdue amount from and including the Day on which such amount is due and payable under this Agreement to the Day of actual payment, and shall be calculated on the basis of the actual number of Days elapsed and a three hundred and sixty (360) Day </w:t>
            </w:r>
            <w:bookmarkStart w:id="40" w:name="_cp_text_1_525"/>
            <w:r w:rsidRPr="00A67277">
              <w:rPr>
                <w:rFonts w:cs="Arial"/>
              </w:rPr>
              <w:t xml:space="preserve">year </w:t>
            </w:r>
            <w:bookmarkEnd w:id="40"/>
            <w:r w:rsidRPr="00A67277">
              <w:rPr>
                <w:rFonts w:cs="Arial"/>
              </w:rPr>
              <w:t>and shall accrue from Day to Day;</w:t>
            </w:r>
          </w:p>
        </w:tc>
        <w:tc>
          <w:tcPr>
            <w:tcW w:w="169" w:type="pct"/>
          </w:tcPr>
          <w:p w14:paraId="45562159" w14:textId="77777777" w:rsidR="00862B0B" w:rsidRPr="00A67277" w:rsidRDefault="00862B0B" w:rsidP="00862B0B">
            <w:pPr>
              <w:spacing w:before="60" w:after="60"/>
              <w:rPr>
                <w:rFonts w:ascii="Arial" w:hAnsi="Arial" w:cs="Arial"/>
                <w:sz w:val="21"/>
                <w:szCs w:val="21"/>
              </w:rPr>
            </w:pPr>
          </w:p>
        </w:tc>
        <w:tc>
          <w:tcPr>
            <w:tcW w:w="2561" w:type="pct"/>
            <w:gridSpan w:val="2"/>
          </w:tcPr>
          <w:p w14:paraId="144A2EBF" w14:textId="77777777" w:rsidR="00862B0B" w:rsidRPr="00A67277" w:rsidRDefault="00862B0B" w:rsidP="00862B0B">
            <w:pPr>
              <w:pStyle w:val="Body2"/>
              <w:spacing w:before="60" w:after="60"/>
              <w:ind w:left="878"/>
              <w:rPr>
                <w:rFonts w:cs="Arial"/>
              </w:rPr>
            </w:pPr>
            <w:r w:rsidRPr="00A67277">
              <w:rPr>
                <w:rFonts w:cs="Arial"/>
                <w:b/>
              </w:rPr>
              <w:t xml:space="preserve">Tingkat Suku Bunga Keterlambatan Pembayaran </w:t>
            </w:r>
            <w:r w:rsidRPr="00A67277">
              <w:rPr>
                <w:rFonts w:cs="Arial"/>
              </w:rPr>
              <w:t>berarti kebijakan suku bunga (saat ini dikenal sebagai "</w:t>
            </w:r>
            <w:r w:rsidRPr="00A67277">
              <w:rPr>
                <w:rFonts w:cs="Arial"/>
                <w:i/>
              </w:rPr>
              <w:t>BI 7-Days Repo Rate</w:t>
            </w:r>
            <w:r w:rsidRPr="00A67277">
              <w:rPr>
                <w:rFonts w:cs="Arial"/>
              </w:rPr>
              <w:t>", atau istilah lainnya) setiap tahun yang diumumkan oleh Dewan Gubernur Bank Indonesia dalam setiap Rapat Dewan Gubernur Bulanan (dengan ketentuan bahwa jika tingkat suku bunga tidak dapat ditetapkan, tingkat suku hampir mendekati tingkat suku yang dapat dibandingkan dengan indeks yang tersedia di pasar finansial) ditambah dua persen (2%), yang berlaku terhadap jumlah yang lewat jangka waktu dan termasuk Hari dimana jumlah tersebut jatuh tempo dan dapat ditagih berdasarkan Perjanjian ini hingga Hari dimana pembayaran aktual, dan harus dihitung dengan dasar jumlah Hari yang secara aktual berlalu dengan jumlah Hari dalam satu tahun setara dengan tiga ratus enam puluh (360) Hari dan terus dihitung dari Hari ke Hari;</w:t>
            </w:r>
          </w:p>
        </w:tc>
      </w:tr>
      <w:tr w:rsidR="00862B0B" w:rsidRPr="00A67277" w14:paraId="4C0C678E" w14:textId="77777777" w:rsidTr="00862B0B">
        <w:tc>
          <w:tcPr>
            <w:tcW w:w="2270" w:type="pct"/>
          </w:tcPr>
          <w:p w14:paraId="23063020" w14:textId="77777777" w:rsidR="00862B0B" w:rsidRPr="00A67277" w:rsidRDefault="00862B0B" w:rsidP="00862B0B">
            <w:pPr>
              <w:pStyle w:val="Body2"/>
              <w:spacing w:before="60" w:after="60"/>
              <w:ind w:left="851"/>
              <w:rPr>
                <w:rFonts w:cs="Arial"/>
              </w:rPr>
            </w:pPr>
            <w:r w:rsidRPr="00A67277">
              <w:rPr>
                <w:rFonts w:cs="Arial"/>
                <w:b/>
              </w:rPr>
              <w:t xml:space="preserve">Laws </w:t>
            </w:r>
            <w:r w:rsidRPr="00A67277">
              <w:rPr>
                <w:rFonts w:cs="Arial"/>
              </w:rPr>
              <w:t>means any decree, resolution, law, statue, act, ordinance, rule, direction (to the extent having the force of law), order, treaty, code or regulation (including any of the foregoing relating to health or safety matters or any Environmental Law) or any interpretation of the foregoing, as enacted, issued or promulgated by any Governmental Instrumentality including amendments, modifications, exclusions, replacements or re-enactments thereof, and includes any injunction or final non-appealable judgment directly applicable to the relevant party of any Governmental Instrumentality having jurisdiction over the matter in question;</w:t>
            </w:r>
          </w:p>
        </w:tc>
        <w:tc>
          <w:tcPr>
            <w:tcW w:w="169" w:type="pct"/>
          </w:tcPr>
          <w:p w14:paraId="3F7111DE" w14:textId="77777777" w:rsidR="00862B0B" w:rsidRPr="00A67277" w:rsidRDefault="00862B0B" w:rsidP="00862B0B">
            <w:pPr>
              <w:spacing w:before="60" w:after="60"/>
              <w:rPr>
                <w:rFonts w:ascii="Arial" w:hAnsi="Arial" w:cs="Arial"/>
                <w:sz w:val="21"/>
                <w:szCs w:val="21"/>
              </w:rPr>
            </w:pPr>
          </w:p>
        </w:tc>
        <w:tc>
          <w:tcPr>
            <w:tcW w:w="2561" w:type="pct"/>
            <w:gridSpan w:val="2"/>
          </w:tcPr>
          <w:p w14:paraId="6FC74E1B" w14:textId="678A0033" w:rsidR="00862B0B" w:rsidRPr="00A67277" w:rsidRDefault="00862B0B" w:rsidP="00862B0B">
            <w:pPr>
              <w:pStyle w:val="Body2"/>
              <w:spacing w:before="60" w:after="60"/>
              <w:ind w:left="878"/>
              <w:rPr>
                <w:rFonts w:cs="Arial"/>
              </w:rPr>
            </w:pPr>
            <w:r w:rsidRPr="00A67277">
              <w:rPr>
                <w:rFonts w:cs="Arial"/>
                <w:b/>
              </w:rPr>
              <w:t xml:space="preserve">Hukum </w:t>
            </w:r>
            <w:r w:rsidRPr="00A67277">
              <w:rPr>
                <w:rFonts w:cs="Arial"/>
              </w:rPr>
              <w:t>berarti</w:t>
            </w:r>
            <w:r w:rsidRPr="00A67277">
              <w:rPr>
                <w:rFonts w:cs="Arial"/>
                <w:b/>
              </w:rPr>
              <w:t xml:space="preserve"> </w:t>
            </w:r>
            <w:r w:rsidRPr="00A67277">
              <w:rPr>
                <w:rFonts w:cs="Arial"/>
              </w:rPr>
              <w:t>segala</w:t>
            </w:r>
            <w:r w:rsidRPr="00A67277">
              <w:rPr>
                <w:rFonts w:cs="Arial"/>
                <w:b/>
              </w:rPr>
              <w:t xml:space="preserve"> </w:t>
            </w:r>
            <w:r w:rsidRPr="00A67277">
              <w:rPr>
                <w:rFonts w:cs="Arial"/>
              </w:rPr>
              <w:t xml:space="preserve">keputusan, ketetapan, hukum, undang-undang, penetapan, peraturan, aturan, arahan (sejauh memiliki kekuatan hukum), perintah, perjanjian, kode atau regulasi (termasuk hal-hal sebelumnya tersebut berkenaan dengan kesehatan dan keselamatan atau segala Hukum Lingkungan) atau segala interpretasi dari hal-hal sebelumnya tersebut, sebagaimana yang diberlakukan, diterbitkan atau diundangkan oleh segala Lembaga Pemerintahan termasuk perubahan, modifikasi, pengecualian, penggantian atau pemberlakuan ulang dari hal tersebut, dan termasuk perintah atau putusan </w:t>
            </w:r>
            <w:r>
              <w:rPr>
                <w:rFonts w:cs="Arial"/>
              </w:rPr>
              <w:t>mengikat</w:t>
            </w:r>
            <w:r w:rsidRPr="00A67277">
              <w:rPr>
                <w:rFonts w:cs="Arial"/>
              </w:rPr>
              <w:t xml:space="preserve"> yang tidak dapat dilakukan banding yang berlaku untuk pihak yang relevan dari segala Lembaga Pemerintahan yang memiliki yurisdiksi atas materi yang dimaksud;</w:t>
            </w:r>
          </w:p>
        </w:tc>
      </w:tr>
      <w:tr w:rsidR="00862B0B" w:rsidRPr="00A67277" w14:paraId="6EDA7108" w14:textId="77777777" w:rsidTr="00862B0B">
        <w:tc>
          <w:tcPr>
            <w:tcW w:w="2270" w:type="pct"/>
          </w:tcPr>
          <w:p w14:paraId="57F89F43" w14:textId="2ECAB213" w:rsidR="00862B0B" w:rsidRPr="0071374B" w:rsidRDefault="00862B0B" w:rsidP="00862B0B">
            <w:pPr>
              <w:pStyle w:val="Body2"/>
              <w:spacing w:before="60" w:after="60"/>
              <w:ind w:left="851"/>
              <w:rPr>
                <w:rFonts w:cs="Arial"/>
              </w:rPr>
            </w:pPr>
            <w:r>
              <w:rPr>
                <w:rFonts w:cs="Arial"/>
                <w:b/>
              </w:rPr>
              <w:t xml:space="preserve">Law Enforcement Agreement </w:t>
            </w:r>
            <w:r>
              <w:rPr>
                <w:rFonts w:cs="Arial"/>
              </w:rPr>
              <w:t>means agreement between</w:t>
            </w:r>
            <w:r w:rsidRPr="00A67277">
              <w:rPr>
                <w:rFonts w:cs="Arial"/>
              </w:rPr>
              <w:t xml:space="preserve"> the GCA, the Indonesian National Police or other enforcement authority</w:t>
            </w:r>
            <w:r>
              <w:rPr>
                <w:rFonts w:cs="Arial"/>
              </w:rPr>
              <w:t xml:space="preserve"> </w:t>
            </w:r>
            <w:r w:rsidRPr="00A67277">
              <w:rPr>
                <w:rFonts w:cs="Arial"/>
              </w:rPr>
              <w:t>and the IBE</w:t>
            </w:r>
            <w:r>
              <w:rPr>
                <w:rFonts w:cs="Arial"/>
              </w:rPr>
              <w:t xml:space="preserve"> with respect to the law enforcement for the MLFF System.</w:t>
            </w:r>
          </w:p>
        </w:tc>
        <w:tc>
          <w:tcPr>
            <w:tcW w:w="169" w:type="pct"/>
          </w:tcPr>
          <w:p w14:paraId="7802C1ED" w14:textId="77777777" w:rsidR="00862B0B" w:rsidRPr="00A67277" w:rsidRDefault="00862B0B" w:rsidP="00862B0B">
            <w:pPr>
              <w:spacing w:before="60" w:after="60"/>
              <w:rPr>
                <w:rFonts w:ascii="Arial" w:hAnsi="Arial" w:cs="Arial"/>
                <w:sz w:val="21"/>
                <w:szCs w:val="21"/>
              </w:rPr>
            </w:pPr>
          </w:p>
        </w:tc>
        <w:tc>
          <w:tcPr>
            <w:tcW w:w="2561" w:type="pct"/>
            <w:gridSpan w:val="2"/>
          </w:tcPr>
          <w:p w14:paraId="1CD69337" w14:textId="6316C6B5" w:rsidR="00862B0B" w:rsidRPr="00A67277" w:rsidRDefault="00862B0B" w:rsidP="00862B0B">
            <w:pPr>
              <w:pStyle w:val="Body2"/>
              <w:spacing w:before="60" w:after="60"/>
              <w:ind w:left="878"/>
              <w:rPr>
                <w:rFonts w:cs="Arial"/>
                <w:b/>
              </w:rPr>
            </w:pPr>
            <w:r>
              <w:rPr>
                <w:rFonts w:cs="Arial"/>
                <w:b/>
              </w:rPr>
              <w:t xml:space="preserve">Perjanjian Penegakan Hukum </w:t>
            </w:r>
            <w:r w:rsidRPr="0071374B">
              <w:rPr>
                <w:rFonts w:cs="Arial"/>
              </w:rPr>
              <w:t>berarti</w:t>
            </w:r>
            <w:r>
              <w:rPr>
                <w:rFonts w:cs="Arial"/>
                <w:b/>
              </w:rPr>
              <w:t xml:space="preserve"> </w:t>
            </w:r>
            <w:r w:rsidRPr="0071374B">
              <w:rPr>
                <w:rFonts w:cs="Arial"/>
              </w:rPr>
              <w:t xml:space="preserve">perjanjian </w:t>
            </w:r>
            <w:r w:rsidRPr="00A67277">
              <w:rPr>
                <w:rFonts w:cs="Arial"/>
              </w:rPr>
              <w:t>antara PJPK, Kepolisian Republik Indonesia atau otoritas penegak hukum lainnya dan BUP</w:t>
            </w:r>
            <w:r>
              <w:rPr>
                <w:rFonts w:cs="Arial"/>
              </w:rPr>
              <w:t xml:space="preserve"> sehubungan dengan penegakan hukum untuk Sistem MLFF.</w:t>
            </w:r>
          </w:p>
        </w:tc>
      </w:tr>
      <w:tr w:rsidR="00862B0B" w:rsidRPr="00A67277" w14:paraId="298A19A8" w14:textId="77777777" w:rsidTr="00862B0B">
        <w:tc>
          <w:tcPr>
            <w:tcW w:w="2270" w:type="pct"/>
          </w:tcPr>
          <w:p w14:paraId="12ED9545" w14:textId="77777777" w:rsidR="00862B0B" w:rsidRPr="00A67277" w:rsidRDefault="00862B0B" w:rsidP="00862B0B">
            <w:pPr>
              <w:pStyle w:val="Body2"/>
              <w:spacing w:before="60" w:after="60"/>
              <w:ind w:left="851"/>
              <w:rPr>
                <w:rFonts w:cs="Arial"/>
              </w:rPr>
            </w:pPr>
            <w:r w:rsidRPr="00A67277">
              <w:rPr>
                <w:rFonts w:cs="Arial"/>
                <w:b/>
              </w:rPr>
              <w:t xml:space="preserve">Legal Requirements </w:t>
            </w:r>
            <w:r w:rsidRPr="00A67277">
              <w:rPr>
                <w:rFonts w:cs="Arial"/>
              </w:rPr>
              <w:t>means all Laws, Authorisations and any injunction or final non-appealable judgment applicable to the relevant Party of any Governmental Instrumentality having jurisdiction over the matter in question;</w:t>
            </w:r>
          </w:p>
        </w:tc>
        <w:tc>
          <w:tcPr>
            <w:tcW w:w="169" w:type="pct"/>
          </w:tcPr>
          <w:p w14:paraId="3F843402" w14:textId="77777777" w:rsidR="00862B0B" w:rsidRPr="00A67277" w:rsidRDefault="00862B0B" w:rsidP="00862B0B">
            <w:pPr>
              <w:spacing w:before="60" w:after="60"/>
              <w:rPr>
                <w:rFonts w:ascii="Arial" w:hAnsi="Arial" w:cs="Arial"/>
                <w:sz w:val="21"/>
                <w:szCs w:val="21"/>
              </w:rPr>
            </w:pPr>
          </w:p>
        </w:tc>
        <w:tc>
          <w:tcPr>
            <w:tcW w:w="2561" w:type="pct"/>
            <w:gridSpan w:val="2"/>
          </w:tcPr>
          <w:p w14:paraId="4DCC168E" w14:textId="311E442B" w:rsidR="00862B0B" w:rsidRPr="00A67277" w:rsidRDefault="00862B0B" w:rsidP="00862B0B">
            <w:pPr>
              <w:pStyle w:val="Body2"/>
              <w:spacing w:before="60" w:after="60"/>
              <w:ind w:left="878"/>
              <w:rPr>
                <w:rFonts w:cs="Arial"/>
              </w:rPr>
            </w:pPr>
            <w:r w:rsidRPr="00A67277">
              <w:rPr>
                <w:rFonts w:cs="Arial"/>
                <w:b/>
              </w:rPr>
              <w:t xml:space="preserve">Persyaratan Hukum </w:t>
            </w:r>
            <w:r w:rsidRPr="00A67277">
              <w:rPr>
                <w:rFonts w:cs="Arial"/>
              </w:rPr>
              <w:t>berarti</w:t>
            </w:r>
            <w:r w:rsidRPr="00A67277">
              <w:rPr>
                <w:rFonts w:cs="Arial"/>
                <w:b/>
              </w:rPr>
              <w:t xml:space="preserve"> </w:t>
            </w:r>
            <w:r w:rsidRPr="00A67277">
              <w:rPr>
                <w:rFonts w:cs="Arial"/>
              </w:rPr>
              <w:t xml:space="preserve">semua Hukum, Persetujuan-Persetujuan dan segala perintah atau putusan </w:t>
            </w:r>
            <w:r>
              <w:rPr>
                <w:rFonts w:cs="Arial"/>
              </w:rPr>
              <w:t>mengikat</w:t>
            </w:r>
            <w:r w:rsidRPr="00A67277">
              <w:rPr>
                <w:rFonts w:cs="Arial"/>
              </w:rPr>
              <w:t xml:space="preserve"> yang tidak dapat dilakukan banding yang berlaku untuk Pihak yang relevan dari segala Lembaga Pemerintahan yang memiliki yurisdiksi atas hal yang dimaksud;</w:t>
            </w:r>
          </w:p>
        </w:tc>
      </w:tr>
      <w:tr w:rsidR="00862B0B" w:rsidRPr="00A67277" w14:paraId="7A7C0A45" w14:textId="77777777" w:rsidTr="00862B0B">
        <w:tc>
          <w:tcPr>
            <w:tcW w:w="2270" w:type="pct"/>
          </w:tcPr>
          <w:p w14:paraId="3207143B" w14:textId="77777777" w:rsidR="00862B0B" w:rsidRPr="00A67277" w:rsidRDefault="00862B0B" w:rsidP="00862B0B">
            <w:pPr>
              <w:pStyle w:val="Body2"/>
              <w:spacing w:before="60" w:after="60"/>
              <w:ind w:left="851"/>
              <w:rPr>
                <w:rFonts w:cs="Arial"/>
              </w:rPr>
            </w:pPr>
            <w:r w:rsidRPr="00A67277">
              <w:rPr>
                <w:rFonts w:cs="Arial"/>
                <w:b/>
              </w:rPr>
              <w:t>Legitimate Circumstance</w:t>
            </w:r>
            <w:r w:rsidRPr="00A67277">
              <w:rPr>
                <w:rFonts w:cs="Arial"/>
              </w:rPr>
              <w:t xml:space="preserve"> means: </w:t>
            </w:r>
          </w:p>
        </w:tc>
        <w:tc>
          <w:tcPr>
            <w:tcW w:w="169" w:type="pct"/>
          </w:tcPr>
          <w:p w14:paraId="549FD8E0" w14:textId="77777777" w:rsidR="00862B0B" w:rsidRPr="00A67277" w:rsidRDefault="00862B0B" w:rsidP="00862B0B">
            <w:pPr>
              <w:spacing w:before="60" w:after="60"/>
              <w:rPr>
                <w:rFonts w:ascii="Arial" w:hAnsi="Arial" w:cs="Arial"/>
                <w:sz w:val="21"/>
                <w:szCs w:val="21"/>
              </w:rPr>
            </w:pPr>
          </w:p>
        </w:tc>
        <w:tc>
          <w:tcPr>
            <w:tcW w:w="2561" w:type="pct"/>
            <w:gridSpan w:val="2"/>
          </w:tcPr>
          <w:p w14:paraId="134FE11E" w14:textId="77777777" w:rsidR="00862B0B" w:rsidRPr="00A67277" w:rsidRDefault="00862B0B" w:rsidP="00862B0B">
            <w:pPr>
              <w:pStyle w:val="Body2"/>
              <w:spacing w:before="60" w:after="60"/>
              <w:ind w:left="878"/>
              <w:rPr>
                <w:rFonts w:cs="Arial"/>
              </w:rPr>
            </w:pPr>
            <w:r w:rsidRPr="00A67277">
              <w:rPr>
                <w:rFonts w:cs="Arial"/>
                <w:b/>
              </w:rPr>
              <w:t>Keadaan Yang Memaafkan</w:t>
            </w:r>
            <w:r w:rsidRPr="00A67277">
              <w:rPr>
                <w:rFonts w:cs="Arial"/>
              </w:rPr>
              <w:t xml:space="preserve"> berarti: </w:t>
            </w:r>
          </w:p>
        </w:tc>
      </w:tr>
      <w:tr w:rsidR="00862B0B" w:rsidRPr="00A67277" w14:paraId="52A6CB6F" w14:textId="77777777" w:rsidTr="00862B0B">
        <w:tc>
          <w:tcPr>
            <w:tcW w:w="2270" w:type="pct"/>
          </w:tcPr>
          <w:p w14:paraId="03A2F91F" w14:textId="77777777" w:rsidR="00862B0B" w:rsidRPr="00A67277" w:rsidRDefault="00862B0B" w:rsidP="00862B0B">
            <w:pPr>
              <w:pStyle w:val="ListParagraph"/>
              <w:numPr>
                <w:ilvl w:val="0"/>
                <w:numId w:val="226"/>
              </w:numPr>
              <w:spacing w:before="60" w:after="60" w:line="240" w:lineRule="auto"/>
              <w:ind w:left="1276" w:hanging="425"/>
              <w:rPr>
                <w:rFonts w:cs="Arial"/>
              </w:rPr>
            </w:pPr>
            <w:r w:rsidRPr="00A67277">
              <w:rPr>
                <w:rFonts w:cs="Arial"/>
              </w:rPr>
              <w:t>a Default by the GCA;</w:t>
            </w:r>
          </w:p>
        </w:tc>
        <w:tc>
          <w:tcPr>
            <w:tcW w:w="169" w:type="pct"/>
          </w:tcPr>
          <w:p w14:paraId="1E3BDE13" w14:textId="77777777" w:rsidR="00862B0B" w:rsidRPr="00A67277" w:rsidRDefault="00862B0B" w:rsidP="00862B0B">
            <w:pPr>
              <w:spacing w:before="60" w:after="60"/>
              <w:rPr>
                <w:rFonts w:ascii="Arial" w:hAnsi="Arial" w:cs="Arial"/>
                <w:sz w:val="21"/>
                <w:szCs w:val="21"/>
              </w:rPr>
            </w:pPr>
          </w:p>
        </w:tc>
        <w:tc>
          <w:tcPr>
            <w:tcW w:w="2561" w:type="pct"/>
            <w:gridSpan w:val="2"/>
          </w:tcPr>
          <w:p w14:paraId="79C34123" w14:textId="77777777" w:rsidR="00862B0B" w:rsidRPr="00A67277" w:rsidRDefault="00862B0B" w:rsidP="00862B0B">
            <w:pPr>
              <w:pStyle w:val="Body2"/>
              <w:numPr>
                <w:ilvl w:val="0"/>
                <w:numId w:val="189"/>
              </w:numPr>
              <w:spacing w:before="60" w:after="60"/>
              <w:ind w:left="1303" w:hanging="425"/>
              <w:rPr>
                <w:rFonts w:cs="Arial"/>
                <w:b/>
              </w:rPr>
            </w:pPr>
            <w:r w:rsidRPr="00A67277">
              <w:rPr>
                <w:rFonts w:cs="Arial"/>
              </w:rPr>
              <w:t>suatu Cidera Janji oleh PJPK;</w:t>
            </w:r>
          </w:p>
        </w:tc>
      </w:tr>
      <w:tr w:rsidR="00862B0B" w:rsidRPr="00A67277" w14:paraId="08FCA195" w14:textId="77777777" w:rsidTr="00862B0B">
        <w:tc>
          <w:tcPr>
            <w:tcW w:w="2270" w:type="pct"/>
          </w:tcPr>
          <w:p w14:paraId="63D73491" w14:textId="77777777" w:rsidR="00862B0B" w:rsidRPr="00A67277" w:rsidRDefault="00862B0B" w:rsidP="00862B0B">
            <w:pPr>
              <w:pStyle w:val="ListParagraph"/>
              <w:numPr>
                <w:ilvl w:val="0"/>
                <w:numId w:val="226"/>
              </w:numPr>
              <w:spacing w:before="60" w:after="60" w:line="240" w:lineRule="auto"/>
              <w:ind w:left="1276" w:hanging="425"/>
              <w:rPr>
                <w:rFonts w:cs="Arial"/>
              </w:rPr>
            </w:pPr>
            <w:r w:rsidRPr="00A67277">
              <w:rPr>
                <w:rFonts w:cs="Arial"/>
              </w:rPr>
              <w:t>the occurrence of Force Majeure Event on IBE; or</w:t>
            </w:r>
          </w:p>
        </w:tc>
        <w:tc>
          <w:tcPr>
            <w:tcW w:w="169" w:type="pct"/>
          </w:tcPr>
          <w:p w14:paraId="5208974F" w14:textId="77777777" w:rsidR="00862B0B" w:rsidRPr="00A67277" w:rsidRDefault="00862B0B" w:rsidP="00862B0B">
            <w:pPr>
              <w:spacing w:before="60" w:after="60"/>
              <w:rPr>
                <w:rFonts w:ascii="Arial" w:hAnsi="Arial" w:cs="Arial"/>
                <w:sz w:val="21"/>
                <w:szCs w:val="21"/>
              </w:rPr>
            </w:pPr>
          </w:p>
        </w:tc>
        <w:tc>
          <w:tcPr>
            <w:tcW w:w="2561" w:type="pct"/>
            <w:gridSpan w:val="2"/>
          </w:tcPr>
          <w:p w14:paraId="2EA19C79" w14:textId="77777777" w:rsidR="00862B0B" w:rsidRPr="00A67277" w:rsidRDefault="00862B0B" w:rsidP="00862B0B">
            <w:pPr>
              <w:pStyle w:val="Body2"/>
              <w:numPr>
                <w:ilvl w:val="0"/>
                <w:numId w:val="189"/>
              </w:numPr>
              <w:spacing w:before="60" w:after="60"/>
              <w:ind w:left="1303" w:hanging="425"/>
              <w:rPr>
                <w:rFonts w:cs="Arial"/>
                <w:b/>
              </w:rPr>
            </w:pPr>
            <w:r w:rsidRPr="00A67277">
              <w:rPr>
                <w:rFonts w:cs="Arial"/>
              </w:rPr>
              <w:t>terjadinya Peristiwa Keadaan Kahar pada BUP; atau</w:t>
            </w:r>
          </w:p>
        </w:tc>
      </w:tr>
      <w:tr w:rsidR="00862B0B" w:rsidRPr="00A67277" w14:paraId="77768C9D" w14:textId="77777777" w:rsidTr="00862B0B">
        <w:tc>
          <w:tcPr>
            <w:tcW w:w="2270" w:type="pct"/>
          </w:tcPr>
          <w:p w14:paraId="5ECF7984" w14:textId="77777777" w:rsidR="00862B0B" w:rsidRPr="00A67277" w:rsidRDefault="00862B0B" w:rsidP="00862B0B">
            <w:pPr>
              <w:pStyle w:val="ListParagraph"/>
              <w:numPr>
                <w:ilvl w:val="0"/>
                <w:numId w:val="226"/>
              </w:numPr>
              <w:spacing w:before="60" w:after="60" w:line="240" w:lineRule="auto"/>
              <w:ind w:left="1276" w:hanging="425"/>
              <w:rPr>
                <w:rFonts w:cs="Arial"/>
                <w:b/>
              </w:rPr>
            </w:pPr>
            <w:r w:rsidRPr="00A67277">
              <w:rPr>
                <w:rFonts w:cs="Arial"/>
              </w:rPr>
              <w:t>the occurrence of Political Event;</w:t>
            </w:r>
          </w:p>
        </w:tc>
        <w:tc>
          <w:tcPr>
            <w:tcW w:w="169" w:type="pct"/>
          </w:tcPr>
          <w:p w14:paraId="5875931F" w14:textId="77777777" w:rsidR="00862B0B" w:rsidRPr="00A67277" w:rsidRDefault="00862B0B" w:rsidP="00862B0B">
            <w:pPr>
              <w:spacing w:before="60" w:after="60"/>
              <w:rPr>
                <w:rFonts w:ascii="Arial" w:hAnsi="Arial" w:cs="Arial"/>
                <w:sz w:val="21"/>
                <w:szCs w:val="21"/>
              </w:rPr>
            </w:pPr>
          </w:p>
        </w:tc>
        <w:tc>
          <w:tcPr>
            <w:tcW w:w="2561" w:type="pct"/>
            <w:gridSpan w:val="2"/>
          </w:tcPr>
          <w:p w14:paraId="3199E1C2" w14:textId="77777777" w:rsidR="00862B0B" w:rsidRPr="00A67277" w:rsidRDefault="00862B0B" w:rsidP="00862B0B">
            <w:pPr>
              <w:pStyle w:val="Body2"/>
              <w:numPr>
                <w:ilvl w:val="0"/>
                <w:numId w:val="189"/>
              </w:numPr>
              <w:spacing w:before="60" w:after="60"/>
              <w:ind w:left="1303" w:hanging="425"/>
              <w:rPr>
                <w:rFonts w:cs="Arial"/>
                <w:b/>
              </w:rPr>
            </w:pPr>
            <w:r w:rsidRPr="00A67277">
              <w:rPr>
                <w:rFonts w:cs="Arial"/>
              </w:rPr>
              <w:t>terjadinya Peristiwa Politik;</w:t>
            </w:r>
          </w:p>
        </w:tc>
      </w:tr>
      <w:tr w:rsidR="00862B0B" w:rsidRPr="00A67277" w14:paraId="54985464" w14:textId="77777777" w:rsidTr="00862B0B">
        <w:tc>
          <w:tcPr>
            <w:tcW w:w="2270" w:type="pct"/>
          </w:tcPr>
          <w:p w14:paraId="19FD6BA2" w14:textId="0BF1B1E1" w:rsidR="00862B0B" w:rsidRPr="00A67277" w:rsidRDefault="00862B0B" w:rsidP="00862B0B">
            <w:pPr>
              <w:pStyle w:val="Body2"/>
              <w:spacing w:before="60" w:after="60"/>
              <w:ind w:left="851"/>
              <w:rPr>
                <w:rFonts w:cs="Arial"/>
              </w:rPr>
            </w:pPr>
            <w:r w:rsidRPr="00A67277">
              <w:rPr>
                <w:rFonts w:cs="Arial"/>
                <w:b/>
              </w:rPr>
              <w:t>Loss</w:t>
            </w:r>
            <w:r w:rsidRPr="00A67277">
              <w:rPr>
                <w:rFonts w:cs="Arial"/>
              </w:rPr>
              <w:t xml:space="preserve"> means direct loss which include any damage, loss, liability, cost, charge or expense that any party pays, suffers or incurs or is liable for, including:</w:t>
            </w:r>
          </w:p>
        </w:tc>
        <w:tc>
          <w:tcPr>
            <w:tcW w:w="169" w:type="pct"/>
          </w:tcPr>
          <w:p w14:paraId="2A16DE6D" w14:textId="77777777" w:rsidR="00862B0B" w:rsidRPr="00A67277" w:rsidRDefault="00862B0B" w:rsidP="00862B0B">
            <w:pPr>
              <w:spacing w:before="60" w:after="60"/>
              <w:rPr>
                <w:rFonts w:ascii="Arial" w:hAnsi="Arial" w:cs="Arial"/>
                <w:sz w:val="21"/>
                <w:szCs w:val="21"/>
              </w:rPr>
            </w:pPr>
          </w:p>
        </w:tc>
        <w:tc>
          <w:tcPr>
            <w:tcW w:w="2561" w:type="pct"/>
            <w:gridSpan w:val="2"/>
          </w:tcPr>
          <w:p w14:paraId="4A5FB465" w14:textId="1E3B23C0" w:rsidR="00862B0B" w:rsidRPr="00A67277" w:rsidRDefault="00862B0B" w:rsidP="00862B0B">
            <w:pPr>
              <w:pStyle w:val="Body2"/>
              <w:spacing w:before="60" w:after="60"/>
              <w:ind w:left="878"/>
              <w:rPr>
                <w:rFonts w:cs="Arial"/>
              </w:rPr>
            </w:pPr>
            <w:r w:rsidRPr="00A67277">
              <w:rPr>
                <w:rFonts w:cs="Arial"/>
                <w:b/>
              </w:rPr>
              <w:t>Kerugian</w:t>
            </w:r>
            <w:r w:rsidRPr="00A67277">
              <w:rPr>
                <w:rFonts w:cs="Arial"/>
              </w:rPr>
              <w:t xml:space="preserve"> berarti kerugian langsung yang meliputi segala kerusakan, kerugian, tanggung jawab, biaya, beban atau pengeluaran yang dibayarkan, diderita atau menjadi tanggung jawab suatu pihak, termasuk:</w:t>
            </w:r>
          </w:p>
        </w:tc>
      </w:tr>
      <w:tr w:rsidR="00862B0B" w:rsidRPr="00A67277" w14:paraId="62CC6BD2" w14:textId="77777777" w:rsidTr="00862B0B">
        <w:tc>
          <w:tcPr>
            <w:tcW w:w="2270" w:type="pct"/>
          </w:tcPr>
          <w:p w14:paraId="72EA6807" w14:textId="77777777" w:rsidR="00862B0B" w:rsidRPr="00A67277" w:rsidRDefault="00862B0B" w:rsidP="00862B0B">
            <w:pPr>
              <w:pStyle w:val="ListParagraph"/>
              <w:numPr>
                <w:ilvl w:val="0"/>
                <w:numId w:val="227"/>
              </w:numPr>
              <w:spacing w:before="60" w:after="60" w:line="240" w:lineRule="auto"/>
              <w:ind w:left="1276" w:hanging="425"/>
              <w:rPr>
                <w:rFonts w:cs="Arial"/>
              </w:rPr>
            </w:pPr>
            <w:r w:rsidRPr="00A67277">
              <w:rPr>
                <w:rFonts w:cs="Arial"/>
              </w:rPr>
              <w:t>all interest and other amounts payable to third parties; and</w:t>
            </w:r>
          </w:p>
        </w:tc>
        <w:tc>
          <w:tcPr>
            <w:tcW w:w="169" w:type="pct"/>
          </w:tcPr>
          <w:p w14:paraId="25A5BD5F" w14:textId="77777777" w:rsidR="00862B0B" w:rsidRPr="00A67277" w:rsidRDefault="00862B0B" w:rsidP="00862B0B">
            <w:pPr>
              <w:spacing w:before="60" w:after="60"/>
              <w:rPr>
                <w:rFonts w:ascii="Arial" w:hAnsi="Arial" w:cs="Arial"/>
                <w:sz w:val="21"/>
                <w:szCs w:val="21"/>
              </w:rPr>
            </w:pPr>
          </w:p>
        </w:tc>
        <w:tc>
          <w:tcPr>
            <w:tcW w:w="2561" w:type="pct"/>
            <w:gridSpan w:val="2"/>
          </w:tcPr>
          <w:p w14:paraId="625E9D7B" w14:textId="77777777" w:rsidR="00862B0B" w:rsidRPr="00A67277" w:rsidRDefault="00862B0B" w:rsidP="00862B0B">
            <w:pPr>
              <w:pStyle w:val="Body2"/>
              <w:numPr>
                <w:ilvl w:val="0"/>
                <w:numId w:val="190"/>
              </w:numPr>
              <w:spacing w:before="60" w:after="60"/>
              <w:ind w:left="1303" w:hanging="425"/>
              <w:rPr>
                <w:rFonts w:cs="Arial"/>
                <w:b/>
              </w:rPr>
            </w:pPr>
            <w:r w:rsidRPr="00A67277">
              <w:rPr>
                <w:rFonts w:cs="Arial"/>
              </w:rPr>
              <w:t>semua bunga dan jumlah lainnya yang dibayarkan kepada pihak ketiga; dan</w:t>
            </w:r>
          </w:p>
        </w:tc>
      </w:tr>
      <w:tr w:rsidR="00862B0B" w:rsidRPr="00A67277" w14:paraId="1837119E" w14:textId="77777777" w:rsidTr="00862B0B">
        <w:tc>
          <w:tcPr>
            <w:tcW w:w="2270" w:type="pct"/>
          </w:tcPr>
          <w:p w14:paraId="575145F5" w14:textId="77777777" w:rsidR="00862B0B" w:rsidRPr="00A67277" w:rsidRDefault="00862B0B" w:rsidP="00862B0B">
            <w:pPr>
              <w:pStyle w:val="ListParagraph"/>
              <w:numPr>
                <w:ilvl w:val="0"/>
                <w:numId w:val="227"/>
              </w:numPr>
              <w:spacing w:before="60" w:after="60" w:line="240" w:lineRule="auto"/>
              <w:ind w:left="1276" w:hanging="425"/>
              <w:rPr>
                <w:rFonts w:cs="Arial"/>
              </w:rPr>
            </w:pPr>
            <w:r w:rsidRPr="00A67277">
              <w:rPr>
                <w:rFonts w:cs="Arial"/>
              </w:rPr>
              <w:t>all legal (on a full indemnity basis) and other expenses incurred in connection with investigating or defending any Claim;</w:t>
            </w:r>
          </w:p>
        </w:tc>
        <w:tc>
          <w:tcPr>
            <w:tcW w:w="169" w:type="pct"/>
          </w:tcPr>
          <w:p w14:paraId="63F5ACB5" w14:textId="77777777" w:rsidR="00862B0B" w:rsidRPr="00A67277" w:rsidRDefault="00862B0B" w:rsidP="00862B0B">
            <w:pPr>
              <w:spacing w:before="60" w:after="60"/>
              <w:rPr>
                <w:rFonts w:ascii="Arial" w:hAnsi="Arial" w:cs="Arial"/>
                <w:sz w:val="21"/>
                <w:szCs w:val="21"/>
              </w:rPr>
            </w:pPr>
          </w:p>
        </w:tc>
        <w:tc>
          <w:tcPr>
            <w:tcW w:w="2561" w:type="pct"/>
            <w:gridSpan w:val="2"/>
          </w:tcPr>
          <w:p w14:paraId="62EF7A63" w14:textId="77777777" w:rsidR="00862B0B" w:rsidRPr="00A67277" w:rsidRDefault="00862B0B" w:rsidP="00862B0B">
            <w:pPr>
              <w:pStyle w:val="Body2"/>
              <w:numPr>
                <w:ilvl w:val="0"/>
                <w:numId w:val="190"/>
              </w:numPr>
              <w:spacing w:before="60" w:after="60"/>
              <w:ind w:left="1303" w:hanging="425"/>
              <w:rPr>
                <w:rFonts w:cs="Arial"/>
              </w:rPr>
            </w:pPr>
            <w:r w:rsidRPr="00A67277">
              <w:rPr>
                <w:rFonts w:cs="Arial"/>
              </w:rPr>
              <w:t>semua pengeluaran hukum (dengan dasar ganti rugi penuh) dan lainnya yang timbul sehubungan dengan investigasi atau pembelaan setiap Klaim;</w:t>
            </w:r>
          </w:p>
        </w:tc>
      </w:tr>
      <w:tr w:rsidR="00862B0B" w:rsidRPr="00A67277" w14:paraId="6E482CBC" w14:textId="77777777" w:rsidTr="00862B0B">
        <w:tc>
          <w:tcPr>
            <w:tcW w:w="2270" w:type="pct"/>
          </w:tcPr>
          <w:p w14:paraId="13AB9239" w14:textId="10922137" w:rsidR="00862B0B" w:rsidRPr="00EB7CB0" w:rsidRDefault="00862B0B" w:rsidP="00862B0B">
            <w:pPr>
              <w:pStyle w:val="Body2"/>
              <w:spacing w:before="60" w:after="60"/>
              <w:ind w:left="851"/>
              <w:rPr>
                <w:rFonts w:cs="Arial"/>
                <w:b/>
              </w:rPr>
            </w:pPr>
            <w:r w:rsidRPr="00EB7CB0">
              <w:rPr>
                <w:rFonts w:cs="Arial"/>
                <w:b/>
              </w:rPr>
              <w:t>Lump Sum Service Fee</w:t>
            </w:r>
            <w:r w:rsidRPr="00EB7CB0">
              <w:rPr>
                <w:rFonts w:cs="Arial"/>
              </w:rPr>
              <w:t xml:space="preserve"> </w:t>
            </w:r>
            <w:r w:rsidRPr="009D31D1">
              <w:rPr>
                <w:rFonts w:cs="Arial"/>
              </w:rPr>
              <w:t xml:space="preserve"> means </w:t>
            </w:r>
            <w:r w:rsidRPr="007E17A3">
              <w:rPr>
                <w:rFonts w:cs="Arial"/>
              </w:rPr>
              <w:t>Service Fee</w:t>
            </w:r>
            <w:r w:rsidRPr="009D31D1">
              <w:rPr>
                <w:rFonts w:cs="Arial"/>
              </w:rPr>
              <w:t xml:space="preserve"> with respect to the services provided for the Toll Road </w:t>
            </w:r>
            <w:r w:rsidRPr="007E17A3">
              <w:rPr>
                <w:rFonts w:cs="Arial"/>
              </w:rPr>
              <w:t xml:space="preserve">lanes in Java and Bali Islands </w:t>
            </w:r>
            <w:r w:rsidRPr="00EB7CB0">
              <w:rPr>
                <w:rFonts w:cs="Arial"/>
              </w:rPr>
              <w:t>as set out in Appendix 13 (List of Toll Road Lanes);</w:t>
            </w:r>
          </w:p>
        </w:tc>
        <w:tc>
          <w:tcPr>
            <w:tcW w:w="169" w:type="pct"/>
          </w:tcPr>
          <w:p w14:paraId="3815548C" w14:textId="77777777" w:rsidR="00862B0B" w:rsidRPr="00EB7CB0" w:rsidRDefault="00862B0B" w:rsidP="00862B0B">
            <w:pPr>
              <w:spacing w:before="60" w:after="60"/>
              <w:rPr>
                <w:rFonts w:ascii="Arial" w:hAnsi="Arial" w:cs="Arial"/>
                <w:sz w:val="21"/>
                <w:szCs w:val="21"/>
              </w:rPr>
            </w:pPr>
          </w:p>
        </w:tc>
        <w:tc>
          <w:tcPr>
            <w:tcW w:w="2561" w:type="pct"/>
            <w:gridSpan w:val="2"/>
          </w:tcPr>
          <w:p w14:paraId="25594F69" w14:textId="4AD4FDEA" w:rsidR="00862B0B" w:rsidRPr="00A67277" w:rsidRDefault="00862B0B" w:rsidP="00862B0B">
            <w:pPr>
              <w:pStyle w:val="Body2"/>
              <w:spacing w:before="60" w:after="60"/>
              <w:ind w:left="878"/>
              <w:rPr>
                <w:rFonts w:cs="Arial"/>
                <w:b/>
              </w:rPr>
            </w:pPr>
            <w:r w:rsidRPr="00EB7CB0">
              <w:rPr>
                <w:rFonts w:cs="Arial"/>
                <w:b/>
              </w:rPr>
              <w:t>Biaya Layanan Lump Sum</w:t>
            </w:r>
            <w:r w:rsidRPr="00EB7CB0">
              <w:rPr>
                <w:rFonts w:cs="Arial"/>
              </w:rPr>
              <w:t xml:space="preserve"> </w:t>
            </w:r>
            <w:r w:rsidRPr="009D31D1">
              <w:rPr>
                <w:rFonts w:cs="Arial"/>
              </w:rPr>
              <w:t xml:space="preserve"> berarti </w:t>
            </w:r>
            <w:r w:rsidRPr="007E17A3">
              <w:rPr>
                <w:rFonts w:cs="Arial"/>
              </w:rPr>
              <w:t>Biaya Layanan</w:t>
            </w:r>
            <w:r w:rsidRPr="009D31D1">
              <w:rPr>
                <w:rFonts w:cs="Arial"/>
              </w:rPr>
              <w:t xml:space="preserve"> sehubungan dengan layanan yang disediakan untuk </w:t>
            </w:r>
            <w:r w:rsidRPr="007E17A3">
              <w:rPr>
                <w:rFonts w:cs="Arial"/>
              </w:rPr>
              <w:t xml:space="preserve">jalur Jalan Tol di Pulau Jawa dan Bali </w:t>
            </w:r>
            <w:r w:rsidRPr="00EB7CB0">
              <w:rPr>
                <w:rFonts w:cs="Arial"/>
              </w:rPr>
              <w:t xml:space="preserve">sebagaimana terlampir pada Lampiran </w:t>
            </w:r>
            <w:r w:rsidRPr="00EB7CB0">
              <w:rPr>
                <w:rFonts w:cs="Arial"/>
                <w:spacing w:val="1"/>
                <w:w w:val="102"/>
              </w:rPr>
              <w:t>13 (</w:t>
            </w:r>
            <w:r w:rsidRPr="00EB7CB0">
              <w:rPr>
                <w:rFonts w:cs="Arial"/>
                <w:i/>
                <w:spacing w:val="1"/>
                <w:w w:val="102"/>
              </w:rPr>
              <w:t>Daftar Jalur Jalan Tol</w:t>
            </w:r>
            <w:r w:rsidRPr="00EB7CB0">
              <w:rPr>
                <w:rFonts w:cs="Arial"/>
                <w:spacing w:val="1"/>
                <w:w w:val="102"/>
              </w:rPr>
              <w:t>)</w:t>
            </w:r>
            <w:r w:rsidRPr="00EB7CB0">
              <w:rPr>
                <w:rFonts w:cs="Arial"/>
              </w:rPr>
              <w:t>;</w:t>
            </w:r>
          </w:p>
        </w:tc>
      </w:tr>
      <w:tr w:rsidR="00862B0B" w:rsidRPr="00A67277" w14:paraId="279E8837" w14:textId="77777777" w:rsidTr="00862B0B">
        <w:tc>
          <w:tcPr>
            <w:tcW w:w="2270" w:type="pct"/>
          </w:tcPr>
          <w:p w14:paraId="61E90DF9" w14:textId="77777777" w:rsidR="00862B0B" w:rsidRPr="00A67277" w:rsidRDefault="00862B0B" w:rsidP="00862B0B">
            <w:pPr>
              <w:pStyle w:val="Body2"/>
              <w:spacing w:before="60" w:after="60"/>
              <w:ind w:left="851"/>
              <w:rPr>
                <w:rFonts w:cs="Arial"/>
              </w:rPr>
            </w:pPr>
            <w:r w:rsidRPr="00A67277">
              <w:rPr>
                <w:rFonts w:cs="Arial"/>
                <w:b/>
              </w:rPr>
              <w:t xml:space="preserve">Milestone </w:t>
            </w:r>
            <w:r w:rsidRPr="00A67277">
              <w:rPr>
                <w:rFonts w:cs="Arial"/>
              </w:rPr>
              <w:t>means each of the milestones referred to in the Implementation Schedule;</w:t>
            </w:r>
          </w:p>
        </w:tc>
        <w:tc>
          <w:tcPr>
            <w:tcW w:w="169" w:type="pct"/>
          </w:tcPr>
          <w:p w14:paraId="44C9F607" w14:textId="77777777" w:rsidR="00862B0B" w:rsidRPr="00A67277" w:rsidRDefault="00862B0B" w:rsidP="00862B0B">
            <w:pPr>
              <w:spacing w:before="60" w:after="60"/>
              <w:rPr>
                <w:rFonts w:ascii="Arial" w:hAnsi="Arial" w:cs="Arial"/>
                <w:sz w:val="21"/>
                <w:szCs w:val="21"/>
              </w:rPr>
            </w:pPr>
          </w:p>
        </w:tc>
        <w:tc>
          <w:tcPr>
            <w:tcW w:w="2561" w:type="pct"/>
            <w:gridSpan w:val="2"/>
          </w:tcPr>
          <w:p w14:paraId="12F04BF4" w14:textId="77777777" w:rsidR="00862B0B" w:rsidRPr="00A67277" w:rsidRDefault="00862B0B" w:rsidP="00862B0B">
            <w:pPr>
              <w:pStyle w:val="Body2"/>
              <w:spacing w:before="60" w:after="60"/>
              <w:ind w:left="878"/>
              <w:rPr>
                <w:rFonts w:cs="Arial"/>
                <w:b/>
              </w:rPr>
            </w:pPr>
            <w:r w:rsidRPr="00A67277">
              <w:rPr>
                <w:rFonts w:cs="Arial"/>
                <w:b/>
              </w:rPr>
              <w:t xml:space="preserve">Pencapaian </w:t>
            </w:r>
            <w:r w:rsidRPr="00A67277">
              <w:rPr>
                <w:rFonts w:cs="Arial"/>
              </w:rPr>
              <w:t>berarti setiap pencapaian (</w:t>
            </w:r>
            <w:r w:rsidRPr="00A67277">
              <w:rPr>
                <w:rFonts w:cs="Arial"/>
                <w:i/>
                <w:iCs/>
              </w:rPr>
              <w:t>milestone</w:t>
            </w:r>
            <w:r w:rsidRPr="00A67277">
              <w:rPr>
                <w:rFonts w:cs="Arial"/>
              </w:rPr>
              <w:t>) yang mengacu kepada Jadwal Pelaksanaan;</w:t>
            </w:r>
          </w:p>
        </w:tc>
      </w:tr>
      <w:tr w:rsidR="00862B0B" w:rsidRPr="00A67277" w14:paraId="44F7A148" w14:textId="77777777" w:rsidTr="00862B0B">
        <w:tc>
          <w:tcPr>
            <w:tcW w:w="2270" w:type="pct"/>
          </w:tcPr>
          <w:p w14:paraId="07DC5EC8" w14:textId="77777777" w:rsidR="00862B0B" w:rsidRPr="00A67277" w:rsidRDefault="00862B0B" w:rsidP="00862B0B">
            <w:pPr>
              <w:pStyle w:val="Body2"/>
              <w:spacing w:before="60" w:after="60"/>
              <w:ind w:left="851"/>
              <w:rPr>
                <w:rFonts w:cs="Arial"/>
              </w:rPr>
            </w:pPr>
            <w:r w:rsidRPr="00A67277">
              <w:rPr>
                <w:rFonts w:cs="Arial"/>
                <w:b/>
              </w:rPr>
              <w:t>Milestone Date</w:t>
            </w:r>
            <w:r w:rsidRPr="00A67277">
              <w:rPr>
                <w:rFonts w:cs="Arial"/>
              </w:rPr>
              <w:t xml:space="preserve"> means each of the dates referred to in the Implementation Schedule;</w:t>
            </w:r>
          </w:p>
        </w:tc>
        <w:tc>
          <w:tcPr>
            <w:tcW w:w="169" w:type="pct"/>
          </w:tcPr>
          <w:p w14:paraId="2C2CC5FF" w14:textId="77777777" w:rsidR="00862B0B" w:rsidRPr="00A67277" w:rsidRDefault="00862B0B" w:rsidP="00862B0B">
            <w:pPr>
              <w:spacing w:before="60" w:after="60"/>
              <w:rPr>
                <w:rFonts w:ascii="Arial" w:hAnsi="Arial" w:cs="Arial"/>
                <w:sz w:val="21"/>
                <w:szCs w:val="21"/>
              </w:rPr>
            </w:pPr>
          </w:p>
        </w:tc>
        <w:tc>
          <w:tcPr>
            <w:tcW w:w="2561" w:type="pct"/>
            <w:gridSpan w:val="2"/>
          </w:tcPr>
          <w:p w14:paraId="4CB488F9" w14:textId="77777777" w:rsidR="00862B0B" w:rsidRPr="00A67277" w:rsidRDefault="00862B0B" w:rsidP="00862B0B">
            <w:pPr>
              <w:pStyle w:val="Body2"/>
              <w:spacing w:before="60" w:after="60"/>
              <w:ind w:left="878"/>
              <w:rPr>
                <w:rFonts w:cs="Arial"/>
              </w:rPr>
            </w:pPr>
            <w:r w:rsidRPr="00A67277">
              <w:rPr>
                <w:rFonts w:cs="Arial"/>
                <w:b/>
              </w:rPr>
              <w:t>Tanggal Pencapaian</w:t>
            </w:r>
            <w:r w:rsidRPr="00A67277">
              <w:rPr>
                <w:rFonts w:cs="Arial"/>
              </w:rPr>
              <w:t xml:space="preserve"> berarti setiap tanggal yang mengacu kepada Jadwal Pelaksanaan;</w:t>
            </w:r>
          </w:p>
        </w:tc>
      </w:tr>
      <w:tr w:rsidR="00862B0B" w:rsidRPr="00A67277" w14:paraId="477A746A" w14:textId="77777777" w:rsidTr="00862B0B">
        <w:tc>
          <w:tcPr>
            <w:tcW w:w="2270" w:type="pct"/>
          </w:tcPr>
          <w:p w14:paraId="6AF3256A" w14:textId="77777777" w:rsidR="00862B0B" w:rsidRPr="00A67277" w:rsidRDefault="00862B0B" w:rsidP="00862B0B">
            <w:pPr>
              <w:pStyle w:val="Body2"/>
              <w:spacing w:before="60" w:after="60"/>
              <w:ind w:left="851"/>
              <w:rPr>
                <w:rFonts w:cs="Arial"/>
              </w:rPr>
            </w:pPr>
            <w:r w:rsidRPr="00A67277">
              <w:rPr>
                <w:rFonts w:cs="Arial"/>
                <w:b/>
              </w:rPr>
              <w:t xml:space="preserve">Minor Design Change </w:t>
            </w:r>
            <w:r w:rsidRPr="00A67277">
              <w:rPr>
                <w:rFonts w:cs="Arial"/>
              </w:rPr>
              <w:t>means, in relation to any Works, a minor change to the design documentation of those Works, where that change:</w:t>
            </w:r>
          </w:p>
        </w:tc>
        <w:tc>
          <w:tcPr>
            <w:tcW w:w="169" w:type="pct"/>
          </w:tcPr>
          <w:p w14:paraId="0CEF40AF" w14:textId="77777777" w:rsidR="00862B0B" w:rsidRPr="00A67277" w:rsidRDefault="00862B0B" w:rsidP="00862B0B">
            <w:pPr>
              <w:spacing w:before="60" w:after="60"/>
              <w:rPr>
                <w:rFonts w:ascii="Arial" w:hAnsi="Arial" w:cs="Arial"/>
                <w:sz w:val="21"/>
                <w:szCs w:val="21"/>
              </w:rPr>
            </w:pPr>
          </w:p>
        </w:tc>
        <w:tc>
          <w:tcPr>
            <w:tcW w:w="2561" w:type="pct"/>
            <w:gridSpan w:val="2"/>
          </w:tcPr>
          <w:p w14:paraId="51911FB6" w14:textId="77777777" w:rsidR="00862B0B" w:rsidRPr="00A67277" w:rsidRDefault="00862B0B" w:rsidP="00862B0B">
            <w:pPr>
              <w:pStyle w:val="Body2"/>
              <w:spacing w:before="60" w:after="60"/>
              <w:ind w:left="878"/>
              <w:rPr>
                <w:rFonts w:cs="Arial"/>
              </w:rPr>
            </w:pPr>
            <w:r w:rsidRPr="00A67277">
              <w:rPr>
                <w:rFonts w:cs="Arial"/>
                <w:b/>
              </w:rPr>
              <w:t xml:space="preserve">Perubahan Desain Minor </w:t>
            </w:r>
            <w:r w:rsidRPr="00A67277">
              <w:rPr>
                <w:rFonts w:cs="Arial"/>
              </w:rPr>
              <w:t>berarti, sehubungan dengan segala Pekerjaan, perubahan minor pada dokumentasi desain Pekerjaan itu, yang mana perubahan tersebut:</w:t>
            </w:r>
          </w:p>
        </w:tc>
      </w:tr>
      <w:tr w:rsidR="00862B0B" w:rsidRPr="00A67277" w14:paraId="1293B0B2" w14:textId="77777777" w:rsidTr="00862B0B">
        <w:tc>
          <w:tcPr>
            <w:tcW w:w="2270" w:type="pct"/>
          </w:tcPr>
          <w:p w14:paraId="3FD0E48B" w14:textId="77777777" w:rsidR="00862B0B" w:rsidRPr="00A67277" w:rsidRDefault="00862B0B" w:rsidP="00862B0B">
            <w:pPr>
              <w:pStyle w:val="ListParagraph"/>
              <w:numPr>
                <w:ilvl w:val="0"/>
                <w:numId w:val="228"/>
              </w:numPr>
              <w:spacing w:before="60" w:after="60" w:line="240" w:lineRule="auto"/>
              <w:ind w:left="1276" w:hanging="425"/>
              <w:rPr>
                <w:rFonts w:cs="Arial"/>
              </w:rPr>
            </w:pPr>
            <w:r w:rsidRPr="00A67277">
              <w:rPr>
                <w:rFonts w:cs="Arial"/>
              </w:rPr>
              <w:t>reflects anticipated development of the detailed design documentation of those Works; or</w:t>
            </w:r>
          </w:p>
        </w:tc>
        <w:tc>
          <w:tcPr>
            <w:tcW w:w="169" w:type="pct"/>
          </w:tcPr>
          <w:p w14:paraId="4BDC80C3" w14:textId="77777777" w:rsidR="00862B0B" w:rsidRPr="00A67277" w:rsidRDefault="00862B0B" w:rsidP="00862B0B">
            <w:pPr>
              <w:spacing w:before="60" w:after="60"/>
              <w:rPr>
                <w:rFonts w:ascii="Arial" w:hAnsi="Arial" w:cs="Arial"/>
                <w:sz w:val="21"/>
                <w:szCs w:val="21"/>
              </w:rPr>
            </w:pPr>
          </w:p>
        </w:tc>
        <w:tc>
          <w:tcPr>
            <w:tcW w:w="2561" w:type="pct"/>
            <w:gridSpan w:val="2"/>
          </w:tcPr>
          <w:p w14:paraId="654491A1" w14:textId="77777777" w:rsidR="00862B0B" w:rsidRPr="00A67277" w:rsidRDefault="00862B0B" w:rsidP="00862B0B">
            <w:pPr>
              <w:pStyle w:val="Body2"/>
              <w:numPr>
                <w:ilvl w:val="0"/>
                <w:numId w:val="191"/>
              </w:numPr>
              <w:spacing w:before="60" w:after="60"/>
              <w:ind w:left="1303" w:hanging="425"/>
              <w:rPr>
                <w:rFonts w:cs="Arial"/>
              </w:rPr>
            </w:pPr>
            <w:r w:rsidRPr="00A67277">
              <w:rPr>
                <w:rFonts w:cs="Arial"/>
              </w:rPr>
              <w:t>menunjukkan perkembangan yang diantisipasi dari rincian dokumentasi desain Pekerjaan tersebut; atau</w:t>
            </w:r>
          </w:p>
        </w:tc>
      </w:tr>
      <w:tr w:rsidR="00862B0B" w:rsidRPr="00A67277" w14:paraId="643BDF66" w14:textId="77777777" w:rsidTr="00862B0B">
        <w:tc>
          <w:tcPr>
            <w:tcW w:w="2270" w:type="pct"/>
          </w:tcPr>
          <w:p w14:paraId="46EE6306" w14:textId="77777777" w:rsidR="00862B0B" w:rsidRPr="00A67277" w:rsidRDefault="00862B0B" w:rsidP="00862B0B">
            <w:pPr>
              <w:pStyle w:val="ListParagraph"/>
              <w:numPr>
                <w:ilvl w:val="0"/>
                <w:numId w:val="228"/>
              </w:numPr>
              <w:spacing w:before="60" w:after="60" w:line="240" w:lineRule="auto"/>
              <w:ind w:left="1276" w:hanging="425"/>
              <w:rPr>
                <w:rFonts w:cs="Arial"/>
              </w:rPr>
            </w:pPr>
            <w:r w:rsidRPr="00A67277">
              <w:rPr>
                <w:rFonts w:cs="Arial"/>
              </w:rPr>
              <w:t>relates to minor day to day operational activities, maintenance or reasonable process or performance optimisation for those Works;</w:t>
            </w:r>
          </w:p>
        </w:tc>
        <w:tc>
          <w:tcPr>
            <w:tcW w:w="169" w:type="pct"/>
          </w:tcPr>
          <w:p w14:paraId="4259A629" w14:textId="77777777" w:rsidR="00862B0B" w:rsidRPr="00A67277" w:rsidRDefault="00862B0B" w:rsidP="00862B0B">
            <w:pPr>
              <w:spacing w:before="60" w:after="60"/>
              <w:rPr>
                <w:rFonts w:ascii="Arial" w:hAnsi="Arial" w:cs="Arial"/>
                <w:sz w:val="21"/>
                <w:szCs w:val="21"/>
              </w:rPr>
            </w:pPr>
          </w:p>
        </w:tc>
        <w:tc>
          <w:tcPr>
            <w:tcW w:w="2561" w:type="pct"/>
            <w:gridSpan w:val="2"/>
          </w:tcPr>
          <w:p w14:paraId="04484997" w14:textId="77777777" w:rsidR="00862B0B" w:rsidRPr="00A67277" w:rsidRDefault="00862B0B" w:rsidP="00862B0B">
            <w:pPr>
              <w:pStyle w:val="Body2"/>
              <w:numPr>
                <w:ilvl w:val="0"/>
                <w:numId w:val="191"/>
              </w:numPr>
              <w:spacing w:before="60" w:after="60"/>
              <w:ind w:left="1303" w:hanging="425"/>
              <w:rPr>
                <w:rFonts w:cs="Arial"/>
              </w:rPr>
            </w:pPr>
            <w:r w:rsidRPr="00A67277">
              <w:rPr>
                <w:rFonts w:cs="Arial"/>
              </w:rPr>
              <w:t>berhubungan dengan kegiatan operasional minor hari ke hari, pemeliharaan minor atau proses yang wajar atau optimalisasi pelaksanaan Pekerjaan tersebut;</w:t>
            </w:r>
          </w:p>
        </w:tc>
      </w:tr>
      <w:tr w:rsidR="00862B0B" w:rsidRPr="00A67277" w14:paraId="002A6AED" w14:textId="77777777" w:rsidTr="00862B0B">
        <w:tc>
          <w:tcPr>
            <w:tcW w:w="2270" w:type="pct"/>
          </w:tcPr>
          <w:p w14:paraId="7C86BA6D" w14:textId="5819DA1D" w:rsidR="00862B0B" w:rsidRPr="00A67277" w:rsidRDefault="00862B0B" w:rsidP="00862B0B">
            <w:pPr>
              <w:pStyle w:val="Body2"/>
              <w:spacing w:before="60" w:after="60"/>
              <w:ind w:left="851"/>
              <w:rPr>
                <w:rFonts w:cs="Arial"/>
                <w:b/>
              </w:rPr>
            </w:pPr>
            <w:r w:rsidRPr="00A67277">
              <w:rPr>
                <w:rFonts w:cs="Arial"/>
                <w:b/>
              </w:rPr>
              <w:t xml:space="preserve">Multi Lane Free Flow System </w:t>
            </w:r>
            <w:r w:rsidRPr="00A67277">
              <w:rPr>
                <w:rFonts w:cs="Arial"/>
                <w:bCs/>
              </w:rPr>
              <w:t>or</w:t>
            </w:r>
            <w:r w:rsidRPr="00A67277">
              <w:rPr>
                <w:rFonts w:cs="Arial"/>
                <w:b/>
              </w:rPr>
              <w:t xml:space="preserve"> MLFF System </w:t>
            </w:r>
            <w:r w:rsidRPr="00A67277">
              <w:rPr>
                <w:rFonts w:cs="Arial"/>
                <w:bCs/>
              </w:rPr>
              <w:t xml:space="preserve">means </w:t>
            </w:r>
            <w:r>
              <w:rPr>
                <w:rFonts w:cs="Arial"/>
                <w:bCs/>
              </w:rPr>
              <w:t>an</w:t>
            </w:r>
            <w:r w:rsidR="00A6430C">
              <w:rPr>
                <w:rFonts w:cs="Arial"/>
                <w:bCs/>
              </w:rPr>
              <w:t xml:space="preserve"> </w:t>
            </w:r>
            <w:r w:rsidRPr="00A67277">
              <w:rPr>
                <w:rFonts w:cs="Arial"/>
                <w:bCs/>
              </w:rPr>
              <w:t>electronic</w:t>
            </w:r>
            <w:r>
              <w:rPr>
                <w:rFonts w:cs="Arial"/>
                <w:bCs/>
              </w:rPr>
              <w:t>, cash-less, and contact-less,</w:t>
            </w:r>
            <w:r w:rsidRPr="00A67277">
              <w:rPr>
                <w:rFonts w:cs="Arial"/>
                <w:bCs/>
              </w:rPr>
              <w:t xml:space="preserve"> tolling </w:t>
            </w:r>
            <w:r>
              <w:rPr>
                <w:rFonts w:cs="Arial"/>
                <w:bCs/>
              </w:rPr>
              <w:t xml:space="preserve">transaction </w:t>
            </w:r>
            <w:r w:rsidRPr="00A67277">
              <w:rPr>
                <w:rFonts w:cs="Arial"/>
                <w:bCs/>
              </w:rPr>
              <w:t xml:space="preserve">system that allows free-flow tolling for all Toll Road Users. </w:t>
            </w:r>
          </w:p>
        </w:tc>
        <w:tc>
          <w:tcPr>
            <w:tcW w:w="169" w:type="pct"/>
          </w:tcPr>
          <w:p w14:paraId="57AAEC72" w14:textId="77777777" w:rsidR="00862B0B" w:rsidRPr="00A67277" w:rsidRDefault="00862B0B" w:rsidP="00862B0B">
            <w:pPr>
              <w:spacing w:before="60" w:after="60"/>
              <w:rPr>
                <w:rFonts w:ascii="Arial" w:hAnsi="Arial" w:cs="Arial"/>
                <w:sz w:val="21"/>
                <w:szCs w:val="21"/>
              </w:rPr>
            </w:pPr>
          </w:p>
        </w:tc>
        <w:tc>
          <w:tcPr>
            <w:tcW w:w="2561" w:type="pct"/>
            <w:gridSpan w:val="2"/>
          </w:tcPr>
          <w:p w14:paraId="533DAD33" w14:textId="0B084B43" w:rsidR="00862B0B" w:rsidRPr="00A67277" w:rsidRDefault="00862B0B" w:rsidP="00862B0B">
            <w:pPr>
              <w:pStyle w:val="Body2"/>
              <w:spacing w:before="60" w:after="60"/>
              <w:ind w:left="878"/>
              <w:rPr>
                <w:rFonts w:cs="Arial"/>
                <w:b/>
              </w:rPr>
            </w:pPr>
            <w:r w:rsidRPr="00A67277">
              <w:rPr>
                <w:rFonts w:cs="Arial"/>
                <w:b/>
              </w:rPr>
              <w:t xml:space="preserve">Sistem Multi Lane Free Flow </w:t>
            </w:r>
            <w:r w:rsidRPr="00A67277">
              <w:rPr>
                <w:rFonts w:cs="Arial"/>
                <w:bCs/>
              </w:rPr>
              <w:t>atau</w:t>
            </w:r>
            <w:r w:rsidRPr="00A67277">
              <w:rPr>
                <w:rFonts w:cs="Arial"/>
                <w:b/>
              </w:rPr>
              <w:t xml:space="preserve"> Sistem MLFF </w:t>
            </w:r>
            <w:r w:rsidRPr="00A67277">
              <w:rPr>
                <w:rFonts w:cs="Arial"/>
                <w:bCs/>
              </w:rPr>
              <w:t xml:space="preserve">berarti sistem </w:t>
            </w:r>
            <w:r>
              <w:rPr>
                <w:rFonts w:cs="Arial"/>
                <w:bCs/>
              </w:rPr>
              <w:t xml:space="preserve">transaksi </w:t>
            </w:r>
            <w:r w:rsidRPr="00A67277">
              <w:rPr>
                <w:rFonts w:cs="Arial"/>
                <w:bCs/>
              </w:rPr>
              <w:t xml:space="preserve">tol </w:t>
            </w:r>
            <w:r>
              <w:rPr>
                <w:rFonts w:cs="Arial"/>
                <w:bCs/>
              </w:rPr>
              <w:t xml:space="preserve">secara elektronik, nontunai, dan nirsentuh, </w:t>
            </w:r>
            <w:r w:rsidRPr="00A67277">
              <w:rPr>
                <w:rFonts w:cs="Arial"/>
                <w:bCs/>
              </w:rPr>
              <w:t xml:space="preserve">yang memungkinkan </w:t>
            </w:r>
            <w:r>
              <w:rPr>
                <w:rFonts w:cs="Arial"/>
                <w:bCs/>
              </w:rPr>
              <w:t xml:space="preserve">transaksi </w:t>
            </w:r>
            <w:r w:rsidRPr="00A67277">
              <w:rPr>
                <w:rFonts w:cs="Arial"/>
                <w:bCs/>
              </w:rPr>
              <w:t xml:space="preserve">tol tanpa henti untuk </w:t>
            </w:r>
            <w:r>
              <w:rPr>
                <w:rFonts w:cs="Arial"/>
                <w:bCs/>
              </w:rPr>
              <w:t xml:space="preserve">semua </w:t>
            </w:r>
            <w:r w:rsidRPr="00A67277">
              <w:rPr>
                <w:rFonts w:cs="Arial"/>
                <w:bCs/>
              </w:rPr>
              <w:t xml:space="preserve">Pengguna Jalan Tol. </w:t>
            </w:r>
          </w:p>
        </w:tc>
      </w:tr>
      <w:tr w:rsidR="00862B0B" w:rsidRPr="00A67277" w14:paraId="6FA6150E" w14:textId="77777777" w:rsidTr="00862B0B">
        <w:tc>
          <w:tcPr>
            <w:tcW w:w="2270" w:type="pct"/>
          </w:tcPr>
          <w:p w14:paraId="67F63913" w14:textId="77777777" w:rsidR="00862B0B" w:rsidRPr="00A67277" w:rsidRDefault="00862B0B" w:rsidP="00862B0B">
            <w:pPr>
              <w:pStyle w:val="Body2"/>
              <w:spacing w:before="60" w:after="60"/>
              <w:ind w:left="851"/>
              <w:rPr>
                <w:rFonts w:cs="Arial"/>
                <w:b/>
              </w:rPr>
            </w:pPr>
            <w:r w:rsidRPr="00A67277">
              <w:rPr>
                <w:rFonts w:cs="Arial"/>
                <w:b/>
              </w:rPr>
              <w:t xml:space="preserve">Modifications </w:t>
            </w:r>
            <w:r w:rsidRPr="00A67277">
              <w:rPr>
                <w:rFonts w:cs="Arial"/>
              </w:rPr>
              <w:t>mean any change to the Works and/or the Services, but excluding Minor Design Change</w:t>
            </w:r>
            <w:r w:rsidRPr="00A67277">
              <w:rPr>
                <w:rFonts w:eastAsia="Times New Roman"/>
                <w:szCs w:val="24"/>
              </w:rPr>
              <w:t>;</w:t>
            </w:r>
          </w:p>
        </w:tc>
        <w:tc>
          <w:tcPr>
            <w:tcW w:w="169" w:type="pct"/>
          </w:tcPr>
          <w:p w14:paraId="6BF872C1" w14:textId="77777777" w:rsidR="00862B0B" w:rsidRPr="00A67277" w:rsidRDefault="00862B0B" w:rsidP="00862B0B">
            <w:pPr>
              <w:spacing w:before="60" w:after="60"/>
              <w:rPr>
                <w:rFonts w:ascii="Arial" w:hAnsi="Arial" w:cs="Arial"/>
                <w:sz w:val="21"/>
                <w:szCs w:val="21"/>
              </w:rPr>
            </w:pPr>
          </w:p>
        </w:tc>
        <w:tc>
          <w:tcPr>
            <w:tcW w:w="2561" w:type="pct"/>
            <w:gridSpan w:val="2"/>
          </w:tcPr>
          <w:p w14:paraId="355742AF" w14:textId="77777777" w:rsidR="00862B0B" w:rsidRPr="00A67277" w:rsidRDefault="00862B0B" w:rsidP="00862B0B">
            <w:pPr>
              <w:pStyle w:val="Body2"/>
              <w:spacing w:before="60" w:after="60"/>
              <w:ind w:left="878"/>
              <w:rPr>
                <w:rFonts w:cs="Arial"/>
                <w:b/>
              </w:rPr>
            </w:pPr>
            <w:r w:rsidRPr="00A67277">
              <w:rPr>
                <w:rFonts w:cs="Arial"/>
                <w:b/>
              </w:rPr>
              <w:t>Modifikasi</w:t>
            </w:r>
            <w:r w:rsidRPr="00A67277">
              <w:rPr>
                <w:rFonts w:cs="Arial"/>
              </w:rPr>
              <w:t xml:space="preserve"> berarti segala perubahan terhadap Pekerjaan dan/atau, Layanan, namun tidak termasuk Perubahan Desain Minor;</w:t>
            </w:r>
          </w:p>
        </w:tc>
      </w:tr>
      <w:tr w:rsidR="00862B0B" w:rsidRPr="00A67277" w14:paraId="0CA0B7E1" w14:textId="77777777" w:rsidTr="00862B0B">
        <w:tc>
          <w:tcPr>
            <w:tcW w:w="2270" w:type="pct"/>
          </w:tcPr>
          <w:p w14:paraId="51829FFD" w14:textId="77777777" w:rsidR="00862B0B" w:rsidRPr="00A67277" w:rsidRDefault="00862B0B" w:rsidP="00862B0B">
            <w:pPr>
              <w:pStyle w:val="Body2"/>
              <w:spacing w:before="60" w:after="60"/>
              <w:ind w:left="851"/>
              <w:rPr>
                <w:rFonts w:cs="Arial"/>
              </w:rPr>
            </w:pPr>
            <w:r w:rsidRPr="00A67277">
              <w:rPr>
                <w:rFonts w:cs="Arial"/>
                <w:b/>
              </w:rPr>
              <w:t>Month</w:t>
            </w:r>
            <w:r w:rsidRPr="00A67277">
              <w:rPr>
                <w:rFonts w:cs="Arial"/>
              </w:rPr>
              <w:t xml:space="preserve"> means a calendar month (whether or not beginning on the first Day of any month);</w:t>
            </w:r>
          </w:p>
        </w:tc>
        <w:tc>
          <w:tcPr>
            <w:tcW w:w="169" w:type="pct"/>
          </w:tcPr>
          <w:p w14:paraId="1B4087F3" w14:textId="77777777" w:rsidR="00862B0B" w:rsidRPr="00A67277" w:rsidRDefault="00862B0B" w:rsidP="00862B0B">
            <w:pPr>
              <w:spacing w:before="60" w:after="60"/>
              <w:rPr>
                <w:rFonts w:ascii="Arial" w:hAnsi="Arial" w:cs="Arial"/>
                <w:sz w:val="21"/>
                <w:szCs w:val="21"/>
              </w:rPr>
            </w:pPr>
          </w:p>
        </w:tc>
        <w:tc>
          <w:tcPr>
            <w:tcW w:w="2561" w:type="pct"/>
            <w:gridSpan w:val="2"/>
          </w:tcPr>
          <w:p w14:paraId="15AC435B" w14:textId="05CD3258" w:rsidR="00862B0B" w:rsidRPr="00A67277" w:rsidRDefault="00862B0B" w:rsidP="00862B0B">
            <w:pPr>
              <w:pStyle w:val="Body2"/>
              <w:spacing w:before="60" w:after="60"/>
              <w:ind w:left="878"/>
              <w:rPr>
                <w:rFonts w:cs="Arial"/>
                <w:b/>
              </w:rPr>
            </w:pPr>
            <w:r w:rsidRPr="00A67277">
              <w:rPr>
                <w:rFonts w:cs="Arial"/>
                <w:b/>
              </w:rPr>
              <w:t>Bulan</w:t>
            </w:r>
            <w:r w:rsidRPr="00A67277">
              <w:rPr>
                <w:rFonts w:cs="Arial"/>
              </w:rPr>
              <w:t xml:space="preserve"> berarti bulan kalender (yang mana diawali atau tidak pada Hari pertama setiap Bulan);</w:t>
            </w:r>
          </w:p>
        </w:tc>
      </w:tr>
      <w:tr w:rsidR="00862B0B" w:rsidRPr="00A67277" w14:paraId="75A8339D" w14:textId="77777777" w:rsidTr="00862B0B">
        <w:tc>
          <w:tcPr>
            <w:tcW w:w="2270" w:type="pct"/>
          </w:tcPr>
          <w:p w14:paraId="0CBAE099" w14:textId="77777777" w:rsidR="00862B0B" w:rsidRPr="00A67277" w:rsidRDefault="00862B0B" w:rsidP="00862B0B">
            <w:pPr>
              <w:pStyle w:val="Body2"/>
              <w:spacing w:before="60" w:after="60"/>
              <w:ind w:left="851"/>
              <w:rPr>
                <w:rFonts w:cs="Arial"/>
              </w:rPr>
            </w:pPr>
            <w:r w:rsidRPr="00A67277">
              <w:rPr>
                <w:rFonts w:cs="Arial"/>
                <w:b/>
              </w:rPr>
              <w:t xml:space="preserve">MPWH </w:t>
            </w:r>
            <w:r w:rsidRPr="00A67277">
              <w:rPr>
                <w:rFonts w:cs="Arial"/>
              </w:rPr>
              <w:t>means the Ministry of Public Works and Housing;</w:t>
            </w:r>
          </w:p>
        </w:tc>
        <w:tc>
          <w:tcPr>
            <w:tcW w:w="169" w:type="pct"/>
          </w:tcPr>
          <w:p w14:paraId="78470759" w14:textId="77777777" w:rsidR="00862B0B" w:rsidRPr="00A67277" w:rsidRDefault="00862B0B" w:rsidP="00862B0B">
            <w:pPr>
              <w:spacing w:before="60" w:after="60"/>
              <w:rPr>
                <w:rFonts w:ascii="Arial" w:hAnsi="Arial" w:cs="Arial"/>
                <w:sz w:val="21"/>
                <w:szCs w:val="21"/>
              </w:rPr>
            </w:pPr>
          </w:p>
        </w:tc>
        <w:tc>
          <w:tcPr>
            <w:tcW w:w="2561" w:type="pct"/>
            <w:gridSpan w:val="2"/>
          </w:tcPr>
          <w:p w14:paraId="57F1E342" w14:textId="77777777" w:rsidR="00862B0B" w:rsidRPr="00A67277" w:rsidRDefault="00862B0B" w:rsidP="00862B0B">
            <w:pPr>
              <w:pStyle w:val="Body2"/>
              <w:spacing w:before="60" w:after="60"/>
              <w:ind w:left="878"/>
              <w:rPr>
                <w:rFonts w:cs="Arial"/>
              </w:rPr>
            </w:pPr>
            <w:r w:rsidRPr="00A67277">
              <w:rPr>
                <w:rFonts w:cs="Arial"/>
                <w:b/>
              </w:rPr>
              <w:t xml:space="preserve">PUPR </w:t>
            </w:r>
            <w:r w:rsidRPr="00A67277">
              <w:rPr>
                <w:rFonts w:cs="Arial"/>
              </w:rPr>
              <w:t>berarti Kementerian Pekerjaan Umum dan Perumahan Rakyat;</w:t>
            </w:r>
          </w:p>
        </w:tc>
      </w:tr>
      <w:tr w:rsidR="00862B0B" w:rsidRPr="00A67277" w14:paraId="02AA2627" w14:textId="77777777" w:rsidTr="00862B0B">
        <w:tc>
          <w:tcPr>
            <w:tcW w:w="2270" w:type="pct"/>
          </w:tcPr>
          <w:p w14:paraId="48268823" w14:textId="77777777" w:rsidR="00862B0B" w:rsidRPr="00A67277" w:rsidRDefault="00862B0B" w:rsidP="00862B0B">
            <w:pPr>
              <w:pStyle w:val="Body2"/>
              <w:spacing w:before="60" w:after="60"/>
              <w:ind w:left="851"/>
              <w:rPr>
                <w:rFonts w:cs="Arial"/>
              </w:rPr>
            </w:pPr>
            <w:r w:rsidRPr="00A67277">
              <w:rPr>
                <w:rFonts w:cs="Arial"/>
                <w:b/>
              </w:rPr>
              <w:t>O&amp;M Contract</w:t>
            </w:r>
            <w:r w:rsidRPr="00A67277">
              <w:rPr>
                <w:rFonts w:cs="Arial"/>
              </w:rPr>
              <w:t xml:space="preserve"> means, if applicable, the contract between the IBE and the O&amp;M Contractor;</w:t>
            </w:r>
          </w:p>
        </w:tc>
        <w:tc>
          <w:tcPr>
            <w:tcW w:w="169" w:type="pct"/>
          </w:tcPr>
          <w:p w14:paraId="094180B5" w14:textId="77777777" w:rsidR="00862B0B" w:rsidRPr="00A67277" w:rsidRDefault="00862B0B" w:rsidP="00862B0B">
            <w:pPr>
              <w:spacing w:before="60" w:after="60"/>
              <w:rPr>
                <w:rFonts w:ascii="Arial" w:hAnsi="Arial" w:cs="Arial"/>
                <w:sz w:val="21"/>
                <w:szCs w:val="21"/>
              </w:rPr>
            </w:pPr>
          </w:p>
        </w:tc>
        <w:tc>
          <w:tcPr>
            <w:tcW w:w="2561" w:type="pct"/>
            <w:gridSpan w:val="2"/>
          </w:tcPr>
          <w:p w14:paraId="30F35900" w14:textId="77777777" w:rsidR="00862B0B" w:rsidRPr="00A67277" w:rsidRDefault="00862B0B" w:rsidP="00862B0B">
            <w:pPr>
              <w:pStyle w:val="Body2"/>
              <w:spacing w:before="60" w:after="60"/>
              <w:ind w:left="878"/>
              <w:rPr>
                <w:rFonts w:cs="Arial"/>
              </w:rPr>
            </w:pPr>
            <w:r w:rsidRPr="00A67277">
              <w:rPr>
                <w:rFonts w:cs="Arial"/>
                <w:b/>
              </w:rPr>
              <w:t>Kontrak O&amp;M</w:t>
            </w:r>
            <w:r w:rsidRPr="00A67277">
              <w:rPr>
                <w:rFonts w:cs="Arial"/>
              </w:rPr>
              <w:t xml:space="preserve"> berarti, jika berlaku, kontrak yang dibuat antara BUP dan Kontraktor O&amp;M;</w:t>
            </w:r>
          </w:p>
        </w:tc>
      </w:tr>
      <w:tr w:rsidR="00862B0B" w:rsidRPr="00A67277" w14:paraId="370DEEB8" w14:textId="77777777" w:rsidTr="00A6430C">
        <w:tc>
          <w:tcPr>
            <w:tcW w:w="2270" w:type="pct"/>
          </w:tcPr>
          <w:p w14:paraId="54864EC7" w14:textId="77777777" w:rsidR="00862B0B" w:rsidRPr="00A67277" w:rsidRDefault="00862B0B" w:rsidP="00862B0B">
            <w:pPr>
              <w:pStyle w:val="Body2"/>
              <w:spacing w:before="60" w:after="60"/>
              <w:ind w:left="851"/>
              <w:rPr>
                <w:rFonts w:cs="Arial"/>
              </w:rPr>
            </w:pPr>
            <w:r w:rsidRPr="00A67277">
              <w:rPr>
                <w:rFonts w:cs="Arial"/>
                <w:b/>
              </w:rPr>
              <w:t>O&amp;M Contractor</w:t>
            </w:r>
            <w:r w:rsidRPr="00A67277">
              <w:rPr>
                <w:rFonts w:cs="Arial"/>
              </w:rPr>
              <w:t xml:space="preserve"> means, if applicable, the contractor engaged from time to time by the IBE under the O&amp;M Contract for the operation and maintenance of the Facility;</w:t>
            </w:r>
          </w:p>
        </w:tc>
        <w:tc>
          <w:tcPr>
            <w:tcW w:w="169" w:type="pct"/>
          </w:tcPr>
          <w:p w14:paraId="3F89135E" w14:textId="77777777" w:rsidR="00862B0B" w:rsidRPr="00A67277" w:rsidRDefault="00862B0B" w:rsidP="00862B0B">
            <w:pPr>
              <w:spacing w:before="60" w:after="60"/>
              <w:rPr>
                <w:rFonts w:ascii="Arial" w:hAnsi="Arial" w:cs="Arial"/>
                <w:sz w:val="21"/>
                <w:szCs w:val="21"/>
              </w:rPr>
            </w:pPr>
          </w:p>
        </w:tc>
        <w:tc>
          <w:tcPr>
            <w:tcW w:w="2561" w:type="pct"/>
            <w:gridSpan w:val="2"/>
          </w:tcPr>
          <w:p w14:paraId="08B8DD49" w14:textId="77777777" w:rsidR="00862B0B" w:rsidRPr="00A67277" w:rsidRDefault="00862B0B" w:rsidP="00862B0B">
            <w:pPr>
              <w:pStyle w:val="Body2"/>
              <w:spacing w:before="60" w:after="60"/>
              <w:ind w:left="878"/>
              <w:rPr>
                <w:rFonts w:cs="Arial"/>
              </w:rPr>
            </w:pPr>
            <w:r w:rsidRPr="00A67277">
              <w:rPr>
                <w:rFonts w:cs="Arial"/>
                <w:b/>
              </w:rPr>
              <w:t>Kontraktor O&amp;M</w:t>
            </w:r>
            <w:r w:rsidRPr="00A67277">
              <w:rPr>
                <w:rFonts w:cs="Arial"/>
              </w:rPr>
              <w:t xml:space="preserve"> berarti, jika berlaku, kontraktor yang dilibatkan dari waktu ke waktu oleh BUP berdasarkan Kontrak O&amp;M untuk operasi dan pemeliharaan dari Fasilitas;</w:t>
            </w:r>
          </w:p>
        </w:tc>
      </w:tr>
      <w:tr w:rsidR="00862B0B" w:rsidRPr="00A67277" w14:paraId="4CE0BD5E" w14:textId="77777777" w:rsidTr="00A6430C">
        <w:tc>
          <w:tcPr>
            <w:tcW w:w="2270" w:type="pct"/>
          </w:tcPr>
          <w:p w14:paraId="2C8BE156" w14:textId="01883B09" w:rsidR="00862B0B" w:rsidRPr="00A67277" w:rsidRDefault="00862B0B" w:rsidP="00862B0B">
            <w:pPr>
              <w:pStyle w:val="Body2"/>
              <w:spacing w:before="60" w:after="60"/>
              <w:ind w:left="851"/>
              <w:rPr>
                <w:rFonts w:cs="Arial"/>
                <w:b/>
              </w:rPr>
            </w:pPr>
            <w:r w:rsidRPr="00A67277">
              <w:rPr>
                <w:rFonts w:cs="Arial"/>
                <w:b/>
              </w:rPr>
              <w:t xml:space="preserve">Operation and Maintenance Manual </w:t>
            </w:r>
            <w:r w:rsidRPr="00A67277">
              <w:rPr>
                <w:rFonts w:cs="Arial"/>
              </w:rPr>
              <w:t>is the operation and maintenance manual to be prepared by the IBE in accordance with Clause 8.5 (</w:t>
            </w:r>
            <w:r w:rsidRPr="00A67277">
              <w:rPr>
                <w:rFonts w:cs="Arial"/>
                <w:i/>
              </w:rPr>
              <w:t>Operation and Maintenance Manual</w:t>
            </w:r>
            <w:r w:rsidRPr="00A67277">
              <w:rPr>
                <w:rFonts w:cs="Arial"/>
              </w:rPr>
              <w:t>);</w:t>
            </w:r>
          </w:p>
        </w:tc>
        <w:tc>
          <w:tcPr>
            <w:tcW w:w="169" w:type="pct"/>
          </w:tcPr>
          <w:p w14:paraId="0D506794" w14:textId="77777777" w:rsidR="00862B0B" w:rsidRPr="00A67277" w:rsidRDefault="00862B0B" w:rsidP="00862B0B">
            <w:pPr>
              <w:spacing w:before="60" w:after="60"/>
              <w:rPr>
                <w:rFonts w:ascii="Arial" w:hAnsi="Arial" w:cs="Arial"/>
                <w:sz w:val="21"/>
                <w:szCs w:val="21"/>
              </w:rPr>
            </w:pPr>
          </w:p>
        </w:tc>
        <w:tc>
          <w:tcPr>
            <w:tcW w:w="2561" w:type="pct"/>
            <w:gridSpan w:val="2"/>
          </w:tcPr>
          <w:p w14:paraId="60A2493E" w14:textId="77777777" w:rsidR="00862B0B" w:rsidRPr="00A67277" w:rsidRDefault="00862B0B" w:rsidP="00862B0B">
            <w:pPr>
              <w:pStyle w:val="Body2"/>
              <w:spacing w:before="60" w:after="60"/>
              <w:ind w:left="878"/>
              <w:rPr>
                <w:rFonts w:cs="Arial"/>
                <w:b/>
              </w:rPr>
            </w:pPr>
            <w:r w:rsidRPr="00A67277">
              <w:rPr>
                <w:rFonts w:cs="Arial"/>
                <w:b/>
              </w:rPr>
              <w:t xml:space="preserve">Panduan Operasi dan Pemeliharaan </w:t>
            </w:r>
            <w:r w:rsidRPr="00A67277">
              <w:rPr>
                <w:rFonts w:cs="Arial"/>
              </w:rPr>
              <w:t>merupakan</w:t>
            </w:r>
            <w:r w:rsidRPr="00A67277">
              <w:rPr>
                <w:rFonts w:cs="Arial"/>
                <w:b/>
              </w:rPr>
              <w:t xml:space="preserve"> </w:t>
            </w:r>
            <w:r w:rsidRPr="00A67277">
              <w:rPr>
                <w:rFonts w:cs="Arial"/>
              </w:rPr>
              <w:t xml:space="preserve">panduan operasi dan pemeliharaan yang disusun oleh BUP sesuai dengan Pasal </w:t>
            </w:r>
            <w:bookmarkStart w:id="41" w:name="_cp_text_1_534"/>
            <w:r w:rsidRPr="00A67277">
              <w:rPr>
                <w:rFonts w:cs="Arial"/>
              </w:rPr>
              <w:t xml:space="preserve">8.5 </w:t>
            </w:r>
            <w:bookmarkEnd w:id="41"/>
            <w:r w:rsidRPr="00A67277">
              <w:rPr>
                <w:rFonts w:cs="Arial"/>
              </w:rPr>
              <w:t>(</w:t>
            </w:r>
            <w:r w:rsidRPr="00A67277">
              <w:rPr>
                <w:rFonts w:cs="Arial"/>
                <w:i/>
              </w:rPr>
              <w:t>Panduan Operasi dan Pemeliharaan</w:t>
            </w:r>
            <w:r w:rsidRPr="00A67277">
              <w:rPr>
                <w:rFonts w:cs="Arial"/>
              </w:rPr>
              <w:t>);</w:t>
            </w:r>
          </w:p>
        </w:tc>
      </w:tr>
      <w:tr w:rsidR="00A6430C" w:rsidRPr="00A67277" w14:paraId="75007246" w14:textId="77777777" w:rsidTr="00A6430C">
        <w:tc>
          <w:tcPr>
            <w:tcW w:w="2270" w:type="pct"/>
          </w:tcPr>
          <w:p w14:paraId="4DFE959F" w14:textId="40A80C9D" w:rsidR="00A6430C" w:rsidRPr="00A67277" w:rsidRDefault="00A6430C" w:rsidP="00862B0B">
            <w:pPr>
              <w:pStyle w:val="Body2"/>
              <w:spacing w:before="60" w:after="60"/>
              <w:ind w:left="851"/>
              <w:rPr>
                <w:rFonts w:cs="Arial"/>
                <w:b/>
              </w:rPr>
            </w:pPr>
            <w:r w:rsidRPr="00A67277">
              <w:rPr>
                <w:rFonts w:cs="Arial"/>
                <w:b/>
              </w:rPr>
              <w:t xml:space="preserve">Operation Period </w:t>
            </w:r>
            <w:r w:rsidRPr="00A67277">
              <w:rPr>
                <w:rFonts w:cs="Arial"/>
              </w:rPr>
              <w:t>means the period, during the Term, commencing on and from the Commercial Operation Date to the Expiry Date or Termination Date, whichever earlier</w:t>
            </w:r>
            <w:r>
              <w:rPr>
                <w:rFonts w:cs="Arial"/>
              </w:rPr>
              <w:t>;</w:t>
            </w:r>
          </w:p>
        </w:tc>
        <w:tc>
          <w:tcPr>
            <w:tcW w:w="169" w:type="pct"/>
          </w:tcPr>
          <w:p w14:paraId="3ABED51F" w14:textId="77777777" w:rsidR="00A6430C" w:rsidRPr="00A67277" w:rsidRDefault="00A6430C" w:rsidP="00862B0B">
            <w:pPr>
              <w:spacing w:before="60" w:after="60"/>
              <w:rPr>
                <w:rFonts w:ascii="Arial" w:hAnsi="Arial" w:cs="Arial"/>
                <w:sz w:val="21"/>
                <w:szCs w:val="21"/>
              </w:rPr>
            </w:pPr>
          </w:p>
        </w:tc>
        <w:tc>
          <w:tcPr>
            <w:tcW w:w="2561" w:type="pct"/>
            <w:gridSpan w:val="2"/>
          </w:tcPr>
          <w:p w14:paraId="4602D05E" w14:textId="0F867C29" w:rsidR="00A6430C" w:rsidRPr="00A67277" w:rsidRDefault="00A6430C" w:rsidP="00862B0B">
            <w:pPr>
              <w:pStyle w:val="Body2"/>
              <w:spacing w:before="60" w:after="60"/>
              <w:ind w:left="878"/>
              <w:rPr>
                <w:rFonts w:cs="Arial"/>
                <w:b/>
              </w:rPr>
            </w:pPr>
            <w:r w:rsidRPr="00A67277">
              <w:rPr>
                <w:rFonts w:cs="Arial"/>
                <w:b/>
              </w:rPr>
              <w:t xml:space="preserve">Jangka Waktu Operasi </w:t>
            </w:r>
            <w:r w:rsidRPr="00A67277">
              <w:rPr>
                <w:rFonts w:cs="Arial"/>
              </w:rPr>
              <w:t>berarti</w:t>
            </w:r>
            <w:r w:rsidRPr="00A67277">
              <w:rPr>
                <w:rFonts w:cs="Arial"/>
                <w:b/>
              </w:rPr>
              <w:t xml:space="preserve"> </w:t>
            </w:r>
            <w:r w:rsidRPr="00A67277">
              <w:rPr>
                <w:rFonts w:cs="Arial"/>
              </w:rPr>
              <w:t>periode, di dalam Jangka Waktu, dimulai pada dan sejak Tanggal Operasi Komersial sampai dengan Tanggal Daluarsa Perjanjian atau Tanggal Pengakhiran, yang mana lebih dahulu terjadi</w:t>
            </w:r>
            <w:r>
              <w:rPr>
                <w:rFonts w:cs="Arial"/>
              </w:rPr>
              <w:t>;</w:t>
            </w:r>
          </w:p>
        </w:tc>
      </w:tr>
      <w:tr w:rsidR="00A6430C" w:rsidRPr="00A67277" w14:paraId="1D4058D5" w14:textId="77777777" w:rsidTr="00A6430C">
        <w:tc>
          <w:tcPr>
            <w:tcW w:w="2270" w:type="pct"/>
          </w:tcPr>
          <w:p w14:paraId="45D512CD" w14:textId="27541511" w:rsidR="00A6430C" w:rsidRPr="00A67277" w:rsidRDefault="00A6430C" w:rsidP="00862B0B">
            <w:pPr>
              <w:pStyle w:val="Body2"/>
              <w:spacing w:before="60" w:after="60"/>
              <w:ind w:left="851"/>
              <w:rPr>
                <w:rFonts w:cs="Arial"/>
                <w:b/>
              </w:rPr>
            </w:pPr>
            <w:r w:rsidRPr="00A67277">
              <w:rPr>
                <w:rFonts w:cs="Arial"/>
                <w:b/>
              </w:rPr>
              <w:t>Party</w:t>
            </w:r>
            <w:r w:rsidRPr="00A67277">
              <w:rPr>
                <w:rFonts w:cs="Arial"/>
              </w:rPr>
              <w:t xml:space="preserve"> means GCA or the IBE</w:t>
            </w:r>
            <w:r>
              <w:rPr>
                <w:rFonts w:cs="Arial"/>
              </w:rPr>
              <w:t>;</w:t>
            </w:r>
          </w:p>
        </w:tc>
        <w:tc>
          <w:tcPr>
            <w:tcW w:w="169" w:type="pct"/>
          </w:tcPr>
          <w:p w14:paraId="1A3F2262" w14:textId="77777777" w:rsidR="00A6430C" w:rsidRPr="00A67277" w:rsidRDefault="00A6430C" w:rsidP="00862B0B">
            <w:pPr>
              <w:spacing w:before="60" w:after="60"/>
              <w:rPr>
                <w:rFonts w:ascii="Arial" w:hAnsi="Arial" w:cs="Arial"/>
                <w:sz w:val="21"/>
                <w:szCs w:val="21"/>
              </w:rPr>
            </w:pPr>
          </w:p>
        </w:tc>
        <w:tc>
          <w:tcPr>
            <w:tcW w:w="2561" w:type="pct"/>
            <w:gridSpan w:val="2"/>
          </w:tcPr>
          <w:p w14:paraId="0316D043" w14:textId="03428B4E" w:rsidR="00A6430C" w:rsidRPr="00A67277" w:rsidRDefault="00A6430C" w:rsidP="00862B0B">
            <w:pPr>
              <w:pStyle w:val="Body2"/>
              <w:spacing w:before="60" w:after="60"/>
              <w:ind w:left="878"/>
              <w:rPr>
                <w:rFonts w:cs="Arial"/>
                <w:b/>
              </w:rPr>
            </w:pPr>
            <w:r w:rsidRPr="00A67277">
              <w:rPr>
                <w:rFonts w:cs="Arial"/>
                <w:b/>
              </w:rPr>
              <w:t xml:space="preserve">Pihak </w:t>
            </w:r>
            <w:r w:rsidRPr="00A67277">
              <w:rPr>
                <w:rFonts w:cs="Arial"/>
              </w:rPr>
              <w:t>berarti PJPK atau BUP</w:t>
            </w:r>
            <w:r>
              <w:rPr>
                <w:rFonts w:cs="Arial"/>
              </w:rPr>
              <w:t>;</w:t>
            </w:r>
          </w:p>
        </w:tc>
      </w:tr>
      <w:tr w:rsidR="00862B0B" w:rsidRPr="00A67277" w14:paraId="561F18D4" w14:textId="77777777" w:rsidTr="00A6430C">
        <w:tc>
          <w:tcPr>
            <w:tcW w:w="2270" w:type="pct"/>
          </w:tcPr>
          <w:p w14:paraId="7BDA96ED" w14:textId="722E9850" w:rsidR="00862B0B" w:rsidRPr="00A67277" w:rsidRDefault="00A6430C" w:rsidP="00862B0B">
            <w:pPr>
              <w:pStyle w:val="Body2"/>
              <w:spacing w:before="60" w:after="60"/>
              <w:ind w:left="851"/>
              <w:rPr>
                <w:rFonts w:cs="Arial"/>
              </w:rPr>
            </w:pPr>
            <w:r w:rsidRPr="00A6430C">
              <w:rPr>
                <w:rFonts w:cs="Arial"/>
                <w:b/>
              </w:rPr>
              <w:t>Political Event</w:t>
            </w:r>
            <w:r>
              <w:rPr>
                <w:rFonts w:cs="Arial"/>
              </w:rPr>
              <w:t xml:space="preserve"> means:</w:t>
            </w:r>
          </w:p>
        </w:tc>
        <w:tc>
          <w:tcPr>
            <w:tcW w:w="169" w:type="pct"/>
          </w:tcPr>
          <w:p w14:paraId="0BDD0A19" w14:textId="77777777" w:rsidR="00862B0B" w:rsidRPr="00A67277" w:rsidRDefault="00862B0B" w:rsidP="00862B0B">
            <w:pPr>
              <w:spacing w:before="60" w:after="60"/>
              <w:rPr>
                <w:rFonts w:ascii="Arial" w:hAnsi="Arial" w:cs="Arial"/>
                <w:sz w:val="21"/>
                <w:szCs w:val="21"/>
              </w:rPr>
            </w:pPr>
          </w:p>
        </w:tc>
        <w:tc>
          <w:tcPr>
            <w:tcW w:w="2561" w:type="pct"/>
            <w:gridSpan w:val="2"/>
          </w:tcPr>
          <w:p w14:paraId="39D90845" w14:textId="08AC5EA3" w:rsidR="00862B0B" w:rsidRPr="00A67277" w:rsidRDefault="00A6430C" w:rsidP="00862B0B">
            <w:pPr>
              <w:pStyle w:val="Body2"/>
              <w:spacing w:before="60" w:after="60"/>
              <w:ind w:left="878"/>
              <w:rPr>
                <w:rFonts w:cs="Arial"/>
              </w:rPr>
            </w:pPr>
            <w:r w:rsidRPr="00A6430C">
              <w:rPr>
                <w:rFonts w:cs="Arial"/>
                <w:b/>
              </w:rPr>
              <w:t>Peristiwa Politik</w:t>
            </w:r>
            <w:r>
              <w:rPr>
                <w:rFonts w:cs="Arial"/>
              </w:rPr>
              <w:t xml:space="preserve"> berarti:</w:t>
            </w:r>
          </w:p>
        </w:tc>
      </w:tr>
      <w:tr w:rsidR="00862B0B" w:rsidRPr="00A67277" w14:paraId="3D1C3BBD" w14:textId="77777777" w:rsidTr="00A6430C">
        <w:tc>
          <w:tcPr>
            <w:tcW w:w="2270" w:type="pct"/>
          </w:tcPr>
          <w:p w14:paraId="02086E16" w14:textId="417394D6" w:rsidR="00862B0B" w:rsidRPr="00A67277" w:rsidRDefault="00A6430C" w:rsidP="00862B0B">
            <w:pPr>
              <w:pStyle w:val="ListParagraph"/>
              <w:numPr>
                <w:ilvl w:val="0"/>
                <w:numId w:val="229"/>
              </w:numPr>
              <w:spacing w:before="60" w:after="60" w:line="240" w:lineRule="auto"/>
              <w:ind w:left="1276" w:hanging="425"/>
              <w:rPr>
                <w:rFonts w:cs="Arial"/>
              </w:rPr>
            </w:pPr>
            <w:r>
              <w:rPr>
                <w:rFonts w:cs="Arial"/>
              </w:rPr>
              <w:t>an Event of Government Action or Inaction; or</w:t>
            </w:r>
          </w:p>
        </w:tc>
        <w:tc>
          <w:tcPr>
            <w:tcW w:w="169" w:type="pct"/>
          </w:tcPr>
          <w:p w14:paraId="1873F924" w14:textId="77777777" w:rsidR="00862B0B" w:rsidRPr="00A67277" w:rsidRDefault="00862B0B" w:rsidP="00862B0B">
            <w:pPr>
              <w:spacing w:before="60" w:after="60"/>
              <w:rPr>
                <w:rFonts w:ascii="Arial" w:hAnsi="Arial" w:cs="Arial"/>
                <w:sz w:val="21"/>
                <w:szCs w:val="21"/>
              </w:rPr>
            </w:pPr>
          </w:p>
        </w:tc>
        <w:tc>
          <w:tcPr>
            <w:tcW w:w="2561" w:type="pct"/>
            <w:gridSpan w:val="2"/>
          </w:tcPr>
          <w:p w14:paraId="3429A7EF" w14:textId="2E7A4F7F" w:rsidR="00862B0B" w:rsidRPr="00A67277" w:rsidRDefault="00A6430C" w:rsidP="00862B0B">
            <w:pPr>
              <w:pStyle w:val="Body2"/>
              <w:numPr>
                <w:ilvl w:val="0"/>
                <w:numId w:val="192"/>
              </w:numPr>
              <w:spacing w:before="60" w:after="60"/>
              <w:ind w:left="1303" w:hanging="425"/>
              <w:rPr>
                <w:rFonts w:cs="Arial"/>
                <w:b/>
              </w:rPr>
            </w:pPr>
            <w:r>
              <w:rPr>
                <w:rFonts w:cs="Arial"/>
              </w:rPr>
              <w:t>Peristiwa Tindakan atau Tidak Bertindak Pemerintah; atau</w:t>
            </w:r>
          </w:p>
        </w:tc>
      </w:tr>
      <w:tr w:rsidR="00862B0B" w:rsidRPr="00A67277" w14:paraId="371EF785" w14:textId="77777777" w:rsidTr="00A6430C">
        <w:tc>
          <w:tcPr>
            <w:tcW w:w="2270" w:type="pct"/>
          </w:tcPr>
          <w:p w14:paraId="6CFD332E" w14:textId="5A066CE7" w:rsidR="00862B0B" w:rsidRPr="00A6430C" w:rsidRDefault="00A6430C" w:rsidP="00A6430C">
            <w:pPr>
              <w:pStyle w:val="ListParagraph"/>
              <w:numPr>
                <w:ilvl w:val="0"/>
                <w:numId w:val="229"/>
              </w:numPr>
              <w:spacing w:before="60" w:after="60" w:line="240" w:lineRule="auto"/>
              <w:ind w:left="1276" w:hanging="425"/>
              <w:rPr>
                <w:rFonts w:cs="Arial"/>
              </w:rPr>
            </w:pPr>
            <w:r>
              <w:rPr>
                <w:rFonts w:cs="Arial"/>
              </w:rPr>
              <w:t>A Qualifying Change in Law;</w:t>
            </w:r>
          </w:p>
        </w:tc>
        <w:tc>
          <w:tcPr>
            <w:tcW w:w="169" w:type="pct"/>
          </w:tcPr>
          <w:p w14:paraId="48A151D7" w14:textId="77777777" w:rsidR="00862B0B" w:rsidRPr="00A67277" w:rsidRDefault="00862B0B" w:rsidP="00862B0B">
            <w:pPr>
              <w:spacing w:before="60" w:after="60"/>
              <w:rPr>
                <w:rFonts w:ascii="Arial" w:hAnsi="Arial" w:cs="Arial"/>
                <w:sz w:val="21"/>
                <w:szCs w:val="21"/>
              </w:rPr>
            </w:pPr>
          </w:p>
        </w:tc>
        <w:tc>
          <w:tcPr>
            <w:tcW w:w="2561" w:type="pct"/>
            <w:gridSpan w:val="2"/>
          </w:tcPr>
          <w:p w14:paraId="6FCD6EC2" w14:textId="4BC73DD4" w:rsidR="00862B0B" w:rsidRPr="00A67277" w:rsidRDefault="00A6430C" w:rsidP="00862B0B">
            <w:pPr>
              <w:pStyle w:val="Body2"/>
              <w:numPr>
                <w:ilvl w:val="0"/>
                <w:numId w:val="192"/>
              </w:numPr>
              <w:spacing w:before="60" w:after="60"/>
              <w:ind w:left="1303" w:hanging="425"/>
              <w:rPr>
                <w:rFonts w:cs="Arial"/>
              </w:rPr>
            </w:pPr>
            <w:r>
              <w:rPr>
                <w:rFonts w:cs="Arial"/>
              </w:rPr>
              <w:t>Perubahan Hukum Yang Memenuhi Syarat;</w:t>
            </w:r>
          </w:p>
        </w:tc>
      </w:tr>
      <w:tr w:rsidR="00862B0B" w:rsidRPr="00A67277" w14:paraId="1D6C4207" w14:textId="77777777" w:rsidTr="00A6430C">
        <w:tc>
          <w:tcPr>
            <w:tcW w:w="2270" w:type="pct"/>
          </w:tcPr>
          <w:p w14:paraId="58BEF1F9" w14:textId="6769465F" w:rsidR="00862B0B" w:rsidRPr="00A67277" w:rsidRDefault="00862B0B" w:rsidP="00862B0B">
            <w:pPr>
              <w:pStyle w:val="Body2"/>
              <w:spacing w:before="60" w:after="60"/>
              <w:ind w:left="851"/>
              <w:rPr>
                <w:rFonts w:cs="Arial"/>
                <w:b/>
              </w:rPr>
            </w:pPr>
            <w:bookmarkStart w:id="42" w:name="_Hlk36449567"/>
            <w:r w:rsidRPr="009F5549">
              <w:rPr>
                <w:rFonts w:cs="Arial"/>
                <w:b/>
              </w:rPr>
              <w:t xml:space="preserve">Tolled Lane Based Service Fee </w:t>
            </w:r>
            <w:r w:rsidRPr="00A67277">
              <w:rPr>
                <w:rFonts w:cs="Arial"/>
              </w:rPr>
              <w:t xml:space="preserve">means </w:t>
            </w:r>
            <w:r>
              <w:rPr>
                <w:rFonts w:cs="Arial"/>
              </w:rPr>
              <w:t>Service Fee</w:t>
            </w:r>
            <w:r w:rsidRPr="00A67277">
              <w:rPr>
                <w:rFonts w:cs="Arial"/>
              </w:rPr>
              <w:t xml:space="preserve"> with respect to the Service provided for any Additional Lane. </w:t>
            </w:r>
          </w:p>
        </w:tc>
        <w:tc>
          <w:tcPr>
            <w:tcW w:w="169" w:type="pct"/>
          </w:tcPr>
          <w:p w14:paraId="3055CB87" w14:textId="77777777" w:rsidR="00862B0B" w:rsidRPr="00A67277" w:rsidRDefault="00862B0B" w:rsidP="00862B0B">
            <w:pPr>
              <w:spacing w:before="60" w:after="60"/>
              <w:rPr>
                <w:rFonts w:ascii="Arial" w:hAnsi="Arial" w:cs="Arial"/>
                <w:sz w:val="21"/>
                <w:szCs w:val="21"/>
              </w:rPr>
            </w:pPr>
          </w:p>
        </w:tc>
        <w:tc>
          <w:tcPr>
            <w:tcW w:w="2561" w:type="pct"/>
            <w:gridSpan w:val="2"/>
          </w:tcPr>
          <w:p w14:paraId="666DCD5C" w14:textId="45A8A7FC" w:rsidR="00862B0B" w:rsidRPr="00A67277" w:rsidRDefault="00862B0B" w:rsidP="00862B0B">
            <w:pPr>
              <w:pStyle w:val="Body2"/>
              <w:spacing w:before="60" w:after="60"/>
              <w:ind w:left="878"/>
              <w:rPr>
                <w:rFonts w:cs="Arial"/>
                <w:b/>
              </w:rPr>
            </w:pPr>
            <w:r>
              <w:rPr>
                <w:rFonts w:cs="Arial"/>
                <w:b/>
                <w:spacing w:val="1"/>
                <w:w w:val="102"/>
              </w:rPr>
              <w:t xml:space="preserve">Biaya Layanan Berdasarkan Jalur Tol </w:t>
            </w:r>
            <w:r w:rsidRPr="00A67277">
              <w:rPr>
                <w:rFonts w:cs="Arial"/>
                <w:spacing w:val="1"/>
                <w:w w:val="102"/>
              </w:rPr>
              <w:t xml:space="preserve">berarti </w:t>
            </w:r>
            <w:r>
              <w:rPr>
                <w:rFonts w:cs="Arial"/>
                <w:spacing w:val="1"/>
                <w:w w:val="102"/>
              </w:rPr>
              <w:t>Biaya</w:t>
            </w:r>
            <w:r w:rsidRPr="00A67277">
              <w:rPr>
                <w:rFonts w:cs="Arial"/>
                <w:spacing w:val="1"/>
                <w:w w:val="102"/>
              </w:rPr>
              <w:t xml:space="preserve"> Layanan untuk Layanan pada setiap Jalur Tambahan. </w:t>
            </w:r>
          </w:p>
        </w:tc>
      </w:tr>
      <w:bookmarkEnd w:id="42"/>
      <w:tr w:rsidR="00862B0B" w:rsidRPr="00A67277" w14:paraId="72A05FA8" w14:textId="77777777" w:rsidTr="00A6430C">
        <w:tc>
          <w:tcPr>
            <w:tcW w:w="2270" w:type="pct"/>
          </w:tcPr>
          <w:p w14:paraId="3A0A8AA6" w14:textId="77777777" w:rsidR="00862B0B" w:rsidRPr="00A67277" w:rsidRDefault="00862B0B" w:rsidP="00862B0B">
            <w:pPr>
              <w:pStyle w:val="Body2"/>
              <w:spacing w:before="60" w:after="60"/>
              <w:ind w:left="851"/>
              <w:rPr>
                <w:rFonts w:cs="Arial"/>
              </w:rPr>
            </w:pPr>
            <w:r w:rsidRPr="00A67277">
              <w:rPr>
                <w:rFonts w:cs="Arial"/>
                <w:b/>
              </w:rPr>
              <w:t xml:space="preserve">PPP Regulations </w:t>
            </w:r>
            <w:r w:rsidRPr="00A67277">
              <w:rPr>
                <w:rFonts w:cs="Arial"/>
              </w:rPr>
              <w:t>means Presidential Regulation Number 38 Year 2015 concerning Cooperation Between the Government and Business Entities in Infrastructure Procurement and all applicable Law implemented thereunder;</w:t>
            </w:r>
          </w:p>
        </w:tc>
        <w:tc>
          <w:tcPr>
            <w:tcW w:w="169" w:type="pct"/>
          </w:tcPr>
          <w:p w14:paraId="4175DA45" w14:textId="77777777" w:rsidR="00862B0B" w:rsidRPr="00A67277" w:rsidRDefault="00862B0B" w:rsidP="00862B0B">
            <w:pPr>
              <w:spacing w:before="60" w:after="60"/>
              <w:rPr>
                <w:rFonts w:ascii="Arial" w:hAnsi="Arial" w:cs="Arial"/>
                <w:sz w:val="21"/>
                <w:szCs w:val="21"/>
              </w:rPr>
            </w:pPr>
          </w:p>
        </w:tc>
        <w:tc>
          <w:tcPr>
            <w:tcW w:w="2561" w:type="pct"/>
            <w:gridSpan w:val="2"/>
          </w:tcPr>
          <w:p w14:paraId="61436C58" w14:textId="77777777" w:rsidR="00862B0B" w:rsidRPr="00A67277" w:rsidRDefault="00862B0B" w:rsidP="00862B0B">
            <w:pPr>
              <w:pStyle w:val="Body2"/>
              <w:spacing w:before="60" w:after="60"/>
              <w:ind w:left="878"/>
              <w:rPr>
                <w:rFonts w:cs="Arial"/>
              </w:rPr>
            </w:pPr>
            <w:r w:rsidRPr="00A67277">
              <w:rPr>
                <w:rFonts w:cs="Arial"/>
                <w:b/>
              </w:rPr>
              <w:t xml:space="preserve">Peraturan KPBU </w:t>
            </w:r>
            <w:r w:rsidRPr="00A67277">
              <w:rPr>
                <w:rFonts w:cs="Arial"/>
              </w:rPr>
              <w:t>berarti</w:t>
            </w:r>
            <w:r w:rsidRPr="00A67277">
              <w:rPr>
                <w:rFonts w:cs="Arial"/>
                <w:b/>
              </w:rPr>
              <w:t xml:space="preserve"> </w:t>
            </w:r>
            <w:r w:rsidRPr="00A67277">
              <w:rPr>
                <w:rFonts w:cs="Arial"/>
              </w:rPr>
              <w:t>Peraturan Presiden No. 38 tahun 2015 tentang Kerjasama Pemerintah dengan Badan Usaha dalam Penyediaan Infrastruktur dan segala Hukum yang berlaku sebagai pelaksanaannya;</w:t>
            </w:r>
          </w:p>
        </w:tc>
      </w:tr>
      <w:tr w:rsidR="00862B0B" w:rsidRPr="00A67277" w14:paraId="17AC3DE4" w14:textId="77777777" w:rsidTr="00A6430C">
        <w:tc>
          <w:tcPr>
            <w:tcW w:w="2270" w:type="pct"/>
          </w:tcPr>
          <w:p w14:paraId="0D829B42" w14:textId="109ED18D" w:rsidR="00862B0B" w:rsidRPr="00AE299F" w:rsidRDefault="00862B0B" w:rsidP="00862B0B">
            <w:pPr>
              <w:pStyle w:val="Body2"/>
              <w:spacing w:before="60" w:after="60"/>
              <w:ind w:left="851"/>
              <w:rPr>
                <w:rFonts w:cs="Arial"/>
              </w:rPr>
            </w:pPr>
            <w:r w:rsidRPr="00AE299F">
              <w:rPr>
                <w:rFonts w:cs="Arial"/>
                <w:b/>
              </w:rPr>
              <w:t>Project</w:t>
            </w:r>
            <w:r w:rsidRPr="00AE299F">
              <w:rPr>
                <w:rFonts w:cs="Arial"/>
              </w:rPr>
              <w:t xml:space="preserve"> means the project to design, build, finance, operate</w:t>
            </w:r>
            <w:r w:rsidRPr="00493072">
              <w:rPr>
                <w:rFonts w:cs="Arial"/>
              </w:rPr>
              <w:t>,</w:t>
            </w:r>
            <w:r w:rsidRPr="00AE299F">
              <w:rPr>
                <w:rFonts w:cs="Arial"/>
              </w:rPr>
              <w:t xml:space="preserve"> maintain </w:t>
            </w:r>
            <w:r w:rsidRPr="00493072">
              <w:rPr>
                <w:rFonts w:cs="Arial"/>
              </w:rPr>
              <w:t xml:space="preserve">and transfer </w:t>
            </w:r>
            <w:r w:rsidRPr="00AE299F">
              <w:rPr>
                <w:rFonts w:cs="Arial"/>
              </w:rPr>
              <w:t xml:space="preserve">the </w:t>
            </w:r>
            <w:bookmarkStart w:id="43" w:name="_cp_text_1_569"/>
            <w:r w:rsidRPr="00AE299F">
              <w:rPr>
                <w:rFonts w:cs="Arial"/>
              </w:rPr>
              <w:t>Facility</w:t>
            </w:r>
            <w:bookmarkEnd w:id="43"/>
            <w:r w:rsidRPr="00AE299F">
              <w:rPr>
                <w:rFonts w:cs="Arial"/>
              </w:rPr>
              <w:t>, as described in the Design and Technical Specifications and Key Performance Indicators, and the carrying out of all Works, and provision of all Services as contemplated by this Agreement;</w:t>
            </w:r>
          </w:p>
        </w:tc>
        <w:tc>
          <w:tcPr>
            <w:tcW w:w="169" w:type="pct"/>
          </w:tcPr>
          <w:p w14:paraId="668AE3C1" w14:textId="77777777" w:rsidR="00862B0B" w:rsidRPr="00AE299F" w:rsidRDefault="00862B0B" w:rsidP="00862B0B">
            <w:pPr>
              <w:spacing w:before="60" w:after="60" w:line="259" w:lineRule="auto"/>
              <w:rPr>
                <w:rFonts w:ascii="Arial" w:hAnsi="Arial" w:cs="Arial"/>
                <w:sz w:val="21"/>
                <w:szCs w:val="21"/>
              </w:rPr>
            </w:pPr>
          </w:p>
        </w:tc>
        <w:tc>
          <w:tcPr>
            <w:tcW w:w="2561" w:type="pct"/>
            <w:gridSpan w:val="2"/>
          </w:tcPr>
          <w:p w14:paraId="79504677" w14:textId="3BABB660" w:rsidR="00862B0B" w:rsidRPr="00AE299F" w:rsidRDefault="00862B0B" w:rsidP="00862B0B">
            <w:pPr>
              <w:pStyle w:val="Body2"/>
              <w:numPr>
                <w:ilvl w:val="0"/>
                <w:numId w:val="544"/>
              </w:numPr>
              <w:spacing w:before="60" w:after="60"/>
              <w:ind w:left="878"/>
              <w:rPr>
                <w:rFonts w:cs="Arial"/>
              </w:rPr>
            </w:pPr>
            <w:r w:rsidRPr="00AE299F">
              <w:rPr>
                <w:rFonts w:cs="Arial"/>
                <w:b/>
              </w:rPr>
              <w:t>Proyek</w:t>
            </w:r>
            <w:r w:rsidRPr="00AE299F">
              <w:rPr>
                <w:rFonts w:cs="Arial"/>
              </w:rPr>
              <w:t xml:space="preserve"> berarti proyek untuk </w:t>
            </w:r>
            <w:r w:rsidRPr="00493072">
              <w:rPr>
                <w:sz w:val="20"/>
                <w:szCs w:val="20"/>
                <w:lang w:val="en-US"/>
              </w:rPr>
              <w:t xml:space="preserve"> mendesain, membangun, mendanai, mengoperasikan, memelihara dan menyerahkan </w:t>
            </w:r>
            <w:r w:rsidRPr="00AE299F">
              <w:rPr>
                <w:rFonts w:cs="Arial"/>
              </w:rPr>
              <w:t xml:space="preserve">Fasilitas, sebagaimana yang dijelaskan dalam Spesifikasi Desain dan Teknis and Indikator Kinerja Utama, dan penyelenggaraan dari semua Pekerjaan, penyediaan semua Layanan, </w:t>
            </w:r>
            <w:bookmarkStart w:id="44" w:name="_cp_text_1_578"/>
            <w:r w:rsidRPr="00AE299F">
              <w:rPr>
                <w:rFonts w:cs="Arial"/>
              </w:rPr>
              <w:t xml:space="preserve">sebagaimana yang dimaksud dalam </w:t>
            </w:r>
            <w:bookmarkEnd w:id="44"/>
            <w:r w:rsidRPr="00AE299F">
              <w:rPr>
                <w:rFonts w:cs="Arial"/>
              </w:rPr>
              <w:t>Perjanjian ini;</w:t>
            </w:r>
          </w:p>
        </w:tc>
      </w:tr>
      <w:tr w:rsidR="00862B0B" w:rsidRPr="00A67277" w14:paraId="4E4FDFF6" w14:textId="77777777" w:rsidTr="00862B0B">
        <w:tc>
          <w:tcPr>
            <w:tcW w:w="2270" w:type="pct"/>
          </w:tcPr>
          <w:p w14:paraId="25B9F65B" w14:textId="77777777" w:rsidR="00862B0B" w:rsidRPr="00FF7A89" w:rsidRDefault="00862B0B" w:rsidP="00862B0B">
            <w:pPr>
              <w:pStyle w:val="Body2"/>
              <w:spacing w:before="60" w:after="60"/>
              <w:ind w:left="851"/>
              <w:rPr>
                <w:rFonts w:cs="Arial"/>
                <w:b/>
                <w:highlight w:val="yellow"/>
              </w:rPr>
            </w:pPr>
          </w:p>
        </w:tc>
        <w:tc>
          <w:tcPr>
            <w:tcW w:w="169" w:type="pct"/>
          </w:tcPr>
          <w:p w14:paraId="6A2CBC66" w14:textId="77777777" w:rsidR="00862B0B" w:rsidRPr="00AE299F" w:rsidRDefault="00862B0B" w:rsidP="00862B0B">
            <w:pPr>
              <w:spacing w:before="60" w:after="60"/>
              <w:rPr>
                <w:rFonts w:ascii="Arial" w:hAnsi="Arial" w:cs="Arial"/>
                <w:sz w:val="21"/>
                <w:szCs w:val="21"/>
                <w:highlight w:val="yellow"/>
              </w:rPr>
            </w:pPr>
          </w:p>
        </w:tc>
        <w:tc>
          <w:tcPr>
            <w:tcW w:w="2561" w:type="pct"/>
            <w:gridSpan w:val="2"/>
          </w:tcPr>
          <w:p w14:paraId="51448FDD" w14:textId="77777777" w:rsidR="00862B0B" w:rsidRPr="00A8003A" w:rsidRDefault="00862B0B" w:rsidP="00862B0B">
            <w:pPr>
              <w:pStyle w:val="Body2"/>
              <w:numPr>
                <w:ilvl w:val="0"/>
                <w:numId w:val="544"/>
              </w:numPr>
              <w:spacing w:before="60" w:after="60"/>
              <w:ind w:left="878"/>
              <w:rPr>
                <w:rFonts w:cs="Arial"/>
                <w:b/>
                <w:highlight w:val="yellow"/>
              </w:rPr>
            </w:pPr>
          </w:p>
        </w:tc>
      </w:tr>
      <w:tr w:rsidR="00862B0B" w:rsidRPr="00A67277" w14:paraId="69471437" w14:textId="77777777" w:rsidTr="00862B0B">
        <w:tc>
          <w:tcPr>
            <w:tcW w:w="2270" w:type="pct"/>
            <w:shd w:val="clear" w:color="auto" w:fill="auto"/>
          </w:tcPr>
          <w:p w14:paraId="45CF14A4" w14:textId="5B877411" w:rsidR="00862B0B" w:rsidRPr="00A67277" w:rsidRDefault="00862B0B" w:rsidP="00862B0B">
            <w:pPr>
              <w:pStyle w:val="Body2"/>
              <w:spacing w:before="60" w:after="60"/>
              <w:ind w:left="851"/>
              <w:rPr>
                <w:rFonts w:cs="Arial"/>
              </w:rPr>
            </w:pPr>
            <w:r w:rsidRPr="00A67277">
              <w:rPr>
                <w:rFonts w:cs="Arial"/>
                <w:b/>
              </w:rPr>
              <w:t xml:space="preserve">Project Agreements </w:t>
            </w:r>
            <w:r w:rsidRPr="00A67277">
              <w:rPr>
                <w:rFonts w:cs="Arial"/>
              </w:rPr>
              <w:t xml:space="preserve">means: </w:t>
            </w:r>
          </w:p>
        </w:tc>
        <w:tc>
          <w:tcPr>
            <w:tcW w:w="169" w:type="pct"/>
            <w:shd w:val="clear" w:color="auto" w:fill="auto"/>
          </w:tcPr>
          <w:p w14:paraId="3457B5FD"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23ED7FA8" w14:textId="77777777" w:rsidR="00862B0B" w:rsidRPr="00A67277" w:rsidRDefault="00862B0B" w:rsidP="00862B0B">
            <w:pPr>
              <w:pStyle w:val="Body2"/>
              <w:spacing w:before="60" w:after="60"/>
              <w:ind w:left="878"/>
              <w:rPr>
                <w:rFonts w:cs="Arial"/>
              </w:rPr>
            </w:pPr>
            <w:r w:rsidRPr="00A67277">
              <w:rPr>
                <w:rFonts w:cs="Arial"/>
                <w:b/>
              </w:rPr>
              <w:t xml:space="preserve">Perjanjian Proyek </w:t>
            </w:r>
            <w:r w:rsidRPr="00A67277">
              <w:rPr>
                <w:rFonts w:cs="Arial"/>
              </w:rPr>
              <w:t>berarti:</w:t>
            </w:r>
          </w:p>
        </w:tc>
      </w:tr>
      <w:tr w:rsidR="00862B0B" w:rsidRPr="00A67277" w14:paraId="2AF74A69" w14:textId="77777777" w:rsidTr="00862B0B">
        <w:tc>
          <w:tcPr>
            <w:tcW w:w="2270" w:type="pct"/>
            <w:shd w:val="clear" w:color="auto" w:fill="auto"/>
          </w:tcPr>
          <w:p w14:paraId="1D994A68" w14:textId="7366F86B" w:rsidR="00862B0B" w:rsidRPr="00A67277" w:rsidRDefault="00862B0B" w:rsidP="00862B0B">
            <w:pPr>
              <w:pStyle w:val="ListParagraph"/>
              <w:numPr>
                <w:ilvl w:val="0"/>
                <w:numId w:val="230"/>
              </w:numPr>
              <w:spacing w:before="60" w:after="60" w:line="240" w:lineRule="auto"/>
              <w:ind w:left="1260" w:hanging="409"/>
              <w:rPr>
                <w:rFonts w:cs="Arial"/>
              </w:rPr>
            </w:pPr>
            <w:r w:rsidRPr="00A67277">
              <w:rPr>
                <w:rFonts w:cs="Arial"/>
              </w:rPr>
              <w:t>Bank Agreements;</w:t>
            </w:r>
          </w:p>
        </w:tc>
        <w:tc>
          <w:tcPr>
            <w:tcW w:w="169" w:type="pct"/>
            <w:shd w:val="clear" w:color="auto" w:fill="auto"/>
          </w:tcPr>
          <w:p w14:paraId="1CC844CF"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4A04888C" w14:textId="0C54521D" w:rsidR="00862B0B" w:rsidRPr="00A67277" w:rsidRDefault="00862B0B" w:rsidP="00862B0B">
            <w:pPr>
              <w:pStyle w:val="Body2"/>
              <w:numPr>
                <w:ilvl w:val="0"/>
                <w:numId w:val="193"/>
              </w:numPr>
              <w:spacing w:before="60" w:after="60"/>
              <w:ind w:left="1303" w:hanging="425"/>
              <w:rPr>
                <w:rFonts w:cs="Arial"/>
              </w:rPr>
            </w:pPr>
            <w:r w:rsidRPr="00A67277">
              <w:rPr>
                <w:rFonts w:cs="Arial"/>
              </w:rPr>
              <w:t>Perjanjian Bank;</w:t>
            </w:r>
          </w:p>
        </w:tc>
      </w:tr>
      <w:tr w:rsidR="00862B0B" w:rsidRPr="00A67277" w14:paraId="4D13151E" w14:textId="77777777" w:rsidTr="00862B0B">
        <w:tc>
          <w:tcPr>
            <w:tcW w:w="2270" w:type="pct"/>
            <w:shd w:val="clear" w:color="auto" w:fill="auto"/>
          </w:tcPr>
          <w:p w14:paraId="66DF670F" w14:textId="77777777" w:rsidR="00862B0B" w:rsidRPr="00A67277" w:rsidRDefault="00862B0B" w:rsidP="00862B0B">
            <w:pPr>
              <w:pStyle w:val="ListParagraph"/>
              <w:numPr>
                <w:ilvl w:val="0"/>
                <w:numId w:val="230"/>
              </w:numPr>
              <w:spacing w:before="60" w:after="60" w:line="240" w:lineRule="auto"/>
              <w:ind w:left="1260" w:hanging="409"/>
              <w:rPr>
                <w:rFonts w:cs="Arial"/>
              </w:rPr>
            </w:pPr>
            <w:r w:rsidRPr="00A67277">
              <w:rPr>
                <w:rFonts w:cs="Arial"/>
              </w:rPr>
              <w:t>the EPC Contracts;</w:t>
            </w:r>
          </w:p>
        </w:tc>
        <w:tc>
          <w:tcPr>
            <w:tcW w:w="169" w:type="pct"/>
            <w:shd w:val="clear" w:color="auto" w:fill="auto"/>
          </w:tcPr>
          <w:p w14:paraId="23818590"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AEDBA5B"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Kontrak EPC;</w:t>
            </w:r>
          </w:p>
        </w:tc>
      </w:tr>
      <w:tr w:rsidR="00862B0B" w:rsidRPr="00A67277" w14:paraId="3DC7D619" w14:textId="77777777" w:rsidTr="00862B0B">
        <w:tc>
          <w:tcPr>
            <w:tcW w:w="2270" w:type="pct"/>
            <w:shd w:val="clear" w:color="auto" w:fill="auto"/>
          </w:tcPr>
          <w:p w14:paraId="701DF47D"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Financing Documents;</w:t>
            </w:r>
          </w:p>
        </w:tc>
        <w:tc>
          <w:tcPr>
            <w:tcW w:w="169" w:type="pct"/>
            <w:shd w:val="clear" w:color="auto" w:fill="auto"/>
          </w:tcPr>
          <w:p w14:paraId="48396262"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5C8036EC"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Dokumen Pembiayaan;</w:t>
            </w:r>
          </w:p>
        </w:tc>
      </w:tr>
      <w:tr w:rsidR="00862B0B" w:rsidRPr="00A67277" w14:paraId="69ADB44A" w14:textId="77777777" w:rsidTr="00862B0B">
        <w:tc>
          <w:tcPr>
            <w:tcW w:w="2270" w:type="pct"/>
            <w:shd w:val="clear" w:color="auto" w:fill="auto"/>
          </w:tcPr>
          <w:p w14:paraId="366D592B"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GCA Consent Letter;</w:t>
            </w:r>
          </w:p>
        </w:tc>
        <w:tc>
          <w:tcPr>
            <w:tcW w:w="169" w:type="pct"/>
            <w:shd w:val="clear" w:color="auto" w:fill="auto"/>
          </w:tcPr>
          <w:p w14:paraId="1C02A987"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2D2E70E4"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Surat Persetujuan PJPK;</w:t>
            </w:r>
          </w:p>
        </w:tc>
      </w:tr>
      <w:tr w:rsidR="00862B0B" w:rsidRPr="00A67277" w14:paraId="1C916676" w14:textId="77777777" w:rsidTr="00862B0B">
        <w:tc>
          <w:tcPr>
            <w:tcW w:w="2270" w:type="pct"/>
            <w:shd w:val="clear" w:color="auto" w:fill="auto"/>
          </w:tcPr>
          <w:p w14:paraId="47EA7670"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Guarantee Agreement;</w:t>
            </w:r>
          </w:p>
        </w:tc>
        <w:tc>
          <w:tcPr>
            <w:tcW w:w="169" w:type="pct"/>
            <w:shd w:val="clear" w:color="auto" w:fill="auto"/>
          </w:tcPr>
          <w:p w14:paraId="08CE94B0"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782AC9EC"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Perjanjian Penjaminan;</w:t>
            </w:r>
          </w:p>
        </w:tc>
      </w:tr>
      <w:tr w:rsidR="00862B0B" w:rsidRPr="00A67277" w14:paraId="05F4CF63" w14:textId="77777777" w:rsidTr="00862B0B">
        <w:tc>
          <w:tcPr>
            <w:tcW w:w="2270" w:type="pct"/>
            <w:shd w:val="clear" w:color="auto" w:fill="auto"/>
          </w:tcPr>
          <w:p w14:paraId="11147CEF"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Independent Supervisory Consultant Contract;</w:t>
            </w:r>
          </w:p>
        </w:tc>
        <w:tc>
          <w:tcPr>
            <w:tcW w:w="169" w:type="pct"/>
            <w:shd w:val="clear" w:color="auto" w:fill="auto"/>
          </w:tcPr>
          <w:p w14:paraId="5A099BEA"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DAF3799"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Perjanjian Konsultan Pengawas Independen;</w:t>
            </w:r>
          </w:p>
        </w:tc>
      </w:tr>
      <w:tr w:rsidR="00862B0B" w:rsidRPr="00A67277" w14:paraId="159207B5" w14:textId="77777777" w:rsidTr="00862B0B">
        <w:tc>
          <w:tcPr>
            <w:tcW w:w="2270" w:type="pct"/>
            <w:shd w:val="clear" w:color="auto" w:fill="auto"/>
          </w:tcPr>
          <w:p w14:paraId="1BC4C489"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O&amp;M Contract;</w:t>
            </w:r>
          </w:p>
        </w:tc>
        <w:tc>
          <w:tcPr>
            <w:tcW w:w="169" w:type="pct"/>
            <w:shd w:val="clear" w:color="auto" w:fill="auto"/>
          </w:tcPr>
          <w:p w14:paraId="66B47EC1"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56F9ACA"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Kontrak O&amp;M;</w:t>
            </w:r>
          </w:p>
        </w:tc>
      </w:tr>
      <w:tr w:rsidR="00862B0B" w:rsidRPr="00A67277" w14:paraId="5357755F" w14:textId="77777777" w:rsidTr="00862B0B">
        <w:tc>
          <w:tcPr>
            <w:tcW w:w="2270" w:type="pct"/>
            <w:shd w:val="clear" w:color="auto" w:fill="auto"/>
          </w:tcPr>
          <w:p w14:paraId="1E3E79CE"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Shareholders’ Agreement;</w:t>
            </w:r>
          </w:p>
        </w:tc>
        <w:tc>
          <w:tcPr>
            <w:tcW w:w="169" w:type="pct"/>
            <w:shd w:val="clear" w:color="auto" w:fill="auto"/>
          </w:tcPr>
          <w:p w14:paraId="5DD39F83"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1A9B4FF7"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Perjanjian Pemegang Saham;</w:t>
            </w:r>
          </w:p>
        </w:tc>
      </w:tr>
      <w:tr w:rsidR="00862B0B" w:rsidRPr="00A67277" w14:paraId="0B2AB0F4" w14:textId="77777777" w:rsidTr="00862B0B">
        <w:tc>
          <w:tcPr>
            <w:tcW w:w="2270" w:type="pct"/>
            <w:shd w:val="clear" w:color="auto" w:fill="auto"/>
          </w:tcPr>
          <w:p w14:paraId="5D3E91A8"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the Sponsors' Agreement;</w:t>
            </w:r>
          </w:p>
        </w:tc>
        <w:tc>
          <w:tcPr>
            <w:tcW w:w="169" w:type="pct"/>
            <w:shd w:val="clear" w:color="auto" w:fill="auto"/>
          </w:tcPr>
          <w:p w14:paraId="4466B332"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2F564D9" w14:textId="77777777" w:rsidR="00862B0B" w:rsidRPr="00A67277" w:rsidRDefault="00862B0B" w:rsidP="00862B0B">
            <w:pPr>
              <w:pStyle w:val="Body2"/>
              <w:numPr>
                <w:ilvl w:val="0"/>
                <w:numId w:val="193"/>
              </w:numPr>
              <w:spacing w:before="60" w:after="60"/>
              <w:ind w:left="1303" w:hanging="425"/>
              <w:rPr>
                <w:rFonts w:cs="Arial"/>
              </w:rPr>
            </w:pPr>
            <w:r w:rsidRPr="00A67277">
              <w:rPr>
                <w:rFonts w:cs="Arial"/>
              </w:rPr>
              <w:t>Perjanjian Sponsor;</w:t>
            </w:r>
          </w:p>
        </w:tc>
      </w:tr>
      <w:tr w:rsidR="00862B0B" w:rsidRPr="00A67277" w14:paraId="17208607" w14:textId="77777777" w:rsidTr="00862B0B">
        <w:tc>
          <w:tcPr>
            <w:tcW w:w="2270" w:type="pct"/>
            <w:shd w:val="clear" w:color="auto" w:fill="auto"/>
          </w:tcPr>
          <w:p w14:paraId="4FC9C40B" w14:textId="0CB8D07D" w:rsidR="00862B0B" w:rsidRPr="00A67277" w:rsidRDefault="00862B0B" w:rsidP="00862B0B">
            <w:pPr>
              <w:pStyle w:val="ListParagraph"/>
              <w:numPr>
                <w:ilvl w:val="0"/>
                <w:numId w:val="230"/>
              </w:numPr>
              <w:spacing w:before="60" w:after="60" w:line="240" w:lineRule="auto"/>
              <w:ind w:left="1276" w:hanging="425"/>
              <w:rPr>
                <w:rFonts w:cs="Arial"/>
              </w:rPr>
            </w:pPr>
            <w:r>
              <w:rPr>
                <w:rFonts w:cs="Arial"/>
              </w:rPr>
              <w:t>the Law Enforcement Agreement;</w:t>
            </w:r>
          </w:p>
        </w:tc>
        <w:tc>
          <w:tcPr>
            <w:tcW w:w="169" w:type="pct"/>
            <w:shd w:val="clear" w:color="auto" w:fill="auto"/>
          </w:tcPr>
          <w:p w14:paraId="0A72B93C"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6E38E11A" w14:textId="59A27FAF" w:rsidR="00862B0B" w:rsidRPr="00A67277" w:rsidRDefault="00862B0B" w:rsidP="00862B0B">
            <w:pPr>
              <w:pStyle w:val="Body2"/>
              <w:numPr>
                <w:ilvl w:val="0"/>
                <w:numId w:val="193"/>
              </w:numPr>
              <w:spacing w:before="60" w:after="60"/>
              <w:ind w:left="1303" w:hanging="425"/>
              <w:rPr>
                <w:rFonts w:cs="Arial"/>
              </w:rPr>
            </w:pPr>
            <w:r>
              <w:rPr>
                <w:rFonts w:cs="Arial"/>
              </w:rPr>
              <w:t>Perjanjian Penegakan Hukum;</w:t>
            </w:r>
          </w:p>
        </w:tc>
      </w:tr>
      <w:tr w:rsidR="00862B0B" w:rsidRPr="00A67277" w14:paraId="1F25C760" w14:textId="77777777" w:rsidTr="00862B0B">
        <w:tc>
          <w:tcPr>
            <w:tcW w:w="2270" w:type="pct"/>
            <w:shd w:val="clear" w:color="auto" w:fill="auto"/>
          </w:tcPr>
          <w:p w14:paraId="7FD32521" w14:textId="77777777" w:rsidR="00862B0B" w:rsidRPr="00A67277" w:rsidRDefault="00862B0B" w:rsidP="00862B0B">
            <w:pPr>
              <w:pStyle w:val="ListParagraph"/>
              <w:numPr>
                <w:ilvl w:val="0"/>
                <w:numId w:val="230"/>
              </w:numPr>
              <w:spacing w:before="60" w:after="60" w:line="240" w:lineRule="auto"/>
              <w:ind w:left="1276" w:hanging="425"/>
              <w:rPr>
                <w:rFonts w:cs="Arial"/>
              </w:rPr>
            </w:pPr>
            <w:r w:rsidRPr="00A67277">
              <w:rPr>
                <w:rFonts w:cs="Arial"/>
              </w:rPr>
              <w:t>any other agreements designated as such from time to time by the Parties;</w:t>
            </w:r>
          </w:p>
        </w:tc>
        <w:tc>
          <w:tcPr>
            <w:tcW w:w="169" w:type="pct"/>
            <w:shd w:val="clear" w:color="auto" w:fill="auto"/>
          </w:tcPr>
          <w:p w14:paraId="62444E6F"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7181E471" w14:textId="77777777" w:rsidR="00862B0B" w:rsidRPr="00A67277" w:rsidRDefault="00862B0B" w:rsidP="00862B0B">
            <w:pPr>
              <w:pStyle w:val="Body2"/>
              <w:numPr>
                <w:ilvl w:val="0"/>
                <w:numId w:val="193"/>
              </w:numPr>
              <w:spacing w:before="60" w:after="60"/>
              <w:ind w:left="1303" w:hanging="425"/>
              <w:rPr>
                <w:rFonts w:cs="Arial"/>
                <w:b/>
              </w:rPr>
            </w:pPr>
            <w:r w:rsidRPr="00A67277">
              <w:rPr>
                <w:rFonts w:eastAsia="Times New Roman" w:cs="Arial"/>
              </w:rPr>
              <w:t>segala perjanjian lainnya yang ditandai sebagai Perjanjian Proyek dari waktu ke waktu oleh Para Pihak</w:t>
            </w:r>
            <w:r w:rsidRPr="00A67277">
              <w:rPr>
                <w:rFonts w:cs="Arial"/>
              </w:rPr>
              <w:t>;</w:t>
            </w:r>
          </w:p>
        </w:tc>
      </w:tr>
      <w:tr w:rsidR="00862B0B" w:rsidRPr="00A67277" w14:paraId="537EC377" w14:textId="77777777" w:rsidTr="00862B0B">
        <w:tc>
          <w:tcPr>
            <w:tcW w:w="2270" w:type="pct"/>
          </w:tcPr>
          <w:p w14:paraId="075E7F53" w14:textId="77777777" w:rsidR="00862B0B" w:rsidRPr="00A67277" w:rsidRDefault="00862B0B" w:rsidP="00862B0B">
            <w:pPr>
              <w:pStyle w:val="Body2"/>
              <w:spacing w:before="60" w:after="60"/>
              <w:ind w:left="851"/>
              <w:rPr>
                <w:rFonts w:cs="Arial"/>
              </w:rPr>
            </w:pPr>
            <w:r w:rsidRPr="00A67277">
              <w:rPr>
                <w:rFonts w:cs="Arial"/>
                <w:b/>
              </w:rPr>
              <w:t xml:space="preserve">Project Operations </w:t>
            </w:r>
            <w:r w:rsidRPr="00A67277">
              <w:rPr>
                <w:rFonts w:cs="Arial"/>
              </w:rPr>
              <w:t>means the carrying out of the Works, the performance of the Services and the performance of all other obligations of the IBE under this Agreement from time to time;</w:t>
            </w:r>
          </w:p>
        </w:tc>
        <w:tc>
          <w:tcPr>
            <w:tcW w:w="169" w:type="pct"/>
          </w:tcPr>
          <w:p w14:paraId="4F4757A3" w14:textId="77777777" w:rsidR="00862B0B" w:rsidRPr="00A67277" w:rsidRDefault="00862B0B" w:rsidP="00862B0B">
            <w:pPr>
              <w:spacing w:before="60" w:after="60"/>
              <w:rPr>
                <w:rFonts w:ascii="Arial" w:hAnsi="Arial" w:cs="Arial"/>
                <w:sz w:val="21"/>
                <w:szCs w:val="21"/>
              </w:rPr>
            </w:pPr>
          </w:p>
        </w:tc>
        <w:tc>
          <w:tcPr>
            <w:tcW w:w="2561" w:type="pct"/>
            <w:gridSpan w:val="2"/>
          </w:tcPr>
          <w:p w14:paraId="7EF9E2CD" w14:textId="77777777" w:rsidR="00862B0B" w:rsidRPr="00A67277" w:rsidRDefault="00862B0B" w:rsidP="00862B0B">
            <w:pPr>
              <w:pStyle w:val="Body2"/>
              <w:spacing w:before="60" w:after="60"/>
              <w:ind w:left="878"/>
              <w:rPr>
                <w:rFonts w:cs="Arial"/>
                <w:b/>
              </w:rPr>
            </w:pPr>
            <w:r w:rsidRPr="00A67277">
              <w:rPr>
                <w:rFonts w:cs="Arial"/>
                <w:b/>
              </w:rPr>
              <w:t xml:space="preserve">Penyelenggaraan Proyek </w:t>
            </w:r>
            <w:r w:rsidRPr="00A67277">
              <w:rPr>
                <w:rFonts w:cs="Arial"/>
              </w:rPr>
              <w:t>berarti</w:t>
            </w:r>
            <w:r w:rsidRPr="00A67277">
              <w:rPr>
                <w:rFonts w:cs="Arial"/>
                <w:b/>
              </w:rPr>
              <w:t xml:space="preserve"> </w:t>
            </w:r>
            <w:r w:rsidRPr="00A67277">
              <w:rPr>
                <w:rFonts w:cs="Arial"/>
              </w:rPr>
              <w:t>penyelenggaraan dari Pekerjaan, pelaksanaan dari Layanan dan pelaksanaan dari semua kewajiban lainnya dari BUP berdasarkan Perjanjian ini dari waktu ke waktu;</w:t>
            </w:r>
          </w:p>
        </w:tc>
      </w:tr>
      <w:tr w:rsidR="00862B0B" w:rsidRPr="00A67277" w14:paraId="74372107" w14:textId="77777777" w:rsidTr="00862B0B">
        <w:tc>
          <w:tcPr>
            <w:tcW w:w="2270" w:type="pct"/>
          </w:tcPr>
          <w:p w14:paraId="411D82C6" w14:textId="7E6F2079" w:rsidR="00862B0B" w:rsidRPr="00A67277" w:rsidRDefault="00862B0B" w:rsidP="00862B0B">
            <w:pPr>
              <w:pStyle w:val="Body2"/>
              <w:spacing w:before="60" w:after="60"/>
              <w:ind w:left="851"/>
              <w:rPr>
                <w:rFonts w:cs="Arial"/>
              </w:rPr>
            </w:pPr>
            <w:r w:rsidRPr="00A67277">
              <w:rPr>
                <w:rFonts w:cs="Arial"/>
                <w:b/>
              </w:rPr>
              <w:t>Proposal</w:t>
            </w:r>
            <w:r w:rsidRPr="00A67277">
              <w:rPr>
                <w:rFonts w:cs="Arial"/>
              </w:rPr>
              <w:t xml:space="preserve"> means all the documents, </w:t>
            </w:r>
            <w:r>
              <w:rPr>
                <w:rFonts w:cs="Arial"/>
              </w:rPr>
              <w:t>guarantees</w:t>
            </w:r>
            <w:r w:rsidRPr="00A67277">
              <w:rPr>
                <w:rFonts w:cs="Arial"/>
              </w:rPr>
              <w:t xml:space="preserve"> and any other information (including the Financial Model) submitted by the [●] consortium in response to the Request for Proposal;</w:t>
            </w:r>
          </w:p>
        </w:tc>
        <w:tc>
          <w:tcPr>
            <w:tcW w:w="169" w:type="pct"/>
          </w:tcPr>
          <w:p w14:paraId="242EB7E7" w14:textId="77777777" w:rsidR="00862B0B" w:rsidRPr="00A67277" w:rsidRDefault="00862B0B" w:rsidP="00862B0B">
            <w:pPr>
              <w:spacing w:before="60" w:after="60"/>
              <w:rPr>
                <w:rFonts w:ascii="Arial" w:hAnsi="Arial" w:cs="Arial"/>
                <w:sz w:val="21"/>
                <w:szCs w:val="21"/>
              </w:rPr>
            </w:pPr>
          </w:p>
        </w:tc>
        <w:tc>
          <w:tcPr>
            <w:tcW w:w="2561" w:type="pct"/>
            <w:gridSpan w:val="2"/>
          </w:tcPr>
          <w:p w14:paraId="2F51E7D2" w14:textId="77777777" w:rsidR="00862B0B" w:rsidRPr="00A67277" w:rsidRDefault="00862B0B" w:rsidP="00862B0B">
            <w:pPr>
              <w:pStyle w:val="Body2"/>
              <w:spacing w:before="60" w:after="60"/>
              <w:ind w:left="878"/>
              <w:rPr>
                <w:rFonts w:cs="Arial"/>
              </w:rPr>
            </w:pPr>
            <w:r w:rsidRPr="00A67277">
              <w:rPr>
                <w:rFonts w:cs="Arial"/>
                <w:b/>
              </w:rPr>
              <w:t xml:space="preserve">Dokumen Penawaran </w:t>
            </w:r>
            <w:r w:rsidRPr="00A67277">
              <w:rPr>
                <w:rFonts w:cs="Arial"/>
              </w:rPr>
              <w:t>berarti seluruh dokumen, jaminan dan informasi lain (termasuk Model Keuangan) yang diserahkan oleh konsorsium [●] sebagai tanggapan atas Dokumen Permintaan Proposal;</w:t>
            </w:r>
          </w:p>
        </w:tc>
      </w:tr>
      <w:tr w:rsidR="00862B0B" w:rsidRPr="00A67277" w14:paraId="40508329" w14:textId="77777777" w:rsidTr="00862B0B">
        <w:tc>
          <w:tcPr>
            <w:tcW w:w="2270" w:type="pct"/>
          </w:tcPr>
          <w:p w14:paraId="01FAFD29" w14:textId="77777777" w:rsidR="00862B0B" w:rsidRPr="00A67277" w:rsidRDefault="00862B0B" w:rsidP="00862B0B">
            <w:pPr>
              <w:pStyle w:val="Body2"/>
              <w:spacing w:before="60" w:after="60"/>
              <w:ind w:left="851"/>
              <w:rPr>
                <w:rFonts w:cs="Arial"/>
              </w:rPr>
            </w:pPr>
            <w:r w:rsidRPr="00A67277">
              <w:rPr>
                <w:rFonts w:cs="Arial"/>
                <w:b/>
              </w:rPr>
              <w:t xml:space="preserve">Proposal Date </w:t>
            </w:r>
            <w:r w:rsidRPr="00A67277">
              <w:rPr>
                <w:rFonts w:cs="Arial"/>
              </w:rPr>
              <w:t>means [●];</w:t>
            </w:r>
          </w:p>
        </w:tc>
        <w:tc>
          <w:tcPr>
            <w:tcW w:w="169" w:type="pct"/>
          </w:tcPr>
          <w:p w14:paraId="14CECBDD" w14:textId="77777777" w:rsidR="00862B0B" w:rsidRPr="00A67277" w:rsidRDefault="00862B0B" w:rsidP="00862B0B">
            <w:pPr>
              <w:spacing w:before="60" w:after="60"/>
              <w:rPr>
                <w:rFonts w:ascii="Arial" w:hAnsi="Arial" w:cs="Arial"/>
                <w:sz w:val="21"/>
                <w:szCs w:val="21"/>
              </w:rPr>
            </w:pPr>
          </w:p>
        </w:tc>
        <w:tc>
          <w:tcPr>
            <w:tcW w:w="2561" w:type="pct"/>
            <w:gridSpan w:val="2"/>
          </w:tcPr>
          <w:p w14:paraId="5C6F9914" w14:textId="77777777" w:rsidR="00862B0B" w:rsidRPr="00A67277" w:rsidRDefault="00862B0B" w:rsidP="00862B0B">
            <w:pPr>
              <w:pStyle w:val="Body2"/>
              <w:spacing w:before="60" w:after="60"/>
              <w:ind w:left="878"/>
              <w:rPr>
                <w:rFonts w:cs="Arial"/>
              </w:rPr>
            </w:pPr>
            <w:r w:rsidRPr="00A67277">
              <w:rPr>
                <w:rFonts w:cs="Arial"/>
                <w:b/>
              </w:rPr>
              <w:t xml:space="preserve">Tanggal Penawaran </w:t>
            </w:r>
            <w:r w:rsidRPr="00A67277">
              <w:rPr>
                <w:rFonts w:cs="Arial"/>
              </w:rPr>
              <w:t>berarti [●];</w:t>
            </w:r>
          </w:p>
        </w:tc>
      </w:tr>
      <w:tr w:rsidR="00862B0B" w:rsidRPr="00A67277" w14:paraId="1DBD363F" w14:textId="77777777" w:rsidTr="00862B0B">
        <w:tc>
          <w:tcPr>
            <w:tcW w:w="2270" w:type="pct"/>
          </w:tcPr>
          <w:p w14:paraId="6BC48F23" w14:textId="547F254B" w:rsidR="00862B0B" w:rsidRPr="00A67277" w:rsidRDefault="00862B0B" w:rsidP="00862B0B">
            <w:pPr>
              <w:pStyle w:val="Body2"/>
              <w:spacing w:before="60" w:after="60"/>
              <w:ind w:left="851"/>
              <w:rPr>
                <w:rFonts w:cs="Arial"/>
              </w:rPr>
            </w:pPr>
            <w:r w:rsidRPr="00A67277">
              <w:rPr>
                <w:rFonts w:cs="Arial"/>
                <w:b/>
              </w:rPr>
              <w:t xml:space="preserve">Proprietary Information </w:t>
            </w:r>
            <w:r w:rsidRPr="00A67277">
              <w:rPr>
                <w:rFonts w:cs="Arial"/>
              </w:rPr>
              <w:t xml:space="preserve">of a person means information rightfully in the possession of that person, including a document, idea, policy, procedure, method, process, materials or other tangible or intangible thing, </w:t>
            </w:r>
            <w:r>
              <w:rPr>
                <w:rFonts w:cs="Arial"/>
              </w:rPr>
              <w:t xml:space="preserve">in </w:t>
            </w:r>
            <w:r w:rsidRPr="00A67277">
              <w:rPr>
                <w:rFonts w:cs="Arial"/>
              </w:rPr>
              <w:t xml:space="preserve">which </w:t>
            </w:r>
            <w:r>
              <w:rPr>
                <w:rFonts w:cs="Arial"/>
              </w:rPr>
              <w:t xml:space="preserve">the </w:t>
            </w:r>
            <w:r w:rsidRPr="00A67277">
              <w:rPr>
                <w:rFonts w:cs="Arial"/>
              </w:rPr>
              <w:t xml:space="preserve">information </w:t>
            </w:r>
            <w:r>
              <w:rPr>
                <w:rFonts w:cs="Arial"/>
              </w:rPr>
              <w:t xml:space="preserve">has an </w:t>
            </w:r>
            <w:r w:rsidRPr="00A67277">
              <w:rPr>
                <w:rFonts w:cs="Arial"/>
              </w:rPr>
              <w:t>economic value from not being generally known, and not being readily ascertainable by proper means</w:t>
            </w:r>
            <w:r>
              <w:rPr>
                <w:rFonts w:cs="Arial"/>
              </w:rPr>
              <w:t xml:space="preserve">, </w:t>
            </w:r>
            <w:r w:rsidRPr="00A67277">
              <w:rPr>
                <w:rFonts w:cs="Arial"/>
              </w:rPr>
              <w:t>by other</w:t>
            </w:r>
            <w:r>
              <w:rPr>
                <w:rFonts w:cs="Arial"/>
              </w:rPr>
              <w:t>s</w:t>
            </w:r>
            <w:r w:rsidRPr="00A67277">
              <w:rPr>
                <w:rFonts w:cs="Arial"/>
              </w:rPr>
              <w:t xml:space="preserve"> who can obtain economic value from its disclosure and use, and which is the subject of reasonable efforts to maintain its secrecy;</w:t>
            </w:r>
          </w:p>
        </w:tc>
        <w:tc>
          <w:tcPr>
            <w:tcW w:w="169" w:type="pct"/>
          </w:tcPr>
          <w:p w14:paraId="6EB42A59" w14:textId="77777777" w:rsidR="00862B0B" w:rsidRPr="00A67277" w:rsidRDefault="00862B0B" w:rsidP="00862B0B">
            <w:pPr>
              <w:spacing w:before="60" w:after="60"/>
              <w:rPr>
                <w:rFonts w:ascii="Arial" w:hAnsi="Arial" w:cs="Arial"/>
                <w:sz w:val="21"/>
                <w:szCs w:val="21"/>
              </w:rPr>
            </w:pPr>
          </w:p>
        </w:tc>
        <w:tc>
          <w:tcPr>
            <w:tcW w:w="2561" w:type="pct"/>
            <w:gridSpan w:val="2"/>
          </w:tcPr>
          <w:p w14:paraId="10C98342" w14:textId="77777777" w:rsidR="00862B0B" w:rsidRPr="00A67277" w:rsidRDefault="00862B0B" w:rsidP="00862B0B">
            <w:pPr>
              <w:pStyle w:val="Body2"/>
              <w:spacing w:before="60" w:after="60"/>
              <w:ind w:left="878"/>
              <w:rPr>
                <w:rFonts w:cs="Arial"/>
              </w:rPr>
            </w:pPr>
            <w:r w:rsidRPr="00A67277">
              <w:rPr>
                <w:rFonts w:cs="Arial"/>
                <w:b/>
              </w:rPr>
              <w:t>Informasi Kemilikan (</w:t>
            </w:r>
            <w:r w:rsidRPr="00A67277">
              <w:rPr>
                <w:rFonts w:cs="Arial"/>
                <w:b/>
                <w:i/>
              </w:rPr>
              <w:t>Prioprietary Information</w:t>
            </w:r>
            <w:r w:rsidRPr="00A67277">
              <w:rPr>
                <w:rFonts w:cs="Arial"/>
                <w:b/>
              </w:rPr>
              <w:t xml:space="preserve">) </w:t>
            </w:r>
            <w:r w:rsidRPr="00A67277">
              <w:rPr>
                <w:rFonts w:cs="Arial"/>
              </w:rPr>
              <w:t>dari seseorang</w:t>
            </w:r>
            <w:r w:rsidRPr="00A67277">
              <w:rPr>
                <w:rFonts w:cs="Arial"/>
                <w:b/>
              </w:rPr>
              <w:t xml:space="preserve"> </w:t>
            </w:r>
            <w:r w:rsidRPr="00A67277">
              <w:rPr>
                <w:rFonts w:cs="Arial"/>
              </w:rPr>
              <w:t>berarti</w:t>
            </w:r>
            <w:r w:rsidRPr="00A67277">
              <w:rPr>
                <w:rFonts w:cs="Arial"/>
                <w:b/>
              </w:rPr>
              <w:t xml:space="preserve"> </w:t>
            </w:r>
            <w:r w:rsidRPr="00A67277">
              <w:rPr>
                <w:rFonts w:cs="Arial"/>
              </w:rPr>
              <w:t>informasi yang secara benar dimiliki orang tersebut, termasuk suatu dokumen, ide, kebijakan, prosedur, metode, proses, material atau barang berwujud atau tidak berwujud lainnya, yang mana informasi tersebut memperoleh nilai ekonomi karena tidak diketahui secara umum, dan tidak dapat dengan mudah didapatkan dengan cara yang layak, oleh orang lain yang dapat mendapatkan nilai ekonomi dari pengungkapan dan penggunaan hal tersebut, dan yang mana tunduk pada upaya yang wajar untuk memelihara kerahasiaannya;</w:t>
            </w:r>
          </w:p>
        </w:tc>
      </w:tr>
      <w:tr w:rsidR="00862B0B" w:rsidRPr="00A67277" w14:paraId="79608127" w14:textId="77777777" w:rsidTr="00862B0B">
        <w:tc>
          <w:tcPr>
            <w:tcW w:w="2270" w:type="pct"/>
          </w:tcPr>
          <w:p w14:paraId="717D510F" w14:textId="4402132A" w:rsidR="00862B0B" w:rsidRPr="00A67277" w:rsidRDefault="00862B0B" w:rsidP="00862B0B">
            <w:pPr>
              <w:pStyle w:val="Body2"/>
              <w:spacing w:before="60" w:after="60"/>
              <w:ind w:left="851"/>
              <w:rPr>
                <w:rFonts w:cs="Arial"/>
                <w:b/>
              </w:rPr>
            </w:pPr>
            <w:r>
              <w:rPr>
                <w:rFonts w:cs="Arial"/>
                <w:b/>
              </w:rPr>
              <w:t>Qualifying</w:t>
            </w:r>
            <w:r w:rsidRPr="00A67277">
              <w:rPr>
                <w:rFonts w:cs="Arial"/>
                <w:b/>
              </w:rPr>
              <w:t xml:space="preserve"> Change in Law</w:t>
            </w:r>
            <w:r w:rsidRPr="00A67277">
              <w:rPr>
                <w:rFonts w:cs="Arial"/>
              </w:rPr>
              <w:t xml:space="preserve"> means a Change in Law which has or will have a material adverse effect on the rights, interests or obligations of the IBE under this Agreement and/or results in any actual or prospective change in costs or revenues of the IBE and:</w:t>
            </w:r>
          </w:p>
        </w:tc>
        <w:tc>
          <w:tcPr>
            <w:tcW w:w="169" w:type="pct"/>
          </w:tcPr>
          <w:p w14:paraId="6F9BA2E9" w14:textId="77777777" w:rsidR="00862B0B" w:rsidRPr="00A67277" w:rsidRDefault="00862B0B" w:rsidP="00862B0B">
            <w:pPr>
              <w:spacing w:before="60" w:after="60"/>
              <w:rPr>
                <w:rFonts w:ascii="Arial" w:hAnsi="Arial" w:cs="Arial"/>
                <w:sz w:val="21"/>
                <w:szCs w:val="21"/>
              </w:rPr>
            </w:pPr>
          </w:p>
        </w:tc>
        <w:tc>
          <w:tcPr>
            <w:tcW w:w="2561" w:type="pct"/>
            <w:gridSpan w:val="2"/>
          </w:tcPr>
          <w:p w14:paraId="40C5A53A" w14:textId="1EA5FCD0" w:rsidR="00862B0B" w:rsidRPr="00A67277" w:rsidRDefault="00862B0B" w:rsidP="00862B0B">
            <w:pPr>
              <w:pStyle w:val="Body3"/>
              <w:spacing w:before="60" w:after="60"/>
              <w:ind w:left="878"/>
              <w:rPr>
                <w:rFonts w:cs="Arial"/>
                <w:b/>
              </w:rPr>
            </w:pPr>
            <w:r w:rsidRPr="00A67277">
              <w:rPr>
                <w:rFonts w:cs="Arial"/>
                <w:b/>
              </w:rPr>
              <w:t xml:space="preserve">Perubahan Hukum Yang </w:t>
            </w:r>
            <w:r>
              <w:rPr>
                <w:rFonts w:cs="Arial"/>
                <w:b/>
              </w:rPr>
              <w:t>Memenuhi Syarat</w:t>
            </w:r>
            <w:r w:rsidRPr="00A67277">
              <w:rPr>
                <w:rFonts w:cs="Arial"/>
                <w:b/>
              </w:rPr>
              <w:t xml:space="preserve"> </w:t>
            </w:r>
            <w:r w:rsidRPr="00A67277">
              <w:rPr>
                <w:rFonts w:cs="Arial"/>
              </w:rPr>
              <w:t>berarti suatu Perubahan Hukum yang memiliki atau akan memiliki dampak merugikan material pada hak, kepentingan atau kewajiban BUP berdasarkan Perjanjian ini dan/atau menghasilkan setiap perubahan aktual atau prospektif pada biaya atau pendapatan BUP dan:</w:t>
            </w:r>
          </w:p>
        </w:tc>
      </w:tr>
      <w:tr w:rsidR="00862B0B" w:rsidRPr="00A67277" w14:paraId="7ABE3DA0" w14:textId="77777777" w:rsidTr="00862B0B">
        <w:tc>
          <w:tcPr>
            <w:tcW w:w="2270" w:type="pct"/>
          </w:tcPr>
          <w:p w14:paraId="100F752F" w14:textId="60E08722" w:rsidR="00862B0B" w:rsidRPr="00A67277" w:rsidRDefault="00862B0B" w:rsidP="00862B0B">
            <w:pPr>
              <w:pStyle w:val="Body2"/>
              <w:numPr>
                <w:ilvl w:val="0"/>
                <w:numId w:val="751"/>
              </w:numPr>
              <w:spacing w:before="60" w:after="60"/>
              <w:ind w:left="1276"/>
              <w:rPr>
                <w:rFonts w:cs="Arial"/>
                <w:b/>
              </w:rPr>
            </w:pPr>
            <w:r w:rsidRPr="00A67277">
              <w:rPr>
                <w:rFonts w:cs="Arial"/>
              </w:rPr>
              <w:t>applies to the Project;</w:t>
            </w:r>
            <w:r>
              <w:rPr>
                <w:rFonts w:cs="Arial"/>
              </w:rPr>
              <w:t xml:space="preserve"> </w:t>
            </w:r>
          </w:p>
        </w:tc>
        <w:tc>
          <w:tcPr>
            <w:tcW w:w="169" w:type="pct"/>
          </w:tcPr>
          <w:p w14:paraId="3C0F3CC7" w14:textId="77777777" w:rsidR="00862B0B" w:rsidRPr="00A67277" w:rsidRDefault="00862B0B" w:rsidP="00862B0B">
            <w:pPr>
              <w:spacing w:before="60" w:after="60"/>
              <w:rPr>
                <w:rFonts w:ascii="Arial" w:hAnsi="Arial" w:cs="Arial"/>
                <w:sz w:val="21"/>
                <w:szCs w:val="21"/>
              </w:rPr>
            </w:pPr>
          </w:p>
        </w:tc>
        <w:tc>
          <w:tcPr>
            <w:tcW w:w="2561" w:type="pct"/>
            <w:gridSpan w:val="2"/>
          </w:tcPr>
          <w:p w14:paraId="2F9B7AAE" w14:textId="20AD1FCF" w:rsidR="00862B0B" w:rsidRPr="00A67277" w:rsidRDefault="00862B0B" w:rsidP="00862B0B">
            <w:pPr>
              <w:pStyle w:val="Body3"/>
              <w:numPr>
                <w:ilvl w:val="0"/>
                <w:numId w:val="753"/>
              </w:numPr>
              <w:spacing w:before="60" w:after="60"/>
              <w:ind w:left="1291"/>
              <w:rPr>
                <w:rFonts w:cs="Arial"/>
                <w:b/>
              </w:rPr>
            </w:pPr>
            <w:r w:rsidRPr="00A67277">
              <w:rPr>
                <w:rFonts w:cs="Arial"/>
              </w:rPr>
              <w:t>berlaku terhadap Proyek;</w:t>
            </w:r>
          </w:p>
        </w:tc>
      </w:tr>
      <w:tr w:rsidR="00862B0B" w:rsidRPr="00A67277" w14:paraId="42BB3E03" w14:textId="77777777" w:rsidTr="00862B0B">
        <w:tc>
          <w:tcPr>
            <w:tcW w:w="2270" w:type="pct"/>
          </w:tcPr>
          <w:p w14:paraId="2ED8423C" w14:textId="2CAA16BA" w:rsidR="00862B0B" w:rsidRPr="00FA4467" w:rsidRDefault="00862B0B" w:rsidP="00862B0B">
            <w:pPr>
              <w:pStyle w:val="Body2"/>
              <w:numPr>
                <w:ilvl w:val="0"/>
                <w:numId w:val="751"/>
              </w:numPr>
              <w:spacing w:before="60" w:after="60"/>
              <w:ind w:left="1276"/>
              <w:rPr>
                <w:rFonts w:cs="Arial"/>
              </w:rPr>
            </w:pPr>
            <w:r w:rsidRPr="00A67277">
              <w:rPr>
                <w:rFonts w:cs="Arial"/>
              </w:rPr>
              <w:t xml:space="preserve">applies to </w:t>
            </w:r>
            <w:r>
              <w:rPr>
                <w:rFonts w:cs="Arial"/>
              </w:rPr>
              <w:t>toll road businesses</w:t>
            </w:r>
            <w:r w:rsidRPr="00A67277">
              <w:rPr>
                <w:rFonts w:cs="Arial"/>
              </w:rPr>
              <w:t xml:space="preserve">; </w:t>
            </w:r>
          </w:p>
        </w:tc>
        <w:tc>
          <w:tcPr>
            <w:tcW w:w="169" w:type="pct"/>
          </w:tcPr>
          <w:p w14:paraId="3971D396" w14:textId="77777777" w:rsidR="00862B0B" w:rsidRPr="00A67277" w:rsidRDefault="00862B0B" w:rsidP="00862B0B">
            <w:pPr>
              <w:spacing w:before="60" w:after="60"/>
              <w:rPr>
                <w:rFonts w:ascii="Arial" w:hAnsi="Arial" w:cs="Arial"/>
                <w:sz w:val="21"/>
                <w:szCs w:val="21"/>
              </w:rPr>
            </w:pPr>
          </w:p>
        </w:tc>
        <w:tc>
          <w:tcPr>
            <w:tcW w:w="2561" w:type="pct"/>
            <w:gridSpan w:val="2"/>
          </w:tcPr>
          <w:p w14:paraId="5ECEE886" w14:textId="14369ED6" w:rsidR="00862B0B" w:rsidRPr="00FA4467" w:rsidRDefault="00862B0B" w:rsidP="00862B0B">
            <w:pPr>
              <w:pStyle w:val="Body3"/>
              <w:numPr>
                <w:ilvl w:val="0"/>
                <w:numId w:val="753"/>
              </w:numPr>
              <w:spacing w:before="60" w:after="60"/>
              <w:ind w:left="1291"/>
              <w:rPr>
                <w:rFonts w:cs="Arial"/>
              </w:rPr>
            </w:pPr>
            <w:r w:rsidRPr="00A67277">
              <w:rPr>
                <w:rFonts w:cs="Arial"/>
              </w:rPr>
              <w:t xml:space="preserve">berlaku terhadap </w:t>
            </w:r>
            <w:r>
              <w:rPr>
                <w:rFonts w:cs="Arial"/>
              </w:rPr>
              <w:t>pengusahaan jalan tol</w:t>
            </w:r>
            <w:r w:rsidRPr="00A67277">
              <w:rPr>
                <w:rFonts w:cs="Arial"/>
              </w:rPr>
              <w:t xml:space="preserve">; </w:t>
            </w:r>
          </w:p>
        </w:tc>
      </w:tr>
      <w:tr w:rsidR="00862B0B" w:rsidRPr="00A67277" w14:paraId="58D5D42E" w14:textId="77777777" w:rsidTr="00862B0B">
        <w:tc>
          <w:tcPr>
            <w:tcW w:w="2270" w:type="pct"/>
          </w:tcPr>
          <w:p w14:paraId="232D1D74" w14:textId="0E78333D" w:rsidR="00862B0B" w:rsidRPr="00FA4467" w:rsidRDefault="00862B0B" w:rsidP="00862B0B">
            <w:pPr>
              <w:pStyle w:val="Body2"/>
              <w:numPr>
                <w:ilvl w:val="0"/>
                <w:numId w:val="751"/>
              </w:numPr>
              <w:spacing w:before="60" w:after="60"/>
              <w:ind w:left="1276"/>
              <w:rPr>
                <w:rFonts w:cs="Arial"/>
              </w:rPr>
            </w:pPr>
            <w:r w:rsidRPr="00A67277">
              <w:rPr>
                <w:rFonts w:cs="Arial"/>
              </w:rPr>
              <w:t>applies to</w:t>
            </w:r>
            <w:r>
              <w:rPr>
                <w:rFonts w:cs="Arial"/>
              </w:rPr>
              <w:t xml:space="preserve"> cash-less transaction; </w:t>
            </w:r>
          </w:p>
        </w:tc>
        <w:tc>
          <w:tcPr>
            <w:tcW w:w="169" w:type="pct"/>
          </w:tcPr>
          <w:p w14:paraId="14CFA49D" w14:textId="77777777" w:rsidR="00862B0B" w:rsidRPr="00A67277" w:rsidRDefault="00862B0B" w:rsidP="00862B0B">
            <w:pPr>
              <w:spacing w:before="60" w:after="60"/>
              <w:rPr>
                <w:rFonts w:ascii="Arial" w:hAnsi="Arial" w:cs="Arial"/>
                <w:sz w:val="21"/>
                <w:szCs w:val="21"/>
              </w:rPr>
            </w:pPr>
          </w:p>
        </w:tc>
        <w:tc>
          <w:tcPr>
            <w:tcW w:w="2561" w:type="pct"/>
            <w:gridSpan w:val="2"/>
          </w:tcPr>
          <w:p w14:paraId="7CEADAB9" w14:textId="3452672E" w:rsidR="00862B0B" w:rsidRPr="00FA4467" w:rsidRDefault="00862B0B" w:rsidP="00862B0B">
            <w:pPr>
              <w:pStyle w:val="Body3"/>
              <w:numPr>
                <w:ilvl w:val="0"/>
                <w:numId w:val="753"/>
              </w:numPr>
              <w:spacing w:before="60" w:after="60"/>
              <w:ind w:left="1291"/>
              <w:rPr>
                <w:rFonts w:cs="Arial"/>
              </w:rPr>
            </w:pPr>
            <w:r>
              <w:rPr>
                <w:rFonts w:cs="Arial"/>
              </w:rPr>
              <w:t>berlaku terhadap transaksi nontunai</w:t>
            </w:r>
            <w:r w:rsidRPr="00FA4467">
              <w:rPr>
                <w:rFonts w:cs="Arial"/>
              </w:rPr>
              <w:t xml:space="preserve">; </w:t>
            </w:r>
          </w:p>
        </w:tc>
      </w:tr>
      <w:tr w:rsidR="00862B0B" w:rsidRPr="00A67277" w14:paraId="35B0089D" w14:textId="77777777" w:rsidTr="00862B0B">
        <w:tc>
          <w:tcPr>
            <w:tcW w:w="2270" w:type="pct"/>
          </w:tcPr>
          <w:p w14:paraId="0575158C" w14:textId="7B3C3CD1" w:rsidR="00862B0B" w:rsidRPr="00FA4467" w:rsidRDefault="00862B0B" w:rsidP="00862B0B">
            <w:pPr>
              <w:pStyle w:val="Body2"/>
              <w:numPr>
                <w:ilvl w:val="0"/>
                <w:numId w:val="751"/>
              </w:numPr>
              <w:spacing w:before="60" w:after="60"/>
              <w:ind w:left="1276"/>
              <w:rPr>
                <w:rFonts w:cs="Arial"/>
              </w:rPr>
            </w:pPr>
            <w:r w:rsidRPr="00A67277">
              <w:rPr>
                <w:rFonts w:cs="Arial"/>
              </w:rPr>
              <w:t>applies to</w:t>
            </w:r>
            <w:r>
              <w:rPr>
                <w:rFonts w:cs="Arial"/>
              </w:rPr>
              <w:t xml:space="preserve"> information technology and electronic transaction businesses; </w:t>
            </w:r>
          </w:p>
        </w:tc>
        <w:tc>
          <w:tcPr>
            <w:tcW w:w="169" w:type="pct"/>
          </w:tcPr>
          <w:p w14:paraId="77C84A63" w14:textId="77777777" w:rsidR="00862B0B" w:rsidRPr="00A67277" w:rsidRDefault="00862B0B" w:rsidP="00862B0B">
            <w:pPr>
              <w:spacing w:before="60" w:after="60"/>
              <w:rPr>
                <w:rFonts w:ascii="Arial" w:hAnsi="Arial" w:cs="Arial"/>
                <w:sz w:val="21"/>
                <w:szCs w:val="21"/>
              </w:rPr>
            </w:pPr>
          </w:p>
        </w:tc>
        <w:tc>
          <w:tcPr>
            <w:tcW w:w="2561" w:type="pct"/>
            <w:gridSpan w:val="2"/>
          </w:tcPr>
          <w:p w14:paraId="59DAB073" w14:textId="10D56A41" w:rsidR="00862B0B" w:rsidRPr="00FA4467" w:rsidRDefault="00862B0B" w:rsidP="00862B0B">
            <w:pPr>
              <w:pStyle w:val="Body3"/>
              <w:numPr>
                <w:ilvl w:val="0"/>
                <w:numId w:val="753"/>
              </w:numPr>
              <w:spacing w:before="60" w:after="60"/>
              <w:ind w:left="1291"/>
              <w:rPr>
                <w:rFonts w:cs="Arial"/>
              </w:rPr>
            </w:pPr>
            <w:r>
              <w:rPr>
                <w:rFonts w:cs="Arial"/>
              </w:rPr>
              <w:t xml:space="preserve">berlaku terhadap pengusahaan  teknologi informasi dan transaksi elekronik; </w:t>
            </w:r>
          </w:p>
        </w:tc>
      </w:tr>
      <w:tr w:rsidR="00862B0B" w:rsidRPr="00A67277" w14:paraId="69F42B0E" w14:textId="77777777" w:rsidTr="00862B0B">
        <w:tc>
          <w:tcPr>
            <w:tcW w:w="2270" w:type="pct"/>
          </w:tcPr>
          <w:p w14:paraId="4819FA69" w14:textId="5D270ED6" w:rsidR="00862B0B" w:rsidRPr="00FA4467" w:rsidRDefault="00862B0B" w:rsidP="00862B0B">
            <w:pPr>
              <w:pStyle w:val="Body2"/>
              <w:numPr>
                <w:ilvl w:val="0"/>
                <w:numId w:val="751"/>
              </w:numPr>
              <w:spacing w:before="60" w:after="60"/>
              <w:ind w:left="1276"/>
              <w:rPr>
                <w:rFonts w:cs="Arial"/>
              </w:rPr>
            </w:pPr>
            <w:r>
              <w:rPr>
                <w:rFonts w:cs="Arial"/>
              </w:rPr>
              <w:t>applies to personal data protection, among others, related to the use of location services; or</w:t>
            </w:r>
          </w:p>
        </w:tc>
        <w:tc>
          <w:tcPr>
            <w:tcW w:w="169" w:type="pct"/>
          </w:tcPr>
          <w:p w14:paraId="27A87A45" w14:textId="77777777" w:rsidR="00862B0B" w:rsidRPr="00A67277" w:rsidRDefault="00862B0B" w:rsidP="00862B0B">
            <w:pPr>
              <w:spacing w:before="60" w:after="60"/>
              <w:rPr>
                <w:rFonts w:ascii="Arial" w:hAnsi="Arial" w:cs="Arial"/>
                <w:sz w:val="21"/>
                <w:szCs w:val="21"/>
              </w:rPr>
            </w:pPr>
          </w:p>
        </w:tc>
        <w:tc>
          <w:tcPr>
            <w:tcW w:w="2561" w:type="pct"/>
            <w:gridSpan w:val="2"/>
          </w:tcPr>
          <w:p w14:paraId="056760AB" w14:textId="3E71113E" w:rsidR="00862B0B" w:rsidRPr="00FA4467" w:rsidRDefault="00862B0B" w:rsidP="00862B0B">
            <w:pPr>
              <w:pStyle w:val="Body3"/>
              <w:numPr>
                <w:ilvl w:val="0"/>
                <w:numId w:val="753"/>
              </w:numPr>
              <w:spacing w:before="60" w:after="60"/>
              <w:ind w:left="1291"/>
              <w:rPr>
                <w:rFonts w:cs="Arial"/>
              </w:rPr>
            </w:pPr>
            <w:r>
              <w:rPr>
                <w:rFonts w:cs="Arial"/>
              </w:rPr>
              <w:t>berlaku terhadap perlindungan data pribadi, antara lain terkait dengan penggunaan layanan lokasi; atau</w:t>
            </w:r>
          </w:p>
        </w:tc>
      </w:tr>
      <w:tr w:rsidR="00862B0B" w:rsidRPr="00A67277" w14:paraId="34A5BB5E" w14:textId="77777777" w:rsidTr="00862B0B">
        <w:tc>
          <w:tcPr>
            <w:tcW w:w="2270" w:type="pct"/>
          </w:tcPr>
          <w:p w14:paraId="3817B5C1" w14:textId="12AF47C6" w:rsidR="00862B0B" w:rsidRPr="00A67277" w:rsidRDefault="00862B0B" w:rsidP="00862B0B">
            <w:pPr>
              <w:pStyle w:val="Body2"/>
              <w:numPr>
                <w:ilvl w:val="0"/>
                <w:numId w:val="751"/>
              </w:numPr>
              <w:spacing w:before="60" w:after="60"/>
              <w:ind w:left="1276"/>
              <w:rPr>
                <w:rFonts w:cs="Arial"/>
                <w:b/>
              </w:rPr>
            </w:pPr>
            <w:r>
              <w:rPr>
                <w:rFonts w:cs="Arial"/>
              </w:rPr>
              <w:t>applies to foreign-owned company;</w:t>
            </w:r>
          </w:p>
        </w:tc>
        <w:tc>
          <w:tcPr>
            <w:tcW w:w="169" w:type="pct"/>
          </w:tcPr>
          <w:p w14:paraId="00A4914C" w14:textId="77777777" w:rsidR="00862B0B" w:rsidRPr="00A67277" w:rsidRDefault="00862B0B" w:rsidP="00862B0B">
            <w:pPr>
              <w:spacing w:before="60" w:after="60"/>
              <w:rPr>
                <w:rFonts w:ascii="Arial" w:hAnsi="Arial" w:cs="Arial"/>
                <w:sz w:val="21"/>
                <w:szCs w:val="21"/>
              </w:rPr>
            </w:pPr>
          </w:p>
        </w:tc>
        <w:tc>
          <w:tcPr>
            <w:tcW w:w="2561" w:type="pct"/>
            <w:gridSpan w:val="2"/>
          </w:tcPr>
          <w:p w14:paraId="4466BE77" w14:textId="69613F02" w:rsidR="00862B0B" w:rsidRPr="00A67277" w:rsidRDefault="00862B0B" w:rsidP="00862B0B">
            <w:pPr>
              <w:pStyle w:val="Body3"/>
              <w:numPr>
                <w:ilvl w:val="0"/>
                <w:numId w:val="753"/>
              </w:numPr>
              <w:spacing w:before="60" w:after="60"/>
              <w:ind w:left="1291"/>
              <w:rPr>
                <w:rFonts w:cs="Arial"/>
                <w:b/>
              </w:rPr>
            </w:pPr>
            <w:r>
              <w:rPr>
                <w:rFonts w:cs="Arial"/>
              </w:rPr>
              <w:t>berlaku terhadap perusahaan modal asing;</w:t>
            </w:r>
          </w:p>
        </w:tc>
      </w:tr>
      <w:tr w:rsidR="00862B0B" w:rsidRPr="00A67277" w14:paraId="094FBF67" w14:textId="77777777" w:rsidTr="00862B0B">
        <w:tc>
          <w:tcPr>
            <w:tcW w:w="2270" w:type="pct"/>
          </w:tcPr>
          <w:p w14:paraId="4E18FAD4" w14:textId="52BB25E3" w:rsidR="00862B0B" w:rsidRPr="00A67277" w:rsidRDefault="00862B0B" w:rsidP="00862B0B">
            <w:pPr>
              <w:pStyle w:val="Body2"/>
              <w:spacing w:before="60" w:after="60"/>
              <w:ind w:left="851"/>
              <w:rPr>
                <w:rFonts w:cs="Arial"/>
                <w:b/>
              </w:rPr>
            </w:pPr>
            <w:r w:rsidRPr="00A67277">
              <w:rPr>
                <w:rFonts w:cs="Arial"/>
              </w:rPr>
              <w:t>whereby for the purpose of this definition, the term “</w:t>
            </w:r>
            <w:r w:rsidRPr="00A67277">
              <w:rPr>
                <w:rFonts w:cs="Arial"/>
                <w:b/>
              </w:rPr>
              <w:t xml:space="preserve">Change In Law” </w:t>
            </w:r>
            <w:r w:rsidRPr="00A67277">
              <w:rPr>
                <w:rFonts w:cs="Arial"/>
              </w:rPr>
              <w:t>shall mean:</w:t>
            </w:r>
          </w:p>
        </w:tc>
        <w:tc>
          <w:tcPr>
            <w:tcW w:w="169" w:type="pct"/>
          </w:tcPr>
          <w:p w14:paraId="2F5B6D09" w14:textId="77777777" w:rsidR="00862B0B" w:rsidRPr="00A67277" w:rsidRDefault="00862B0B" w:rsidP="00862B0B">
            <w:pPr>
              <w:spacing w:before="60" w:after="60"/>
              <w:rPr>
                <w:rFonts w:ascii="Arial" w:hAnsi="Arial" w:cs="Arial"/>
                <w:sz w:val="21"/>
                <w:szCs w:val="21"/>
              </w:rPr>
            </w:pPr>
          </w:p>
        </w:tc>
        <w:tc>
          <w:tcPr>
            <w:tcW w:w="2561" w:type="pct"/>
            <w:gridSpan w:val="2"/>
          </w:tcPr>
          <w:p w14:paraId="6172B9D3" w14:textId="70A96076" w:rsidR="00862B0B" w:rsidRPr="00A67277" w:rsidRDefault="00862B0B" w:rsidP="00862B0B">
            <w:pPr>
              <w:pStyle w:val="Body3"/>
              <w:spacing w:before="60" w:after="60"/>
              <w:ind w:left="878"/>
              <w:rPr>
                <w:rFonts w:cs="Arial"/>
                <w:b/>
              </w:rPr>
            </w:pPr>
            <w:r w:rsidRPr="00A67277">
              <w:rPr>
                <w:rFonts w:cs="Arial"/>
              </w:rPr>
              <w:t xml:space="preserve">dimana untuk tujuan definisi ini, istilah </w:t>
            </w:r>
            <w:r w:rsidRPr="00A67277">
              <w:rPr>
                <w:rFonts w:cs="Arial"/>
                <w:b/>
              </w:rPr>
              <w:t xml:space="preserve">“Perubahan Hukum” </w:t>
            </w:r>
            <w:r w:rsidRPr="00A67277">
              <w:rPr>
                <w:rFonts w:cs="Arial"/>
              </w:rPr>
              <w:t>berarti:</w:t>
            </w:r>
          </w:p>
        </w:tc>
      </w:tr>
      <w:tr w:rsidR="00862B0B" w:rsidRPr="00A67277" w14:paraId="6DC24190" w14:textId="77777777" w:rsidTr="00862B0B">
        <w:tc>
          <w:tcPr>
            <w:tcW w:w="2270" w:type="pct"/>
          </w:tcPr>
          <w:p w14:paraId="59627910" w14:textId="2CE67765" w:rsidR="00862B0B" w:rsidRPr="00A67277" w:rsidRDefault="00862B0B" w:rsidP="00862B0B">
            <w:pPr>
              <w:pStyle w:val="Body2"/>
              <w:numPr>
                <w:ilvl w:val="0"/>
                <w:numId w:val="752"/>
              </w:numPr>
              <w:spacing w:before="60" w:after="60"/>
              <w:ind w:left="1276"/>
              <w:rPr>
                <w:rFonts w:cs="Arial"/>
                <w:b/>
              </w:rPr>
            </w:pPr>
            <w:r w:rsidRPr="00A67277">
              <w:rPr>
                <w:szCs w:val="24"/>
              </w:rPr>
              <w:t>the adoption, enactment or application of any Law which was not in existence or, if in existence, was not applicable to the IBE or the Project as at the Signing Date;</w:t>
            </w:r>
          </w:p>
        </w:tc>
        <w:tc>
          <w:tcPr>
            <w:tcW w:w="169" w:type="pct"/>
          </w:tcPr>
          <w:p w14:paraId="31CB4357" w14:textId="77777777" w:rsidR="00862B0B" w:rsidRPr="00A67277" w:rsidRDefault="00862B0B" w:rsidP="00862B0B">
            <w:pPr>
              <w:spacing w:before="60" w:after="60"/>
              <w:rPr>
                <w:rFonts w:ascii="Arial" w:hAnsi="Arial" w:cs="Arial"/>
                <w:sz w:val="21"/>
                <w:szCs w:val="21"/>
              </w:rPr>
            </w:pPr>
          </w:p>
        </w:tc>
        <w:tc>
          <w:tcPr>
            <w:tcW w:w="2561" w:type="pct"/>
            <w:gridSpan w:val="2"/>
          </w:tcPr>
          <w:p w14:paraId="5DE322FE" w14:textId="207F2028" w:rsidR="00862B0B" w:rsidRPr="00A67277" w:rsidRDefault="00862B0B" w:rsidP="00862B0B">
            <w:pPr>
              <w:pStyle w:val="Body3"/>
              <w:numPr>
                <w:ilvl w:val="0"/>
                <w:numId w:val="754"/>
              </w:numPr>
              <w:spacing w:before="60" w:after="60"/>
              <w:ind w:left="1291"/>
              <w:rPr>
                <w:rFonts w:cs="Arial"/>
                <w:b/>
              </w:rPr>
            </w:pPr>
            <w:r w:rsidRPr="00A67277">
              <w:rPr>
                <w:szCs w:val="24"/>
              </w:rPr>
              <w:t xml:space="preserve">pengadopsian, penetapan atau </w:t>
            </w:r>
            <w:r w:rsidRPr="00FA4467">
              <w:rPr>
                <w:rFonts w:cs="Arial"/>
              </w:rPr>
              <w:t>pemberlakuan</w:t>
            </w:r>
            <w:r w:rsidRPr="00A67277">
              <w:rPr>
                <w:szCs w:val="24"/>
              </w:rPr>
              <w:t xml:space="preserve"> setiap Hukum yang sebelumnya belum ada, atau jika ada, tidak berlaku untuk BUP atau Proyek pada Tanggal Penandatanganan;</w:t>
            </w:r>
          </w:p>
        </w:tc>
      </w:tr>
      <w:tr w:rsidR="00862B0B" w:rsidRPr="00A67277" w14:paraId="205A0389" w14:textId="77777777" w:rsidTr="00862B0B">
        <w:tc>
          <w:tcPr>
            <w:tcW w:w="2270" w:type="pct"/>
          </w:tcPr>
          <w:p w14:paraId="43C813EF" w14:textId="4801566D" w:rsidR="00862B0B" w:rsidRPr="00FA4467" w:rsidRDefault="00862B0B" w:rsidP="00862B0B">
            <w:pPr>
              <w:pStyle w:val="Body2"/>
              <w:numPr>
                <w:ilvl w:val="0"/>
                <w:numId w:val="752"/>
              </w:numPr>
              <w:spacing w:before="60" w:after="60"/>
              <w:ind w:left="1276"/>
              <w:rPr>
                <w:szCs w:val="24"/>
              </w:rPr>
            </w:pPr>
            <w:r w:rsidRPr="00FA4467">
              <w:rPr>
                <w:szCs w:val="24"/>
              </w:rPr>
              <w:t>any change in or repeal of any Law or the application, interpretation or implementation thereof by a Governmental Instrumentality at any time after the Signing Date (excluding any Authorisation or the application or interpretation thereof) in existence at such date which by its terms became effective and applicable to the IBE or the Project after the Signing Date; or</w:t>
            </w:r>
          </w:p>
        </w:tc>
        <w:tc>
          <w:tcPr>
            <w:tcW w:w="169" w:type="pct"/>
          </w:tcPr>
          <w:p w14:paraId="6DB19196" w14:textId="77777777" w:rsidR="00862B0B" w:rsidRPr="00A67277" w:rsidRDefault="00862B0B" w:rsidP="00862B0B">
            <w:pPr>
              <w:spacing w:before="60" w:after="60"/>
              <w:rPr>
                <w:rFonts w:ascii="Arial" w:hAnsi="Arial" w:cs="Arial"/>
                <w:sz w:val="21"/>
                <w:szCs w:val="21"/>
              </w:rPr>
            </w:pPr>
          </w:p>
        </w:tc>
        <w:tc>
          <w:tcPr>
            <w:tcW w:w="2561" w:type="pct"/>
            <w:gridSpan w:val="2"/>
          </w:tcPr>
          <w:p w14:paraId="502B188F" w14:textId="765D80C4" w:rsidR="00862B0B" w:rsidRPr="00FA4467" w:rsidRDefault="00862B0B" w:rsidP="00862B0B">
            <w:pPr>
              <w:pStyle w:val="Body3"/>
              <w:numPr>
                <w:ilvl w:val="0"/>
                <w:numId w:val="754"/>
              </w:numPr>
              <w:spacing w:before="60" w:after="60"/>
              <w:ind w:left="1291"/>
              <w:rPr>
                <w:szCs w:val="24"/>
              </w:rPr>
            </w:pPr>
            <w:r w:rsidRPr="00A67277">
              <w:rPr>
                <w:szCs w:val="24"/>
              </w:rPr>
              <w:t>segala perubahan dalam atau pencabutan dari Hukum atau penerapan, interpretasi atau pelaksanaan dari Hukum oleh Lembaga Pemerintahan dalam setiap waktu setelah Tanggal Efektif, selain Persetujuan atau penerapan atau interpretasi dari Persetujuan tersebut yang ada pada tanggal tersebut yang berdasarkan ketentuannya menjadi efektif dan berlaku untuk BU atau Proyek setelah Tanggal Penandatanganan; atau</w:t>
            </w:r>
          </w:p>
        </w:tc>
      </w:tr>
      <w:tr w:rsidR="00862B0B" w:rsidRPr="00A67277" w14:paraId="610CF531" w14:textId="77777777" w:rsidTr="00862B0B">
        <w:tc>
          <w:tcPr>
            <w:tcW w:w="2270" w:type="pct"/>
          </w:tcPr>
          <w:p w14:paraId="1C090AFA" w14:textId="7C21D1FD" w:rsidR="00862B0B" w:rsidRPr="00FA4467" w:rsidRDefault="00862B0B" w:rsidP="00862B0B">
            <w:pPr>
              <w:pStyle w:val="Body2"/>
              <w:numPr>
                <w:ilvl w:val="0"/>
                <w:numId w:val="752"/>
              </w:numPr>
              <w:spacing w:before="60" w:after="60"/>
              <w:ind w:left="1276"/>
              <w:rPr>
                <w:szCs w:val="24"/>
              </w:rPr>
            </w:pPr>
            <w:r w:rsidRPr="00FA4467">
              <w:rPr>
                <w:szCs w:val="24"/>
              </w:rPr>
              <w:t>any change of interpretation or application of any applicable Law in the Republic of Indonesia.</w:t>
            </w:r>
          </w:p>
        </w:tc>
        <w:tc>
          <w:tcPr>
            <w:tcW w:w="169" w:type="pct"/>
          </w:tcPr>
          <w:p w14:paraId="21F6CDE9" w14:textId="77777777" w:rsidR="00862B0B" w:rsidRPr="00A67277" w:rsidRDefault="00862B0B" w:rsidP="00862B0B">
            <w:pPr>
              <w:spacing w:before="60" w:after="60"/>
              <w:rPr>
                <w:rFonts w:ascii="Arial" w:hAnsi="Arial" w:cs="Arial"/>
                <w:sz w:val="21"/>
                <w:szCs w:val="21"/>
              </w:rPr>
            </w:pPr>
          </w:p>
        </w:tc>
        <w:tc>
          <w:tcPr>
            <w:tcW w:w="2561" w:type="pct"/>
            <w:gridSpan w:val="2"/>
          </w:tcPr>
          <w:p w14:paraId="14461E81" w14:textId="3881E19A" w:rsidR="00862B0B" w:rsidRPr="00FA4467" w:rsidRDefault="00862B0B" w:rsidP="00862B0B">
            <w:pPr>
              <w:pStyle w:val="Body3"/>
              <w:numPr>
                <w:ilvl w:val="0"/>
                <w:numId w:val="754"/>
              </w:numPr>
              <w:spacing w:before="60" w:after="60"/>
              <w:ind w:left="1291"/>
              <w:rPr>
                <w:szCs w:val="24"/>
              </w:rPr>
            </w:pPr>
            <w:r w:rsidRPr="00A67277">
              <w:rPr>
                <w:szCs w:val="24"/>
              </w:rPr>
              <w:t>segala perubahan interpretasi atau penerapan setiap Hukum yang berlaku di Republik Indonesia.</w:t>
            </w:r>
          </w:p>
        </w:tc>
      </w:tr>
      <w:tr w:rsidR="00862B0B" w:rsidRPr="00A67277" w14:paraId="1F5245A6" w14:textId="77777777" w:rsidTr="00862B0B">
        <w:tc>
          <w:tcPr>
            <w:tcW w:w="2270" w:type="pct"/>
          </w:tcPr>
          <w:p w14:paraId="7ED6DC5C" w14:textId="77777777" w:rsidR="00862B0B" w:rsidRPr="00A67277" w:rsidRDefault="00862B0B" w:rsidP="00862B0B">
            <w:pPr>
              <w:pStyle w:val="Body2"/>
              <w:spacing w:before="60" w:after="60"/>
              <w:ind w:left="851"/>
              <w:rPr>
                <w:rFonts w:eastAsia="Times New Roman" w:cs="Arial"/>
              </w:rPr>
            </w:pPr>
            <w:r w:rsidRPr="00A67277">
              <w:rPr>
                <w:rFonts w:cs="Arial"/>
                <w:b/>
              </w:rPr>
              <w:t>Refinancing</w:t>
            </w:r>
            <w:r w:rsidRPr="00A67277">
              <w:rPr>
                <w:rFonts w:cs="Arial"/>
              </w:rPr>
              <w:t xml:space="preserve"> means:</w:t>
            </w:r>
          </w:p>
        </w:tc>
        <w:tc>
          <w:tcPr>
            <w:tcW w:w="169" w:type="pct"/>
          </w:tcPr>
          <w:p w14:paraId="13D0AE95" w14:textId="77777777" w:rsidR="00862B0B" w:rsidRPr="00A67277" w:rsidRDefault="00862B0B" w:rsidP="00862B0B">
            <w:pPr>
              <w:spacing w:before="60" w:after="60"/>
              <w:rPr>
                <w:rFonts w:ascii="Arial" w:hAnsi="Arial" w:cs="Arial"/>
                <w:sz w:val="21"/>
                <w:szCs w:val="21"/>
              </w:rPr>
            </w:pPr>
          </w:p>
        </w:tc>
        <w:tc>
          <w:tcPr>
            <w:tcW w:w="2561" w:type="pct"/>
            <w:gridSpan w:val="2"/>
          </w:tcPr>
          <w:p w14:paraId="47C65907" w14:textId="77777777" w:rsidR="00862B0B" w:rsidRPr="00A67277" w:rsidRDefault="00862B0B" w:rsidP="00862B0B">
            <w:pPr>
              <w:pStyle w:val="Body3"/>
              <w:spacing w:before="60" w:after="60"/>
              <w:ind w:left="878"/>
              <w:rPr>
                <w:rFonts w:cs="Arial"/>
              </w:rPr>
            </w:pPr>
            <w:r w:rsidRPr="00A67277">
              <w:rPr>
                <w:rFonts w:cs="Arial"/>
                <w:b/>
              </w:rPr>
              <w:t>Pembiayaan Ulang</w:t>
            </w:r>
            <w:r w:rsidRPr="00A67277">
              <w:rPr>
                <w:rFonts w:cs="Arial"/>
              </w:rPr>
              <w:t xml:space="preserve"> berarti:</w:t>
            </w:r>
          </w:p>
        </w:tc>
      </w:tr>
      <w:tr w:rsidR="00862B0B" w:rsidRPr="00A67277" w14:paraId="21AE7943" w14:textId="77777777" w:rsidTr="00862B0B">
        <w:tc>
          <w:tcPr>
            <w:tcW w:w="2270" w:type="pct"/>
          </w:tcPr>
          <w:p w14:paraId="3246BE8F" w14:textId="77777777" w:rsidR="00862B0B" w:rsidRPr="00A67277" w:rsidRDefault="00862B0B" w:rsidP="00862B0B">
            <w:pPr>
              <w:pStyle w:val="ListParagraph"/>
              <w:numPr>
                <w:ilvl w:val="0"/>
                <w:numId w:val="231"/>
              </w:numPr>
              <w:spacing w:before="60" w:after="60" w:line="240" w:lineRule="auto"/>
              <w:ind w:left="1276" w:hanging="425"/>
              <w:rPr>
                <w:rFonts w:cs="Arial"/>
              </w:rPr>
            </w:pPr>
            <w:r w:rsidRPr="00A67277">
              <w:rPr>
                <w:rFonts w:cs="Arial"/>
              </w:rPr>
              <w:t>any amendment, modification, novation, supplement or replacement of any Financing Document;</w:t>
            </w:r>
          </w:p>
        </w:tc>
        <w:tc>
          <w:tcPr>
            <w:tcW w:w="169" w:type="pct"/>
          </w:tcPr>
          <w:p w14:paraId="5F0931D7" w14:textId="77777777" w:rsidR="00862B0B" w:rsidRPr="00A67277" w:rsidRDefault="00862B0B" w:rsidP="00862B0B">
            <w:pPr>
              <w:spacing w:before="60" w:after="60"/>
              <w:rPr>
                <w:rFonts w:ascii="Arial" w:hAnsi="Arial" w:cs="Arial"/>
                <w:sz w:val="21"/>
                <w:szCs w:val="21"/>
              </w:rPr>
            </w:pPr>
          </w:p>
        </w:tc>
        <w:tc>
          <w:tcPr>
            <w:tcW w:w="2561" w:type="pct"/>
            <w:gridSpan w:val="2"/>
          </w:tcPr>
          <w:p w14:paraId="7EC9E04A" w14:textId="77777777" w:rsidR="00862B0B" w:rsidRPr="00A67277" w:rsidRDefault="00862B0B" w:rsidP="00862B0B">
            <w:pPr>
              <w:pStyle w:val="Body2"/>
              <w:numPr>
                <w:ilvl w:val="0"/>
                <w:numId w:val="194"/>
              </w:numPr>
              <w:spacing w:before="60" w:after="60"/>
              <w:ind w:left="1303" w:hanging="425"/>
              <w:rPr>
                <w:rFonts w:cs="Arial"/>
                <w:b/>
              </w:rPr>
            </w:pPr>
            <w:r w:rsidRPr="00A67277">
              <w:rPr>
                <w:rFonts w:cs="Arial"/>
              </w:rPr>
              <w:t>segala perubahan, modifikasi, novasi, tambahan atau penggantian dari segala Dokumen Pembiayaan;</w:t>
            </w:r>
          </w:p>
        </w:tc>
      </w:tr>
      <w:tr w:rsidR="00862B0B" w:rsidRPr="00A67277" w14:paraId="0FA5C75D" w14:textId="77777777" w:rsidTr="00862B0B">
        <w:tc>
          <w:tcPr>
            <w:tcW w:w="2270" w:type="pct"/>
          </w:tcPr>
          <w:p w14:paraId="3D6EB4EA" w14:textId="77777777" w:rsidR="00862B0B" w:rsidRPr="00A67277" w:rsidRDefault="00862B0B" w:rsidP="00862B0B">
            <w:pPr>
              <w:pStyle w:val="ListParagraph"/>
              <w:numPr>
                <w:ilvl w:val="0"/>
                <w:numId w:val="231"/>
              </w:numPr>
              <w:spacing w:before="60" w:after="60" w:line="240" w:lineRule="auto"/>
              <w:ind w:left="1276" w:hanging="425"/>
              <w:rPr>
                <w:rFonts w:cs="Arial"/>
              </w:rPr>
            </w:pPr>
            <w:r w:rsidRPr="00A67277">
              <w:rPr>
                <w:rFonts w:cs="Arial"/>
              </w:rPr>
              <w:t>the exercise of any right, or the grant of any waiver or consent, under any Financing Document, other than in respect of day-to-day administrative matters;</w:t>
            </w:r>
          </w:p>
        </w:tc>
        <w:tc>
          <w:tcPr>
            <w:tcW w:w="169" w:type="pct"/>
          </w:tcPr>
          <w:p w14:paraId="5B1F49FA" w14:textId="77777777" w:rsidR="00862B0B" w:rsidRPr="00A67277" w:rsidRDefault="00862B0B" w:rsidP="00862B0B">
            <w:pPr>
              <w:spacing w:before="60" w:after="60"/>
              <w:rPr>
                <w:rFonts w:ascii="Arial" w:hAnsi="Arial" w:cs="Arial"/>
                <w:sz w:val="21"/>
                <w:szCs w:val="21"/>
              </w:rPr>
            </w:pPr>
          </w:p>
        </w:tc>
        <w:tc>
          <w:tcPr>
            <w:tcW w:w="2561" w:type="pct"/>
            <w:gridSpan w:val="2"/>
          </w:tcPr>
          <w:p w14:paraId="5A65D4E9" w14:textId="77777777" w:rsidR="00862B0B" w:rsidRPr="00A67277" w:rsidRDefault="00862B0B" w:rsidP="00862B0B">
            <w:pPr>
              <w:pStyle w:val="Body2"/>
              <w:numPr>
                <w:ilvl w:val="0"/>
                <w:numId w:val="194"/>
              </w:numPr>
              <w:spacing w:before="60" w:after="60"/>
              <w:ind w:left="1303" w:hanging="425"/>
              <w:rPr>
                <w:rFonts w:cs="Arial"/>
              </w:rPr>
            </w:pPr>
            <w:r w:rsidRPr="00A67277">
              <w:rPr>
                <w:rFonts w:cs="Arial"/>
              </w:rPr>
              <w:t xml:space="preserve">pelaksanaan dari segala hak apapun, atau pemberian pengesampingan atau persetujuan, berdasarkan segala </w:t>
            </w:r>
            <w:bookmarkStart w:id="45" w:name="_cp_text_1_621"/>
            <w:r w:rsidRPr="00A67277">
              <w:rPr>
                <w:rFonts w:cs="Arial"/>
              </w:rPr>
              <w:t xml:space="preserve">Dokumen Pembiayaan, selain yang sehubungan dengan hal administratif </w:t>
            </w:r>
            <w:bookmarkEnd w:id="45"/>
            <w:r w:rsidRPr="00A67277">
              <w:rPr>
                <w:rFonts w:cs="Arial"/>
              </w:rPr>
              <w:t>hari ke hari;</w:t>
            </w:r>
          </w:p>
        </w:tc>
      </w:tr>
      <w:tr w:rsidR="00862B0B" w:rsidRPr="00A67277" w14:paraId="246A4166" w14:textId="77777777" w:rsidTr="00862B0B">
        <w:tc>
          <w:tcPr>
            <w:tcW w:w="2270" w:type="pct"/>
          </w:tcPr>
          <w:p w14:paraId="65DDF0A8" w14:textId="77777777" w:rsidR="00862B0B" w:rsidRPr="00A67277" w:rsidRDefault="00862B0B" w:rsidP="00862B0B">
            <w:pPr>
              <w:pStyle w:val="ListParagraph"/>
              <w:numPr>
                <w:ilvl w:val="0"/>
                <w:numId w:val="231"/>
              </w:numPr>
              <w:spacing w:before="60" w:after="60" w:line="240" w:lineRule="auto"/>
              <w:ind w:left="1276" w:hanging="425"/>
              <w:rPr>
                <w:rFonts w:cs="Arial"/>
              </w:rPr>
            </w:pPr>
            <w:r w:rsidRPr="00A67277">
              <w:rPr>
                <w:rFonts w:cs="Arial"/>
              </w:rPr>
              <w:t>the disposition of any rights or interests in, or the creation of any rights of participation in respect of, the Financing Document or the creation or granting of any other form of benefit or interest in either the Financing Documents or the contracts, revenue and assets of the IBE whether by way of security or otherwise; or</w:t>
            </w:r>
          </w:p>
        </w:tc>
        <w:tc>
          <w:tcPr>
            <w:tcW w:w="169" w:type="pct"/>
          </w:tcPr>
          <w:p w14:paraId="0E664DE0" w14:textId="77777777" w:rsidR="00862B0B" w:rsidRPr="00A67277" w:rsidRDefault="00862B0B" w:rsidP="00862B0B">
            <w:pPr>
              <w:spacing w:before="60" w:after="60"/>
              <w:rPr>
                <w:rFonts w:ascii="Arial" w:hAnsi="Arial" w:cs="Arial"/>
                <w:sz w:val="21"/>
                <w:szCs w:val="21"/>
              </w:rPr>
            </w:pPr>
          </w:p>
        </w:tc>
        <w:tc>
          <w:tcPr>
            <w:tcW w:w="2561" w:type="pct"/>
            <w:gridSpan w:val="2"/>
          </w:tcPr>
          <w:p w14:paraId="05C652FC" w14:textId="77777777" w:rsidR="00862B0B" w:rsidRPr="00A67277" w:rsidRDefault="00862B0B" w:rsidP="00862B0B">
            <w:pPr>
              <w:pStyle w:val="Body2"/>
              <w:numPr>
                <w:ilvl w:val="0"/>
                <w:numId w:val="194"/>
              </w:numPr>
              <w:spacing w:before="60" w:after="60"/>
              <w:ind w:left="1303" w:hanging="425"/>
              <w:rPr>
                <w:rFonts w:cs="Arial"/>
              </w:rPr>
            </w:pPr>
            <w:r w:rsidRPr="00A67277">
              <w:rPr>
                <w:rFonts w:cs="Arial"/>
              </w:rPr>
              <w:t>pelepasan dari segala hak atau kepentingan dalam, atau terciptanya setiap hak untuk partisipasi dalam Dokumen Pembiayaan atau membuat atau menyetujui atas segala bentuk keuntungan atau kepentingan lainnya yang ada dalam Dokumen Pembiayaan atau kontrak-kontrak, pendapatan dan aset-aset BUP baik dalam bentuk jaminan atau sebaliknya; atau</w:t>
            </w:r>
          </w:p>
        </w:tc>
      </w:tr>
      <w:tr w:rsidR="00862B0B" w:rsidRPr="00A67277" w14:paraId="70210370" w14:textId="77777777" w:rsidTr="00862B0B">
        <w:tc>
          <w:tcPr>
            <w:tcW w:w="2270" w:type="pct"/>
          </w:tcPr>
          <w:p w14:paraId="1B5BB435" w14:textId="77777777" w:rsidR="00862B0B" w:rsidRPr="00A67277" w:rsidRDefault="00862B0B" w:rsidP="00862B0B">
            <w:pPr>
              <w:pStyle w:val="ListParagraph"/>
              <w:numPr>
                <w:ilvl w:val="0"/>
                <w:numId w:val="231"/>
              </w:numPr>
              <w:spacing w:before="60" w:after="60" w:line="240" w:lineRule="auto"/>
              <w:ind w:left="1276" w:hanging="425"/>
              <w:rPr>
                <w:rFonts w:cs="Arial"/>
              </w:rPr>
            </w:pPr>
            <w:r w:rsidRPr="00A67277">
              <w:rPr>
                <w:rFonts w:cs="Arial"/>
              </w:rPr>
              <w:t>any other arrangement put in place by the IBE or another person which has an effect which is similar to any of paragraphs (a) to (c) above or which has the effect of limiting the IBE’s ability to carry out any of paragraphs (a) to (c) above,</w:t>
            </w:r>
          </w:p>
        </w:tc>
        <w:tc>
          <w:tcPr>
            <w:tcW w:w="169" w:type="pct"/>
          </w:tcPr>
          <w:p w14:paraId="281D1A0A" w14:textId="77777777" w:rsidR="00862B0B" w:rsidRPr="00A67277" w:rsidRDefault="00862B0B" w:rsidP="00862B0B">
            <w:pPr>
              <w:spacing w:before="60" w:after="60"/>
              <w:rPr>
                <w:rFonts w:ascii="Arial" w:hAnsi="Arial" w:cs="Arial"/>
                <w:sz w:val="21"/>
                <w:szCs w:val="21"/>
              </w:rPr>
            </w:pPr>
          </w:p>
        </w:tc>
        <w:tc>
          <w:tcPr>
            <w:tcW w:w="2561" w:type="pct"/>
            <w:gridSpan w:val="2"/>
          </w:tcPr>
          <w:p w14:paraId="7F7CC1BA" w14:textId="77777777" w:rsidR="00862B0B" w:rsidRPr="00A67277" w:rsidRDefault="00862B0B" w:rsidP="00862B0B">
            <w:pPr>
              <w:pStyle w:val="Body2"/>
              <w:numPr>
                <w:ilvl w:val="0"/>
                <w:numId w:val="194"/>
              </w:numPr>
              <w:spacing w:before="60" w:after="60"/>
              <w:ind w:left="1303" w:hanging="425"/>
              <w:rPr>
                <w:rFonts w:cs="Arial"/>
              </w:rPr>
            </w:pPr>
            <w:r w:rsidRPr="00A67277">
              <w:rPr>
                <w:rFonts w:cs="Arial"/>
              </w:rPr>
              <w:t>setiap kesepakatan lainnya yang disetujui oleh BUP atau orang lain yang memiliki dampak serupa dengan paragraf (a) hingga (c) di atas atau yang memiliki dampak terbatasnya kemampuan BUP untuk melaksanakan paragraf (a) hingga (c) di atas,</w:t>
            </w:r>
          </w:p>
        </w:tc>
      </w:tr>
      <w:tr w:rsidR="00862B0B" w:rsidRPr="00A67277" w14:paraId="38E7A014" w14:textId="77777777" w:rsidTr="00862B0B">
        <w:tc>
          <w:tcPr>
            <w:tcW w:w="2270" w:type="pct"/>
          </w:tcPr>
          <w:p w14:paraId="3D8DDE18" w14:textId="77777777" w:rsidR="00862B0B" w:rsidRPr="00A67277" w:rsidRDefault="00862B0B" w:rsidP="00862B0B">
            <w:pPr>
              <w:pStyle w:val="Body2"/>
              <w:spacing w:before="60" w:after="60"/>
              <w:ind w:left="851"/>
              <w:rPr>
                <w:rFonts w:cs="Arial"/>
              </w:rPr>
            </w:pPr>
            <w:r w:rsidRPr="00A67277">
              <w:rPr>
                <w:rFonts w:cs="Arial"/>
              </w:rPr>
              <w:t>provided that the transfer or assignment of participation in Senior Debt by any Financing Party to any other financing institutions shall not be construed as Refinancing;</w:t>
            </w:r>
          </w:p>
        </w:tc>
        <w:tc>
          <w:tcPr>
            <w:tcW w:w="169" w:type="pct"/>
          </w:tcPr>
          <w:p w14:paraId="068E02AF" w14:textId="77777777" w:rsidR="00862B0B" w:rsidRPr="00A67277" w:rsidRDefault="00862B0B" w:rsidP="00862B0B">
            <w:pPr>
              <w:spacing w:before="60" w:after="60"/>
              <w:rPr>
                <w:rFonts w:ascii="Arial" w:hAnsi="Arial" w:cs="Arial"/>
                <w:sz w:val="21"/>
                <w:szCs w:val="21"/>
              </w:rPr>
            </w:pPr>
          </w:p>
        </w:tc>
        <w:tc>
          <w:tcPr>
            <w:tcW w:w="2561" w:type="pct"/>
            <w:gridSpan w:val="2"/>
          </w:tcPr>
          <w:p w14:paraId="11099D63" w14:textId="77777777" w:rsidR="00862B0B" w:rsidRPr="00A67277" w:rsidRDefault="00862B0B" w:rsidP="00862B0B">
            <w:pPr>
              <w:pStyle w:val="Body2"/>
              <w:spacing w:before="60" w:after="60"/>
              <w:ind w:left="878"/>
              <w:rPr>
                <w:rFonts w:cs="Arial"/>
              </w:rPr>
            </w:pPr>
            <w:r w:rsidRPr="00A67277">
              <w:rPr>
                <w:rFonts w:cs="Arial"/>
              </w:rPr>
              <w:t>dengan ketentuan bahwa penyerahan atau pengalihan partisipasi dalam Hutang Senior oleh setiap Pihak Pembiaya kepada lembaga pembiayaan lainnya tidak akan dianggap sebagai Pembiayaan Ulang;</w:t>
            </w:r>
          </w:p>
        </w:tc>
      </w:tr>
      <w:tr w:rsidR="00862B0B" w:rsidRPr="00A67277" w14:paraId="1647711D" w14:textId="77777777" w:rsidTr="00862B0B">
        <w:tc>
          <w:tcPr>
            <w:tcW w:w="2270" w:type="pct"/>
          </w:tcPr>
          <w:p w14:paraId="28F4F330" w14:textId="77777777" w:rsidR="00862B0B" w:rsidRPr="00A67277" w:rsidRDefault="00862B0B" w:rsidP="00862B0B">
            <w:pPr>
              <w:pStyle w:val="Body2"/>
              <w:spacing w:before="60" w:after="60"/>
              <w:ind w:left="851"/>
              <w:rPr>
                <w:rFonts w:cs="Arial"/>
              </w:rPr>
            </w:pPr>
            <w:r w:rsidRPr="00A67277">
              <w:rPr>
                <w:rFonts w:cs="Arial"/>
                <w:b/>
              </w:rPr>
              <w:t>Refinancing Gain</w:t>
            </w:r>
            <w:r w:rsidRPr="00A67277">
              <w:rPr>
                <w:rFonts w:cs="Arial"/>
              </w:rPr>
              <w:t xml:space="preserve"> means the difference (greater than zero) between the net present value (calculated using the Base Case Equity IRR) of:</w:t>
            </w:r>
          </w:p>
        </w:tc>
        <w:tc>
          <w:tcPr>
            <w:tcW w:w="169" w:type="pct"/>
          </w:tcPr>
          <w:p w14:paraId="58223CB2" w14:textId="77777777" w:rsidR="00862B0B" w:rsidRPr="00A67277" w:rsidRDefault="00862B0B" w:rsidP="00862B0B">
            <w:pPr>
              <w:spacing w:before="60" w:after="60"/>
              <w:rPr>
                <w:rFonts w:ascii="Arial" w:hAnsi="Arial" w:cs="Arial"/>
                <w:sz w:val="21"/>
                <w:szCs w:val="21"/>
              </w:rPr>
            </w:pPr>
          </w:p>
        </w:tc>
        <w:tc>
          <w:tcPr>
            <w:tcW w:w="2561" w:type="pct"/>
            <w:gridSpan w:val="2"/>
          </w:tcPr>
          <w:p w14:paraId="347F64B6" w14:textId="77777777" w:rsidR="00862B0B" w:rsidRPr="00A67277" w:rsidRDefault="00862B0B" w:rsidP="00862B0B">
            <w:pPr>
              <w:pStyle w:val="Body2"/>
              <w:spacing w:before="60" w:after="60"/>
              <w:ind w:left="878"/>
              <w:rPr>
                <w:rFonts w:cs="Arial"/>
              </w:rPr>
            </w:pPr>
            <w:r w:rsidRPr="00A67277">
              <w:rPr>
                <w:rFonts w:cs="Arial"/>
                <w:b/>
              </w:rPr>
              <w:t>Keuntungan Pembiayaan Ulang</w:t>
            </w:r>
            <w:r w:rsidRPr="00A67277">
              <w:rPr>
                <w:rFonts w:cs="Arial"/>
              </w:rPr>
              <w:t xml:space="preserve"> </w:t>
            </w:r>
            <w:bookmarkStart w:id="46" w:name="RID_45055644"/>
            <w:bookmarkEnd w:id="46"/>
            <w:r w:rsidRPr="00A67277">
              <w:rPr>
                <w:rFonts w:cs="Arial"/>
              </w:rPr>
              <w:t>berarti perbedaan (lebih besar dari nol) antara nilai bersih saat ini/</w:t>
            </w:r>
            <w:r w:rsidRPr="00A67277">
              <w:rPr>
                <w:rFonts w:cs="Arial"/>
                <w:i/>
              </w:rPr>
              <w:t>net present value</w:t>
            </w:r>
            <w:r w:rsidRPr="00A67277">
              <w:rPr>
                <w:rFonts w:cs="Arial"/>
              </w:rPr>
              <w:t xml:space="preserve"> (dihitung dengan menggunakan Posisi Dasar Ekuitas IRR) dari:</w:t>
            </w:r>
          </w:p>
        </w:tc>
      </w:tr>
      <w:tr w:rsidR="00862B0B" w:rsidRPr="00A67277" w14:paraId="059194B4" w14:textId="77777777" w:rsidTr="00862B0B">
        <w:tc>
          <w:tcPr>
            <w:tcW w:w="2270" w:type="pct"/>
          </w:tcPr>
          <w:p w14:paraId="4DCB1497" w14:textId="77777777" w:rsidR="00862B0B" w:rsidRPr="00A67277" w:rsidRDefault="00862B0B" w:rsidP="00862B0B">
            <w:pPr>
              <w:pStyle w:val="ListParagraph"/>
              <w:numPr>
                <w:ilvl w:val="0"/>
                <w:numId w:val="232"/>
              </w:numPr>
              <w:spacing w:before="60" w:after="60" w:line="240" w:lineRule="auto"/>
              <w:ind w:left="1276" w:hanging="425"/>
              <w:rPr>
                <w:rFonts w:cs="Arial"/>
              </w:rPr>
            </w:pPr>
            <w:r w:rsidRPr="00A67277">
              <w:rPr>
                <w:rFonts w:cs="Arial"/>
              </w:rPr>
              <w:t>the Distributions projected at the proposed Refinancing date (taking into account the proposed Refinancing and any related changes to rates or terms) using the updated Financial Model taking into account the Refinancing; and</w:t>
            </w:r>
          </w:p>
        </w:tc>
        <w:tc>
          <w:tcPr>
            <w:tcW w:w="169" w:type="pct"/>
          </w:tcPr>
          <w:p w14:paraId="02E1C165" w14:textId="77777777" w:rsidR="00862B0B" w:rsidRPr="00A67277" w:rsidRDefault="00862B0B" w:rsidP="00862B0B">
            <w:pPr>
              <w:spacing w:before="60" w:after="60"/>
              <w:rPr>
                <w:rFonts w:ascii="Arial" w:hAnsi="Arial" w:cs="Arial"/>
                <w:sz w:val="21"/>
                <w:szCs w:val="21"/>
              </w:rPr>
            </w:pPr>
          </w:p>
        </w:tc>
        <w:tc>
          <w:tcPr>
            <w:tcW w:w="2561" w:type="pct"/>
            <w:gridSpan w:val="2"/>
          </w:tcPr>
          <w:p w14:paraId="29C4FFAF" w14:textId="77777777" w:rsidR="00862B0B" w:rsidRPr="00A67277" w:rsidRDefault="00862B0B" w:rsidP="00862B0B">
            <w:pPr>
              <w:pStyle w:val="Body2"/>
              <w:numPr>
                <w:ilvl w:val="0"/>
                <w:numId w:val="195"/>
              </w:numPr>
              <w:spacing w:before="60" w:after="60"/>
              <w:ind w:left="1303" w:hanging="425"/>
              <w:rPr>
                <w:rFonts w:cs="Arial"/>
                <w:b/>
              </w:rPr>
            </w:pPr>
            <w:r w:rsidRPr="00A67277">
              <w:rPr>
                <w:rFonts w:cs="Arial"/>
              </w:rPr>
              <w:t>Distribusi Keuntungan yang diproyeksikan pada tanggal Pembiayaan Ulang yang diusulkan (dengan memperhitungkan Pembiayaan Ulang yang diusulkan dan seluruh perubahan sehubungan dengan tarif atau ketentuan) dengan menggunakan Model Keuangan yang telah memperhitungkan Pembiayaan Ulang; dan</w:t>
            </w:r>
          </w:p>
        </w:tc>
      </w:tr>
      <w:tr w:rsidR="00862B0B" w:rsidRPr="00A67277" w14:paraId="0CB87B71" w14:textId="77777777" w:rsidTr="00862B0B">
        <w:tc>
          <w:tcPr>
            <w:tcW w:w="2270" w:type="pct"/>
          </w:tcPr>
          <w:p w14:paraId="3D026361" w14:textId="77777777" w:rsidR="00862B0B" w:rsidRPr="00A67277" w:rsidRDefault="00862B0B" w:rsidP="00862B0B">
            <w:pPr>
              <w:pStyle w:val="ListParagraph"/>
              <w:numPr>
                <w:ilvl w:val="0"/>
                <w:numId w:val="232"/>
              </w:numPr>
              <w:spacing w:before="60" w:after="60" w:line="240" w:lineRule="auto"/>
              <w:ind w:left="1276" w:hanging="425"/>
              <w:rPr>
                <w:rFonts w:cs="Arial"/>
              </w:rPr>
            </w:pPr>
            <w:r w:rsidRPr="00A67277">
              <w:rPr>
                <w:rFonts w:cs="Arial"/>
              </w:rPr>
              <w:t>the Distributions projected at the proposed Refinancing date (without taking into account the proposed Refinancing) using the then applicable Financial Model;</w:t>
            </w:r>
          </w:p>
        </w:tc>
        <w:tc>
          <w:tcPr>
            <w:tcW w:w="169" w:type="pct"/>
          </w:tcPr>
          <w:p w14:paraId="1FAB5D9A" w14:textId="77777777" w:rsidR="00862B0B" w:rsidRPr="00A67277" w:rsidRDefault="00862B0B" w:rsidP="00862B0B">
            <w:pPr>
              <w:spacing w:before="60" w:after="60"/>
              <w:rPr>
                <w:rFonts w:ascii="Arial" w:hAnsi="Arial" w:cs="Arial"/>
                <w:sz w:val="21"/>
                <w:szCs w:val="21"/>
              </w:rPr>
            </w:pPr>
          </w:p>
        </w:tc>
        <w:tc>
          <w:tcPr>
            <w:tcW w:w="2561" w:type="pct"/>
            <w:gridSpan w:val="2"/>
          </w:tcPr>
          <w:p w14:paraId="0C329CDD" w14:textId="77777777" w:rsidR="00862B0B" w:rsidRPr="00A67277" w:rsidRDefault="00862B0B" w:rsidP="00862B0B">
            <w:pPr>
              <w:pStyle w:val="Body2"/>
              <w:numPr>
                <w:ilvl w:val="0"/>
                <w:numId w:val="195"/>
              </w:numPr>
              <w:spacing w:before="60" w:after="60"/>
              <w:ind w:left="1303" w:hanging="425"/>
              <w:rPr>
                <w:rFonts w:cs="Arial"/>
              </w:rPr>
            </w:pPr>
            <w:r w:rsidRPr="00A67277">
              <w:rPr>
                <w:rFonts w:cs="Arial"/>
              </w:rPr>
              <w:t>Distribusi Keuntungan yang diproyeksikan pada tanggal Pembiayaan Ulang yang diusulkan (tanpa memperhitungkan Pembiayaan Ulang yang diusulkan) dengan menggunakan Model Keuangan yang dapat diterapkan;</w:t>
            </w:r>
          </w:p>
        </w:tc>
      </w:tr>
      <w:tr w:rsidR="00862B0B" w:rsidRPr="00A67277" w14:paraId="51F25B75" w14:textId="77777777" w:rsidTr="00862B0B">
        <w:tc>
          <w:tcPr>
            <w:tcW w:w="2270" w:type="pct"/>
          </w:tcPr>
          <w:p w14:paraId="1C645786" w14:textId="77777777" w:rsidR="00862B0B" w:rsidRPr="00A67277" w:rsidRDefault="00862B0B" w:rsidP="00862B0B">
            <w:pPr>
              <w:pStyle w:val="Body2"/>
              <w:spacing w:before="60" w:after="60"/>
              <w:ind w:left="851"/>
              <w:rPr>
                <w:rFonts w:cs="Arial"/>
              </w:rPr>
            </w:pPr>
            <w:r w:rsidRPr="00A67277">
              <w:rPr>
                <w:rFonts w:cs="Arial"/>
                <w:b/>
              </w:rPr>
              <w:t>Request for Proposal</w:t>
            </w:r>
            <w:r w:rsidRPr="00A67277">
              <w:rPr>
                <w:rFonts w:cs="Arial"/>
              </w:rPr>
              <w:t xml:space="preserve"> </w:t>
            </w:r>
            <w:r w:rsidRPr="00A67277">
              <w:rPr>
                <w:szCs w:val="24"/>
              </w:rPr>
              <w:t xml:space="preserve"> means the request for proposal No [●] dated [●] in respect of the procurement of the business entity for the Project issued by GCA in accordance with Head of National Public Procurement Agency Regulation Number 19 of 2015 on Procedures of Procurement of Public Private Partnership in Providing Infrastructure;</w:t>
            </w:r>
          </w:p>
        </w:tc>
        <w:tc>
          <w:tcPr>
            <w:tcW w:w="169" w:type="pct"/>
          </w:tcPr>
          <w:p w14:paraId="507E6F5E" w14:textId="77777777" w:rsidR="00862B0B" w:rsidRPr="00A67277" w:rsidRDefault="00862B0B" w:rsidP="00862B0B">
            <w:pPr>
              <w:spacing w:before="60" w:after="60"/>
              <w:rPr>
                <w:rFonts w:ascii="Arial" w:hAnsi="Arial" w:cs="Arial"/>
                <w:sz w:val="21"/>
                <w:szCs w:val="21"/>
              </w:rPr>
            </w:pPr>
          </w:p>
        </w:tc>
        <w:tc>
          <w:tcPr>
            <w:tcW w:w="2561" w:type="pct"/>
            <w:gridSpan w:val="2"/>
          </w:tcPr>
          <w:p w14:paraId="1D835220" w14:textId="77777777" w:rsidR="00862B0B" w:rsidRPr="00A67277" w:rsidRDefault="00862B0B" w:rsidP="00862B0B">
            <w:pPr>
              <w:pStyle w:val="Body2"/>
              <w:spacing w:before="60" w:after="60"/>
              <w:ind w:left="878"/>
              <w:rPr>
                <w:rFonts w:cs="Arial"/>
              </w:rPr>
            </w:pPr>
            <w:r w:rsidRPr="00A67277">
              <w:rPr>
                <w:rFonts w:cs="Arial"/>
                <w:b/>
              </w:rPr>
              <w:t xml:space="preserve">Dokumen Permintaan Proposal </w:t>
            </w:r>
            <w:r w:rsidRPr="00A67277">
              <w:rPr>
                <w:rFonts w:cs="Arial"/>
              </w:rPr>
              <w:t>berarti dokumen permintaan proposal No [</w:t>
            </w:r>
            <w:r w:rsidRPr="00A67277">
              <w:rPr>
                <w:rFonts w:cs="Arial"/>
              </w:rPr>
              <w:sym w:font="Symbol" w:char="F0B7"/>
            </w:r>
            <w:r w:rsidRPr="00A67277">
              <w:rPr>
                <w:rFonts w:cs="Arial"/>
              </w:rPr>
              <w:t>] tertanggal [</w:t>
            </w:r>
            <w:r w:rsidRPr="00A67277">
              <w:rPr>
                <w:rFonts w:cs="Arial"/>
              </w:rPr>
              <w:sym w:font="Symbol" w:char="F0B7"/>
            </w:r>
            <w:r w:rsidRPr="00A67277">
              <w:rPr>
                <w:rFonts w:cs="Arial"/>
              </w:rPr>
              <w:t>] sehubungan dengan pengadaan badan usaha untuk Proyek yang diterbitkan oleh PJPK sesuai dengan Peraturan Kepala Lembaga Kebijakan Pengadaan Barang/Jasa Pemerintah Nomor 19 Tahun 2015 tentang Tata Cara Pelaksanaan Pengadaan Badan Usaha Kerjasama Pemerintah dengan Badan Usaha Dalam Penyediaan Infrastruktur;</w:t>
            </w:r>
          </w:p>
        </w:tc>
      </w:tr>
      <w:tr w:rsidR="00862B0B" w:rsidRPr="00A67277" w14:paraId="7AB99053" w14:textId="77777777" w:rsidTr="00862B0B">
        <w:tc>
          <w:tcPr>
            <w:tcW w:w="2270" w:type="pct"/>
          </w:tcPr>
          <w:p w14:paraId="59AB7C6E" w14:textId="767C86B7" w:rsidR="00862B0B" w:rsidRPr="00A67277" w:rsidRDefault="00862B0B" w:rsidP="00862B0B">
            <w:pPr>
              <w:pStyle w:val="Body2"/>
              <w:spacing w:before="60" w:after="60"/>
              <w:ind w:left="851"/>
              <w:rPr>
                <w:rFonts w:cs="Arial"/>
              </w:rPr>
            </w:pPr>
            <w:r w:rsidRPr="00A67277">
              <w:rPr>
                <w:rFonts w:cs="Arial"/>
                <w:b/>
              </w:rPr>
              <w:t>Required Insurances</w:t>
            </w:r>
            <w:r w:rsidRPr="00A67277">
              <w:rPr>
                <w:rFonts w:cs="Arial"/>
              </w:rPr>
              <w:t xml:space="preserve"> means the required insurance policies set forth in Appendix 15 (</w:t>
            </w:r>
            <w:r w:rsidRPr="00A67277">
              <w:rPr>
                <w:rFonts w:cs="Arial"/>
                <w:i/>
              </w:rPr>
              <w:t>Required Insurances</w:t>
            </w:r>
            <w:r w:rsidRPr="00A67277">
              <w:rPr>
                <w:rFonts w:cs="Arial"/>
              </w:rPr>
              <w:t>);</w:t>
            </w:r>
          </w:p>
        </w:tc>
        <w:tc>
          <w:tcPr>
            <w:tcW w:w="169" w:type="pct"/>
          </w:tcPr>
          <w:p w14:paraId="22D17B81" w14:textId="77777777" w:rsidR="00862B0B" w:rsidRPr="00A67277" w:rsidRDefault="00862B0B" w:rsidP="00862B0B">
            <w:pPr>
              <w:spacing w:before="60" w:after="60"/>
              <w:rPr>
                <w:rFonts w:ascii="Arial" w:hAnsi="Arial" w:cs="Arial"/>
                <w:sz w:val="21"/>
                <w:szCs w:val="21"/>
              </w:rPr>
            </w:pPr>
          </w:p>
        </w:tc>
        <w:tc>
          <w:tcPr>
            <w:tcW w:w="2561" w:type="pct"/>
            <w:gridSpan w:val="2"/>
          </w:tcPr>
          <w:p w14:paraId="597BBAC9" w14:textId="224912D1" w:rsidR="00862B0B" w:rsidRPr="00A67277" w:rsidRDefault="00862B0B" w:rsidP="00862B0B">
            <w:pPr>
              <w:pStyle w:val="Body2"/>
              <w:spacing w:before="60" w:after="60"/>
              <w:ind w:left="878"/>
              <w:rPr>
                <w:rFonts w:cs="Arial"/>
              </w:rPr>
            </w:pPr>
            <w:bookmarkStart w:id="47" w:name="_Hlk500974814"/>
            <w:r w:rsidRPr="00A67277">
              <w:rPr>
                <w:rFonts w:cs="Arial"/>
                <w:b/>
              </w:rPr>
              <w:t>Asuransi Yang Disyaratkan</w:t>
            </w:r>
            <w:r w:rsidRPr="00A67277">
              <w:rPr>
                <w:rFonts w:cs="Arial"/>
              </w:rPr>
              <w:t xml:space="preserve"> berarti polis asuransi yang disyaratkan sebagaimana diatur dalam Lampiran 15 (</w:t>
            </w:r>
            <w:r w:rsidRPr="00A67277">
              <w:rPr>
                <w:rFonts w:cs="Arial"/>
                <w:i/>
              </w:rPr>
              <w:t>Asuransi Yang Disyaratkan</w:t>
            </w:r>
            <w:r w:rsidRPr="00A67277">
              <w:rPr>
                <w:rFonts w:cs="Arial"/>
              </w:rPr>
              <w:t>);</w:t>
            </w:r>
            <w:bookmarkEnd w:id="47"/>
          </w:p>
        </w:tc>
      </w:tr>
      <w:tr w:rsidR="00862B0B" w:rsidRPr="00A67277" w14:paraId="34510423" w14:textId="77777777" w:rsidTr="00862B0B">
        <w:tc>
          <w:tcPr>
            <w:tcW w:w="2270" w:type="pct"/>
          </w:tcPr>
          <w:p w14:paraId="3BE2C227" w14:textId="2644F3B6" w:rsidR="00862B0B" w:rsidRPr="00A67277" w:rsidRDefault="00862B0B" w:rsidP="00862B0B">
            <w:pPr>
              <w:pStyle w:val="Body2"/>
              <w:spacing w:before="60" w:after="60"/>
              <w:ind w:left="851"/>
              <w:rPr>
                <w:b/>
                <w:szCs w:val="24"/>
              </w:rPr>
            </w:pPr>
          </w:p>
        </w:tc>
        <w:tc>
          <w:tcPr>
            <w:tcW w:w="169" w:type="pct"/>
          </w:tcPr>
          <w:p w14:paraId="053F31B5" w14:textId="77777777" w:rsidR="00862B0B" w:rsidRPr="00A67277" w:rsidRDefault="00862B0B" w:rsidP="00862B0B">
            <w:pPr>
              <w:spacing w:before="60" w:after="60"/>
              <w:rPr>
                <w:rFonts w:ascii="Arial" w:hAnsi="Arial" w:cs="Arial"/>
                <w:sz w:val="21"/>
                <w:szCs w:val="21"/>
              </w:rPr>
            </w:pPr>
          </w:p>
        </w:tc>
        <w:tc>
          <w:tcPr>
            <w:tcW w:w="2561" w:type="pct"/>
            <w:gridSpan w:val="2"/>
          </w:tcPr>
          <w:p w14:paraId="64629091" w14:textId="2D2EE448" w:rsidR="00862B0B" w:rsidRPr="00A67277" w:rsidRDefault="00862B0B" w:rsidP="00862B0B">
            <w:pPr>
              <w:pStyle w:val="Body2"/>
              <w:spacing w:before="60" w:after="60"/>
              <w:ind w:left="878"/>
              <w:rPr>
                <w:rFonts w:cs="Arial"/>
                <w:b/>
              </w:rPr>
            </w:pPr>
          </w:p>
        </w:tc>
      </w:tr>
      <w:tr w:rsidR="00862B0B" w:rsidRPr="00A67277" w14:paraId="01F30055" w14:textId="77777777" w:rsidTr="00862B0B">
        <w:tc>
          <w:tcPr>
            <w:tcW w:w="2270" w:type="pct"/>
          </w:tcPr>
          <w:p w14:paraId="2318770D" w14:textId="77777777" w:rsidR="00862B0B" w:rsidRPr="00A67277" w:rsidRDefault="00862B0B" w:rsidP="00862B0B">
            <w:pPr>
              <w:pStyle w:val="Body2"/>
              <w:spacing w:before="60" w:after="60"/>
              <w:ind w:left="851"/>
              <w:rPr>
                <w:rFonts w:cs="Arial"/>
              </w:rPr>
            </w:pPr>
            <w:r w:rsidRPr="00A67277">
              <w:rPr>
                <w:b/>
                <w:szCs w:val="24"/>
              </w:rPr>
              <w:t>Scheduled Effective Date</w:t>
            </w:r>
            <w:r w:rsidRPr="00A67277">
              <w:rPr>
                <w:szCs w:val="24"/>
              </w:rPr>
              <w:t xml:space="preserve"> </w:t>
            </w:r>
            <w:r w:rsidRPr="00A67277">
              <w:rPr>
                <w:rFonts w:cs="Arial"/>
              </w:rPr>
              <w:t>means the date stipulated in the Implementation Schedule, as may be revised from time to time in accordance with this Agreement;</w:t>
            </w:r>
          </w:p>
        </w:tc>
        <w:tc>
          <w:tcPr>
            <w:tcW w:w="169" w:type="pct"/>
          </w:tcPr>
          <w:p w14:paraId="7C9BFA5F" w14:textId="77777777" w:rsidR="00862B0B" w:rsidRPr="00A67277" w:rsidRDefault="00862B0B" w:rsidP="00862B0B">
            <w:pPr>
              <w:spacing w:before="60" w:after="60"/>
              <w:rPr>
                <w:rFonts w:ascii="Arial" w:hAnsi="Arial" w:cs="Arial"/>
                <w:sz w:val="21"/>
                <w:szCs w:val="21"/>
              </w:rPr>
            </w:pPr>
          </w:p>
        </w:tc>
        <w:tc>
          <w:tcPr>
            <w:tcW w:w="2561" w:type="pct"/>
            <w:gridSpan w:val="2"/>
          </w:tcPr>
          <w:p w14:paraId="06E107C0" w14:textId="77777777" w:rsidR="00862B0B" w:rsidRPr="00A67277" w:rsidRDefault="00862B0B" w:rsidP="00862B0B">
            <w:pPr>
              <w:pStyle w:val="Body2"/>
              <w:spacing w:before="60" w:after="60"/>
              <w:ind w:left="878"/>
              <w:rPr>
                <w:rFonts w:cs="Arial"/>
              </w:rPr>
            </w:pPr>
            <w:r w:rsidRPr="00A67277">
              <w:rPr>
                <w:rFonts w:cs="Arial"/>
                <w:b/>
              </w:rPr>
              <w:t>Tanggal Efektif Yang Dijadwalkan</w:t>
            </w:r>
            <w:r w:rsidRPr="00A67277">
              <w:rPr>
                <w:rFonts w:cs="Arial"/>
              </w:rPr>
              <w:t xml:space="preserve"> berarti tanggal yang ditentukan dalam Jadwal Pelaksanaan, sebagaimana yang dapat diubah dari waktu ke waktu sesuai dengan Perjanjian ini;</w:t>
            </w:r>
          </w:p>
        </w:tc>
      </w:tr>
      <w:tr w:rsidR="00862B0B" w:rsidRPr="00A67277" w14:paraId="3D74D129" w14:textId="77777777" w:rsidTr="00862B0B">
        <w:tc>
          <w:tcPr>
            <w:tcW w:w="2270" w:type="pct"/>
          </w:tcPr>
          <w:p w14:paraId="62607D77" w14:textId="77777777" w:rsidR="00862B0B" w:rsidRPr="00A67277" w:rsidRDefault="00862B0B" w:rsidP="00862B0B">
            <w:pPr>
              <w:pStyle w:val="Body2"/>
              <w:spacing w:before="60" w:after="60"/>
              <w:ind w:left="851"/>
              <w:rPr>
                <w:rFonts w:cs="Arial"/>
              </w:rPr>
            </w:pPr>
            <w:r w:rsidRPr="00A67277">
              <w:rPr>
                <w:rFonts w:cs="Arial"/>
                <w:b/>
              </w:rPr>
              <w:t>Scheduled Commercial Operation Date</w:t>
            </w:r>
            <w:r w:rsidRPr="00A67277">
              <w:rPr>
                <w:rFonts w:cs="Arial"/>
              </w:rPr>
              <w:t xml:space="preserve"> means the date stipulated in the Implementation Schedule, as may be revised from time to time in accordance with this Agreement;</w:t>
            </w:r>
          </w:p>
        </w:tc>
        <w:tc>
          <w:tcPr>
            <w:tcW w:w="169" w:type="pct"/>
          </w:tcPr>
          <w:p w14:paraId="2ABA2E1A" w14:textId="77777777" w:rsidR="00862B0B" w:rsidRPr="00A67277" w:rsidRDefault="00862B0B" w:rsidP="00862B0B">
            <w:pPr>
              <w:spacing w:before="60" w:after="60"/>
              <w:rPr>
                <w:rFonts w:ascii="Arial" w:hAnsi="Arial" w:cs="Arial"/>
                <w:sz w:val="21"/>
                <w:szCs w:val="21"/>
              </w:rPr>
            </w:pPr>
          </w:p>
        </w:tc>
        <w:tc>
          <w:tcPr>
            <w:tcW w:w="2561" w:type="pct"/>
            <w:gridSpan w:val="2"/>
          </w:tcPr>
          <w:p w14:paraId="43876D31" w14:textId="77777777" w:rsidR="00862B0B" w:rsidRPr="00A67277" w:rsidRDefault="00862B0B" w:rsidP="00862B0B">
            <w:pPr>
              <w:pStyle w:val="Body2"/>
              <w:spacing w:before="60" w:after="60"/>
              <w:ind w:left="878"/>
              <w:rPr>
                <w:rFonts w:cs="Arial"/>
              </w:rPr>
            </w:pPr>
            <w:r w:rsidRPr="00A67277">
              <w:rPr>
                <w:rFonts w:cs="Arial"/>
                <w:b/>
              </w:rPr>
              <w:t>Tanggal Operasi Komersial Yang Dijadwalkan</w:t>
            </w:r>
            <w:r w:rsidRPr="00A67277">
              <w:rPr>
                <w:rFonts w:cs="Arial"/>
              </w:rPr>
              <w:t xml:space="preserve"> berarti tanggal yang ditentukan dalam Jadwal Pelaksanaan, sebagaimana yang dapat diubah dari waktu ke waktu sesuai dengan Perjanjian ini;</w:t>
            </w:r>
          </w:p>
        </w:tc>
      </w:tr>
      <w:tr w:rsidR="00862B0B" w:rsidRPr="00A67277" w14:paraId="115EEBB2" w14:textId="77777777" w:rsidTr="00862B0B">
        <w:tc>
          <w:tcPr>
            <w:tcW w:w="2270" w:type="pct"/>
          </w:tcPr>
          <w:p w14:paraId="4588DC00" w14:textId="77777777" w:rsidR="00862B0B" w:rsidRPr="00A67277" w:rsidRDefault="00862B0B" w:rsidP="00862B0B">
            <w:pPr>
              <w:pStyle w:val="Body2"/>
              <w:spacing w:before="60" w:after="60"/>
              <w:ind w:left="851"/>
              <w:rPr>
                <w:rFonts w:cs="Arial"/>
              </w:rPr>
            </w:pPr>
            <w:r w:rsidRPr="00A67277">
              <w:rPr>
                <w:rFonts w:cs="Arial"/>
                <w:b/>
              </w:rPr>
              <w:t>Service</w:t>
            </w:r>
            <w:r w:rsidRPr="00A67277">
              <w:rPr>
                <w:rFonts w:cs="Arial"/>
              </w:rPr>
              <w:t xml:space="preserve"> means the operation and maintenance of the Facility for delivering the following services in accordance with the Key Performance Indicators;</w:t>
            </w:r>
          </w:p>
        </w:tc>
        <w:tc>
          <w:tcPr>
            <w:tcW w:w="169" w:type="pct"/>
          </w:tcPr>
          <w:p w14:paraId="2E6CB821" w14:textId="77777777" w:rsidR="00862B0B" w:rsidRPr="00A67277" w:rsidRDefault="00862B0B" w:rsidP="00862B0B">
            <w:pPr>
              <w:spacing w:before="60" w:after="60"/>
              <w:rPr>
                <w:rFonts w:ascii="Arial" w:hAnsi="Arial" w:cs="Arial"/>
                <w:sz w:val="21"/>
                <w:szCs w:val="21"/>
              </w:rPr>
            </w:pPr>
          </w:p>
        </w:tc>
        <w:tc>
          <w:tcPr>
            <w:tcW w:w="2561" w:type="pct"/>
            <w:gridSpan w:val="2"/>
          </w:tcPr>
          <w:p w14:paraId="1BE09272" w14:textId="77777777" w:rsidR="00862B0B" w:rsidRPr="00A67277" w:rsidRDefault="00862B0B" w:rsidP="00862B0B">
            <w:pPr>
              <w:pStyle w:val="Body2"/>
              <w:spacing w:before="60" w:after="60"/>
              <w:ind w:left="878"/>
              <w:rPr>
                <w:rFonts w:cs="Arial"/>
              </w:rPr>
            </w:pPr>
            <w:r w:rsidRPr="00A67277">
              <w:rPr>
                <w:rFonts w:cs="Arial"/>
                <w:b/>
              </w:rPr>
              <w:t>Layanan</w:t>
            </w:r>
            <w:r w:rsidRPr="00A67277">
              <w:rPr>
                <w:rFonts w:cs="Arial"/>
              </w:rPr>
              <w:t xml:space="preserve"> berarti operasi dan pemeliharaan dari Fasilitas untuk memberikan layanan sebagai berikut sesuai dengan Indikator Kinerja Utama;</w:t>
            </w:r>
          </w:p>
        </w:tc>
      </w:tr>
      <w:tr w:rsidR="00862B0B" w:rsidRPr="00A67277" w14:paraId="360EB971" w14:textId="77777777" w:rsidTr="00862B0B">
        <w:tc>
          <w:tcPr>
            <w:tcW w:w="2270" w:type="pct"/>
          </w:tcPr>
          <w:p w14:paraId="0184BBB2" w14:textId="77777777" w:rsidR="00862B0B" w:rsidRPr="00A67277" w:rsidRDefault="00862B0B" w:rsidP="00862B0B">
            <w:pPr>
              <w:pStyle w:val="Body2"/>
              <w:numPr>
                <w:ilvl w:val="0"/>
                <w:numId w:val="552"/>
              </w:numPr>
              <w:spacing w:before="60" w:after="60"/>
              <w:ind w:left="1276"/>
              <w:rPr>
                <w:rFonts w:cs="Arial"/>
              </w:rPr>
            </w:pPr>
            <w:r w:rsidRPr="00A67277">
              <w:rPr>
                <w:rFonts w:cs="Arial"/>
                <w:lang w:val="en-US"/>
              </w:rPr>
              <w:t>toll collection and payment services;</w:t>
            </w:r>
          </w:p>
        </w:tc>
        <w:tc>
          <w:tcPr>
            <w:tcW w:w="169" w:type="pct"/>
          </w:tcPr>
          <w:p w14:paraId="5C215FB3" w14:textId="77777777" w:rsidR="00862B0B" w:rsidRPr="00A67277" w:rsidRDefault="00862B0B" w:rsidP="00862B0B">
            <w:pPr>
              <w:spacing w:before="60" w:after="60"/>
              <w:rPr>
                <w:rFonts w:ascii="Arial" w:hAnsi="Arial" w:cs="Arial"/>
                <w:sz w:val="21"/>
                <w:szCs w:val="21"/>
              </w:rPr>
            </w:pPr>
          </w:p>
        </w:tc>
        <w:tc>
          <w:tcPr>
            <w:tcW w:w="2561" w:type="pct"/>
            <w:gridSpan w:val="2"/>
          </w:tcPr>
          <w:p w14:paraId="07612D2D" w14:textId="77777777" w:rsidR="00862B0B" w:rsidRPr="00A67277" w:rsidRDefault="00862B0B" w:rsidP="00862B0B">
            <w:pPr>
              <w:pStyle w:val="Body2"/>
              <w:numPr>
                <w:ilvl w:val="0"/>
                <w:numId w:val="553"/>
              </w:numPr>
              <w:spacing w:before="60" w:after="60"/>
              <w:ind w:left="1308"/>
              <w:rPr>
                <w:rFonts w:cs="Arial"/>
              </w:rPr>
            </w:pPr>
            <w:r w:rsidRPr="00A67277">
              <w:rPr>
                <w:rFonts w:cs="Arial"/>
                <w:lang w:val="en-US"/>
              </w:rPr>
              <w:t>Pengumpulan tol dan layanan pembayaran</w:t>
            </w:r>
          </w:p>
        </w:tc>
      </w:tr>
      <w:tr w:rsidR="00862B0B" w:rsidRPr="00A67277" w14:paraId="40227C39" w14:textId="77777777" w:rsidTr="00862B0B">
        <w:tc>
          <w:tcPr>
            <w:tcW w:w="2270" w:type="pct"/>
          </w:tcPr>
          <w:p w14:paraId="6DECF053" w14:textId="77777777" w:rsidR="00862B0B" w:rsidRPr="00A67277" w:rsidRDefault="00862B0B" w:rsidP="00862B0B">
            <w:pPr>
              <w:pStyle w:val="Body2"/>
              <w:numPr>
                <w:ilvl w:val="0"/>
                <w:numId w:val="552"/>
              </w:numPr>
              <w:spacing w:before="60" w:after="60"/>
              <w:ind w:left="1276"/>
              <w:rPr>
                <w:rFonts w:cs="Arial"/>
              </w:rPr>
            </w:pPr>
            <w:r w:rsidRPr="00A67277">
              <w:rPr>
                <w:rFonts w:cs="Arial"/>
                <w:lang w:val="en-US"/>
              </w:rPr>
              <w:t>clearing and settlement with GCA and Toll Road Operators;</w:t>
            </w:r>
          </w:p>
        </w:tc>
        <w:tc>
          <w:tcPr>
            <w:tcW w:w="169" w:type="pct"/>
          </w:tcPr>
          <w:p w14:paraId="35CC9CE9" w14:textId="77777777" w:rsidR="00862B0B" w:rsidRPr="00A67277" w:rsidRDefault="00862B0B" w:rsidP="00862B0B">
            <w:pPr>
              <w:spacing w:before="60" w:after="60"/>
              <w:rPr>
                <w:rFonts w:ascii="Arial" w:hAnsi="Arial" w:cs="Arial"/>
                <w:sz w:val="21"/>
                <w:szCs w:val="21"/>
              </w:rPr>
            </w:pPr>
          </w:p>
        </w:tc>
        <w:tc>
          <w:tcPr>
            <w:tcW w:w="2561" w:type="pct"/>
            <w:gridSpan w:val="2"/>
          </w:tcPr>
          <w:p w14:paraId="05AC5AC2" w14:textId="77777777" w:rsidR="00862B0B" w:rsidRPr="00A67277" w:rsidRDefault="00862B0B" w:rsidP="00862B0B">
            <w:pPr>
              <w:pStyle w:val="Body2"/>
              <w:numPr>
                <w:ilvl w:val="0"/>
                <w:numId w:val="553"/>
              </w:numPr>
              <w:spacing w:before="60" w:after="60"/>
              <w:ind w:left="1308"/>
              <w:rPr>
                <w:rFonts w:cs="Arial"/>
              </w:rPr>
            </w:pPr>
            <w:r w:rsidRPr="00A67277">
              <w:rPr>
                <w:rFonts w:cs="Arial"/>
                <w:lang w:val="en-US"/>
              </w:rPr>
              <w:t>Kliring dan penyelesaian dengan PJPK dan BUJT;</w:t>
            </w:r>
          </w:p>
        </w:tc>
      </w:tr>
      <w:tr w:rsidR="00862B0B" w:rsidRPr="00A67277" w14:paraId="2D0B5D03" w14:textId="77777777" w:rsidTr="00862B0B">
        <w:tc>
          <w:tcPr>
            <w:tcW w:w="2270" w:type="pct"/>
          </w:tcPr>
          <w:p w14:paraId="060475F2" w14:textId="77777777" w:rsidR="00862B0B" w:rsidRPr="00A67277" w:rsidRDefault="00862B0B" w:rsidP="00862B0B">
            <w:pPr>
              <w:pStyle w:val="Body2"/>
              <w:numPr>
                <w:ilvl w:val="0"/>
                <w:numId w:val="552"/>
              </w:numPr>
              <w:spacing w:before="60" w:after="60"/>
              <w:ind w:left="1276"/>
              <w:rPr>
                <w:rFonts w:cs="Arial"/>
              </w:rPr>
            </w:pPr>
            <w:r w:rsidRPr="00A67277">
              <w:rPr>
                <w:rFonts w:cs="Arial"/>
                <w:lang w:val="en-US"/>
              </w:rPr>
              <w:t>data collection on the tolled road network of the actual road usage;</w:t>
            </w:r>
          </w:p>
        </w:tc>
        <w:tc>
          <w:tcPr>
            <w:tcW w:w="169" w:type="pct"/>
          </w:tcPr>
          <w:p w14:paraId="742D7338" w14:textId="77777777" w:rsidR="00862B0B" w:rsidRPr="00A67277" w:rsidRDefault="00862B0B" w:rsidP="00862B0B">
            <w:pPr>
              <w:spacing w:before="60" w:after="60"/>
              <w:rPr>
                <w:rFonts w:ascii="Arial" w:hAnsi="Arial" w:cs="Arial"/>
                <w:sz w:val="21"/>
                <w:szCs w:val="21"/>
              </w:rPr>
            </w:pPr>
          </w:p>
        </w:tc>
        <w:tc>
          <w:tcPr>
            <w:tcW w:w="2561" w:type="pct"/>
            <w:gridSpan w:val="2"/>
          </w:tcPr>
          <w:p w14:paraId="0EAA0EED" w14:textId="77777777" w:rsidR="00862B0B" w:rsidRPr="00A67277" w:rsidRDefault="00862B0B" w:rsidP="00862B0B">
            <w:pPr>
              <w:pStyle w:val="Body2"/>
              <w:numPr>
                <w:ilvl w:val="0"/>
                <w:numId w:val="553"/>
              </w:numPr>
              <w:spacing w:before="60" w:after="60"/>
              <w:ind w:left="1308"/>
              <w:rPr>
                <w:rFonts w:cs="Arial"/>
              </w:rPr>
            </w:pPr>
            <w:r w:rsidRPr="00A67277">
              <w:rPr>
                <w:rFonts w:cs="Arial"/>
                <w:lang w:val="en-US"/>
              </w:rPr>
              <w:t>pengumpulan data mengenai penggunaan aktual pada jaringan jalan tol</w:t>
            </w:r>
          </w:p>
        </w:tc>
      </w:tr>
      <w:tr w:rsidR="00862B0B" w:rsidRPr="00A67277" w14:paraId="0C1216BA" w14:textId="77777777" w:rsidTr="00862B0B">
        <w:tc>
          <w:tcPr>
            <w:tcW w:w="2270" w:type="pct"/>
          </w:tcPr>
          <w:p w14:paraId="27FBF76F" w14:textId="77777777" w:rsidR="00862B0B" w:rsidRPr="00A67277" w:rsidRDefault="00862B0B" w:rsidP="00862B0B">
            <w:pPr>
              <w:pStyle w:val="Body2"/>
              <w:numPr>
                <w:ilvl w:val="0"/>
                <w:numId w:val="552"/>
              </w:numPr>
              <w:spacing w:before="60" w:after="60"/>
              <w:ind w:left="1276"/>
              <w:rPr>
                <w:rFonts w:cs="Arial"/>
              </w:rPr>
            </w:pPr>
            <w:r w:rsidRPr="00A67277">
              <w:rPr>
                <w:rFonts w:cs="Arial"/>
                <w:lang w:val="en-US"/>
              </w:rPr>
              <w:t>providing enforcement and enforcement support services</w:t>
            </w:r>
          </w:p>
        </w:tc>
        <w:tc>
          <w:tcPr>
            <w:tcW w:w="169" w:type="pct"/>
          </w:tcPr>
          <w:p w14:paraId="085031C6" w14:textId="77777777" w:rsidR="00862B0B" w:rsidRPr="00A67277" w:rsidRDefault="00862B0B" w:rsidP="00862B0B">
            <w:pPr>
              <w:spacing w:before="60" w:after="60"/>
              <w:rPr>
                <w:rFonts w:ascii="Arial" w:hAnsi="Arial" w:cs="Arial"/>
                <w:sz w:val="21"/>
                <w:szCs w:val="21"/>
              </w:rPr>
            </w:pPr>
          </w:p>
        </w:tc>
        <w:tc>
          <w:tcPr>
            <w:tcW w:w="2561" w:type="pct"/>
            <w:gridSpan w:val="2"/>
          </w:tcPr>
          <w:p w14:paraId="0792213F" w14:textId="77777777" w:rsidR="00862B0B" w:rsidRPr="00A67277" w:rsidRDefault="00862B0B" w:rsidP="00862B0B">
            <w:pPr>
              <w:pStyle w:val="Body2"/>
              <w:numPr>
                <w:ilvl w:val="0"/>
                <w:numId w:val="553"/>
              </w:numPr>
              <w:spacing w:before="60" w:after="60"/>
              <w:ind w:left="1308"/>
              <w:rPr>
                <w:rFonts w:cs="Arial"/>
              </w:rPr>
            </w:pPr>
            <w:r w:rsidRPr="00A67277">
              <w:rPr>
                <w:rFonts w:cs="Arial"/>
                <w:lang w:val="en-US"/>
              </w:rPr>
              <w:t>menyediakan layanan penegakan hukum dan pendukung penegakan hukum; dan</w:t>
            </w:r>
          </w:p>
        </w:tc>
      </w:tr>
      <w:tr w:rsidR="00862B0B" w:rsidRPr="00A67277" w14:paraId="2B76803A" w14:textId="77777777" w:rsidTr="00862B0B">
        <w:tc>
          <w:tcPr>
            <w:tcW w:w="2270" w:type="pct"/>
          </w:tcPr>
          <w:p w14:paraId="2CFE90D3" w14:textId="77777777" w:rsidR="00862B0B" w:rsidRPr="00A67277" w:rsidRDefault="00862B0B" w:rsidP="00862B0B">
            <w:pPr>
              <w:pStyle w:val="Body2"/>
              <w:numPr>
                <w:ilvl w:val="0"/>
                <w:numId w:val="552"/>
              </w:numPr>
              <w:spacing w:before="60" w:after="60"/>
              <w:ind w:left="1276"/>
              <w:rPr>
                <w:rFonts w:cs="Arial"/>
              </w:rPr>
            </w:pPr>
            <w:r w:rsidRPr="00A67277">
              <w:rPr>
                <w:rFonts w:cs="Arial"/>
                <w:lang w:val="en-US"/>
              </w:rPr>
              <w:t>reporting and traffic data management</w:t>
            </w:r>
          </w:p>
        </w:tc>
        <w:tc>
          <w:tcPr>
            <w:tcW w:w="169" w:type="pct"/>
          </w:tcPr>
          <w:p w14:paraId="3D06AB6B" w14:textId="77777777" w:rsidR="00862B0B" w:rsidRPr="00A67277" w:rsidRDefault="00862B0B" w:rsidP="00862B0B">
            <w:pPr>
              <w:spacing w:before="60" w:after="60"/>
              <w:rPr>
                <w:rFonts w:ascii="Arial" w:hAnsi="Arial" w:cs="Arial"/>
                <w:sz w:val="21"/>
                <w:szCs w:val="21"/>
              </w:rPr>
            </w:pPr>
          </w:p>
        </w:tc>
        <w:tc>
          <w:tcPr>
            <w:tcW w:w="2561" w:type="pct"/>
            <w:gridSpan w:val="2"/>
          </w:tcPr>
          <w:p w14:paraId="43EB0DA0" w14:textId="77777777" w:rsidR="00862B0B" w:rsidRPr="00A67277" w:rsidRDefault="00862B0B" w:rsidP="00862B0B">
            <w:pPr>
              <w:pStyle w:val="Body2"/>
              <w:numPr>
                <w:ilvl w:val="0"/>
                <w:numId w:val="553"/>
              </w:numPr>
              <w:spacing w:before="60" w:after="60"/>
              <w:ind w:left="1308"/>
              <w:rPr>
                <w:rFonts w:cs="Arial"/>
              </w:rPr>
            </w:pPr>
            <w:r w:rsidRPr="00A67277">
              <w:rPr>
                <w:rFonts w:cs="Arial"/>
                <w:lang w:val="en-US"/>
              </w:rPr>
              <w:t>pelaporan dan pengelolaan data lalu lintas.</w:t>
            </w:r>
          </w:p>
        </w:tc>
      </w:tr>
      <w:tr w:rsidR="00862B0B" w:rsidRPr="00A67277" w14:paraId="2A68A07E" w14:textId="77777777" w:rsidTr="00862B0B">
        <w:tc>
          <w:tcPr>
            <w:tcW w:w="2270" w:type="pct"/>
          </w:tcPr>
          <w:p w14:paraId="7C220762" w14:textId="7AF86975" w:rsidR="00862B0B" w:rsidRPr="00A67277" w:rsidRDefault="00862B0B" w:rsidP="00862B0B">
            <w:pPr>
              <w:pStyle w:val="Body2"/>
              <w:spacing w:before="60" w:after="60"/>
              <w:ind w:left="851"/>
              <w:rPr>
                <w:rFonts w:cs="Arial"/>
                <w:lang w:val="en-US"/>
              </w:rPr>
            </w:pPr>
            <w:r w:rsidRPr="00A67277">
              <w:rPr>
                <w:rFonts w:cs="Arial"/>
                <w:lang w:val="en-US"/>
              </w:rPr>
              <w:t xml:space="preserve">as further set out in </w:t>
            </w:r>
            <w:r w:rsidRPr="00A67277">
              <w:rPr>
                <w:rFonts w:cs="Arial"/>
              </w:rPr>
              <w:t xml:space="preserve"> Appendix 5 (Design and Technical Specifications);</w:t>
            </w:r>
          </w:p>
        </w:tc>
        <w:tc>
          <w:tcPr>
            <w:tcW w:w="169" w:type="pct"/>
          </w:tcPr>
          <w:p w14:paraId="40824465" w14:textId="77777777" w:rsidR="00862B0B" w:rsidRPr="00A67277" w:rsidRDefault="00862B0B" w:rsidP="00862B0B">
            <w:pPr>
              <w:spacing w:before="60" w:after="60" w:line="259" w:lineRule="auto"/>
              <w:rPr>
                <w:rFonts w:ascii="Arial" w:hAnsi="Arial" w:cs="Arial"/>
                <w:sz w:val="21"/>
                <w:szCs w:val="21"/>
              </w:rPr>
            </w:pPr>
          </w:p>
        </w:tc>
        <w:tc>
          <w:tcPr>
            <w:tcW w:w="2561" w:type="pct"/>
            <w:gridSpan w:val="2"/>
          </w:tcPr>
          <w:p w14:paraId="6086B207" w14:textId="26F29C66" w:rsidR="00862B0B" w:rsidRPr="00A67277" w:rsidRDefault="00862B0B" w:rsidP="00862B0B">
            <w:pPr>
              <w:pStyle w:val="Body2"/>
              <w:numPr>
                <w:ilvl w:val="0"/>
                <w:numId w:val="544"/>
              </w:numPr>
              <w:spacing w:before="60" w:after="60"/>
              <w:ind w:left="878"/>
              <w:rPr>
                <w:rFonts w:cs="Arial"/>
                <w:lang w:val="en-US"/>
              </w:rPr>
            </w:pPr>
            <w:r w:rsidRPr="00A67277">
              <w:rPr>
                <w:rFonts w:cs="Arial"/>
                <w:lang w:val="en-US"/>
              </w:rPr>
              <w:t xml:space="preserve">sebagaimana diatur dalam </w:t>
            </w:r>
            <w:r w:rsidRPr="00A67277">
              <w:rPr>
                <w:rFonts w:cs="Arial"/>
              </w:rPr>
              <w:t xml:space="preserve"> Lampiran 5 (Desain dan Spesifikasi Teknis);</w:t>
            </w:r>
          </w:p>
        </w:tc>
      </w:tr>
      <w:tr w:rsidR="00862B0B" w:rsidRPr="00A67277" w14:paraId="7EBABF06" w14:textId="77777777" w:rsidTr="00862B0B">
        <w:tc>
          <w:tcPr>
            <w:tcW w:w="2270" w:type="pct"/>
          </w:tcPr>
          <w:p w14:paraId="0A27DED5" w14:textId="58214A7E" w:rsidR="00862B0B" w:rsidRPr="00A67277" w:rsidRDefault="00862B0B" w:rsidP="00862B0B">
            <w:pPr>
              <w:pStyle w:val="Body2"/>
              <w:spacing w:before="60" w:after="60"/>
              <w:ind w:left="851"/>
              <w:rPr>
                <w:rFonts w:cs="Arial"/>
                <w:b/>
              </w:rPr>
            </w:pPr>
            <w:r w:rsidRPr="0084723A">
              <w:rPr>
                <w:b/>
                <w:szCs w:val="24"/>
              </w:rPr>
              <w:t xml:space="preserve">Service Fee </w:t>
            </w:r>
            <w:r w:rsidRPr="0084723A">
              <w:rPr>
                <w:szCs w:val="24"/>
              </w:rPr>
              <w:t>means</w:t>
            </w:r>
            <w:r w:rsidRPr="0084723A">
              <w:rPr>
                <w:b/>
                <w:szCs w:val="24"/>
              </w:rPr>
              <w:t xml:space="preserve"> </w:t>
            </w:r>
            <w:r w:rsidRPr="0084723A">
              <w:rPr>
                <w:szCs w:val="24"/>
              </w:rPr>
              <w:t>Lump Sum Service Fee and/or Tolled Lane Based Service Fee (as applicable);</w:t>
            </w:r>
          </w:p>
        </w:tc>
        <w:tc>
          <w:tcPr>
            <w:tcW w:w="169" w:type="pct"/>
          </w:tcPr>
          <w:p w14:paraId="369C4408" w14:textId="77777777" w:rsidR="00862B0B" w:rsidRPr="00A67277" w:rsidRDefault="00862B0B" w:rsidP="00862B0B">
            <w:pPr>
              <w:spacing w:before="60" w:after="60"/>
              <w:rPr>
                <w:rFonts w:ascii="Arial" w:hAnsi="Arial" w:cs="Arial"/>
                <w:sz w:val="21"/>
                <w:szCs w:val="21"/>
              </w:rPr>
            </w:pPr>
          </w:p>
        </w:tc>
        <w:tc>
          <w:tcPr>
            <w:tcW w:w="2561" w:type="pct"/>
            <w:gridSpan w:val="2"/>
          </w:tcPr>
          <w:p w14:paraId="23EAB8A8" w14:textId="1033B19F" w:rsidR="00862B0B" w:rsidRPr="00A67277" w:rsidRDefault="00862B0B" w:rsidP="00862B0B">
            <w:pPr>
              <w:pStyle w:val="Body2"/>
              <w:spacing w:before="60" w:after="60"/>
              <w:ind w:left="878"/>
              <w:rPr>
                <w:rFonts w:cs="Arial"/>
                <w:b/>
              </w:rPr>
            </w:pPr>
            <w:r w:rsidRPr="0084723A">
              <w:rPr>
                <w:b/>
                <w:szCs w:val="24"/>
              </w:rPr>
              <w:t xml:space="preserve">Biaya Layanan </w:t>
            </w:r>
            <w:r w:rsidRPr="0084723A">
              <w:rPr>
                <w:szCs w:val="24"/>
              </w:rPr>
              <w:t>berarti</w:t>
            </w:r>
            <w:r w:rsidRPr="0084723A">
              <w:rPr>
                <w:b/>
                <w:szCs w:val="24"/>
              </w:rPr>
              <w:t xml:space="preserve"> </w:t>
            </w:r>
            <w:r w:rsidRPr="0084723A">
              <w:rPr>
                <w:szCs w:val="24"/>
              </w:rPr>
              <w:t xml:space="preserve">Biaya Layanan </w:t>
            </w:r>
            <w:r w:rsidRPr="0084723A">
              <w:rPr>
                <w:i/>
                <w:iCs/>
                <w:szCs w:val="24"/>
              </w:rPr>
              <w:t>Lump Sum</w:t>
            </w:r>
            <w:r w:rsidRPr="0084723A">
              <w:rPr>
                <w:szCs w:val="24"/>
              </w:rPr>
              <w:t xml:space="preserve"> dan/atau Biaya Layanan Berdasar Jalur Tol  (sebagaimana berlaku);</w:t>
            </w:r>
          </w:p>
        </w:tc>
      </w:tr>
      <w:tr w:rsidR="00862B0B" w:rsidRPr="00A67277" w14:paraId="501E7D0A" w14:textId="77777777" w:rsidTr="00862B0B">
        <w:tc>
          <w:tcPr>
            <w:tcW w:w="2270" w:type="pct"/>
          </w:tcPr>
          <w:p w14:paraId="0AE1D579" w14:textId="77777777" w:rsidR="00862B0B" w:rsidRPr="00A67277" w:rsidRDefault="00862B0B" w:rsidP="00862B0B">
            <w:pPr>
              <w:pStyle w:val="Body2"/>
              <w:spacing w:before="60" w:after="60"/>
              <w:ind w:left="851"/>
              <w:rPr>
                <w:rFonts w:cs="Arial"/>
              </w:rPr>
            </w:pPr>
            <w:r w:rsidRPr="00A67277">
              <w:rPr>
                <w:rFonts w:cs="Arial"/>
                <w:b/>
              </w:rPr>
              <w:t>Shareholders</w:t>
            </w:r>
            <w:r w:rsidRPr="00A67277">
              <w:rPr>
                <w:rFonts w:cs="Arial"/>
              </w:rPr>
              <w:t xml:space="preserve"> means the shareholders, including the Key Shareholders, of the IBE set out in Appendix 3 (</w:t>
            </w:r>
            <w:r w:rsidRPr="00A67277">
              <w:rPr>
                <w:rFonts w:cs="Arial"/>
                <w:i/>
              </w:rPr>
              <w:t>Shareholders</w:t>
            </w:r>
            <w:r w:rsidRPr="00A67277">
              <w:rPr>
                <w:rFonts w:cs="Arial"/>
              </w:rPr>
              <w:t>);</w:t>
            </w:r>
          </w:p>
        </w:tc>
        <w:tc>
          <w:tcPr>
            <w:tcW w:w="169" w:type="pct"/>
          </w:tcPr>
          <w:p w14:paraId="14C73251" w14:textId="77777777" w:rsidR="00862B0B" w:rsidRPr="00A67277" w:rsidRDefault="00862B0B" w:rsidP="00862B0B">
            <w:pPr>
              <w:spacing w:before="60" w:after="60"/>
              <w:rPr>
                <w:rFonts w:ascii="Arial" w:hAnsi="Arial" w:cs="Arial"/>
                <w:sz w:val="21"/>
                <w:szCs w:val="21"/>
              </w:rPr>
            </w:pPr>
          </w:p>
        </w:tc>
        <w:tc>
          <w:tcPr>
            <w:tcW w:w="2561" w:type="pct"/>
            <w:gridSpan w:val="2"/>
          </w:tcPr>
          <w:p w14:paraId="38E1F91C" w14:textId="4466C84D" w:rsidR="00862B0B" w:rsidRPr="00A67277" w:rsidRDefault="00862B0B" w:rsidP="00862B0B">
            <w:pPr>
              <w:pStyle w:val="Body2"/>
              <w:spacing w:before="60" w:after="60"/>
              <w:ind w:left="878"/>
              <w:rPr>
                <w:rFonts w:cs="Arial"/>
              </w:rPr>
            </w:pPr>
            <w:r w:rsidRPr="00A67277">
              <w:rPr>
                <w:rFonts w:cs="Arial"/>
                <w:b/>
              </w:rPr>
              <w:t>Pemegang Saham</w:t>
            </w:r>
            <w:r w:rsidRPr="00A67277">
              <w:rPr>
                <w:rFonts w:cs="Arial"/>
              </w:rPr>
              <w:t xml:space="preserve"> berarti pemegang saham, termasuk Pemegang Saham Utama dari BUP sebagaimana yang diatur dalam Lampiran 3 (</w:t>
            </w:r>
            <w:r w:rsidRPr="00A67277">
              <w:rPr>
                <w:rFonts w:cs="Arial"/>
                <w:i/>
              </w:rPr>
              <w:t>Pemegang Saham</w:t>
            </w:r>
            <w:r w:rsidRPr="00A67277">
              <w:rPr>
                <w:rFonts w:cs="Arial"/>
              </w:rPr>
              <w:t>);</w:t>
            </w:r>
          </w:p>
        </w:tc>
      </w:tr>
      <w:tr w:rsidR="00862B0B" w:rsidRPr="00A67277" w14:paraId="59B74097" w14:textId="77777777" w:rsidTr="00862B0B">
        <w:tc>
          <w:tcPr>
            <w:tcW w:w="2270" w:type="pct"/>
          </w:tcPr>
          <w:p w14:paraId="3CAFC89E" w14:textId="77777777" w:rsidR="00862B0B" w:rsidRPr="00A67277" w:rsidRDefault="00862B0B" w:rsidP="00862B0B">
            <w:pPr>
              <w:pStyle w:val="Body2"/>
              <w:spacing w:before="60" w:after="60"/>
              <w:ind w:left="851"/>
              <w:rPr>
                <w:rFonts w:cs="Arial"/>
              </w:rPr>
            </w:pPr>
            <w:r w:rsidRPr="00A67277">
              <w:rPr>
                <w:rFonts w:cs="Arial"/>
                <w:b/>
              </w:rPr>
              <w:t>Shareholders’ Agreement</w:t>
            </w:r>
            <w:r w:rsidRPr="00A67277">
              <w:rPr>
                <w:rFonts w:cs="Arial"/>
              </w:rPr>
              <w:t xml:space="preserve"> means the agreement entered into by the Shareholders governing their rights and obligations in respect of their shareholdings in the IBE;</w:t>
            </w:r>
          </w:p>
        </w:tc>
        <w:tc>
          <w:tcPr>
            <w:tcW w:w="169" w:type="pct"/>
          </w:tcPr>
          <w:p w14:paraId="3EB02306" w14:textId="77777777" w:rsidR="00862B0B" w:rsidRPr="00A67277" w:rsidRDefault="00862B0B" w:rsidP="00862B0B">
            <w:pPr>
              <w:spacing w:before="60" w:after="60"/>
              <w:rPr>
                <w:rFonts w:ascii="Arial" w:hAnsi="Arial" w:cs="Arial"/>
                <w:sz w:val="21"/>
                <w:szCs w:val="21"/>
              </w:rPr>
            </w:pPr>
          </w:p>
        </w:tc>
        <w:tc>
          <w:tcPr>
            <w:tcW w:w="2561" w:type="pct"/>
            <w:gridSpan w:val="2"/>
          </w:tcPr>
          <w:p w14:paraId="063C7DEA" w14:textId="77777777" w:rsidR="00862B0B" w:rsidRPr="00A67277" w:rsidRDefault="00862B0B" w:rsidP="00862B0B">
            <w:pPr>
              <w:pStyle w:val="Body2"/>
              <w:spacing w:before="60" w:after="60"/>
              <w:ind w:left="878"/>
              <w:rPr>
                <w:rFonts w:cs="Arial"/>
                <w:b/>
              </w:rPr>
            </w:pPr>
            <w:r w:rsidRPr="00A67277">
              <w:rPr>
                <w:rFonts w:cs="Arial"/>
                <w:b/>
              </w:rPr>
              <w:t xml:space="preserve">Perjanjian Pemegang Saham </w:t>
            </w:r>
            <w:r w:rsidRPr="00A67277">
              <w:rPr>
                <w:rFonts w:cs="Arial"/>
              </w:rPr>
              <w:t>berarti perjanjian yang ditandatangani oleh Pemegang Saham yang mengatur hak dan kewajiban mereka sehubungan dengan kepemilikan saham mereka di BUP;</w:t>
            </w:r>
          </w:p>
        </w:tc>
      </w:tr>
      <w:tr w:rsidR="00862B0B" w:rsidRPr="00A67277" w14:paraId="39E3DC07" w14:textId="77777777" w:rsidTr="00862B0B">
        <w:tc>
          <w:tcPr>
            <w:tcW w:w="2270" w:type="pct"/>
          </w:tcPr>
          <w:p w14:paraId="6635BEBD" w14:textId="77777777" w:rsidR="00862B0B" w:rsidRPr="00A67277" w:rsidRDefault="00862B0B" w:rsidP="00862B0B">
            <w:pPr>
              <w:pStyle w:val="Body2"/>
              <w:spacing w:before="60" w:after="60"/>
              <w:ind w:left="851"/>
              <w:rPr>
                <w:rFonts w:cs="Arial"/>
              </w:rPr>
            </w:pPr>
            <w:r w:rsidRPr="00A67277">
              <w:rPr>
                <w:rFonts w:cs="Arial"/>
                <w:b/>
              </w:rPr>
              <w:t>Shareholder Loans</w:t>
            </w:r>
            <w:r w:rsidRPr="00A67277">
              <w:rPr>
                <w:rFonts w:cs="Arial"/>
              </w:rPr>
              <w:t xml:space="preserve"> means any loans made available by the any of the Shareholders (or their Affiliates) for the purpose of financing parts of the Equity portion of the Project;</w:t>
            </w:r>
          </w:p>
        </w:tc>
        <w:tc>
          <w:tcPr>
            <w:tcW w:w="169" w:type="pct"/>
          </w:tcPr>
          <w:p w14:paraId="36E3495A" w14:textId="77777777" w:rsidR="00862B0B" w:rsidRPr="00A67277" w:rsidRDefault="00862B0B" w:rsidP="00862B0B">
            <w:pPr>
              <w:spacing w:before="60" w:after="60"/>
              <w:rPr>
                <w:rFonts w:ascii="Arial" w:hAnsi="Arial" w:cs="Arial"/>
                <w:sz w:val="21"/>
                <w:szCs w:val="21"/>
              </w:rPr>
            </w:pPr>
          </w:p>
        </w:tc>
        <w:tc>
          <w:tcPr>
            <w:tcW w:w="2561" w:type="pct"/>
            <w:gridSpan w:val="2"/>
          </w:tcPr>
          <w:p w14:paraId="4881E2BA" w14:textId="5EF2A94B" w:rsidR="00862B0B" w:rsidRPr="00A67277" w:rsidRDefault="00862B0B" w:rsidP="00862B0B">
            <w:pPr>
              <w:pStyle w:val="Body2"/>
              <w:spacing w:before="60" w:after="60"/>
              <w:ind w:left="878"/>
              <w:rPr>
                <w:rFonts w:cs="Arial"/>
                <w:b/>
              </w:rPr>
            </w:pPr>
            <w:r w:rsidRPr="00A67277">
              <w:rPr>
                <w:rFonts w:cs="Arial"/>
                <w:b/>
              </w:rPr>
              <w:t xml:space="preserve">Pinjaman Pemegang Saham </w:t>
            </w:r>
            <w:r w:rsidRPr="00A67277">
              <w:rPr>
                <w:rFonts w:cs="Arial"/>
              </w:rPr>
              <w:t>berarti segala pinjaman yang tersedia oleh para Pemegang Saham (atau Afiliasinya) untuk tujuan menjadi bagian pembiayaan dari porsi Ekuitas dari Proyek;</w:t>
            </w:r>
          </w:p>
        </w:tc>
      </w:tr>
      <w:tr w:rsidR="00862B0B" w:rsidRPr="00A67277" w14:paraId="24D5D774" w14:textId="77777777" w:rsidTr="00862B0B">
        <w:tc>
          <w:tcPr>
            <w:tcW w:w="2270" w:type="pct"/>
          </w:tcPr>
          <w:p w14:paraId="04B73857" w14:textId="77777777" w:rsidR="00862B0B" w:rsidRPr="00A67277" w:rsidRDefault="00862B0B" w:rsidP="00862B0B">
            <w:pPr>
              <w:pStyle w:val="Body2"/>
              <w:spacing w:before="60" w:after="60"/>
              <w:ind w:left="851"/>
              <w:rPr>
                <w:rFonts w:cs="Arial"/>
              </w:rPr>
            </w:pPr>
            <w:r w:rsidRPr="00A67277">
              <w:rPr>
                <w:rFonts w:cs="Arial"/>
                <w:b/>
              </w:rPr>
              <w:t>Signing Date</w:t>
            </w:r>
            <w:r w:rsidRPr="00A67277">
              <w:rPr>
                <w:rFonts w:cs="Arial"/>
              </w:rPr>
              <w:t xml:space="preserve"> means the date of signing this Agreement;</w:t>
            </w:r>
          </w:p>
          <w:p w14:paraId="4EC2A0BE" w14:textId="77777777" w:rsidR="00862B0B" w:rsidRPr="00A67277" w:rsidRDefault="00862B0B" w:rsidP="00862B0B">
            <w:pPr>
              <w:spacing w:before="60" w:after="60"/>
              <w:rPr>
                <w:rFonts w:ascii="Arial" w:hAnsi="Arial" w:cs="Arial"/>
                <w:sz w:val="21"/>
                <w:szCs w:val="21"/>
              </w:rPr>
            </w:pPr>
          </w:p>
        </w:tc>
        <w:tc>
          <w:tcPr>
            <w:tcW w:w="169" w:type="pct"/>
          </w:tcPr>
          <w:p w14:paraId="1B9D6BF9" w14:textId="77777777" w:rsidR="00862B0B" w:rsidRPr="00A67277" w:rsidRDefault="00862B0B" w:rsidP="00862B0B">
            <w:pPr>
              <w:spacing w:before="60" w:after="60"/>
              <w:rPr>
                <w:rFonts w:ascii="Arial" w:hAnsi="Arial" w:cs="Arial"/>
                <w:sz w:val="21"/>
                <w:szCs w:val="21"/>
              </w:rPr>
            </w:pPr>
          </w:p>
        </w:tc>
        <w:tc>
          <w:tcPr>
            <w:tcW w:w="2561" w:type="pct"/>
            <w:gridSpan w:val="2"/>
          </w:tcPr>
          <w:p w14:paraId="0143E5DC" w14:textId="77777777" w:rsidR="00862B0B" w:rsidRPr="00A67277" w:rsidRDefault="00862B0B" w:rsidP="00862B0B">
            <w:pPr>
              <w:pStyle w:val="Body2"/>
              <w:spacing w:before="60" w:after="60"/>
              <w:ind w:left="878"/>
              <w:rPr>
                <w:rFonts w:cs="Arial"/>
                <w:b/>
              </w:rPr>
            </w:pPr>
            <w:r w:rsidRPr="00A67277">
              <w:rPr>
                <w:rFonts w:cs="Arial"/>
                <w:b/>
              </w:rPr>
              <w:t xml:space="preserve">Tanggal Penandatanganan </w:t>
            </w:r>
            <w:r w:rsidRPr="00A67277">
              <w:rPr>
                <w:rFonts w:cs="Arial"/>
              </w:rPr>
              <w:t>berarti tanggal penandatanganan Perjanjian ini.</w:t>
            </w:r>
          </w:p>
        </w:tc>
      </w:tr>
      <w:tr w:rsidR="00862B0B" w:rsidRPr="00A67277" w14:paraId="781CAFC4" w14:textId="77777777" w:rsidTr="00862B0B">
        <w:tc>
          <w:tcPr>
            <w:tcW w:w="2270" w:type="pct"/>
            <w:shd w:val="clear" w:color="auto" w:fill="auto"/>
          </w:tcPr>
          <w:p w14:paraId="3AB74F44" w14:textId="77777777" w:rsidR="00862B0B" w:rsidRPr="00A67277" w:rsidRDefault="00862B0B" w:rsidP="00862B0B">
            <w:pPr>
              <w:pStyle w:val="Body2"/>
              <w:spacing w:before="60" w:after="60"/>
              <w:ind w:left="851"/>
              <w:rPr>
                <w:rFonts w:cs="Arial"/>
              </w:rPr>
            </w:pPr>
            <w:r w:rsidRPr="00A67277">
              <w:rPr>
                <w:rFonts w:cs="Arial"/>
                <w:b/>
              </w:rPr>
              <w:t xml:space="preserve">Site </w:t>
            </w:r>
            <w:r w:rsidRPr="00A67277">
              <w:rPr>
                <w:rFonts w:cs="Arial"/>
              </w:rPr>
              <w:t>means the land within the Toll Road area for the construction or installation of the Facility.</w:t>
            </w:r>
          </w:p>
        </w:tc>
        <w:tc>
          <w:tcPr>
            <w:tcW w:w="169" w:type="pct"/>
            <w:shd w:val="clear" w:color="auto" w:fill="auto"/>
          </w:tcPr>
          <w:p w14:paraId="2568A5AE"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AA8C865" w14:textId="77777777" w:rsidR="00862B0B" w:rsidRPr="00A67277" w:rsidRDefault="00862B0B" w:rsidP="00862B0B">
            <w:pPr>
              <w:pStyle w:val="Body2"/>
              <w:spacing w:before="60" w:after="60"/>
              <w:ind w:left="878"/>
              <w:rPr>
                <w:rFonts w:cs="Arial"/>
              </w:rPr>
            </w:pPr>
            <w:r w:rsidRPr="00A67277">
              <w:rPr>
                <w:rFonts w:cs="Arial"/>
                <w:b/>
              </w:rPr>
              <w:t xml:space="preserve">Lokasi </w:t>
            </w:r>
            <w:r w:rsidRPr="00A67277">
              <w:rPr>
                <w:rFonts w:eastAsia="Times New Roman" w:cs="Arial"/>
              </w:rPr>
              <w:t>berarti lahan dalam area Jalan Tol untuk pembangunan atau instalasi Fasilitas</w:t>
            </w:r>
            <w:r w:rsidRPr="00A67277">
              <w:rPr>
                <w:rFonts w:cs="Arial"/>
              </w:rPr>
              <w:t>.</w:t>
            </w:r>
          </w:p>
        </w:tc>
      </w:tr>
      <w:tr w:rsidR="00862B0B" w:rsidRPr="00A67277" w14:paraId="2D2A6AF3" w14:textId="77777777" w:rsidTr="00862B0B">
        <w:tc>
          <w:tcPr>
            <w:tcW w:w="2270" w:type="pct"/>
          </w:tcPr>
          <w:p w14:paraId="7F8FF3AD" w14:textId="12F21EA6" w:rsidR="00862B0B" w:rsidRPr="00A67277" w:rsidRDefault="00862B0B" w:rsidP="00862B0B">
            <w:pPr>
              <w:pStyle w:val="Body2"/>
              <w:spacing w:before="60" w:after="60"/>
              <w:ind w:left="851"/>
              <w:rPr>
                <w:rFonts w:cs="Arial"/>
              </w:rPr>
            </w:pPr>
            <w:bookmarkStart w:id="48" w:name="_cp_text_1_694"/>
            <w:r w:rsidRPr="00A67277">
              <w:rPr>
                <w:rFonts w:cs="Arial"/>
                <w:b/>
              </w:rPr>
              <w:t xml:space="preserve">Site Authorisation </w:t>
            </w:r>
            <w:r w:rsidRPr="00A67277">
              <w:rPr>
                <w:rFonts w:cs="Arial"/>
              </w:rPr>
              <w:t>means any Authorisation for land use, ownership or access in respect of the Site</w:t>
            </w:r>
            <w:bookmarkStart w:id="49" w:name="_cp_text_1_696"/>
            <w:bookmarkEnd w:id="48"/>
            <w:r w:rsidRPr="00A67277">
              <w:rPr>
                <w:rFonts w:cs="Arial"/>
              </w:rPr>
              <w:t>;</w:t>
            </w:r>
            <w:bookmarkEnd w:id="49"/>
          </w:p>
        </w:tc>
        <w:tc>
          <w:tcPr>
            <w:tcW w:w="169" w:type="pct"/>
          </w:tcPr>
          <w:p w14:paraId="50842F41" w14:textId="77777777" w:rsidR="00862B0B" w:rsidRPr="00A67277" w:rsidRDefault="00862B0B" w:rsidP="00862B0B">
            <w:pPr>
              <w:spacing w:before="60" w:after="60"/>
              <w:rPr>
                <w:rFonts w:ascii="Arial" w:hAnsi="Arial" w:cs="Arial"/>
                <w:sz w:val="21"/>
                <w:szCs w:val="21"/>
              </w:rPr>
            </w:pPr>
          </w:p>
        </w:tc>
        <w:tc>
          <w:tcPr>
            <w:tcW w:w="2561" w:type="pct"/>
            <w:gridSpan w:val="2"/>
          </w:tcPr>
          <w:p w14:paraId="7A15B0BE" w14:textId="77777777" w:rsidR="00862B0B" w:rsidRPr="00A67277" w:rsidRDefault="00862B0B" w:rsidP="00862B0B">
            <w:pPr>
              <w:pStyle w:val="Body2"/>
              <w:spacing w:before="60" w:after="60"/>
              <w:ind w:left="878"/>
              <w:rPr>
                <w:rFonts w:cs="Arial"/>
              </w:rPr>
            </w:pPr>
            <w:r w:rsidRPr="00A67277">
              <w:rPr>
                <w:rFonts w:cs="Arial"/>
                <w:b/>
              </w:rPr>
              <w:t xml:space="preserve">Persetujuan Terkait Lokasi </w:t>
            </w:r>
            <w:r w:rsidRPr="00A67277">
              <w:rPr>
                <w:rFonts w:cs="Arial"/>
              </w:rPr>
              <w:t>berarti</w:t>
            </w:r>
            <w:r w:rsidRPr="00A67277">
              <w:rPr>
                <w:rFonts w:cs="Arial"/>
                <w:b/>
              </w:rPr>
              <w:t xml:space="preserve"> </w:t>
            </w:r>
            <w:r w:rsidRPr="00A67277">
              <w:rPr>
                <w:rFonts w:cs="Arial"/>
              </w:rPr>
              <w:t>segala Persetujuan untuk penggunaan tanah, kepemilikan atau akses sehubungan dengan Lokasi;</w:t>
            </w:r>
          </w:p>
        </w:tc>
      </w:tr>
      <w:tr w:rsidR="00862B0B" w:rsidRPr="00A67277" w14:paraId="639686F1" w14:textId="77777777" w:rsidTr="00862B0B">
        <w:tc>
          <w:tcPr>
            <w:tcW w:w="2270" w:type="pct"/>
          </w:tcPr>
          <w:p w14:paraId="4F55C4EB" w14:textId="77777777" w:rsidR="00862B0B" w:rsidRPr="00A67277" w:rsidRDefault="00862B0B" w:rsidP="00862B0B">
            <w:pPr>
              <w:pStyle w:val="Body2"/>
              <w:spacing w:before="60" w:after="60"/>
              <w:ind w:left="851"/>
              <w:rPr>
                <w:rFonts w:cs="Arial"/>
              </w:rPr>
            </w:pPr>
            <w:r w:rsidRPr="00A67277">
              <w:rPr>
                <w:rFonts w:cs="Arial"/>
                <w:b/>
              </w:rPr>
              <w:t>Site Hand-over Date</w:t>
            </w:r>
            <w:r w:rsidRPr="00A67277">
              <w:rPr>
                <w:rFonts w:cs="Arial"/>
              </w:rPr>
              <w:t xml:space="preserve"> means the date on which the GCA delivers the Site to the IBE, as noted in the Implementation Schedule;</w:t>
            </w:r>
          </w:p>
        </w:tc>
        <w:tc>
          <w:tcPr>
            <w:tcW w:w="169" w:type="pct"/>
          </w:tcPr>
          <w:p w14:paraId="287040A4" w14:textId="77777777" w:rsidR="00862B0B" w:rsidRPr="00A67277" w:rsidRDefault="00862B0B" w:rsidP="00862B0B">
            <w:pPr>
              <w:spacing w:before="60" w:after="60"/>
              <w:rPr>
                <w:rFonts w:ascii="Arial" w:hAnsi="Arial" w:cs="Arial"/>
                <w:sz w:val="21"/>
                <w:szCs w:val="21"/>
              </w:rPr>
            </w:pPr>
          </w:p>
        </w:tc>
        <w:tc>
          <w:tcPr>
            <w:tcW w:w="2561" w:type="pct"/>
            <w:gridSpan w:val="2"/>
          </w:tcPr>
          <w:p w14:paraId="756CA22D" w14:textId="77777777" w:rsidR="00862B0B" w:rsidRPr="00A67277" w:rsidRDefault="00862B0B" w:rsidP="00862B0B">
            <w:pPr>
              <w:pStyle w:val="Body2"/>
              <w:spacing w:before="60" w:after="60"/>
              <w:ind w:left="878"/>
              <w:rPr>
                <w:rFonts w:cs="Arial"/>
              </w:rPr>
            </w:pPr>
            <w:r w:rsidRPr="00A67277">
              <w:rPr>
                <w:rFonts w:cs="Arial"/>
                <w:b/>
              </w:rPr>
              <w:t>Tanggal Serah Terima Lokasi</w:t>
            </w:r>
            <w:r w:rsidRPr="00A67277">
              <w:rPr>
                <w:rFonts w:cs="Arial"/>
              </w:rPr>
              <w:t xml:space="preserve"> berarti tanggal dimana PJPK menyerahkan Lokasi kepada BUP, sebagaimana yang dicantumkan dalam Jadwal Pelaksanaan;</w:t>
            </w:r>
          </w:p>
        </w:tc>
      </w:tr>
      <w:tr w:rsidR="00862B0B" w:rsidRPr="00A67277" w14:paraId="0021E11A" w14:textId="77777777" w:rsidTr="00862B0B">
        <w:tc>
          <w:tcPr>
            <w:tcW w:w="2270" w:type="pct"/>
          </w:tcPr>
          <w:p w14:paraId="20C3A94A" w14:textId="77777777" w:rsidR="00862B0B" w:rsidRPr="00A67277" w:rsidRDefault="00862B0B" w:rsidP="00862B0B">
            <w:pPr>
              <w:pStyle w:val="Body2"/>
              <w:spacing w:before="60" w:after="60"/>
              <w:ind w:left="851"/>
              <w:rPr>
                <w:rFonts w:cs="Arial"/>
              </w:rPr>
            </w:pPr>
            <w:r w:rsidRPr="00A67277">
              <w:rPr>
                <w:rFonts w:cs="Arial"/>
                <w:b/>
              </w:rPr>
              <w:t>Sponsors</w:t>
            </w:r>
            <w:r w:rsidRPr="00A67277">
              <w:rPr>
                <w:rFonts w:cs="Arial"/>
              </w:rPr>
              <w:t xml:space="preserve"> means [**</w:t>
            </w:r>
            <w:r w:rsidRPr="00A67277">
              <w:rPr>
                <w:rFonts w:cs="Arial"/>
                <w:b/>
                <w:i/>
              </w:rPr>
              <w:t>insert name</w:t>
            </w:r>
            <w:r w:rsidRPr="00A67277">
              <w:rPr>
                <w:rFonts w:cs="Arial"/>
              </w:rPr>
              <w:t>**];</w:t>
            </w:r>
            <w:r w:rsidRPr="00A67277">
              <w:rPr>
                <w:rStyle w:val="FootnoteReference"/>
                <w:rFonts w:cs="Arial"/>
              </w:rPr>
              <w:footnoteReference w:id="5"/>
            </w:r>
          </w:p>
        </w:tc>
        <w:tc>
          <w:tcPr>
            <w:tcW w:w="169" w:type="pct"/>
          </w:tcPr>
          <w:p w14:paraId="0D423847" w14:textId="77777777" w:rsidR="00862B0B" w:rsidRPr="00A67277" w:rsidRDefault="00862B0B" w:rsidP="00862B0B">
            <w:pPr>
              <w:spacing w:before="60" w:after="60"/>
              <w:rPr>
                <w:rFonts w:ascii="Arial" w:hAnsi="Arial" w:cs="Arial"/>
                <w:sz w:val="21"/>
                <w:szCs w:val="21"/>
              </w:rPr>
            </w:pPr>
          </w:p>
        </w:tc>
        <w:tc>
          <w:tcPr>
            <w:tcW w:w="2561" w:type="pct"/>
            <w:gridSpan w:val="2"/>
          </w:tcPr>
          <w:p w14:paraId="4075BEB4" w14:textId="77777777" w:rsidR="00862B0B" w:rsidRPr="00A67277" w:rsidRDefault="00862B0B" w:rsidP="00862B0B">
            <w:pPr>
              <w:pStyle w:val="Body2"/>
              <w:spacing w:before="60" w:after="60"/>
              <w:ind w:left="878"/>
              <w:rPr>
                <w:rFonts w:cs="Arial"/>
              </w:rPr>
            </w:pPr>
            <w:r w:rsidRPr="00A67277">
              <w:rPr>
                <w:rFonts w:cs="Arial"/>
                <w:b/>
              </w:rPr>
              <w:t>Sponsor</w:t>
            </w:r>
            <w:r w:rsidRPr="00A67277">
              <w:rPr>
                <w:rFonts w:cs="Arial"/>
              </w:rPr>
              <w:t xml:space="preserve"> berarti [**</w:t>
            </w:r>
            <w:r w:rsidRPr="00A67277">
              <w:rPr>
                <w:rFonts w:cs="Arial"/>
                <w:b/>
                <w:i/>
              </w:rPr>
              <w:t>masukkan nama</w:t>
            </w:r>
            <w:r w:rsidRPr="00A67277">
              <w:rPr>
                <w:rFonts w:cs="Arial"/>
              </w:rPr>
              <w:t>**];</w:t>
            </w:r>
            <w:r w:rsidRPr="00A67277">
              <w:rPr>
                <w:rStyle w:val="FootnoteReference"/>
                <w:rFonts w:cs="Arial"/>
              </w:rPr>
              <w:footnoteReference w:id="6"/>
            </w:r>
          </w:p>
        </w:tc>
      </w:tr>
      <w:tr w:rsidR="00862B0B" w:rsidRPr="00A67277" w14:paraId="615DA1C7" w14:textId="77777777" w:rsidTr="00862B0B">
        <w:tc>
          <w:tcPr>
            <w:tcW w:w="2270" w:type="pct"/>
          </w:tcPr>
          <w:p w14:paraId="2EC55087" w14:textId="5557522F" w:rsidR="00862B0B" w:rsidRPr="00A67277" w:rsidRDefault="00862B0B" w:rsidP="00862B0B">
            <w:pPr>
              <w:pStyle w:val="Body2"/>
              <w:spacing w:before="60" w:after="60"/>
              <w:ind w:left="851"/>
              <w:rPr>
                <w:rFonts w:cs="Arial"/>
              </w:rPr>
            </w:pPr>
            <w:r w:rsidRPr="00A67277">
              <w:rPr>
                <w:rFonts w:cs="Arial"/>
                <w:b/>
              </w:rPr>
              <w:t xml:space="preserve">Sponsors' Agreement </w:t>
            </w:r>
            <w:r w:rsidRPr="00A67277">
              <w:rPr>
                <w:rFonts w:cs="Arial"/>
              </w:rPr>
              <w:t>means the agreement to be entered into between the Sponsors and GCA on the same date as this Agreement and substantially in the form set out in Appendix 22 (</w:t>
            </w:r>
            <w:r w:rsidRPr="00A67277">
              <w:rPr>
                <w:rFonts w:cs="Arial"/>
                <w:i/>
              </w:rPr>
              <w:t>Format of</w:t>
            </w:r>
            <w:r w:rsidRPr="00A67277">
              <w:rPr>
                <w:rFonts w:cs="Arial"/>
              </w:rPr>
              <w:t xml:space="preserve"> </w:t>
            </w:r>
            <w:r w:rsidRPr="00A67277">
              <w:rPr>
                <w:rFonts w:cs="Arial"/>
                <w:i/>
              </w:rPr>
              <w:t>Sponsors' Agreement</w:t>
            </w:r>
            <w:r w:rsidRPr="00A67277">
              <w:rPr>
                <w:rFonts w:cs="Arial"/>
              </w:rPr>
              <w:t>);</w:t>
            </w:r>
          </w:p>
        </w:tc>
        <w:tc>
          <w:tcPr>
            <w:tcW w:w="169" w:type="pct"/>
          </w:tcPr>
          <w:p w14:paraId="62AF19B8" w14:textId="77777777" w:rsidR="00862B0B" w:rsidRPr="00A67277" w:rsidRDefault="00862B0B" w:rsidP="00862B0B">
            <w:pPr>
              <w:spacing w:before="60" w:after="60"/>
              <w:rPr>
                <w:rFonts w:ascii="Arial" w:hAnsi="Arial" w:cs="Arial"/>
                <w:sz w:val="21"/>
                <w:szCs w:val="21"/>
              </w:rPr>
            </w:pPr>
          </w:p>
        </w:tc>
        <w:tc>
          <w:tcPr>
            <w:tcW w:w="2561" w:type="pct"/>
            <w:gridSpan w:val="2"/>
          </w:tcPr>
          <w:p w14:paraId="727A856D" w14:textId="11F8AB3F" w:rsidR="00862B0B" w:rsidRPr="00A67277" w:rsidRDefault="00862B0B" w:rsidP="00862B0B">
            <w:pPr>
              <w:pStyle w:val="Body2"/>
              <w:spacing w:before="60" w:after="60"/>
              <w:ind w:left="878"/>
              <w:rPr>
                <w:rFonts w:cs="Arial"/>
              </w:rPr>
            </w:pPr>
            <w:r w:rsidRPr="00A67277">
              <w:rPr>
                <w:rFonts w:cs="Arial"/>
                <w:b/>
              </w:rPr>
              <w:t xml:space="preserve">Perjanjian Sponsor </w:t>
            </w:r>
            <w:r w:rsidRPr="00A67277">
              <w:rPr>
                <w:rFonts w:cs="Arial"/>
              </w:rPr>
              <w:t>berarti</w:t>
            </w:r>
            <w:r w:rsidRPr="00A67277">
              <w:rPr>
                <w:rFonts w:cs="Arial"/>
                <w:b/>
              </w:rPr>
              <w:t xml:space="preserve"> </w:t>
            </w:r>
            <w:r w:rsidRPr="00A67277">
              <w:rPr>
                <w:rFonts w:cs="Arial"/>
              </w:rPr>
              <w:t>perjanjian yang ditandatangani di antara Sponsor dan PJPK pada tanggal yang sama dengan Perjanjian dan secara substansi dalam format sebagiamana yang diatur dalam Lampiran 22 (</w:t>
            </w:r>
            <w:r w:rsidRPr="00A67277">
              <w:rPr>
                <w:rFonts w:cs="Arial"/>
                <w:i/>
              </w:rPr>
              <w:t>Bentuk</w:t>
            </w:r>
            <w:r w:rsidRPr="00A67277">
              <w:rPr>
                <w:rFonts w:cs="Arial"/>
              </w:rPr>
              <w:t xml:space="preserve"> </w:t>
            </w:r>
            <w:r w:rsidRPr="00A67277">
              <w:rPr>
                <w:rFonts w:cs="Arial"/>
                <w:i/>
              </w:rPr>
              <w:t>Perjanjian Sponsor</w:t>
            </w:r>
            <w:r w:rsidRPr="00A67277">
              <w:rPr>
                <w:rFonts w:cs="Arial"/>
              </w:rPr>
              <w:t>);</w:t>
            </w:r>
          </w:p>
        </w:tc>
      </w:tr>
      <w:tr w:rsidR="00862B0B" w:rsidRPr="00A67277" w14:paraId="07ED9958" w14:textId="77777777" w:rsidTr="00862B0B">
        <w:tc>
          <w:tcPr>
            <w:tcW w:w="2270" w:type="pct"/>
          </w:tcPr>
          <w:p w14:paraId="601440CF" w14:textId="55A52665" w:rsidR="00862B0B" w:rsidRPr="00A67277" w:rsidRDefault="00862B0B" w:rsidP="00862B0B">
            <w:pPr>
              <w:pStyle w:val="Body2"/>
              <w:spacing w:before="60" w:after="60"/>
              <w:ind w:left="851"/>
              <w:rPr>
                <w:rFonts w:cs="Arial"/>
              </w:rPr>
            </w:pPr>
            <w:bookmarkStart w:id="50" w:name="_cp_text_1_403"/>
            <w:r w:rsidRPr="00A67277">
              <w:rPr>
                <w:b/>
                <w:szCs w:val="24"/>
              </w:rPr>
              <w:t xml:space="preserve">Stage I Performance Bond </w:t>
            </w:r>
            <w:r w:rsidRPr="00A67277">
              <w:rPr>
                <w:rFonts w:cs="Arial"/>
              </w:rPr>
              <w:t>is  an irrevocable and unconditional bank guarantee in favour of GCA as security for performance by the IBE of its obligations under this Agreement prior to the Effective Date;</w:t>
            </w:r>
            <w:bookmarkEnd w:id="50"/>
          </w:p>
        </w:tc>
        <w:tc>
          <w:tcPr>
            <w:tcW w:w="169" w:type="pct"/>
          </w:tcPr>
          <w:p w14:paraId="04072629" w14:textId="77777777" w:rsidR="00862B0B" w:rsidRPr="00A67277" w:rsidRDefault="00862B0B" w:rsidP="00862B0B">
            <w:pPr>
              <w:spacing w:before="60" w:after="60"/>
              <w:rPr>
                <w:rFonts w:ascii="Arial" w:hAnsi="Arial" w:cs="Arial"/>
                <w:sz w:val="21"/>
                <w:szCs w:val="21"/>
              </w:rPr>
            </w:pPr>
          </w:p>
        </w:tc>
        <w:tc>
          <w:tcPr>
            <w:tcW w:w="2561" w:type="pct"/>
            <w:gridSpan w:val="2"/>
          </w:tcPr>
          <w:p w14:paraId="214FA805" w14:textId="379FA732" w:rsidR="00862B0B" w:rsidRPr="00A67277" w:rsidRDefault="00862B0B" w:rsidP="00862B0B">
            <w:pPr>
              <w:pStyle w:val="Body2"/>
              <w:spacing w:before="60" w:after="60"/>
              <w:ind w:left="878"/>
              <w:rPr>
                <w:rFonts w:cs="Arial"/>
              </w:rPr>
            </w:pPr>
            <w:r w:rsidRPr="00A67277">
              <w:rPr>
                <w:rFonts w:cs="Arial"/>
                <w:b/>
              </w:rPr>
              <w:t>Jaminan Pelaksanaan Tahap I</w:t>
            </w:r>
            <w:r w:rsidRPr="00A67277">
              <w:rPr>
                <w:rFonts w:cs="Arial"/>
              </w:rPr>
              <w:t xml:space="preserve"> </w:t>
            </w:r>
            <w:r w:rsidRPr="00A67277">
              <w:rPr>
                <w:rFonts w:cs="Arial"/>
                <w:lang w:val="en-US"/>
              </w:rPr>
              <w:t xml:space="preserve"> berarti suatu bank garansi </w:t>
            </w:r>
            <w:r w:rsidRPr="00A67277">
              <w:rPr>
                <w:rFonts w:cs="Arial"/>
                <w:lang w:val="id-ID"/>
              </w:rPr>
              <w:t xml:space="preserve">yang tidak dapat dibatalkan dan tidak bersyarat  </w:t>
            </w:r>
            <w:r w:rsidRPr="00A67277">
              <w:rPr>
                <w:rFonts w:cs="Arial"/>
                <w:lang w:val="en-US"/>
              </w:rPr>
              <w:t xml:space="preserve">sebagai jaminan kepada </w:t>
            </w:r>
            <w:r w:rsidRPr="00A67277">
              <w:rPr>
                <w:rFonts w:cs="Arial"/>
              </w:rPr>
              <w:t>PJPK</w:t>
            </w:r>
            <w:r w:rsidRPr="00A67277">
              <w:rPr>
                <w:rFonts w:cs="Arial"/>
                <w:lang w:val="id-ID"/>
              </w:rPr>
              <w:t xml:space="preserve"> </w:t>
            </w:r>
            <w:r w:rsidRPr="00A67277">
              <w:rPr>
                <w:rFonts w:cs="Arial"/>
                <w:lang w:val="en-US"/>
              </w:rPr>
              <w:t xml:space="preserve">terhadap pelaksanaan oleh </w:t>
            </w:r>
            <w:r w:rsidRPr="00A67277">
              <w:rPr>
                <w:rFonts w:cs="Arial"/>
              </w:rPr>
              <w:t>BUP</w:t>
            </w:r>
            <w:r w:rsidRPr="00A67277">
              <w:rPr>
                <w:rFonts w:cs="Arial"/>
                <w:lang w:val="id-ID"/>
              </w:rPr>
              <w:t xml:space="preserve"> atas kewajibannya berdasarkan Perjanjian ini sebelum Tanggal</w:t>
            </w:r>
            <w:r w:rsidRPr="00A67277">
              <w:rPr>
                <w:rFonts w:cs="Arial"/>
                <w:lang w:val="en-ID"/>
              </w:rPr>
              <w:t xml:space="preserve"> </w:t>
            </w:r>
            <w:r w:rsidRPr="00A67277">
              <w:t>Efektif</w:t>
            </w:r>
            <w:r w:rsidRPr="00A67277">
              <w:rPr>
                <w:rFonts w:cs="Arial"/>
              </w:rPr>
              <w:t>;</w:t>
            </w:r>
          </w:p>
        </w:tc>
      </w:tr>
      <w:tr w:rsidR="00862B0B" w:rsidRPr="00A67277" w14:paraId="1EA27EE6" w14:textId="77777777" w:rsidTr="00862B0B">
        <w:tc>
          <w:tcPr>
            <w:tcW w:w="2270" w:type="pct"/>
          </w:tcPr>
          <w:p w14:paraId="41206A0F" w14:textId="19069BF8" w:rsidR="00862B0B" w:rsidRPr="00A67277" w:rsidRDefault="00862B0B" w:rsidP="00862B0B">
            <w:pPr>
              <w:pStyle w:val="Body2"/>
              <w:spacing w:before="60" w:after="60"/>
              <w:ind w:left="851"/>
              <w:rPr>
                <w:szCs w:val="24"/>
              </w:rPr>
            </w:pPr>
            <w:r w:rsidRPr="00A67277">
              <w:rPr>
                <w:b/>
                <w:szCs w:val="24"/>
              </w:rPr>
              <w:t>Stage II Performance Bond</w:t>
            </w:r>
            <w:r w:rsidRPr="00A67277">
              <w:rPr>
                <w:szCs w:val="24"/>
              </w:rPr>
              <w:t xml:space="preserve"> is </w:t>
            </w:r>
            <w:r w:rsidRPr="00A67277">
              <w:rPr>
                <w:rFonts w:cs="Arial"/>
              </w:rPr>
              <w:t xml:space="preserve"> an irrevocable and unconditional bank guarantee in favour of GCA  as security for performance by the IBE of its obligations with respect to development and construction of the Facility under this Agreement.  </w:t>
            </w:r>
            <w:r w:rsidRPr="00A67277">
              <w:rPr>
                <w:szCs w:val="24"/>
              </w:rPr>
              <w:t xml:space="preserve">; </w:t>
            </w:r>
          </w:p>
        </w:tc>
        <w:tc>
          <w:tcPr>
            <w:tcW w:w="169" w:type="pct"/>
          </w:tcPr>
          <w:p w14:paraId="139197EB" w14:textId="77777777" w:rsidR="00862B0B" w:rsidRPr="00A67277" w:rsidRDefault="00862B0B" w:rsidP="00862B0B">
            <w:pPr>
              <w:spacing w:before="60" w:after="60"/>
              <w:rPr>
                <w:rFonts w:ascii="Arial" w:hAnsi="Arial" w:cs="Arial"/>
                <w:sz w:val="21"/>
                <w:szCs w:val="21"/>
              </w:rPr>
            </w:pPr>
          </w:p>
        </w:tc>
        <w:tc>
          <w:tcPr>
            <w:tcW w:w="2561" w:type="pct"/>
            <w:gridSpan w:val="2"/>
          </w:tcPr>
          <w:p w14:paraId="537DDD60" w14:textId="300880EA" w:rsidR="00862B0B" w:rsidRPr="00A67277" w:rsidRDefault="00862B0B" w:rsidP="00862B0B">
            <w:pPr>
              <w:pStyle w:val="Body2"/>
              <w:spacing w:before="60" w:after="60"/>
              <w:ind w:left="878"/>
              <w:rPr>
                <w:rFonts w:cs="Arial"/>
              </w:rPr>
            </w:pPr>
            <w:r w:rsidRPr="00A67277">
              <w:rPr>
                <w:rFonts w:cs="Arial"/>
                <w:b/>
              </w:rPr>
              <w:t>Jaminan Pelaksanaan Tahap II</w:t>
            </w:r>
            <w:r w:rsidRPr="00A67277">
              <w:rPr>
                <w:rFonts w:cs="Arial"/>
              </w:rPr>
              <w:t xml:space="preserve"> berarti </w:t>
            </w:r>
            <w:r w:rsidRPr="00A67277">
              <w:t xml:space="preserve"> suatu bank garansi </w:t>
            </w:r>
            <w:r w:rsidRPr="00A67277">
              <w:rPr>
                <w:lang w:val="id-ID" w:eastAsia="en-US"/>
              </w:rPr>
              <w:t xml:space="preserve">yang tidak dapat dibatalkan dan tidak </w:t>
            </w:r>
            <w:r w:rsidRPr="00A67277">
              <w:rPr>
                <w:lang w:val="en-US" w:eastAsia="en-US"/>
              </w:rPr>
              <w:t xml:space="preserve">bersyarat </w:t>
            </w:r>
            <w:r w:rsidRPr="00A67277">
              <w:rPr>
                <w:rFonts w:cs="Arial"/>
                <w:shd w:val="clear" w:color="auto" w:fill="FFFFFF"/>
              </w:rPr>
              <w:t xml:space="preserve"> s</w:t>
            </w:r>
            <w:r w:rsidRPr="00A67277">
              <w:rPr>
                <w:lang w:val="en-US" w:eastAsia="en-US"/>
              </w:rPr>
              <w:t xml:space="preserve">ebagai jaminan kepada PJPK </w:t>
            </w:r>
            <w:r w:rsidRPr="00A67277">
              <w:t>terhadap pelaksanaan oleh BUP atas kewajibannya sehubungan dengan pengembangan dan konstruksi Fasilitas berdasarkan Perjanjian ini</w:t>
            </w:r>
            <w:r w:rsidRPr="00A67277">
              <w:rPr>
                <w:rFonts w:cs="Arial"/>
              </w:rPr>
              <w:t>;</w:t>
            </w:r>
          </w:p>
        </w:tc>
      </w:tr>
      <w:tr w:rsidR="00862B0B" w:rsidRPr="00A67277" w14:paraId="66038B85" w14:textId="77777777" w:rsidTr="00862B0B">
        <w:tc>
          <w:tcPr>
            <w:tcW w:w="2270" w:type="pct"/>
          </w:tcPr>
          <w:p w14:paraId="5AEAFAEB" w14:textId="514652B8" w:rsidR="00862B0B" w:rsidRPr="00A67277" w:rsidRDefault="00862B0B" w:rsidP="00862B0B">
            <w:pPr>
              <w:pStyle w:val="Body2"/>
              <w:spacing w:before="60" w:after="60"/>
              <w:ind w:left="851"/>
              <w:rPr>
                <w:rFonts w:cs="Arial"/>
              </w:rPr>
            </w:pPr>
            <w:r w:rsidRPr="00A67277">
              <w:rPr>
                <w:rFonts w:cs="Arial"/>
                <w:b/>
              </w:rPr>
              <w:t>Start-up and Testing Procedures</w:t>
            </w:r>
            <w:r w:rsidRPr="00A67277">
              <w:rPr>
                <w:rFonts w:cs="Arial"/>
              </w:rPr>
              <w:t xml:space="preserve"> means the start-up and testing procedures set out in Appendix 7 (</w:t>
            </w:r>
            <w:r w:rsidRPr="00A67277">
              <w:rPr>
                <w:rFonts w:cs="Arial"/>
                <w:i/>
              </w:rPr>
              <w:t>Start-Up and Testing Procedures</w:t>
            </w:r>
            <w:r w:rsidRPr="00A67277">
              <w:rPr>
                <w:rFonts w:cs="Arial"/>
              </w:rPr>
              <w:t>);</w:t>
            </w:r>
          </w:p>
        </w:tc>
        <w:tc>
          <w:tcPr>
            <w:tcW w:w="169" w:type="pct"/>
          </w:tcPr>
          <w:p w14:paraId="03A90083" w14:textId="77777777" w:rsidR="00862B0B" w:rsidRPr="00A67277" w:rsidRDefault="00862B0B" w:rsidP="00862B0B">
            <w:pPr>
              <w:spacing w:before="60" w:after="60"/>
              <w:rPr>
                <w:rFonts w:ascii="Arial" w:hAnsi="Arial" w:cs="Arial"/>
                <w:sz w:val="21"/>
                <w:szCs w:val="21"/>
              </w:rPr>
            </w:pPr>
          </w:p>
        </w:tc>
        <w:tc>
          <w:tcPr>
            <w:tcW w:w="2561" w:type="pct"/>
            <w:gridSpan w:val="2"/>
          </w:tcPr>
          <w:p w14:paraId="05854DBA" w14:textId="11E04226" w:rsidR="00862B0B" w:rsidRPr="00A67277" w:rsidRDefault="00862B0B" w:rsidP="00862B0B">
            <w:pPr>
              <w:pStyle w:val="Body2"/>
              <w:spacing w:before="60" w:after="60"/>
              <w:ind w:left="878"/>
              <w:rPr>
                <w:rFonts w:cs="Arial"/>
              </w:rPr>
            </w:pPr>
            <w:r w:rsidRPr="00A67277">
              <w:rPr>
                <w:rFonts w:cs="Arial"/>
                <w:b/>
              </w:rPr>
              <w:t xml:space="preserve">Prosedur Permulaan dan Pengujian </w:t>
            </w:r>
            <w:r w:rsidRPr="00A67277">
              <w:rPr>
                <w:rFonts w:cs="Arial"/>
              </w:rPr>
              <w:t>berarti prosedur permulaan (</w:t>
            </w:r>
            <w:r w:rsidRPr="00A67277">
              <w:rPr>
                <w:rFonts w:cs="Arial"/>
                <w:i/>
              </w:rPr>
              <w:t>start-up</w:t>
            </w:r>
            <w:r w:rsidRPr="00A67277">
              <w:rPr>
                <w:rFonts w:cs="Arial"/>
              </w:rPr>
              <w:t>) dan pengujian sebagaimana diatur di dalam Lampiran 7 (</w:t>
            </w:r>
            <w:r w:rsidRPr="00A67277">
              <w:rPr>
                <w:rFonts w:cs="Arial"/>
                <w:i/>
              </w:rPr>
              <w:t>Prosedur Permulaan dan Pengujian</w:t>
            </w:r>
            <w:r w:rsidRPr="00A67277">
              <w:rPr>
                <w:rFonts w:cs="Arial"/>
              </w:rPr>
              <w:t>);</w:t>
            </w:r>
          </w:p>
        </w:tc>
      </w:tr>
      <w:tr w:rsidR="00862B0B" w:rsidRPr="00A67277" w14:paraId="78D10C83" w14:textId="77777777" w:rsidTr="00862B0B">
        <w:tc>
          <w:tcPr>
            <w:tcW w:w="2270" w:type="pct"/>
          </w:tcPr>
          <w:p w14:paraId="6AF553CF" w14:textId="01CD3439" w:rsidR="00862B0B" w:rsidRPr="00A67277" w:rsidRDefault="00862B0B" w:rsidP="00862B0B">
            <w:pPr>
              <w:pStyle w:val="Body2"/>
              <w:spacing w:before="60" w:after="60"/>
              <w:ind w:left="851"/>
              <w:rPr>
                <w:rFonts w:cs="Arial"/>
              </w:rPr>
            </w:pPr>
            <w:r w:rsidRPr="00A67277">
              <w:rPr>
                <w:rFonts w:cs="Arial"/>
                <w:b/>
              </w:rPr>
              <w:t xml:space="preserve">Senior Debt </w:t>
            </w:r>
            <w:r w:rsidRPr="00A67277">
              <w:rPr>
                <w:rFonts w:cs="Arial"/>
              </w:rPr>
              <w:t>means indebtedness incurred by the IBE under the Financing Documents other than indebtedness constituting Equity</w:t>
            </w:r>
          </w:p>
        </w:tc>
        <w:tc>
          <w:tcPr>
            <w:tcW w:w="169" w:type="pct"/>
          </w:tcPr>
          <w:p w14:paraId="609D1EC3" w14:textId="77777777" w:rsidR="00862B0B" w:rsidRPr="00A67277" w:rsidRDefault="00862B0B" w:rsidP="00862B0B">
            <w:pPr>
              <w:spacing w:before="60" w:after="60"/>
              <w:rPr>
                <w:rFonts w:ascii="Arial" w:hAnsi="Arial" w:cs="Arial"/>
                <w:sz w:val="21"/>
                <w:szCs w:val="21"/>
              </w:rPr>
            </w:pPr>
          </w:p>
        </w:tc>
        <w:tc>
          <w:tcPr>
            <w:tcW w:w="2561" w:type="pct"/>
            <w:gridSpan w:val="2"/>
          </w:tcPr>
          <w:p w14:paraId="06B214B5" w14:textId="08181681" w:rsidR="00862B0B" w:rsidRPr="00A67277" w:rsidRDefault="00862B0B" w:rsidP="00862B0B">
            <w:pPr>
              <w:pStyle w:val="Body2"/>
              <w:numPr>
                <w:ilvl w:val="0"/>
                <w:numId w:val="544"/>
              </w:numPr>
              <w:spacing w:before="60" w:after="60"/>
              <w:ind w:left="878"/>
              <w:rPr>
                <w:rFonts w:cs="Arial"/>
              </w:rPr>
            </w:pPr>
            <w:r w:rsidRPr="00A67277">
              <w:rPr>
                <w:rFonts w:cs="Arial"/>
                <w:b/>
              </w:rPr>
              <w:t xml:space="preserve">Hutang Senior </w:t>
            </w:r>
            <w:r w:rsidRPr="00A67277">
              <w:rPr>
                <w:rFonts w:cs="Arial"/>
              </w:rPr>
              <w:t xml:space="preserve">berarti </w:t>
            </w:r>
            <w:r w:rsidRPr="00A67277">
              <w:t xml:space="preserve"> </w:t>
            </w:r>
            <w:r w:rsidRPr="00A67277">
              <w:rPr>
                <w:rFonts w:cs="Arial"/>
              </w:rPr>
              <w:t>kewajiban hutang yang dimiliki oleh BUP berdasarkan Dokumen Pembiayaan, tidak termasuk kewajiban hutang yang membentuk Ekuitas</w:t>
            </w:r>
          </w:p>
        </w:tc>
      </w:tr>
      <w:tr w:rsidR="00862B0B" w:rsidRPr="00A67277" w14:paraId="4FAC94E9" w14:textId="77777777" w:rsidTr="00862B0B">
        <w:tc>
          <w:tcPr>
            <w:tcW w:w="2270" w:type="pct"/>
          </w:tcPr>
          <w:p w14:paraId="310C5AF0" w14:textId="77777777" w:rsidR="00862B0B" w:rsidRPr="00A67277" w:rsidRDefault="00862B0B" w:rsidP="00862B0B">
            <w:pPr>
              <w:pStyle w:val="Body2"/>
              <w:spacing w:before="60" w:after="60"/>
              <w:ind w:left="851"/>
              <w:rPr>
                <w:rFonts w:cs="Arial"/>
              </w:rPr>
            </w:pPr>
            <w:r w:rsidRPr="00A67277">
              <w:rPr>
                <w:rFonts w:cs="Arial"/>
                <w:b/>
              </w:rPr>
              <w:t>Tax</w:t>
            </w:r>
            <w:r w:rsidRPr="00A67277">
              <w:rPr>
                <w:rFonts w:cs="Arial"/>
              </w:rPr>
              <w:t xml:space="preserve"> means any tax, charge, impost, tariff, assessment, duty or fee of any kind charged, imposed or levied, directly or indirectly, by any Governmental Instrumentality, including any goods and services tax, sales tax, stamp duty, import duty, withholding tax (whether on income, dividends, interest payments, fees, equipment rentals or otherwise), tax on foreign currency loans or foreign exchange transactions, excise tax, property tax, registration fee or licence, energy or fuel tax, including any interest, penalties or other additions imposed on any of these;</w:t>
            </w:r>
          </w:p>
        </w:tc>
        <w:tc>
          <w:tcPr>
            <w:tcW w:w="169" w:type="pct"/>
          </w:tcPr>
          <w:p w14:paraId="42097910" w14:textId="77777777" w:rsidR="00862B0B" w:rsidRPr="00A67277" w:rsidRDefault="00862B0B" w:rsidP="00862B0B">
            <w:pPr>
              <w:spacing w:before="60" w:after="60"/>
              <w:rPr>
                <w:rFonts w:ascii="Arial" w:hAnsi="Arial" w:cs="Arial"/>
                <w:sz w:val="21"/>
                <w:szCs w:val="21"/>
              </w:rPr>
            </w:pPr>
          </w:p>
        </w:tc>
        <w:tc>
          <w:tcPr>
            <w:tcW w:w="2561" w:type="pct"/>
            <w:gridSpan w:val="2"/>
          </w:tcPr>
          <w:p w14:paraId="0076266B" w14:textId="77777777" w:rsidR="00862B0B" w:rsidRPr="00A67277" w:rsidRDefault="00862B0B" w:rsidP="00862B0B">
            <w:pPr>
              <w:pStyle w:val="Body2"/>
              <w:spacing w:before="60" w:after="60"/>
              <w:ind w:left="878"/>
              <w:rPr>
                <w:rFonts w:cs="Arial"/>
              </w:rPr>
            </w:pPr>
            <w:r w:rsidRPr="00A67277">
              <w:rPr>
                <w:rFonts w:cs="Arial"/>
                <w:b/>
              </w:rPr>
              <w:t>Pajak</w:t>
            </w:r>
            <w:r w:rsidRPr="00A67277">
              <w:rPr>
                <w:rFonts w:cs="Arial"/>
              </w:rPr>
              <w:t xml:space="preserve"> berarti segala pajak, beban, tarif, penilaian, segala jenis bea atau biaya yang dibebankan atau dipungut, secara langsung atau tidak langsung, oleh segala Lembaga Pemerintahan, termasuk segala pajak barang dan jasa, pajak penjualan, bea materai, bea impor, pemotongan pajak (baik atas penerimaan, dividen, pembayaran bunga, biaya, penyewaan peralatan atau lainnya), pajak atas pinjaman mata uang asing atau transaksi pertukaran mata uang luar negeri, pajak cukai, pajak bangunan, biaya pendaftaran atau izin, pajak energi atau bahan bakar, termasuk segala bunga, penalti atau tambahan lainnya yang dikenakan atas hal-hal ini;</w:t>
            </w:r>
          </w:p>
        </w:tc>
      </w:tr>
      <w:tr w:rsidR="00862B0B" w:rsidRPr="00A67277" w14:paraId="7626F8CE" w14:textId="77777777" w:rsidTr="00862B0B">
        <w:tc>
          <w:tcPr>
            <w:tcW w:w="2270" w:type="pct"/>
          </w:tcPr>
          <w:p w14:paraId="2AD997C6" w14:textId="77777777" w:rsidR="00862B0B" w:rsidRPr="00A67277" w:rsidRDefault="00862B0B" w:rsidP="00862B0B">
            <w:pPr>
              <w:pStyle w:val="Body2"/>
              <w:spacing w:before="60" w:after="60"/>
              <w:ind w:left="851"/>
              <w:rPr>
                <w:rFonts w:cs="Arial"/>
              </w:rPr>
            </w:pPr>
            <w:r w:rsidRPr="00A67277">
              <w:rPr>
                <w:rFonts w:cs="Arial"/>
                <w:b/>
              </w:rPr>
              <w:t xml:space="preserve">Term </w:t>
            </w:r>
            <w:r w:rsidRPr="00A67277">
              <w:rPr>
                <w:rFonts w:cs="Arial"/>
              </w:rPr>
              <w:t>means the term of this Agreement as defined in Clause 2.3(b) (</w:t>
            </w:r>
            <w:r w:rsidRPr="00A67277">
              <w:rPr>
                <w:rFonts w:cs="Arial"/>
                <w:i/>
              </w:rPr>
              <w:t>Term of Agreement</w:t>
            </w:r>
            <w:r w:rsidRPr="00A67277">
              <w:rPr>
                <w:rFonts w:cs="Arial"/>
              </w:rPr>
              <w:t>);</w:t>
            </w:r>
          </w:p>
        </w:tc>
        <w:tc>
          <w:tcPr>
            <w:tcW w:w="169" w:type="pct"/>
          </w:tcPr>
          <w:p w14:paraId="78A03FCC" w14:textId="77777777" w:rsidR="00862B0B" w:rsidRPr="00A67277" w:rsidRDefault="00862B0B" w:rsidP="00862B0B">
            <w:pPr>
              <w:spacing w:before="60" w:after="60"/>
              <w:rPr>
                <w:rFonts w:ascii="Arial" w:hAnsi="Arial" w:cs="Arial"/>
                <w:sz w:val="21"/>
                <w:szCs w:val="21"/>
              </w:rPr>
            </w:pPr>
          </w:p>
        </w:tc>
        <w:tc>
          <w:tcPr>
            <w:tcW w:w="2561" w:type="pct"/>
            <w:gridSpan w:val="2"/>
          </w:tcPr>
          <w:p w14:paraId="36BC7024" w14:textId="77777777" w:rsidR="00862B0B" w:rsidRPr="00A67277" w:rsidRDefault="00862B0B" w:rsidP="00862B0B">
            <w:pPr>
              <w:pStyle w:val="Body2"/>
              <w:spacing w:before="60" w:after="60"/>
              <w:ind w:left="878"/>
              <w:rPr>
                <w:rFonts w:cs="Arial"/>
              </w:rPr>
            </w:pPr>
            <w:r w:rsidRPr="00A67277">
              <w:rPr>
                <w:rFonts w:cs="Arial"/>
                <w:b/>
              </w:rPr>
              <w:t xml:space="preserve">Jangka Waktu </w:t>
            </w:r>
            <w:r w:rsidRPr="00A67277">
              <w:rPr>
                <w:rFonts w:cs="Arial"/>
              </w:rPr>
              <w:t>berarti</w:t>
            </w:r>
            <w:r w:rsidRPr="00A67277">
              <w:rPr>
                <w:rFonts w:cs="Arial"/>
                <w:b/>
              </w:rPr>
              <w:t xml:space="preserve"> </w:t>
            </w:r>
            <w:r w:rsidRPr="00A67277">
              <w:rPr>
                <w:rFonts w:cs="Arial"/>
              </w:rPr>
              <w:t>jangka waktu Perjanjian ini sebagaimana didefinisikan dalam Pasal 2.3(b) (</w:t>
            </w:r>
            <w:r w:rsidRPr="00A67277">
              <w:rPr>
                <w:rFonts w:cs="Arial"/>
                <w:i/>
              </w:rPr>
              <w:t>Jangka Waktu Perjanjian</w:t>
            </w:r>
            <w:r w:rsidRPr="00A67277">
              <w:rPr>
                <w:rFonts w:cs="Arial"/>
              </w:rPr>
              <w:t>);</w:t>
            </w:r>
          </w:p>
        </w:tc>
      </w:tr>
      <w:tr w:rsidR="00862B0B" w:rsidRPr="00A67277" w14:paraId="6299CA0A" w14:textId="77777777" w:rsidTr="00862B0B">
        <w:tc>
          <w:tcPr>
            <w:tcW w:w="2270" w:type="pct"/>
          </w:tcPr>
          <w:p w14:paraId="5023EDF9" w14:textId="1B9141A9" w:rsidR="00862B0B" w:rsidRPr="00A67277" w:rsidRDefault="00862B0B" w:rsidP="00862B0B">
            <w:pPr>
              <w:pStyle w:val="Body2"/>
              <w:spacing w:before="60" w:after="60"/>
              <w:ind w:left="851"/>
              <w:rPr>
                <w:rFonts w:cs="Arial"/>
                <w:b/>
              </w:rPr>
            </w:pPr>
            <w:r w:rsidRPr="00A67277">
              <w:rPr>
                <w:rFonts w:cs="Arial"/>
                <w:b/>
              </w:rPr>
              <w:t xml:space="preserve">Termination Cost </w:t>
            </w:r>
            <w:r w:rsidRPr="00A67277">
              <w:rPr>
                <w:szCs w:val="24"/>
              </w:rPr>
              <w:t>means any of the Termination Cost A, Termination Cost B or Termination Cost C as defined in Appedix 14 (Termination Payment);</w:t>
            </w:r>
          </w:p>
        </w:tc>
        <w:tc>
          <w:tcPr>
            <w:tcW w:w="169" w:type="pct"/>
          </w:tcPr>
          <w:p w14:paraId="0D6D3C1B" w14:textId="77777777" w:rsidR="00862B0B" w:rsidRPr="00A67277" w:rsidRDefault="00862B0B" w:rsidP="00862B0B">
            <w:pPr>
              <w:spacing w:before="60" w:after="60"/>
              <w:rPr>
                <w:rFonts w:ascii="Arial" w:hAnsi="Arial" w:cs="Arial"/>
                <w:sz w:val="21"/>
                <w:szCs w:val="21"/>
              </w:rPr>
            </w:pPr>
          </w:p>
        </w:tc>
        <w:tc>
          <w:tcPr>
            <w:tcW w:w="2561" w:type="pct"/>
            <w:gridSpan w:val="2"/>
          </w:tcPr>
          <w:p w14:paraId="32A798B3" w14:textId="2E90B734" w:rsidR="00862B0B" w:rsidRPr="00A67277" w:rsidRDefault="00862B0B" w:rsidP="00862B0B">
            <w:pPr>
              <w:pStyle w:val="Body2"/>
              <w:spacing w:before="60" w:after="60"/>
              <w:ind w:left="878"/>
              <w:rPr>
                <w:rFonts w:cs="Arial"/>
                <w:b/>
              </w:rPr>
            </w:pPr>
            <w:r w:rsidRPr="00A67277">
              <w:rPr>
                <w:rFonts w:cs="Arial"/>
                <w:b/>
              </w:rPr>
              <w:t xml:space="preserve">Biaya Pengakhiran </w:t>
            </w:r>
            <w:r w:rsidRPr="00A67277">
              <w:rPr>
                <w:rFonts w:cs="Arial"/>
              </w:rPr>
              <w:t>berarti</w:t>
            </w:r>
            <w:r w:rsidRPr="00A67277">
              <w:rPr>
                <w:rFonts w:cs="Arial"/>
                <w:b/>
              </w:rPr>
              <w:t xml:space="preserve"> </w:t>
            </w:r>
            <w:r w:rsidRPr="00A67277">
              <w:rPr>
                <w:rFonts w:cs="Arial"/>
              </w:rPr>
              <w:t>setiap Biaya Pengakhiran A, Biaya Pengakhiran B atau Biaya Pengakhiran C sebagaimana didefinisikan di dalam Lampiran 14 (</w:t>
            </w:r>
            <w:r w:rsidRPr="00A67277">
              <w:rPr>
                <w:rFonts w:cs="Arial"/>
                <w:i/>
              </w:rPr>
              <w:t>Pembayaran Pengakhiran</w:t>
            </w:r>
            <w:r w:rsidRPr="00A67277">
              <w:rPr>
                <w:rFonts w:cs="Arial"/>
              </w:rPr>
              <w:t>);</w:t>
            </w:r>
          </w:p>
        </w:tc>
      </w:tr>
      <w:tr w:rsidR="00862B0B" w:rsidRPr="00A67277" w14:paraId="20E04BD7" w14:textId="77777777" w:rsidTr="00862B0B">
        <w:tc>
          <w:tcPr>
            <w:tcW w:w="2270" w:type="pct"/>
          </w:tcPr>
          <w:p w14:paraId="40E8D89F" w14:textId="77777777" w:rsidR="00862B0B" w:rsidRPr="00A67277" w:rsidRDefault="00862B0B" w:rsidP="00862B0B">
            <w:pPr>
              <w:pStyle w:val="Body2"/>
              <w:spacing w:before="60" w:after="60"/>
              <w:ind w:left="851"/>
              <w:rPr>
                <w:rFonts w:cs="Arial"/>
              </w:rPr>
            </w:pPr>
            <w:r w:rsidRPr="00A67277">
              <w:rPr>
                <w:rFonts w:cs="Arial"/>
                <w:b/>
              </w:rPr>
              <w:t xml:space="preserve">Termination Date </w:t>
            </w:r>
            <w:r w:rsidRPr="00A67277">
              <w:rPr>
                <w:rFonts w:cs="Arial"/>
              </w:rPr>
              <w:t>means the termination date of this Agreement in the event of early termination as specified in the Termination Notice;</w:t>
            </w:r>
          </w:p>
        </w:tc>
        <w:tc>
          <w:tcPr>
            <w:tcW w:w="169" w:type="pct"/>
          </w:tcPr>
          <w:p w14:paraId="3FCB1052" w14:textId="77777777" w:rsidR="00862B0B" w:rsidRPr="00A67277" w:rsidRDefault="00862B0B" w:rsidP="00862B0B">
            <w:pPr>
              <w:spacing w:before="60" w:after="60"/>
              <w:rPr>
                <w:rFonts w:ascii="Arial" w:hAnsi="Arial" w:cs="Arial"/>
                <w:sz w:val="21"/>
                <w:szCs w:val="21"/>
              </w:rPr>
            </w:pPr>
          </w:p>
        </w:tc>
        <w:tc>
          <w:tcPr>
            <w:tcW w:w="2561" w:type="pct"/>
            <w:gridSpan w:val="2"/>
          </w:tcPr>
          <w:p w14:paraId="6C3DFB58" w14:textId="77777777" w:rsidR="00862B0B" w:rsidRPr="00A67277" w:rsidRDefault="00862B0B" w:rsidP="00862B0B">
            <w:pPr>
              <w:pStyle w:val="Body2"/>
              <w:spacing w:before="60" w:after="60"/>
              <w:ind w:left="878"/>
              <w:rPr>
                <w:rFonts w:cs="Arial"/>
              </w:rPr>
            </w:pPr>
            <w:r w:rsidRPr="00A67277">
              <w:rPr>
                <w:rFonts w:cs="Arial"/>
                <w:b/>
              </w:rPr>
              <w:t xml:space="preserve">Tanggal Pengakhiran </w:t>
            </w:r>
            <w:r w:rsidRPr="00A67277">
              <w:rPr>
                <w:rFonts w:cs="Arial"/>
              </w:rPr>
              <w:t>berarti</w:t>
            </w:r>
            <w:r w:rsidRPr="00A67277">
              <w:rPr>
                <w:rFonts w:cs="Arial"/>
                <w:b/>
              </w:rPr>
              <w:t xml:space="preserve"> </w:t>
            </w:r>
            <w:r w:rsidRPr="00A67277">
              <w:rPr>
                <w:rFonts w:cs="Arial"/>
              </w:rPr>
              <w:t>Tanggal Pengakhiran dari Perjanjian ini dalam hal pengakhiran lebih awal sebagaimana yang ditentukan di dalam Pemberitahuan Pengakhiran;</w:t>
            </w:r>
          </w:p>
        </w:tc>
      </w:tr>
      <w:tr w:rsidR="00862B0B" w:rsidRPr="00A67277" w14:paraId="7E71CA3E" w14:textId="77777777" w:rsidTr="00862B0B">
        <w:trPr>
          <w:trHeight w:val="1121"/>
        </w:trPr>
        <w:tc>
          <w:tcPr>
            <w:tcW w:w="2270" w:type="pct"/>
          </w:tcPr>
          <w:p w14:paraId="57CA4E19" w14:textId="77777777" w:rsidR="00862B0B" w:rsidRPr="00A67277" w:rsidRDefault="00862B0B" w:rsidP="00862B0B">
            <w:pPr>
              <w:pStyle w:val="Body2"/>
              <w:spacing w:before="60" w:after="60"/>
              <w:ind w:left="851"/>
              <w:rPr>
                <w:rFonts w:cs="Arial"/>
              </w:rPr>
            </w:pPr>
            <w:r w:rsidRPr="00A67277">
              <w:rPr>
                <w:rFonts w:cs="Arial"/>
                <w:b/>
              </w:rPr>
              <w:t xml:space="preserve">Termination Notice </w:t>
            </w:r>
            <w:r w:rsidRPr="00A67277">
              <w:rPr>
                <w:rFonts w:cs="Arial"/>
              </w:rPr>
              <w:t>is defined in Clause 24.4 (Remedial Procedures and Termination upon Default);</w:t>
            </w:r>
          </w:p>
          <w:p w14:paraId="0722EA81" w14:textId="77777777" w:rsidR="00862B0B" w:rsidRPr="00A67277" w:rsidRDefault="00862B0B" w:rsidP="00862B0B">
            <w:pPr>
              <w:pStyle w:val="CommentText"/>
              <w:spacing w:before="60" w:after="60"/>
              <w:rPr>
                <w:rFonts w:eastAsia="Arial Unicode MS" w:cs="Arial"/>
                <w:b/>
                <w:sz w:val="21"/>
                <w:szCs w:val="21"/>
                <w:lang w:val="en-GB" w:eastAsia="en-GB"/>
              </w:rPr>
            </w:pPr>
          </w:p>
        </w:tc>
        <w:tc>
          <w:tcPr>
            <w:tcW w:w="169" w:type="pct"/>
          </w:tcPr>
          <w:p w14:paraId="618B0D09" w14:textId="77777777" w:rsidR="00862B0B" w:rsidRPr="00A67277" w:rsidRDefault="00862B0B" w:rsidP="00862B0B">
            <w:pPr>
              <w:spacing w:before="60" w:after="60"/>
              <w:rPr>
                <w:rFonts w:ascii="Arial" w:eastAsia="Arial Unicode MS" w:hAnsi="Arial" w:cs="Arial"/>
                <w:b/>
                <w:sz w:val="21"/>
                <w:szCs w:val="21"/>
                <w:lang w:val="en-GB" w:eastAsia="en-GB"/>
              </w:rPr>
            </w:pPr>
          </w:p>
        </w:tc>
        <w:tc>
          <w:tcPr>
            <w:tcW w:w="2561" w:type="pct"/>
            <w:gridSpan w:val="2"/>
          </w:tcPr>
          <w:p w14:paraId="2E7FF89F" w14:textId="77777777" w:rsidR="00862B0B" w:rsidRPr="00A67277" w:rsidRDefault="00862B0B" w:rsidP="00862B0B">
            <w:pPr>
              <w:pStyle w:val="Body2"/>
              <w:spacing w:before="60" w:after="60"/>
              <w:ind w:left="878"/>
              <w:rPr>
                <w:rFonts w:cs="Arial"/>
                <w:b/>
              </w:rPr>
            </w:pPr>
            <w:r w:rsidRPr="00A67277">
              <w:rPr>
                <w:rFonts w:cs="Arial"/>
                <w:b/>
              </w:rPr>
              <w:t xml:space="preserve">Pemberitahuan Pengakhiran </w:t>
            </w:r>
            <w:r w:rsidRPr="00A67277">
              <w:rPr>
                <w:rFonts w:cs="Arial"/>
              </w:rPr>
              <w:t>didefinisikan di dalam Pasal 24.4 (Prosedur Pemulihan dan Pengakhiran karena Cidera Janji);</w:t>
            </w:r>
          </w:p>
        </w:tc>
      </w:tr>
      <w:tr w:rsidR="00862B0B" w:rsidRPr="00A67277" w14:paraId="2CEEA02D" w14:textId="77777777" w:rsidTr="00862B0B">
        <w:tc>
          <w:tcPr>
            <w:tcW w:w="2270" w:type="pct"/>
          </w:tcPr>
          <w:p w14:paraId="6E68AE99" w14:textId="77777777" w:rsidR="00862B0B" w:rsidRPr="00A67277" w:rsidRDefault="00862B0B" w:rsidP="00862B0B">
            <w:pPr>
              <w:pStyle w:val="Body2"/>
              <w:spacing w:before="60" w:after="60"/>
              <w:ind w:left="851"/>
              <w:rPr>
                <w:rFonts w:cs="Arial"/>
              </w:rPr>
            </w:pPr>
            <w:r w:rsidRPr="00A67277">
              <w:rPr>
                <w:rFonts w:cs="Arial"/>
                <w:b/>
              </w:rPr>
              <w:t xml:space="preserve">Termination Payment Date </w:t>
            </w:r>
            <w:r w:rsidRPr="00A67277">
              <w:rPr>
                <w:rFonts w:cs="Arial"/>
              </w:rPr>
              <w:t>means, in the event of early termination of this Agreement, the date when the Termination Cost is actually paid by the GCA to the IBE in full, which shall not be latter than one hundred and eighty (180) Days from the Termination Date;</w:t>
            </w:r>
          </w:p>
        </w:tc>
        <w:tc>
          <w:tcPr>
            <w:tcW w:w="169" w:type="pct"/>
          </w:tcPr>
          <w:p w14:paraId="40FF0A02" w14:textId="77777777" w:rsidR="00862B0B" w:rsidRPr="00A67277" w:rsidRDefault="00862B0B" w:rsidP="00862B0B">
            <w:pPr>
              <w:spacing w:before="60" w:after="60"/>
              <w:rPr>
                <w:rFonts w:ascii="Arial" w:hAnsi="Arial" w:cs="Arial"/>
                <w:sz w:val="21"/>
                <w:szCs w:val="21"/>
              </w:rPr>
            </w:pPr>
          </w:p>
        </w:tc>
        <w:tc>
          <w:tcPr>
            <w:tcW w:w="2561" w:type="pct"/>
            <w:gridSpan w:val="2"/>
          </w:tcPr>
          <w:p w14:paraId="132FD442" w14:textId="00D11252" w:rsidR="00862B0B" w:rsidRPr="00A67277" w:rsidRDefault="00862B0B" w:rsidP="00862B0B">
            <w:pPr>
              <w:pStyle w:val="Body2"/>
              <w:spacing w:before="60" w:after="60"/>
              <w:ind w:left="878"/>
              <w:rPr>
                <w:rFonts w:cs="Arial"/>
              </w:rPr>
            </w:pPr>
            <w:r w:rsidRPr="00A67277">
              <w:rPr>
                <w:rFonts w:cs="Arial"/>
                <w:b/>
              </w:rPr>
              <w:t xml:space="preserve">Tanggal Pembayaran Pengakhiran </w:t>
            </w:r>
            <w:r w:rsidRPr="00A67277">
              <w:rPr>
                <w:rFonts w:cs="Arial"/>
              </w:rPr>
              <w:t>berarti, dalam hal pengakhiran lebih awal dari Perjanjian ini, tanggal di saat Biaya Pengakhiran secara aktual dibayarkan oleh PJPK kepada BUP secara penuh, yang tidak boleh lebih dari seratus delapan puluh (180) Hari sejak Tanggal Pengakhiran;</w:t>
            </w:r>
          </w:p>
        </w:tc>
      </w:tr>
      <w:tr w:rsidR="00862B0B" w:rsidRPr="00A67277" w14:paraId="79C1E4A5" w14:textId="77777777" w:rsidTr="00862B0B">
        <w:tc>
          <w:tcPr>
            <w:tcW w:w="2270" w:type="pct"/>
          </w:tcPr>
          <w:p w14:paraId="59839AAA" w14:textId="77777777" w:rsidR="00862B0B" w:rsidRPr="00A67277" w:rsidRDefault="00862B0B" w:rsidP="00862B0B">
            <w:pPr>
              <w:pStyle w:val="Body2"/>
              <w:spacing w:before="60" w:after="60"/>
              <w:ind w:left="851"/>
              <w:rPr>
                <w:rFonts w:cs="Arial"/>
              </w:rPr>
            </w:pPr>
            <w:r w:rsidRPr="00A67277">
              <w:rPr>
                <w:rFonts w:cs="Arial"/>
                <w:b/>
              </w:rPr>
              <w:t>Third Party Expert</w:t>
            </w:r>
            <w:r w:rsidRPr="00A67277">
              <w:rPr>
                <w:rFonts w:cs="Arial"/>
              </w:rPr>
              <w:t xml:space="preserve"> means an expert who is appointed by the Parties. </w:t>
            </w:r>
          </w:p>
        </w:tc>
        <w:tc>
          <w:tcPr>
            <w:tcW w:w="169" w:type="pct"/>
          </w:tcPr>
          <w:p w14:paraId="28D14E11" w14:textId="77777777" w:rsidR="00862B0B" w:rsidRPr="00A67277" w:rsidRDefault="00862B0B" w:rsidP="00862B0B">
            <w:pPr>
              <w:spacing w:before="60" w:after="60"/>
              <w:rPr>
                <w:rFonts w:ascii="Arial" w:hAnsi="Arial" w:cs="Arial"/>
                <w:sz w:val="21"/>
                <w:szCs w:val="21"/>
              </w:rPr>
            </w:pPr>
          </w:p>
        </w:tc>
        <w:tc>
          <w:tcPr>
            <w:tcW w:w="2561" w:type="pct"/>
            <w:gridSpan w:val="2"/>
          </w:tcPr>
          <w:p w14:paraId="00ACA1A5" w14:textId="1E8C1D96" w:rsidR="00862B0B" w:rsidRPr="00A67277" w:rsidRDefault="00862B0B" w:rsidP="00862B0B">
            <w:pPr>
              <w:pStyle w:val="Body2"/>
              <w:spacing w:before="60" w:after="60"/>
              <w:ind w:left="878"/>
              <w:rPr>
                <w:rFonts w:cs="Arial"/>
              </w:rPr>
            </w:pPr>
            <w:r w:rsidRPr="00A67277">
              <w:rPr>
                <w:rFonts w:cs="Arial"/>
                <w:b/>
              </w:rPr>
              <w:t>Ahli Independen</w:t>
            </w:r>
            <w:r w:rsidRPr="00A67277">
              <w:rPr>
                <w:rFonts w:cs="Arial"/>
              </w:rPr>
              <w:t xml:space="preserve"> berarti ahli yang ditunjuk oleh Para Pihak.</w:t>
            </w:r>
          </w:p>
        </w:tc>
      </w:tr>
      <w:tr w:rsidR="00862B0B" w:rsidRPr="00A67277" w14:paraId="5E1712D7" w14:textId="77777777" w:rsidTr="00862B0B">
        <w:tc>
          <w:tcPr>
            <w:tcW w:w="2270" w:type="pct"/>
          </w:tcPr>
          <w:p w14:paraId="1E6D8681" w14:textId="77777777" w:rsidR="00862B0B" w:rsidRPr="00A67277" w:rsidRDefault="00862B0B" w:rsidP="00862B0B">
            <w:pPr>
              <w:pStyle w:val="Body2"/>
              <w:spacing w:before="60" w:after="60"/>
              <w:ind w:left="851"/>
              <w:rPr>
                <w:rFonts w:cs="Arial"/>
                <w:b/>
              </w:rPr>
            </w:pPr>
            <w:r w:rsidRPr="00A67277">
              <w:rPr>
                <w:rFonts w:cs="Arial"/>
                <w:b/>
              </w:rPr>
              <w:t xml:space="preserve">Toll Road </w:t>
            </w:r>
            <w:r w:rsidRPr="00A67277">
              <w:rPr>
                <w:rFonts w:cs="Arial"/>
              </w:rPr>
              <w:t>means a public road which is part of national road network where the road user is required to pay toll;</w:t>
            </w:r>
          </w:p>
        </w:tc>
        <w:tc>
          <w:tcPr>
            <w:tcW w:w="169" w:type="pct"/>
          </w:tcPr>
          <w:p w14:paraId="6ACDCBEB" w14:textId="77777777" w:rsidR="00862B0B" w:rsidRPr="00A67277" w:rsidRDefault="00862B0B" w:rsidP="00862B0B">
            <w:pPr>
              <w:spacing w:before="60" w:after="60"/>
              <w:rPr>
                <w:rFonts w:ascii="Arial" w:hAnsi="Arial" w:cs="Arial"/>
                <w:sz w:val="21"/>
                <w:szCs w:val="21"/>
              </w:rPr>
            </w:pPr>
          </w:p>
        </w:tc>
        <w:tc>
          <w:tcPr>
            <w:tcW w:w="2561" w:type="pct"/>
            <w:gridSpan w:val="2"/>
          </w:tcPr>
          <w:p w14:paraId="7414D407" w14:textId="77777777" w:rsidR="00862B0B" w:rsidRPr="00A67277" w:rsidRDefault="00862B0B" w:rsidP="00862B0B">
            <w:pPr>
              <w:pStyle w:val="Body2"/>
              <w:spacing w:before="60" w:after="60"/>
              <w:ind w:left="878"/>
              <w:rPr>
                <w:rFonts w:cs="Arial"/>
                <w:b/>
              </w:rPr>
            </w:pPr>
            <w:r w:rsidRPr="00A67277">
              <w:rPr>
                <w:rFonts w:cs="Arial"/>
                <w:b/>
              </w:rPr>
              <w:t xml:space="preserve">Jalan Tol </w:t>
            </w:r>
            <w:r w:rsidRPr="00A67277">
              <w:rPr>
                <w:rFonts w:cs="Arial"/>
              </w:rPr>
              <w:t>berarti jalan umum yang merupakan bagian sistem jaringan jalan dan sebagai jalan nasional yang penggunanya diwajibkan membayar tol;</w:t>
            </w:r>
          </w:p>
        </w:tc>
      </w:tr>
      <w:tr w:rsidR="00862B0B" w:rsidRPr="00A67277" w14:paraId="54B58101" w14:textId="77777777" w:rsidTr="00862B0B">
        <w:tc>
          <w:tcPr>
            <w:tcW w:w="2270" w:type="pct"/>
          </w:tcPr>
          <w:p w14:paraId="2A61B0BC" w14:textId="77777777" w:rsidR="00862B0B" w:rsidRDefault="00862B0B" w:rsidP="00862B0B">
            <w:pPr>
              <w:pStyle w:val="Body2"/>
              <w:spacing w:before="60" w:after="60"/>
              <w:ind w:left="851"/>
              <w:rPr>
                <w:rFonts w:cs="Arial"/>
              </w:rPr>
            </w:pPr>
            <w:r w:rsidRPr="00A67277">
              <w:rPr>
                <w:rFonts w:cs="Arial"/>
                <w:b/>
              </w:rPr>
              <w:t xml:space="preserve">Toll Road Users </w:t>
            </w:r>
            <w:r w:rsidRPr="00A67277">
              <w:rPr>
                <w:rFonts w:cs="Arial"/>
              </w:rPr>
              <w:t xml:space="preserve">means the legal owner of the vehicle and in the case of driver is known the driver of the vehicle passing a Toll Road. </w:t>
            </w:r>
          </w:p>
          <w:p w14:paraId="00C5EBBA" w14:textId="77777777" w:rsidR="00862B0B" w:rsidRDefault="00862B0B" w:rsidP="00862B0B">
            <w:pPr>
              <w:pStyle w:val="Body2"/>
              <w:spacing w:before="60" w:after="60"/>
              <w:ind w:left="851"/>
              <w:rPr>
                <w:rFonts w:cs="Arial"/>
                <w:highlight w:val="yellow"/>
              </w:rPr>
            </w:pPr>
          </w:p>
          <w:p w14:paraId="53CA940C" w14:textId="0E1C998B" w:rsidR="00862B0B" w:rsidRPr="00A67277" w:rsidRDefault="00862B0B" w:rsidP="00862B0B">
            <w:pPr>
              <w:pStyle w:val="Body2"/>
              <w:spacing w:before="60" w:after="60"/>
              <w:ind w:left="851"/>
              <w:rPr>
                <w:rFonts w:cs="Arial"/>
                <w:highlight w:val="yellow"/>
              </w:rPr>
            </w:pPr>
          </w:p>
        </w:tc>
        <w:tc>
          <w:tcPr>
            <w:tcW w:w="169" w:type="pct"/>
          </w:tcPr>
          <w:p w14:paraId="1D9E5FDC" w14:textId="77777777" w:rsidR="00862B0B" w:rsidRPr="00A67277" w:rsidRDefault="00862B0B" w:rsidP="00862B0B">
            <w:pPr>
              <w:spacing w:before="60" w:after="60"/>
              <w:rPr>
                <w:rFonts w:ascii="Arial" w:hAnsi="Arial" w:cs="Arial"/>
                <w:sz w:val="21"/>
                <w:szCs w:val="21"/>
              </w:rPr>
            </w:pPr>
          </w:p>
        </w:tc>
        <w:tc>
          <w:tcPr>
            <w:tcW w:w="2561" w:type="pct"/>
            <w:gridSpan w:val="2"/>
          </w:tcPr>
          <w:p w14:paraId="5FD04A0B" w14:textId="712715B3" w:rsidR="00862B0B" w:rsidRPr="00A67277" w:rsidRDefault="00862B0B" w:rsidP="00862B0B">
            <w:pPr>
              <w:pStyle w:val="Body2"/>
              <w:spacing w:before="60" w:after="60"/>
              <w:ind w:left="878"/>
              <w:rPr>
                <w:rFonts w:cs="Arial"/>
              </w:rPr>
            </w:pPr>
            <w:r w:rsidRPr="00A67277">
              <w:rPr>
                <w:rFonts w:cs="Arial"/>
                <w:b/>
              </w:rPr>
              <w:t xml:space="preserve">Pengguna Jalan Tol </w:t>
            </w:r>
            <w:r w:rsidRPr="00A67277">
              <w:rPr>
                <w:rFonts w:cs="Arial"/>
              </w:rPr>
              <w:t>berarti pemilik sah kendaraan dan dalam hal identitas pengemudi diketahui, pengemudi kendaraan yang  melintasi Jalan Tol.</w:t>
            </w:r>
          </w:p>
        </w:tc>
      </w:tr>
      <w:tr w:rsidR="00862B0B" w:rsidRPr="00A67277" w14:paraId="794D43CE" w14:textId="77777777" w:rsidTr="00862B0B">
        <w:tc>
          <w:tcPr>
            <w:tcW w:w="2270" w:type="pct"/>
          </w:tcPr>
          <w:p w14:paraId="3BA4E294" w14:textId="77777777" w:rsidR="00862B0B" w:rsidRPr="00A67277" w:rsidRDefault="00862B0B" w:rsidP="00862B0B">
            <w:pPr>
              <w:pStyle w:val="Body2"/>
              <w:spacing w:before="60" w:after="60"/>
              <w:ind w:left="851"/>
              <w:rPr>
                <w:rFonts w:cs="Arial"/>
              </w:rPr>
            </w:pPr>
            <w:r w:rsidRPr="00A67277">
              <w:rPr>
                <w:rFonts w:cs="Arial"/>
                <w:b/>
              </w:rPr>
              <w:t xml:space="preserve">Transfer Date </w:t>
            </w:r>
            <w:r w:rsidRPr="00A67277">
              <w:rPr>
                <w:rFonts w:cs="Arial"/>
              </w:rPr>
              <w:t>means:</w:t>
            </w:r>
          </w:p>
        </w:tc>
        <w:tc>
          <w:tcPr>
            <w:tcW w:w="169" w:type="pct"/>
          </w:tcPr>
          <w:p w14:paraId="3F952221" w14:textId="77777777" w:rsidR="00862B0B" w:rsidRPr="00A67277" w:rsidRDefault="00862B0B" w:rsidP="00862B0B">
            <w:pPr>
              <w:spacing w:before="60" w:after="60"/>
              <w:rPr>
                <w:rFonts w:ascii="Arial" w:hAnsi="Arial" w:cs="Arial"/>
                <w:sz w:val="21"/>
                <w:szCs w:val="21"/>
              </w:rPr>
            </w:pPr>
          </w:p>
        </w:tc>
        <w:tc>
          <w:tcPr>
            <w:tcW w:w="2561" w:type="pct"/>
            <w:gridSpan w:val="2"/>
          </w:tcPr>
          <w:p w14:paraId="574B2813" w14:textId="77777777" w:rsidR="00862B0B" w:rsidRPr="00A67277" w:rsidRDefault="00862B0B" w:rsidP="00862B0B">
            <w:pPr>
              <w:pStyle w:val="Body2"/>
              <w:spacing w:before="60" w:after="60"/>
              <w:ind w:left="878"/>
              <w:rPr>
                <w:rFonts w:cs="Arial"/>
              </w:rPr>
            </w:pPr>
            <w:r w:rsidRPr="00A67277">
              <w:rPr>
                <w:rFonts w:cs="Arial"/>
                <w:b/>
              </w:rPr>
              <w:t xml:space="preserve">Tanggal Penyerahan </w:t>
            </w:r>
            <w:r w:rsidRPr="00A67277">
              <w:rPr>
                <w:rFonts w:cs="Arial"/>
              </w:rPr>
              <w:t>berarti:</w:t>
            </w:r>
          </w:p>
        </w:tc>
      </w:tr>
      <w:tr w:rsidR="00862B0B" w:rsidRPr="00A67277" w14:paraId="520FEB5A" w14:textId="77777777" w:rsidTr="00862B0B">
        <w:tc>
          <w:tcPr>
            <w:tcW w:w="2270" w:type="pct"/>
          </w:tcPr>
          <w:p w14:paraId="242F2D0D" w14:textId="77777777" w:rsidR="00862B0B" w:rsidRPr="00A67277" w:rsidRDefault="00862B0B" w:rsidP="00862B0B">
            <w:pPr>
              <w:pStyle w:val="ListParagraph"/>
              <w:numPr>
                <w:ilvl w:val="0"/>
                <w:numId w:val="233"/>
              </w:numPr>
              <w:spacing w:before="60" w:after="60" w:line="240" w:lineRule="auto"/>
              <w:ind w:left="1276" w:hanging="425"/>
              <w:rPr>
                <w:rFonts w:cs="Arial"/>
              </w:rPr>
            </w:pPr>
            <w:r w:rsidRPr="00A67277">
              <w:rPr>
                <w:rFonts w:eastAsia="Times New Roman" w:cs="Arial"/>
              </w:rPr>
              <w:t>the Expiry Date</w:t>
            </w:r>
            <w:r w:rsidRPr="00A67277">
              <w:rPr>
                <w:rFonts w:cs="Arial"/>
              </w:rPr>
              <w:t>; or</w:t>
            </w:r>
          </w:p>
        </w:tc>
        <w:tc>
          <w:tcPr>
            <w:tcW w:w="169" w:type="pct"/>
          </w:tcPr>
          <w:p w14:paraId="40DFFEE6" w14:textId="77777777" w:rsidR="00862B0B" w:rsidRPr="00A67277" w:rsidRDefault="00862B0B" w:rsidP="00862B0B">
            <w:pPr>
              <w:spacing w:before="60" w:after="60"/>
              <w:rPr>
                <w:rFonts w:ascii="Arial" w:hAnsi="Arial" w:cs="Arial"/>
                <w:sz w:val="21"/>
                <w:szCs w:val="21"/>
              </w:rPr>
            </w:pPr>
          </w:p>
        </w:tc>
        <w:tc>
          <w:tcPr>
            <w:tcW w:w="2561" w:type="pct"/>
            <w:gridSpan w:val="2"/>
          </w:tcPr>
          <w:p w14:paraId="6C4299B7" w14:textId="77777777" w:rsidR="00862B0B" w:rsidRPr="00A67277" w:rsidRDefault="00862B0B" w:rsidP="00862B0B">
            <w:pPr>
              <w:pStyle w:val="Body2"/>
              <w:numPr>
                <w:ilvl w:val="0"/>
                <w:numId w:val="196"/>
              </w:numPr>
              <w:spacing w:before="60" w:after="60"/>
              <w:ind w:left="1303" w:hanging="425"/>
              <w:rPr>
                <w:rFonts w:cs="Arial"/>
              </w:rPr>
            </w:pPr>
            <w:r w:rsidRPr="00A67277">
              <w:rPr>
                <w:rFonts w:eastAsia="Times New Roman" w:cs="Arial"/>
              </w:rPr>
              <w:t>Tanggal Daluarsa Perjanjian</w:t>
            </w:r>
            <w:r w:rsidRPr="00A67277">
              <w:rPr>
                <w:rFonts w:cs="Arial"/>
              </w:rPr>
              <w:t>; atau</w:t>
            </w:r>
          </w:p>
        </w:tc>
      </w:tr>
      <w:tr w:rsidR="00862B0B" w:rsidRPr="00A67277" w14:paraId="5184B3CF" w14:textId="77777777" w:rsidTr="00862B0B">
        <w:tc>
          <w:tcPr>
            <w:tcW w:w="2270" w:type="pct"/>
          </w:tcPr>
          <w:p w14:paraId="47C4CEDC" w14:textId="77777777" w:rsidR="00862B0B" w:rsidRPr="00A67277" w:rsidRDefault="00862B0B" w:rsidP="00862B0B">
            <w:pPr>
              <w:pStyle w:val="ListParagraph"/>
              <w:numPr>
                <w:ilvl w:val="0"/>
                <w:numId w:val="233"/>
              </w:numPr>
              <w:spacing w:before="60" w:after="60" w:line="240" w:lineRule="auto"/>
              <w:ind w:left="1276" w:hanging="425"/>
              <w:rPr>
                <w:rFonts w:cs="Arial"/>
              </w:rPr>
            </w:pPr>
            <w:r w:rsidRPr="00A67277">
              <w:rPr>
                <w:rFonts w:eastAsia="Times New Roman" w:cs="Arial"/>
              </w:rPr>
              <w:t>(if the Agreement is terminated earlier in accordance to the provisions of this Agreement) the Termination Date or Termination Payment Date (whichever the latter);</w:t>
            </w:r>
          </w:p>
        </w:tc>
        <w:tc>
          <w:tcPr>
            <w:tcW w:w="169" w:type="pct"/>
          </w:tcPr>
          <w:p w14:paraId="6440AEBA" w14:textId="77777777" w:rsidR="00862B0B" w:rsidRPr="00A67277" w:rsidRDefault="00862B0B" w:rsidP="00862B0B">
            <w:pPr>
              <w:spacing w:before="60" w:after="60"/>
              <w:rPr>
                <w:rFonts w:ascii="Arial" w:hAnsi="Arial" w:cs="Arial"/>
                <w:sz w:val="21"/>
                <w:szCs w:val="21"/>
              </w:rPr>
            </w:pPr>
          </w:p>
        </w:tc>
        <w:tc>
          <w:tcPr>
            <w:tcW w:w="2561" w:type="pct"/>
            <w:gridSpan w:val="2"/>
          </w:tcPr>
          <w:p w14:paraId="207C097D" w14:textId="77777777" w:rsidR="00862B0B" w:rsidRPr="00A67277" w:rsidRDefault="00862B0B" w:rsidP="00862B0B">
            <w:pPr>
              <w:pStyle w:val="Body2"/>
              <w:numPr>
                <w:ilvl w:val="0"/>
                <w:numId w:val="196"/>
              </w:numPr>
              <w:spacing w:before="60" w:after="60"/>
              <w:ind w:left="1303" w:hanging="425"/>
              <w:rPr>
                <w:rFonts w:eastAsia="Times New Roman" w:cs="Arial"/>
              </w:rPr>
            </w:pPr>
            <w:r w:rsidRPr="00A67277">
              <w:rPr>
                <w:rFonts w:eastAsia="Times New Roman" w:cs="Arial"/>
              </w:rPr>
              <w:t>(jika Perjanjian diakhiri lebih awal sesuai dengan ketentuan dari Perjanjian ini) Tanggal Pengakhiran atau Tanggal Pembayaran Pengakhiran (yang mana yang lebih akhir terjadi);</w:t>
            </w:r>
          </w:p>
        </w:tc>
      </w:tr>
      <w:tr w:rsidR="00862B0B" w:rsidRPr="00A67277" w14:paraId="414AA8A7" w14:textId="77777777" w:rsidTr="00862B0B">
        <w:tc>
          <w:tcPr>
            <w:tcW w:w="2270" w:type="pct"/>
          </w:tcPr>
          <w:p w14:paraId="6AF2FD44" w14:textId="77777777" w:rsidR="00862B0B" w:rsidRPr="00A67277" w:rsidRDefault="00862B0B" w:rsidP="00862B0B">
            <w:pPr>
              <w:pStyle w:val="Body2"/>
              <w:spacing w:before="60" w:after="60"/>
              <w:ind w:left="851"/>
              <w:rPr>
                <w:rFonts w:cs="Arial"/>
                <w:b/>
              </w:rPr>
            </w:pPr>
            <w:r w:rsidRPr="00A67277">
              <w:rPr>
                <w:rFonts w:cs="Arial"/>
                <w:b/>
                <w:spacing w:val="1"/>
                <w:w w:val="102"/>
              </w:rPr>
              <w:t>Tribunal</w:t>
            </w:r>
            <w:r w:rsidRPr="00A67277">
              <w:rPr>
                <w:rFonts w:cs="Arial"/>
                <w:w w:val="102"/>
              </w:rPr>
              <w:t xml:space="preserve"> is defined in Clause 28.3(a) (</w:t>
            </w:r>
            <w:r w:rsidRPr="00A67277">
              <w:rPr>
                <w:rFonts w:cs="Arial"/>
                <w:i/>
                <w:w w:val="102"/>
              </w:rPr>
              <w:t>Arbitration</w:t>
            </w:r>
            <w:r w:rsidRPr="00A67277">
              <w:rPr>
                <w:rFonts w:cs="Arial"/>
                <w:w w:val="102"/>
              </w:rPr>
              <w:t>);</w:t>
            </w:r>
          </w:p>
        </w:tc>
        <w:tc>
          <w:tcPr>
            <w:tcW w:w="169" w:type="pct"/>
          </w:tcPr>
          <w:p w14:paraId="06EAF738" w14:textId="77777777" w:rsidR="00862B0B" w:rsidRPr="00A67277" w:rsidRDefault="00862B0B" w:rsidP="00862B0B">
            <w:pPr>
              <w:spacing w:before="60" w:after="60"/>
              <w:rPr>
                <w:rFonts w:ascii="Arial" w:hAnsi="Arial" w:cs="Arial"/>
                <w:sz w:val="21"/>
                <w:szCs w:val="21"/>
              </w:rPr>
            </w:pPr>
          </w:p>
        </w:tc>
        <w:tc>
          <w:tcPr>
            <w:tcW w:w="2561" w:type="pct"/>
            <w:gridSpan w:val="2"/>
          </w:tcPr>
          <w:p w14:paraId="7F1AC6D4" w14:textId="0378670C" w:rsidR="00862B0B" w:rsidRPr="00A67277" w:rsidRDefault="00862B0B" w:rsidP="00862B0B">
            <w:pPr>
              <w:pStyle w:val="Body2"/>
              <w:spacing w:before="60" w:after="60"/>
              <w:ind w:left="878"/>
              <w:rPr>
                <w:rFonts w:cs="Arial"/>
                <w:b/>
              </w:rPr>
            </w:pPr>
            <w:r w:rsidRPr="00A67277">
              <w:rPr>
                <w:rFonts w:cs="Arial"/>
                <w:b/>
                <w:spacing w:val="1"/>
                <w:w w:val="102"/>
              </w:rPr>
              <w:t>Arbitrase</w:t>
            </w:r>
            <w:r w:rsidRPr="00A67277">
              <w:rPr>
                <w:rFonts w:cs="Arial"/>
                <w:w w:val="102"/>
              </w:rPr>
              <w:t xml:space="preserve"> </w:t>
            </w:r>
            <w:r w:rsidRPr="00A67277">
              <w:rPr>
                <w:rFonts w:cs="Arial"/>
              </w:rPr>
              <w:t xml:space="preserve">didefinisikan di dalam </w:t>
            </w:r>
            <w:r w:rsidRPr="00A67277">
              <w:rPr>
                <w:rFonts w:cs="Arial"/>
                <w:w w:val="102"/>
              </w:rPr>
              <w:t>Pasal 28.3(a) (</w:t>
            </w:r>
            <w:r w:rsidRPr="00A67277">
              <w:rPr>
                <w:rFonts w:cs="Arial"/>
                <w:i/>
                <w:w w:val="102"/>
              </w:rPr>
              <w:t>Arbitrase</w:t>
            </w:r>
            <w:r w:rsidRPr="00A67277">
              <w:rPr>
                <w:rFonts w:cs="Arial"/>
                <w:w w:val="102"/>
              </w:rPr>
              <w:t>);</w:t>
            </w:r>
          </w:p>
        </w:tc>
      </w:tr>
      <w:tr w:rsidR="00862B0B" w:rsidRPr="00A67277" w14:paraId="6DB2860D" w14:textId="77777777" w:rsidTr="00862B0B">
        <w:tc>
          <w:tcPr>
            <w:tcW w:w="2270" w:type="pct"/>
          </w:tcPr>
          <w:p w14:paraId="708605AE" w14:textId="5A644B72" w:rsidR="00862B0B" w:rsidRPr="00A67277" w:rsidRDefault="00862B0B" w:rsidP="00862B0B">
            <w:pPr>
              <w:pStyle w:val="Body2"/>
              <w:spacing w:before="60" w:after="60"/>
              <w:ind w:left="851"/>
              <w:rPr>
                <w:rFonts w:cs="Arial"/>
                <w:b/>
                <w:spacing w:val="1"/>
                <w:w w:val="102"/>
              </w:rPr>
            </w:pPr>
            <w:r w:rsidRPr="00A67277">
              <w:rPr>
                <w:rFonts w:cs="Arial"/>
                <w:b/>
                <w:spacing w:val="1"/>
                <w:w w:val="102"/>
              </w:rPr>
              <w:t xml:space="preserve">User MLFF System Device </w:t>
            </w:r>
            <w:r w:rsidRPr="00A67277">
              <w:rPr>
                <w:rFonts w:cs="Arial"/>
                <w:bCs/>
                <w:spacing w:val="1"/>
                <w:w w:val="102"/>
              </w:rPr>
              <w:t xml:space="preserve">means  a piece of equipment and/or software integrated </w:t>
            </w:r>
            <w:r>
              <w:rPr>
                <w:rFonts w:cs="Arial"/>
                <w:bCs/>
                <w:spacing w:val="1"/>
                <w:w w:val="102"/>
              </w:rPr>
              <w:t>with</w:t>
            </w:r>
            <w:r w:rsidRPr="00A67277">
              <w:rPr>
                <w:rFonts w:cs="Arial"/>
                <w:bCs/>
                <w:spacing w:val="1"/>
                <w:w w:val="102"/>
              </w:rPr>
              <w:t xml:space="preserve"> the Facility, registered and used by the Toll Road User in order to support the identification of the use of toll roads in the MLFF System</w:t>
            </w:r>
            <w:r>
              <w:rPr>
                <w:rFonts w:cs="Arial"/>
                <w:bCs/>
                <w:spacing w:val="1"/>
                <w:w w:val="102"/>
              </w:rPr>
              <w:t xml:space="preserve"> via Satellite technology</w:t>
            </w:r>
            <w:r w:rsidRPr="00A67277">
              <w:rPr>
                <w:rFonts w:cs="Arial"/>
                <w:bCs/>
                <w:spacing w:val="1"/>
                <w:w w:val="102"/>
              </w:rPr>
              <w:t xml:space="preserve">;  </w:t>
            </w:r>
          </w:p>
        </w:tc>
        <w:tc>
          <w:tcPr>
            <w:tcW w:w="169" w:type="pct"/>
          </w:tcPr>
          <w:p w14:paraId="6094CBAF" w14:textId="77777777" w:rsidR="00862B0B" w:rsidRPr="00A67277" w:rsidRDefault="00862B0B" w:rsidP="00862B0B">
            <w:pPr>
              <w:spacing w:before="60" w:after="60"/>
              <w:rPr>
                <w:rFonts w:ascii="Arial" w:hAnsi="Arial" w:cs="Arial"/>
                <w:sz w:val="21"/>
                <w:szCs w:val="21"/>
              </w:rPr>
            </w:pPr>
          </w:p>
        </w:tc>
        <w:tc>
          <w:tcPr>
            <w:tcW w:w="2561" w:type="pct"/>
            <w:gridSpan w:val="2"/>
          </w:tcPr>
          <w:p w14:paraId="4756F2EF" w14:textId="459649F1" w:rsidR="00862B0B" w:rsidRPr="00A67277" w:rsidRDefault="00862B0B" w:rsidP="00862B0B">
            <w:pPr>
              <w:pStyle w:val="Body2"/>
              <w:spacing w:before="60" w:after="60"/>
              <w:ind w:left="878"/>
              <w:rPr>
                <w:rFonts w:cs="Arial"/>
                <w:b/>
                <w:spacing w:val="1"/>
                <w:w w:val="102"/>
              </w:rPr>
            </w:pPr>
            <w:r w:rsidRPr="00A67277">
              <w:rPr>
                <w:rFonts w:cs="Arial"/>
                <w:b/>
                <w:spacing w:val="1"/>
                <w:w w:val="102"/>
              </w:rPr>
              <w:t xml:space="preserve">Perangkat Sistem MLFF Pengguna </w:t>
            </w:r>
            <w:r w:rsidRPr="00A67277">
              <w:rPr>
                <w:rFonts w:cs="Arial"/>
                <w:bCs/>
                <w:spacing w:val="1"/>
                <w:w w:val="102"/>
              </w:rPr>
              <w:t>berarti berarti seperangkat peralatan dan/atau piranti lunak (</w:t>
            </w:r>
            <w:r w:rsidRPr="00A67277">
              <w:rPr>
                <w:rFonts w:cs="Arial"/>
                <w:bCs/>
                <w:i/>
                <w:spacing w:val="1"/>
                <w:w w:val="102"/>
              </w:rPr>
              <w:t xml:space="preserve">software) </w:t>
            </w:r>
            <w:r w:rsidRPr="00A67277">
              <w:rPr>
                <w:rFonts w:cs="Arial"/>
                <w:bCs/>
                <w:spacing w:val="1"/>
                <w:w w:val="102"/>
              </w:rPr>
              <w:t>yang terintegrasi dengan Fasilitas, terdaftar dan digunakan oleh Pengguna Jalan Tol dalam rangka mendukung identifikasi penggunaan Jalan Tol dalam Sistem MLFF</w:t>
            </w:r>
            <w:r>
              <w:rPr>
                <w:rFonts w:cs="Arial"/>
                <w:bCs/>
                <w:spacing w:val="1"/>
                <w:w w:val="102"/>
              </w:rPr>
              <w:t xml:space="preserve"> melalui teknologi satelit</w:t>
            </w:r>
            <w:r w:rsidRPr="00A67277">
              <w:rPr>
                <w:rFonts w:cs="Arial"/>
                <w:b/>
                <w:spacing w:val="1"/>
                <w:w w:val="102"/>
              </w:rPr>
              <w:t>;</w:t>
            </w:r>
          </w:p>
        </w:tc>
      </w:tr>
      <w:tr w:rsidR="00862B0B" w:rsidRPr="00A67277" w14:paraId="1F6E28CC" w14:textId="77777777" w:rsidTr="00862B0B">
        <w:tc>
          <w:tcPr>
            <w:tcW w:w="2270" w:type="pct"/>
          </w:tcPr>
          <w:p w14:paraId="6834EF66" w14:textId="25513D60" w:rsidR="00862B0B" w:rsidRPr="00A67277" w:rsidRDefault="00862B0B" w:rsidP="00862B0B">
            <w:pPr>
              <w:pStyle w:val="Body2"/>
              <w:spacing w:before="60" w:after="60"/>
              <w:ind w:left="851"/>
              <w:rPr>
                <w:rFonts w:cs="Arial"/>
                <w:b/>
              </w:rPr>
            </w:pPr>
            <w:r w:rsidRPr="00A67277">
              <w:rPr>
                <w:rFonts w:cs="Arial"/>
                <w:b/>
              </w:rPr>
              <w:t xml:space="preserve">Utilities </w:t>
            </w:r>
            <w:r w:rsidRPr="00A67277">
              <w:rPr>
                <w:rFonts w:cs="Arial"/>
              </w:rPr>
              <w:t>means any service or related item of infrastructure, including water, electricity, gas, telephone, drainage, sewerage, fiber optics, and electronic communications (other than infrastructure which is internal to the Project);</w:t>
            </w:r>
          </w:p>
        </w:tc>
        <w:tc>
          <w:tcPr>
            <w:tcW w:w="169" w:type="pct"/>
          </w:tcPr>
          <w:p w14:paraId="51D10900" w14:textId="77777777" w:rsidR="00862B0B" w:rsidRPr="00A67277" w:rsidRDefault="00862B0B" w:rsidP="00862B0B">
            <w:pPr>
              <w:spacing w:before="60" w:after="60"/>
              <w:rPr>
                <w:rFonts w:ascii="Arial" w:hAnsi="Arial" w:cs="Arial"/>
                <w:sz w:val="21"/>
                <w:szCs w:val="21"/>
              </w:rPr>
            </w:pPr>
          </w:p>
        </w:tc>
        <w:tc>
          <w:tcPr>
            <w:tcW w:w="2561" w:type="pct"/>
            <w:gridSpan w:val="2"/>
          </w:tcPr>
          <w:p w14:paraId="5B5322E2" w14:textId="1DDB68F9" w:rsidR="00862B0B" w:rsidRPr="00A67277" w:rsidRDefault="00862B0B" w:rsidP="00862B0B">
            <w:pPr>
              <w:pStyle w:val="Body2"/>
              <w:spacing w:before="60" w:after="60"/>
              <w:ind w:left="878"/>
              <w:rPr>
                <w:rFonts w:cs="Arial"/>
                <w:b/>
              </w:rPr>
            </w:pPr>
            <w:r w:rsidRPr="00A67277">
              <w:rPr>
                <w:rFonts w:cs="Arial"/>
                <w:b/>
              </w:rPr>
              <w:t xml:space="preserve">Utilitas </w:t>
            </w:r>
            <w:r w:rsidRPr="00A67277">
              <w:rPr>
                <w:rFonts w:cs="Arial"/>
              </w:rPr>
              <w:t>berarti</w:t>
            </w:r>
            <w:r w:rsidRPr="00A67277">
              <w:rPr>
                <w:rFonts w:cs="Arial"/>
                <w:b/>
              </w:rPr>
              <w:t xml:space="preserve"> </w:t>
            </w:r>
            <w:r w:rsidRPr="00A67277">
              <w:rPr>
                <w:rFonts w:cs="Arial"/>
              </w:rPr>
              <w:t>segala layanan atau hal yang terkait dari infrastruktur, termasuk air, listrik, gas, telepon, drainase, saluran pembuangan, serat opti</w:t>
            </w:r>
            <w:r>
              <w:rPr>
                <w:rFonts w:cs="Arial"/>
              </w:rPr>
              <w:t>k</w:t>
            </w:r>
            <w:r w:rsidRPr="00A67277">
              <w:rPr>
                <w:rFonts w:cs="Arial"/>
              </w:rPr>
              <w:t>, dan komunikasi elektronik (selain dari infrastruktur yang merupakan bagian dari Proyek);</w:t>
            </w:r>
          </w:p>
        </w:tc>
      </w:tr>
      <w:tr w:rsidR="00862B0B" w:rsidRPr="00A67277" w14:paraId="46A982FF" w14:textId="77777777" w:rsidTr="00862B0B">
        <w:tc>
          <w:tcPr>
            <w:tcW w:w="2270" w:type="pct"/>
          </w:tcPr>
          <w:p w14:paraId="601FD4C7" w14:textId="77777777" w:rsidR="00862B0B" w:rsidRPr="00A67277" w:rsidRDefault="00862B0B" w:rsidP="00862B0B">
            <w:pPr>
              <w:pStyle w:val="Body2"/>
              <w:spacing w:before="60" w:after="60"/>
              <w:ind w:left="851"/>
              <w:rPr>
                <w:rFonts w:cs="Arial"/>
                <w:lang w:val="en-US"/>
              </w:rPr>
            </w:pPr>
            <w:r w:rsidRPr="00A67277">
              <w:rPr>
                <w:rFonts w:cs="Arial"/>
                <w:b/>
                <w:lang w:val="en-US"/>
              </w:rPr>
              <w:t>Works</w:t>
            </w:r>
            <w:r w:rsidRPr="00A67277">
              <w:rPr>
                <w:rFonts w:cs="Arial"/>
                <w:lang w:val="en-US"/>
              </w:rPr>
              <w:t xml:space="preserve"> </w:t>
            </w:r>
            <w:r w:rsidRPr="00A67277">
              <w:rPr>
                <w:szCs w:val="24"/>
                <w:lang w:val="en-US"/>
              </w:rPr>
              <w:t>means all works for the development, construction, testing and completion of the Facility to be performed or procured by the IBE in accordance with this Agreement, and includes all permanent and temporary works of every kind (other than Contractor's equipment) necessary to gain access to the Site, required on the Site for the execution and completion of the permanent works and/or required for the remedying of any defects.</w:t>
            </w:r>
          </w:p>
        </w:tc>
        <w:tc>
          <w:tcPr>
            <w:tcW w:w="169" w:type="pct"/>
          </w:tcPr>
          <w:p w14:paraId="4032B8C0" w14:textId="77777777" w:rsidR="00862B0B" w:rsidRPr="00A67277" w:rsidRDefault="00862B0B" w:rsidP="00862B0B">
            <w:pPr>
              <w:spacing w:before="60" w:after="60"/>
              <w:rPr>
                <w:rFonts w:ascii="Arial" w:hAnsi="Arial" w:cs="Arial"/>
                <w:sz w:val="21"/>
                <w:szCs w:val="21"/>
              </w:rPr>
            </w:pPr>
          </w:p>
        </w:tc>
        <w:tc>
          <w:tcPr>
            <w:tcW w:w="2561" w:type="pct"/>
            <w:gridSpan w:val="2"/>
          </w:tcPr>
          <w:p w14:paraId="74E66B26" w14:textId="77777777" w:rsidR="00862B0B" w:rsidRPr="00A67277" w:rsidRDefault="00862B0B" w:rsidP="00862B0B">
            <w:pPr>
              <w:pStyle w:val="Body2"/>
              <w:spacing w:before="60" w:after="60"/>
              <w:ind w:left="878"/>
              <w:rPr>
                <w:rFonts w:cs="Arial"/>
                <w:lang w:val="en-US"/>
              </w:rPr>
            </w:pPr>
            <w:r w:rsidRPr="00A67277">
              <w:rPr>
                <w:rFonts w:cs="Arial"/>
                <w:b/>
                <w:lang w:val="en-US"/>
              </w:rPr>
              <w:t>Pekerjaan</w:t>
            </w:r>
            <w:r w:rsidRPr="00A67277">
              <w:rPr>
                <w:rFonts w:cs="Arial"/>
                <w:lang w:val="en-US"/>
              </w:rPr>
              <w:t xml:space="preserve"> berarti seluruh pekerjaan pengembangan, konstruksi, pengujian, dan penyelesaian Fasilitas yang akan dilaksanakan atau diadakan oleh BUP berdasarkan Perjanjian ini, dan meliputi </w:t>
            </w:r>
            <w:r w:rsidRPr="00A67277">
              <w:rPr>
                <w:rFonts w:eastAsia="Times New Roman" w:cs="Arial"/>
              </w:rPr>
              <w:t>semua pekerjaan sementara dalam bentuk apapun (selain dari peralatan Kontraktor) yang dibutuhkan untuk mendapatkan akses ke Lokasi, yang dibutuhkan di Lokasi untuk pelaksanaan dan penyelesaian dari pekerjaan permanen dan/atau dibutuhkan untuk memperbaiki segala cacat pekerjaan.</w:t>
            </w:r>
          </w:p>
        </w:tc>
      </w:tr>
      <w:tr w:rsidR="00862B0B" w:rsidRPr="00A67277" w14:paraId="03E3ED13" w14:textId="77777777" w:rsidTr="00862B0B">
        <w:tc>
          <w:tcPr>
            <w:tcW w:w="2270" w:type="pct"/>
          </w:tcPr>
          <w:p w14:paraId="70134394" w14:textId="77777777" w:rsidR="00862B0B" w:rsidRPr="00A67277" w:rsidRDefault="00862B0B" w:rsidP="00862B0B">
            <w:pPr>
              <w:pStyle w:val="Body2"/>
              <w:spacing w:before="60" w:after="60"/>
              <w:ind w:left="851"/>
              <w:rPr>
                <w:rFonts w:cs="Arial"/>
                <w:lang w:val="en-US"/>
              </w:rPr>
            </w:pPr>
            <w:r w:rsidRPr="00A67277">
              <w:rPr>
                <w:rFonts w:cs="Arial"/>
                <w:b/>
                <w:lang w:val="en-US"/>
              </w:rPr>
              <w:t>Year</w:t>
            </w:r>
            <w:r w:rsidRPr="00A67277">
              <w:rPr>
                <w:rFonts w:cs="Arial"/>
                <w:lang w:val="en-US"/>
              </w:rPr>
              <w:t xml:space="preserve"> means a calendar year (whether or not beginning on the first Day of any year).</w:t>
            </w:r>
          </w:p>
        </w:tc>
        <w:tc>
          <w:tcPr>
            <w:tcW w:w="169" w:type="pct"/>
          </w:tcPr>
          <w:p w14:paraId="2E1487E4" w14:textId="77777777" w:rsidR="00862B0B" w:rsidRPr="00A67277" w:rsidRDefault="00862B0B" w:rsidP="00862B0B">
            <w:pPr>
              <w:spacing w:before="60" w:after="60"/>
              <w:rPr>
                <w:rFonts w:ascii="Arial" w:hAnsi="Arial" w:cs="Arial"/>
                <w:sz w:val="21"/>
                <w:szCs w:val="21"/>
              </w:rPr>
            </w:pPr>
          </w:p>
        </w:tc>
        <w:tc>
          <w:tcPr>
            <w:tcW w:w="2561" w:type="pct"/>
            <w:gridSpan w:val="2"/>
          </w:tcPr>
          <w:p w14:paraId="64AE0ADF" w14:textId="77777777" w:rsidR="00862B0B" w:rsidRPr="00A67277" w:rsidRDefault="00862B0B" w:rsidP="00862B0B">
            <w:pPr>
              <w:pStyle w:val="Body2"/>
              <w:spacing w:before="60" w:after="60"/>
              <w:ind w:left="878"/>
              <w:rPr>
                <w:rFonts w:cs="Arial"/>
                <w:lang w:val="en-US"/>
              </w:rPr>
            </w:pPr>
            <w:r w:rsidRPr="00A67277">
              <w:rPr>
                <w:rFonts w:cs="Arial"/>
                <w:b/>
                <w:lang w:val="en-US"/>
              </w:rPr>
              <w:t>Tahun</w:t>
            </w:r>
            <w:r w:rsidRPr="00A67277">
              <w:rPr>
                <w:rFonts w:cs="Arial"/>
                <w:lang w:val="en-US"/>
              </w:rPr>
              <w:t xml:space="preserve"> berarti tahun kalender (baik dimulai pada Hari pertama dari suatu tahun maupun tidak).</w:t>
            </w:r>
            <w:bookmarkStart w:id="51" w:name="_cp_text_1_307"/>
            <w:bookmarkStart w:id="52" w:name="_cp_text_1_352"/>
            <w:bookmarkEnd w:id="51"/>
            <w:bookmarkEnd w:id="52"/>
          </w:p>
        </w:tc>
      </w:tr>
      <w:tr w:rsidR="00862B0B" w:rsidRPr="00A67277" w14:paraId="5DAB504D" w14:textId="77777777" w:rsidTr="00862B0B">
        <w:tc>
          <w:tcPr>
            <w:tcW w:w="2270" w:type="pct"/>
          </w:tcPr>
          <w:p w14:paraId="5A0AA022" w14:textId="774E04B1" w:rsidR="00862B0B" w:rsidRPr="00A67277" w:rsidRDefault="00862B0B" w:rsidP="00862B0B">
            <w:pPr>
              <w:pStyle w:val="ListParagraph"/>
              <w:numPr>
                <w:ilvl w:val="1"/>
                <w:numId w:val="207"/>
              </w:numPr>
              <w:spacing w:before="60" w:after="60" w:line="240" w:lineRule="auto"/>
              <w:ind w:left="851" w:hanging="425"/>
              <w:jc w:val="left"/>
              <w:rPr>
                <w:rFonts w:cs="Arial"/>
                <w:b/>
              </w:rPr>
            </w:pPr>
            <w:bookmarkStart w:id="53" w:name="_Toc501177824"/>
            <w:r w:rsidRPr="00A67277">
              <w:rPr>
                <w:rFonts w:cs="Arial"/>
                <w:b/>
              </w:rPr>
              <w:t>Interpretations</w:t>
            </w:r>
            <w:bookmarkEnd w:id="53"/>
          </w:p>
        </w:tc>
        <w:tc>
          <w:tcPr>
            <w:tcW w:w="169" w:type="pct"/>
          </w:tcPr>
          <w:p w14:paraId="64AE14F6" w14:textId="77777777" w:rsidR="00862B0B" w:rsidRPr="00A67277" w:rsidRDefault="00862B0B" w:rsidP="00862B0B">
            <w:pPr>
              <w:spacing w:before="60" w:after="60"/>
              <w:rPr>
                <w:rFonts w:ascii="Arial" w:hAnsi="Arial" w:cs="Arial"/>
                <w:sz w:val="21"/>
                <w:szCs w:val="21"/>
              </w:rPr>
            </w:pPr>
          </w:p>
        </w:tc>
        <w:tc>
          <w:tcPr>
            <w:tcW w:w="2561" w:type="pct"/>
            <w:gridSpan w:val="2"/>
          </w:tcPr>
          <w:p w14:paraId="05670EB1" w14:textId="77777777" w:rsidR="00862B0B" w:rsidRPr="00A67277" w:rsidRDefault="00862B0B" w:rsidP="00862B0B">
            <w:pPr>
              <w:pStyle w:val="ListParagraph"/>
              <w:numPr>
                <w:ilvl w:val="1"/>
                <w:numId w:val="208"/>
              </w:numPr>
              <w:spacing w:before="60" w:after="60" w:line="240" w:lineRule="auto"/>
              <w:ind w:left="878" w:hanging="425"/>
              <w:jc w:val="left"/>
              <w:rPr>
                <w:rFonts w:cs="Arial"/>
                <w:b/>
              </w:rPr>
            </w:pPr>
            <w:r w:rsidRPr="00A67277">
              <w:rPr>
                <w:rStyle w:val="Heading2Text"/>
                <w:rFonts w:cs="Arial"/>
              </w:rPr>
              <w:t>Interpretasi</w:t>
            </w:r>
          </w:p>
        </w:tc>
      </w:tr>
      <w:tr w:rsidR="00862B0B" w:rsidRPr="00A67277" w14:paraId="390F64BF" w14:textId="77777777" w:rsidTr="00862B0B">
        <w:tc>
          <w:tcPr>
            <w:tcW w:w="2270" w:type="pct"/>
          </w:tcPr>
          <w:p w14:paraId="10347610" w14:textId="38681A4A" w:rsidR="00862B0B" w:rsidRPr="00A67277" w:rsidRDefault="00862B0B" w:rsidP="00862B0B">
            <w:pPr>
              <w:pStyle w:val="Level1"/>
              <w:tabs>
                <w:tab w:val="clear" w:pos="889"/>
                <w:tab w:val="left" w:pos="900"/>
              </w:tabs>
              <w:spacing w:before="60" w:after="60"/>
              <w:ind w:left="1609"/>
              <w:rPr>
                <w:rFonts w:cs="Arial"/>
              </w:rPr>
            </w:pPr>
            <w:bookmarkStart w:id="54" w:name="_Toc501177825"/>
            <w:r w:rsidRPr="00A67277">
              <w:rPr>
                <w:rFonts w:cs="Arial"/>
              </w:rPr>
              <w:t>In this Agreement,</w:t>
            </w:r>
            <w:bookmarkEnd w:id="54"/>
          </w:p>
        </w:tc>
        <w:tc>
          <w:tcPr>
            <w:tcW w:w="169" w:type="pct"/>
          </w:tcPr>
          <w:p w14:paraId="47A2005B" w14:textId="77777777" w:rsidR="00862B0B" w:rsidRPr="00A67277" w:rsidRDefault="00862B0B" w:rsidP="00862B0B">
            <w:pPr>
              <w:spacing w:before="60" w:after="60"/>
              <w:rPr>
                <w:rFonts w:ascii="Arial" w:hAnsi="Arial" w:cs="Arial"/>
                <w:sz w:val="21"/>
                <w:szCs w:val="21"/>
              </w:rPr>
            </w:pPr>
          </w:p>
        </w:tc>
        <w:tc>
          <w:tcPr>
            <w:tcW w:w="2561" w:type="pct"/>
            <w:gridSpan w:val="2"/>
          </w:tcPr>
          <w:p w14:paraId="2CF473E8" w14:textId="77777777" w:rsidR="00862B0B" w:rsidRPr="00A67277" w:rsidRDefault="00862B0B" w:rsidP="00862B0B">
            <w:pPr>
              <w:pStyle w:val="Level1"/>
              <w:tabs>
                <w:tab w:val="clear" w:pos="889"/>
                <w:tab w:val="left" w:pos="878"/>
              </w:tabs>
              <w:spacing w:before="60" w:after="60"/>
              <w:ind w:left="1587"/>
              <w:rPr>
                <w:rFonts w:cs="Arial"/>
              </w:rPr>
            </w:pPr>
            <w:r w:rsidRPr="00A67277">
              <w:rPr>
                <w:rFonts w:cs="Arial"/>
              </w:rPr>
              <w:t>Dalam Perjanjian ini,</w:t>
            </w:r>
          </w:p>
        </w:tc>
      </w:tr>
      <w:tr w:rsidR="00862B0B" w:rsidRPr="00A67277" w14:paraId="61D12129" w14:textId="77777777" w:rsidTr="00862B0B">
        <w:tc>
          <w:tcPr>
            <w:tcW w:w="2270" w:type="pct"/>
          </w:tcPr>
          <w:p w14:paraId="1E98C895" w14:textId="0A35F078" w:rsidR="00862B0B" w:rsidRPr="00A67277" w:rsidRDefault="00862B0B" w:rsidP="00862B0B">
            <w:pPr>
              <w:pStyle w:val="Level3"/>
              <w:numPr>
                <w:ilvl w:val="2"/>
                <w:numId w:val="332"/>
              </w:numPr>
              <w:spacing w:before="60" w:after="60"/>
              <w:ind w:hanging="544"/>
              <w:rPr>
                <w:rFonts w:cs="Arial"/>
              </w:rPr>
            </w:pPr>
            <w:bookmarkStart w:id="55" w:name="_Toc501177826"/>
            <w:r w:rsidRPr="00A67277">
              <w:rPr>
                <w:rFonts w:cs="Arial"/>
              </w:rPr>
              <w:t>the table of contents, headings and bold type are for convenience only and do not affect the interpretation of this Agreement;</w:t>
            </w:r>
            <w:bookmarkEnd w:id="55"/>
          </w:p>
        </w:tc>
        <w:tc>
          <w:tcPr>
            <w:tcW w:w="169" w:type="pct"/>
          </w:tcPr>
          <w:p w14:paraId="6653C3C2" w14:textId="77777777" w:rsidR="00862B0B" w:rsidRPr="00A67277" w:rsidRDefault="00862B0B" w:rsidP="00862B0B">
            <w:pPr>
              <w:spacing w:before="60" w:after="60"/>
              <w:rPr>
                <w:rFonts w:ascii="Arial" w:hAnsi="Arial" w:cs="Arial"/>
                <w:sz w:val="21"/>
                <w:szCs w:val="21"/>
              </w:rPr>
            </w:pPr>
          </w:p>
        </w:tc>
        <w:tc>
          <w:tcPr>
            <w:tcW w:w="2561" w:type="pct"/>
            <w:gridSpan w:val="2"/>
          </w:tcPr>
          <w:p w14:paraId="3689DC31" w14:textId="77777777" w:rsidR="00862B0B" w:rsidRPr="00A67277" w:rsidRDefault="00862B0B" w:rsidP="00862B0B">
            <w:pPr>
              <w:pStyle w:val="Level3"/>
              <w:numPr>
                <w:ilvl w:val="2"/>
                <w:numId w:val="235"/>
              </w:numPr>
              <w:spacing w:before="60" w:after="60"/>
              <w:ind w:hanging="535"/>
              <w:rPr>
                <w:rFonts w:cs="Arial"/>
              </w:rPr>
            </w:pPr>
            <w:r w:rsidRPr="00A67277">
              <w:rPr>
                <w:rFonts w:cs="Arial"/>
              </w:rPr>
              <w:t>daftar isi, judul dan jenis huruf tebal hanyalah untuk kemudahan semata dan tidak mempengaruhi interpretasi dari Perjanjian ini;</w:t>
            </w:r>
          </w:p>
        </w:tc>
      </w:tr>
      <w:tr w:rsidR="00862B0B" w:rsidRPr="00A67277" w14:paraId="3D0207EF" w14:textId="77777777" w:rsidTr="00862B0B">
        <w:tc>
          <w:tcPr>
            <w:tcW w:w="2270" w:type="pct"/>
          </w:tcPr>
          <w:p w14:paraId="2EF2082C" w14:textId="3733E5CD" w:rsidR="00862B0B" w:rsidRPr="00A67277" w:rsidRDefault="00862B0B" w:rsidP="00862B0B">
            <w:pPr>
              <w:pStyle w:val="Level3"/>
              <w:numPr>
                <w:ilvl w:val="2"/>
                <w:numId w:val="396"/>
              </w:numPr>
              <w:spacing w:before="60" w:after="60"/>
              <w:ind w:hanging="517"/>
              <w:rPr>
                <w:rFonts w:cs="Arial"/>
              </w:rPr>
            </w:pPr>
            <w:bookmarkStart w:id="56" w:name="_Toc501177827"/>
            <w:r w:rsidRPr="00A67277">
              <w:rPr>
                <w:rFonts w:cs="Arial"/>
              </w:rPr>
              <w:t xml:space="preserve">a reference to a Clause, Appendix, exhibit or schedule is a reference to a Clause of, and </w:t>
            </w:r>
            <w:bookmarkStart w:id="57" w:name="_cp_text_1_771"/>
            <w:r w:rsidRPr="00A67277">
              <w:rPr>
                <w:rFonts w:cs="Arial"/>
              </w:rPr>
              <w:t xml:space="preserve">an </w:t>
            </w:r>
            <w:bookmarkEnd w:id="57"/>
            <w:r w:rsidRPr="00A67277">
              <w:rPr>
                <w:rFonts w:cs="Arial"/>
              </w:rPr>
              <w:t>Appendix, exhibit and schedule to, this Agreement and a reference to this Agreement includes any Appendix, exhibit and schedule;</w:t>
            </w:r>
            <w:bookmarkEnd w:id="56"/>
          </w:p>
        </w:tc>
        <w:tc>
          <w:tcPr>
            <w:tcW w:w="169" w:type="pct"/>
          </w:tcPr>
          <w:p w14:paraId="16305781" w14:textId="77777777" w:rsidR="00862B0B" w:rsidRPr="00A67277" w:rsidRDefault="00862B0B" w:rsidP="00862B0B">
            <w:pPr>
              <w:spacing w:before="60" w:after="60"/>
              <w:rPr>
                <w:rFonts w:ascii="Arial" w:hAnsi="Arial" w:cs="Arial"/>
                <w:sz w:val="21"/>
                <w:szCs w:val="21"/>
              </w:rPr>
            </w:pPr>
          </w:p>
        </w:tc>
        <w:tc>
          <w:tcPr>
            <w:tcW w:w="2561" w:type="pct"/>
            <w:gridSpan w:val="2"/>
          </w:tcPr>
          <w:p w14:paraId="5799A955" w14:textId="77777777" w:rsidR="00862B0B" w:rsidRPr="00A67277" w:rsidRDefault="00862B0B" w:rsidP="00862B0B">
            <w:pPr>
              <w:pStyle w:val="Level3"/>
              <w:numPr>
                <w:ilvl w:val="2"/>
                <w:numId w:val="234"/>
              </w:numPr>
              <w:spacing w:before="60" w:after="60"/>
              <w:ind w:hanging="535"/>
              <w:rPr>
                <w:rFonts w:cs="Arial"/>
              </w:rPr>
            </w:pPr>
            <w:r w:rsidRPr="00A67277">
              <w:rPr>
                <w:rFonts w:cs="Arial"/>
              </w:rPr>
              <w:t>referensi kepada Pasal, Lampiran, tambahan atau jadwal merupakan referensi kepada suatu Pasal dari, dan Lampiran, tambahan dan jadwal untuk, Perjanjian ini, dan referensi kepada Perjanjian termasuk segala Lampiran, tambahan dan jadwal;</w:t>
            </w:r>
          </w:p>
        </w:tc>
      </w:tr>
      <w:tr w:rsidR="00862B0B" w:rsidRPr="00A67277" w14:paraId="06A2F911" w14:textId="77777777" w:rsidTr="00862B0B">
        <w:tc>
          <w:tcPr>
            <w:tcW w:w="2270" w:type="pct"/>
          </w:tcPr>
          <w:p w14:paraId="11F71E70" w14:textId="4CEE4DCF" w:rsidR="00862B0B" w:rsidRPr="00A67277" w:rsidRDefault="00862B0B" w:rsidP="00862B0B">
            <w:pPr>
              <w:pStyle w:val="Level3"/>
              <w:numPr>
                <w:ilvl w:val="2"/>
                <w:numId w:val="396"/>
              </w:numPr>
              <w:spacing w:before="60" w:after="60"/>
              <w:ind w:hanging="517"/>
              <w:rPr>
                <w:rFonts w:cs="Arial"/>
              </w:rPr>
            </w:pPr>
            <w:bookmarkStart w:id="58" w:name="_Toc501177828"/>
            <w:r w:rsidRPr="00A67277">
              <w:rPr>
                <w:rFonts w:cs="Arial"/>
              </w:rPr>
              <w:t>words indicating the singular include the plural and vice versa;</w:t>
            </w:r>
            <w:bookmarkEnd w:id="58"/>
          </w:p>
        </w:tc>
        <w:tc>
          <w:tcPr>
            <w:tcW w:w="169" w:type="pct"/>
          </w:tcPr>
          <w:p w14:paraId="50577485" w14:textId="77777777" w:rsidR="00862B0B" w:rsidRPr="00A67277" w:rsidRDefault="00862B0B" w:rsidP="00862B0B">
            <w:pPr>
              <w:spacing w:before="60" w:after="60"/>
              <w:rPr>
                <w:rFonts w:ascii="Arial" w:hAnsi="Arial" w:cs="Arial"/>
                <w:sz w:val="21"/>
                <w:szCs w:val="21"/>
              </w:rPr>
            </w:pPr>
          </w:p>
        </w:tc>
        <w:tc>
          <w:tcPr>
            <w:tcW w:w="2561" w:type="pct"/>
            <w:gridSpan w:val="2"/>
          </w:tcPr>
          <w:p w14:paraId="461DF73F" w14:textId="77777777" w:rsidR="00862B0B" w:rsidRPr="00A67277" w:rsidRDefault="00862B0B" w:rsidP="00862B0B">
            <w:pPr>
              <w:pStyle w:val="Level3"/>
              <w:numPr>
                <w:ilvl w:val="2"/>
                <w:numId w:val="236"/>
              </w:numPr>
              <w:spacing w:before="60" w:after="60"/>
              <w:ind w:hanging="535"/>
              <w:rPr>
                <w:rFonts w:cs="Arial"/>
              </w:rPr>
            </w:pPr>
            <w:r w:rsidRPr="00A67277">
              <w:rPr>
                <w:rFonts w:cs="Arial"/>
              </w:rPr>
              <w:t>kata-kata yang menunjukkan bentuk tunggal mencakup bentuk jamak dan sebaliknya;</w:t>
            </w:r>
          </w:p>
        </w:tc>
      </w:tr>
      <w:tr w:rsidR="00862B0B" w:rsidRPr="00A67277" w14:paraId="46CBA431" w14:textId="77777777" w:rsidTr="00862B0B">
        <w:tc>
          <w:tcPr>
            <w:tcW w:w="2270" w:type="pct"/>
          </w:tcPr>
          <w:p w14:paraId="3539B819" w14:textId="5ADB1BD9" w:rsidR="00862B0B" w:rsidRPr="00A67277" w:rsidRDefault="00862B0B" w:rsidP="00862B0B">
            <w:pPr>
              <w:pStyle w:val="Level3"/>
              <w:numPr>
                <w:ilvl w:val="2"/>
                <w:numId w:val="396"/>
              </w:numPr>
              <w:spacing w:before="60" w:after="60"/>
              <w:ind w:hanging="517"/>
              <w:rPr>
                <w:rFonts w:cs="Arial"/>
              </w:rPr>
            </w:pPr>
            <w:bookmarkStart w:id="59" w:name="_Toc501177829"/>
            <w:r w:rsidRPr="00A67277">
              <w:rPr>
                <w:rFonts w:cs="Arial"/>
              </w:rPr>
              <w:t>words indicating a gender include any gender;</w:t>
            </w:r>
            <w:bookmarkEnd w:id="59"/>
          </w:p>
        </w:tc>
        <w:tc>
          <w:tcPr>
            <w:tcW w:w="169" w:type="pct"/>
          </w:tcPr>
          <w:p w14:paraId="02587665" w14:textId="77777777" w:rsidR="00862B0B" w:rsidRPr="00A67277" w:rsidRDefault="00862B0B" w:rsidP="00862B0B">
            <w:pPr>
              <w:spacing w:before="60" w:after="60"/>
              <w:rPr>
                <w:rFonts w:ascii="Arial" w:hAnsi="Arial" w:cs="Arial"/>
                <w:sz w:val="21"/>
                <w:szCs w:val="21"/>
              </w:rPr>
            </w:pPr>
          </w:p>
        </w:tc>
        <w:tc>
          <w:tcPr>
            <w:tcW w:w="2561" w:type="pct"/>
            <w:gridSpan w:val="2"/>
          </w:tcPr>
          <w:p w14:paraId="16C2B5F8" w14:textId="77777777" w:rsidR="00862B0B" w:rsidRPr="00A67277" w:rsidRDefault="00862B0B" w:rsidP="00862B0B">
            <w:pPr>
              <w:pStyle w:val="Level3"/>
              <w:numPr>
                <w:ilvl w:val="2"/>
                <w:numId w:val="237"/>
              </w:numPr>
              <w:spacing w:before="60" w:after="60"/>
              <w:ind w:hanging="535"/>
              <w:rPr>
                <w:rFonts w:cs="Arial"/>
              </w:rPr>
            </w:pPr>
            <w:r w:rsidRPr="00A67277">
              <w:rPr>
                <w:rFonts w:cs="Arial"/>
              </w:rPr>
              <w:t>kata-kata yang menunjukkan suatu gender mencakup segala gender;</w:t>
            </w:r>
          </w:p>
        </w:tc>
      </w:tr>
      <w:tr w:rsidR="00862B0B" w:rsidRPr="00A67277" w14:paraId="0A40C8D2" w14:textId="77777777" w:rsidTr="00862B0B">
        <w:tc>
          <w:tcPr>
            <w:tcW w:w="2270" w:type="pct"/>
          </w:tcPr>
          <w:p w14:paraId="0D66C605" w14:textId="73051B9A" w:rsidR="00862B0B" w:rsidRPr="00A67277" w:rsidRDefault="00862B0B" w:rsidP="00862B0B">
            <w:pPr>
              <w:pStyle w:val="Level3"/>
              <w:numPr>
                <w:ilvl w:val="2"/>
                <w:numId w:val="396"/>
              </w:numPr>
              <w:spacing w:before="60" w:after="60"/>
              <w:ind w:hanging="517"/>
              <w:rPr>
                <w:rFonts w:cs="Arial"/>
              </w:rPr>
            </w:pPr>
            <w:bookmarkStart w:id="60" w:name="_Toc501177830"/>
            <w:r w:rsidRPr="00A67277">
              <w:rPr>
                <w:rFonts w:cs="Arial"/>
              </w:rPr>
              <w:t>other parts of speech and grammatical forms of a word or phrase defined in this agreement have a corresponding meaning;</w:t>
            </w:r>
            <w:bookmarkEnd w:id="60"/>
          </w:p>
        </w:tc>
        <w:tc>
          <w:tcPr>
            <w:tcW w:w="169" w:type="pct"/>
          </w:tcPr>
          <w:p w14:paraId="3AC7559B" w14:textId="77777777" w:rsidR="00862B0B" w:rsidRPr="00A67277" w:rsidRDefault="00862B0B" w:rsidP="00862B0B">
            <w:pPr>
              <w:spacing w:before="60" w:after="60"/>
              <w:rPr>
                <w:rFonts w:ascii="Arial" w:hAnsi="Arial" w:cs="Arial"/>
                <w:sz w:val="21"/>
                <w:szCs w:val="21"/>
              </w:rPr>
            </w:pPr>
          </w:p>
        </w:tc>
        <w:tc>
          <w:tcPr>
            <w:tcW w:w="2561" w:type="pct"/>
            <w:gridSpan w:val="2"/>
          </w:tcPr>
          <w:p w14:paraId="0C2BE019" w14:textId="77777777" w:rsidR="00862B0B" w:rsidRPr="00A67277" w:rsidRDefault="00862B0B" w:rsidP="00862B0B">
            <w:pPr>
              <w:pStyle w:val="Level3"/>
              <w:numPr>
                <w:ilvl w:val="2"/>
                <w:numId w:val="238"/>
              </w:numPr>
              <w:spacing w:before="60" w:after="60"/>
              <w:ind w:hanging="535"/>
              <w:rPr>
                <w:rFonts w:cs="Arial"/>
              </w:rPr>
            </w:pPr>
            <w:r w:rsidRPr="00A67277">
              <w:rPr>
                <w:rFonts w:cs="Arial"/>
              </w:rPr>
              <w:t>bagian lain dari susunan percakapan atau bentuk tata bahasa yang membentuk suatu kata atau frase sebagiamana didefinisikan dalam perjanjian ini memiliki pengertian yang sama;</w:t>
            </w:r>
          </w:p>
        </w:tc>
      </w:tr>
      <w:tr w:rsidR="00862B0B" w:rsidRPr="00A67277" w14:paraId="37AD4059" w14:textId="77777777" w:rsidTr="00862B0B">
        <w:tc>
          <w:tcPr>
            <w:tcW w:w="2270" w:type="pct"/>
          </w:tcPr>
          <w:p w14:paraId="7264DA6E" w14:textId="4C239738" w:rsidR="00862B0B" w:rsidRPr="00A67277" w:rsidRDefault="00862B0B" w:rsidP="00862B0B">
            <w:pPr>
              <w:pStyle w:val="Level3"/>
              <w:numPr>
                <w:ilvl w:val="2"/>
                <w:numId w:val="396"/>
              </w:numPr>
              <w:spacing w:before="60" w:after="60"/>
              <w:ind w:hanging="517"/>
              <w:rPr>
                <w:rFonts w:cs="Arial"/>
              </w:rPr>
            </w:pPr>
            <w:bookmarkStart w:id="61" w:name="_Toc501177831"/>
            <w:r w:rsidRPr="00A67277">
              <w:rPr>
                <w:rFonts w:cs="Arial"/>
              </w:rPr>
              <w:t>the use of the words “includes” or “including” when introducing an item or list of items does not limit the meaning of the words which follow to that item or those items or to items of a similar kind;</w:t>
            </w:r>
            <w:bookmarkEnd w:id="61"/>
          </w:p>
        </w:tc>
        <w:tc>
          <w:tcPr>
            <w:tcW w:w="169" w:type="pct"/>
          </w:tcPr>
          <w:p w14:paraId="221CAC5E" w14:textId="77777777" w:rsidR="00862B0B" w:rsidRPr="00A67277" w:rsidRDefault="00862B0B" w:rsidP="00862B0B">
            <w:pPr>
              <w:spacing w:before="60" w:after="60"/>
              <w:rPr>
                <w:rFonts w:ascii="Arial" w:hAnsi="Arial" w:cs="Arial"/>
                <w:sz w:val="21"/>
                <w:szCs w:val="21"/>
              </w:rPr>
            </w:pPr>
          </w:p>
        </w:tc>
        <w:tc>
          <w:tcPr>
            <w:tcW w:w="2561" w:type="pct"/>
            <w:gridSpan w:val="2"/>
          </w:tcPr>
          <w:p w14:paraId="410D561C" w14:textId="77777777" w:rsidR="00862B0B" w:rsidRPr="00A67277" w:rsidRDefault="00862B0B" w:rsidP="00862B0B">
            <w:pPr>
              <w:pStyle w:val="Level3"/>
              <w:numPr>
                <w:ilvl w:val="2"/>
                <w:numId w:val="239"/>
              </w:numPr>
              <w:spacing w:before="60" w:after="60"/>
              <w:ind w:hanging="535"/>
              <w:rPr>
                <w:rFonts w:cs="Arial"/>
              </w:rPr>
            </w:pPr>
            <w:r w:rsidRPr="00A67277">
              <w:rPr>
                <w:rFonts w:cs="Arial"/>
              </w:rPr>
              <w:t>penggunaan kata “termasuk” atau “mencakup” atau “meliputi” saat memperkenalkan suatu hal atau daftar dari beberapa hal tidak akan membatasi pengertian terhadap kata-kata yang mengikuti setelah hal atau hal-hal tersebut atau hal-hal yang serupa;</w:t>
            </w:r>
          </w:p>
        </w:tc>
      </w:tr>
      <w:tr w:rsidR="00862B0B" w:rsidRPr="00A67277" w14:paraId="0068698D" w14:textId="77777777" w:rsidTr="00862B0B">
        <w:tc>
          <w:tcPr>
            <w:tcW w:w="2270" w:type="pct"/>
          </w:tcPr>
          <w:p w14:paraId="0C8A5773" w14:textId="15A912C3" w:rsidR="00862B0B" w:rsidRPr="00A67277" w:rsidRDefault="00862B0B" w:rsidP="00862B0B">
            <w:pPr>
              <w:pStyle w:val="Level3"/>
              <w:numPr>
                <w:ilvl w:val="2"/>
                <w:numId w:val="396"/>
              </w:numPr>
              <w:spacing w:before="60" w:after="60"/>
              <w:ind w:hanging="517"/>
              <w:rPr>
                <w:rFonts w:cs="Arial"/>
              </w:rPr>
            </w:pPr>
            <w:bookmarkStart w:id="62" w:name="_Toc501177832"/>
            <w:r w:rsidRPr="00A67277">
              <w:rPr>
                <w:rFonts w:cs="Arial"/>
              </w:rPr>
              <w:t>a reference to anything (including any right) includes a part of that thing but nothing in this sub-clause implies that performance of part of an obligation constitutes performance of the obligation;</w:t>
            </w:r>
            <w:bookmarkEnd w:id="62"/>
          </w:p>
        </w:tc>
        <w:tc>
          <w:tcPr>
            <w:tcW w:w="169" w:type="pct"/>
          </w:tcPr>
          <w:p w14:paraId="32498456" w14:textId="77777777" w:rsidR="00862B0B" w:rsidRPr="00A67277" w:rsidRDefault="00862B0B" w:rsidP="00862B0B">
            <w:pPr>
              <w:spacing w:before="60" w:after="60"/>
              <w:rPr>
                <w:rFonts w:ascii="Arial" w:hAnsi="Arial" w:cs="Arial"/>
                <w:sz w:val="21"/>
                <w:szCs w:val="21"/>
              </w:rPr>
            </w:pPr>
          </w:p>
        </w:tc>
        <w:tc>
          <w:tcPr>
            <w:tcW w:w="2561" w:type="pct"/>
            <w:gridSpan w:val="2"/>
          </w:tcPr>
          <w:p w14:paraId="49669B80" w14:textId="77777777" w:rsidR="00862B0B" w:rsidRPr="00A67277" w:rsidRDefault="00862B0B" w:rsidP="00862B0B">
            <w:pPr>
              <w:pStyle w:val="Level3"/>
              <w:numPr>
                <w:ilvl w:val="2"/>
                <w:numId w:val="240"/>
              </w:numPr>
              <w:spacing w:before="60" w:after="60"/>
              <w:ind w:hanging="535"/>
              <w:rPr>
                <w:rFonts w:cs="Arial"/>
              </w:rPr>
            </w:pPr>
            <w:r w:rsidRPr="00A67277">
              <w:rPr>
                <w:rFonts w:cs="Arial"/>
              </w:rPr>
              <w:t>referensi kepada hal apapun (termasuk referensi kepada segala hak) akan meliputi referensi kepada setiap bagian dari hal tersebut tetapi tidak satupun dari paragraf ini yang menyiratkan bahwa pelaksanaan atas sebagian dari suatu kewajiban merupakan pelaksanaan penuh dari kewajiban tersebut;</w:t>
            </w:r>
          </w:p>
        </w:tc>
      </w:tr>
      <w:tr w:rsidR="00862B0B" w:rsidRPr="00A67277" w14:paraId="7BDBF38F" w14:textId="77777777" w:rsidTr="00862B0B">
        <w:tc>
          <w:tcPr>
            <w:tcW w:w="2270" w:type="pct"/>
          </w:tcPr>
          <w:p w14:paraId="40A5F6DA" w14:textId="787B2850" w:rsidR="00862B0B" w:rsidRPr="00C07F6B" w:rsidRDefault="00862B0B" w:rsidP="00862B0B">
            <w:pPr>
              <w:pStyle w:val="Level3"/>
              <w:numPr>
                <w:ilvl w:val="2"/>
                <w:numId w:val="396"/>
              </w:numPr>
              <w:spacing w:before="60" w:after="60"/>
              <w:ind w:hanging="517"/>
              <w:rPr>
                <w:rFonts w:cs="Arial"/>
              </w:rPr>
            </w:pPr>
            <w:bookmarkStart w:id="63" w:name="_Toc501177833"/>
            <w:r w:rsidRPr="00AD000B">
              <w:rPr>
                <w:rFonts w:cs="Arial"/>
              </w:rPr>
              <w:t>an expression referring to a person includes any company, partnership, joint venture, association, corporation or other body corporate and any Governmental Instrumentality;</w:t>
            </w:r>
            <w:bookmarkEnd w:id="63"/>
          </w:p>
        </w:tc>
        <w:tc>
          <w:tcPr>
            <w:tcW w:w="169" w:type="pct"/>
          </w:tcPr>
          <w:p w14:paraId="39FBDE9E" w14:textId="77777777" w:rsidR="00862B0B" w:rsidRPr="00A67277" w:rsidRDefault="00862B0B" w:rsidP="00862B0B">
            <w:pPr>
              <w:spacing w:before="60" w:after="60"/>
              <w:rPr>
                <w:rFonts w:ascii="Arial" w:hAnsi="Arial" w:cs="Arial"/>
                <w:sz w:val="21"/>
                <w:szCs w:val="21"/>
              </w:rPr>
            </w:pPr>
          </w:p>
        </w:tc>
        <w:tc>
          <w:tcPr>
            <w:tcW w:w="2561" w:type="pct"/>
            <w:gridSpan w:val="2"/>
          </w:tcPr>
          <w:p w14:paraId="0E9817F6" w14:textId="77777777" w:rsidR="00862B0B" w:rsidRPr="00A67277" w:rsidRDefault="00862B0B" w:rsidP="00862B0B">
            <w:pPr>
              <w:pStyle w:val="Level3"/>
              <w:numPr>
                <w:ilvl w:val="2"/>
                <w:numId w:val="241"/>
              </w:numPr>
              <w:spacing w:before="60" w:after="60"/>
              <w:ind w:hanging="535"/>
              <w:rPr>
                <w:rFonts w:cs="Arial"/>
              </w:rPr>
            </w:pPr>
            <w:r w:rsidRPr="00A67277">
              <w:rPr>
                <w:rFonts w:cs="Arial"/>
              </w:rPr>
              <w:t>suatu ungkapan yang merujuk kepara orang termasuk rujukan kepada segala perusahaan, persekutuan, usaha patungan (</w:t>
            </w:r>
            <w:r w:rsidRPr="00A67277">
              <w:rPr>
                <w:rFonts w:cs="Arial"/>
                <w:i/>
              </w:rPr>
              <w:t>joint venture</w:t>
            </w:r>
            <w:r w:rsidRPr="00A67277">
              <w:rPr>
                <w:rFonts w:cs="Arial"/>
              </w:rPr>
              <w:t>), asosiasi, perseroan terbatas atau badan perusahaan lainnya dan segala Lembaga Pemerintahan;</w:t>
            </w:r>
          </w:p>
        </w:tc>
      </w:tr>
      <w:tr w:rsidR="00862B0B" w:rsidRPr="00A67277" w14:paraId="7AC0D2EF" w14:textId="77777777" w:rsidTr="00862B0B">
        <w:tc>
          <w:tcPr>
            <w:tcW w:w="2270" w:type="pct"/>
          </w:tcPr>
          <w:p w14:paraId="401BA1D2" w14:textId="2499C574" w:rsidR="00862B0B" w:rsidRPr="00C07F6B" w:rsidRDefault="00862B0B" w:rsidP="00862B0B">
            <w:pPr>
              <w:pStyle w:val="Level3"/>
              <w:numPr>
                <w:ilvl w:val="2"/>
                <w:numId w:val="396"/>
              </w:numPr>
              <w:spacing w:before="60" w:after="60"/>
              <w:ind w:hanging="517"/>
              <w:rPr>
                <w:rFonts w:cs="Arial"/>
              </w:rPr>
            </w:pPr>
            <w:bookmarkStart w:id="64" w:name="_Toc501177834"/>
            <w:r w:rsidRPr="00AD000B">
              <w:rPr>
                <w:rFonts w:cs="Arial"/>
              </w:rPr>
              <w:t>a reference to a body, other than a Party to this agreement (including an institute, association or Governmental Agencies), whether based on law or not:</w:t>
            </w:r>
            <w:bookmarkEnd w:id="64"/>
          </w:p>
        </w:tc>
        <w:tc>
          <w:tcPr>
            <w:tcW w:w="169" w:type="pct"/>
          </w:tcPr>
          <w:p w14:paraId="7F1BCC47" w14:textId="77777777" w:rsidR="00862B0B" w:rsidRPr="00A67277" w:rsidRDefault="00862B0B" w:rsidP="00862B0B">
            <w:pPr>
              <w:spacing w:before="60" w:after="60"/>
              <w:rPr>
                <w:rFonts w:ascii="Arial" w:hAnsi="Arial" w:cs="Arial"/>
                <w:sz w:val="21"/>
                <w:szCs w:val="21"/>
              </w:rPr>
            </w:pPr>
          </w:p>
        </w:tc>
        <w:tc>
          <w:tcPr>
            <w:tcW w:w="2561" w:type="pct"/>
            <w:gridSpan w:val="2"/>
          </w:tcPr>
          <w:p w14:paraId="6878BB93" w14:textId="77777777" w:rsidR="00862B0B" w:rsidRPr="00A67277" w:rsidRDefault="00862B0B" w:rsidP="00862B0B">
            <w:pPr>
              <w:pStyle w:val="Level3"/>
              <w:numPr>
                <w:ilvl w:val="2"/>
                <w:numId w:val="242"/>
              </w:numPr>
              <w:spacing w:before="60" w:after="60"/>
              <w:ind w:hanging="535"/>
              <w:rPr>
                <w:rFonts w:cs="Arial"/>
              </w:rPr>
            </w:pPr>
            <w:r w:rsidRPr="00A67277">
              <w:rPr>
                <w:rFonts w:cs="Arial"/>
              </w:rPr>
              <w:t>referensi kepada suatu badan, selain Pihak dari perjanjian ini (termasuk institusi, asosiasi atau Lembaga Pemerintahan), baik yang berdasarkan undang-undang atau dengan cara lain:</w:t>
            </w:r>
          </w:p>
        </w:tc>
      </w:tr>
      <w:tr w:rsidR="00862B0B" w:rsidRPr="00A67277" w14:paraId="2D726062" w14:textId="77777777" w:rsidTr="00862B0B">
        <w:tc>
          <w:tcPr>
            <w:tcW w:w="2270" w:type="pct"/>
          </w:tcPr>
          <w:p w14:paraId="5269278A" w14:textId="77777777" w:rsidR="00862B0B" w:rsidRPr="00A67277" w:rsidRDefault="00862B0B" w:rsidP="00862B0B">
            <w:pPr>
              <w:pStyle w:val="Level4"/>
              <w:numPr>
                <w:ilvl w:val="3"/>
                <w:numId w:val="396"/>
              </w:numPr>
              <w:spacing w:before="60" w:after="60"/>
              <w:ind w:hanging="686"/>
              <w:rPr>
                <w:rFonts w:cs="Arial"/>
              </w:rPr>
            </w:pPr>
            <w:r w:rsidRPr="00A67277">
              <w:rPr>
                <w:rFonts w:cs="Arial"/>
              </w:rPr>
              <w:t>which ceases to exist; or</w:t>
            </w:r>
          </w:p>
        </w:tc>
        <w:tc>
          <w:tcPr>
            <w:tcW w:w="169" w:type="pct"/>
          </w:tcPr>
          <w:p w14:paraId="271EB7C5" w14:textId="77777777" w:rsidR="00862B0B" w:rsidRPr="00A67277" w:rsidRDefault="00862B0B" w:rsidP="00862B0B">
            <w:pPr>
              <w:spacing w:before="60" w:after="60"/>
              <w:rPr>
                <w:rFonts w:ascii="Arial" w:hAnsi="Arial" w:cs="Arial"/>
                <w:sz w:val="21"/>
                <w:szCs w:val="21"/>
              </w:rPr>
            </w:pPr>
          </w:p>
        </w:tc>
        <w:tc>
          <w:tcPr>
            <w:tcW w:w="2561" w:type="pct"/>
            <w:gridSpan w:val="2"/>
          </w:tcPr>
          <w:p w14:paraId="607CC3DA" w14:textId="77777777" w:rsidR="00862B0B" w:rsidRPr="00A67277" w:rsidRDefault="00862B0B" w:rsidP="00862B0B">
            <w:pPr>
              <w:pStyle w:val="Level4"/>
              <w:numPr>
                <w:ilvl w:val="3"/>
                <w:numId w:val="243"/>
              </w:numPr>
              <w:tabs>
                <w:tab w:val="clear" w:pos="2126"/>
                <w:tab w:val="num" w:pos="1962"/>
              </w:tabs>
              <w:spacing w:before="60" w:after="60"/>
              <w:ind w:left="1962" w:hanging="540"/>
              <w:rPr>
                <w:rFonts w:cs="Arial"/>
              </w:rPr>
            </w:pPr>
            <w:r w:rsidRPr="00A67277">
              <w:rPr>
                <w:rFonts w:cs="Arial"/>
              </w:rPr>
              <w:t>tidak lagi diakui keberadaannya; atau</w:t>
            </w:r>
          </w:p>
        </w:tc>
      </w:tr>
      <w:tr w:rsidR="00862B0B" w:rsidRPr="00A67277" w14:paraId="1BC9DC73" w14:textId="77777777" w:rsidTr="00862B0B">
        <w:tc>
          <w:tcPr>
            <w:tcW w:w="2270" w:type="pct"/>
          </w:tcPr>
          <w:p w14:paraId="17E84F71" w14:textId="77777777" w:rsidR="00862B0B" w:rsidRPr="00A67277" w:rsidRDefault="00862B0B" w:rsidP="00862B0B">
            <w:pPr>
              <w:pStyle w:val="Level4"/>
              <w:numPr>
                <w:ilvl w:val="3"/>
                <w:numId w:val="396"/>
              </w:numPr>
              <w:spacing w:before="60" w:after="60"/>
              <w:ind w:hanging="686"/>
              <w:rPr>
                <w:rFonts w:cs="Arial"/>
              </w:rPr>
            </w:pPr>
            <w:r w:rsidRPr="00A67277">
              <w:rPr>
                <w:rFonts w:cs="Arial"/>
              </w:rPr>
              <w:t>whose powers or functions are transferred to another body,</w:t>
            </w:r>
          </w:p>
        </w:tc>
        <w:tc>
          <w:tcPr>
            <w:tcW w:w="169" w:type="pct"/>
          </w:tcPr>
          <w:p w14:paraId="463C7299" w14:textId="77777777" w:rsidR="00862B0B" w:rsidRPr="00A67277" w:rsidRDefault="00862B0B" w:rsidP="00862B0B">
            <w:pPr>
              <w:spacing w:before="60" w:after="60"/>
              <w:rPr>
                <w:rFonts w:ascii="Arial" w:hAnsi="Arial" w:cs="Arial"/>
                <w:sz w:val="21"/>
                <w:szCs w:val="21"/>
              </w:rPr>
            </w:pPr>
          </w:p>
        </w:tc>
        <w:tc>
          <w:tcPr>
            <w:tcW w:w="2561" w:type="pct"/>
            <w:gridSpan w:val="2"/>
          </w:tcPr>
          <w:p w14:paraId="18053B8A" w14:textId="77777777" w:rsidR="00862B0B" w:rsidRPr="00A67277" w:rsidRDefault="00862B0B" w:rsidP="00862B0B">
            <w:pPr>
              <w:pStyle w:val="Level4"/>
              <w:numPr>
                <w:ilvl w:val="3"/>
                <w:numId w:val="244"/>
              </w:numPr>
              <w:tabs>
                <w:tab w:val="clear" w:pos="2126"/>
                <w:tab w:val="num" w:pos="1962"/>
              </w:tabs>
              <w:spacing w:before="60" w:after="60"/>
              <w:ind w:left="1962" w:hanging="540"/>
              <w:rPr>
                <w:rFonts w:cs="Arial"/>
              </w:rPr>
            </w:pPr>
            <w:r w:rsidRPr="00A67277">
              <w:rPr>
                <w:rFonts w:cs="Arial"/>
              </w:rPr>
              <w:t>kewenangannya atau fungsinya dialihkan kepada badan lainnya,</w:t>
            </w:r>
          </w:p>
        </w:tc>
      </w:tr>
      <w:tr w:rsidR="00862B0B" w:rsidRPr="00A67277" w14:paraId="1BCB4E5C" w14:textId="77777777" w:rsidTr="00862B0B">
        <w:tc>
          <w:tcPr>
            <w:tcW w:w="2270" w:type="pct"/>
          </w:tcPr>
          <w:p w14:paraId="2A1AEDE9" w14:textId="065E9DF6" w:rsidR="00862B0B" w:rsidRPr="00A67277" w:rsidRDefault="00862B0B" w:rsidP="00862B0B">
            <w:pPr>
              <w:pStyle w:val="Level1"/>
              <w:tabs>
                <w:tab w:val="clear" w:pos="889"/>
                <w:tab w:val="left" w:pos="900"/>
              </w:tabs>
              <w:spacing w:before="60" w:after="60"/>
              <w:ind w:left="1457" w:hanging="17"/>
              <w:rPr>
                <w:rFonts w:cs="Arial"/>
              </w:rPr>
            </w:pPr>
            <w:bookmarkStart w:id="65" w:name="_Toc501177835"/>
            <w:r w:rsidRPr="00A67277">
              <w:rPr>
                <w:rFonts w:cs="Arial"/>
              </w:rPr>
              <w:t xml:space="preserve">is a reference to the body which replaces it or which substantially </w:t>
            </w:r>
            <w:r>
              <w:rPr>
                <w:rFonts w:cs="Arial"/>
              </w:rPr>
              <w:t>continues</w:t>
            </w:r>
            <w:r w:rsidRPr="00A67277">
              <w:rPr>
                <w:rFonts w:cs="Arial"/>
              </w:rPr>
              <w:t xml:space="preserve"> its </w:t>
            </w:r>
            <w:r>
              <w:rPr>
                <w:rFonts w:cs="Arial"/>
              </w:rPr>
              <w:t>authority</w:t>
            </w:r>
            <w:r w:rsidRPr="00A67277">
              <w:rPr>
                <w:rFonts w:cs="Arial"/>
              </w:rPr>
              <w:t xml:space="preserve"> or functions;</w:t>
            </w:r>
            <w:bookmarkEnd w:id="65"/>
          </w:p>
        </w:tc>
        <w:tc>
          <w:tcPr>
            <w:tcW w:w="169" w:type="pct"/>
          </w:tcPr>
          <w:p w14:paraId="6625DE15" w14:textId="77777777" w:rsidR="00862B0B" w:rsidRPr="00A67277" w:rsidRDefault="00862B0B" w:rsidP="00862B0B">
            <w:pPr>
              <w:spacing w:before="60" w:after="60"/>
              <w:rPr>
                <w:rFonts w:ascii="Arial" w:hAnsi="Arial" w:cs="Arial"/>
                <w:sz w:val="21"/>
                <w:szCs w:val="21"/>
              </w:rPr>
            </w:pPr>
          </w:p>
        </w:tc>
        <w:tc>
          <w:tcPr>
            <w:tcW w:w="2561" w:type="pct"/>
            <w:gridSpan w:val="2"/>
          </w:tcPr>
          <w:p w14:paraId="55C5AEAF" w14:textId="77777777" w:rsidR="00862B0B" w:rsidRPr="00A67277" w:rsidRDefault="00862B0B" w:rsidP="00862B0B">
            <w:pPr>
              <w:pStyle w:val="Level3"/>
              <w:tabs>
                <w:tab w:val="left" w:pos="878"/>
              </w:tabs>
              <w:spacing w:before="60" w:after="60"/>
              <w:ind w:left="1440"/>
              <w:rPr>
                <w:rFonts w:cs="Arial"/>
              </w:rPr>
            </w:pPr>
            <w:r w:rsidRPr="00A67277">
              <w:rPr>
                <w:rFonts w:cs="Arial"/>
              </w:rPr>
              <w:t>merupakan referensi kepada badan yang menggantikannya atau secara substansi meneruskan kewenangan atau fungsinya;</w:t>
            </w:r>
          </w:p>
        </w:tc>
      </w:tr>
      <w:tr w:rsidR="00862B0B" w:rsidRPr="00A67277" w14:paraId="238C6A98" w14:textId="77777777" w:rsidTr="00862B0B">
        <w:tc>
          <w:tcPr>
            <w:tcW w:w="2270" w:type="pct"/>
          </w:tcPr>
          <w:p w14:paraId="6189F0A4" w14:textId="7C585FEB" w:rsidR="00862B0B" w:rsidRPr="00A67277" w:rsidRDefault="00862B0B" w:rsidP="00862B0B">
            <w:pPr>
              <w:pStyle w:val="Level3"/>
              <w:numPr>
                <w:ilvl w:val="2"/>
                <w:numId w:val="396"/>
              </w:numPr>
              <w:spacing w:before="60" w:after="60"/>
              <w:ind w:hanging="517"/>
              <w:rPr>
                <w:rFonts w:cs="Arial"/>
              </w:rPr>
            </w:pPr>
            <w:bookmarkStart w:id="66" w:name="_Toc501177836"/>
            <w:r w:rsidRPr="00A67277">
              <w:rPr>
                <w:rFonts w:cs="Arial"/>
              </w:rPr>
              <w:t>a reference to a statute, regulation, proclamation, ordinance or by-laws includes all statutes, regulations, proclamations, ordinances or by-laws amending, consolidating or replacing it, whether passed by the same or another Governmental Inst</w:t>
            </w:r>
            <w:r>
              <w:rPr>
                <w:rFonts w:cs="Arial"/>
              </w:rPr>
              <w:t>itution</w:t>
            </w:r>
            <w:r w:rsidRPr="00A67277">
              <w:rPr>
                <w:rFonts w:cs="Arial"/>
              </w:rPr>
              <w:t xml:space="preserve"> with legal power to do so, and a reference to a statute includes all regulations, proclamations, ordinances and by-laws issued under that statute;</w:t>
            </w:r>
            <w:bookmarkEnd w:id="66"/>
          </w:p>
        </w:tc>
        <w:tc>
          <w:tcPr>
            <w:tcW w:w="169" w:type="pct"/>
          </w:tcPr>
          <w:p w14:paraId="03E1BFE3" w14:textId="77777777" w:rsidR="00862B0B" w:rsidRPr="00A67277" w:rsidRDefault="00862B0B" w:rsidP="00862B0B">
            <w:pPr>
              <w:spacing w:before="60" w:after="60"/>
              <w:rPr>
                <w:rFonts w:ascii="Arial" w:hAnsi="Arial" w:cs="Arial"/>
                <w:sz w:val="21"/>
                <w:szCs w:val="21"/>
              </w:rPr>
            </w:pPr>
          </w:p>
        </w:tc>
        <w:tc>
          <w:tcPr>
            <w:tcW w:w="2561" w:type="pct"/>
            <w:gridSpan w:val="2"/>
          </w:tcPr>
          <w:p w14:paraId="068B280F" w14:textId="77777777" w:rsidR="00862B0B" w:rsidRPr="00A67277" w:rsidRDefault="00862B0B" w:rsidP="00862B0B">
            <w:pPr>
              <w:pStyle w:val="Level3"/>
              <w:numPr>
                <w:ilvl w:val="2"/>
                <w:numId w:val="451"/>
              </w:numPr>
              <w:spacing w:before="60" w:after="60"/>
              <w:rPr>
                <w:rFonts w:cs="Arial"/>
              </w:rPr>
            </w:pPr>
            <w:r w:rsidRPr="00A67277">
              <w:rPr>
                <w:rFonts w:cs="Arial"/>
              </w:rPr>
              <w:t>referensi kepada suatu undang-undang, regulasi, pernyataan, peraturan atau anggaran dasar termasuk semua undang-undang, regulasi, pernyataan, peraturan atau anggaran dasar yang mengubah, mengkonsolidasikan atau menggantikan hal tersebut, baik yang disahkan oleh Lembaga Pemerintahan yang sama maupun oleh Lembaga Pemerintahan lainnya dengan kekuatan hukum untuk melakukan hal tersebut, dan referensi kepada undang-undang termasuk semua regulasi, pernyataan, peraturan dan anggaran dasar diterbitkan berdasarkan undang-undang tersebut;</w:t>
            </w:r>
          </w:p>
        </w:tc>
      </w:tr>
      <w:tr w:rsidR="00862B0B" w:rsidRPr="00A67277" w14:paraId="12A29EC0" w14:textId="77777777" w:rsidTr="00862B0B">
        <w:tc>
          <w:tcPr>
            <w:tcW w:w="2270" w:type="pct"/>
          </w:tcPr>
          <w:p w14:paraId="5CE203F6" w14:textId="2909573A" w:rsidR="00862B0B" w:rsidRPr="00A67277" w:rsidRDefault="00862B0B" w:rsidP="00862B0B">
            <w:pPr>
              <w:pStyle w:val="Level3"/>
              <w:numPr>
                <w:ilvl w:val="2"/>
                <w:numId w:val="246"/>
              </w:numPr>
              <w:spacing w:before="60" w:after="60"/>
              <w:ind w:hanging="517"/>
              <w:rPr>
                <w:rFonts w:cs="Arial"/>
              </w:rPr>
            </w:pPr>
            <w:bookmarkStart w:id="67" w:name="_Toc501177837"/>
            <w:r w:rsidRPr="00A67277">
              <w:rPr>
                <w:rFonts w:cs="Arial"/>
              </w:rPr>
              <w:t>a reference to any Authorisation, includes the Authorisation as varied or replaced;</w:t>
            </w:r>
            <w:bookmarkEnd w:id="67"/>
          </w:p>
        </w:tc>
        <w:tc>
          <w:tcPr>
            <w:tcW w:w="169" w:type="pct"/>
          </w:tcPr>
          <w:p w14:paraId="65BEDDCA" w14:textId="77777777" w:rsidR="00862B0B" w:rsidRPr="00A67277" w:rsidRDefault="00862B0B" w:rsidP="00862B0B">
            <w:pPr>
              <w:spacing w:before="60" w:after="60"/>
              <w:rPr>
                <w:rFonts w:ascii="Arial" w:hAnsi="Arial" w:cs="Arial"/>
                <w:sz w:val="21"/>
                <w:szCs w:val="21"/>
              </w:rPr>
            </w:pPr>
          </w:p>
        </w:tc>
        <w:tc>
          <w:tcPr>
            <w:tcW w:w="2561" w:type="pct"/>
            <w:gridSpan w:val="2"/>
          </w:tcPr>
          <w:p w14:paraId="664F7E06" w14:textId="77777777" w:rsidR="00862B0B" w:rsidRPr="00A67277" w:rsidRDefault="00862B0B" w:rsidP="00862B0B">
            <w:pPr>
              <w:pStyle w:val="Level3"/>
              <w:numPr>
                <w:ilvl w:val="2"/>
                <w:numId w:val="245"/>
              </w:numPr>
              <w:spacing w:before="60" w:after="60"/>
              <w:ind w:hanging="535"/>
              <w:rPr>
                <w:rFonts w:cs="Arial"/>
              </w:rPr>
            </w:pPr>
            <w:r w:rsidRPr="00A67277">
              <w:rPr>
                <w:rFonts w:cs="Arial"/>
              </w:rPr>
              <w:t>referensi kepada segala Persetujuan, termasuk Persetujuan yang diubah atau digantikan;</w:t>
            </w:r>
          </w:p>
        </w:tc>
      </w:tr>
      <w:tr w:rsidR="00862B0B" w:rsidRPr="00A67277" w14:paraId="01655B8D" w14:textId="77777777" w:rsidTr="00862B0B">
        <w:tc>
          <w:tcPr>
            <w:tcW w:w="2270" w:type="pct"/>
          </w:tcPr>
          <w:p w14:paraId="03B0D4D1" w14:textId="4D8685A5" w:rsidR="00862B0B" w:rsidRPr="00A67277" w:rsidRDefault="00862B0B" w:rsidP="00862B0B">
            <w:pPr>
              <w:pStyle w:val="Level3"/>
              <w:numPr>
                <w:ilvl w:val="2"/>
                <w:numId w:val="246"/>
              </w:numPr>
              <w:spacing w:before="60" w:after="60"/>
              <w:ind w:hanging="517"/>
              <w:rPr>
                <w:rFonts w:cs="Arial"/>
              </w:rPr>
            </w:pPr>
            <w:bookmarkStart w:id="68" w:name="_Toc501177838"/>
            <w:r w:rsidRPr="00A67277">
              <w:rPr>
                <w:rFonts w:cs="Arial"/>
              </w:rPr>
              <w:t>a covenant or agreement on the part of two or more persons binds them jointly and severally;</w:t>
            </w:r>
            <w:bookmarkEnd w:id="68"/>
          </w:p>
        </w:tc>
        <w:tc>
          <w:tcPr>
            <w:tcW w:w="169" w:type="pct"/>
          </w:tcPr>
          <w:p w14:paraId="31E0F7B8" w14:textId="77777777" w:rsidR="00862B0B" w:rsidRPr="00A67277" w:rsidRDefault="00862B0B" w:rsidP="00862B0B">
            <w:pPr>
              <w:spacing w:before="60" w:after="60"/>
              <w:rPr>
                <w:rFonts w:ascii="Arial" w:hAnsi="Arial" w:cs="Arial"/>
                <w:sz w:val="21"/>
                <w:szCs w:val="21"/>
              </w:rPr>
            </w:pPr>
          </w:p>
        </w:tc>
        <w:tc>
          <w:tcPr>
            <w:tcW w:w="2561" w:type="pct"/>
            <w:gridSpan w:val="2"/>
          </w:tcPr>
          <w:p w14:paraId="1E8C249D" w14:textId="77777777" w:rsidR="00862B0B" w:rsidRPr="00A67277" w:rsidRDefault="00862B0B" w:rsidP="00862B0B">
            <w:pPr>
              <w:pStyle w:val="Level3"/>
              <w:numPr>
                <w:ilvl w:val="2"/>
                <w:numId w:val="247"/>
              </w:numPr>
              <w:spacing w:before="60" w:after="60"/>
              <w:ind w:hanging="535"/>
              <w:rPr>
                <w:rFonts w:cs="Arial"/>
              </w:rPr>
            </w:pPr>
            <w:r w:rsidRPr="00A67277">
              <w:rPr>
                <w:rFonts w:cs="Arial"/>
              </w:rPr>
              <w:t>janji atau kesepakatan yang dinyatakan oleh dua orang atau lebih mengikat orang-orang tersebut secara tanggung renteng (bersama-sama dan sendiri-sendiri);</w:t>
            </w:r>
          </w:p>
        </w:tc>
      </w:tr>
      <w:tr w:rsidR="00862B0B" w:rsidRPr="00A67277" w14:paraId="638BBAF6" w14:textId="77777777" w:rsidTr="00862B0B">
        <w:tc>
          <w:tcPr>
            <w:tcW w:w="2270" w:type="pct"/>
          </w:tcPr>
          <w:p w14:paraId="2875F2C3" w14:textId="2576FBC1" w:rsidR="00862B0B" w:rsidRPr="00A67277" w:rsidRDefault="00862B0B" w:rsidP="00862B0B">
            <w:pPr>
              <w:pStyle w:val="Level3"/>
              <w:numPr>
                <w:ilvl w:val="2"/>
                <w:numId w:val="246"/>
              </w:numPr>
              <w:spacing w:before="60" w:after="60"/>
              <w:ind w:hanging="517"/>
              <w:rPr>
                <w:rFonts w:cs="Arial"/>
              </w:rPr>
            </w:pPr>
            <w:bookmarkStart w:id="69" w:name="_Toc501177839"/>
            <w:r w:rsidRPr="00A67277">
              <w:rPr>
                <w:rFonts w:cs="Arial"/>
              </w:rPr>
              <w:t>a reference to a document includes all amendments or supplements to, or replacements or novations of, that document;</w:t>
            </w:r>
            <w:bookmarkEnd w:id="69"/>
          </w:p>
        </w:tc>
        <w:tc>
          <w:tcPr>
            <w:tcW w:w="169" w:type="pct"/>
          </w:tcPr>
          <w:p w14:paraId="4FEEE1B5" w14:textId="77777777" w:rsidR="00862B0B" w:rsidRPr="00A67277" w:rsidRDefault="00862B0B" w:rsidP="00862B0B">
            <w:pPr>
              <w:spacing w:before="60" w:after="60"/>
              <w:rPr>
                <w:rFonts w:ascii="Arial" w:hAnsi="Arial" w:cs="Arial"/>
                <w:sz w:val="21"/>
                <w:szCs w:val="21"/>
              </w:rPr>
            </w:pPr>
          </w:p>
        </w:tc>
        <w:tc>
          <w:tcPr>
            <w:tcW w:w="2561" w:type="pct"/>
            <w:gridSpan w:val="2"/>
          </w:tcPr>
          <w:p w14:paraId="1A55AAF2" w14:textId="77777777" w:rsidR="00862B0B" w:rsidRPr="00A67277" w:rsidRDefault="00862B0B" w:rsidP="00862B0B">
            <w:pPr>
              <w:pStyle w:val="Level3"/>
              <w:numPr>
                <w:ilvl w:val="2"/>
                <w:numId w:val="248"/>
              </w:numPr>
              <w:spacing w:before="60" w:after="60"/>
              <w:ind w:hanging="535"/>
              <w:rPr>
                <w:rFonts w:cs="Arial"/>
              </w:rPr>
            </w:pPr>
            <w:r w:rsidRPr="00A67277">
              <w:rPr>
                <w:rFonts w:cs="Arial"/>
              </w:rPr>
              <w:t>referensi kepada dokumen termasuk semua perubahan atau tambahan untuk, atau penggantian atau novasi dari, dokumen tersebut;</w:t>
            </w:r>
          </w:p>
        </w:tc>
      </w:tr>
      <w:tr w:rsidR="00862B0B" w:rsidRPr="00A67277" w14:paraId="66AFA717" w14:textId="77777777" w:rsidTr="00862B0B">
        <w:tc>
          <w:tcPr>
            <w:tcW w:w="2270" w:type="pct"/>
          </w:tcPr>
          <w:p w14:paraId="0290604A" w14:textId="2D26CE51" w:rsidR="00862B0B" w:rsidRPr="00A67277" w:rsidRDefault="00862B0B" w:rsidP="00862B0B">
            <w:pPr>
              <w:pStyle w:val="Level3"/>
              <w:numPr>
                <w:ilvl w:val="2"/>
                <w:numId w:val="246"/>
              </w:numPr>
              <w:spacing w:before="60" w:after="60"/>
              <w:ind w:hanging="517"/>
              <w:rPr>
                <w:rFonts w:cs="Arial"/>
              </w:rPr>
            </w:pPr>
            <w:bookmarkStart w:id="70" w:name="_Toc501177840"/>
            <w:r w:rsidRPr="00A67277">
              <w:rPr>
                <w:rFonts w:cs="Arial"/>
              </w:rPr>
              <w:t>a document expressed to be in the agreed form means a document in a form which has been agreed by the Parties on or before the execution of this Agreement and signed or initialled by them or on their behalf, for the purposes of identification;</w:t>
            </w:r>
            <w:bookmarkEnd w:id="70"/>
          </w:p>
        </w:tc>
        <w:tc>
          <w:tcPr>
            <w:tcW w:w="169" w:type="pct"/>
          </w:tcPr>
          <w:p w14:paraId="77CAA017" w14:textId="77777777" w:rsidR="00862B0B" w:rsidRPr="00A67277" w:rsidRDefault="00862B0B" w:rsidP="00862B0B">
            <w:pPr>
              <w:spacing w:before="60" w:after="60"/>
              <w:rPr>
                <w:rFonts w:ascii="Arial" w:hAnsi="Arial" w:cs="Arial"/>
                <w:sz w:val="21"/>
                <w:szCs w:val="21"/>
              </w:rPr>
            </w:pPr>
          </w:p>
        </w:tc>
        <w:tc>
          <w:tcPr>
            <w:tcW w:w="2561" w:type="pct"/>
            <w:gridSpan w:val="2"/>
          </w:tcPr>
          <w:p w14:paraId="336C8ED1" w14:textId="77777777" w:rsidR="00862B0B" w:rsidRPr="00A67277" w:rsidRDefault="00862B0B" w:rsidP="00862B0B">
            <w:pPr>
              <w:pStyle w:val="Level3"/>
              <w:numPr>
                <w:ilvl w:val="2"/>
                <w:numId w:val="249"/>
              </w:numPr>
              <w:spacing w:before="60" w:after="60"/>
              <w:ind w:hanging="535"/>
              <w:rPr>
                <w:rFonts w:cs="Arial"/>
              </w:rPr>
            </w:pPr>
            <w:r w:rsidRPr="00A67277">
              <w:rPr>
                <w:rFonts w:cs="Arial"/>
              </w:rPr>
              <w:t>dokumen yang dinyatakan dalam format yang disepakati berarti dokumen dalam format yang telah disepakati oleh Para Pihak pada saat atau sebelum penandatanganan dari Perjanjian ini dan ditandatangani atau diinisial oleh mereka atau atas nama mereka, untuk tujuan identifikasi;</w:t>
            </w:r>
          </w:p>
        </w:tc>
      </w:tr>
      <w:tr w:rsidR="00862B0B" w:rsidRPr="00A67277" w14:paraId="6F9EBC38" w14:textId="77777777" w:rsidTr="00862B0B">
        <w:tc>
          <w:tcPr>
            <w:tcW w:w="2270" w:type="pct"/>
          </w:tcPr>
          <w:p w14:paraId="7BA9FBE9" w14:textId="5992E056" w:rsidR="00862B0B" w:rsidRPr="00A67277" w:rsidRDefault="00862B0B" w:rsidP="00862B0B">
            <w:pPr>
              <w:pStyle w:val="Level3"/>
              <w:numPr>
                <w:ilvl w:val="2"/>
                <w:numId w:val="246"/>
              </w:numPr>
              <w:spacing w:before="60" w:after="60"/>
              <w:ind w:hanging="517"/>
              <w:rPr>
                <w:rFonts w:cs="Arial"/>
              </w:rPr>
            </w:pPr>
            <w:bookmarkStart w:id="71" w:name="_Toc501177841"/>
            <w:r w:rsidRPr="00A67277">
              <w:rPr>
                <w:rFonts w:cs="Arial"/>
              </w:rPr>
              <w:t>a reference to writing includes printing, typing, lithography and other means of reproducing words in a visible form, including electronic mail;</w:t>
            </w:r>
            <w:bookmarkEnd w:id="71"/>
          </w:p>
        </w:tc>
        <w:tc>
          <w:tcPr>
            <w:tcW w:w="169" w:type="pct"/>
          </w:tcPr>
          <w:p w14:paraId="433222B0" w14:textId="77777777" w:rsidR="00862B0B" w:rsidRPr="00A67277" w:rsidRDefault="00862B0B" w:rsidP="00862B0B">
            <w:pPr>
              <w:spacing w:before="60" w:after="60"/>
              <w:rPr>
                <w:rFonts w:ascii="Arial" w:hAnsi="Arial" w:cs="Arial"/>
                <w:sz w:val="21"/>
                <w:szCs w:val="21"/>
              </w:rPr>
            </w:pPr>
          </w:p>
        </w:tc>
        <w:tc>
          <w:tcPr>
            <w:tcW w:w="2561" w:type="pct"/>
            <w:gridSpan w:val="2"/>
          </w:tcPr>
          <w:p w14:paraId="75699C51" w14:textId="77777777" w:rsidR="00862B0B" w:rsidRPr="00A67277" w:rsidRDefault="00862B0B" w:rsidP="00862B0B">
            <w:pPr>
              <w:pStyle w:val="Level3"/>
              <w:numPr>
                <w:ilvl w:val="2"/>
                <w:numId w:val="250"/>
              </w:numPr>
              <w:spacing w:before="60" w:after="60"/>
              <w:ind w:hanging="535"/>
              <w:rPr>
                <w:rFonts w:cs="Arial"/>
              </w:rPr>
            </w:pPr>
            <w:r w:rsidRPr="00A67277">
              <w:rPr>
                <w:rFonts w:cs="Arial"/>
              </w:rPr>
              <w:t>referensi kepada tertulis termasuk cetakan, ketikan, litografi dan bentuk lainnya untuk memperbanyak kata-kata dalam format yang dapat dibaca, termasuk surat elektronik;</w:t>
            </w:r>
          </w:p>
        </w:tc>
      </w:tr>
      <w:tr w:rsidR="00862B0B" w:rsidRPr="00A67277" w14:paraId="3CB21D76" w14:textId="77777777" w:rsidTr="00862B0B">
        <w:tc>
          <w:tcPr>
            <w:tcW w:w="2270" w:type="pct"/>
          </w:tcPr>
          <w:p w14:paraId="37A7A6A8" w14:textId="0A8B69BE" w:rsidR="00862B0B" w:rsidRPr="00A67277" w:rsidRDefault="00862B0B" w:rsidP="00862B0B">
            <w:pPr>
              <w:pStyle w:val="Level3"/>
              <w:numPr>
                <w:ilvl w:val="2"/>
                <w:numId w:val="246"/>
              </w:numPr>
              <w:spacing w:before="60" w:after="60"/>
              <w:ind w:hanging="517"/>
              <w:rPr>
                <w:rFonts w:cs="Arial"/>
              </w:rPr>
            </w:pPr>
            <w:bookmarkStart w:id="72" w:name="_Toc501177842"/>
            <w:r w:rsidRPr="00A67277">
              <w:rPr>
                <w:rFonts w:cs="Arial"/>
              </w:rPr>
              <w:t>a reference to time is to Indonesia Western Time;</w:t>
            </w:r>
            <w:bookmarkEnd w:id="72"/>
          </w:p>
        </w:tc>
        <w:tc>
          <w:tcPr>
            <w:tcW w:w="169" w:type="pct"/>
          </w:tcPr>
          <w:p w14:paraId="35B14DAE" w14:textId="77777777" w:rsidR="00862B0B" w:rsidRPr="00A67277" w:rsidRDefault="00862B0B" w:rsidP="00862B0B">
            <w:pPr>
              <w:spacing w:before="60" w:after="60"/>
              <w:rPr>
                <w:rFonts w:ascii="Arial" w:hAnsi="Arial" w:cs="Arial"/>
                <w:sz w:val="21"/>
                <w:szCs w:val="21"/>
              </w:rPr>
            </w:pPr>
          </w:p>
        </w:tc>
        <w:tc>
          <w:tcPr>
            <w:tcW w:w="2561" w:type="pct"/>
            <w:gridSpan w:val="2"/>
          </w:tcPr>
          <w:p w14:paraId="6DFDCD19" w14:textId="77777777" w:rsidR="00862B0B" w:rsidRPr="00A67277" w:rsidRDefault="00862B0B" w:rsidP="00862B0B">
            <w:pPr>
              <w:pStyle w:val="Level3"/>
              <w:numPr>
                <w:ilvl w:val="2"/>
                <w:numId w:val="252"/>
              </w:numPr>
              <w:spacing w:before="60" w:after="60"/>
              <w:ind w:hanging="535"/>
              <w:rPr>
                <w:rFonts w:cs="Arial"/>
              </w:rPr>
            </w:pPr>
            <w:r w:rsidRPr="00A67277">
              <w:rPr>
                <w:rFonts w:cs="Arial"/>
              </w:rPr>
              <w:t xml:space="preserve">referensi kepada waktu merupakan Waktu Indonesia Bagian Barat; </w:t>
            </w:r>
          </w:p>
        </w:tc>
      </w:tr>
      <w:tr w:rsidR="00862B0B" w:rsidRPr="00A67277" w14:paraId="2678C366" w14:textId="77777777" w:rsidTr="00862B0B">
        <w:tc>
          <w:tcPr>
            <w:tcW w:w="2270" w:type="pct"/>
          </w:tcPr>
          <w:p w14:paraId="18210891" w14:textId="20FC30CF" w:rsidR="00862B0B" w:rsidRPr="00A67277" w:rsidRDefault="00862B0B" w:rsidP="00862B0B">
            <w:pPr>
              <w:pStyle w:val="Level3"/>
              <w:numPr>
                <w:ilvl w:val="2"/>
                <w:numId w:val="246"/>
              </w:numPr>
              <w:spacing w:before="60" w:after="60"/>
              <w:ind w:hanging="517"/>
              <w:rPr>
                <w:rFonts w:cs="Arial"/>
              </w:rPr>
            </w:pPr>
            <w:bookmarkStart w:id="73" w:name="_Toc501177843"/>
            <w:r w:rsidRPr="00A67277">
              <w:rPr>
                <w:rFonts w:cs="Arial"/>
              </w:rPr>
              <w:t>all periods of time are based on, and computed according to, the Gregorian calendar;</w:t>
            </w:r>
            <w:bookmarkEnd w:id="73"/>
          </w:p>
        </w:tc>
        <w:tc>
          <w:tcPr>
            <w:tcW w:w="169" w:type="pct"/>
          </w:tcPr>
          <w:p w14:paraId="46526E34" w14:textId="77777777" w:rsidR="00862B0B" w:rsidRPr="00A67277" w:rsidRDefault="00862B0B" w:rsidP="00862B0B">
            <w:pPr>
              <w:spacing w:before="60" w:after="60"/>
              <w:rPr>
                <w:rFonts w:ascii="Arial" w:hAnsi="Arial" w:cs="Arial"/>
                <w:sz w:val="21"/>
                <w:szCs w:val="21"/>
              </w:rPr>
            </w:pPr>
          </w:p>
        </w:tc>
        <w:tc>
          <w:tcPr>
            <w:tcW w:w="2561" w:type="pct"/>
            <w:gridSpan w:val="2"/>
          </w:tcPr>
          <w:p w14:paraId="635A9E53" w14:textId="77777777" w:rsidR="00862B0B" w:rsidRPr="00A67277" w:rsidRDefault="00862B0B" w:rsidP="00862B0B">
            <w:pPr>
              <w:pStyle w:val="Level3"/>
              <w:numPr>
                <w:ilvl w:val="2"/>
                <w:numId w:val="251"/>
              </w:numPr>
              <w:spacing w:before="60" w:after="60"/>
              <w:ind w:hanging="535"/>
              <w:rPr>
                <w:rFonts w:cs="Arial"/>
              </w:rPr>
            </w:pPr>
            <w:r w:rsidRPr="00A67277">
              <w:rPr>
                <w:rFonts w:cs="Arial"/>
              </w:rPr>
              <w:t>semua periode waktu adalah berdasarkan, dan dihitung sesuai dengan kalender Gregorian;</w:t>
            </w:r>
          </w:p>
        </w:tc>
      </w:tr>
      <w:tr w:rsidR="00862B0B" w:rsidRPr="00A67277" w14:paraId="1B252AA4" w14:textId="77777777" w:rsidTr="00862B0B">
        <w:tc>
          <w:tcPr>
            <w:tcW w:w="2270" w:type="pct"/>
          </w:tcPr>
          <w:p w14:paraId="01ECF374" w14:textId="1AEFA5D6" w:rsidR="00862B0B" w:rsidRPr="00A67277" w:rsidRDefault="00862B0B" w:rsidP="00862B0B">
            <w:pPr>
              <w:pStyle w:val="Level3"/>
              <w:numPr>
                <w:ilvl w:val="2"/>
                <w:numId w:val="246"/>
              </w:numPr>
              <w:spacing w:before="60" w:after="60"/>
              <w:ind w:hanging="517"/>
              <w:rPr>
                <w:rFonts w:cs="Arial"/>
              </w:rPr>
            </w:pPr>
            <w:bookmarkStart w:id="74" w:name="_Toc501177844"/>
            <w:r w:rsidRPr="00A67277">
              <w:rPr>
                <w:rFonts w:cs="Arial"/>
              </w:rPr>
              <w:t>for the purposes of determining the last Day of a period measured in Days, Month(s) or Year(s),</w:t>
            </w:r>
            <w:bookmarkEnd w:id="74"/>
          </w:p>
        </w:tc>
        <w:tc>
          <w:tcPr>
            <w:tcW w:w="169" w:type="pct"/>
          </w:tcPr>
          <w:p w14:paraId="7A4462FB" w14:textId="77777777" w:rsidR="00862B0B" w:rsidRPr="00A67277" w:rsidRDefault="00862B0B" w:rsidP="00862B0B">
            <w:pPr>
              <w:spacing w:before="60" w:after="60"/>
              <w:rPr>
                <w:rFonts w:ascii="Arial" w:hAnsi="Arial" w:cs="Arial"/>
                <w:sz w:val="21"/>
                <w:szCs w:val="21"/>
              </w:rPr>
            </w:pPr>
          </w:p>
        </w:tc>
        <w:tc>
          <w:tcPr>
            <w:tcW w:w="2561" w:type="pct"/>
            <w:gridSpan w:val="2"/>
          </w:tcPr>
          <w:p w14:paraId="2C964015" w14:textId="77777777" w:rsidR="00862B0B" w:rsidRPr="00A67277" w:rsidRDefault="00862B0B" w:rsidP="00862B0B">
            <w:pPr>
              <w:pStyle w:val="Level3"/>
              <w:numPr>
                <w:ilvl w:val="2"/>
                <w:numId w:val="253"/>
              </w:numPr>
              <w:spacing w:before="60" w:after="60"/>
              <w:ind w:hanging="535"/>
              <w:rPr>
                <w:rFonts w:cs="Arial"/>
              </w:rPr>
            </w:pPr>
            <w:r w:rsidRPr="00A67277">
              <w:rPr>
                <w:rFonts w:cs="Arial"/>
              </w:rPr>
              <w:t>untuk tujuan menentukan Hari terakhir dari suatu periode yang dihitung di dalam Hari, Bulan atau Tahun,</w:t>
            </w:r>
          </w:p>
        </w:tc>
      </w:tr>
      <w:tr w:rsidR="00862B0B" w:rsidRPr="00A67277" w14:paraId="7E9F66F4" w14:textId="77777777" w:rsidTr="00862B0B">
        <w:tc>
          <w:tcPr>
            <w:tcW w:w="2270" w:type="pct"/>
          </w:tcPr>
          <w:p w14:paraId="7BE19437" w14:textId="77777777" w:rsidR="00862B0B" w:rsidRPr="00A67277" w:rsidRDefault="00862B0B" w:rsidP="00862B0B">
            <w:pPr>
              <w:pStyle w:val="Level4"/>
              <w:numPr>
                <w:ilvl w:val="3"/>
                <w:numId w:val="451"/>
              </w:numPr>
              <w:spacing w:before="60" w:after="60"/>
              <w:ind w:left="1980" w:hanging="540"/>
              <w:rPr>
                <w:rFonts w:cs="Arial"/>
              </w:rPr>
            </w:pPr>
            <w:r w:rsidRPr="00A67277">
              <w:rPr>
                <w:rFonts w:cs="Arial"/>
              </w:rPr>
              <w:t>subject to sub-clause (ii) below, if the relevant period ends on a Day that is not a Business Day, the last Day of such period shall be deemed to be the subsequent Business Day; and</w:t>
            </w:r>
          </w:p>
        </w:tc>
        <w:tc>
          <w:tcPr>
            <w:tcW w:w="169" w:type="pct"/>
          </w:tcPr>
          <w:p w14:paraId="17FFFC7E" w14:textId="77777777" w:rsidR="00862B0B" w:rsidRPr="00A67277" w:rsidRDefault="00862B0B" w:rsidP="00862B0B">
            <w:pPr>
              <w:spacing w:before="60" w:after="60"/>
              <w:rPr>
                <w:rFonts w:ascii="Arial" w:hAnsi="Arial" w:cs="Arial"/>
                <w:sz w:val="21"/>
                <w:szCs w:val="21"/>
              </w:rPr>
            </w:pPr>
          </w:p>
        </w:tc>
        <w:tc>
          <w:tcPr>
            <w:tcW w:w="2561" w:type="pct"/>
            <w:gridSpan w:val="2"/>
          </w:tcPr>
          <w:p w14:paraId="528620A6" w14:textId="77777777" w:rsidR="00862B0B" w:rsidRPr="00A67277" w:rsidRDefault="00862B0B" w:rsidP="00862B0B">
            <w:pPr>
              <w:pStyle w:val="Level4"/>
              <w:numPr>
                <w:ilvl w:val="3"/>
                <w:numId w:val="452"/>
              </w:numPr>
              <w:spacing w:before="60" w:after="60"/>
              <w:rPr>
                <w:rFonts w:cs="Arial"/>
              </w:rPr>
            </w:pPr>
            <w:bookmarkStart w:id="75" w:name="_Ref399324810"/>
            <w:r w:rsidRPr="00A67277">
              <w:rPr>
                <w:rFonts w:cs="Arial"/>
              </w:rPr>
              <w:t>tunduk pada paragraf (ii) di bawah, jika periode relevan berakhir pada Hari yang bukan merupakan Hari Kerja, Hari terakhir dari periode tersebut dianggap sebagai Hari Kerja selanjutnya</w:t>
            </w:r>
            <w:bookmarkEnd w:id="75"/>
            <w:r w:rsidRPr="00A67277">
              <w:rPr>
                <w:rFonts w:cs="Arial"/>
              </w:rPr>
              <w:t>; dan</w:t>
            </w:r>
          </w:p>
        </w:tc>
      </w:tr>
      <w:tr w:rsidR="00862B0B" w:rsidRPr="00A67277" w14:paraId="48880FE5" w14:textId="77777777" w:rsidTr="00862B0B">
        <w:tc>
          <w:tcPr>
            <w:tcW w:w="2270" w:type="pct"/>
          </w:tcPr>
          <w:p w14:paraId="443D9900" w14:textId="77777777" w:rsidR="00862B0B" w:rsidRPr="00A67277" w:rsidRDefault="00862B0B" w:rsidP="00862B0B">
            <w:pPr>
              <w:pStyle w:val="Level4"/>
              <w:numPr>
                <w:ilvl w:val="3"/>
                <w:numId w:val="452"/>
              </w:numPr>
              <w:spacing w:before="60" w:after="60"/>
              <w:ind w:left="1980" w:hanging="540"/>
              <w:rPr>
                <w:rFonts w:cs="Arial"/>
              </w:rPr>
            </w:pPr>
            <w:r w:rsidRPr="00A67277">
              <w:rPr>
                <w:rFonts w:cs="Arial"/>
              </w:rPr>
              <w:t xml:space="preserve">if the relevant period ends on a Day that is not a Business Day, such period is measured in Month(s) or Year(s), and the subsequent Business Day would be the first </w:t>
            </w:r>
            <w:bookmarkStart w:id="76" w:name="_cp_text_1_774"/>
            <w:r w:rsidRPr="00A67277">
              <w:rPr>
                <w:rFonts w:cs="Arial"/>
              </w:rPr>
              <w:t xml:space="preserve">Business </w:t>
            </w:r>
            <w:bookmarkEnd w:id="76"/>
            <w:r w:rsidRPr="00A67277">
              <w:rPr>
                <w:rFonts w:cs="Arial"/>
              </w:rPr>
              <w:t>Day of the next Month or Year, the last Day of such period shall be deemed to be the preceding Business Day;</w:t>
            </w:r>
          </w:p>
        </w:tc>
        <w:tc>
          <w:tcPr>
            <w:tcW w:w="169" w:type="pct"/>
          </w:tcPr>
          <w:p w14:paraId="0A23604E" w14:textId="77777777" w:rsidR="00862B0B" w:rsidRPr="00A67277" w:rsidRDefault="00862B0B" w:rsidP="00862B0B">
            <w:pPr>
              <w:spacing w:before="60" w:after="60"/>
              <w:rPr>
                <w:rFonts w:ascii="Arial" w:hAnsi="Arial" w:cs="Arial"/>
                <w:sz w:val="21"/>
                <w:szCs w:val="21"/>
              </w:rPr>
            </w:pPr>
          </w:p>
        </w:tc>
        <w:tc>
          <w:tcPr>
            <w:tcW w:w="2561" w:type="pct"/>
            <w:gridSpan w:val="2"/>
          </w:tcPr>
          <w:p w14:paraId="0A3258DF" w14:textId="77777777" w:rsidR="00862B0B" w:rsidRPr="00A67277" w:rsidRDefault="00862B0B" w:rsidP="00862B0B">
            <w:pPr>
              <w:pStyle w:val="Level4"/>
              <w:numPr>
                <w:ilvl w:val="3"/>
                <w:numId w:val="254"/>
              </w:numPr>
              <w:tabs>
                <w:tab w:val="clear" w:pos="2126"/>
                <w:tab w:val="num" w:pos="1962"/>
              </w:tabs>
              <w:spacing w:before="60" w:after="60"/>
              <w:ind w:left="1962" w:hanging="540"/>
              <w:rPr>
                <w:rFonts w:cs="Arial"/>
              </w:rPr>
            </w:pPr>
            <w:bookmarkStart w:id="77" w:name="_Ref399324859"/>
            <w:r w:rsidRPr="00A67277">
              <w:rPr>
                <w:rFonts w:cs="Arial"/>
              </w:rPr>
              <w:t>jika periode relevan berakhir pada Hari yang bukan merupakan Hari Kerja, periode tersebut dihitung di Bulan atau Tahun, dan Hari Kerja selanjutnya akan menjadi Hari Kerja pertama dari Bulan atau Tahun berikutnya, Hari Kerja terakhir dianggap sebagai Hari Kerja sebelumnya;</w:t>
            </w:r>
            <w:bookmarkEnd w:id="77"/>
          </w:p>
        </w:tc>
      </w:tr>
      <w:tr w:rsidR="00862B0B" w:rsidRPr="00A67277" w14:paraId="1750ED48" w14:textId="77777777" w:rsidTr="00862B0B">
        <w:tc>
          <w:tcPr>
            <w:tcW w:w="2270" w:type="pct"/>
          </w:tcPr>
          <w:p w14:paraId="26D69677" w14:textId="2E587808" w:rsidR="00862B0B" w:rsidRPr="00A67277" w:rsidRDefault="00862B0B" w:rsidP="00862B0B">
            <w:pPr>
              <w:pStyle w:val="Level3"/>
              <w:numPr>
                <w:ilvl w:val="2"/>
                <w:numId w:val="246"/>
              </w:numPr>
              <w:spacing w:before="60" w:after="60"/>
              <w:ind w:hanging="517"/>
              <w:rPr>
                <w:rFonts w:cs="Arial"/>
              </w:rPr>
            </w:pPr>
            <w:bookmarkStart w:id="78" w:name="_Toc501177845"/>
            <w:r w:rsidRPr="00A67277">
              <w:rPr>
                <w:rFonts w:cs="Arial"/>
              </w:rPr>
              <w:t>a reference to currency is a reference to Indonesian currency and all amounts payable under this agreement must be paid in the Republic of Indonesia in Indonesian Rupiah, unless otherwise specified;</w:t>
            </w:r>
            <w:bookmarkEnd w:id="78"/>
          </w:p>
        </w:tc>
        <w:tc>
          <w:tcPr>
            <w:tcW w:w="169" w:type="pct"/>
          </w:tcPr>
          <w:p w14:paraId="115717A5" w14:textId="77777777" w:rsidR="00862B0B" w:rsidRPr="00A67277" w:rsidRDefault="00862B0B" w:rsidP="00862B0B">
            <w:pPr>
              <w:spacing w:before="60" w:after="60"/>
              <w:rPr>
                <w:rFonts w:ascii="Arial" w:hAnsi="Arial" w:cs="Arial"/>
                <w:sz w:val="21"/>
                <w:szCs w:val="21"/>
              </w:rPr>
            </w:pPr>
          </w:p>
        </w:tc>
        <w:tc>
          <w:tcPr>
            <w:tcW w:w="2561" w:type="pct"/>
            <w:gridSpan w:val="2"/>
          </w:tcPr>
          <w:p w14:paraId="5532C232" w14:textId="77777777" w:rsidR="00862B0B" w:rsidRPr="00A67277" w:rsidRDefault="00862B0B" w:rsidP="00862B0B">
            <w:pPr>
              <w:pStyle w:val="Level3"/>
              <w:numPr>
                <w:ilvl w:val="2"/>
                <w:numId w:val="255"/>
              </w:numPr>
              <w:spacing w:before="60" w:after="60"/>
              <w:ind w:hanging="535"/>
              <w:rPr>
                <w:rFonts w:cs="Arial"/>
              </w:rPr>
            </w:pPr>
            <w:r w:rsidRPr="00A67277">
              <w:rPr>
                <w:rFonts w:cs="Arial"/>
              </w:rPr>
              <w:t>referensi kepada nilai tukar merupakan referensi kepada nilai tukar Indonesia dan semua jumlah yang dibayarkan berdasarkan Perjanjian ini harus dilakukan dalam Republik Indonesia dalam Rupiah, kecuali dinyatakan sebaliknya;</w:t>
            </w:r>
          </w:p>
        </w:tc>
      </w:tr>
      <w:tr w:rsidR="00862B0B" w:rsidRPr="00A67277" w14:paraId="732062D3" w14:textId="77777777" w:rsidTr="00862B0B">
        <w:tc>
          <w:tcPr>
            <w:tcW w:w="2270" w:type="pct"/>
          </w:tcPr>
          <w:p w14:paraId="16AB92F7" w14:textId="4C0AACC6" w:rsidR="00862B0B" w:rsidRPr="00A67277" w:rsidRDefault="00862B0B" w:rsidP="00862B0B">
            <w:pPr>
              <w:pStyle w:val="Level3"/>
              <w:numPr>
                <w:ilvl w:val="2"/>
                <w:numId w:val="453"/>
              </w:numPr>
              <w:spacing w:before="60" w:after="60"/>
              <w:ind w:hanging="534"/>
              <w:rPr>
                <w:rFonts w:cs="Arial"/>
              </w:rPr>
            </w:pPr>
            <w:bookmarkStart w:id="79" w:name="_Toc501177846"/>
            <w:r w:rsidRPr="00A67277">
              <w:rPr>
                <w:rFonts w:cs="Arial"/>
              </w:rPr>
              <w:t>any capitalised words, terms, phrases and abbreviations used specifically in any Appendix or any attachment to any Appendix will have the meanings set forth in that Appendix or attachment, as the case may be;</w:t>
            </w:r>
            <w:bookmarkEnd w:id="79"/>
          </w:p>
        </w:tc>
        <w:tc>
          <w:tcPr>
            <w:tcW w:w="169" w:type="pct"/>
          </w:tcPr>
          <w:p w14:paraId="4F31BCDC" w14:textId="77777777" w:rsidR="00862B0B" w:rsidRPr="00A67277" w:rsidRDefault="00862B0B" w:rsidP="00862B0B">
            <w:pPr>
              <w:spacing w:before="60" w:after="60"/>
              <w:rPr>
                <w:rFonts w:ascii="Arial" w:hAnsi="Arial" w:cs="Arial"/>
                <w:sz w:val="21"/>
                <w:szCs w:val="21"/>
              </w:rPr>
            </w:pPr>
          </w:p>
        </w:tc>
        <w:tc>
          <w:tcPr>
            <w:tcW w:w="2561" w:type="pct"/>
            <w:gridSpan w:val="2"/>
          </w:tcPr>
          <w:p w14:paraId="4227276D" w14:textId="77777777" w:rsidR="00862B0B" w:rsidRPr="00A67277" w:rsidRDefault="00862B0B" w:rsidP="00862B0B">
            <w:pPr>
              <w:pStyle w:val="Level3"/>
              <w:numPr>
                <w:ilvl w:val="2"/>
                <w:numId w:val="256"/>
              </w:numPr>
              <w:spacing w:before="60" w:after="60"/>
              <w:ind w:hanging="535"/>
              <w:rPr>
                <w:rFonts w:cs="Arial"/>
              </w:rPr>
            </w:pPr>
            <w:r w:rsidRPr="00A67277">
              <w:rPr>
                <w:rFonts w:cs="Arial"/>
              </w:rPr>
              <w:t>segala kata-kata, istilah, frase dan kepanjangan dengan huruf besar yang digunakan secara khusus dalam segala Lampiran atau pelengkap dari Lampiran akan memiliki pengertian yang sama sebagaimana yang dinyatakan dalam Lampiran atau tambahan tersebut, sebagaimana berlaku;</w:t>
            </w:r>
          </w:p>
        </w:tc>
      </w:tr>
      <w:tr w:rsidR="00862B0B" w:rsidRPr="00A67277" w14:paraId="6B0C413E" w14:textId="77777777" w:rsidTr="00862B0B">
        <w:tc>
          <w:tcPr>
            <w:tcW w:w="2270" w:type="pct"/>
          </w:tcPr>
          <w:p w14:paraId="3C7C3DE0" w14:textId="12F82B29" w:rsidR="00862B0B" w:rsidRPr="00A67277" w:rsidRDefault="00862B0B" w:rsidP="00862B0B">
            <w:pPr>
              <w:pStyle w:val="Level3"/>
              <w:numPr>
                <w:ilvl w:val="2"/>
                <w:numId w:val="453"/>
              </w:numPr>
              <w:spacing w:before="60" w:after="60"/>
              <w:ind w:hanging="517"/>
              <w:rPr>
                <w:rFonts w:cs="Arial"/>
              </w:rPr>
            </w:pPr>
            <w:bookmarkStart w:id="80" w:name="_Toc501177847"/>
            <w:r w:rsidRPr="00A67277">
              <w:rPr>
                <w:rFonts w:cs="Arial"/>
              </w:rPr>
              <w:t>in the event of any inconsistency between any capitalised word, term, phrase or abbreviation in Clause 1.1 (</w:t>
            </w:r>
            <w:r w:rsidRPr="00A67277">
              <w:rPr>
                <w:rFonts w:cs="Arial"/>
                <w:i/>
              </w:rPr>
              <w:t>Definitions</w:t>
            </w:r>
            <w:r w:rsidRPr="00A67277">
              <w:rPr>
                <w:rFonts w:cs="Arial"/>
              </w:rPr>
              <w:t>) and any capitalised word, term, phrase or abbreviation contained in any Appendix or any attachment to any Appendix, the meaning contained in the Appendix or attachment takes precedence over the meaning in Clause 1.1 (</w:t>
            </w:r>
            <w:r w:rsidRPr="00A67277">
              <w:rPr>
                <w:rFonts w:cs="Arial"/>
                <w:i/>
              </w:rPr>
              <w:t>Definitions</w:t>
            </w:r>
            <w:r w:rsidRPr="00A67277">
              <w:rPr>
                <w:rFonts w:cs="Arial"/>
              </w:rPr>
              <w:t>) unless the context of this Agreement otherwise requires;</w:t>
            </w:r>
            <w:bookmarkEnd w:id="80"/>
          </w:p>
        </w:tc>
        <w:tc>
          <w:tcPr>
            <w:tcW w:w="169" w:type="pct"/>
          </w:tcPr>
          <w:p w14:paraId="055E92B8" w14:textId="77777777" w:rsidR="00862B0B" w:rsidRPr="00A67277" w:rsidRDefault="00862B0B" w:rsidP="00862B0B">
            <w:pPr>
              <w:spacing w:before="60" w:after="60"/>
              <w:rPr>
                <w:rFonts w:ascii="Arial" w:hAnsi="Arial" w:cs="Arial"/>
                <w:sz w:val="21"/>
                <w:szCs w:val="21"/>
              </w:rPr>
            </w:pPr>
          </w:p>
        </w:tc>
        <w:tc>
          <w:tcPr>
            <w:tcW w:w="2561" w:type="pct"/>
            <w:gridSpan w:val="2"/>
          </w:tcPr>
          <w:p w14:paraId="182F563E" w14:textId="77777777" w:rsidR="00862B0B" w:rsidRPr="00A67277" w:rsidRDefault="00862B0B" w:rsidP="00862B0B">
            <w:pPr>
              <w:pStyle w:val="Level3"/>
              <w:numPr>
                <w:ilvl w:val="2"/>
                <w:numId w:val="257"/>
              </w:numPr>
              <w:spacing w:before="60" w:after="60"/>
              <w:ind w:hanging="535"/>
              <w:rPr>
                <w:rFonts w:cs="Arial"/>
              </w:rPr>
            </w:pPr>
            <w:r w:rsidRPr="00A67277">
              <w:rPr>
                <w:rFonts w:cs="Arial"/>
              </w:rPr>
              <w:t>jika terdapat inkonsistensi antara segala kata-kata, istilah, frase atau singkatan di dalam Pasal 1.1 (</w:t>
            </w:r>
            <w:r w:rsidRPr="00A67277">
              <w:rPr>
                <w:rFonts w:cs="Arial"/>
                <w:i/>
              </w:rPr>
              <w:t>Definisi</w:t>
            </w:r>
            <w:r w:rsidRPr="00A67277">
              <w:rPr>
                <w:rFonts w:cs="Arial"/>
              </w:rPr>
              <w:t>) dengan segala kata-kata, istilah, frase atau singkatan yang terdapat dalam Lampiran atau tambahan dari Lampiran, pengertian yang terkandung dalam Lampiran atau tambahan akan lebih diutamakan di atas pengertian dari Pasal 1.1 (</w:t>
            </w:r>
            <w:r w:rsidRPr="00A67277">
              <w:rPr>
                <w:rFonts w:cs="Arial"/>
                <w:i/>
              </w:rPr>
              <w:t>Definisi</w:t>
            </w:r>
            <w:r w:rsidRPr="00A67277">
              <w:rPr>
                <w:rFonts w:cs="Arial"/>
              </w:rPr>
              <w:t>) kecuali konteks Perjanjian ini mempersyaratkan lain;</w:t>
            </w:r>
          </w:p>
        </w:tc>
      </w:tr>
      <w:tr w:rsidR="00862B0B" w:rsidRPr="00A67277" w14:paraId="41702E87" w14:textId="77777777" w:rsidTr="00862B0B">
        <w:tc>
          <w:tcPr>
            <w:tcW w:w="2270" w:type="pct"/>
          </w:tcPr>
          <w:p w14:paraId="502FD49E" w14:textId="6CD0237C" w:rsidR="00862B0B" w:rsidRPr="00A67277" w:rsidRDefault="00862B0B" w:rsidP="00862B0B">
            <w:pPr>
              <w:pStyle w:val="Level3"/>
              <w:numPr>
                <w:ilvl w:val="2"/>
                <w:numId w:val="453"/>
              </w:numPr>
              <w:spacing w:before="60" w:after="60"/>
              <w:ind w:hanging="517"/>
              <w:rPr>
                <w:rFonts w:cs="Arial"/>
              </w:rPr>
            </w:pPr>
            <w:bookmarkStart w:id="81" w:name="_Toc501177848"/>
            <w:r w:rsidRPr="00A67277">
              <w:rPr>
                <w:rFonts w:cs="Arial"/>
              </w:rPr>
              <w:t xml:space="preserve">in the event of any inconsistency or conflict between the main body of this Agreement and/or the </w:t>
            </w:r>
            <w:bookmarkStart w:id="82" w:name="_cp_text_1_785"/>
            <w:r w:rsidRPr="00A67277">
              <w:rPr>
                <w:rFonts w:cs="Arial"/>
              </w:rPr>
              <w:t>Appendices</w:t>
            </w:r>
            <w:bookmarkEnd w:id="82"/>
            <w:r w:rsidRPr="00A67277">
              <w:rPr>
                <w:rFonts w:cs="Arial"/>
              </w:rPr>
              <w:t>, then:</w:t>
            </w:r>
            <w:bookmarkEnd w:id="81"/>
          </w:p>
        </w:tc>
        <w:tc>
          <w:tcPr>
            <w:tcW w:w="169" w:type="pct"/>
          </w:tcPr>
          <w:p w14:paraId="55FC9D38" w14:textId="77777777" w:rsidR="00862B0B" w:rsidRPr="00A67277" w:rsidRDefault="00862B0B" w:rsidP="00862B0B">
            <w:pPr>
              <w:spacing w:before="60" w:after="60"/>
              <w:rPr>
                <w:rFonts w:ascii="Arial" w:hAnsi="Arial" w:cs="Arial"/>
                <w:sz w:val="21"/>
                <w:szCs w:val="21"/>
              </w:rPr>
            </w:pPr>
          </w:p>
        </w:tc>
        <w:tc>
          <w:tcPr>
            <w:tcW w:w="2561" w:type="pct"/>
            <w:gridSpan w:val="2"/>
          </w:tcPr>
          <w:p w14:paraId="572855CB" w14:textId="77777777" w:rsidR="00862B0B" w:rsidRPr="00A67277" w:rsidRDefault="00862B0B" w:rsidP="00862B0B">
            <w:pPr>
              <w:pStyle w:val="Level3"/>
              <w:numPr>
                <w:ilvl w:val="2"/>
                <w:numId w:val="258"/>
              </w:numPr>
              <w:spacing w:before="60" w:after="60"/>
              <w:ind w:hanging="535"/>
              <w:rPr>
                <w:rFonts w:cs="Arial"/>
              </w:rPr>
            </w:pPr>
            <w:r w:rsidRPr="00A67277">
              <w:rPr>
                <w:rFonts w:cs="Arial"/>
              </w:rPr>
              <w:t>jika terdapat inkonsistensi atau konflik di antara badan utama dari Perjanjian ini dan/atau Lampiran, maka:</w:t>
            </w:r>
          </w:p>
        </w:tc>
      </w:tr>
      <w:tr w:rsidR="00862B0B" w:rsidRPr="00A67277" w14:paraId="18C35646" w14:textId="77777777" w:rsidTr="00862B0B">
        <w:tc>
          <w:tcPr>
            <w:tcW w:w="2270" w:type="pct"/>
          </w:tcPr>
          <w:p w14:paraId="07B5CC76" w14:textId="7CE94282" w:rsidR="00862B0B" w:rsidRPr="00A67277" w:rsidRDefault="00862B0B" w:rsidP="00862B0B">
            <w:pPr>
              <w:pStyle w:val="Level4"/>
              <w:numPr>
                <w:ilvl w:val="3"/>
                <w:numId w:val="453"/>
              </w:numPr>
              <w:spacing w:before="60" w:after="60"/>
              <w:ind w:left="1980" w:hanging="540"/>
              <w:rPr>
                <w:rFonts w:cs="Arial"/>
              </w:rPr>
            </w:pPr>
            <w:r w:rsidRPr="00A67277">
              <w:rPr>
                <w:rFonts w:cs="Arial"/>
              </w:rPr>
              <w:t xml:space="preserve">the main body shall prevail to the extent of any </w:t>
            </w:r>
            <w:r>
              <w:rPr>
                <w:rFonts w:cs="Arial"/>
              </w:rPr>
              <w:t xml:space="preserve">the </w:t>
            </w:r>
            <w:r w:rsidRPr="00A67277">
              <w:rPr>
                <w:rFonts w:cs="Arial"/>
              </w:rPr>
              <w:t xml:space="preserve">conflict or inconsistency </w:t>
            </w:r>
            <w:r>
              <w:rPr>
                <w:rFonts w:cs="Arial"/>
              </w:rPr>
              <w:t>with</w:t>
            </w:r>
            <w:r w:rsidRPr="00A67277">
              <w:rPr>
                <w:rFonts w:cs="Arial"/>
              </w:rPr>
              <w:t xml:space="preserve"> the </w:t>
            </w:r>
            <w:bookmarkStart w:id="83" w:name="_cp_text_1_787"/>
            <w:r w:rsidRPr="00A67277">
              <w:rPr>
                <w:rFonts w:cs="Arial"/>
              </w:rPr>
              <w:t>Appendices</w:t>
            </w:r>
            <w:bookmarkEnd w:id="83"/>
            <w:r w:rsidRPr="00A67277">
              <w:rPr>
                <w:rFonts w:cs="Arial"/>
              </w:rPr>
              <w:t>; and</w:t>
            </w:r>
          </w:p>
        </w:tc>
        <w:tc>
          <w:tcPr>
            <w:tcW w:w="169" w:type="pct"/>
          </w:tcPr>
          <w:p w14:paraId="64716F0E" w14:textId="77777777" w:rsidR="00862B0B" w:rsidRPr="00A67277" w:rsidRDefault="00862B0B" w:rsidP="00862B0B">
            <w:pPr>
              <w:spacing w:before="60" w:after="60"/>
              <w:rPr>
                <w:rFonts w:ascii="Arial" w:hAnsi="Arial" w:cs="Arial"/>
                <w:sz w:val="21"/>
                <w:szCs w:val="21"/>
              </w:rPr>
            </w:pPr>
          </w:p>
        </w:tc>
        <w:tc>
          <w:tcPr>
            <w:tcW w:w="2561" w:type="pct"/>
            <w:gridSpan w:val="2"/>
          </w:tcPr>
          <w:p w14:paraId="6EBE6205" w14:textId="77777777" w:rsidR="00862B0B" w:rsidRPr="00A67277" w:rsidRDefault="00862B0B" w:rsidP="00862B0B">
            <w:pPr>
              <w:pStyle w:val="Level4"/>
              <w:numPr>
                <w:ilvl w:val="3"/>
                <w:numId w:val="260"/>
              </w:numPr>
              <w:tabs>
                <w:tab w:val="clear" w:pos="2126"/>
                <w:tab w:val="num" w:pos="1962"/>
              </w:tabs>
              <w:spacing w:before="60" w:after="60"/>
              <w:ind w:left="1962" w:hanging="540"/>
              <w:rPr>
                <w:rFonts w:cs="Arial"/>
              </w:rPr>
            </w:pPr>
            <w:r w:rsidRPr="00A67277">
              <w:rPr>
                <w:rFonts w:cs="Arial"/>
              </w:rPr>
              <w:t>badan utama akan berlaku sejauh konflik atau inkonsistensi tersebut terhadap Lampiran; dan</w:t>
            </w:r>
          </w:p>
        </w:tc>
      </w:tr>
      <w:tr w:rsidR="00862B0B" w:rsidRPr="00A67277" w14:paraId="640B0F88" w14:textId="77777777" w:rsidTr="00862B0B">
        <w:tc>
          <w:tcPr>
            <w:tcW w:w="2270" w:type="pct"/>
          </w:tcPr>
          <w:p w14:paraId="18D18A08" w14:textId="2AF5E139" w:rsidR="00862B0B" w:rsidRPr="00A67277" w:rsidRDefault="00862B0B" w:rsidP="00862B0B">
            <w:pPr>
              <w:pStyle w:val="Level4"/>
              <w:numPr>
                <w:ilvl w:val="3"/>
                <w:numId w:val="453"/>
              </w:numPr>
              <w:spacing w:before="60" w:after="60"/>
              <w:ind w:left="1980" w:hanging="540"/>
              <w:rPr>
                <w:rFonts w:cs="Arial"/>
              </w:rPr>
            </w:pPr>
            <w:r w:rsidRPr="00A67277">
              <w:rPr>
                <w:rFonts w:cs="Arial"/>
              </w:rPr>
              <w:t xml:space="preserve">more detailed, updated and explanatory Appendix shall </w:t>
            </w:r>
            <w:r>
              <w:rPr>
                <w:rFonts w:cs="Arial"/>
              </w:rPr>
              <w:t>apply</w:t>
            </w:r>
            <w:r w:rsidRPr="00A67277">
              <w:rPr>
                <w:rFonts w:cs="Arial"/>
              </w:rPr>
              <w:t xml:space="preserve"> to the extent of conflict or inconsistency between one Appendix and another; and</w:t>
            </w:r>
          </w:p>
        </w:tc>
        <w:tc>
          <w:tcPr>
            <w:tcW w:w="169" w:type="pct"/>
          </w:tcPr>
          <w:p w14:paraId="39A91D23" w14:textId="77777777" w:rsidR="00862B0B" w:rsidRPr="00A67277" w:rsidRDefault="00862B0B" w:rsidP="00862B0B">
            <w:pPr>
              <w:spacing w:before="60" w:after="60"/>
              <w:rPr>
                <w:rFonts w:ascii="Arial" w:hAnsi="Arial" w:cs="Arial"/>
                <w:sz w:val="21"/>
                <w:szCs w:val="21"/>
              </w:rPr>
            </w:pPr>
          </w:p>
        </w:tc>
        <w:tc>
          <w:tcPr>
            <w:tcW w:w="2561" w:type="pct"/>
            <w:gridSpan w:val="2"/>
          </w:tcPr>
          <w:p w14:paraId="27CFA574" w14:textId="77777777" w:rsidR="00862B0B" w:rsidRPr="00A67277" w:rsidRDefault="00862B0B" w:rsidP="00862B0B">
            <w:pPr>
              <w:pStyle w:val="Level4"/>
              <w:numPr>
                <w:ilvl w:val="3"/>
                <w:numId w:val="259"/>
              </w:numPr>
              <w:tabs>
                <w:tab w:val="clear" w:pos="2126"/>
                <w:tab w:val="num" w:pos="1962"/>
              </w:tabs>
              <w:spacing w:before="60" w:after="60"/>
              <w:ind w:left="1962" w:hanging="540"/>
              <w:rPr>
                <w:rFonts w:cs="Arial"/>
              </w:rPr>
            </w:pPr>
            <w:r w:rsidRPr="00A67277">
              <w:rPr>
                <w:rFonts w:cs="Arial"/>
              </w:rPr>
              <w:t>Lampiran yang lebih rinci, terbaru dan jelas akan berlaku sejauh konflik atau inkonsistensi tersebut antara satu Lampiran dan Lampiran lainnya; dan</w:t>
            </w:r>
          </w:p>
        </w:tc>
      </w:tr>
      <w:tr w:rsidR="00862B0B" w:rsidRPr="00A67277" w14:paraId="4482649A" w14:textId="77777777" w:rsidTr="00862B0B">
        <w:tc>
          <w:tcPr>
            <w:tcW w:w="2270" w:type="pct"/>
          </w:tcPr>
          <w:p w14:paraId="175FBDAF" w14:textId="06F9785A" w:rsidR="00862B0B" w:rsidRPr="00A67277" w:rsidRDefault="00862B0B" w:rsidP="00862B0B">
            <w:pPr>
              <w:pStyle w:val="Level3"/>
              <w:numPr>
                <w:ilvl w:val="2"/>
                <w:numId w:val="453"/>
              </w:numPr>
              <w:spacing w:before="60" w:after="60"/>
              <w:ind w:hanging="517"/>
              <w:rPr>
                <w:rFonts w:cs="Arial"/>
              </w:rPr>
            </w:pPr>
            <w:bookmarkStart w:id="84" w:name="_Toc501177849"/>
            <w:r w:rsidRPr="00A67277">
              <w:rPr>
                <w:rFonts w:cs="Arial"/>
              </w:rPr>
              <w:t>no provision of this Agreement shall be construed adversely to a Party solely on the ground that the Party was responsible for the preparation of this Agreement or th</w:t>
            </w:r>
            <w:r>
              <w:rPr>
                <w:rFonts w:cs="Arial"/>
              </w:rPr>
              <w:t xml:space="preserve">e provisions </w:t>
            </w:r>
            <w:bookmarkEnd w:id="84"/>
            <w:r>
              <w:rPr>
                <w:rFonts w:cs="Arial"/>
              </w:rPr>
              <w:t>thereof.</w:t>
            </w:r>
          </w:p>
        </w:tc>
        <w:tc>
          <w:tcPr>
            <w:tcW w:w="169" w:type="pct"/>
          </w:tcPr>
          <w:p w14:paraId="4EFC9DEB" w14:textId="77777777" w:rsidR="00862B0B" w:rsidRPr="00A67277" w:rsidRDefault="00862B0B" w:rsidP="00862B0B">
            <w:pPr>
              <w:spacing w:before="60" w:after="60"/>
              <w:rPr>
                <w:rFonts w:ascii="Arial" w:hAnsi="Arial" w:cs="Arial"/>
                <w:sz w:val="21"/>
                <w:szCs w:val="21"/>
              </w:rPr>
            </w:pPr>
          </w:p>
        </w:tc>
        <w:tc>
          <w:tcPr>
            <w:tcW w:w="2561" w:type="pct"/>
            <w:gridSpan w:val="2"/>
          </w:tcPr>
          <w:p w14:paraId="4C4314D1" w14:textId="77777777" w:rsidR="00862B0B" w:rsidRPr="00A67277" w:rsidRDefault="00862B0B" w:rsidP="00862B0B">
            <w:pPr>
              <w:pStyle w:val="Level3"/>
              <w:numPr>
                <w:ilvl w:val="2"/>
                <w:numId w:val="261"/>
              </w:numPr>
              <w:spacing w:before="60" w:after="60"/>
              <w:ind w:hanging="535"/>
              <w:rPr>
                <w:rFonts w:cs="Arial"/>
              </w:rPr>
            </w:pPr>
            <w:r w:rsidRPr="00A67277">
              <w:rPr>
                <w:rFonts w:cs="Arial"/>
              </w:rPr>
              <w:t>tidak ada ketentuan dalam Perjanjian ini yang akan ditafsirkan secara negatif kepada suatu Pihak secara sepihak atas dasar bahwa Pihak tersebut bertanggung jawab atas persiapan dari Perjanjian ini atau ketentuan tersebut.</w:t>
            </w:r>
          </w:p>
        </w:tc>
      </w:tr>
      <w:tr w:rsidR="00862B0B" w:rsidRPr="00A67277" w14:paraId="68AC0FCE" w14:textId="77777777" w:rsidTr="00862B0B">
        <w:tc>
          <w:tcPr>
            <w:tcW w:w="2270" w:type="pct"/>
          </w:tcPr>
          <w:p w14:paraId="595A3725" w14:textId="65EC323A" w:rsidR="00862B0B" w:rsidRPr="00A67277" w:rsidRDefault="00862B0B" w:rsidP="00862B0B">
            <w:pPr>
              <w:pStyle w:val="ListParagraph"/>
              <w:numPr>
                <w:ilvl w:val="1"/>
                <w:numId w:val="207"/>
              </w:numPr>
              <w:spacing w:before="60" w:after="60" w:line="240" w:lineRule="auto"/>
              <w:ind w:left="851" w:hanging="425"/>
              <w:jc w:val="left"/>
              <w:rPr>
                <w:rFonts w:cs="Arial"/>
                <w:b/>
              </w:rPr>
            </w:pPr>
            <w:bookmarkStart w:id="85" w:name="_Toc501177850"/>
            <w:bookmarkStart w:id="86" w:name="_Ref397423717"/>
            <w:r w:rsidRPr="00A67277">
              <w:rPr>
                <w:rFonts w:cs="Arial"/>
                <w:b/>
              </w:rPr>
              <w:t>Ambiguities and Inconsistencies</w:t>
            </w:r>
            <w:bookmarkEnd w:id="85"/>
            <w:bookmarkEnd w:id="86"/>
          </w:p>
        </w:tc>
        <w:tc>
          <w:tcPr>
            <w:tcW w:w="169" w:type="pct"/>
          </w:tcPr>
          <w:p w14:paraId="7502600D" w14:textId="77777777" w:rsidR="00862B0B" w:rsidRPr="00A67277" w:rsidRDefault="00862B0B" w:rsidP="00862B0B">
            <w:pPr>
              <w:spacing w:before="60" w:after="60"/>
              <w:rPr>
                <w:rFonts w:ascii="Arial" w:hAnsi="Arial" w:cs="Arial"/>
                <w:sz w:val="21"/>
                <w:szCs w:val="21"/>
              </w:rPr>
            </w:pPr>
          </w:p>
        </w:tc>
        <w:tc>
          <w:tcPr>
            <w:tcW w:w="2561" w:type="pct"/>
            <w:gridSpan w:val="2"/>
          </w:tcPr>
          <w:p w14:paraId="772BDC37" w14:textId="77777777" w:rsidR="00862B0B" w:rsidRPr="00A67277" w:rsidRDefault="00862B0B" w:rsidP="00862B0B">
            <w:pPr>
              <w:pStyle w:val="ListParagraph"/>
              <w:numPr>
                <w:ilvl w:val="1"/>
                <w:numId w:val="208"/>
              </w:numPr>
              <w:spacing w:before="60" w:after="60" w:line="240" w:lineRule="auto"/>
              <w:ind w:left="878" w:hanging="425"/>
              <w:jc w:val="left"/>
              <w:rPr>
                <w:rFonts w:cs="Arial"/>
                <w:b/>
              </w:rPr>
            </w:pPr>
            <w:r w:rsidRPr="00A67277">
              <w:rPr>
                <w:rFonts w:cs="Arial"/>
                <w:b/>
              </w:rPr>
              <w:t>Ambiguitas dan Inkonsistensi</w:t>
            </w:r>
          </w:p>
        </w:tc>
      </w:tr>
      <w:tr w:rsidR="00862B0B" w:rsidRPr="00A67277" w14:paraId="055FD664" w14:textId="77777777" w:rsidTr="00862B0B">
        <w:tc>
          <w:tcPr>
            <w:tcW w:w="2270" w:type="pct"/>
          </w:tcPr>
          <w:p w14:paraId="2BE74C58" w14:textId="1A7FCE84" w:rsidR="00862B0B" w:rsidRPr="00A67277" w:rsidRDefault="00862B0B" w:rsidP="00862B0B">
            <w:pPr>
              <w:pStyle w:val="Level3"/>
              <w:numPr>
                <w:ilvl w:val="2"/>
                <w:numId w:val="263"/>
              </w:numPr>
              <w:spacing w:before="60" w:after="60"/>
              <w:ind w:hanging="517"/>
              <w:rPr>
                <w:rFonts w:cs="Arial"/>
              </w:rPr>
            </w:pPr>
            <w:bookmarkStart w:id="87" w:name="_Toc501177851"/>
            <w:bookmarkStart w:id="88" w:name="_Ref397423720"/>
            <w:r w:rsidRPr="00A67277">
              <w:rPr>
                <w:rFonts w:cs="Arial"/>
              </w:rPr>
              <w:t>If a Party discovers any ambiguity, discrepancy or inconsistency between any of the provisions of this Agreement or any other document or standard expressly incorporated into this Agreement (including the Appendices)</w:t>
            </w:r>
            <w:bookmarkEnd w:id="87"/>
            <w:bookmarkEnd w:id="88"/>
            <w:r w:rsidRPr="00A67277">
              <w:rPr>
                <w:rFonts w:cs="Arial"/>
              </w:rPr>
              <w:t>:</w:t>
            </w:r>
          </w:p>
        </w:tc>
        <w:tc>
          <w:tcPr>
            <w:tcW w:w="169" w:type="pct"/>
          </w:tcPr>
          <w:p w14:paraId="6368A522" w14:textId="77777777" w:rsidR="00862B0B" w:rsidRPr="00A67277" w:rsidRDefault="00862B0B" w:rsidP="00862B0B">
            <w:pPr>
              <w:spacing w:before="60" w:after="60"/>
              <w:rPr>
                <w:rFonts w:ascii="Arial" w:hAnsi="Arial" w:cs="Arial"/>
                <w:sz w:val="21"/>
                <w:szCs w:val="21"/>
              </w:rPr>
            </w:pPr>
          </w:p>
        </w:tc>
        <w:tc>
          <w:tcPr>
            <w:tcW w:w="2561" w:type="pct"/>
            <w:gridSpan w:val="2"/>
          </w:tcPr>
          <w:p w14:paraId="4093E909" w14:textId="77777777" w:rsidR="00862B0B" w:rsidRPr="00A67277" w:rsidRDefault="00862B0B" w:rsidP="00862B0B">
            <w:pPr>
              <w:pStyle w:val="Level3"/>
              <w:numPr>
                <w:ilvl w:val="2"/>
                <w:numId w:val="262"/>
              </w:numPr>
              <w:spacing w:before="60" w:after="60"/>
              <w:ind w:hanging="535"/>
              <w:rPr>
                <w:rFonts w:cs="Arial"/>
              </w:rPr>
            </w:pPr>
            <w:r w:rsidRPr="00A67277">
              <w:rPr>
                <w:rFonts w:cs="Arial"/>
              </w:rPr>
              <w:t>Jika suatu Pihak menemukan ambiguitas, perbedaan atau inkonsistensi antara segala ketentuan dari Perajnjian ini atau segala dokumen atau standar lainnya yang secara tegas tergabung dalam Perjanjian ini (termasuk Lampiran):</w:t>
            </w:r>
          </w:p>
        </w:tc>
      </w:tr>
      <w:tr w:rsidR="00862B0B" w:rsidRPr="00A67277" w14:paraId="2C93A812" w14:textId="77777777" w:rsidTr="00862B0B">
        <w:tc>
          <w:tcPr>
            <w:tcW w:w="2270" w:type="pct"/>
          </w:tcPr>
          <w:p w14:paraId="48B05ED1" w14:textId="77777777" w:rsidR="00862B0B" w:rsidRPr="00A67277" w:rsidRDefault="00862B0B" w:rsidP="00862B0B">
            <w:pPr>
              <w:pStyle w:val="Level4"/>
              <w:numPr>
                <w:ilvl w:val="3"/>
                <w:numId w:val="453"/>
              </w:numPr>
              <w:spacing w:before="60" w:after="60"/>
              <w:ind w:left="1980" w:hanging="540"/>
              <w:rPr>
                <w:rFonts w:cs="Arial"/>
              </w:rPr>
            </w:pPr>
            <w:r w:rsidRPr="00A67277">
              <w:rPr>
                <w:rFonts w:cs="Arial"/>
              </w:rPr>
              <w:t>the Party which makes the discovery must promptly notify the other Party of this in writing; and</w:t>
            </w:r>
          </w:p>
        </w:tc>
        <w:tc>
          <w:tcPr>
            <w:tcW w:w="169" w:type="pct"/>
          </w:tcPr>
          <w:p w14:paraId="31326360" w14:textId="77777777" w:rsidR="00862B0B" w:rsidRPr="00A67277" w:rsidRDefault="00862B0B" w:rsidP="00862B0B">
            <w:pPr>
              <w:spacing w:before="60" w:after="60"/>
              <w:rPr>
                <w:rFonts w:ascii="Arial" w:hAnsi="Arial" w:cs="Arial"/>
                <w:sz w:val="21"/>
                <w:szCs w:val="21"/>
              </w:rPr>
            </w:pPr>
          </w:p>
        </w:tc>
        <w:tc>
          <w:tcPr>
            <w:tcW w:w="2561" w:type="pct"/>
            <w:gridSpan w:val="2"/>
          </w:tcPr>
          <w:p w14:paraId="751B1F7B" w14:textId="77777777" w:rsidR="00862B0B" w:rsidRPr="00A67277" w:rsidRDefault="00862B0B" w:rsidP="00862B0B">
            <w:pPr>
              <w:pStyle w:val="Level3"/>
              <w:numPr>
                <w:ilvl w:val="0"/>
                <w:numId w:val="197"/>
              </w:numPr>
              <w:tabs>
                <w:tab w:val="left" w:pos="1962"/>
              </w:tabs>
              <w:spacing w:before="60" w:after="60"/>
              <w:ind w:left="1962" w:hanging="540"/>
              <w:rPr>
                <w:rFonts w:cs="Arial"/>
              </w:rPr>
            </w:pPr>
            <w:r w:rsidRPr="00A67277">
              <w:rPr>
                <w:rFonts w:cs="Arial"/>
              </w:rPr>
              <w:t>Pihak yang menemukan tersebut harus segera memberitahukan Pihak lain dalam Perjanjian ini secara tertulis; dan</w:t>
            </w:r>
          </w:p>
        </w:tc>
      </w:tr>
      <w:tr w:rsidR="00862B0B" w:rsidRPr="00A67277" w14:paraId="030CA8B0" w14:textId="77777777" w:rsidTr="00862B0B">
        <w:tc>
          <w:tcPr>
            <w:tcW w:w="2270" w:type="pct"/>
          </w:tcPr>
          <w:p w14:paraId="37A39414" w14:textId="77777777" w:rsidR="00862B0B" w:rsidRPr="00A67277" w:rsidRDefault="00862B0B" w:rsidP="00862B0B">
            <w:pPr>
              <w:pStyle w:val="Level4"/>
              <w:numPr>
                <w:ilvl w:val="3"/>
                <w:numId w:val="453"/>
              </w:numPr>
              <w:spacing w:before="60" w:after="60"/>
              <w:ind w:left="1980" w:hanging="540"/>
              <w:rPr>
                <w:rFonts w:cs="Arial"/>
              </w:rPr>
            </w:pPr>
            <w:r w:rsidRPr="00A67277">
              <w:rPr>
                <w:rFonts w:cs="Arial"/>
              </w:rPr>
              <w:t>GCA will direct the IBE as to the interpretation to be followed by the IBE in performing its obligations under this Agreement, without prejudice to either Party’s right to refer the content of that interpretation, or the meaning of the ambiguity, discrepancy or inconsistency, for resolution in accordance with Clause 28 (</w:t>
            </w:r>
            <w:r w:rsidRPr="00A67277">
              <w:rPr>
                <w:rFonts w:cs="Arial"/>
                <w:i/>
              </w:rPr>
              <w:t>Settlement of Disputes</w:t>
            </w:r>
            <w:r w:rsidRPr="00A67277">
              <w:rPr>
                <w:rFonts w:cs="Arial"/>
              </w:rPr>
              <w:t>).</w:t>
            </w:r>
          </w:p>
        </w:tc>
        <w:tc>
          <w:tcPr>
            <w:tcW w:w="169" w:type="pct"/>
          </w:tcPr>
          <w:p w14:paraId="19749F6E" w14:textId="77777777" w:rsidR="00862B0B" w:rsidRPr="00A67277" w:rsidRDefault="00862B0B" w:rsidP="00862B0B">
            <w:pPr>
              <w:spacing w:before="60" w:after="60"/>
              <w:rPr>
                <w:rFonts w:ascii="Arial" w:hAnsi="Arial" w:cs="Arial"/>
                <w:sz w:val="21"/>
                <w:szCs w:val="21"/>
              </w:rPr>
            </w:pPr>
          </w:p>
        </w:tc>
        <w:tc>
          <w:tcPr>
            <w:tcW w:w="2561" w:type="pct"/>
            <w:gridSpan w:val="2"/>
          </w:tcPr>
          <w:p w14:paraId="2A150279" w14:textId="77777777" w:rsidR="00862B0B" w:rsidRPr="00A67277" w:rsidRDefault="00862B0B" w:rsidP="00862B0B">
            <w:pPr>
              <w:pStyle w:val="Level3"/>
              <w:numPr>
                <w:ilvl w:val="0"/>
                <w:numId w:val="197"/>
              </w:numPr>
              <w:tabs>
                <w:tab w:val="left" w:pos="1962"/>
              </w:tabs>
              <w:spacing w:before="60" w:after="60"/>
              <w:ind w:left="1962" w:hanging="540"/>
              <w:rPr>
                <w:rFonts w:cs="Arial"/>
              </w:rPr>
            </w:pPr>
            <w:r w:rsidRPr="00A67277">
              <w:rPr>
                <w:rFonts w:cs="Arial"/>
              </w:rPr>
              <w:t>PJPK akan mengarahkan BUP kepada interpretasi yang harus diikuti oleh BUP dalam melaksanakan kewajibannya berdasarkan Perjanjian ini, tanpa mengurangi hak salah satu pihak untuk mengajukan isi dari interpretasi tersebut, atau makna dari ambiguitas, perbedaan atau inkonsistensi, untuk diselesaikan sesuai dengan Pasal 28 (</w:t>
            </w:r>
            <w:r w:rsidRPr="00A67277">
              <w:rPr>
                <w:rFonts w:cs="Arial"/>
                <w:i/>
              </w:rPr>
              <w:t>Penyelesaian Sengketa</w:t>
            </w:r>
            <w:r w:rsidRPr="00A67277">
              <w:rPr>
                <w:rFonts w:cs="Arial"/>
              </w:rPr>
              <w:t>).</w:t>
            </w:r>
          </w:p>
        </w:tc>
      </w:tr>
      <w:tr w:rsidR="00862B0B" w:rsidRPr="00A67277" w14:paraId="75D90CF7" w14:textId="77777777" w:rsidTr="00862B0B">
        <w:tc>
          <w:tcPr>
            <w:tcW w:w="2270" w:type="pct"/>
          </w:tcPr>
          <w:p w14:paraId="17B01B6B" w14:textId="4024D5A6" w:rsidR="00862B0B" w:rsidRPr="00A67277" w:rsidRDefault="00862B0B" w:rsidP="00862B0B">
            <w:pPr>
              <w:pStyle w:val="Level3"/>
              <w:numPr>
                <w:ilvl w:val="2"/>
                <w:numId w:val="263"/>
              </w:numPr>
              <w:spacing w:before="60" w:after="60"/>
              <w:ind w:hanging="517"/>
              <w:rPr>
                <w:rFonts w:cs="Arial"/>
              </w:rPr>
            </w:pPr>
            <w:bookmarkStart w:id="89" w:name="_Toc501177852"/>
            <w:r w:rsidRPr="00A67277">
              <w:rPr>
                <w:rFonts w:cs="Arial"/>
              </w:rPr>
              <w:t>The IBE shall not be entitled to any additional costs or any extension of time by reason of GCA’s direction under paragraph (a).</w:t>
            </w:r>
            <w:bookmarkEnd w:id="89"/>
          </w:p>
        </w:tc>
        <w:tc>
          <w:tcPr>
            <w:tcW w:w="169" w:type="pct"/>
          </w:tcPr>
          <w:p w14:paraId="5A18832E" w14:textId="77777777" w:rsidR="00862B0B" w:rsidRPr="00A67277" w:rsidRDefault="00862B0B" w:rsidP="00862B0B">
            <w:pPr>
              <w:spacing w:before="60" w:after="60"/>
              <w:rPr>
                <w:rFonts w:ascii="Arial" w:hAnsi="Arial" w:cs="Arial"/>
                <w:sz w:val="21"/>
                <w:szCs w:val="21"/>
              </w:rPr>
            </w:pPr>
          </w:p>
        </w:tc>
        <w:tc>
          <w:tcPr>
            <w:tcW w:w="2561" w:type="pct"/>
            <w:gridSpan w:val="2"/>
          </w:tcPr>
          <w:p w14:paraId="796D6C1A" w14:textId="77777777" w:rsidR="00862B0B" w:rsidRPr="00A67277" w:rsidRDefault="00862B0B" w:rsidP="00862B0B">
            <w:pPr>
              <w:pStyle w:val="Level3"/>
              <w:numPr>
                <w:ilvl w:val="2"/>
                <w:numId w:val="454"/>
              </w:numPr>
              <w:spacing w:before="60" w:after="60"/>
              <w:rPr>
                <w:rFonts w:cs="Arial"/>
              </w:rPr>
            </w:pPr>
            <w:r w:rsidRPr="00A67277">
              <w:rPr>
                <w:rFonts w:cs="Arial"/>
              </w:rPr>
              <w:t>BUP tidak memiliki hak untuk tambahan biaya atau perpanjangan waktu sesuai arahan PJPK berdasarkan paragraf (a).</w:t>
            </w:r>
          </w:p>
        </w:tc>
      </w:tr>
      <w:tr w:rsidR="00862B0B" w:rsidRPr="00A67277" w14:paraId="170D197A" w14:textId="77777777" w:rsidTr="00862B0B">
        <w:tc>
          <w:tcPr>
            <w:tcW w:w="2270" w:type="pct"/>
          </w:tcPr>
          <w:p w14:paraId="22D352BF" w14:textId="0491CDDF" w:rsidR="00862B0B" w:rsidRPr="00A67277" w:rsidRDefault="00862B0B" w:rsidP="00862B0B">
            <w:pPr>
              <w:pStyle w:val="CentredHeading"/>
              <w:numPr>
                <w:ilvl w:val="0"/>
                <w:numId w:val="470"/>
              </w:numPr>
              <w:spacing w:before="60" w:after="60"/>
              <w:ind w:left="540" w:hanging="540"/>
              <w:jc w:val="left"/>
              <w:rPr>
                <w:rFonts w:cs="Arial"/>
                <w:b w:val="0"/>
              </w:rPr>
            </w:pPr>
            <w:bookmarkStart w:id="90" w:name="_Toc501177853"/>
            <w:bookmarkStart w:id="91" w:name="_Ref397441348"/>
            <w:r w:rsidRPr="00A67277">
              <w:rPr>
                <w:rStyle w:val="Heading1Text"/>
                <w:rFonts w:cs="Arial"/>
                <w:b/>
              </w:rPr>
              <w:t>The Agreement</w:t>
            </w:r>
            <w:bookmarkEnd w:id="90"/>
            <w:bookmarkEnd w:id="91"/>
          </w:p>
        </w:tc>
        <w:tc>
          <w:tcPr>
            <w:tcW w:w="169" w:type="pct"/>
          </w:tcPr>
          <w:p w14:paraId="201A3C56" w14:textId="77777777" w:rsidR="00862B0B" w:rsidRPr="00A67277" w:rsidRDefault="00862B0B" w:rsidP="00862B0B">
            <w:pPr>
              <w:spacing w:before="60" w:after="60"/>
              <w:rPr>
                <w:rFonts w:ascii="Arial" w:hAnsi="Arial" w:cs="Arial"/>
                <w:b/>
                <w:sz w:val="21"/>
                <w:szCs w:val="21"/>
              </w:rPr>
            </w:pPr>
          </w:p>
        </w:tc>
        <w:tc>
          <w:tcPr>
            <w:tcW w:w="2561" w:type="pct"/>
            <w:gridSpan w:val="2"/>
          </w:tcPr>
          <w:p w14:paraId="298965A4" w14:textId="77777777" w:rsidR="00862B0B" w:rsidRPr="00A67277" w:rsidRDefault="00862B0B" w:rsidP="00862B0B">
            <w:pPr>
              <w:pStyle w:val="CentredHeading"/>
              <w:numPr>
                <w:ilvl w:val="0"/>
                <w:numId w:val="208"/>
              </w:numPr>
              <w:spacing w:before="60" w:after="60"/>
              <w:ind w:left="522" w:hanging="450"/>
              <w:jc w:val="left"/>
              <w:rPr>
                <w:rFonts w:cs="Arial"/>
                <w:b w:val="0"/>
                <w:lang w:val="en-US" w:eastAsia="en-US"/>
              </w:rPr>
            </w:pPr>
            <w:r w:rsidRPr="00A67277">
              <w:rPr>
                <w:rStyle w:val="Heading1Text"/>
                <w:b/>
              </w:rPr>
              <w:t>P</w:t>
            </w:r>
            <w:r w:rsidRPr="00A67277">
              <w:rPr>
                <w:rStyle w:val="Heading1Text"/>
                <w:rFonts w:cs="Arial"/>
                <w:b/>
              </w:rPr>
              <w:t>erja</w:t>
            </w:r>
            <w:r w:rsidRPr="00A67277">
              <w:rPr>
                <w:rStyle w:val="Heading1Text"/>
                <w:b/>
              </w:rPr>
              <w:t>njian</w:t>
            </w:r>
          </w:p>
        </w:tc>
      </w:tr>
      <w:tr w:rsidR="00862B0B" w:rsidRPr="00A67277" w14:paraId="0EB28AA6" w14:textId="77777777" w:rsidTr="00862B0B">
        <w:tc>
          <w:tcPr>
            <w:tcW w:w="2270" w:type="pct"/>
          </w:tcPr>
          <w:p w14:paraId="6C970913" w14:textId="02E00107" w:rsidR="00862B0B" w:rsidRPr="00A67277" w:rsidRDefault="00862B0B" w:rsidP="00862B0B">
            <w:pPr>
              <w:pStyle w:val="ListParagraph"/>
              <w:numPr>
                <w:ilvl w:val="1"/>
                <w:numId w:val="208"/>
              </w:numPr>
              <w:spacing w:before="60" w:after="60" w:line="240" w:lineRule="auto"/>
              <w:ind w:left="1080" w:hanging="540"/>
              <w:jc w:val="left"/>
              <w:rPr>
                <w:rFonts w:cs="Arial"/>
                <w:b/>
              </w:rPr>
            </w:pPr>
            <w:bookmarkStart w:id="92" w:name="_Toc501177854"/>
            <w:r w:rsidRPr="00A67277">
              <w:rPr>
                <w:rFonts w:cs="Arial"/>
                <w:b/>
              </w:rPr>
              <w:t>Purpose</w:t>
            </w:r>
            <w:bookmarkEnd w:id="92"/>
          </w:p>
        </w:tc>
        <w:tc>
          <w:tcPr>
            <w:tcW w:w="169" w:type="pct"/>
          </w:tcPr>
          <w:p w14:paraId="79442119" w14:textId="77777777" w:rsidR="00862B0B" w:rsidRPr="00A67277" w:rsidRDefault="00862B0B" w:rsidP="00862B0B">
            <w:pPr>
              <w:spacing w:before="60" w:after="60"/>
              <w:rPr>
                <w:rFonts w:ascii="Arial" w:hAnsi="Arial" w:cs="Arial"/>
                <w:b/>
                <w:sz w:val="21"/>
                <w:szCs w:val="21"/>
              </w:rPr>
            </w:pPr>
          </w:p>
        </w:tc>
        <w:tc>
          <w:tcPr>
            <w:tcW w:w="2561" w:type="pct"/>
            <w:gridSpan w:val="2"/>
          </w:tcPr>
          <w:p w14:paraId="45B6BE62" w14:textId="77777777" w:rsidR="00862B0B" w:rsidRPr="00A67277" w:rsidRDefault="00862B0B" w:rsidP="00862B0B">
            <w:pPr>
              <w:pStyle w:val="Level2"/>
              <w:numPr>
                <w:ilvl w:val="1"/>
                <w:numId w:val="470"/>
              </w:numPr>
              <w:tabs>
                <w:tab w:val="left" w:pos="972"/>
              </w:tabs>
              <w:spacing w:before="60" w:after="60"/>
              <w:ind w:left="1062" w:hanging="540"/>
              <w:rPr>
                <w:rFonts w:cs="Arial"/>
                <w:b/>
              </w:rPr>
            </w:pPr>
            <w:r w:rsidRPr="00A67277">
              <w:rPr>
                <w:rFonts w:cs="Arial"/>
                <w:b/>
              </w:rPr>
              <w:t>Tujuan</w:t>
            </w:r>
          </w:p>
        </w:tc>
      </w:tr>
      <w:tr w:rsidR="00862B0B" w:rsidRPr="00A67277" w14:paraId="0E3EE936" w14:textId="77777777" w:rsidTr="00862B0B">
        <w:tc>
          <w:tcPr>
            <w:tcW w:w="2270" w:type="pct"/>
          </w:tcPr>
          <w:p w14:paraId="727DBBFF" w14:textId="77777777" w:rsidR="00862B0B" w:rsidRPr="00A67277" w:rsidRDefault="00862B0B" w:rsidP="00862B0B">
            <w:pPr>
              <w:pStyle w:val="Body2"/>
              <w:spacing w:before="60" w:after="60"/>
              <w:ind w:left="1080"/>
              <w:rPr>
                <w:rFonts w:cs="Arial"/>
              </w:rPr>
            </w:pPr>
            <w:r w:rsidRPr="00A67277">
              <w:rPr>
                <w:rFonts w:cs="Arial"/>
              </w:rPr>
              <w:t>The purpose of this Agreement is to set out the rights and obligations of each Party with regard to the Project.</w:t>
            </w:r>
          </w:p>
        </w:tc>
        <w:tc>
          <w:tcPr>
            <w:tcW w:w="169" w:type="pct"/>
          </w:tcPr>
          <w:p w14:paraId="5CA22098" w14:textId="77777777" w:rsidR="00862B0B" w:rsidRPr="00A67277" w:rsidRDefault="00862B0B" w:rsidP="00862B0B">
            <w:pPr>
              <w:spacing w:before="60" w:after="60"/>
              <w:rPr>
                <w:rFonts w:ascii="Arial" w:hAnsi="Arial" w:cs="Arial"/>
                <w:sz w:val="21"/>
                <w:szCs w:val="21"/>
              </w:rPr>
            </w:pPr>
          </w:p>
        </w:tc>
        <w:tc>
          <w:tcPr>
            <w:tcW w:w="2561" w:type="pct"/>
            <w:gridSpan w:val="2"/>
          </w:tcPr>
          <w:p w14:paraId="52C943E7" w14:textId="77777777" w:rsidR="00862B0B" w:rsidRPr="00A67277" w:rsidRDefault="00862B0B" w:rsidP="00862B0B">
            <w:pPr>
              <w:pStyle w:val="Body2"/>
              <w:spacing w:before="60" w:after="60"/>
              <w:ind w:left="972"/>
              <w:rPr>
                <w:rFonts w:cs="Arial"/>
              </w:rPr>
            </w:pPr>
            <w:r w:rsidRPr="00A67277">
              <w:rPr>
                <w:rFonts w:cs="Arial"/>
              </w:rPr>
              <w:t>Tujuan dari Perjanjian ini adalah untuk mengatur hak dan kewajiban masing-masing Pihak mengenai Proyek.</w:t>
            </w:r>
          </w:p>
        </w:tc>
      </w:tr>
      <w:tr w:rsidR="00862B0B" w:rsidRPr="00A67277" w14:paraId="13D4226A" w14:textId="77777777" w:rsidTr="00862B0B">
        <w:tc>
          <w:tcPr>
            <w:tcW w:w="2270" w:type="pct"/>
          </w:tcPr>
          <w:p w14:paraId="1E856C80" w14:textId="063F8296" w:rsidR="00862B0B" w:rsidRPr="00A67277" w:rsidRDefault="00862B0B" w:rsidP="00862B0B">
            <w:pPr>
              <w:pStyle w:val="ListParagraph"/>
              <w:numPr>
                <w:ilvl w:val="1"/>
                <w:numId w:val="208"/>
              </w:numPr>
              <w:spacing w:before="60" w:after="60" w:line="240" w:lineRule="auto"/>
              <w:ind w:left="1080" w:hanging="540"/>
              <w:jc w:val="left"/>
              <w:rPr>
                <w:rFonts w:cs="Arial"/>
                <w:b/>
              </w:rPr>
            </w:pPr>
            <w:bookmarkStart w:id="93" w:name="_Toc501177857"/>
            <w:r w:rsidRPr="00A67277">
              <w:rPr>
                <w:rFonts w:cs="Arial"/>
                <w:b/>
              </w:rPr>
              <w:t>Term of the Agreement</w:t>
            </w:r>
            <w:bookmarkEnd w:id="93"/>
          </w:p>
        </w:tc>
        <w:tc>
          <w:tcPr>
            <w:tcW w:w="169" w:type="pct"/>
          </w:tcPr>
          <w:p w14:paraId="7FA02098" w14:textId="77777777" w:rsidR="00862B0B" w:rsidRPr="00A67277" w:rsidRDefault="00862B0B" w:rsidP="00862B0B">
            <w:pPr>
              <w:spacing w:before="60" w:after="60"/>
              <w:rPr>
                <w:rFonts w:ascii="Arial" w:hAnsi="Arial" w:cs="Arial"/>
                <w:sz w:val="21"/>
                <w:szCs w:val="21"/>
              </w:rPr>
            </w:pPr>
          </w:p>
        </w:tc>
        <w:tc>
          <w:tcPr>
            <w:tcW w:w="2561" w:type="pct"/>
            <w:gridSpan w:val="2"/>
          </w:tcPr>
          <w:p w14:paraId="3D0F6CF7" w14:textId="77777777" w:rsidR="00862B0B" w:rsidRPr="00A67277" w:rsidRDefault="00862B0B" w:rsidP="00862B0B">
            <w:pPr>
              <w:pStyle w:val="Level2"/>
              <w:numPr>
                <w:ilvl w:val="1"/>
                <w:numId w:val="470"/>
              </w:numPr>
              <w:spacing w:before="60" w:after="60"/>
              <w:ind w:left="972" w:hanging="450"/>
              <w:rPr>
                <w:rFonts w:cs="Arial"/>
                <w:b/>
              </w:rPr>
            </w:pPr>
            <w:r w:rsidRPr="00A67277">
              <w:rPr>
                <w:rFonts w:cs="Arial"/>
                <w:b/>
              </w:rPr>
              <w:t>Jangka Waktu Perjanjian</w:t>
            </w:r>
          </w:p>
        </w:tc>
      </w:tr>
      <w:tr w:rsidR="00862B0B" w:rsidRPr="00A67277" w14:paraId="4DDDB021" w14:textId="77777777" w:rsidTr="00862B0B">
        <w:tc>
          <w:tcPr>
            <w:tcW w:w="2270" w:type="pct"/>
          </w:tcPr>
          <w:p w14:paraId="389103BE" w14:textId="22E9EE09" w:rsidR="00862B0B" w:rsidRPr="0071374B" w:rsidRDefault="00862B0B" w:rsidP="00862B0B">
            <w:pPr>
              <w:pStyle w:val="Level1"/>
              <w:tabs>
                <w:tab w:val="left" w:pos="1080"/>
              </w:tabs>
              <w:spacing w:before="60" w:after="60"/>
              <w:ind w:left="1080" w:hanging="17"/>
              <w:rPr>
                <w:rFonts w:cs="Arial"/>
                <w:vertAlign w:val="superscript"/>
              </w:rPr>
            </w:pPr>
            <w:r w:rsidRPr="0071374B">
              <w:rPr>
                <w:rFonts w:cs="Arial"/>
              </w:rPr>
              <w:t>Subject to Clause 3.1 (Clauses Effective from Signing Date), the term of the Agreement shall commence on the Signing Date and shall expire on the 9</w:t>
            </w:r>
            <w:r w:rsidRPr="0071374B">
              <w:rPr>
                <w:rFonts w:cs="Arial"/>
                <w:vertAlign w:val="superscript"/>
              </w:rPr>
              <w:t xml:space="preserve">th </w:t>
            </w:r>
            <w:r w:rsidRPr="0071374B">
              <w:rPr>
                <w:rFonts w:cs="Arial"/>
              </w:rPr>
              <w:t xml:space="preserve"> year from the Commercial Operation Date (“</w:t>
            </w:r>
            <w:r w:rsidRPr="0071374B">
              <w:rPr>
                <w:rFonts w:cs="Arial"/>
                <w:b/>
              </w:rPr>
              <w:t>Term</w:t>
            </w:r>
            <w:r w:rsidRPr="0071374B">
              <w:rPr>
                <w:rFonts w:cs="Arial"/>
              </w:rPr>
              <w:t xml:space="preserve">”), </w:t>
            </w:r>
            <w:r w:rsidRPr="00854EA4">
              <w:rPr>
                <w:rFonts w:cs="Arial"/>
              </w:rPr>
              <w:t>unless the Agreement is terminated or extended before such date, in accordance with the provisions of this Agreement.</w:t>
            </w:r>
          </w:p>
          <w:p w14:paraId="40A0399B" w14:textId="77777777" w:rsidR="00862B0B" w:rsidRPr="00A67277" w:rsidRDefault="00862B0B" w:rsidP="00862B0B">
            <w:pPr>
              <w:pStyle w:val="Level1"/>
              <w:tabs>
                <w:tab w:val="left" w:pos="1080"/>
              </w:tabs>
              <w:spacing w:before="60" w:after="60"/>
              <w:ind w:left="1063" w:firstLine="0"/>
              <w:rPr>
                <w:rFonts w:cs="Arial"/>
              </w:rPr>
            </w:pPr>
          </w:p>
        </w:tc>
        <w:tc>
          <w:tcPr>
            <w:tcW w:w="169" w:type="pct"/>
          </w:tcPr>
          <w:p w14:paraId="5DCEC360" w14:textId="77777777" w:rsidR="00862B0B" w:rsidRPr="00A67277" w:rsidRDefault="00862B0B" w:rsidP="00862B0B">
            <w:pPr>
              <w:spacing w:before="60" w:after="60"/>
              <w:rPr>
                <w:rFonts w:ascii="Arial" w:hAnsi="Arial" w:cs="Arial"/>
                <w:sz w:val="21"/>
                <w:szCs w:val="21"/>
              </w:rPr>
            </w:pPr>
          </w:p>
        </w:tc>
        <w:tc>
          <w:tcPr>
            <w:tcW w:w="2561" w:type="pct"/>
            <w:gridSpan w:val="2"/>
          </w:tcPr>
          <w:p w14:paraId="602A326F" w14:textId="77777777" w:rsidR="00862B0B" w:rsidRPr="00A67277" w:rsidRDefault="00862B0B" w:rsidP="00862B0B">
            <w:pPr>
              <w:pStyle w:val="Body2"/>
              <w:spacing w:before="60" w:after="60"/>
              <w:ind w:left="972"/>
              <w:rPr>
                <w:rFonts w:cs="Arial"/>
                <w:b/>
              </w:rPr>
            </w:pPr>
            <w:r w:rsidRPr="00A67277">
              <w:rPr>
                <w:rFonts w:cs="Arial"/>
              </w:rPr>
              <w:t>Tunduk pada ketentuan Pasal 3.1 (</w:t>
            </w:r>
            <w:r w:rsidRPr="00A67277">
              <w:rPr>
                <w:rFonts w:cs="Arial"/>
                <w:i/>
              </w:rPr>
              <w:t>Pasal-Pasal yang Berlaku sejak Tanggal Penandatanganan</w:t>
            </w:r>
            <w:r w:rsidRPr="00A67277">
              <w:rPr>
                <w:rFonts w:cs="Arial"/>
              </w:rPr>
              <w:t>), Perjanjian ini dimulai pada Tanggal Penandatanganan dan akan berakhir pada tahun ke-9 sejak Tanggal Operasi Komersial (</w:t>
            </w:r>
            <w:r w:rsidRPr="00A67277">
              <w:rPr>
                <w:rFonts w:cs="Arial"/>
                <w:b/>
              </w:rPr>
              <w:t>Jangka Waktu</w:t>
            </w:r>
            <w:r w:rsidRPr="00A67277">
              <w:rPr>
                <w:rFonts w:cs="Arial"/>
              </w:rPr>
              <w:t>), kecuali jika Perjanjian diakhiri atau diperpanjang sebelum tanggal tersebut, sesuai dengan ketentuan dalam Perjanjian ini.</w:t>
            </w:r>
          </w:p>
        </w:tc>
      </w:tr>
      <w:tr w:rsidR="00862B0B" w:rsidRPr="00A67277" w14:paraId="1BF3C111" w14:textId="77777777" w:rsidTr="00862B0B">
        <w:tc>
          <w:tcPr>
            <w:tcW w:w="2270" w:type="pct"/>
          </w:tcPr>
          <w:p w14:paraId="4CBAB9BB" w14:textId="49702C64" w:rsidR="00862B0B" w:rsidRPr="00A67277" w:rsidRDefault="00862B0B" w:rsidP="00862B0B">
            <w:pPr>
              <w:pStyle w:val="CentredHeading"/>
              <w:numPr>
                <w:ilvl w:val="0"/>
                <w:numId w:val="470"/>
              </w:numPr>
              <w:spacing w:before="60" w:after="60"/>
              <w:ind w:left="540" w:hanging="540"/>
              <w:jc w:val="left"/>
              <w:rPr>
                <w:rFonts w:cs="Arial"/>
                <w:b w:val="0"/>
              </w:rPr>
            </w:pPr>
            <w:bookmarkStart w:id="94" w:name="_Toc501177861"/>
            <w:bookmarkStart w:id="95" w:name="_Ref397425434"/>
            <w:bookmarkStart w:id="96" w:name="_Ref397441118"/>
            <w:bookmarkStart w:id="97" w:name="_Ref397441364"/>
            <w:r w:rsidRPr="00A67277">
              <w:rPr>
                <w:rStyle w:val="Heading1Text"/>
                <w:rFonts w:cs="Arial"/>
                <w:b/>
              </w:rPr>
              <w:t>Conditions Precedent</w:t>
            </w:r>
            <w:bookmarkEnd w:id="94"/>
            <w:bookmarkEnd w:id="95"/>
            <w:bookmarkEnd w:id="96"/>
            <w:bookmarkEnd w:id="97"/>
          </w:p>
        </w:tc>
        <w:tc>
          <w:tcPr>
            <w:tcW w:w="169" w:type="pct"/>
          </w:tcPr>
          <w:p w14:paraId="3274094F" w14:textId="77777777" w:rsidR="00862B0B" w:rsidRPr="00A67277" w:rsidRDefault="00862B0B" w:rsidP="00862B0B">
            <w:pPr>
              <w:spacing w:before="60" w:after="60"/>
              <w:rPr>
                <w:rFonts w:ascii="Arial" w:hAnsi="Arial" w:cs="Arial"/>
                <w:b/>
                <w:sz w:val="21"/>
                <w:szCs w:val="21"/>
              </w:rPr>
            </w:pPr>
          </w:p>
        </w:tc>
        <w:tc>
          <w:tcPr>
            <w:tcW w:w="2561" w:type="pct"/>
            <w:gridSpan w:val="2"/>
          </w:tcPr>
          <w:p w14:paraId="2895F564" w14:textId="77777777" w:rsidR="00862B0B" w:rsidRPr="00A67277" w:rsidRDefault="00862B0B" w:rsidP="00862B0B">
            <w:pPr>
              <w:pStyle w:val="CentredHeading"/>
              <w:numPr>
                <w:ilvl w:val="0"/>
                <w:numId w:val="208"/>
              </w:numPr>
              <w:spacing w:before="60" w:after="60"/>
              <w:ind w:left="432"/>
              <w:jc w:val="left"/>
              <w:rPr>
                <w:rFonts w:cs="Arial"/>
                <w:b w:val="0"/>
              </w:rPr>
            </w:pPr>
            <w:r w:rsidRPr="00A67277">
              <w:rPr>
                <w:rStyle w:val="Heading1Text"/>
                <w:rFonts w:cs="Arial"/>
                <w:b/>
              </w:rPr>
              <w:t>Persyaratan Pendahuluan</w:t>
            </w:r>
          </w:p>
        </w:tc>
      </w:tr>
      <w:tr w:rsidR="00862B0B" w:rsidRPr="00A67277" w14:paraId="6D86D7B0" w14:textId="77777777" w:rsidTr="00862B0B">
        <w:tc>
          <w:tcPr>
            <w:tcW w:w="2270" w:type="pct"/>
          </w:tcPr>
          <w:p w14:paraId="71426471" w14:textId="77777777" w:rsidR="00862B0B" w:rsidRPr="00A67277" w:rsidRDefault="00862B0B" w:rsidP="00862B0B">
            <w:pPr>
              <w:pStyle w:val="Heading2"/>
              <w:keepLines w:val="0"/>
              <w:numPr>
                <w:ilvl w:val="1"/>
                <w:numId w:val="264"/>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Clauses Effective from Signing Date</w:t>
            </w:r>
          </w:p>
        </w:tc>
        <w:tc>
          <w:tcPr>
            <w:tcW w:w="169" w:type="pct"/>
          </w:tcPr>
          <w:p w14:paraId="1B1436E4" w14:textId="77777777" w:rsidR="00862B0B" w:rsidRPr="00A67277" w:rsidRDefault="00862B0B" w:rsidP="00862B0B">
            <w:pPr>
              <w:spacing w:before="60" w:after="60"/>
              <w:rPr>
                <w:rFonts w:ascii="Arial" w:hAnsi="Arial" w:cs="Arial"/>
                <w:sz w:val="21"/>
                <w:szCs w:val="21"/>
              </w:rPr>
            </w:pPr>
          </w:p>
        </w:tc>
        <w:tc>
          <w:tcPr>
            <w:tcW w:w="2561" w:type="pct"/>
            <w:gridSpan w:val="2"/>
          </w:tcPr>
          <w:p w14:paraId="718A9BC5" w14:textId="77777777" w:rsidR="00862B0B" w:rsidRPr="00A67277" w:rsidRDefault="00862B0B" w:rsidP="00862B0B">
            <w:pPr>
              <w:pStyle w:val="Level2"/>
              <w:numPr>
                <w:ilvl w:val="1"/>
                <w:numId w:val="470"/>
              </w:numPr>
              <w:spacing w:before="60" w:after="60"/>
              <w:ind w:left="972" w:hanging="540"/>
              <w:rPr>
                <w:rFonts w:cs="Arial"/>
                <w:b/>
              </w:rPr>
            </w:pPr>
            <w:r w:rsidRPr="00A67277">
              <w:rPr>
                <w:rFonts w:cs="Arial"/>
                <w:b/>
              </w:rPr>
              <w:t>Pasal-Pasal yang Berlaku sejak Tanggal Penandatanganan</w:t>
            </w:r>
          </w:p>
        </w:tc>
      </w:tr>
      <w:tr w:rsidR="00862B0B" w:rsidRPr="00A67277" w14:paraId="35832038" w14:textId="77777777" w:rsidTr="00862B0B">
        <w:tc>
          <w:tcPr>
            <w:tcW w:w="2270" w:type="pct"/>
          </w:tcPr>
          <w:p w14:paraId="690D7658" w14:textId="02CEB1C8" w:rsidR="00862B0B" w:rsidRPr="00A67277" w:rsidRDefault="00862B0B" w:rsidP="00862B0B">
            <w:pPr>
              <w:pStyle w:val="Level1"/>
              <w:tabs>
                <w:tab w:val="left" w:pos="1080"/>
              </w:tabs>
              <w:spacing w:before="60" w:after="60"/>
              <w:ind w:left="1080" w:hanging="17"/>
              <w:rPr>
                <w:rFonts w:cs="Arial"/>
              </w:rPr>
            </w:pPr>
            <w:bookmarkStart w:id="98" w:name="_Toc501177863"/>
            <w:r w:rsidRPr="00A67277">
              <w:rPr>
                <w:rFonts w:cs="Arial"/>
              </w:rPr>
              <w:t>The following Clauses are immediately effective from the Signing Date and are not conditional on the occurrence of the Effective Date:</w:t>
            </w:r>
            <w:bookmarkEnd w:id="98"/>
          </w:p>
        </w:tc>
        <w:tc>
          <w:tcPr>
            <w:tcW w:w="169" w:type="pct"/>
          </w:tcPr>
          <w:p w14:paraId="4481EE1A" w14:textId="77777777" w:rsidR="00862B0B" w:rsidRPr="00A67277" w:rsidRDefault="00862B0B" w:rsidP="00862B0B">
            <w:pPr>
              <w:spacing w:before="60" w:after="60"/>
              <w:rPr>
                <w:rFonts w:ascii="Arial" w:hAnsi="Arial" w:cs="Arial"/>
                <w:sz w:val="21"/>
                <w:szCs w:val="21"/>
              </w:rPr>
            </w:pPr>
          </w:p>
        </w:tc>
        <w:tc>
          <w:tcPr>
            <w:tcW w:w="2561" w:type="pct"/>
            <w:gridSpan w:val="2"/>
          </w:tcPr>
          <w:p w14:paraId="47983702" w14:textId="77777777" w:rsidR="00862B0B" w:rsidRPr="00A67277" w:rsidRDefault="00862B0B" w:rsidP="00862B0B">
            <w:pPr>
              <w:pStyle w:val="Level1"/>
              <w:spacing w:before="60" w:after="60"/>
              <w:ind w:left="972" w:hanging="22"/>
              <w:rPr>
                <w:rFonts w:cs="Arial"/>
              </w:rPr>
            </w:pPr>
            <w:r w:rsidRPr="00A67277">
              <w:rPr>
                <w:rFonts w:cs="Arial"/>
              </w:rPr>
              <w:t>Pasal-pasal sebagai berikut berlaku sejak Tanggal Penandatanganan dan tidak tergantung pada tercapainya Tanggal Efektif:</w:t>
            </w:r>
          </w:p>
        </w:tc>
      </w:tr>
      <w:tr w:rsidR="00862B0B" w:rsidRPr="00A67277" w14:paraId="2E34FF70" w14:textId="77777777" w:rsidTr="00862B0B">
        <w:tc>
          <w:tcPr>
            <w:tcW w:w="2270" w:type="pct"/>
          </w:tcPr>
          <w:p w14:paraId="0277CBAE" w14:textId="738C2EA0" w:rsidR="00862B0B" w:rsidRPr="00A67277" w:rsidRDefault="00862B0B" w:rsidP="00862B0B">
            <w:pPr>
              <w:pStyle w:val="Level3"/>
              <w:numPr>
                <w:ilvl w:val="2"/>
                <w:numId w:val="455"/>
              </w:numPr>
              <w:spacing w:before="60" w:after="60"/>
              <w:ind w:hanging="354"/>
              <w:rPr>
                <w:rFonts w:cs="Arial"/>
              </w:rPr>
            </w:pPr>
            <w:bookmarkStart w:id="99" w:name="_Toc501177864"/>
            <w:r w:rsidRPr="00A67277">
              <w:rPr>
                <w:rFonts w:cs="Arial"/>
              </w:rPr>
              <w:t>Clause 1 (Definitions and Interpretation);</w:t>
            </w:r>
            <w:bookmarkEnd w:id="99"/>
          </w:p>
        </w:tc>
        <w:tc>
          <w:tcPr>
            <w:tcW w:w="169" w:type="pct"/>
          </w:tcPr>
          <w:p w14:paraId="48CD82B0" w14:textId="77777777" w:rsidR="00862B0B" w:rsidRPr="00A67277" w:rsidRDefault="00862B0B" w:rsidP="00862B0B">
            <w:pPr>
              <w:spacing w:before="60" w:after="60"/>
              <w:rPr>
                <w:rFonts w:ascii="Arial" w:hAnsi="Arial" w:cs="Arial"/>
                <w:sz w:val="21"/>
                <w:szCs w:val="21"/>
              </w:rPr>
            </w:pPr>
          </w:p>
        </w:tc>
        <w:tc>
          <w:tcPr>
            <w:tcW w:w="2561" w:type="pct"/>
            <w:gridSpan w:val="2"/>
          </w:tcPr>
          <w:p w14:paraId="0F1B87CA" w14:textId="77777777" w:rsidR="00862B0B" w:rsidRPr="00A67277" w:rsidRDefault="00862B0B" w:rsidP="00862B0B">
            <w:pPr>
              <w:pStyle w:val="Level3"/>
              <w:numPr>
                <w:ilvl w:val="2"/>
                <w:numId w:val="456"/>
              </w:numPr>
              <w:spacing w:before="60" w:after="60"/>
              <w:ind w:hanging="465"/>
              <w:rPr>
                <w:rFonts w:cs="Arial"/>
              </w:rPr>
            </w:pPr>
            <w:r w:rsidRPr="00A67277">
              <w:rPr>
                <w:rFonts w:cs="Arial"/>
              </w:rPr>
              <w:t>Pasal 1 (Definisi dan Interpretasi);</w:t>
            </w:r>
          </w:p>
        </w:tc>
      </w:tr>
      <w:tr w:rsidR="00862B0B" w:rsidRPr="00A67277" w14:paraId="3098568A" w14:textId="77777777" w:rsidTr="00862B0B">
        <w:tc>
          <w:tcPr>
            <w:tcW w:w="2270" w:type="pct"/>
          </w:tcPr>
          <w:p w14:paraId="42384839" w14:textId="5A3B3DA8" w:rsidR="00862B0B" w:rsidRPr="00A67277" w:rsidRDefault="00862B0B" w:rsidP="00862B0B">
            <w:pPr>
              <w:pStyle w:val="Level3"/>
              <w:numPr>
                <w:ilvl w:val="2"/>
                <w:numId w:val="455"/>
              </w:numPr>
              <w:spacing w:before="60" w:after="60"/>
              <w:ind w:hanging="354"/>
              <w:rPr>
                <w:rFonts w:cs="Arial"/>
              </w:rPr>
            </w:pPr>
            <w:bookmarkStart w:id="100" w:name="_Toc501177865"/>
            <w:r w:rsidRPr="00A67277">
              <w:rPr>
                <w:rFonts w:cs="Arial"/>
              </w:rPr>
              <w:t>Clause 3 (</w:t>
            </w:r>
            <w:r w:rsidRPr="00A67277">
              <w:rPr>
                <w:rFonts w:cs="Arial"/>
                <w:i/>
              </w:rPr>
              <w:t>Conditions Precedent</w:t>
            </w:r>
            <w:r w:rsidRPr="00A67277">
              <w:rPr>
                <w:rFonts w:cs="Arial"/>
              </w:rPr>
              <w:t>);</w:t>
            </w:r>
            <w:bookmarkEnd w:id="100"/>
          </w:p>
        </w:tc>
        <w:tc>
          <w:tcPr>
            <w:tcW w:w="169" w:type="pct"/>
          </w:tcPr>
          <w:p w14:paraId="04379910" w14:textId="77777777" w:rsidR="00862B0B" w:rsidRPr="00A67277" w:rsidRDefault="00862B0B" w:rsidP="00862B0B">
            <w:pPr>
              <w:spacing w:before="60" w:after="60"/>
              <w:rPr>
                <w:rFonts w:ascii="Arial" w:hAnsi="Arial" w:cs="Arial"/>
                <w:sz w:val="21"/>
                <w:szCs w:val="21"/>
              </w:rPr>
            </w:pPr>
          </w:p>
        </w:tc>
        <w:tc>
          <w:tcPr>
            <w:tcW w:w="2561" w:type="pct"/>
            <w:gridSpan w:val="2"/>
          </w:tcPr>
          <w:p w14:paraId="63F7B2EF" w14:textId="77777777" w:rsidR="00862B0B" w:rsidRPr="00A67277" w:rsidRDefault="00862B0B" w:rsidP="00862B0B">
            <w:pPr>
              <w:pStyle w:val="Level3"/>
              <w:numPr>
                <w:ilvl w:val="2"/>
                <w:numId w:val="456"/>
              </w:numPr>
              <w:spacing w:before="60" w:after="60"/>
              <w:ind w:left="1512" w:hanging="560"/>
              <w:rPr>
                <w:rFonts w:cs="Arial"/>
              </w:rPr>
            </w:pPr>
            <w:r w:rsidRPr="00A67277">
              <w:rPr>
                <w:rFonts w:cs="Arial"/>
              </w:rPr>
              <w:t>Pasal 3 (</w:t>
            </w:r>
            <w:r w:rsidRPr="00A67277">
              <w:rPr>
                <w:rFonts w:cs="Arial"/>
                <w:i/>
              </w:rPr>
              <w:t>Persyaratan Pendahuluan</w:t>
            </w:r>
            <w:r w:rsidRPr="00A67277">
              <w:rPr>
                <w:rFonts w:cs="Arial"/>
              </w:rPr>
              <w:t>);</w:t>
            </w:r>
          </w:p>
        </w:tc>
      </w:tr>
      <w:tr w:rsidR="00862B0B" w:rsidRPr="00A67277" w14:paraId="16B6DBB7" w14:textId="77777777" w:rsidTr="00862B0B">
        <w:tc>
          <w:tcPr>
            <w:tcW w:w="2270" w:type="pct"/>
          </w:tcPr>
          <w:p w14:paraId="5F3CAC32" w14:textId="22D18B33" w:rsidR="00862B0B" w:rsidRPr="00A67277" w:rsidRDefault="00862B0B" w:rsidP="00862B0B">
            <w:pPr>
              <w:pStyle w:val="Level3"/>
              <w:numPr>
                <w:ilvl w:val="2"/>
                <w:numId w:val="455"/>
              </w:numPr>
              <w:tabs>
                <w:tab w:val="clear" w:pos="1417"/>
                <w:tab w:val="num" w:pos="1693"/>
              </w:tabs>
              <w:spacing w:before="60" w:after="60"/>
              <w:ind w:left="1423" w:hanging="360"/>
              <w:rPr>
                <w:rFonts w:cs="Arial"/>
              </w:rPr>
            </w:pPr>
            <w:bookmarkStart w:id="101" w:name="_Toc501177866"/>
            <w:bookmarkStart w:id="102" w:name="_cp_text_1_839"/>
            <w:r w:rsidRPr="00A67277">
              <w:rPr>
                <w:rFonts w:cs="Arial"/>
              </w:rPr>
              <w:t>Clauses 4.1(a), (g) and (h) (</w:t>
            </w:r>
            <w:r w:rsidRPr="00A67277">
              <w:rPr>
                <w:rFonts w:cs="Arial"/>
                <w:i/>
              </w:rPr>
              <w:t>IBE Responsibilities</w:t>
            </w:r>
            <w:r w:rsidRPr="00A67277">
              <w:rPr>
                <w:rFonts w:cs="Arial"/>
              </w:rPr>
              <w:t>)</w:t>
            </w:r>
            <w:bookmarkEnd w:id="101"/>
            <w:bookmarkEnd w:id="102"/>
            <w:r w:rsidRPr="00A67277">
              <w:rPr>
                <w:rFonts w:cs="Arial"/>
              </w:rPr>
              <w:t>;</w:t>
            </w:r>
          </w:p>
        </w:tc>
        <w:tc>
          <w:tcPr>
            <w:tcW w:w="169" w:type="pct"/>
          </w:tcPr>
          <w:p w14:paraId="35A6DF9E" w14:textId="77777777" w:rsidR="00862B0B" w:rsidRPr="00A67277" w:rsidRDefault="00862B0B" w:rsidP="00862B0B">
            <w:pPr>
              <w:spacing w:before="60" w:after="60"/>
              <w:rPr>
                <w:rFonts w:ascii="Arial" w:hAnsi="Arial" w:cs="Arial"/>
                <w:sz w:val="21"/>
                <w:szCs w:val="21"/>
              </w:rPr>
            </w:pPr>
          </w:p>
        </w:tc>
        <w:tc>
          <w:tcPr>
            <w:tcW w:w="2561" w:type="pct"/>
            <w:gridSpan w:val="2"/>
          </w:tcPr>
          <w:p w14:paraId="5DDD87FD" w14:textId="77777777" w:rsidR="00862B0B" w:rsidRPr="00A67277" w:rsidRDefault="00862B0B" w:rsidP="00862B0B">
            <w:pPr>
              <w:pStyle w:val="Level3"/>
              <w:numPr>
                <w:ilvl w:val="2"/>
                <w:numId w:val="265"/>
              </w:numPr>
              <w:tabs>
                <w:tab w:val="clear" w:pos="1417"/>
                <w:tab w:val="num" w:pos="1512"/>
              </w:tabs>
              <w:spacing w:before="60" w:after="60"/>
              <w:ind w:left="1512" w:hanging="540"/>
              <w:rPr>
                <w:rFonts w:cs="Arial"/>
              </w:rPr>
            </w:pPr>
            <w:r w:rsidRPr="00A67277">
              <w:rPr>
                <w:rFonts w:cs="Arial"/>
              </w:rPr>
              <w:t>Pasal 4.1(a), (g) dan (h) (</w:t>
            </w:r>
            <w:r w:rsidRPr="00A67277">
              <w:rPr>
                <w:rFonts w:cs="Arial"/>
                <w:i/>
              </w:rPr>
              <w:t>Tanggung Jawab BUP</w:t>
            </w:r>
            <w:r w:rsidRPr="00A67277">
              <w:rPr>
                <w:rFonts w:cs="Arial"/>
              </w:rPr>
              <w:t>);</w:t>
            </w:r>
          </w:p>
        </w:tc>
      </w:tr>
      <w:tr w:rsidR="00862B0B" w:rsidRPr="00A67277" w14:paraId="6B73F1EB" w14:textId="77777777" w:rsidTr="00862B0B">
        <w:tc>
          <w:tcPr>
            <w:tcW w:w="2270" w:type="pct"/>
          </w:tcPr>
          <w:p w14:paraId="0017B70D" w14:textId="5AC702C7" w:rsidR="00862B0B" w:rsidRPr="00A67277" w:rsidRDefault="00862B0B" w:rsidP="00862B0B">
            <w:pPr>
              <w:pStyle w:val="Level3"/>
              <w:numPr>
                <w:ilvl w:val="2"/>
                <w:numId w:val="455"/>
              </w:numPr>
              <w:tabs>
                <w:tab w:val="clear" w:pos="1417"/>
              </w:tabs>
              <w:spacing w:before="60" w:after="60"/>
              <w:ind w:left="1423" w:hanging="360"/>
              <w:rPr>
                <w:rFonts w:cs="Arial"/>
              </w:rPr>
            </w:pPr>
            <w:bookmarkStart w:id="103" w:name="_Toc501177867"/>
            <w:bookmarkStart w:id="104" w:name="_cp_text_1_840"/>
            <w:r w:rsidRPr="00A67277">
              <w:rPr>
                <w:rFonts w:cs="Arial"/>
              </w:rPr>
              <w:t>Clause 4.2(b), (e), (f) and (g) (</w:t>
            </w:r>
            <w:r w:rsidRPr="00A67277">
              <w:rPr>
                <w:rFonts w:cs="Arial"/>
                <w:i/>
              </w:rPr>
              <w:t>GCA Responsibilities</w:t>
            </w:r>
            <w:r w:rsidRPr="00A67277">
              <w:rPr>
                <w:rFonts w:cs="Arial"/>
              </w:rPr>
              <w:t>);</w:t>
            </w:r>
            <w:bookmarkEnd w:id="103"/>
            <w:bookmarkEnd w:id="104"/>
          </w:p>
        </w:tc>
        <w:tc>
          <w:tcPr>
            <w:tcW w:w="169" w:type="pct"/>
          </w:tcPr>
          <w:p w14:paraId="28D630B6" w14:textId="77777777" w:rsidR="00862B0B" w:rsidRPr="00A67277" w:rsidRDefault="00862B0B" w:rsidP="00862B0B">
            <w:pPr>
              <w:spacing w:before="60" w:after="60"/>
              <w:rPr>
                <w:rFonts w:ascii="Arial" w:hAnsi="Arial" w:cs="Arial"/>
                <w:sz w:val="21"/>
                <w:szCs w:val="21"/>
              </w:rPr>
            </w:pPr>
          </w:p>
        </w:tc>
        <w:tc>
          <w:tcPr>
            <w:tcW w:w="2561" w:type="pct"/>
            <w:gridSpan w:val="2"/>
          </w:tcPr>
          <w:p w14:paraId="3C17786E" w14:textId="77777777" w:rsidR="00862B0B" w:rsidRPr="00A67277" w:rsidRDefault="00862B0B" w:rsidP="00862B0B">
            <w:pPr>
              <w:pStyle w:val="Level3"/>
              <w:numPr>
                <w:ilvl w:val="2"/>
                <w:numId w:val="266"/>
              </w:numPr>
              <w:tabs>
                <w:tab w:val="clear" w:pos="1417"/>
                <w:tab w:val="num" w:pos="1512"/>
              </w:tabs>
              <w:spacing w:before="60" w:after="60"/>
              <w:ind w:left="1512" w:hanging="540"/>
              <w:rPr>
                <w:rFonts w:cs="Arial"/>
              </w:rPr>
            </w:pPr>
            <w:r w:rsidRPr="00A67277">
              <w:rPr>
                <w:rFonts w:cs="Arial"/>
              </w:rPr>
              <w:t>Pasal 4.2(b), (e), (f) dan (g) (</w:t>
            </w:r>
            <w:r w:rsidRPr="00A67277">
              <w:rPr>
                <w:rFonts w:cs="Arial"/>
                <w:i/>
              </w:rPr>
              <w:t>Tanggung Jawab PJPK</w:t>
            </w:r>
            <w:r w:rsidRPr="00A67277">
              <w:rPr>
                <w:rFonts w:cs="Arial"/>
              </w:rPr>
              <w:t>);</w:t>
            </w:r>
          </w:p>
        </w:tc>
      </w:tr>
      <w:tr w:rsidR="00862B0B" w:rsidRPr="00A67277" w14:paraId="319B9D3F" w14:textId="77777777" w:rsidTr="00862B0B">
        <w:tc>
          <w:tcPr>
            <w:tcW w:w="2270" w:type="pct"/>
          </w:tcPr>
          <w:p w14:paraId="5A14BC08" w14:textId="196EE866" w:rsidR="00862B0B" w:rsidRPr="00A67277" w:rsidRDefault="00862B0B" w:rsidP="00862B0B">
            <w:pPr>
              <w:pStyle w:val="Level3"/>
              <w:numPr>
                <w:ilvl w:val="2"/>
                <w:numId w:val="455"/>
              </w:numPr>
              <w:tabs>
                <w:tab w:val="clear" w:pos="1417"/>
                <w:tab w:val="num" w:pos="2683"/>
              </w:tabs>
              <w:spacing w:before="60" w:after="60"/>
              <w:ind w:left="1423" w:hanging="360"/>
              <w:rPr>
                <w:rFonts w:cs="Arial"/>
              </w:rPr>
            </w:pPr>
            <w:bookmarkStart w:id="105" w:name="_Toc501177868"/>
            <w:r w:rsidRPr="00A67277">
              <w:rPr>
                <w:rFonts w:cs="Arial"/>
              </w:rPr>
              <w:t>Clause 5 (</w:t>
            </w:r>
            <w:r w:rsidRPr="00A67277">
              <w:rPr>
                <w:rFonts w:cs="Arial"/>
                <w:i/>
              </w:rPr>
              <w:t>Implementing Business Entity / IBE</w:t>
            </w:r>
            <w:r w:rsidRPr="00A67277">
              <w:rPr>
                <w:rFonts w:cs="Arial"/>
              </w:rPr>
              <w:t>);</w:t>
            </w:r>
            <w:bookmarkEnd w:id="105"/>
          </w:p>
        </w:tc>
        <w:tc>
          <w:tcPr>
            <w:tcW w:w="169" w:type="pct"/>
          </w:tcPr>
          <w:p w14:paraId="687E5BE4" w14:textId="77777777" w:rsidR="00862B0B" w:rsidRPr="00A67277" w:rsidRDefault="00862B0B" w:rsidP="00862B0B">
            <w:pPr>
              <w:spacing w:before="60" w:after="60"/>
              <w:rPr>
                <w:rFonts w:ascii="Arial" w:hAnsi="Arial" w:cs="Arial"/>
                <w:sz w:val="21"/>
                <w:szCs w:val="21"/>
              </w:rPr>
            </w:pPr>
          </w:p>
        </w:tc>
        <w:tc>
          <w:tcPr>
            <w:tcW w:w="2561" w:type="pct"/>
            <w:gridSpan w:val="2"/>
          </w:tcPr>
          <w:p w14:paraId="529823A0" w14:textId="77777777" w:rsidR="00862B0B" w:rsidRPr="00A67277" w:rsidRDefault="00862B0B" w:rsidP="00862B0B">
            <w:pPr>
              <w:pStyle w:val="Level3"/>
              <w:numPr>
                <w:ilvl w:val="2"/>
                <w:numId w:val="267"/>
              </w:numPr>
              <w:tabs>
                <w:tab w:val="clear" w:pos="1417"/>
                <w:tab w:val="num" w:pos="1512"/>
              </w:tabs>
              <w:spacing w:before="60" w:after="60"/>
              <w:ind w:left="1512" w:hanging="540"/>
              <w:rPr>
                <w:rFonts w:cs="Arial"/>
              </w:rPr>
            </w:pPr>
            <w:r w:rsidRPr="00A67277">
              <w:rPr>
                <w:rFonts w:cs="Arial"/>
              </w:rPr>
              <w:t>Pasal 5 (</w:t>
            </w:r>
            <w:r w:rsidRPr="00A67277">
              <w:rPr>
                <w:rFonts w:cs="Arial"/>
                <w:i/>
              </w:rPr>
              <w:t>Badan Usaha Pelaksana/BUP</w:t>
            </w:r>
            <w:r w:rsidRPr="00A67277">
              <w:rPr>
                <w:rFonts w:cs="Arial"/>
              </w:rPr>
              <w:t>);</w:t>
            </w:r>
          </w:p>
        </w:tc>
      </w:tr>
      <w:tr w:rsidR="00862B0B" w:rsidRPr="00A67277" w14:paraId="08E76964" w14:textId="77777777" w:rsidTr="00862B0B">
        <w:tc>
          <w:tcPr>
            <w:tcW w:w="2270" w:type="pct"/>
          </w:tcPr>
          <w:p w14:paraId="39EC57D9" w14:textId="293E1617" w:rsidR="00862B0B" w:rsidRPr="00A67277" w:rsidRDefault="00862B0B" w:rsidP="00862B0B">
            <w:pPr>
              <w:pStyle w:val="Level3"/>
              <w:numPr>
                <w:ilvl w:val="2"/>
                <w:numId w:val="455"/>
              </w:numPr>
              <w:spacing w:before="60" w:after="60"/>
              <w:ind w:left="1620" w:hanging="540"/>
              <w:rPr>
                <w:rFonts w:cs="Arial"/>
              </w:rPr>
            </w:pPr>
            <w:bookmarkStart w:id="106" w:name="_Toc501177869"/>
            <w:r w:rsidRPr="00A67277">
              <w:rPr>
                <w:rFonts w:cs="Arial"/>
              </w:rPr>
              <w:t>Clause 7 (</w:t>
            </w:r>
            <w:r w:rsidRPr="00A67277">
              <w:rPr>
                <w:rFonts w:cs="Arial"/>
                <w:i/>
              </w:rPr>
              <w:t>Land and Site</w:t>
            </w:r>
            <w:r w:rsidRPr="00A67277">
              <w:rPr>
                <w:rFonts w:cs="Arial"/>
              </w:rPr>
              <w:t>);</w:t>
            </w:r>
            <w:bookmarkEnd w:id="106"/>
          </w:p>
        </w:tc>
        <w:tc>
          <w:tcPr>
            <w:tcW w:w="169" w:type="pct"/>
          </w:tcPr>
          <w:p w14:paraId="3AF2F121" w14:textId="77777777" w:rsidR="00862B0B" w:rsidRPr="00A67277" w:rsidRDefault="00862B0B" w:rsidP="00862B0B">
            <w:pPr>
              <w:spacing w:before="60" w:after="60"/>
              <w:rPr>
                <w:rFonts w:ascii="Arial" w:hAnsi="Arial" w:cs="Arial"/>
                <w:sz w:val="21"/>
                <w:szCs w:val="21"/>
              </w:rPr>
            </w:pPr>
          </w:p>
        </w:tc>
        <w:tc>
          <w:tcPr>
            <w:tcW w:w="2561" w:type="pct"/>
            <w:gridSpan w:val="2"/>
          </w:tcPr>
          <w:p w14:paraId="15195BE7" w14:textId="77777777" w:rsidR="00862B0B" w:rsidRPr="00A67277" w:rsidRDefault="00862B0B" w:rsidP="00862B0B">
            <w:pPr>
              <w:pStyle w:val="Level3"/>
              <w:numPr>
                <w:ilvl w:val="2"/>
                <w:numId w:val="269"/>
              </w:numPr>
              <w:tabs>
                <w:tab w:val="clear" w:pos="1417"/>
                <w:tab w:val="num" w:pos="1512"/>
              </w:tabs>
              <w:spacing w:before="60" w:after="60"/>
              <w:ind w:left="1512" w:hanging="540"/>
              <w:rPr>
                <w:rFonts w:cs="Arial"/>
              </w:rPr>
            </w:pPr>
            <w:r w:rsidRPr="00A67277">
              <w:rPr>
                <w:rFonts w:cs="Arial"/>
              </w:rPr>
              <w:t>Pasal 7 (</w:t>
            </w:r>
            <w:r w:rsidRPr="00A67277">
              <w:rPr>
                <w:rFonts w:cs="Arial"/>
                <w:i/>
              </w:rPr>
              <w:t>Tanah dan Lokasi</w:t>
            </w:r>
            <w:r w:rsidRPr="00A67277">
              <w:rPr>
                <w:rFonts w:cs="Arial"/>
              </w:rPr>
              <w:t>);</w:t>
            </w:r>
          </w:p>
        </w:tc>
      </w:tr>
      <w:tr w:rsidR="00862B0B" w:rsidRPr="00A67277" w14:paraId="4F87986F" w14:textId="77777777" w:rsidTr="00862B0B">
        <w:tc>
          <w:tcPr>
            <w:tcW w:w="2270" w:type="pct"/>
          </w:tcPr>
          <w:p w14:paraId="30C2C4D8" w14:textId="20CB0AAA" w:rsidR="00862B0B" w:rsidRPr="00A67277" w:rsidRDefault="00862B0B" w:rsidP="00862B0B">
            <w:pPr>
              <w:pStyle w:val="Level3"/>
              <w:numPr>
                <w:ilvl w:val="2"/>
                <w:numId w:val="455"/>
              </w:numPr>
              <w:tabs>
                <w:tab w:val="clear" w:pos="1417"/>
                <w:tab w:val="num" w:pos="1693"/>
              </w:tabs>
              <w:spacing w:before="60" w:after="60"/>
              <w:ind w:left="1423" w:hanging="360"/>
              <w:rPr>
                <w:rFonts w:cs="Arial"/>
              </w:rPr>
            </w:pPr>
            <w:bookmarkStart w:id="107" w:name="_Toc501177870"/>
            <w:r w:rsidRPr="00A67277">
              <w:rPr>
                <w:rFonts w:cs="Arial"/>
              </w:rPr>
              <w:t>Clause 18.4 (</w:t>
            </w:r>
            <w:r w:rsidRPr="00A67277">
              <w:rPr>
                <w:rFonts w:cs="Arial"/>
                <w:i/>
              </w:rPr>
              <w:t>Compliance with Laws</w:t>
            </w:r>
            <w:r w:rsidRPr="00A67277">
              <w:rPr>
                <w:rFonts w:cs="Arial"/>
              </w:rPr>
              <w:t>);</w:t>
            </w:r>
            <w:bookmarkEnd w:id="107"/>
          </w:p>
        </w:tc>
        <w:tc>
          <w:tcPr>
            <w:tcW w:w="169" w:type="pct"/>
          </w:tcPr>
          <w:p w14:paraId="3B06700E" w14:textId="77777777" w:rsidR="00862B0B" w:rsidRPr="00A67277" w:rsidRDefault="00862B0B" w:rsidP="00862B0B">
            <w:pPr>
              <w:spacing w:before="60" w:after="60"/>
              <w:rPr>
                <w:rFonts w:ascii="Arial" w:hAnsi="Arial" w:cs="Arial"/>
                <w:sz w:val="21"/>
                <w:szCs w:val="21"/>
              </w:rPr>
            </w:pPr>
          </w:p>
        </w:tc>
        <w:tc>
          <w:tcPr>
            <w:tcW w:w="2561" w:type="pct"/>
            <w:gridSpan w:val="2"/>
          </w:tcPr>
          <w:p w14:paraId="01059DE9" w14:textId="77777777" w:rsidR="00862B0B" w:rsidRPr="00A67277" w:rsidRDefault="00862B0B" w:rsidP="00862B0B">
            <w:pPr>
              <w:pStyle w:val="Level3"/>
              <w:numPr>
                <w:ilvl w:val="2"/>
                <w:numId w:val="268"/>
              </w:numPr>
              <w:tabs>
                <w:tab w:val="clear" w:pos="1417"/>
                <w:tab w:val="num" w:pos="1512"/>
              </w:tabs>
              <w:spacing w:before="60" w:after="60"/>
              <w:ind w:left="1512" w:hanging="540"/>
              <w:rPr>
                <w:rFonts w:cs="Arial"/>
              </w:rPr>
            </w:pPr>
            <w:r w:rsidRPr="00A67277">
              <w:rPr>
                <w:rFonts w:cs="Arial"/>
              </w:rPr>
              <w:t>Pasal 18.4 (</w:t>
            </w:r>
            <w:r w:rsidRPr="00A67277">
              <w:rPr>
                <w:rFonts w:cs="Arial"/>
                <w:i/>
              </w:rPr>
              <w:t>Kepatuhan Hukum</w:t>
            </w:r>
            <w:r w:rsidRPr="00A67277">
              <w:rPr>
                <w:rFonts w:cs="Arial"/>
              </w:rPr>
              <w:t>);</w:t>
            </w:r>
          </w:p>
        </w:tc>
      </w:tr>
      <w:tr w:rsidR="00862B0B" w:rsidRPr="00A67277" w14:paraId="52A19CF4" w14:textId="77777777" w:rsidTr="00862B0B">
        <w:tc>
          <w:tcPr>
            <w:tcW w:w="2270" w:type="pct"/>
          </w:tcPr>
          <w:p w14:paraId="1FEFBB49" w14:textId="1EE7D0DE" w:rsidR="00862B0B" w:rsidRPr="00A67277" w:rsidRDefault="00862B0B" w:rsidP="00862B0B">
            <w:pPr>
              <w:pStyle w:val="Level3"/>
              <w:numPr>
                <w:ilvl w:val="2"/>
                <w:numId w:val="455"/>
              </w:numPr>
              <w:tabs>
                <w:tab w:val="clear" w:pos="1417"/>
                <w:tab w:val="num" w:pos="2053"/>
              </w:tabs>
              <w:spacing w:before="60" w:after="60"/>
              <w:ind w:left="1513" w:hanging="450"/>
              <w:rPr>
                <w:rFonts w:cs="Arial"/>
              </w:rPr>
            </w:pPr>
            <w:bookmarkStart w:id="108" w:name="_Toc501177871"/>
            <w:r w:rsidRPr="00A67277">
              <w:rPr>
                <w:rFonts w:cs="Arial"/>
              </w:rPr>
              <w:t>Clause 19 (</w:t>
            </w:r>
            <w:r w:rsidRPr="00A67277">
              <w:rPr>
                <w:rFonts w:cs="Arial"/>
                <w:i/>
              </w:rPr>
              <w:t>Indemnity and Liability</w:t>
            </w:r>
            <w:r w:rsidRPr="00A67277">
              <w:rPr>
                <w:rFonts w:cs="Arial"/>
              </w:rPr>
              <w:t>);</w:t>
            </w:r>
            <w:bookmarkEnd w:id="108"/>
          </w:p>
        </w:tc>
        <w:tc>
          <w:tcPr>
            <w:tcW w:w="169" w:type="pct"/>
          </w:tcPr>
          <w:p w14:paraId="4AF0A01B" w14:textId="77777777" w:rsidR="00862B0B" w:rsidRPr="00A67277" w:rsidRDefault="00862B0B" w:rsidP="00862B0B">
            <w:pPr>
              <w:spacing w:before="60" w:after="60"/>
              <w:rPr>
                <w:rFonts w:ascii="Arial" w:hAnsi="Arial" w:cs="Arial"/>
                <w:sz w:val="21"/>
                <w:szCs w:val="21"/>
              </w:rPr>
            </w:pPr>
          </w:p>
        </w:tc>
        <w:tc>
          <w:tcPr>
            <w:tcW w:w="2561" w:type="pct"/>
            <w:gridSpan w:val="2"/>
          </w:tcPr>
          <w:p w14:paraId="0C3B1BAE" w14:textId="77777777" w:rsidR="00862B0B" w:rsidRPr="00A67277" w:rsidRDefault="00862B0B" w:rsidP="00862B0B">
            <w:pPr>
              <w:pStyle w:val="Level3"/>
              <w:numPr>
                <w:ilvl w:val="2"/>
                <w:numId w:val="270"/>
              </w:numPr>
              <w:tabs>
                <w:tab w:val="clear" w:pos="1417"/>
                <w:tab w:val="num" w:pos="1512"/>
              </w:tabs>
              <w:spacing w:before="60" w:after="60"/>
              <w:ind w:left="1512" w:hanging="540"/>
              <w:rPr>
                <w:rFonts w:cs="Arial"/>
              </w:rPr>
            </w:pPr>
            <w:r w:rsidRPr="00A67277">
              <w:rPr>
                <w:rFonts w:cs="Arial"/>
              </w:rPr>
              <w:t>Pasal 19 (</w:t>
            </w:r>
            <w:r w:rsidRPr="00A67277">
              <w:rPr>
                <w:rFonts w:cs="Arial"/>
                <w:i/>
              </w:rPr>
              <w:t>Ganti Rugi dan Tanggung Jawab</w:t>
            </w:r>
            <w:r w:rsidRPr="00A67277">
              <w:rPr>
                <w:rFonts w:cs="Arial"/>
              </w:rPr>
              <w:t>);</w:t>
            </w:r>
          </w:p>
        </w:tc>
      </w:tr>
      <w:tr w:rsidR="00862B0B" w:rsidRPr="00A67277" w14:paraId="2A6AEE2E" w14:textId="77777777" w:rsidTr="00862B0B">
        <w:tc>
          <w:tcPr>
            <w:tcW w:w="2270" w:type="pct"/>
          </w:tcPr>
          <w:p w14:paraId="1D0F2611" w14:textId="39996CC9" w:rsidR="00862B0B" w:rsidRPr="00A67277" w:rsidRDefault="00862B0B" w:rsidP="00862B0B">
            <w:pPr>
              <w:pStyle w:val="Level3"/>
              <w:numPr>
                <w:ilvl w:val="2"/>
                <w:numId w:val="455"/>
              </w:numPr>
              <w:spacing w:before="60" w:after="60"/>
              <w:ind w:left="1620" w:hanging="540"/>
              <w:rPr>
                <w:rFonts w:cs="Arial"/>
              </w:rPr>
            </w:pPr>
            <w:bookmarkStart w:id="109" w:name="_Toc501177872"/>
            <w:r w:rsidRPr="00A67277">
              <w:rPr>
                <w:rFonts w:cs="Arial"/>
              </w:rPr>
              <w:t>Clause 20 (</w:t>
            </w:r>
            <w:r w:rsidRPr="00A67277">
              <w:rPr>
                <w:rFonts w:cs="Arial"/>
                <w:i/>
              </w:rPr>
              <w:t>Force Majeure</w:t>
            </w:r>
            <w:r w:rsidRPr="00A67277">
              <w:rPr>
                <w:rFonts w:cs="Arial"/>
              </w:rPr>
              <w:t>);</w:t>
            </w:r>
            <w:bookmarkEnd w:id="109"/>
          </w:p>
        </w:tc>
        <w:tc>
          <w:tcPr>
            <w:tcW w:w="169" w:type="pct"/>
          </w:tcPr>
          <w:p w14:paraId="69342374" w14:textId="77777777" w:rsidR="00862B0B" w:rsidRPr="00A67277" w:rsidRDefault="00862B0B" w:rsidP="00862B0B">
            <w:pPr>
              <w:spacing w:before="60" w:after="60"/>
              <w:rPr>
                <w:rFonts w:ascii="Arial" w:hAnsi="Arial" w:cs="Arial"/>
                <w:sz w:val="21"/>
                <w:szCs w:val="21"/>
              </w:rPr>
            </w:pPr>
          </w:p>
        </w:tc>
        <w:tc>
          <w:tcPr>
            <w:tcW w:w="2561" w:type="pct"/>
            <w:gridSpan w:val="2"/>
          </w:tcPr>
          <w:p w14:paraId="10410BB6" w14:textId="77777777" w:rsidR="00862B0B" w:rsidRPr="00A67277" w:rsidRDefault="00862B0B" w:rsidP="00862B0B">
            <w:pPr>
              <w:pStyle w:val="Level3"/>
              <w:numPr>
                <w:ilvl w:val="2"/>
                <w:numId w:val="271"/>
              </w:numPr>
              <w:tabs>
                <w:tab w:val="clear" w:pos="1417"/>
                <w:tab w:val="num" w:pos="1512"/>
              </w:tabs>
              <w:spacing w:before="60" w:after="60"/>
              <w:ind w:left="1512" w:hanging="540"/>
              <w:rPr>
                <w:rFonts w:cs="Arial"/>
              </w:rPr>
            </w:pPr>
            <w:r w:rsidRPr="00A67277">
              <w:rPr>
                <w:rFonts w:cs="Arial"/>
              </w:rPr>
              <w:t>Pasal 20 (</w:t>
            </w:r>
            <w:r w:rsidRPr="00A67277">
              <w:rPr>
                <w:rFonts w:cs="Arial"/>
                <w:i/>
              </w:rPr>
              <w:t>Keadaan Kahar);</w:t>
            </w:r>
          </w:p>
        </w:tc>
      </w:tr>
      <w:tr w:rsidR="00862B0B" w:rsidRPr="00A67277" w14:paraId="51597A80" w14:textId="77777777" w:rsidTr="00862B0B">
        <w:tc>
          <w:tcPr>
            <w:tcW w:w="2270" w:type="pct"/>
          </w:tcPr>
          <w:p w14:paraId="634022DD" w14:textId="52EE4DE3" w:rsidR="00862B0B" w:rsidRPr="00A67277" w:rsidRDefault="00862B0B" w:rsidP="00862B0B">
            <w:pPr>
              <w:pStyle w:val="Level3"/>
              <w:numPr>
                <w:ilvl w:val="2"/>
                <w:numId w:val="455"/>
              </w:numPr>
              <w:tabs>
                <w:tab w:val="clear" w:pos="1417"/>
                <w:tab w:val="num" w:pos="1783"/>
              </w:tabs>
              <w:spacing w:before="60" w:after="60"/>
              <w:ind w:left="1423" w:hanging="360"/>
              <w:rPr>
                <w:rFonts w:cs="Arial"/>
              </w:rPr>
            </w:pPr>
            <w:bookmarkStart w:id="110" w:name="_Toc501177873"/>
            <w:r w:rsidRPr="00A67277">
              <w:rPr>
                <w:rFonts w:cs="Arial"/>
              </w:rPr>
              <w:t>Clause 27.1 (</w:t>
            </w:r>
            <w:r w:rsidRPr="00A67277">
              <w:rPr>
                <w:rFonts w:cs="Arial"/>
                <w:i/>
              </w:rPr>
              <w:t>Representation and Warranties of the IBE</w:t>
            </w:r>
            <w:r w:rsidRPr="00A67277">
              <w:rPr>
                <w:rFonts w:cs="Arial"/>
              </w:rPr>
              <w:t>);</w:t>
            </w:r>
            <w:bookmarkEnd w:id="110"/>
          </w:p>
        </w:tc>
        <w:tc>
          <w:tcPr>
            <w:tcW w:w="169" w:type="pct"/>
          </w:tcPr>
          <w:p w14:paraId="2E86756B" w14:textId="77777777" w:rsidR="00862B0B" w:rsidRPr="00A67277" w:rsidRDefault="00862B0B" w:rsidP="00862B0B">
            <w:pPr>
              <w:spacing w:before="60" w:after="60"/>
              <w:rPr>
                <w:rFonts w:ascii="Arial" w:hAnsi="Arial" w:cs="Arial"/>
                <w:sz w:val="21"/>
                <w:szCs w:val="21"/>
              </w:rPr>
            </w:pPr>
          </w:p>
        </w:tc>
        <w:tc>
          <w:tcPr>
            <w:tcW w:w="2561" w:type="pct"/>
            <w:gridSpan w:val="2"/>
          </w:tcPr>
          <w:p w14:paraId="77534A62" w14:textId="77777777" w:rsidR="00862B0B" w:rsidRPr="00A67277" w:rsidRDefault="00862B0B" w:rsidP="00862B0B">
            <w:pPr>
              <w:pStyle w:val="Level3"/>
              <w:numPr>
                <w:ilvl w:val="2"/>
                <w:numId w:val="272"/>
              </w:numPr>
              <w:tabs>
                <w:tab w:val="clear" w:pos="1417"/>
                <w:tab w:val="num" w:pos="1512"/>
              </w:tabs>
              <w:spacing w:before="60" w:after="60"/>
              <w:ind w:left="1512" w:hanging="540"/>
              <w:rPr>
                <w:rFonts w:cs="Arial"/>
              </w:rPr>
            </w:pPr>
            <w:r w:rsidRPr="00A67277">
              <w:rPr>
                <w:rFonts w:cs="Arial"/>
              </w:rPr>
              <w:t>Pasal 27.1 (</w:t>
            </w:r>
            <w:r w:rsidRPr="00A67277">
              <w:rPr>
                <w:rFonts w:cs="Arial"/>
                <w:i/>
              </w:rPr>
              <w:t>Pernyataan dan Jaminan BUP</w:t>
            </w:r>
            <w:r w:rsidRPr="00A67277">
              <w:rPr>
                <w:rFonts w:cs="Arial"/>
              </w:rPr>
              <w:t>);</w:t>
            </w:r>
          </w:p>
        </w:tc>
      </w:tr>
      <w:tr w:rsidR="00862B0B" w:rsidRPr="00A67277" w14:paraId="777E55DC" w14:textId="77777777" w:rsidTr="00862B0B">
        <w:tc>
          <w:tcPr>
            <w:tcW w:w="2270" w:type="pct"/>
          </w:tcPr>
          <w:p w14:paraId="70BD65BA" w14:textId="63772283" w:rsidR="00862B0B" w:rsidRPr="00A67277" w:rsidRDefault="00862B0B" w:rsidP="00862B0B">
            <w:pPr>
              <w:pStyle w:val="Level3"/>
              <w:numPr>
                <w:ilvl w:val="2"/>
                <w:numId w:val="455"/>
              </w:numPr>
              <w:tabs>
                <w:tab w:val="clear" w:pos="1417"/>
                <w:tab w:val="num" w:pos="2053"/>
              </w:tabs>
              <w:spacing w:before="60" w:after="60"/>
              <w:ind w:left="1423" w:hanging="360"/>
              <w:rPr>
                <w:rFonts w:cs="Arial"/>
              </w:rPr>
            </w:pPr>
            <w:bookmarkStart w:id="111" w:name="_Toc501177874"/>
            <w:r w:rsidRPr="00A67277">
              <w:rPr>
                <w:rFonts w:cs="Arial"/>
              </w:rPr>
              <w:t>Clause 27.2 (</w:t>
            </w:r>
            <w:r w:rsidRPr="00A67277">
              <w:rPr>
                <w:rFonts w:cs="Arial"/>
                <w:i/>
              </w:rPr>
              <w:t>Representation and Warranties of GCA</w:t>
            </w:r>
            <w:r w:rsidRPr="00A67277">
              <w:rPr>
                <w:rFonts w:cs="Arial"/>
              </w:rPr>
              <w:t>);</w:t>
            </w:r>
            <w:bookmarkEnd w:id="111"/>
          </w:p>
        </w:tc>
        <w:tc>
          <w:tcPr>
            <w:tcW w:w="169" w:type="pct"/>
          </w:tcPr>
          <w:p w14:paraId="2CF4799F" w14:textId="77777777" w:rsidR="00862B0B" w:rsidRPr="00A67277" w:rsidRDefault="00862B0B" w:rsidP="00862B0B">
            <w:pPr>
              <w:spacing w:before="60" w:after="60"/>
              <w:rPr>
                <w:rFonts w:ascii="Arial" w:hAnsi="Arial" w:cs="Arial"/>
                <w:sz w:val="21"/>
                <w:szCs w:val="21"/>
              </w:rPr>
            </w:pPr>
          </w:p>
        </w:tc>
        <w:tc>
          <w:tcPr>
            <w:tcW w:w="2561" w:type="pct"/>
            <w:gridSpan w:val="2"/>
          </w:tcPr>
          <w:p w14:paraId="39EA95B7" w14:textId="77777777" w:rsidR="00862B0B" w:rsidRPr="00A67277" w:rsidRDefault="00862B0B" w:rsidP="00862B0B">
            <w:pPr>
              <w:pStyle w:val="Level3"/>
              <w:numPr>
                <w:ilvl w:val="2"/>
                <w:numId w:val="273"/>
              </w:numPr>
              <w:tabs>
                <w:tab w:val="clear" w:pos="1417"/>
                <w:tab w:val="num" w:pos="1512"/>
              </w:tabs>
              <w:spacing w:before="60" w:after="60"/>
              <w:ind w:left="1512" w:hanging="540"/>
              <w:rPr>
                <w:rFonts w:cs="Arial"/>
              </w:rPr>
            </w:pPr>
            <w:r w:rsidRPr="00A67277">
              <w:rPr>
                <w:rFonts w:cs="Arial"/>
              </w:rPr>
              <w:t>Pasal 27.2 (</w:t>
            </w:r>
            <w:r w:rsidRPr="00A67277">
              <w:rPr>
                <w:rFonts w:cs="Arial"/>
                <w:i/>
              </w:rPr>
              <w:t>Pernyataan dan Jaminan PJPK</w:t>
            </w:r>
            <w:r w:rsidRPr="00A67277">
              <w:rPr>
                <w:rFonts w:cs="Arial"/>
              </w:rPr>
              <w:t>);</w:t>
            </w:r>
          </w:p>
        </w:tc>
      </w:tr>
      <w:tr w:rsidR="00862B0B" w:rsidRPr="00A67277" w14:paraId="333B0B8F" w14:textId="77777777" w:rsidTr="00862B0B">
        <w:tc>
          <w:tcPr>
            <w:tcW w:w="2270" w:type="pct"/>
          </w:tcPr>
          <w:p w14:paraId="44B0C498" w14:textId="2BF5FF28" w:rsidR="00862B0B" w:rsidRPr="00A67277" w:rsidRDefault="00862B0B" w:rsidP="00862B0B">
            <w:pPr>
              <w:pStyle w:val="Level3"/>
              <w:numPr>
                <w:ilvl w:val="2"/>
                <w:numId w:val="455"/>
              </w:numPr>
              <w:tabs>
                <w:tab w:val="clear" w:pos="1417"/>
                <w:tab w:val="num" w:pos="1963"/>
              </w:tabs>
              <w:spacing w:before="60" w:after="60"/>
              <w:ind w:left="1513" w:hanging="360"/>
              <w:rPr>
                <w:rFonts w:cs="Arial"/>
              </w:rPr>
            </w:pPr>
            <w:bookmarkStart w:id="112" w:name="_Toc501177875"/>
            <w:r w:rsidRPr="00A67277">
              <w:rPr>
                <w:rFonts w:cs="Arial"/>
              </w:rPr>
              <w:t>Clause 28 (</w:t>
            </w:r>
            <w:r w:rsidRPr="00A67277">
              <w:rPr>
                <w:rFonts w:cs="Arial"/>
                <w:i/>
              </w:rPr>
              <w:t>Settlement of Disputes</w:t>
            </w:r>
            <w:r w:rsidRPr="00A67277">
              <w:rPr>
                <w:rFonts w:cs="Arial"/>
              </w:rPr>
              <w:t>);</w:t>
            </w:r>
            <w:bookmarkEnd w:id="112"/>
          </w:p>
        </w:tc>
        <w:tc>
          <w:tcPr>
            <w:tcW w:w="169" w:type="pct"/>
          </w:tcPr>
          <w:p w14:paraId="4C72D5CE" w14:textId="77777777" w:rsidR="00862B0B" w:rsidRPr="00A67277" w:rsidRDefault="00862B0B" w:rsidP="00862B0B">
            <w:pPr>
              <w:spacing w:before="60" w:after="60"/>
              <w:rPr>
                <w:rFonts w:ascii="Arial" w:hAnsi="Arial" w:cs="Arial"/>
                <w:sz w:val="21"/>
                <w:szCs w:val="21"/>
              </w:rPr>
            </w:pPr>
          </w:p>
        </w:tc>
        <w:tc>
          <w:tcPr>
            <w:tcW w:w="2561" w:type="pct"/>
            <w:gridSpan w:val="2"/>
          </w:tcPr>
          <w:p w14:paraId="6C8130D3" w14:textId="77777777" w:rsidR="00862B0B" w:rsidRPr="00A67277" w:rsidRDefault="00862B0B" w:rsidP="00862B0B">
            <w:pPr>
              <w:pStyle w:val="Level3"/>
              <w:numPr>
                <w:ilvl w:val="2"/>
                <w:numId w:val="274"/>
              </w:numPr>
              <w:tabs>
                <w:tab w:val="clear" w:pos="1417"/>
                <w:tab w:val="num" w:pos="1512"/>
              </w:tabs>
              <w:spacing w:before="60" w:after="60"/>
              <w:ind w:left="1512" w:hanging="540"/>
              <w:rPr>
                <w:rFonts w:cs="Arial"/>
              </w:rPr>
            </w:pPr>
            <w:r w:rsidRPr="00A67277">
              <w:rPr>
                <w:rFonts w:cs="Arial"/>
              </w:rPr>
              <w:t>Pasal 28 (</w:t>
            </w:r>
            <w:r w:rsidRPr="00A67277">
              <w:rPr>
                <w:rFonts w:cs="Arial"/>
                <w:i/>
              </w:rPr>
              <w:t>Penyelesaian Sengketa</w:t>
            </w:r>
            <w:r w:rsidRPr="00A67277">
              <w:rPr>
                <w:rFonts w:cs="Arial"/>
              </w:rPr>
              <w:t>);</w:t>
            </w:r>
          </w:p>
        </w:tc>
      </w:tr>
      <w:tr w:rsidR="00862B0B" w:rsidRPr="00A67277" w14:paraId="67129832" w14:textId="77777777" w:rsidTr="00862B0B">
        <w:tc>
          <w:tcPr>
            <w:tcW w:w="2270" w:type="pct"/>
          </w:tcPr>
          <w:p w14:paraId="7B373EFE" w14:textId="32EF04A2" w:rsidR="00862B0B" w:rsidRPr="00A67277" w:rsidRDefault="00862B0B" w:rsidP="00862B0B">
            <w:pPr>
              <w:pStyle w:val="Level3"/>
              <w:numPr>
                <w:ilvl w:val="2"/>
                <w:numId w:val="455"/>
              </w:numPr>
              <w:spacing w:before="60" w:after="60"/>
              <w:ind w:left="1620" w:hanging="540"/>
              <w:rPr>
                <w:rFonts w:cs="Arial"/>
              </w:rPr>
            </w:pPr>
            <w:bookmarkStart w:id="113" w:name="_Toc501177876"/>
            <w:r w:rsidRPr="00A67277">
              <w:rPr>
                <w:rFonts w:cs="Arial"/>
              </w:rPr>
              <w:t>Clause 30 (</w:t>
            </w:r>
            <w:r w:rsidRPr="00A67277">
              <w:rPr>
                <w:rFonts w:cs="Arial"/>
                <w:i/>
              </w:rPr>
              <w:t>Assignment</w:t>
            </w:r>
            <w:r w:rsidRPr="00A67277">
              <w:rPr>
                <w:rFonts w:cs="Arial"/>
              </w:rPr>
              <w:t>); and</w:t>
            </w:r>
            <w:bookmarkEnd w:id="113"/>
          </w:p>
        </w:tc>
        <w:tc>
          <w:tcPr>
            <w:tcW w:w="169" w:type="pct"/>
          </w:tcPr>
          <w:p w14:paraId="11789282" w14:textId="77777777" w:rsidR="00862B0B" w:rsidRPr="00A67277" w:rsidRDefault="00862B0B" w:rsidP="00862B0B">
            <w:pPr>
              <w:spacing w:before="60" w:after="60"/>
              <w:rPr>
                <w:rFonts w:ascii="Arial" w:hAnsi="Arial" w:cs="Arial"/>
                <w:sz w:val="21"/>
                <w:szCs w:val="21"/>
              </w:rPr>
            </w:pPr>
          </w:p>
        </w:tc>
        <w:tc>
          <w:tcPr>
            <w:tcW w:w="2561" w:type="pct"/>
            <w:gridSpan w:val="2"/>
          </w:tcPr>
          <w:p w14:paraId="59993EFF" w14:textId="77777777" w:rsidR="00862B0B" w:rsidRPr="00A67277" w:rsidRDefault="00862B0B" w:rsidP="00862B0B">
            <w:pPr>
              <w:pStyle w:val="Level3"/>
              <w:numPr>
                <w:ilvl w:val="2"/>
                <w:numId w:val="275"/>
              </w:numPr>
              <w:tabs>
                <w:tab w:val="clear" w:pos="1417"/>
                <w:tab w:val="num" w:pos="1512"/>
              </w:tabs>
              <w:spacing w:before="60" w:after="60"/>
              <w:ind w:left="1512" w:hanging="540"/>
              <w:rPr>
                <w:rFonts w:cs="Arial"/>
              </w:rPr>
            </w:pPr>
            <w:r w:rsidRPr="00A67277">
              <w:rPr>
                <w:rFonts w:cs="Arial"/>
              </w:rPr>
              <w:t>Pasal 30 (</w:t>
            </w:r>
            <w:r w:rsidRPr="00A67277">
              <w:rPr>
                <w:rFonts w:cs="Arial"/>
                <w:i/>
              </w:rPr>
              <w:t>Pengalihan</w:t>
            </w:r>
            <w:r w:rsidRPr="00A67277">
              <w:rPr>
                <w:rFonts w:cs="Arial"/>
              </w:rPr>
              <w:t>); dan</w:t>
            </w:r>
          </w:p>
        </w:tc>
      </w:tr>
      <w:tr w:rsidR="00862B0B" w:rsidRPr="00A67277" w14:paraId="55BF97C9" w14:textId="77777777" w:rsidTr="00862B0B">
        <w:tc>
          <w:tcPr>
            <w:tcW w:w="2270" w:type="pct"/>
          </w:tcPr>
          <w:p w14:paraId="4F65B504" w14:textId="773FDBE7" w:rsidR="00862B0B" w:rsidRPr="00A67277" w:rsidRDefault="00862B0B" w:rsidP="00862B0B">
            <w:pPr>
              <w:pStyle w:val="Level3"/>
              <w:numPr>
                <w:ilvl w:val="2"/>
                <w:numId w:val="455"/>
              </w:numPr>
              <w:spacing w:before="60" w:after="60"/>
              <w:ind w:left="1620" w:hanging="540"/>
              <w:rPr>
                <w:rFonts w:cs="Arial"/>
              </w:rPr>
            </w:pPr>
            <w:bookmarkStart w:id="114" w:name="_Toc501177877"/>
            <w:r w:rsidRPr="00A67277">
              <w:rPr>
                <w:rFonts w:cs="Arial"/>
              </w:rPr>
              <w:t>Clause 32 (</w:t>
            </w:r>
            <w:r w:rsidRPr="00A67277">
              <w:rPr>
                <w:rFonts w:cs="Arial"/>
                <w:i/>
              </w:rPr>
              <w:t>Miscellaneous</w:t>
            </w:r>
            <w:r w:rsidRPr="00A67277">
              <w:rPr>
                <w:rFonts w:cs="Arial"/>
              </w:rPr>
              <w:t>).</w:t>
            </w:r>
            <w:bookmarkEnd w:id="114"/>
          </w:p>
        </w:tc>
        <w:tc>
          <w:tcPr>
            <w:tcW w:w="169" w:type="pct"/>
          </w:tcPr>
          <w:p w14:paraId="0BDE4827" w14:textId="77777777" w:rsidR="00862B0B" w:rsidRPr="00A67277" w:rsidRDefault="00862B0B" w:rsidP="00862B0B">
            <w:pPr>
              <w:spacing w:before="60" w:after="60"/>
              <w:rPr>
                <w:rFonts w:ascii="Arial" w:hAnsi="Arial" w:cs="Arial"/>
                <w:sz w:val="21"/>
                <w:szCs w:val="21"/>
              </w:rPr>
            </w:pPr>
          </w:p>
        </w:tc>
        <w:tc>
          <w:tcPr>
            <w:tcW w:w="2561" w:type="pct"/>
            <w:gridSpan w:val="2"/>
          </w:tcPr>
          <w:p w14:paraId="6982B0A5" w14:textId="77777777" w:rsidR="00862B0B" w:rsidRPr="00A67277" w:rsidRDefault="00862B0B" w:rsidP="00862B0B">
            <w:pPr>
              <w:pStyle w:val="Level3"/>
              <w:numPr>
                <w:ilvl w:val="2"/>
                <w:numId w:val="276"/>
              </w:numPr>
              <w:tabs>
                <w:tab w:val="clear" w:pos="1417"/>
                <w:tab w:val="num" w:pos="1512"/>
              </w:tabs>
              <w:spacing w:before="60" w:after="60"/>
              <w:ind w:left="1512" w:hanging="540"/>
              <w:rPr>
                <w:rFonts w:cs="Arial"/>
              </w:rPr>
            </w:pPr>
            <w:r w:rsidRPr="00A67277">
              <w:rPr>
                <w:rFonts w:cs="Arial"/>
              </w:rPr>
              <w:t>Pasal 32 (</w:t>
            </w:r>
            <w:r w:rsidRPr="00A67277">
              <w:rPr>
                <w:rFonts w:cs="Arial"/>
                <w:i/>
              </w:rPr>
              <w:t>Ketentuan Lain-Lain</w:t>
            </w:r>
            <w:r w:rsidRPr="00A67277">
              <w:rPr>
                <w:rFonts w:cs="Arial"/>
              </w:rPr>
              <w:t>).</w:t>
            </w:r>
          </w:p>
        </w:tc>
      </w:tr>
      <w:tr w:rsidR="00862B0B" w:rsidRPr="00A67277" w14:paraId="3674FC80" w14:textId="77777777" w:rsidTr="00862B0B">
        <w:tc>
          <w:tcPr>
            <w:tcW w:w="2270" w:type="pct"/>
          </w:tcPr>
          <w:p w14:paraId="322EDECD" w14:textId="4F5E52F5" w:rsidR="00862B0B" w:rsidRPr="00A67277" w:rsidRDefault="00862B0B" w:rsidP="00862B0B">
            <w:pPr>
              <w:pStyle w:val="Heading2"/>
              <w:keepLines w:val="0"/>
              <w:numPr>
                <w:ilvl w:val="1"/>
                <w:numId w:val="264"/>
              </w:numPr>
              <w:spacing w:before="60" w:after="60"/>
              <w:ind w:left="1080" w:hanging="540"/>
              <w:jc w:val="both"/>
              <w:outlineLvl w:val="1"/>
              <w:rPr>
                <w:rFonts w:cs="Arial"/>
                <w:b/>
                <w:color w:val="auto"/>
              </w:rPr>
            </w:pPr>
            <w:bookmarkStart w:id="115" w:name="_Toc501177878"/>
            <w:r w:rsidRPr="00A67277">
              <w:rPr>
                <w:rFonts w:ascii="Arial" w:hAnsi="Arial" w:cs="Arial"/>
                <w:b/>
                <w:color w:val="auto"/>
                <w:sz w:val="21"/>
                <w:szCs w:val="21"/>
              </w:rPr>
              <w:t>Satisfaction of Conditions Precedent</w:t>
            </w:r>
            <w:bookmarkEnd w:id="115"/>
          </w:p>
        </w:tc>
        <w:tc>
          <w:tcPr>
            <w:tcW w:w="169" w:type="pct"/>
          </w:tcPr>
          <w:p w14:paraId="4B261DB6" w14:textId="77777777" w:rsidR="00862B0B" w:rsidRPr="00A67277" w:rsidRDefault="00862B0B" w:rsidP="00862B0B">
            <w:pPr>
              <w:spacing w:before="60" w:after="60"/>
              <w:rPr>
                <w:rFonts w:ascii="Arial" w:hAnsi="Arial" w:cs="Arial"/>
                <w:sz w:val="21"/>
                <w:szCs w:val="21"/>
              </w:rPr>
            </w:pPr>
          </w:p>
        </w:tc>
        <w:tc>
          <w:tcPr>
            <w:tcW w:w="2561" w:type="pct"/>
            <w:gridSpan w:val="2"/>
          </w:tcPr>
          <w:p w14:paraId="104EB4A6" w14:textId="77777777" w:rsidR="00862B0B" w:rsidRPr="00A67277" w:rsidRDefault="00862B0B" w:rsidP="00862B0B">
            <w:pPr>
              <w:pStyle w:val="Level2"/>
              <w:numPr>
                <w:ilvl w:val="1"/>
                <w:numId w:val="470"/>
              </w:numPr>
              <w:spacing w:before="60" w:after="60"/>
              <w:ind w:left="881" w:hanging="539"/>
              <w:rPr>
                <w:rFonts w:cs="Arial"/>
                <w:b/>
              </w:rPr>
            </w:pPr>
            <w:bookmarkStart w:id="116" w:name="_Ref397420180"/>
            <w:r w:rsidRPr="00A67277">
              <w:rPr>
                <w:rFonts w:cs="Arial"/>
                <w:b/>
              </w:rPr>
              <w:t xml:space="preserve">Pemenuhan </w:t>
            </w:r>
            <w:bookmarkEnd w:id="116"/>
            <w:r w:rsidRPr="00A67277">
              <w:rPr>
                <w:rFonts w:cs="Arial"/>
                <w:b/>
              </w:rPr>
              <w:t>Persyaratan Pendahuluan</w:t>
            </w:r>
          </w:p>
        </w:tc>
      </w:tr>
      <w:tr w:rsidR="00862B0B" w:rsidRPr="00A67277" w14:paraId="64191139" w14:textId="77777777" w:rsidTr="00862B0B">
        <w:tc>
          <w:tcPr>
            <w:tcW w:w="2270" w:type="pct"/>
          </w:tcPr>
          <w:p w14:paraId="41079D2E" w14:textId="296A9F37" w:rsidR="00862B0B" w:rsidRPr="00A67277" w:rsidRDefault="00862B0B" w:rsidP="00862B0B">
            <w:pPr>
              <w:pStyle w:val="Level3"/>
              <w:numPr>
                <w:ilvl w:val="2"/>
                <w:numId w:val="277"/>
              </w:numPr>
              <w:tabs>
                <w:tab w:val="clear" w:pos="1417"/>
              </w:tabs>
              <w:spacing w:before="60" w:after="60"/>
              <w:ind w:left="1620" w:hanging="540"/>
            </w:pPr>
            <w:bookmarkStart w:id="117" w:name="_Toc501177879"/>
            <w:r w:rsidRPr="00A67277">
              <w:t xml:space="preserve">Each Party must </w:t>
            </w:r>
            <w:r>
              <w:t xml:space="preserve">fulfill the Conditions Precedent  which become </w:t>
            </w:r>
            <w:r w:rsidRPr="00A67277">
              <w:t>its obligations as listed in Appendix 2 (</w:t>
            </w:r>
            <w:r w:rsidRPr="00A67277">
              <w:rPr>
                <w:i/>
              </w:rPr>
              <w:t>Conditions Precedent</w:t>
            </w:r>
            <w:r w:rsidRPr="00A67277">
              <w:t>) by the Scheduled Effective Date.</w:t>
            </w:r>
            <w:bookmarkEnd w:id="117"/>
          </w:p>
        </w:tc>
        <w:tc>
          <w:tcPr>
            <w:tcW w:w="169" w:type="pct"/>
          </w:tcPr>
          <w:p w14:paraId="5C25D004" w14:textId="77777777" w:rsidR="00862B0B" w:rsidRPr="00A67277" w:rsidRDefault="00862B0B" w:rsidP="00862B0B">
            <w:pPr>
              <w:spacing w:before="60" w:after="60"/>
              <w:rPr>
                <w:rFonts w:ascii="Arial" w:hAnsi="Arial" w:cs="Arial"/>
                <w:sz w:val="21"/>
                <w:szCs w:val="21"/>
              </w:rPr>
            </w:pPr>
          </w:p>
        </w:tc>
        <w:tc>
          <w:tcPr>
            <w:tcW w:w="2561" w:type="pct"/>
            <w:gridSpan w:val="2"/>
          </w:tcPr>
          <w:p w14:paraId="31AA0F48" w14:textId="77777777" w:rsidR="00862B0B" w:rsidRPr="00A67277" w:rsidRDefault="00862B0B" w:rsidP="00862B0B">
            <w:pPr>
              <w:pStyle w:val="Level3"/>
              <w:numPr>
                <w:ilvl w:val="2"/>
                <w:numId w:val="278"/>
              </w:numPr>
              <w:tabs>
                <w:tab w:val="clear" w:pos="1417"/>
                <w:tab w:val="num" w:pos="1512"/>
              </w:tabs>
              <w:spacing w:before="60" w:after="60"/>
              <w:ind w:left="1512" w:hanging="540"/>
              <w:rPr>
                <w:rFonts w:cs="Arial"/>
              </w:rPr>
            </w:pPr>
            <w:r w:rsidRPr="00A67277">
              <w:rPr>
                <w:rFonts w:cs="Arial"/>
              </w:rPr>
              <w:t>Masing-masing Pihak harus memenuhi Persyaratan Pendahuluan yang menjadi kewajibannya sebagaimana dirinci pada Lampiran 2 (</w:t>
            </w:r>
            <w:r w:rsidRPr="00A67277">
              <w:rPr>
                <w:rFonts w:cs="Arial"/>
                <w:i/>
              </w:rPr>
              <w:t>Persyaratan Pendahuluan</w:t>
            </w:r>
            <w:r w:rsidRPr="00A67277">
              <w:rPr>
                <w:rFonts w:cs="Arial"/>
              </w:rPr>
              <w:t>) pada Tanggal Efektif Yang Dijadwalkan.</w:t>
            </w:r>
          </w:p>
        </w:tc>
      </w:tr>
      <w:tr w:rsidR="00862B0B" w:rsidRPr="00A67277" w14:paraId="3A0FE68B" w14:textId="77777777" w:rsidTr="00862B0B">
        <w:tc>
          <w:tcPr>
            <w:tcW w:w="2270" w:type="pct"/>
          </w:tcPr>
          <w:p w14:paraId="30B6B045" w14:textId="07A37BD1" w:rsidR="00862B0B" w:rsidRPr="00A67277" w:rsidRDefault="00862B0B" w:rsidP="00862B0B">
            <w:pPr>
              <w:pStyle w:val="Level3"/>
              <w:numPr>
                <w:ilvl w:val="2"/>
                <w:numId w:val="277"/>
              </w:numPr>
              <w:tabs>
                <w:tab w:val="clear" w:pos="1417"/>
                <w:tab w:val="num" w:pos="1620"/>
              </w:tabs>
              <w:spacing w:before="60" w:after="60"/>
              <w:ind w:left="1620" w:hanging="540"/>
              <w:rPr>
                <w:rFonts w:cs="Arial"/>
              </w:rPr>
            </w:pPr>
            <w:bookmarkStart w:id="118" w:name="_Toc501177880"/>
            <w:r w:rsidRPr="00A67277">
              <w:rPr>
                <w:rFonts w:cs="Arial"/>
              </w:rPr>
              <w:t>Each Party must regularly report to the other Party as to its progress in satisfying the Conditions Precedent and the performance and progress of any work commenced prior to the Effective Date in accordance with Clause 32.1 (</w:t>
            </w:r>
            <w:r w:rsidRPr="00A67277">
              <w:rPr>
                <w:rFonts w:cs="Arial"/>
                <w:i/>
              </w:rPr>
              <w:t>Monitoring Rights: Reports</w:t>
            </w:r>
            <w:r w:rsidRPr="00A67277">
              <w:rPr>
                <w:rFonts w:cs="Arial"/>
              </w:rPr>
              <w:t>).</w:t>
            </w:r>
            <w:bookmarkEnd w:id="118"/>
          </w:p>
        </w:tc>
        <w:tc>
          <w:tcPr>
            <w:tcW w:w="169" w:type="pct"/>
          </w:tcPr>
          <w:p w14:paraId="6B950481" w14:textId="77777777" w:rsidR="00862B0B" w:rsidRPr="00A67277" w:rsidRDefault="00862B0B" w:rsidP="00862B0B">
            <w:pPr>
              <w:spacing w:before="60" w:after="60"/>
              <w:rPr>
                <w:rFonts w:ascii="Arial" w:hAnsi="Arial" w:cs="Arial"/>
                <w:sz w:val="21"/>
                <w:szCs w:val="21"/>
              </w:rPr>
            </w:pPr>
          </w:p>
        </w:tc>
        <w:tc>
          <w:tcPr>
            <w:tcW w:w="2561" w:type="pct"/>
            <w:gridSpan w:val="2"/>
          </w:tcPr>
          <w:p w14:paraId="4EDAC6F8" w14:textId="77777777" w:rsidR="00862B0B" w:rsidRPr="00A67277" w:rsidRDefault="00862B0B" w:rsidP="00862B0B">
            <w:pPr>
              <w:pStyle w:val="Level3"/>
              <w:numPr>
                <w:ilvl w:val="2"/>
                <w:numId w:val="473"/>
              </w:numPr>
              <w:tabs>
                <w:tab w:val="clear" w:pos="1417"/>
                <w:tab w:val="num" w:pos="1512"/>
              </w:tabs>
              <w:spacing w:before="60" w:after="60"/>
              <w:ind w:left="1512" w:hanging="540"/>
              <w:rPr>
                <w:rFonts w:cs="Arial"/>
              </w:rPr>
            </w:pPr>
            <w:r w:rsidRPr="00A67277">
              <w:rPr>
                <w:rFonts w:cs="Arial"/>
              </w:rPr>
              <w:t>Masing-masing Pihak harus melapor secara berkala kepada Pihak lainnya mengenai kemajuannya dalam memenuhi Persyaratan Pendahuluan dan pelaksanaan dan kemajuan pekerjaan yang dimulai sebelum Tanggal Efektif sesuai dengan Pasal 32.1 (</w:t>
            </w:r>
            <w:r w:rsidRPr="00A67277">
              <w:rPr>
                <w:rFonts w:cs="Arial"/>
                <w:i/>
              </w:rPr>
              <w:t>Hak Pengawasan; Laporan-Laporan</w:t>
            </w:r>
            <w:r w:rsidRPr="00A67277">
              <w:rPr>
                <w:rFonts w:cs="Arial"/>
              </w:rPr>
              <w:t>).</w:t>
            </w:r>
          </w:p>
        </w:tc>
      </w:tr>
      <w:tr w:rsidR="00862B0B" w:rsidRPr="00A67277" w14:paraId="7684B97C" w14:textId="77777777" w:rsidTr="00862B0B">
        <w:tc>
          <w:tcPr>
            <w:tcW w:w="2270" w:type="pct"/>
          </w:tcPr>
          <w:p w14:paraId="0F0C4328" w14:textId="36088E7E" w:rsidR="00862B0B" w:rsidRPr="00A67277" w:rsidRDefault="00862B0B" w:rsidP="00862B0B">
            <w:pPr>
              <w:pStyle w:val="Level3"/>
              <w:numPr>
                <w:ilvl w:val="2"/>
                <w:numId w:val="277"/>
              </w:numPr>
              <w:tabs>
                <w:tab w:val="clear" w:pos="1417"/>
                <w:tab w:val="num" w:pos="1620"/>
              </w:tabs>
              <w:spacing w:before="60" w:after="60"/>
              <w:ind w:left="1620" w:hanging="540"/>
              <w:rPr>
                <w:rFonts w:cs="Arial"/>
              </w:rPr>
            </w:pPr>
            <w:bookmarkStart w:id="119" w:name="_Toc501177883"/>
            <w:r w:rsidRPr="00A67277">
              <w:rPr>
                <w:rFonts w:cs="Arial"/>
              </w:rPr>
              <w:t xml:space="preserve">Once the Parties agree that all Conditions Precedent have been satisfied or waived, the Parties </w:t>
            </w:r>
            <w:bookmarkStart w:id="120" w:name="_cp_text_1_893"/>
            <w:r w:rsidRPr="00A67277">
              <w:rPr>
                <w:rFonts w:cs="Arial"/>
              </w:rPr>
              <w:t xml:space="preserve">shall </w:t>
            </w:r>
            <w:bookmarkEnd w:id="120"/>
            <w:r w:rsidRPr="00A67277">
              <w:rPr>
                <w:rFonts w:cs="Arial"/>
              </w:rPr>
              <w:t xml:space="preserve">sign a certificate confirming that fact, and the date on which the Parties issue that certificate shall be the effective date of all </w:t>
            </w:r>
            <w:r>
              <w:rPr>
                <w:rFonts w:cs="Arial"/>
              </w:rPr>
              <w:t>Provisions</w:t>
            </w:r>
            <w:r w:rsidRPr="00A67277">
              <w:rPr>
                <w:rFonts w:cs="Arial"/>
              </w:rPr>
              <w:t xml:space="preserve"> in this Agreement (“</w:t>
            </w:r>
            <w:r w:rsidRPr="00A67277">
              <w:rPr>
                <w:rFonts w:cs="Arial"/>
                <w:b/>
              </w:rPr>
              <w:t>Effective Date</w:t>
            </w:r>
            <w:r w:rsidRPr="00A67277">
              <w:rPr>
                <w:rFonts w:cs="Arial"/>
              </w:rPr>
              <w:t>”).</w:t>
            </w:r>
          </w:p>
          <w:bookmarkEnd w:id="119"/>
          <w:p w14:paraId="64791525" w14:textId="77777777" w:rsidR="00862B0B" w:rsidRPr="00A67277" w:rsidRDefault="00862B0B" w:rsidP="00862B0B">
            <w:pPr>
              <w:pStyle w:val="Level3"/>
              <w:spacing w:before="60" w:after="60"/>
              <w:ind w:left="1080"/>
              <w:rPr>
                <w:rFonts w:cs="Arial"/>
              </w:rPr>
            </w:pPr>
          </w:p>
        </w:tc>
        <w:tc>
          <w:tcPr>
            <w:tcW w:w="169" w:type="pct"/>
          </w:tcPr>
          <w:p w14:paraId="142D0E73" w14:textId="77777777" w:rsidR="00862B0B" w:rsidRPr="00A67277" w:rsidRDefault="00862B0B" w:rsidP="00862B0B">
            <w:pPr>
              <w:spacing w:before="60" w:after="60"/>
              <w:rPr>
                <w:rFonts w:ascii="Arial" w:hAnsi="Arial" w:cs="Arial"/>
                <w:sz w:val="21"/>
                <w:szCs w:val="21"/>
              </w:rPr>
            </w:pPr>
          </w:p>
        </w:tc>
        <w:tc>
          <w:tcPr>
            <w:tcW w:w="2561" w:type="pct"/>
            <w:gridSpan w:val="2"/>
          </w:tcPr>
          <w:p w14:paraId="1F901BBC" w14:textId="25A01482" w:rsidR="00862B0B" w:rsidRPr="00A67277" w:rsidRDefault="00862B0B" w:rsidP="00862B0B">
            <w:pPr>
              <w:pStyle w:val="Level3"/>
              <w:numPr>
                <w:ilvl w:val="2"/>
                <w:numId w:val="473"/>
              </w:numPr>
              <w:tabs>
                <w:tab w:val="clear" w:pos="1417"/>
                <w:tab w:val="num" w:pos="1512"/>
              </w:tabs>
              <w:spacing w:before="60" w:after="60"/>
              <w:ind w:left="1512" w:hanging="540"/>
              <w:rPr>
                <w:rFonts w:cs="Arial"/>
              </w:rPr>
            </w:pPr>
            <w:r w:rsidRPr="00A67277">
              <w:rPr>
                <w:rFonts w:cs="Arial"/>
              </w:rPr>
              <w:t>Ketika Para Pihak sepakat bahwa semua Persyaratan Pendahuluan telah terpenuhi atau dikesampingkan, Para Pihak akan menandatangani sebuah sertifikat yang mengonfirmasikan fakta tersebut, dan tanggal dimana Para Pihak menerbitkan sertifikat tersebut menjadi tanggal berlaku efektifnya seluruh ketentuan dalam Perjanjian (“</w:t>
            </w:r>
            <w:r w:rsidRPr="00A67277">
              <w:rPr>
                <w:rFonts w:cs="Arial"/>
                <w:b/>
              </w:rPr>
              <w:t>Tanggal Efektif</w:t>
            </w:r>
            <w:r w:rsidRPr="00A67277">
              <w:rPr>
                <w:rFonts w:cs="Arial"/>
              </w:rPr>
              <w:t>”).</w:t>
            </w:r>
          </w:p>
        </w:tc>
      </w:tr>
      <w:tr w:rsidR="00862B0B" w:rsidRPr="00A67277" w14:paraId="32D76001" w14:textId="77777777" w:rsidTr="00862B0B">
        <w:tc>
          <w:tcPr>
            <w:tcW w:w="2270" w:type="pct"/>
          </w:tcPr>
          <w:p w14:paraId="5CCCC11B" w14:textId="50055AC4" w:rsidR="00862B0B" w:rsidRPr="00A67277" w:rsidRDefault="00862B0B" w:rsidP="00862B0B">
            <w:pPr>
              <w:pStyle w:val="Heading2"/>
              <w:keepLines w:val="0"/>
              <w:numPr>
                <w:ilvl w:val="1"/>
                <w:numId w:val="264"/>
              </w:numPr>
              <w:spacing w:before="60" w:after="60"/>
              <w:ind w:left="1080" w:hanging="540"/>
              <w:jc w:val="both"/>
              <w:outlineLvl w:val="1"/>
              <w:rPr>
                <w:rFonts w:ascii="Arial" w:hAnsi="Arial" w:cs="Arial"/>
                <w:b/>
                <w:color w:val="auto"/>
                <w:sz w:val="21"/>
                <w:szCs w:val="21"/>
              </w:rPr>
            </w:pPr>
            <w:bookmarkStart w:id="121" w:name="_Toc501177888"/>
            <w:r w:rsidRPr="00A67277">
              <w:rPr>
                <w:rFonts w:ascii="Arial" w:hAnsi="Arial" w:cs="Arial"/>
                <w:b/>
                <w:color w:val="auto"/>
                <w:sz w:val="21"/>
                <w:szCs w:val="21"/>
              </w:rPr>
              <w:t>Extension of the Scheduled Effective Date</w:t>
            </w:r>
            <w:bookmarkEnd w:id="121"/>
          </w:p>
        </w:tc>
        <w:tc>
          <w:tcPr>
            <w:tcW w:w="169" w:type="pct"/>
          </w:tcPr>
          <w:p w14:paraId="36191AC7" w14:textId="77777777" w:rsidR="00862B0B" w:rsidRPr="00A67277" w:rsidRDefault="00862B0B" w:rsidP="00862B0B">
            <w:pPr>
              <w:spacing w:before="60" w:after="60"/>
              <w:rPr>
                <w:rFonts w:ascii="Arial" w:hAnsi="Arial" w:cs="Arial"/>
                <w:sz w:val="21"/>
                <w:szCs w:val="21"/>
              </w:rPr>
            </w:pPr>
          </w:p>
        </w:tc>
        <w:tc>
          <w:tcPr>
            <w:tcW w:w="2561" w:type="pct"/>
            <w:gridSpan w:val="2"/>
          </w:tcPr>
          <w:p w14:paraId="7C250255" w14:textId="77777777" w:rsidR="00862B0B" w:rsidRPr="00A67277" w:rsidRDefault="00862B0B" w:rsidP="00862B0B">
            <w:pPr>
              <w:pStyle w:val="Level2"/>
              <w:numPr>
                <w:ilvl w:val="1"/>
                <w:numId w:val="470"/>
              </w:numPr>
              <w:spacing w:before="60" w:after="60"/>
              <w:ind w:left="972" w:hanging="516"/>
              <w:rPr>
                <w:rFonts w:cs="Arial"/>
                <w:b/>
              </w:rPr>
            </w:pPr>
            <w:bookmarkStart w:id="122" w:name="_Ref397425822"/>
            <w:r w:rsidRPr="00A67277">
              <w:rPr>
                <w:rFonts w:cs="Arial"/>
                <w:b/>
              </w:rPr>
              <w:t xml:space="preserve">Perpanjangan </w:t>
            </w:r>
            <w:bookmarkEnd w:id="122"/>
            <w:r w:rsidRPr="00A67277">
              <w:rPr>
                <w:rFonts w:cs="Arial"/>
                <w:b/>
              </w:rPr>
              <w:t>Tanggal Efektif Yang Dijadwalkan</w:t>
            </w:r>
          </w:p>
        </w:tc>
      </w:tr>
      <w:tr w:rsidR="00862B0B" w:rsidRPr="00A67277" w14:paraId="420F2C65" w14:textId="77777777" w:rsidTr="00862B0B">
        <w:tc>
          <w:tcPr>
            <w:tcW w:w="2270" w:type="pct"/>
          </w:tcPr>
          <w:p w14:paraId="0B8ADA36" w14:textId="0AF6524E" w:rsidR="00862B0B" w:rsidRPr="00A67277" w:rsidRDefault="00862B0B" w:rsidP="00862B0B">
            <w:pPr>
              <w:pStyle w:val="Level3"/>
              <w:numPr>
                <w:ilvl w:val="2"/>
                <w:numId w:val="279"/>
              </w:numPr>
              <w:tabs>
                <w:tab w:val="clear" w:pos="1417"/>
                <w:tab w:val="num" w:pos="1620"/>
              </w:tabs>
              <w:spacing w:before="60" w:after="60"/>
              <w:ind w:left="1620" w:hanging="540"/>
              <w:rPr>
                <w:rFonts w:cs="Arial"/>
              </w:rPr>
            </w:pPr>
            <w:r w:rsidRPr="00A67277">
              <w:t>If a Party becomes aware that any Conditions Precedent referred to in Appendix 2 (</w:t>
            </w:r>
            <w:r w:rsidRPr="00A67277">
              <w:rPr>
                <w:i/>
              </w:rPr>
              <w:t>Conditions Precedent</w:t>
            </w:r>
            <w:r w:rsidRPr="00A67277">
              <w:t xml:space="preserve">) is unable to be satisfied on or before the Scheduled Effective Date, then </w:t>
            </w:r>
            <w:r>
              <w:t>that</w:t>
            </w:r>
            <w:r w:rsidRPr="00A67277">
              <w:t xml:space="preserve"> Party must notify the other Party regarding the same. Upon receipt of </w:t>
            </w:r>
            <w:r>
              <w:t>the</w:t>
            </w:r>
            <w:r w:rsidRPr="00A67277">
              <w:t xml:space="preserve"> notice, the Parties shall discuss in </w:t>
            </w:r>
            <w:r w:rsidRPr="00A67277">
              <w:rPr>
                <w:i/>
              </w:rPr>
              <w:t>good faith</w:t>
            </w:r>
            <w:r w:rsidRPr="00A67277">
              <w:t xml:space="preserve"> the reasons for failure to satisfy the Conditions Precedent and, subject to paragraphs (c) and (d) of this Clause, agree an equitable adjustment to the Implementation Schedule to take into account the effect of that delay.</w:t>
            </w:r>
          </w:p>
        </w:tc>
        <w:tc>
          <w:tcPr>
            <w:tcW w:w="169" w:type="pct"/>
          </w:tcPr>
          <w:p w14:paraId="68E206E8" w14:textId="77777777" w:rsidR="00862B0B" w:rsidRPr="00A67277" w:rsidRDefault="00862B0B" w:rsidP="00862B0B">
            <w:pPr>
              <w:spacing w:before="60" w:after="60"/>
              <w:rPr>
                <w:rFonts w:ascii="Arial" w:hAnsi="Arial" w:cs="Arial"/>
                <w:sz w:val="21"/>
                <w:szCs w:val="21"/>
              </w:rPr>
            </w:pPr>
          </w:p>
        </w:tc>
        <w:tc>
          <w:tcPr>
            <w:tcW w:w="2561" w:type="pct"/>
            <w:gridSpan w:val="2"/>
          </w:tcPr>
          <w:p w14:paraId="422FE273" w14:textId="77777777" w:rsidR="00862B0B" w:rsidRPr="00A67277" w:rsidRDefault="00862B0B" w:rsidP="00862B0B">
            <w:pPr>
              <w:pStyle w:val="Level3"/>
              <w:numPr>
                <w:ilvl w:val="2"/>
                <w:numId w:val="280"/>
              </w:numPr>
              <w:tabs>
                <w:tab w:val="clear" w:pos="1417"/>
              </w:tabs>
              <w:spacing w:before="60" w:after="60"/>
              <w:ind w:left="1512" w:hanging="540"/>
              <w:rPr>
                <w:rFonts w:cs="Arial"/>
              </w:rPr>
            </w:pPr>
            <w:r w:rsidRPr="00A67277">
              <w:t>Jika suatu Pihak menjadi sadar bahwa setiap Persyaratan Pendahuluan mengacu pada Lampiran 2 (</w:t>
            </w:r>
            <w:r w:rsidRPr="00A67277">
              <w:rPr>
                <w:i/>
              </w:rPr>
              <w:t>Persyaratan Pendahuluan</w:t>
            </w:r>
            <w:r w:rsidRPr="00A67277">
              <w:t>) tidak dapat terpenuhi pada saat atau sebelum Tanggal Efektif Yang Dijadwalkan, maka Pihak tersebut harus memberitahu Pihak yang lain mengenai hal yang sama. Setelah menerima pemberitahuan tersebut, Para Pihak harus berdiskusi dengan itikad baik untuk mendiskusikan alasan kegagalan pemenuhan Persyaratan Pendahuluan dan, tunduk pada paragraf (c) dan (d), menyepakati suatu penyesuaian yang wajar pada Jadwal Pelaksanaan untuk mempertimbangkan dampak dari keterlambatan tersebut.</w:t>
            </w:r>
          </w:p>
        </w:tc>
      </w:tr>
      <w:tr w:rsidR="00862B0B" w:rsidRPr="00A67277" w14:paraId="7E99E0CD" w14:textId="77777777" w:rsidTr="00862B0B">
        <w:tc>
          <w:tcPr>
            <w:tcW w:w="2270" w:type="pct"/>
          </w:tcPr>
          <w:p w14:paraId="5B26F7A1" w14:textId="77777777" w:rsidR="00862B0B" w:rsidRPr="00A67277" w:rsidRDefault="00862B0B" w:rsidP="00862B0B">
            <w:pPr>
              <w:pStyle w:val="Level3"/>
              <w:numPr>
                <w:ilvl w:val="2"/>
                <w:numId w:val="279"/>
              </w:numPr>
              <w:spacing w:before="60" w:after="60"/>
            </w:pPr>
            <w:bookmarkStart w:id="123" w:name="_Toc501177890"/>
            <w:bookmarkStart w:id="124" w:name="_Ref397426028"/>
            <w:r w:rsidRPr="00A67277">
              <w:t>For the purpose of paragraph (a), subject to Clauses 20 (</w:t>
            </w:r>
            <w:r w:rsidRPr="00A67277">
              <w:rPr>
                <w:i/>
              </w:rPr>
              <w:t>Force Majeure</w:t>
            </w:r>
            <w:r w:rsidRPr="00A67277">
              <w:t>) and 21 (</w:t>
            </w:r>
            <w:r w:rsidRPr="00A67277">
              <w:rPr>
                <w:i/>
              </w:rPr>
              <w:t>Political Event</w:t>
            </w:r>
            <w:r w:rsidRPr="00A67277">
              <w:t>), the GCA shall extend the Scheduled Effective Date for a period of no more than six (6) Months</w:t>
            </w:r>
            <w:r w:rsidRPr="00A67277">
              <w:rPr>
                <w:rStyle w:val="FootnoteReference"/>
              </w:rPr>
              <w:footnoteReference w:id="7"/>
            </w:r>
            <w:r w:rsidRPr="00A67277">
              <w:t xml:space="preserve"> if the failure to satisfy such Conditions Precedent are caused by:</w:t>
            </w:r>
          </w:p>
          <w:bookmarkEnd w:id="123"/>
          <w:bookmarkEnd w:id="124"/>
          <w:p w14:paraId="00F6CCA2" w14:textId="77777777" w:rsidR="00862B0B" w:rsidRPr="00A67277" w:rsidRDefault="00862B0B" w:rsidP="00862B0B">
            <w:pPr>
              <w:pStyle w:val="Level3"/>
              <w:spacing w:before="60" w:after="60"/>
              <w:ind w:left="1417"/>
              <w:rPr>
                <w:rFonts w:cs="Arial"/>
              </w:rPr>
            </w:pPr>
          </w:p>
        </w:tc>
        <w:tc>
          <w:tcPr>
            <w:tcW w:w="169" w:type="pct"/>
          </w:tcPr>
          <w:p w14:paraId="171520F8" w14:textId="77777777" w:rsidR="00862B0B" w:rsidRPr="00A67277" w:rsidRDefault="00862B0B" w:rsidP="00862B0B">
            <w:pPr>
              <w:spacing w:before="60" w:after="60"/>
              <w:rPr>
                <w:rFonts w:ascii="Arial" w:hAnsi="Arial" w:cs="Arial"/>
                <w:sz w:val="21"/>
                <w:szCs w:val="21"/>
              </w:rPr>
            </w:pPr>
          </w:p>
        </w:tc>
        <w:tc>
          <w:tcPr>
            <w:tcW w:w="2561" w:type="pct"/>
            <w:gridSpan w:val="2"/>
          </w:tcPr>
          <w:p w14:paraId="209E93D4" w14:textId="77777777" w:rsidR="00862B0B" w:rsidRPr="00A67277" w:rsidRDefault="00862B0B" w:rsidP="00862B0B">
            <w:pPr>
              <w:pStyle w:val="Level3"/>
              <w:numPr>
                <w:ilvl w:val="2"/>
                <w:numId w:val="284"/>
              </w:numPr>
              <w:tabs>
                <w:tab w:val="clear" w:pos="1417"/>
              </w:tabs>
              <w:spacing w:before="60" w:after="60"/>
              <w:ind w:left="1512" w:hanging="445"/>
              <w:rPr>
                <w:rFonts w:cs="Arial"/>
              </w:rPr>
            </w:pPr>
            <w:r w:rsidRPr="00A67277">
              <w:t>Untuk paragraf (a), tunduk pada Pasal 20 (</w:t>
            </w:r>
            <w:r w:rsidRPr="00A67277">
              <w:rPr>
                <w:i/>
              </w:rPr>
              <w:t>Keadaan Kahar</w:t>
            </w:r>
            <w:r w:rsidRPr="00A67277">
              <w:t>) dan Pasal 21 (</w:t>
            </w:r>
            <w:r w:rsidRPr="00A67277">
              <w:rPr>
                <w:i/>
              </w:rPr>
              <w:t>Peristiwa Politik</w:t>
            </w:r>
            <w:r w:rsidRPr="00A67277">
              <w:t>), PJPK harus memperpanjang Tanggal Efektif Yang Dijadwalkan untuk suatu jangka waktu yang tidak lebih dari enam (6) Bulan</w:t>
            </w:r>
            <w:r w:rsidRPr="00A67277">
              <w:rPr>
                <w:rStyle w:val="FootnoteReference"/>
              </w:rPr>
              <w:footnoteReference w:id="8"/>
            </w:r>
            <w:r w:rsidRPr="00A67277">
              <w:t xml:space="preserve"> jika kegagalan untuk memenuhi persyaratan pendahuluan tersebut disebabkan oleh karena:</w:t>
            </w:r>
          </w:p>
        </w:tc>
      </w:tr>
      <w:tr w:rsidR="00862B0B" w:rsidRPr="00A67277" w14:paraId="0EC44457" w14:textId="77777777" w:rsidTr="00862B0B">
        <w:tc>
          <w:tcPr>
            <w:tcW w:w="2270" w:type="pct"/>
          </w:tcPr>
          <w:p w14:paraId="7052042E" w14:textId="5F0BD22A" w:rsidR="00862B0B" w:rsidRPr="00A67277" w:rsidRDefault="00862B0B" w:rsidP="00862B0B">
            <w:pPr>
              <w:pStyle w:val="Level4"/>
              <w:numPr>
                <w:ilvl w:val="3"/>
                <w:numId w:val="201"/>
              </w:numPr>
              <w:spacing w:before="60" w:after="60"/>
            </w:pPr>
            <w:r w:rsidRPr="00A67277">
              <w:t xml:space="preserve">reasons attributable to GCA, including any delay by GCA to perform its obligations; or </w:t>
            </w:r>
          </w:p>
        </w:tc>
        <w:tc>
          <w:tcPr>
            <w:tcW w:w="169" w:type="pct"/>
          </w:tcPr>
          <w:p w14:paraId="157749EE" w14:textId="77777777" w:rsidR="00862B0B" w:rsidRPr="00A67277" w:rsidRDefault="00862B0B" w:rsidP="00862B0B">
            <w:pPr>
              <w:spacing w:before="60" w:after="60"/>
              <w:rPr>
                <w:rFonts w:ascii="Arial" w:hAnsi="Arial" w:cs="Arial"/>
                <w:sz w:val="21"/>
                <w:szCs w:val="21"/>
              </w:rPr>
            </w:pPr>
          </w:p>
        </w:tc>
        <w:tc>
          <w:tcPr>
            <w:tcW w:w="2561" w:type="pct"/>
            <w:gridSpan w:val="2"/>
          </w:tcPr>
          <w:p w14:paraId="1C5BF49F" w14:textId="77777777" w:rsidR="00862B0B" w:rsidRPr="00A67277" w:rsidRDefault="00862B0B" w:rsidP="00862B0B">
            <w:pPr>
              <w:pStyle w:val="Level3"/>
              <w:spacing w:before="60" w:after="60"/>
              <w:ind w:left="2160" w:hanging="720"/>
              <w:rPr>
                <w:rFonts w:cs="Arial"/>
              </w:rPr>
            </w:pPr>
            <w:r w:rsidRPr="00A67277">
              <w:rPr>
                <w:rFonts w:cs="Arial"/>
              </w:rPr>
              <w:t>(i)</w:t>
            </w:r>
            <w:r w:rsidRPr="00A67277">
              <w:rPr>
                <w:rFonts w:cs="Arial"/>
              </w:rPr>
              <w:tab/>
            </w:r>
            <w:r w:rsidRPr="00A67277">
              <w:t xml:space="preserve"> alasan yang berhubungan dengan PJPK, termasuk setiap keterlambatan oleh PJPK untuk melaksanakan kewajibannya; atau</w:t>
            </w:r>
          </w:p>
        </w:tc>
      </w:tr>
      <w:tr w:rsidR="00862B0B" w:rsidRPr="00A67277" w14:paraId="22F544F3" w14:textId="77777777" w:rsidTr="00862B0B">
        <w:tc>
          <w:tcPr>
            <w:tcW w:w="2270" w:type="pct"/>
          </w:tcPr>
          <w:p w14:paraId="1A7E8983" w14:textId="644B0F7C" w:rsidR="00862B0B" w:rsidRPr="00A67277" w:rsidRDefault="00862B0B" w:rsidP="00862B0B">
            <w:pPr>
              <w:pStyle w:val="Level4"/>
              <w:numPr>
                <w:ilvl w:val="3"/>
                <w:numId w:val="201"/>
              </w:numPr>
              <w:spacing w:before="60" w:after="60"/>
            </w:pPr>
            <w:r>
              <w:rPr>
                <w:rFonts w:cs="Arial"/>
              </w:rPr>
              <w:t>O</w:t>
            </w:r>
            <w:r w:rsidRPr="00A67277">
              <w:rPr>
                <w:rFonts w:cs="Arial"/>
              </w:rPr>
              <w:t>n or before the Effective Date  material adverse change</w:t>
            </w:r>
            <w:r>
              <w:rPr>
                <w:rFonts w:cs="Arial"/>
              </w:rPr>
              <w:t xml:space="preserve">s have occurred </w:t>
            </w:r>
            <w:r w:rsidRPr="00A67277">
              <w:rPr>
                <w:rFonts w:cs="Arial"/>
              </w:rPr>
              <w:t xml:space="preserve">in the international or Indonesian project finance debt market such that limited recourse financing is not available for the Project on reasonable commercial terms or such that the project is </w:t>
            </w:r>
            <w:r>
              <w:rPr>
                <w:rFonts w:cs="Arial"/>
              </w:rPr>
              <w:t>considered</w:t>
            </w:r>
            <w:r w:rsidRPr="00A67277">
              <w:rPr>
                <w:rFonts w:cs="Arial"/>
              </w:rPr>
              <w:t xml:space="preserve"> financially unviable. </w:t>
            </w:r>
          </w:p>
          <w:p w14:paraId="036E1A25" w14:textId="77777777" w:rsidR="00862B0B" w:rsidRPr="00A67277" w:rsidRDefault="00862B0B" w:rsidP="00862B0B">
            <w:pPr>
              <w:pStyle w:val="CommentText"/>
              <w:spacing w:before="60" w:after="60"/>
            </w:pPr>
          </w:p>
          <w:p w14:paraId="31EDAFB8" w14:textId="77777777" w:rsidR="00862B0B" w:rsidRPr="00A67277" w:rsidRDefault="00862B0B" w:rsidP="00862B0B">
            <w:pPr>
              <w:pStyle w:val="Level4"/>
              <w:tabs>
                <w:tab w:val="clear" w:pos="2126"/>
              </w:tabs>
              <w:spacing w:before="60" w:after="60"/>
              <w:ind w:left="2160" w:firstLine="0"/>
              <w:rPr>
                <w:rFonts w:cs="Arial"/>
              </w:rPr>
            </w:pPr>
          </w:p>
        </w:tc>
        <w:tc>
          <w:tcPr>
            <w:tcW w:w="169" w:type="pct"/>
          </w:tcPr>
          <w:p w14:paraId="067AFB1E" w14:textId="77777777" w:rsidR="00862B0B" w:rsidRPr="00A67277" w:rsidRDefault="00862B0B" w:rsidP="00862B0B">
            <w:pPr>
              <w:spacing w:before="60" w:after="60"/>
              <w:rPr>
                <w:rFonts w:ascii="Arial" w:hAnsi="Arial" w:cs="Arial"/>
                <w:sz w:val="21"/>
                <w:szCs w:val="21"/>
              </w:rPr>
            </w:pPr>
          </w:p>
        </w:tc>
        <w:tc>
          <w:tcPr>
            <w:tcW w:w="2561" w:type="pct"/>
            <w:gridSpan w:val="2"/>
          </w:tcPr>
          <w:p w14:paraId="37005623" w14:textId="77777777" w:rsidR="00862B0B" w:rsidRPr="00A67277" w:rsidRDefault="00862B0B" w:rsidP="00862B0B">
            <w:pPr>
              <w:pStyle w:val="Level4"/>
              <w:numPr>
                <w:ilvl w:val="3"/>
                <w:numId w:val="397"/>
              </w:numPr>
              <w:spacing w:before="60" w:after="60"/>
              <w:rPr>
                <w:rFonts w:cs="Arial"/>
              </w:rPr>
            </w:pPr>
            <w:r w:rsidRPr="00A67277">
              <w:rPr>
                <w:rFonts w:cs="Arial"/>
              </w:rPr>
              <w:t>pada saat atau sebelum Tanggal Efektif telah terjadi perubahan yang merugikan secara material dalam pasar hutang pembiayaan proyek (</w:t>
            </w:r>
            <w:r w:rsidRPr="00A67277">
              <w:rPr>
                <w:rFonts w:cs="Arial"/>
                <w:i/>
              </w:rPr>
              <w:t>project finance debt market</w:t>
            </w:r>
            <w:r w:rsidRPr="00A67277">
              <w:rPr>
                <w:rFonts w:cs="Arial"/>
              </w:rPr>
              <w:t>) internasional atau Indonesia dengan ketentuan bahwa pembiayaan dengan jaminan terbatas (</w:t>
            </w:r>
            <w:r w:rsidRPr="00A67277">
              <w:rPr>
                <w:rFonts w:cs="Arial"/>
                <w:i/>
              </w:rPr>
              <w:t>limited recourse financing</w:t>
            </w:r>
            <w:r w:rsidRPr="00A67277">
              <w:rPr>
                <w:rFonts w:cs="Arial"/>
              </w:rPr>
              <w:t xml:space="preserve">) tidak tersedia untuk Proyek dalam ketentuan komersial yang wajar atau dalam keadaan dimana proyek dianggap secara keuangan tidak layak. </w:t>
            </w:r>
          </w:p>
        </w:tc>
      </w:tr>
      <w:tr w:rsidR="00862B0B" w:rsidRPr="00A67277" w14:paraId="338D66EA" w14:textId="77777777" w:rsidTr="00862B0B">
        <w:tc>
          <w:tcPr>
            <w:tcW w:w="2270" w:type="pct"/>
          </w:tcPr>
          <w:p w14:paraId="3662D5A6" w14:textId="093F8DE8" w:rsidR="00862B0B" w:rsidRPr="00A67277" w:rsidRDefault="00862B0B" w:rsidP="00862B0B">
            <w:pPr>
              <w:pStyle w:val="Level3"/>
              <w:numPr>
                <w:ilvl w:val="2"/>
                <w:numId w:val="279"/>
              </w:numPr>
              <w:spacing w:before="60" w:after="60"/>
              <w:rPr>
                <w:rFonts w:cs="Arial"/>
              </w:rPr>
            </w:pPr>
            <w:r w:rsidRPr="00A67277">
              <w:t xml:space="preserve">IBE acknowledges that the Scheduled Effective Date will not be extended for reasons </w:t>
            </w:r>
            <w:r>
              <w:t xml:space="preserve">caused by the </w:t>
            </w:r>
            <w:r w:rsidRPr="00A67277">
              <w:t>IBE. Notwithstanding the foregoing, GCA may, in its sole discretion extend the Scheduled Effective Date if:</w:t>
            </w:r>
          </w:p>
        </w:tc>
        <w:tc>
          <w:tcPr>
            <w:tcW w:w="169" w:type="pct"/>
          </w:tcPr>
          <w:p w14:paraId="08AB2410" w14:textId="77777777" w:rsidR="00862B0B" w:rsidRPr="00A67277" w:rsidRDefault="00862B0B" w:rsidP="00862B0B">
            <w:pPr>
              <w:spacing w:before="60" w:after="60"/>
              <w:rPr>
                <w:rFonts w:ascii="Arial" w:hAnsi="Arial" w:cs="Arial"/>
                <w:sz w:val="21"/>
                <w:szCs w:val="21"/>
              </w:rPr>
            </w:pPr>
          </w:p>
        </w:tc>
        <w:tc>
          <w:tcPr>
            <w:tcW w:w="2561" w:type="pct"/>
            <w:gridSpan w:val="2"/>
          </w:tcPr>
          <w:p w14:paraId="28933CBA" w14:textId="77777777" w:rsidR="00862B0B" w:rsidRPr="00A67277" w:rsidRDefault="00862B0B" w:rsidP="00862B0B">
            <w:pPr>
              <w:pStyle w:val="Level3"/>
              <w:numPr>
                <w:ilvl w:val="2"/>
                <w:numId w:val="398"/>
              </w:numPr>
              <w:spacing w:before="60" w:after="60"/>
              <w:rPr>
                <w:rFonts w:cs="Arial"/>
              </w:rPr>
            </w:pPr>
            <w:r w:rsidRPr="00A67277">
              <w:t>BUP mengetahui bahwa Tanggal Efektif Yang Dijadwalkan tidak akan diperpanjang dengan alasan yang disebabkan BUP. Mengesampingkan hal tersebut di atas, PJPK dapat, dalam kewenangannya sendiri memperpanjang Tanggal Efektif Yang Dijadwalkan jika:</w:t>
            </w:r>
          </w:p>
        </w:tc>
      </w:tr>
      <w:tr w:rsidR="00862B0B" w:rsidRPr="00A67277" w14:paraId="5775113D" w14:textId="77777777" w:rsidTr="00862B0B">
        <w:tc>
          <w:tcPr>
            <w:tcW w:w="2270" w:type="pct"/>
          </w:tcPr>
          <w:p w14:paraId="52B1F374" w14:textId="77777777" w:rsidR="00862B0B" w:rsidRPr="00A67277" w:rsidRDefault="00862B0B" w:rsidP="00862B0B">
            <w:pPr>
              <w:pStyle w:val="Level5"/>
              <w:numPr>
                <w:ilvl w:val="4"/>
                <w:numId w:val="455"/>
              </w:numPr>
              <w:spacing w:before="60" w:after="60"/>
              <w:ind w:left="1963" w:hanging="540"/>
              <w:rPr>
                <w:rFonts w:cs="Arial"/>
              </w:rPr>
            </w:pPr>
            <w:r w:rsidRPr="00A67277">
              <w:rPr>
                <w:rFonts w:cs="Arial"/>
              </w:rPr>
              <w:t>on or before the original Scheduled Effective Date, the IBE has put in place short-term financing arrangements that will enable it to commence construction of the Project;</w:t>
            </w:r>
          </w:p>
        </w:tc>
        <w:tc>
          <w:tcPr>
            <w:tcW w:w="169" w:type="pct"/>
          </w:tcPr>
          <w:p w14:paraId="0FD577D2" w14:textId="77777777" w:rsidR="00862B0B" w:rsidRPr="00A67277" w:rsidRDefault="00862B0B" w:rsidP="00862B0B">
            <w:pPr>
              <w:spacing w:before="60" w:after="60"/>
              <w:rPr>
                <w:rFonts w:ascii="Arial" w:hAnsi="Arial" w:cs="Arial"/>
                <w:sz w:val="21"/>
                <w:szCs w:val="21"/>
              </w:rPr>
            </w:pPr>
          </w:p>
        </w:tc>
        <w:tc>
          <w:tcPr>
            <w:tcW w:w="2561" w:type="pct"/>
            <w:gridSpan w:val="2"/>
          </w:tcPr>
          <w:p w14:paraId="0B625C21" w14:textId="77777777" w:rsidR="00862B0B" w:rsidRPr="00A67277" w:rsidRDefault="00862B0B" w:rsidP="00862B0B">
            <w:pPr>
              <w:pStyle w:val="Level5"/>
              <w:numPr>
                <w:ilvl w:val="4"/>
                <w:numId w:val="281"/>
              </w:numPr>
              <w:tabs>
                <w:tab w:val="clear" w:pos="2835"/>
                <w:tab w:val="num" w:pos="2592"/>
              </w:tabs>
              <w:spacing w:before="60" w:after="60"/>
              <w:ind w:left="1980" w:hanging="540"/>
              <w:rPr>
                <w:rFonts w:cs="Arial"/>
              </w:rPr>
            </w:pPr>
            <w:r w:rsidRPr="00A67277">
              <w:rPr>
                <w:rFonts w:cs="Arial"/>
              </w:rPr>
              <w:t>pada atau sebelum Tanggal Efektif Yang Dijadwalkan, BUP telah menetapkan pengaturan pembiayaan jangka pendek yang akan memungkinkan untuk memulai konstruksi Proyek;</w:t>
            </w:r>
          </w:p>
        </w:tc>
      </w:tr>
      <w:tr w:rsidR="00862B0B" w:rsidRPr="00A67277" w14:paraId="1F6BEBD2" w14:textId="77777777" w:rsidTr="00862B0B">
        <w:tc>
          <w:tcPr>
            <w:tcW w:w="2270" w:type="pct"/>
          </w:tcPr>
          <w:p w14:paraId="4123344A" w14:textId="77777777" w:rsidR="00862B0B" w:rsidRPr="00A67277" w:rsidRDefault="00862B0B" w:rsidP="00862B0B">
            <w:pPr>
              <w:pStyle w:val="Level5"/>
              <w:numPr>
                <w:ilvl w:val="4"/>
                <w:numId w:val="455"/>
              </w:numPr>
              <w:spacing w:before="60" w:after="60"/>
              <w:ind w:left="1963" w:hanging="540"/>
              <w:rPr>
                <w:rFonts w:cs="Arial"/>
              </w:rPr>
            </w:pPr>
            <w:r w:rsidRPr="00A67277">
              <w:rPr>
                <w:rFonts w:cs="Arial"/>
              </w:rPr>
              <w:t>a full and unconditional notice to proceed has been issued to the EPC Contractor in accordance with the EPC Contract;</w:t>
            </w:r>
          </w:p>
        </w:tc>
        <w:tc>
          <w:tcPr>
            <w:tcW w:w="169" w:type="pct"/>
          </w:tcPr>
          <w:p w14:paraId="7E99E0A2" w14:textId="77777777" w:rsidR="00862B0B" w:rsidRPr="00A67277" w:rsidRDefault="00862B0B" w:rsidP="00862B0B">
            <w:pPr>
              <w:spacing w:before="60" w:after="60"/>
              <w:rPr>
                <w:rFonts w:ascii="Arial" w:hAnsi="Arial" w:cs="Arial"/>
                <w:sz w:val="21"/>
                <w:szCs w:val="21"/>
              </w:rPr>
            </w:pPr>
          </w:p>
        </w:tc>
        <w:tc>
          <w:tcPr>
            <w:tcW w:w="2561" w:type="pct"/>
            <w:gridSpan w:val="2"/>
          </w:tcPr>
          <w:p w14:paraId="704B9A50" w14:textId="77777777" w:rsidR="00862B0B" w:rsidRPr="00A67277" w:rsidRDefault="00862B0B" w:rsidP="00862B0B">
            <w:pPr>
              <w:pStyle w:val="Level5"/>
              <w:numPr>
                <w:ilvl w:val="4"/>
                <w:numId w:val="283"/>
              </w:numPr>
              <w:tabs>
                <w:tab w:val="clear" w:pos="2835"/>
                <w:tab w:val="num" w:pos="2592"/>
              </w:tabs>
              <w:spacing w:before="60" w:after="60"/>
              <w:ind w:left="1980" w:hanging="540"/>
              <w:rPr>
                <w:rFonts w:cs="Arial"/>
              </w:rPr>
            </w:pPr>
            <w:r w:rsidRPr="00A67277">
              <w:rPr>
                <w:rFonts w:cs="Arial"/>
              </w:rPr>
              <w:t>suatu pemberitahuan penuh dan tanpa syarat untuk memulai pekerjaan telah diterbitkan kepada Kontraktor EPC sesuai dengan Kontrak EPC;</w:t>
            </w:r>
          </w:p>
        </w:tc>
      </w:tr>
      <w:tr w:rsidR="00862B0B" w:rsidRPr="00A67277" w14:paraId="719C9E71" w14:textId="77777777" w:rsidTr="00862B0B">
        <w:tc>
          <w:tcPr>
            <w:tcW w:w="2270" w:type="pct"/>
          </w:tcPr>
          <w:p w14:paraId="0A429B67" w14:textId="77777777" w:rsidR="00862B0B" w:rsidRPr="00A67277" w:rsidRDefault="00862B0B" w:rsidP="00862B0B">
            <w:pPr>
              <w:pStyle w:val="Level5"/>
              <w:numPr>
                <w:ilvl w:val="4"/>
                <w:numId w:val="455"/>
              </w:numPr>
              <w:spacing w:before="60" w:after="60"/>
              <w:ind w:left="1963" w:hanging="540"/>
              <w:rPr>
                <w:rFonts w:cs="Arial"/>
              </w:rPr>
            </w:pPr>
            <w:r w:rsidRPr="00A67277">
              <w:rPr>
                <w:rFonts w:cs="Arial"/>
              </w:rPr>
              <w:t>purchase orders for all major items of equipment have been placed with vendors by the EPC Contractor, consistent with a development, construction and procurement schedule necessary to comply with the Implementation Schedule; and</w:t>
            </w:r>
          </w:p>
        </w:tc>
        <w:tc>
          <w:tcPr>
            <w:tcW w:w="169" w:type="pct"/>
          </w:tcPr>
          <w:p w14:paraId="3850762A" w14:textId="77777777" w:rsidR="00862B0B" w:rsidRPr="00A67277" w:rsidRDefault="00862B0B" w:rsidP="00862B0B">
            <w:pPr>
              <w:spacing w:before="60" w:after="60"/>
              <w:rPr>
                <w:rFonts w:ascii="Arial" w:hAnsi="Arial" w:cs="Arial"/>
                <w:sz w:val="21"/>
                <w:szCs w:val="21"/>
              </w:rPr>
            </w:pPr>
          </w:p>
        </w:tc>
        <w:tc>
          <w:tcPr>
            <w:tcW w:w="2561" w:type="pct"/>
            <w:gridSpan w:val="2"/>
          </w:tcPr>
          <w:p w14:paraId="01D2087F" w14:textId="77777777" w:rsidR="00862B0B" w:rsidRPr="00A67277" w:rsidRDefault="00862B0B" w:rsidP="00C042FC">
            <w:pPr>
              <w:pStyle w:val="Level5"/>
              <w:numPr>
                <w:ilvl w:val="4"/>
                <w:numId w:val="283"/>
              </w:numPr>
              <w:spacing w:before="60" w:after="60"/>
              <w:ind w:left="1977" w:hanging="567"/>
              <w:rPr>
                <w:rFonts w:cs="Arial"/>
              </w:rPr>
            </w:pPr>
            <w:r w:rsidRPr="00A67277">
              <w:rPr>
                <w:rFonts w:cs="Arial"/>
              </w:rPr>
              <w:t>pesanan pembelian untuk semua barang peralatan utama telah ditempatkan dengan vendor oleh Kontraktor EPC, sesuai dengan jadwal pengembangan, konstruksi dan pengadaan yang diperlukan untuk memenuhi Jadwal Pelaksanaan; dan</w:t>
            </w:r>
          </w:p>
        </w:tc>
      </w:tr>
      <w:tr w:rsidR="00862B0B" w:rsidRPr="00A67277" w14:paraId="5640FCD8" w14:textId="77777777" w:rsidTr="00862B0B">
        <w:tc>
          <w:tcPr>
            <w:tcW w:w="2270" w:type="pct"/>
          </w:tcPr>
          <w:p w14:paraId="207738A3" w14:textId="77777777" w:rsidR="00862B0B" w:rsidRPr="00A67277" w:rsidRDefault="00862B0B" w:rsidP="00862B0B">
            <w:pPr>
              <w:pStyle w:val="Level5"/>
              <w:numPr>
                <w:ilvl w:val="4"/>
                <w:numId w:val="455"/>
              </w:numPr>
              <w:tabs>
                <w:tab w:val="clear" w:pos="2835"/>
              </w:tabs>
              <w:spacing w:before="60" w:after="60"/>
              <w:ind w:left="1963" w:hanging="540"/>
              <w:rPr>
                <w:rFonts w:cs="Arial"/>
              </w:rPr>
            </w:pPr>
            <w:r w:rsidRPr="00A67277">
              <w:rPr>
                <w:rFonts w:cs="Arial"/>
              </w:rPr>
              <w:t>fulfilment of any other conditions as the GCA may require.</w:t>
            </w:r>
          </w:p>
        </w:tc>
        <w:tc>
          <w:tcPr>
            <w:tcW w:w="169" w:type="pct"/>
          </w:tcPr>
          <w:p w14:paraId="18C478B1" w14:textId="77777777" w:rsidR="00862B0B" w:rsidRPr="00A67277" w:rsidRDefault="00862B0B" w:rsidP="00862B0B">
            <w:pPr>
              <w:spacing w:before="60" w:after="60"/>
              <w:rPr>
                <w:rFonts w:ascii="Arial" w:hAnsi="Arial" w:cs="Arial"/>
                <w:sz w:val="21"/>
                <w:szCs w:val="21"/>
              </w:rPr>
            </w:pPr>
          </w:p>
        </w:tc>
        <w:tc>
          <w:tcPr>
            <w:tcW w:w="2561" w:type="pct"/>
            <w:gridSpan w:val="2"/>
          </w:tcPr>
          <w:p w14:paraId="4456EFF9" w14:textId="77777777" w:rsidR="00862B0B" w:rsidRPr="00A67277" w:rsidRDefault="00862B0B" w:rsidP="00C042FC">
            <w:pPr>
              <w:pStyle w:val="Level5"/>
              <w:numPr>
                <w:ilvl w:val="4"/>
                <w:numId w:val="283"/>
              </w:numPr>
              <w:spacing w:before="60" w:after="60"/>
              <w:ind w:left="1977" w:hanging="567"/>
              <w:rPr>
                <w:rFonts w:cs="Arial"/>
              </w:rPr>
            </w:pPr>
            <w:r w:rsidRPr="00A67277">
              <w:rPr>
                <w:rFonts w:cs="Arial"/>
              </w:rPr>
              <w:t>pemenuhan persyaratan lain yang mungkin dibutuhkan PJPK.</w:t>
            </w:r>
          </w:p>
        </w:tc>
      </w:tr>
      <w:tr w:rsidR="00862B0B" w:rsidRPr="00A67277" w14:paraId="34D272AB" w14:textId="77777777" w:rsidTr="00862B0B">
        <w:tc>
          <w:tcPr>
            <w:tcW w:w="2270" w:type="pct"/>
          </w:tcPr>
          <w:p w14:paraId="1630DF0F" w14:textId="77777777" w:rsidR="00862B0B" w:rsidRPr="00A67277" w:rsidRDefault="00862B0B" w:rsidP="00862B0B">
            <w:pPr>
              <w:pStyle w:val="Level3"/>
              <w:numPr>
                <w:ilvl w:val="2"/>
                <w:numId w:val="201"/>
              </w:numPr>
              <w:spacing w:before="60" w:after="60"/>
            </w:pPr>
            <w:r w:rsidRPr="00A67277">
              <w:t>If the Parties are unable to agree upon the contents of the notice referred to in paragraph (a) or the equitable extension of the Scheduled Effective Date within a period of thirty (30) Business Days after discussions referred to in paragraph (a) between the Parties commenced, either Party is entitled to submit this Dispute for determination in accordance with the provisions of Clause 28 (</w:t>
            </w:r>
            <w:r w:rsidRPr="00A67277">
              <w:rPr>
                <w:i/>
              </w:rPr>
              <w:t>Settlement of Disputes</w:t>
            </w:r>
            <w:r w:rsidRPr="00A67277">
              <w:t>).</w:t>
            </w:r>
          </w:p>
          <w:p w14:paraId="6BEA0E33" w14:textId="77777777" w:rsidR="00862B0B" w:rsidRPr="00A67277" w:rsidRDefault="00862B0B" w:rsidP="00862B0B">
            <w:pPr>
              <w:pStyle w:val="Level3"/>
              <w:spacing w:before="60" w:after="60"/>
              <w:ind w:left="1620"/>
              <w:rPr>
                <w:rFonts w:cs="Arial"/>
              </w:rPr>
            </w:pPr>
          </w:p>
        </w:tc>
        <w:tc>
          <w:tcPr>
            <w:tcW w:w="169" w:type="pct"/>
          </w:tcPr>
          <w:p w14:paraId="0D2FACDF" w14:textId="77777777" w:rsidR="00862B0B" w:rsidRPr="00A67277" w:rsidRDefault="00862B0B" w:rsidP="00862B0B">
            <w:pPr>
              <w:spacing w:before="60" w:after="60"/>
              <w:rPr>
                <w:rFonts w:ascii="Arial" w:hAnsi="Arial" w:cs="Arial"/>
                <w:sz w:val="21"/>
                <w:szCs w:val="21"/>
              </w:rPr>
            </w:pPr>
          </w:p>
        </w:tc>
        <w:tc>
          <w:tcPr>
            <w:tcW w:w="2561" w:type="pct"/>
            <w:gridSpan w:val="2"/>
          </w:tcPr>
          <w:p w14:paraId="7907A1AD" w14:textId="77777777" w:rsidR="00862B0B" w:rsidRPr="00A67277" w:rsidRDefault="00862B0B" w:rsidP="00862B0B">
            <w:pPr>
              <w:pStyle w:val="Level3"/>
              <w:numPr>
                <w:ilvl w:val="2"/>
                <w:numId w:val="398"/>
              </w:numPr>
              <w:spacing w:before="60" w:after="60"/>
              <w:rPr>
                <w:rFonts w:cs="Arial"/>
              </w:rPr>
            </w:pPr>
            <w:r w:rsidRPr="00A67277">
              <w:t>Jika Para Pihak tidak dapat menyetujui isi pemberitahuan sebagaimana dimaksud pada paragraf (a) atau perpanjangan yang setara dari Tanggal Efektif Yang Dijadwalkan atau Tanggal Operasi Komersial Yang Dijadwalkan dalam jangka waktu tiga puluh (30) Hari Kerja setelah dimulainya diskusi antara Para Pihak sehubungan dengan perpanjangan tersebut, salah satu Pihak berhak menyerahkan Sengketa ini untuk diselesaikan sesuai ketentuan Pasal 28 (</w:t>
            </w:r>
            <w:r w:rsidRPr="00A67277">
              <w:rPr>
                <w:i/>
              </w:rPr>
              <w:t>Penyelesaian Sengketa</w:t>
            </w:r>
            <w:r w:rsidRPr="00A67277">
              <w:t>)</w:t>
            </w:r>
            <w:r w:rsidRPr="00A67277">
              <w:rPr>
                <w:rFonts w:cs="Arial"/>
              </w:rPr>
              <w:t>.</w:t>
            </w:r>
          </w:p>
        </w:tc>
      </w:tr>
      <w:tr w:rsidR="00862B0B" w:rsidRPr="00A67277" w14:paraId="69C17E26" w14:textId="77777777" w:rsidTr="00862B0B">
        <w:tc>
          <w:tcPr>
            <w:tcW w:w="2270" w:type="pct"/>
          </w:tcPr>
          <w:p w14:paraId="0885D7AD" w14:textId="77777777" w:rsidR="00862B0B" w:rsidRPr="00A67277" w:rsidRDefault="00862B0B" w:rsidP="00862B0B">
            <w:pPr>
              <w:pStyle w:val="Heading2"/>
              <w:keepLines w:val="0"/>
              <w:numPr>
                <w:ilvl w:val="1"/>
                <w:numId w:val="264"/>
              </w:numPr>
              <w:spacing w:before="60" w:after="60"/>
              <w:ind w:left="1080" w:hanging="540"/>
              <w:jc w:val="both"/>
              <w:outlineLvl w:val="1"/>
              <w:rPr>
                <w:rFonts w:ascii="Arial" w:hAnsi="Arial" w:cs="Arial"/>
                <w:color w:val="auto"/>
                <w:sz w:val="21"/>
                <w:szCs w:val="21"/>
              </w:rPr>
            </w:pPr>
            <w:r w:rsidRPr="00A67277">
              <w:rPr>
                <w:rFonts w:ascii="Arial" w:hAnsi="Arial" w:cs="Arial"/>
                <w:b/>
                <w:color w:val="auto"/>
                <w:sz w:val="21"/>
                <w:szCs w:val="21"/>
              </w:rPr>
              <w:t>Termination for Failure to Satisfy Conditions Precedent</w:t>
            </w:r>
          </w:p>
        </w:tc>
        <w:tc>
          <w:tcPr>
            <w:tcW w:w="169" w:type="pct"/>
          </w:tcPr>
          <w:p w14:paraId="11AFBB40" w14:textId="77777777" w:rsidR="00862B0B" w:rsidRPr="00A67277" w:rsidRDefault="00862B0B" w:rsidP="00862B0B">
            <w:pPr>
              <w:spacing w:before="60" w:after="60"/>
              <w:rPr>
                <w:rFonts w:ascii="Arial" w:hAnsi="Arial" w:cs="Arial"/>
                <w:sz w:val="21"/>
                <w:szCs w:val="21"/>
              </w:rPr>
            </w:pPr>
          </w:p>
        </w:tc>
        <w:tc>
          <w:tcPr>
            <w:tcW w:w="2561" w:type="pct"/>
            <w:gridSpan w:val="2"/>
          </w:tcPr>
          <w:p w14:paraId="1DAF50F5" w14:textId="77777777" w:rsidR="00862B0B" w:rsidRPr="00A67277" w:rsidRDefault="00862B0B" w:rsidP="00862B0B">
            <w:pPr>
              <w:pStyle w:val="Level2"/>
              <w:numPr>
                <w:ilvl w:val="1"/>
                <w:numId w:val="470"/>
              </w:numPr>
              <w:spacing w:before="60" w:after="60"/>
              <w:ind w:left="972" w:hanging="516"/>
              <w:rPr>
                <w:rFonts w:cs="Arial"/>
                <w:b/>
              </w:rPr>
            </w:pPr>
            <w:r w:rsidRPr="00A67277">
              <w:rPr>
                <w:rFonts w:cs="Arial"/>
                <w:b/>
              </w:rPr>
              <w:t>Pengakhiran karena Kegagalan Memenuhi Persyaratan Pendahuluan</w:t>
            </w:r>
          </w:p>
        </w:tc>
      </w:tr>
      <w:tr w:rsidR="00862B0B" w:rsidRPr="00A67277" w14:paraId="293A0333" w14:textId="77777777" w:rsidTr="00862B0B">
        <w:tc>
          <w:tcPr>
            <w:tcW w:w="2270" w:type="pct"/>
          </w:tcPr>
          <w:p w14:paraId="3F116C05" w14:textId="77777777" w:rsidR="00862B0B" w:rsidRPr="00A67277" w:rsidRDefault="00862B0B" w:rsidP="00862B0B">
            <w:pPr>
              <w:pStyle w:val="Level3"/>
              <w:numPr>
                <w:ilvl w:val="2"/>
                <w:numId w:val="399"/>
              </w:numPr>
              <w:tabs>
                <w:tab w:val="clear" w:pos="1417"/>
                <w:tab w:val="left" w:pos="1783"/>
                <w:tab w:val="num" w:pos="1873"/>
              </w:tabs>
              <w:spacing w:before="60" w:after="60"/>
              <w:ind w:left="1603" w:hanging="540"/>
            </w:pPr>
            <w:r w:rsidRPr="00A67277">
              <w:t>If the Effective Date does not occur by the Scheduled Effective Date (or where applicable, the extended Scheduled Effective Date) due to failure of IBE to fulfil Conditions Precedent under its obligations as provided in Clause 3.2 (a), then the GCA may, in its absolute discretion, by notice in writing to the IBE immediately terminate this Agreement.</w:t>
            </w:r>
          </w:p>
        </w:tc>
        <w:tc>
          <w:tcPr>
            <w:tcW w:w="169" w:type="pct"/>
          </w:tcPr>
          <w:p w14:paraId="1A69CB18" w14:textId="77777777" w:rsidR="00862B0B" w:rsidRPr="00A67277" w:rsidRDefault="00862B0B" w:rsidP="00862B0B">
            <w:pPr>
              <w:spacing w:before="60" w:after="60"/>
              <w:rPr>
                <w:rFonts w:ascii="Arial" w:hAnsi="Arial" w:cs="Arial"/>
                <w:sz w:val="21"/>
                <w:szCs w:val="21"/>
              </w:rPr>
            </w:pPr>
          </w:p>
        </w:tc>
        <w:tc>
          <w:tcPr>
            <w:tcW w:w="2561" w:type="pct"/>
            <w:gridSpan w:val="2"/>
          </w:tcPr>
          <w:p w14:paraId="67A111F0" w14:textId="77777777" w:rsidR="00862B0B" w:rsidRPr="00A67277" w:rsidRDefault="00862B0B" w:rsidP="00862B0B">
            <w:pPr>
              <w:pStyle w:val="Body2"/>
              <w:numPr>
                <w:ilvl w:val="0"/>
                <w:numId w:val="400"/>
              </w:numPr>
              <w:spacing w:before="60" w:after="60"/>
              <w:ind w:hanging="556"/>
              <w:rPr>
                <w:rFonts w:cs="Arial"/>
                <w:b/>
              </w:rPr>
            </w:pPr>
            <w:r w:rsidRPr="00A67277">
              <w:rPr>
                <w:lang w:val="en-US" w:eastAsia="en-US"/>
              </w:rPr>
              <w:t>Jika Tanggal Efektif tidak terjadi pada Tanggal Efektif Yang Dijadwalkan (atau dimana dapat berlaku, perpanjangan Tanggal Efektif Yang Dijadwalkan) dikarenakan kegagalan BUP dalam pemenuhan Persyaratan Pendahuluan yang menjadi kewajibannya sebagaimana yang ditentukan dalam Pasal 3.2 (a), maka PJPK dapat, dalam kewenangan absolutnya, dengan pemberitahuan secara tertulis kepada BUP dengan segera mengakhiri Perjanjian ini.</w:t>
            </w:r>
          </w:p>
        </w:tc>
      </w:tr>
      <w:tr w:rsidR="00862B0B" w:rsidRPr="00A67277" w14:paraId="11EB4E08" w14:textId="77777777" w:rsidTr="00862B0B">
        <w:tc>
          <w:tcPr>
            <w:tcW w:w="2270" w:type="pct"/>
          </w:tcPr>
          <w:p w14:paraId="31997B4B" w14:textId="77777777" w:rsidR="00862B0B" w:rsidRPr="00A67277" w:rsidRDefault="00862B0B" w:rsidP="00862B0B">
            <w:pPr>
              <w:pStyle w:val="Level3"/>
              <w:numPr>
                <w:ilvl w:val="2"/>
                <w:numId w:val="399"/>
              </w:numPr>
              <w:tabs>
                <w:tab w:val="clear" w:pos="1417"/>
                <w:tab w:val="left" w:pos="1783"/>
                <w:tab w:val="num" w:pos="1873"/>
              </w:tabs>
              <w:spacing w:before="60" w:after="60"/>
              <w:ind w:left="1603" w:hanging="540"/>
            </w:pPr>
            <w:r w:rsidRPr="00A67277">
              <w:t>If this Agreement is terminated pursuant to paragraph (a), then, except as provided in Clause 32.14 (Survival):</w:t>
            </w:r>
          </w:p>
          <w:p w14:paraId="681BB5D3" w14:textId="77777777" w:rsidR="00862B0B" w:rsidRPr="00A67277" w:rsidRDefault="00862B0B" w:rsidP="00862B0B">
            <w:pPr>
              <w:spacing w:before="60" w:after="60"/>
              <w:rPr>
                <w:rFonts w:ascii="Arial" w:hAnsi="Arial" w:cs="Arial"/>
                <w:sz w:val="21"/>
                <w:szCs w:val="21"/>
              </w:rPr>
            </w:pPr>
          </w:p>
        </w:tc>
        <w:tc>
          <w:tcPr>
            <w:tcW w:w="169" w:type="pct"/>
          </w:tcPr>
          <w:p w14:paraId="0A1B47BB" w14:textId="77777777" w:rsidR="00862B0B" w:rsidRPr="00A67277" w:rsidRDefault="00862B0B" w:rsidP="00862B0B">
            <w:pPr>
              <w:spacing w:before="60" w:after="60"/>
              <w:rPr>
                <w:rFonts w:ascii="Arial" w:hAnsi="Arial" w:cs="Arial"/>
                <w:sz w:val="21"/>
                <w:szCs w:val="21"/>
              </w:rPr>
            </w:pPr>
          </w:p>
        </w:tc>
        <w:tc>
          <w:tcPr>
            <w:tcW w:w="2561" w:type="pct"/>
            <w:gridSpan w:val="2"/>
          </w:tcPr>
          <w:p w14:paraId="539B8FDF" w14:textId="77777777" w:rsidR="00862B0B" w:rsidRPr="00A67277" w:rsidRDefault="00862B0B" w:rsidP="00862B0B">
            <w:pPr>
              <w:pStyle w:val="Body2"/>
              <w:numPr>
                <w:ilvl w:val="0"/>
                <w:numId w:val="400"/>
              </w:numPr>
              <w:spacing w:before="60" w:after="60"/>
              <w:ind w:hanging="556"/>
              <w:rPr>
                <w:rFonts w:cs="Arial"/>
                <w:b/>
              </w:rPr>
            </w:pPr>
            <w:r w:rsidRPr="00A67277">
              <w:rPr>
                <w:lang w:val="en-US" w:eastAsia="en-US"/>
              </w:rPr>
              <w:t>Jika Perjanjian ini diakhiri berdasarkan paragraph (a), maka, kecuali sebagaimana ditentukan dalam Pasal 32.14 (</w:t>
            </w:r>
            <w:r w:rsidRPr="00A67277">
              <w:rPr>
                <w:i/>
                <w:lang w:val="en-US" w:eastAsia="en-US"/>
              </w:rPr>
              <w:t>Keberlanjutan Ketentuan</w:t>
            </w:r>
            <w:r w:rsidRPr="00A67277">
              <w:rPr>
                <w:lang w:val="en-US" w:eastAsia="en-US"/>
              </w:rPr>
              <w:t>)</w:t>
            </w:r>
          </w:p>
        </w:tc>
      </w:tr>
      <w:tr w:rsidR="00862B0B" w:rsidRPr="00A67277" w14:paraId="378C1E22" w14:textId="77777777" w:rsidTr="00862B0B">
        <w:tc>
          <w:tcPr>
            <w:tcW w:w="2270" w:type="pct"/>
          </w:tcPr>
          <w:p w14:paraId="0B1D5197" w14:textId="77777777" w:rsidR="00862B0B" w:rsidRPr="00A67277" w:rsidRDefault="00862B0B" w:rsidP="00862B0B">
            <w:pPr>
              <w:pStyle w:val="Level4"/>
              <w:numPr>
                <w:ilvl w:val="3"/>
                <w:numId w:val="401"/>
              </w:numPr>
              <w:tabs>
                <w:tab w:val="clear" w:pos="2126"/>
                <w:tab w:val="num" w:pos="2396"/>
              </w:tabs>
              <w:spacing w:before="60" w:after="60"/>
              <w:ind w:hanging="540"/>
            </w:pPr>
            <w:r w:rsidRPr="00A67277">
              <w:t>this Agreement has no further effect and the Parties are released from their obligations under this Agreement; and</w:t>
            </w:r>
          </w:p>
          <w:p w14:paraId="7ECFC8AC" w14:textId="77777777" w:rsidR="00862B0B" w:rsidRPr="00A67277" w:rsidRDefault="00862B0B" w:rsidP="00862B0B">
            <w:pPr>
              <w:spacing w:before="60" w:after="60"/>
              <w:rPr>
                <w:rFonts w:ascii="Arial" w:hAnsi="Arial" w:cs="Arial"/>
                <w:sz w:val="21"/>
                <w:szCs w:val="21"/>
              </w:rPr>
            </w:pPr>
          </w:p>
        </w:tc>
        <w:tc>
          <w:tcPr>
            <w:tcW w:w="169" w:type="pct"/>
          </w:tcPr>
          <w:p w14:paraId="04525EE1" w14:textId="77777777" w:rsidR="00862B0B" w:rsidRPr="00A67277" w:rsidRDefault="00862B0B" w:rsidP="00862B0B">
            <w:pPr>
              <w:spacing w:before="60" w:after="60"/>
              <w:rPr>
                <w:rFonts w:ascii="Arial" w:hAnsi="Arial" w:cs="Arial"/>
                <w:sz w:val="21"/>
                <w:szCs w:val="21"/>
              </w:rPr>
            </w:pPr>
          </w:p>
        </w:tc>
        <w:tc>
          <w:tcPr>
            <w:tcW w:w="2561" w:type="pct"/>
            <w:gridSpan w:val="2"/>
          </w:tcPr>
          <w:p w14:paraId="670EA2E5" w14:textId="77777777" w:rsidR="00862B0B" w:rsidRPr="00A67277" w:rsidRDefault="00862B0B" w:rsidP="00862B0B">
            <w:pPr>
              <w:pStyle w:val="Body2"/>
              <w:numPr>
                <w:ilvl w:val="0"/>
                <w:numId w:val="402"/>
              </w:numPr>
              <w:spacing w:before="60" w:after="60"/>
              <w:ind w:left="2130"/>
              <w:rPr>
                <w:rFonts w:cs="Arial"/>
                <w:b/>
              </w:rPr>
            </w:pPr>
            <w:r w:rsidRPr="00A67277">
              <w:rPr>
                <w:lang w:val="en-US" w:eastAsia="en-US"/>
              </w:rPr>
              <w:t>Perjanjian ini tidak memiliki dampak lebih lanjut dan Para Pihak telah lepas dari kewajiban berdasarkan Perjanjian ini; dan</w:t>
            </w:r>
          </w:p>
        </w:tc>
      </w:tr>
      <w:tr w:rsidR="00862B0B" w:rsidRPr="00A67277" w14:paraId="4EF00B11" w14:textId="77777777" w:rsidTr="00862B0B">
        <w:tc>
          <w:tcPr>
            <w:tcW w:w="2270" w:type="pct"/>
          </w:tcPr>
          <w:p w14:paraId="156CCA42" w14:textId="77777777" w:rsidR="00862B0B" w:rsidRPr="00A67277" w:rsidRDefault="00862B0B" w:rsidP="00862B0B">
            <w:pPr>
              <w:pStyle w:val="Level4"/>
              <w:numPr>
                <w:ilvl w:val="3"/>
                <w:numId w:val="401"/>
              </w:numPr>
              <w:tabs>
                <w:tab w:val="clear" w:pos="2126"/>
                <w:tab w:val="num" w:pos="2396"/>
              </w:tabs>
              <w:spacing w:before="60" w:after="60"/>
              <w:ind w:hanging="540"/>
            </w:pPr>
            <w:r w:rsidRPr="00A67277">
              <w:t>neither Party is under any obligation to the other Party except in respect of a breach committed before that termination.</w:t>
            </w:r>
          </w:p>
          <w:p w14:paraId="0997F988" w14:textId="77777777" w:rsidR="00862B0B" w:rsidRPr="00A67277" w:rsidRDefault="00862B0B" w:rsidP="00862B0B">
            <w:pPr>
              <w:spacing w:before="60" w:after="60"/>
              <w:rPr>
                <w:rFonts w:ascii="Arial" w:hAnsi="Arial" w:cs="Arial"/>
                <w:sz w:val="21"/>
                <w:szCs w:val="21"/>
              </w:rPr>
            </w:pPr>
          </w:p>
        </w:tc>
        <w:tc>
          <w:tcPr>
            <w:tcW w:w="169" w:type="pct"/>
          </w:tcPr>
          <w:p w14:paraId="264C88AF" w14:textId="77777777" w:rsidR="00862B0B" w:rsidRPr="00A67277" w:rsidRDefault="00862B0B" w:rsidP="00862B0B">
            <w:pPr>
              <w:spacing w:before="60" w:after="60"/>
              <w:rPr>
                <w:rFonts w:ascii="Arial" w:hAnsi="Arial" w:cs="Arial"/>
                <w:sz w:val="21"/>
                <w:szCs w:val="21"/>
              </w:rPr>
            </w:pPr>
          </w:p>
        </w:tc>
        <w:tc>
          <w:tcPr>
            <w:tcW w:w="2561" w:type="pct"/>
            <w:gridSpan w:val="2"/>
          </w:tcPr>
          <w:p w14:paraId="612476D7" w14:textId="77777777" w:rsidR="00862B0B" w:rsidRPr="00A67277" w:rsidRDefault="00862B0B" w:rsidP="00862B0B">
            <w:pPr>
              <w:pStyle w:val="Body2"/>
              <w:numPr>
                <w:ilvl w:val="0"/>
                <w:numId w:val="402"/>
              </w:numPr>
              <w:spacing w:before="60" w:after="60"/>
              <w:ind w:left="2130"/>
              <w:rPr>
                <w:rFonts w:cs="Arial"/>
                <w:b/>
              </w:rPr>
            </w:pPr>
            <w:r w:rsidRPr="00A67277">
              <w:rPr>
                <w:lang w:val="en-US" w:eastAsia="en-US"/>
              </w:rPr>
              <w:t>tidak satupun Pihak berada dalam kewajiban apapun terhadap Pihak lainnya keciali sehubungan dengan pelanggaran yang dilakukan sebelum pengakhiran.</w:t>
            </w:r>
          </w:p>
        </w:tc>
      </w:tr>
      <w:tr w:rsidR="00862B0B" w:rsidRPr="00A67277" w14:paraId="0EC96C2E" w14:textId="77777777" w:rsidTr="00862B0B">
        <w:tc>
          <w:tcPr>
            <w:tcW w:w="2270" w:type="pct"/>
          </w:tcPr>
          <w:p w14:paraId="69E579C5" w14:textId="6633A61D" w:rsidR="00862B0B" w:rsidRPr="00A67277" w:rsidRDefault="00862B0B" w:rsidP="00862B0B">
            <w:pPr>
              <w:pStyle w:val="Level3"/>
              <w:numPr>
                <w:ilvl w:val="2"/>
                <w:numId w:val="399"/>
              </w:numPr>
              <w:tabs>
                <w:tab w:val="clear" w:pos="1417"/>
                <w:tab w:val="left" w:pos="1783"/>
                <w:tab w:val="num" w:pos="1873"/>
              </w:tabs>
              <w:spacing w:before="60" w:after="60"/>
              <w:ind w:left="1603" w:hanging="540"/>
            </w:pPr>
            <w:r w:rsidRPr="00A67277">
              <w:t>If this Agreement is terminated pursuant to paragraph (a) for reasons attributable to GCA</w:t>
            </w:r>
            <w:r>
              <w:t xml:space="preserve">’s breach of contract, </w:t>
            </w:r>
            <w:r w:rsidRPr="00A67277">
              <w:t xml:space="preserve">then IBE shall immediately </w:t>
            </w:r>
            <w:r>
              <w:t>submit</w:t>
            </w:r>
            <w:r w:rsidRPr="00A67277">
              <w:t xml:space="preserve"> to GCA all the documents and other materials and items, to the extent they exist, and copies of, and all Intellectual Property in, the Baseline Design and any detailed design</w:t>
            </w:r>
            <w:r>
              <w:t>s</w:t>
            </w:r>
            <w:r w:rsidRPr="00A67277">
              <w:t xml:space="preserve"> in respect of the Project and the GCA shall:</w:t>
            </w:r>
          </w:p>
          <w:p w14:paraId="237D584E" w14:textId="77777777" w:rsidR="00862B0B" w:rsidRPr="00A67277" w:rsidRDefault="00862B0B" w:rsidP="00862B0B">
            <w:pPr>
              <w:spacing w:before="60" w:after="60"/>
              <w:rPr>
                <w:rFonts w:ascii="Arial" w:hAnsi="Arial" w:cs="Arial"/>
                <w:sz w:val="21"/>
                <w:szCs w:val="21"/>
              </w:rPr>
            </w:pPr>
          </w:p>
        </w:tc>
        <w:tc>
          <w:tcPr>
            <w:tcW w:w="169" w:type="pct"/>
          </w:tcPr>
          <w:p w14:paraId="1AB164BB" w14:textId="77777777" w:rsidR="00862B0B" w:rsidRPr="00A67277" w:rsidRDefault="00862B0B" w:rsidP="00862B0B">
            <w:pPr>
              <w:spacing w:before="60" w:after="60"/>
              <w:rPr>
                <w:rFonts w:ascii="Arial" w:hAnsi="Arial" w:cs="Arial"/>
                <w:sz w:val="21"/>
                <w:szCs w:val="21"/>
              </w:rPr>
            </w:pPr>
          </w:p>
        </w:tc>
        <w:tc>
          <w:tcPr>
            <w:tcW w:w="2561" w:type="pct"/>
            <w:gridSpan w:val="2"/>
          </w:tcPr>
          <w:p w14:paraId="22721CD9" w14:textId="77777777" w:rsidR="00862B0B" w:rsidRPr="00A67277" w:rsidRDefault="00862B0B" w:rsidP="00862B0B">
            <w:pPr>
              <w:pStyle w:val="Body2"/>
              <w:numPr>
                <w:ilvl w:val="0"/>
                <w:numId w:val="400"/>
              </w:numPr>
              <w:spacing w:before="60" w:after="60"/>
              <w:ind w:hanging="556"/>
              <w:rPr>
                <w:rFonts w:cs="Arial"/>
                <w:b/>
              </w:rPr>
            </w:pPr>
            <w:r w:rsidRPr="00A67277">
              <w:rPr>
                <w:lang w:val="en-US" w:eastAsia="en-US"/>
              </w:rPr>
              <w:t>Jika Perjanjian ini diakhiri sesuai dengan paragraf (a) karena alasan sehubungan dengan cidera janji PJPK, maka BUP harus segera menyerahkan kepada PJPK semua dokumen dan materi serta unit lainnya, sejauh keberadaannya, dan salinan dari, dan seluruh Hak Kekayaan Intelektual dalam, Desain Dasar dan setiap rincian desain sehubungan dengan Proyek dan PJPK harus:</w:t>
            </w:r>
          </w:p>
        </w:tc>
      </w:tr>
      <w:tr w:rsidR="00862B0B" w:rsidRPr="00A67277" w14:paraId="621B4751" w14:textId="77777777" w:rsidTr="00862B0B">
        <w:tc>
          <w:tcPr>
            <w:tcW w:w="2270" w:type="pct"/>
          </w:tcPr>
          <w:p w14:paraId="6047CECA" w14:textId="77777777" w:rsidR="00862B0B" w:rsidRPr="00A67277" w:rsidRDefault="00862B0B" w:rsidP="00862B0B">
            <w:pPr>
              <w:pStyle w:val="Level4"/>
              <w:numPr>
                <w:ilvl w:val="3"/>
                <w:numId w:val="403"/>
              </w:numPr>
              <w:spacing w:before="60" w:after="60"/>
              <w:ind w:hanging="450"/>
              <w:rPr>
                <w:b/>
              </w:rPr>
            </w:pPr>
            <w:r w:rsidRPr="00A67277">
              <w:t>pay the IBE the costs and expenses, substantiated by supporting invoices, incurred by the IBE in preparing the Baseline Design and if applicable, any detailed design in respect of the Project up to a maximum amount of [[●] Indonesian Rupiah (IDR[●]);</w:t>
            </w:r>
            <w:r w:rsidRPr="00A67277">
              <w:rPr>
                <w:rStyle w:val="FootnoteReference"/>
                <w:szCs w:val="24"/>
              </w:rPr>
              <w:footnoteReference w:id="9"/>
            </w:r>
            <w:r w:rsidRPr="00A67277">
              <w:t xml:space="preserve"> and</w:t>
            </w:r>
          </w:p>
          <w:p w14:paraId="3DD5106C" w14:textId="77777777" w:rsidR="00862B0B" w:rsidRPr="00A67277" w:rsidRDefault="00862B0B" w:rsidP="00862B0B">
            <w:pPr>
              <w:spacing w:before="60" w:after="60"/>
              <w:rPr>
                <w:rFonts w:ascii="Arial" w:hAnsi="Arial" w:cs="Arial"/>
                <w:sz w:val="21"/>
                <w:szCs w:val="21"/>
              </w:rPr>
            </w:pPr>
          </w:p>
        </w:tc>
        <w:tc>
          <w:tcPr>
            <w:tcW w:w="169" w:type="pct"/>
          </w:tcPr>
          <w:p w14:paraId="31E3CE6F" w14:textId="77777777" w:rsidR="00862B0B" w:rsidRPr="00A67277" w:rsidRDefault="00862B0B" w:rsidP="00862B0B">
            <w:pPr>
              <w:spacing w:before="60" w:after="60"/>
              <w:rPr>
                <w:rFonts w:ascii="Arial" w:hAnsi="Arial" w:cs="Arial"/>
                <w:sz w:val="21"/>
                <w:szCs w:val="21"/>
              </w:rPr>
            </w:pPr>
          </w:p>
        </w:tc>
        <w:tc>
          <w:tcPr>
            <w:tcW w:w="2561" w:type="pct"/>
            <w:gridSpan w:val="2"/>
          </w:tcPr>
          <w:p w14:paraId="0B7351F1" w14:textId="77777777" w:rsidR="00862B0B" w:rsidRPr="00A67277" w:rsidRDefault="00862B0B" w:rsidP="00862B0B">
            <w:pPr>
              <w:pStyle w:val="Body2"/>
              <w:numPr>
                <w:ilvl w:val="0"/>
                <w:numId w:val="404"/>
              </w:numPr>
              <w:spacing w:before="60" w:after="60"/>
              <w:ind w:left="2052"/>
              <w:rPr>
                <w:rFonts w:cs="Arial"/>
                <w:b/>
              </w:rPr>
            </w:pPr>
            <w:r w:rsidRPr="00A67277">
              <w:rPr>
                <w:lang w:val="en-US" w:eastAsia="en-US"/>
              </w:rPr>
              <w:t>membayar BUP biaya dan pengeluaran, secara substansi dengan tagihan yang lengkap, ditimbulkan oleh BUP dalam mmpersiapkan Desain Dasar dan jika berlaku, setiap rincian desain sehubungan dengan Proyek sampai dengan jumlah maksimal [[</w:t>
            </w:r>
            <w:r w:rsidRPr="00A67277">
              <w:rPr>
                <w:lang w:val="en-US" w:eastAsia="en-US"/>
              </w:rPr>
              <w:sym w:font="Symbol" w:char="F0B7"/>
            </w:r>
            <w:r w:rsidRPr="00A67277">
              <w:rPr>
                <w:lang w:val="en-US" w:eastAsia="en-US"/>
              </w:rPr>
              <w:t>] rupiah (Rp [</w:t>
            </w:r>
            <w:r w:rsidRPr="00A67277">
              <w:rPr>
                <w:lang w:val="en-US" w:eastAsia="en-US"/>
              </w:rPr>
              <w:sym w:font="Symbol" w:char="F0B7"/>
            </w:r>
            <w:r w:rsidRPr="00A67277">
              <w:rPr>
                <w:lang w:val="en-US" w:eastAsia="en-US"/>
              </w:rPr>
              <w:t>]);</w:t>
            </w:r>
            <w:r w:rsidRPr="00A67277">
              <w:rPr>
                <w:rStyle w:val="FootnoteReference"/>
                <w:lang w:val="en-US" w:eastAsia="en-US"/>
              </w:rPr>
              <w:footnoteReference w:id="10"/>
            </w:r>
          </w:p>
        </w:tc>
      </w:tr>
      <w:tr w:rsidR="00862B0B" w:rsidRPr="00A67277" w14:paraId="336BEDE3" w14:textId="77777777" w:rsidTr="00862B0B">
        <w:tc>
          <w:tcPr>
            <w:tcW w:w="2270" w:type="pct"/>
          </w:tcPr>
          <w:p w14:paraId="4B8BD42E" w14:textId="77777777" w:rsidR="00862B0B" w:rsidRPr="00A67277" w:rsidRDefault="00862B0B" w:rsidP="00862B0B">
            <w:pPr>
              <w:pStyle w:val="Level4"/>
              <w:numPr>
                <w:ilvl w:val="3"/>
                <w:numId w:val="403"/>
              </w:numPr>
              <w:spacing w:before="60" w:after="60"/>
              <w:ind w:hanging="450"/>
            </w:pPr>
            <w:r w:rsidRPr="00A67277">
              <w:t>no later than [one (1) Month after the date on which the transfer to GCA under paragraph (i) has been completed, return the Stage I Performance Bond to the IBE (subject to any permitted right to draw on the Stage I Performance Bond under Clause 3.5 (Stage I Performance Bond)).</w:t>
            </w:r>
          </w:p>
          <w:p w14:paraId="4E57B5D0" w14:textId="77777777" w:rsidR="00862B0B" w:rsidRPr="00A67277" w:rsidRDefault="00862B0B" w:rsidP="00862B0B">
            <w:pPr>
              <w:spacing w:before="60" w:after="60"/>
              <w:rPr>
                <w:rFonts w:ascii="Arial" w:hAnsi="Arial" w:cs="Arial"/>
                <w:sz w:val="21"/>
                <w:szCs w:val="21"/>
              </w:rPr>
            </w:pPr>
          </w:p>
        </w:tc>
        <w:tc>
          <w:tcPr>
            <w:tcW w:w="169" w:type="pct"/>
          </w:tcPr>
          <w:p w14:paraId="15E6C2E2" w14:textId="77777777" w:rsidR="00862B0B" w:rsidRPr="00A67277" w:rsidRDefault="00862B0B" w:rsidP="00862B0B">
            <w:pPr>
              <w:spacing w:before="60" w:after="60"/>
              <w:rPr>
                <w:rFonts w:ascii="Arial" w:hAnsi="Arial" w:cs="Arial"/>
                <w:sz w:val="21"/>
                <w:szCs w:val="21"/>
              </w:rPr>
            </w:pPr>
          </w:p>
        </w:tc>
        <w:tc>
          <w:tcPr>
            <w:tcW w:w="2561" w:type="pct"/>
            <w:gridSpan w:val="2"/>
          </w:tcPr>
          <w:p w14:paraId="50CF152B" w14:textId="77777777" w:rsidR="00862B0B" w:rsidRPr="00A67277" w:rsidRDefault="00862B0B" w:rsidP="00862B0B">
            <w:pPr>
              <w:pStyle w:val="Body2"/>
              <w:numPr>
                <w:ilvl w:val="0"/>
                <w:numId w:val="404"/>
              </w:numPr>
              <w:spacing w:before="60" w:after="60"/>
              <w:ind w:left="2052"/>
              <w:rPr>
                <w:rFonts w:cs="Arial"/>
              </w:rPr>
            </w:pPr>
            <w:r w:rsidRPr="00A67277">
              <w:rPr>
                <w:rFonts w:cs="Arial"/>
              </w:rPr>
              <w:t>tidak lebih dari satu (1) Bulan setelah tanggal dimana penyerahan kepada PJPK berdasarkan paragraf (i) telah selesai, mengembalikan Jaminan Pelaksanaan Tahap I kepada BUP (tunduk pada hak untuk menarik Jaminan Pelaksanaan Tahap I berdasarkan Pasal 3.5 (Jaminan Pelaksanaan Tahap I))</w:t>
            </w:r>
          </w:p>
        </w:tc>
      </w:tr>
      <w:tr w:rsidR="00862B0B" w:rsidRPr="00A67277" w14:paraId="47B77D78" w14:textId="77777777" w:rsidTr="00862B0B">
        <w:tc>
          <w:tcPr>
            <w:tcW w:w="2270" w:type="pct"/>
          </w:tcPr>
          <w:p w14:paraId="4E91DA15" w14:textId="6678A683" w:rsidR="00862B0B" w:rsidRPr="00A67277" w:rsidRDefault="00862B0B" w:rsidP="00862B0B">
            <w:pPr>
              <w:pStyle w:val="Level3"/>
              <w:numPr>
                <w:ilvl w:val="2"/>
                <w:numId w:val="399"/>
              </w:numPr>
              <w:tabs>
                <w:tab w:val="clear" w:pos="1417"/>
                <w:tab w:val="left" w:pos="1783"/>
                <w:tab w:val="num" w:pos="1873"/>
              </w:tabs>
              <w:spacing w:before="60" w:after="60"/>
              <w:ind w:left="1603" w:hanging="540"/>
            </w:pPr>
            <w:r w:rsidRPr="00A67277">
              <w:t xml:space="preserve">If this Agreement is terminated pursuant to paragraph (a) for reasons attributable to IBE default, then GCA shall have the right to draw on the entire amount of Stage I Performance </w:t>
            </w:r>
            <w:r w:rsidRPr="00A67277">
              <w:rPr>
                <w:rFonts w:cs="Arial"/>
              </w:rPr>
              <w:t>Bond</w:t>
            </w:r>
            <w:r w:rsidRPr="00A67277">
              <w:t xml:space="preserve"> under Clause 3.5 (Stage I Performance Bond).</w:t>
            </w:r>
          </w:p>
          <w:p w14:paraId="4C682F72" w14:textId="77777777" w:rsidR="00862B0B" w:rsidRPr="00A67277" w:rsidRDefault="00862B0B" w:rsidP="00862B0B">
            <w:pPr>
              <w:spacing w:before="60" w:after="60"/>
              <w:rPr>
                <w:rFonts w:ascii="Arial" w:hAnsi="Arial" w:cs="Arial"/>
                <w:sz w:val="21"/>
                <w:szCs w:val="21"/>
              </w:rPr>
            </w:pPr>
          </w:p>
        </w:tc>
        <w:tc>
          <w:tcPr>
            <w:tcW w:w="169" w:type="pct"/>
          </w:tcPr>
          <w:p w14:paraId="53F0FDC2" w14:textId="77777777" w:rsidR="00862B0B" w:rsidRPr="00A67277" w:rsidRDefault="00862B0B" w:rsidP="00862B0B">
            <w:pPr>
              <w:spacing w:before="60" w:after="60"/>
              <w:rPr>
                <w:rFonts w:ascii="Arial" w:hAnsi="Arial" w:cs="Arial"/>
                <w:sz w:val="21"/>
                <w:szCs w:val="21"/>
              </w:rPr>
            </w:pPr>
          </w:p>
        </w:tc>
        <w:tc>
          <w:tcPr>
            <w:tcW w:w="2561" w:type="pct"/>
            <w:gridSpan w:val="2"/>
          </w:tcPr>
          <w:p w14:paraId="5F43D10B" w14:textId="77777777" w:rsidR="00862B0B" w:rsidRPr="00A67277" w:rsidRDefault="00862B0B" w:rsidP="00862B0B">
            <w:pPr>
              <w:pStyle w:val="Body2"/>
              <w:spacing w:before="60" w:after="60"/>
              <w:ind w:left="1440" w:hanging="562"/>
              <w:rPr>
                <w:rFonts w:cs="Arial"/>
              </w:rPr>
            </w:pPr>
            <w:r w:rsidRPr="00A67277">
              <w:rPr>
                <w:rFonts w:cs="Arial"/>
              </w:rPr>
              <w:t>(d)</w:t>
            </w:r>
            <w:r w:rsidRPr="00A67277">
              <w:rPr>
                <w:rFonts w:cs="Arial"/>
              </w:rPr>
              <w:tab/>
              <w:t>Jika Perjanjian ini diakhiri sesuai dengan paragraf (a) karena alasan sehubungan dengan cidera janji BUP, maka PJPK berhak untuk mencairkan seluruh jumlah Jaminan Pelaksanaan Tahap I berdasarkan Pasal 3.5 (Jaminan Pelaksanaan Tahap I).</w:t>
            </w:r>
          </w:p>
        </w:tc>
      </w:tr>
      <w:tr w:rsidR="00862B0B" w:rsidRPr="00A67277" w14:paraId="4F190753" w14:textId="77777777" w:rsidTr="00862B0B">
        <w:tc>
          <w:tcPr>
            <w:tcW w:w="2270" w:type="pct"/>
          </w:tcPr>
          <w:p w14:paraId="655542B4" w14:textId="63D3348D" w:rsidR="00862B0B" w:rsidRPr="00A67277" w:rsidRDefault="00862B0B" w:rsidP="00862B0B">
            <w:pPr>
              <w:pStyle w:val="Heading2"/>
              <w:keepLines w:val="0"/>
              <w:numPr>
                <w:ilvl w:val="1"/>
                <w:numId w:val="264"/>
              </w:numPr>
              <w:spacing w:before="60" w:after="60"/>
              <w:ind w:left="1080" w:hanging="540"/>
              <w:outlineLvl w:val="1"/>
              <w:rPr>
                <w:rFonts w:ascii="Arial" w:hAnsi="Arial" w:cs="Arial"/>
                <w:b/>
                <w:color w:val="auto"/>
                <w:sz w:val="21"/>
                <w:szCs w:val="21"/>
              </w:rPr>
            </w:pPr>
            <w:bookmarkStart w:id="125" w:name="_Toc501177894"/>
            <w:r w:rsidRPr="00A67277">
              <w:rPr>
                <w:rFonts w:ascii="Arial" w:hAnsi="Arial" w:cs="Arial"/>
                <w:b/>
                <w:color w:val="auto"/>
                <w:sz w:val="21"/>
                <w:szCs w:val="21"/>
              </w:rPr>
              <w:t xml:space="preserve">Stage I Performance </w:t>
            </w:r>
            <w:bookmarkEnd w:id="125"/>
            <w:r w:rsidRPr="00A67277">
              <w:rPr>
                <w:rFonts w:ascii="Arial" w:hAnsi="Arial" w:cs="Arial"/>
                <w:b/>
                <w:color w:val="auto"/>
                <w:sz w:val="21"/>
                <w:szCs w:val="21"/>
              </w:rPr>
              <w:t>Bond</w:t>
            </w:r>
          </w:p>
        </w:tc>
        <w:tc>
          <w:tcPr>
            <w:tcW w:w="169" w:type="pct"/>
          </w:tcPr>
          <w:p w14:paraId="12ECD2A1" w14:textId="77777777" w:rsidR="00862B0B" w:rsidRPr="00A67277" w:rsidRDefault="00862B0B" w:rsidP="00862B0B">
            <w:pPr>
              <w:spacing w:before="60" w:after="60"/>
              <w:rPr>
                <w:rFonts w:ascii="Arial" w:hAnsi="Arial" w:cs="Arial"/>
                <w:sz w:val="21"/>
                <w:szCs w:val="21"/>
              </w:rPr>
            </w:pPr>
          </w:p>
        </w:tc>
        <w:tc>
          <w:tcPr>
            <w:tcW w:w="2561" w:type="pct"/>
            <w:gridSpan w:val="2"/>
          </w:tcPr>
          <w:p w14:paraId="225918CC" w14:textId="77777777" w:rsidR="00862B0B" w:rsidRPr="00A67277" w:rsidRDefault="00862B0B" w:rsidP="00862B0B">
            <w:pPr>
              <w:pStyle w:val="Level2"/>
              <w:numPr>
                <w:ilvl w:val="1"/>
                <w:numId w:val="470"/>
              </w:numPr>
              <w:spacing w:before="60" w:after="60"/>
              <w:ind w:left="881" w:hanging="425"/>
              <w:rPr>
                <w:rFonts w:cs="Arial"/>
                <w:b/>
              </w:rPr>
            </w:pPr>
            <w:r w:rsidRPr="00A67277">
              <w:rPr>
                <w:rFonts w:cs="Arial"/>
                <w:b/>
              </w:rPr>
              <w:t>Jaminan Pelaksanaan Tahap I</w:t>
            </w:r>
          </w:p>
        </w:tc>
      </w:tr>
      <w:tr w:rsidR="00862B0B" w:rsidRPr="00A67277" w14:paraId="2D300E21" w14:textId="77777777" w:rsidTr="00862B0B">
        <w:tc>
          <w:tcPr>
            <w:tcW w:w="2270" w:type="pct"/>
          </w:tcPr>
          <w:p w14:paraId="0E3AE45B" w14:textId="4A8CE1A8" w:rsidR="00862B0B" w:rsidRPr="00A67277" w:rsidRDefault="00862B0B" w:rsidP="00862B0B">
            <w:pPr>
              <w:pStyle w:val="Level3"/>
              <w:numPr>
                <w:ilvl w:val="2"/>
                <w:numId w:val="288"/>
              </w:numPr>
              <w:tabs>
                <w:tab w:val="clear" w:pos="1417"/>
              </w:tabs>
              <w:spacing w:before="60" w:after="60"/>
              <w:ind w:left="1581" w:hanging="425"/>
              <w:rPr>
                <w:rFonts w:cs="Arial"/>
              </w:rPr>
            </w:pPr>
            <w:bookmarkStart w:id="126" w:name="_Toc501177895"/>
            <w:r w:rsidRPr="00A67277">
              <w:rPr>
                <w:rFonts w:cs="Arial"/>
              </w:rPr>
              <w:t>On or before the Signing Date, the IBE must deliver to GCA an irrevocable and unconditional first demand bank guarantee in favour of GCA as security for performance by the IBE of its obligations under this Agreement prior to the Effective Date.</w:t>
            </w:r>
            <w:bookmarkEnd w:id="126"/>
          </w:p>
        </w:tc>
        <w:tc>
          <w:tcPr>
            <w:tcW w:w="169" w:type="pct"/>
          </w:tcPr>
          <w:p w14:paraId="04572B70" w14:textId="77777777" w:rsidR="00862B0B" w:rsidRPr="00A67277" w:rsidRDefault="00862B0B" w:rsidP="00862B0B">
            <w:pPr>
              <w:spacing w:before="60" w:after="60"/>
              <w:rPr>
                <w:rFonts w:ascii="Arial" w:hAnsi="Arial" w:cs="Arial"/>
                <w:sz w:val="21"/>
                <w:szCs w:val="21"/>
              </w:rPr>
            </w:pPr>
          </w:p>
        </w:tc>
        <w:tc>
          <w:tcPr>
            <w:tcW w:w="2561" w:type="pct"/>
            <w:gridSpan w:val="2"/>
          </w:tcPr>
          <w:p w14:paraId="1F2A19E4" w14:textId="464C5E37" w:rsidR="00862B0B" w:rsidRPr="00A67277" w:rsidRDefault="00862B0B" w:rsidP="00862B0B">
            <w:pPr>
              <w:pStyle w:val="Level3"/>
              <w:numPr>
                <w:ilvl w:val="2"/>
                <w:numId w:val="289"/>
              </w:numPr>
              <w:tabs>
                <w:tab w:val="clear" w:pos="1417"/>
                <w:tab w:val="num" w:pos="1333"/>
              </w:tabs>
              <w:spacing w:before="60" w:after="60"/>
              <w:ind w:left="1333" w:hanging="425"/>
              <w:rPr>
                <w:rFonts w:cs="Arial"/>
              </w:rPr>
            </w:pPr>
            <w:r w:rsidRPr="00A67277">
              <w:rPr>
                <w:rFonts w:cs="Arial"/>
                <w:lang w:val="id-ID"/>
              </w:rPr>
              <w:t xml:space="preserve">Pada atau sebelum Tanggal </w:t>
            </w:r>
            <w:r w:rsidRPr="00A67277">
              <w:rPr>
                <w:rFonts w:cs="Arial"/>
                <w:lang w:val="en-ID"/>
              </w:rPr>
              <w:t>Penandatanganan</w:t>
            </w:r>
            <w:r w:rsidRPr="00A67277">
              <w:rPr>
                <w:rFonts w:cs="Arial"/>
                <w:lang w:val="id-ID"/>
              </w:rPr>
              <w:t xml:space="preserve">, </w:t>
            </w:r>
            <w:r w:rsidRPr="00A67277">
              <w:rPr>
                <w:rFonts w:cs="Arial"/>
                <w:lang w:val="en-US"/>
              </w:rPr>
              <w:t xml:space="preserve">BUP </w:t>
            </w:r>
            <w:r w:rsidRPr="00A67277">
              <w:rPr>
                <w:rFonts w:cs="Arial"/>
                <w:lang w:val="id-ID"/>
              </w:rPr>
              <w:t xml:space="preserve">harus menyerahkan kepada </w:t>
            </w:r>
            <w:r w:rsidRPr="00A67277">
              <w:rPr>
                <w:rFonts w:cs="Arial"/>
              </w:rPr>
              <w:t>PJPK</w:t>
            </w:r>
            <w:r w:rsidRPr="00A67277">
              <w:rPr>
                <w:rFonts w:cs="Arial"/>
                <w:lang w:val="id-ID"/>
              </w:rPr>
              <w:t xml:space="preserve"> </w:t>
            </w:r>
            <w:r w:rsidRPr="00A67277">
              <w:rPr>
                <w:rFonts w:cs="Arial"/>
                <w:lang w:val="en-US"/>
              </w:rPr>
              <w:t xml:space="preserve">suatu bank garansi </w:t>
            </w:r>
            <w:bookmarkStart w:id="127" w:name="_Hlk501030681"/>
            <w:r w:rsidRPr="00A67277">
              <w:rPr>
                <w:rFonts w:cs="Arial"/>
                <w:lang w:val="id-ID"/>
              </w:rPr>
              <w:t xml:space="preserve">yang tidak dapat dibatalkan dan tidak bersyarat </w:t>
            </w:r>
            <w:bookmarkEnd w:id="127"/>
            <w:r w:rsidRPr="00A67277">
              <w:rPr>
                <w:rFonts w:cs="Arial"/>
                <w:lang w:val="id-ID"/>
              </w:rPr>
              <w:t xml:space="preserve"> </w:t>
            </w:r>
            <w:r w:rsidRPr="00A67277">
              <w:rPr>
                <w:rFonts w:cs="Arial"/>
                <w:lang w:val="en-US"/>
              </w:rPr>
              <w:t xml:space="preserve">atas </w:t>
            </w:r>
            <w:r w:rsidRPr="00A67277">
              <w:rPr>
                <w:rFonts w:cs="Arial"/>
                <w:lang w:val="id-ID"/>
              </w:rPr>
              <w:t>permintaan</w:t>
            </w:r>
            <w:r w:rsidRPr="00A67277">
              <w:rPr>
                <w:rFonts w:cs="Arial"/>
              </w:rPr>
              <w:t xml:space="preserve"> pertama</w:t>
            </w:r>
            <w:r w:rsidRPr="00A67277">
              <w:rPr>
                <w:rFonts w:cs="Arial"/>
                <w:lang w:val="id-ID"/>
              </w:rPr>
              <w:t xml:space="preserve"> </w:t>
            </w:r>
            <w:r w:rsidRPr="00A67277">
              <w:rPr>
                <w:rFonts w:cs="Arial"/>
                <w:lang w:val="en-US"/>
              </w:rPr>
              <w:t xml:space="preserve">sebagai jaminan kepada </w:t>
            </w:r>
            <w:r w:rsidRPr="00A67277">
              <w:rPr>
                <w:rFonts w:cs="Arial"/>
              </w:rPr>
              <w:t>PJPK</w:t>
            </w:r>
            <w:r w:rsidRPr="00A67277">
              <w:rPr>
                <w:rFonts w:cs="Arial"/>
                <w:lang w:val="id-ID"/>
              </w:rPr>
              <w:t xml:space="preserve"> </w:t>
            </w:r>
            <w:r w:rsidRPr="00A67277">
              <w:rPr>
                <w:rFonts w:cs="Arial"/>
                <w:lang w:val="en-US"/>
              </w:rPr>
              <w:t xml:space="preserve">terhadap pelaksanaan oleh </w:t>
            </w:r>
            <w:r w:rsidRPr="00A67277">
              <w:rPr>
                <w:rFonts w:cs="Arial"/>
              </w:rPr>
              <w:t>BUP</w:t>
            </w:r>
            <w:r w:rsidRPr="00A67277">
              <w:rPr>
                <w:rFonts w:cs="Arial"/>
                <w:lang w:val="id-ID"/>
              </w:rPr>
              <w:t xml:space="preserve"> atas kewajibannya berdasarkan Perjanjian ini sebelum Tanggal</w:t>
            </w:r>
            <w:r w:rsidRPr="00A67277">
              <w:rPr>
                <w:rFonts w:cs="Arial"/>
                <w:lang w:val="en-ID"/>
              </w:rPr>
              <w:t xml:space="preserve"> </w:t>
            </w:r>
            <w:r w:rsidRPr="00A67277">
              <w:t>Efektif</w:t>
            </w:r>
            <w:r w:rsidRPr="00A67277">
              <w:rPr>
                <w:rFonts w:cs="Arial"/>
                <w:lang w:val="en-US"/>
              </w:rPr>
              <w:t>.</w:t>
            </w:r>
          </w:p>
        </w:tc>
      </w:tr>
      <w:tr w:rsidR="00862B0B" w:rsidRPr="00A67277" w14:paraId="750B81A0" w14:textId="77777777" w:rsidTr="00862B0B">
        <w:tc>
          <w:tcPr>
            <w:tcW w:w="2270" w:type="pct"/>
          </w:tcPr>
          <w:p w14:paraId="279ADAB6" w14:textId="4E0F691A"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28" w:name="_Toc501177896"/>
            <w:r w:rsidRPr="00A67277">
              <w:rPr>
                <w:rFonts w:cs="Arial"/>
              </w:rPr>
              <w:t>The Stage I Performance Bond must be:</w:t>
            </w:r>
            <w:bookmarkEnd w:id="128"/>
          </w:p>
        </w:tc>
        <w:tc>
          <w:tcPr>
            <w:tcW w:w="169" w:type="pct"/>
          </w:tcPr>
          <w:p w14:paraId="7AC53FF8" w14:textId="77777777" w:rsidR="00862B0B" w:rsidRPr="00A67277" w:rsidRDefault="00862B0B" w:rsidP="00862B0B">
            <w:pPr>
              <w:spacing w:before="60" w:after="60"/>
              <w:rPr>
                <w:rFonts w:ascii="Arial" w:hAnsi="Arial" w:cs="Arial"/>
                <w:sz w:val="21"/>
                <w:szCs w:val="21"/>
              </w:rPr>
            </w:pPr>
          </w:p>
        </w:tc>
        <w:tc>
          <w:tcPr>
            <w:tcW w:w="2561" w:type="pct"/>
            <w:gridSpan w:val="2"/>
          </w:tcPr>
          <w:p w14:paraId="7C3414B6" w14:textId="77777777" w:rsidR="00862B0B" w:rsidRPr="00A67277" w:rsidRDefault="00862B0B" w:rsidP="00862B0B">
            <w:pPr>
              <w:pStyle w:val="Level3"/>
              <w:numPr>
                <w:ilvl w:val="2"/>
                <w:numId w:val="286"/>
              </w:numPr>
              <w:tabs>
                <w:tab w:val="clear" w:pos="1417"/>
              </w:tabs>
              <w:spacing w:before="60" w:after="60"/>
              <w:ind w:left="1333" w:hanging="425"/>
              <w:rPr>
                <w:rFonts w:cs="Arial"/>
              </w:rPr>
            </w:pPr>
            <w:r w:rsidRPr="00A67277">
              <w:rPr>
                <w:rFonts w:cs="Arial"/>
              </w:rPr>
              <w:t>Jaminan Pelaksanaan Tahap I harus</w:t>
            </w:r>
            <w:r w:rsidRPr="00A67277">
              <w:rPr>
                <w:rFonts w:cs="Arial"/>
                <w:lang w:val="id-ID"/>
              </w:rPr>
              <w:t>:</w:t>
            </w:r>
          </w:p>
        </w:tc>
      </w:tr>
      <w:tr w:rsidR="00862B0B" w:rsidRPr="00A67277" w14:paraId="67585CEE" w14:textId="77777777" w:rsidTr="00862B0B">
        <w:tc>
          <w:tcPr>
            <w:tcW w:w="2270" w:type="pct"/>
          </w:tcPr>
          <w:p w14:paraId="5578CC89" w14:textId="567F30AC" w:rsidR="00862B0B" w:rsidRPr="00A67277" w:rsidRDefault="00862B0B" w:rsidP="00862B0B">
            <w:pPr>
              <w:pStyle w:val="Level4"/>
              <w:numPr>
                <w:ilvl w:val="3"/>
                <w:numId w:val="457"/>
              </w:numPr>
              <w:tabs>
                <w:tab w:val="clear" w:pos="2126"/>
                <w:tab w:val="num" w:pos="2323"/>
              </w:tabs>
              <w:spacing w:before="60" w:after="60"/>
              <w:ind w:left="1963" w:hanging="360"/>
              <w:rPr>
                <w:rFonts w:cs="Arial"/>
              </w:rPr>
            </w:pPr>
            <w:r w:rsidRPr="00A67277">
              <w:rPr>
                <w:rFonts w:cs="Arial"/>
              </w:rPr>
              <w:t xml:space="preserve">issued by a national general bank or a foreign bank having a branch office in Indonesia, which: </w:t>
            </w:r>
          </w:p>
        </w:tc>
        <w:tc>
          <w:tcPr>
            <w:tcW w:w="169" w:type="pct"/>
          </w:tcPr>
          <w:p w14:paraId="164B95E3" w14:textId="77777777" w:rsidR="00862B0B" w:rsidRPr="00A67277" w:rsidRDefault="00862B0B" w:rsidP="00862B0B">
            <w:pPr>
              <w:spacing w:before="60" w:after="60"/>
              <w:rPr>
                <w:rFonts w:ascii="Arial" w:hAnsi="Arial" w:cs="Arial"/>
                <w:sz w:val="21"/>
                <w:szCs w:val="21"/>
              </w:rPr>
            </w:pPr>
          </w:p>
        </w:tc>
        <w:tc>
          <w:tcPr>
            <w:tcW w:w="2561" w:type="pct"/>
            <w:gridSpan w:val="2"/>
          </w:tcPr>
          <w:p w14:paraId="6CC1F171" w14:textId="5293AEB2" w:rsidR="00862B0B" w:rsidRPr="00A67277" w:rsidRDefault="00862B0B" w:rsidP="00862B0B">
            <w:pPr>
              <w:pStyle w:val="Level4"/>
              <w:numPr>
                <w:ilvl w:val="3"/>
                <w:numId w:val="405"/>
              </w:numPr>
              <w:spacing w:before="60" w:after="60"/>
              <w:rPr>
                <w:rFonts w:cs="Arial"/>
              </w:rPr>
            </w:pPr>
            <w:r w:rsidRPr="00A67277">
              <w:rPr>
                <w:rFonts w:cs="Arial"/>
                <w:lang w:val="id-ID"/>
              </w:rPr>
              <w:t>diterbitkan oleh bank</w:t>
            </w:r>
            <w:r w:rsidRPr="00A67277">
              <w:rPr>
                <w:rFonts w:cs="Arial"/>
                <w:lang w:val="en-US"/>
              </w:rPr>
              <w:t xml:space="preserve"> umum nasional atau bank asing yang memiliki kantor cabang di Indonesia, yang</w:t>
            </w:r>
            <w:r w:rsidRPr="00A67277">
              <w:rPr>
                <w:rFonts w:cs="Arial"/>
                <w:lang w:val="id-ID"/>
              </w:rPr>
              <w:t>:</w:t>
            </w:r>
          </w:p>
        </w:tc>
      </w:tr>
      <w:tr w:rsidR="00862B0B" w:rsidRPr="00A67277" w14:paraId="0ADC8EBB" w14:textId="77777777" w:rsidTr="00862B0B">
        <w:tc>
          <w:tcPr>
            <w:tcW w:w="2270" w:type="pct"/>
          </w:tcPr>
          <w:p w14:paraId="43F2116B" w14:textId="77777777" w:rsidR="00862B0B" w:rsidRPr="00A67277" w:rsidRDefault="00862B0B" w:rsidP="00862B0B">
            <w:pPr>
              <w:pStyle w:val="Level5"/>
              <w:numPr>
                <w:ilvl w:val="4"/>
                <w:numId w:val="405"/>
              </w:numPr>
              <w:spacing w:before="60" w:after="60" w:line="240" w:lineRule="auto"/>
              <w:ind w:left="2432" w:hanging="425"/>
              <w:rPr>
                <w:rFonts w:cs="Arial"/>
              </w:rPr>
            </w:pPr>
            <w:r w:rsidRPr="00A67277">
              <w:rPr>
                <w:rFonts w:cs="Arial"/>
              </w:rPr>
              <w:t xml:space="preserve">having a rating of at least  BBB- </w:t>
            </w:r>
            <w:r w:rsidRPr="00A67277">
              <w:rPr>
                <w:rFonts w:cs="Arial"/>
                <w:lang w:val="en-SG"/>
              </w:rPr>
              <w:t xml:space="preserve">credit </w:t>
            </w:r>
            <w:r w:rsidRPr="00A67277">
              <w:rPr>
                <w:rFonts w:cs="Arial"/>
              </w:rPr>
              <w:t>rating by any of FITCH or Standard &amp; Poor’s or minimum Baa3 by Moody’s Investors Service ; or</w:t>
            </w:r>
          </w:p>
        </w:tc>
        <w:tc>
          <w:tcPr>
            <w:tcW w:w="169" w:type="pct"/>
          </w:tcPr>
          <w:p w14:paraId="3893127C" w14:textId="77777777" w:rsidR="00862B0B" w:rsidRPr="00A67277" w:rsidRDefault="00862B0B" w:rsidP="00862B0B">
            <w:pPr>
              <w:spacing w:before="60" w:after="60"/>
              <w:rPr>
                <w:rFonts w:ascii="Arial" w:hAnsi="Arial" w:cs="Arial"/>
                <w:sz w:val="21"/>
                <w:szCs w:val="21"/>
              </w:rPr>
            </w:pPr>
          </w:p>
        </w:tc>
        <w:tc>
          <w:tcPr>
            <w:tcW w:w="2561" w:type="pct"/>
            <w:gridSpan w:val="2"/>
          </w:tcPr>
          <w:p w14:paraId="7D38E600" w14:textId="77777777" w:rsidR="00862B0B" w:rsidRPr="00A67277" w:rsidRDefault="00862B0B" w:rsidP="00862B0B">
            <w:pPr>
              <w:pStyle w:val="Level5"/>
              <w:numPr>
                <w:ilvl w:val="4"/>
                <w:numId w:val="2"/>
              </w:numPr>
              <w:tabs>
                <w:tab w:val="clear" w:pos="2835"/>
                <w:tab w:val="num" w:pos="2184"/>
              </w:tabs>
              <w:spacing w:before="60" w:after="60"/>
              <w:ind w:left="2184" w:hanging="425"/>
              <w:rPr>
                <w:rFonts w:cs="Arial"/>
                <w:lang w:val="id-ID"/>
              </w:rPr>
            </w:pPr>
            <w:r w:rsidRPr="00A67277">
              <w:rPr>
                <w:rFonts w:cs="Arial"/>
                <w:lang w:val="id-ID"/>
              </w:rPr>
              <w:t>memiliki peringkat sekurang-kurangnya  BBB- oleh salah satu lembaga pemeringkat kredit FITCH</w:t>
            </w:r>
            <w:r w:rsidRPr="00A67277">
              <w:rPr>
                <w:rFonts w:cs="Arial"/>
              </w:rPr>
              <w:t xml:space="preserve"> </w:t>
            </w:r>
            <w:r w:rsidRPr="00A67277">
              <w:rPr>
                <w:rFonts w:cs="Arial"/>
                <w:lang w:val="id-ID"/>
              </w:rPr>
              <w:t>atau</w:t>
            </w:r>
            <w:r w:rsidRPr="00A67277">
              <w:rPr>
                <w:rFonts w:cs="Arial"/>
              </w:rPr>
              <w:t xml:space="preserve"> </w:t>
            </w:r>
            <w:r w:rsidRPr="00A67277">
              <w:t>Standard &amp; Poor’s</w:t>
            </w:r>
            <w:r w:rsidRPr="00A67277">
              <w:rPr>
                <w:rFonts w:cs="Arial"/>
                <w:lang w:val="id-ID"/>
              </w:rPr>
              <w:t xml:space="preserve"> atau dengan minimum peringkat Baa3 oleh </w:t>
            </w:r>
            <w:r w:rsidRPr="00A67277">
              <w:t xml:space="preserve">Moody’s </w:t>
            </w:r>
            <w:r w:rsidRPr="00A67277">
              <w:rPr>
                <w:lang w:val="id-ID"/>
              </w:rPr>
              <w:t>Investor Service</w:t>
            </w:r>
            <w:r w:rsidRPr="00A67277">
              <w:rPr>
                <w:rFonts w:cs="Arial"/>
                <w:lang w:val="id-ID"/>
              </w:rPr>
              <w:t>;</w:t>
            </w:r>
            <w:r w:rsidRPr="00A67277">
              <w:rPr>
                <w:rFonts w:cs="Arial"/>
              </w:rPr>
              <w:t xml:space="preserve"> </w:t>
            </w:r>
            <w:r w:rsidRPr="00A67277">
              <w:rPr>
                <w:rFonts w:cs="Arial"/>
                <w:lang w:val="id-ID"/>
              </w:rPr>
              <w:t xml:space="preserve"> atau</w:t>
            </w:r>
          </w:p>
        </w:tc>
      </w:tr>
      <w:tr w:rsidR="00862B0B" w:rsidRPr="00A67277" w14:paraId="3119D724" w14:textId="77777777" w:rsidTr="00862B0B">
        <w:tc>
          <w:tcPr>
            <w:tcW w:w="2270" w:type="pct"/>
          </w:tcPr>
          <w:p w14:paraId="4A5C51CF" w14:textId="77777777" w:rsidR="00862B0B" w:rsidRPr="00A67277" w:rsidRDefault="00862B0B" w:rsidP="00862B0B">
            <w:pPr>
              <w:pStyle w:val="Level5"/>
              <w:numPr>
                <w:ilvl w:val="4"/>
                <w:numId w:val="405"/>
              </w:numPr>
              <w:spacing w:before="60" w:after="60" w:line="240" w:lineRule="auto"/>
              <w:ind w:left="2432" w:hanging="425"/>
              <w:rPr>
                <w:rFonts w:cs="Arial"/>
              </w:rPr>
            </w:pPr>
            <w:r w:rsidRPr="00A67277">
              <w:rPr>
                <w:rFonts w:cs="Arial"/>
              </w:rPr>
              <w:t>otherwise approved by GCA in its sole discretion.</w:t>
            </w:r>
          </w:p>
        </w:tc>
        <w:tc>
          <w:tcPr>
            <w:tcW w:w="169" w:type="pct"/>
          </w:tcPr>
          <w:p w14:paraId="52BB3CAD" w14:textId="77777777" w:rsidR="00862B0B" w:rsidRPr="00A67277" w:rsidRDefault="00862B0B" w:rsidP="00862B0B">
            <w:pPr>
              <w:spacing w:before="60" w:after="60"/>
              <w:rPr>
                <w:rFonts w:ascii="Arial" w:hAnsi="Arial" w:cs="Arial"/>
                <w:sz w:val="21"/>
                <w:szCs w:val="21"/>
              </w:rPr>
            </w:pPr>
          </w:p>
        </w:tc>
        <w:tc>
          <w:tcPr>
            <w:tcW w:w="2561" w:type="pct"/>
            <w:gridSpan w:val="2"/>
          </w:tcPr>
          <w:p w14:paraId="7413A7D0" w14:textId="77777777" w:rsidR="00862B0B" w:rsidRPr="00A67277" w:rsidRDefault="00862B0B" w:rsidP="00862B0B">
            <w:pPr>
              <w:pStyle w:val="Level5"/>
              <w:numPr>
                <w:ilvl w:val="4"/>
                <w:numId w:val="290"/>
              </w:numPr>
              <w:tabs>
                <w:tab w:val="clear" w:pos="2835"/>
                <w:tab w:val="num" w:pos="2184"/>
              </w:tabs>
              <w:spacing w:before="60" w:after="60"/>
              <w:ind w:left="2184" w:hanging="426"/>
              <w:rPr>
                <w:rFonts w:cs="Arial"/>
                <w:lang w:val="id-ID"/>
              </w:rPr>
            </w:pPr>
            <w:r w:rsidRPr="00A67277">
              <w:rPr>
                <w:rFonts w:cs="Arial"/>
                <w:lang w:val="en-US"/>
              </w:rPr>
              <w:t>disepakati lain</w:t>
            </w:r>
            <w:r w:rsidRPr="00A67277">
              <w:rPr>
                <w:rFonts w:cs="Arial"/>
                <w:lang w:val="id-ID"/>
              </w:rPr>
              <w:t xml:space="preserve"> oleh PJPK </w:t>
            </w:r>
            <w:r w:rsidRPr="00A67277">
              <w:rPr>
                <w:rFonts w:cs="Arial"/>
                <w:lang w:val="en-ID"/>
              </w:rPr>
              <w:t>atas kebijakannya sendiri</w:t>
            </w:r>
            <w:r w:rsidRPr="00A67277">
              <w:rPr>
                <w:rFonts w:cs="Arial"/>
                <w:lang w:val="en-US"/>
              </w:rPr>
              <w:t>.</w:t>
            </w:r>
          </w:p>
        </w:tc>
      </w:tr>
      <w:tr w:rsidR="00862B0B" w:rsidRPr="00A67277" w14:paraId="5779B58F" w14:textId="77777777" w:rsidTr="00862B0B">
        <w:tc>
          <w:tcPr>
            <w:tcW w:w="2270" w:type="pct"/>
          </w:tcPr>
          <w:p w14:paraId="475F4E3A" w14:textId="06A1D4A2" w:rsidR="00862B0B" w:rsidRPr="00A67277" w:rsidRDefault="00862B0B" w:rsidP="00862B0B">
            <w:pPr>
              <w:pStyle w:val="Level4"/>
              <w:numPr>
                <w:ilvl w:val="3"/>
                <w:numId w:val="291"/>
              </w:numPr>
              <w:tabs>
                <w:tab w:val="clear" w:pos="2126"/>
              </w:tabs>
              <w:spacing w:before="60" w:after="60"/>
              <w:ind w:left="2007" w:hanging="426"/>
              <w:rPr>
                <w:rFonts w:cs="Arial"/>
              </w:rPr>
            </w:pPr>
            <w:r w:rsidRPr="00A67277">
              <w:rPr>
                <w:rFonts w:cs="Arial"/>
              </w:rPr>
              <w:t>in the form set out in Appendix 18 (</w:t>
            </w:r>
            <w:r w:rsidRPr="00A67277">
              <w:rPr>
                <w:rFonts w:cs="Arial"/>
                <w:i/>
              </w:rPr>
              <w:t>Format of Performance Bond</w:t>
            </w:r>
            <w:r w:rsidRPr="00A67277">
              <w:rPr>
                <w:rFonts w:cs="Arial"/>
              </w:rPr>
              <w:t>);</w:t>
            </w:r>
          </w:p>
        </w:tc>
        <w:tc>
          <w:tcPr>
            <w:tcW w:w="169" w:type="pct"/>
          </w:tcPr>
          <w:p w14:paraId="2E48F238" w14:textId="77777777" w:rsidR="00862B0B" w:rsidRPr="00A67277" w:rsidRDefault="00862B0B" w:rsidP="00862B0B">
            <w:pPr>
              <w:spacing w:before="60" w:after="60"/>
              <w:rPr>
                <w:rFonts w:ascii="Arial" w:hAnsi="Arial" w:cs="Arial"/>
                <w:sz w:val="21"/>
                <w:szCs w:val="21"/>
              </w:rPr>
            </w:pPr>
          </w:p>
        </w:tc>
        <w:tc>
          <w:tcPr>
            <w:tcW w:w="2561" w:type="pct"/>
            <w:gridSpan w:val="2"/>
          </w:tcPr>
          <w:p w14:paraId="3F811E71" w14:textId="096708E5" w:rsidR="00862B0B" w:rsidRPr="00A67277" w:rsidRDefault="00862B0B" w:rsidP="00862B0B">
            <w:pPr>
              <w:pStyle w:val="Level4"/>
              <w:numPr>
                <w:ilvl w:val="3"/>
                <w:numId w:val="292"/>
              </w:numPr>
              <w:tabs>
                <w:tab w:val="clear" w:pos="2126"/>
              </w:tabs>
              <w:spacing w:before="60" w:after="60"/>
              <w:ind w:left="1759" w:hanging="426"/>
              <w:rPr>
                <w:rFonts w:cs="Arial"/>
              </w:rPr>
            </w:pPr>
            <w:r w:rsidRPr="00A67277">
              <w:rPr>
                <w:rFonts w:cs="Arial"/>
                <w:lang w:val="id-ID"/>
              </w:rPr>
              <w:t xml:space="preserve">dalam bentuk yang ditetapkan dalam Lampiran </w:t>
            </w:r>
            <w:r w:rsidRPr="00A67277">
              <w:rPr>
                <w:rFonts w:cs="Arial"/>
                <w:lang w:val="en-US"/>
              </w:rPr>
              <w:t>18</w:t>
            </w:r>
            <w:r w:rsidRPr="00A67277">
              <w:rPr>
                <w:rFonts w:cs="Arial"/>
                <w:lang w:val="id-ID"/>
              </w:rPr>
              <w:t xml:space="preserve"> (</w:t>
            </w:r>
            <w:r w:rsidRPr="00A67277">
              <w:rPr>
                <w:rFonts w:cs="Arial"/>
                <w:i/>
                <w:lang w:val="id-ID"/>
              </w:rPr>
              <w:t xml:space="preserve">Format </w:t>
            </w:r>
            <w:r w:rsidRPr="00A67277">
              <w:rPr>
                <w:rFonts w:cs="Arial"/>
                <w:i/>
                <w:lang w:val="en-US"/>
              </w:rPr>
              <w:t xml:space="preserve">Jaminan </w:t>
            </w:r>
            <w:r w:rsidRPr="00A67277">
              <w:rPr>
                <w:rFonts w:cs="Arial"/>
                <w:i/>
                <w:lang w:val="id-ID"/>
              </w:rPr>
              <w:t>Pelaksanaan</w:t>
            </w:r>
            <w:r w:rsidRPr="00A67277">
              <w:rPr>
                <w:rFonts w:cs="Arial"/>
                <w:lang w:val="id-ID"/>
              </w:rPr>
              <w:t>)</w:t>
            </w:r>
            <w:r w:rsidRPr="00A67277">
              <w:rPr>
                <w:rFonts w:cs="Arial"/>
                <w:lang w:val="en-US"/>
              </w:rPr>
              <w:t>;</w:t>
            </w:r>
          </w:p>
        </w:tc>
      </w:tr>
      <w:tr w:rsidR="00862B0B" w:rsidRPr="00A67277" w14:paraId="7C7A726B" w14:textId="77777777" w:rsidTr="00862B0B">
        <w:tc>
          <w:tcPr>
            <w:tcW w:w="2270" w:type="pct"/>
          </w:tcPr>
          <w:p w14:paraId="733706FD" w14:textId="62EA9369" w:rsidR="00862B0B" w:rsidRPr="00A67277" w:rsidRDefault="00862B0B" w:rsidP="00862B0B">
            <w:pPr>
              <w:pStyle w:val="Level4"/>
              <w:numPr>
                <w:ilvl w:val="3"/>
                <w:numId w:val="458"/>
              </w:numPr>
              <w:spacing w:before="60" w:after="60"/>
              <w:ind w:hanging="523"/>
            </w:pPr>
            <w:r w:rsidRPr="00A67277">
              <w:rPr>
                <w:rFonts w:cs="Arial"/>
              </w:rPr>
              <w:t xml:space="preserve">in the aggregate amount of </w:t>
            </w:r>
            <w:r w:rsidRPr="00A67277">
              <w:t xml:space="preserve">of </w:t>
            </w:r>
            <w:r w:rsidRPr="00A67277">
              <w:rPr>
                <w:i/>
                <w:szCs w:val="24"/>
              </w:rPr>
              <w:t>[will be inserted the amount of 1% of the project cost]</w:t>
            </w:r>
            <w:r w:rsidRPr="00A67277">
              <w:rPr>
                <w:szCs w:val="24"/>
              </w:rPr>
              <w:t xml:space="preserve"> Indonesian Rupiah (IDR[●])</w:t>
            </w:r>
            <w:r w:rsidRPr="00A67277">
              <w:t>; and</w:t>
            </w:r>
          </w:p>
        </w:tc>
        <w:tc>
          <w:tcPr>
            <w:tcW w:w="169" w:type="pct"/>
          </w:tcPr>
          <w:p w14:paraId="21140229" w14:textId="77777777" w:rsidR="00862B0B" w:rsidRPr="00A67277" w:rsidRDefault="00862B0B" w:rsidP="00862B0B">
            <w:pPr>
              <w:spacing w:before="60" w:after="60"/>
              <w:rPr>
                <w:rFonts w:ascii="Arial" w:hAnsi="Arial" w:cs="Arial"/>
                <w:sz w:val="21"/>
                <w:szCs w:val="21"/>
              </w:rPr>
            </w:pPr>
          </w:p>
        </w:tc>
        <w:tc>
          <w:tcPr>
            <w:tcW w:w="2561" w:type="pct"/>
            <w:gridSpan w:val="2"/>
          </w:tcPr>
          <w:p w14:paraId="17A3A841" w14:textId="77777777" w:rsidR="00862B0B" w:rsidRPr="00A67277" w:rsidRDefault="00862B0B" w:rsidP="00862B0B">
            <w:pPr>
              <w:pStyle w:val="Level4"/>
              <w:numPr>
                <w:ilvl w:val="3"/>
                <w:numId w:val="406"/>
              </w:numPr>
              <w:tabs>
                <w:tab w:val="clear" w:pos="2126"/>
              </w:tabs>
              <w:spacing w:before="60" w:after="60"/>
              <w:ind w:left="1782" w:hanging="365"/>
              <w:rPr>
                <w:rFonts w:cs="Arial"/>
              </w:rPr>
            </w:pPr>
            <w:r w:rsidRPr="00A67277">
              <w:rPr>
                <w:rFonts w:cs="Arial"/>
              </w:rPr>
              <w:t>dalam jumlah keseluruhan [akan dimasukan jumlah 1% dari biaya proyek] rupiah (Rp [</w:t>
            </w:r>
            <w:r w:rsidRPr="00A67277">
              <w:rPr>
                <w:rFonts w:cs="Arial"/>
              </w:rPr>
              <w:sym w:font="Symbol" w:char="F0B7"/>
            </w:r>
            <w:r w:rsidRPr="00A67277">
              <w:rPr>
                <w:rFonts w:cs="Arial"/>
              </w:rPr>
              <w:t xml:space="preserve">]) </w:t>
            </w:r>
          </w:p>
        </w:tc>
      </w:tr>
      <w:tr w:rsidR="00862B0B" w:rsidRPr="00A67277" w14:paraId="7DC50110" w14:textId="77777777" w:rsidTr="00862B0B">
        <w:tc>
          <w:tcPr>
            <w:tcW w:w="2270" w:type="pct"/>
          </w:tcPr>
          <w:p w14:paraId="0084648B" w14:textId="77777777" w:rsidR="00862B0B" w:rsidRPr="00A67277" w:rsidRDefault="00862B0B" w:rsidP="00862B0B">
            <w:pPr>
              <w:pStyle w:val="Level4"/>
              <w:numPr>
                <w:ilvl w:val="3"/>
                <w:numId w:val="458"/>
              </w:numPr>
              <w:spacing w:before="60" w:after="60"/>
              <w:ind w:hanging="523"/>
              <w:rPr>
                <w:rFonts w:cs="Arial"/>
              </w:rPr>
            </w:pPr>
            <w:r w:rsidRPr="00A67277">
              <w:rPr>
                <w:rFonts w:cs="Arial"/>
              </w:rPr>
              <w:t>valid for the period from the Signing Dated until the Effective Date or as that date may be extended in accordance with the terms of the Stage I Performance  Bond</w:t>
            </w:r>
            <w:r w:rsidRPr="00A67277" w:rsidDel="00D92226">
              <w:rPr>
                <w:rFonts w:cs="Arial"/>
              </w:rPr>
              <w:t xml:space="preserve"> </w:t>
            </w:r>
            <w:r w:rsidRPr="00A67277">
              <w:rPr>
                <w:rFonts w:cs="Arial"/>
              </w:rPr>
              <w:t xml:space="preserve">or as otherwise agreed between the Parties. </w:t>
            </w:r>
          </w:p>
        </w:tc>
        <w:tc>
          <w:tcPr>
            <w:tcW w:w="169" w:type="pct"/>
          </w:tcPr>
          <w:p w14:paraId="7211CABC" w14:textId="77777777" w:rsidR="00862B0B" w:rsidRPr="00A67277" w:rsidRDefault="00862B0B" w:rsidP="00862B0B">
            <w:pPr>
              <w:spacing w:before="60" w:after="60"/>
              <w:rPr>
                <w:rFonts w:ascii="Arial" w:hAnsi="Arial" w:cs="Arial"/>
                <w:sz w:val="21"/>
                <w:szCs w:val="21"/>
              </w:rPr>
            </w:pPr>
          </w:p>
        </w:tc>
        <w:tc>
          <w:tcPr>
            <w:tcW w:w="2561" w:type="pct"/>
            <w:gridSpan w:val="2"/>
          </w:tcPr>
          <w:p w14:paraId="2F9B8EE0" w14:textId="77777777" w:rsidR="00862B0B" w:rsidRPr="00A67277" w:rsidRDefault="00862B0B" w:rsidP="00862B0B">
            <w:pPr>
              <w:pStyle w:val="Level4"/>
              <w:numPr>
                <w:ilvl w:val="3"/>
                <w:numId w:val="293"/>
              </w:numPr>
              <w:tabs>
                <w:tab w:val="clear" w:pos="2126"/>
              </w:tabs>
              <w:spacing w:before="60" w:after="60"/>
              <w:ind w:left="1759" w:hanging="426"/>
              <w:rPr>
                <w:rFonts w:cs="Arial"/>
              </w:rPr>
            </w:pPr>
            <w:r w:rsidRPr="00A67277">
              <w:rPr>
                <w:rFonts w:cs="Arial"/>
                <w:lang w:val="id-ID"/>
              </w:rPr>
              <w:t xml:space="preserve">berlaku untuk periode sejak Tanggal </w:t>
            </w:r>
            <w:r w:rsidRPr="00A67277">
              <w:rPr>
                <w:rFonts w:cs="Arial"/>
                <w:lang w:val="en-ID"/>
              </w:rPr>
              <w:t xml:space="preserve">Penandatanganan </w:t>
            </w:r>
            <w:r w:rsidRPr="00A67277">
              <w:rPr>
                <w:rFonts w:cs="Arial"/>
                <w:lang w:val="id-ID"/>
              </w:rPr>
              <w:t xml:space="preserve">sampai Tanggal </w:t>
            </w:r>
            <w:r w:rsidRPr="00A67277">
              <w:rPr>
                <w:rFonts w:cs="Arial"/>
                <w:lang w:val="en-ID"/>
              </w:rPr>
              <w:t>Efektif</w:t>
            </w:r>
            <w:r w:rsidRPr="00A67277">
              <w:rPr>
                <w:rFonts w:cs="Arial"/>
                <w:lang w:val="id-ID"/>
              </w:rPr>
              <w:t xml:space="preserve"> atau </w:t>
            </w:r>
            <w:r w:rsidRPr="00A67277">
              <w:rPr>
                <w:rFonts w:cs="Arial"/>
                <w:lang w:val="en-US"/>
              </w:rPr>
              <w:t xml:space="preserve">setiap perpanjangannya </w:t>
            </w:r>
            <w:r w:rsidRPr="00A67277">
              <w:rPr>
                <w:rFonts w:cs="Arial"/>
                <w:lang w:val="id-ID"/>
              </w:rPr>
              <w:t xml:space="preserve">sesuai dengan persyaratan </w:t>
            </w:r>
            <w:r w:rsidRPr="00A67277">
              <w:rPr>
                <w:rFonts w:cs="Arial"/>
              </w:rPr>
              <w:t>Jaminan Pelaksanaan</w:t>
            </w:r>
            <w:r w:rsidRPr="00A67277">
              <w:rPr>
                <w:rFonts w:cs="Arial"/>
                <w:lang w:val="id-ID"/>
              </w:rPr>
              <w:t xml:space="preserve"> </w:t>
            </w:r>
            <w:r w:rsidRPr="00A67277">
              <w:rPr>
                <w:rFonts w:cs="Arial"/>
                <w:lang w:val="en-US"/>
              </w:rPr>
              <w:t xml:space="preserve">Tahap I </w:t>
            </w:r>
            <w:r w:rsidRPr="00A67277">
              <w:rPr>
                <w:rFonts w:cs="Arial"/>
                <w:lang w:val="id-ID"/>
              </w:rPr>
              <w:t xml:space="preserve">atau </w:t>
            </w:r>
            <w:r w:rsidRPr="00A67277">
              <w:rPr>
                <w:rFonts w:cs="Arial"/>
                <w:lang w:val="en-US"/>
              </w:rPr>
              <w:t xml:space="preserve">disepakati lain </w:t>
            </w:r>
            <w:r w:rsidRPr="00A67277">
              <w:rPr>
                <w:rFonts w:cs="Arial"/>
                <w:lang w:val="id-ID"/>
              </w:rPr>
              <w:t xml:space="preserve">oleh </w:t>
            </w:r>
            <w:r w:rsidRPr="00A67277">
              <w:rPr>
                <w:rFonts w:cs="Arial"/>
              </w:rPr>
              <w:t xml:space="preserve">Para </w:t>
            </w:r>
            <w:r w:rsidRPr="00A67277">
              <w:rPr>
                <w:rFonts w:cs="Arial"/>
                <w:lang w:val="id-ID"/>
              </w:rPr>
              <w:t>Pihak</w:t>
            </w:r>
            <w:r w:rsidRPr="00A67277">
              <w:rPr>
                <w:rFonts w:cs="Arial"/>
                <w:lang w:val="en-US"/>
              </w:rPr>
              <w:t>.</w:t>
            </w:r>
          </w:p>
        </w:tc>
      </w:tr>
      <w:tr w:rsidR="00862B0B" w:rsidRPr="00A67277" w14:paraId="6EC5BEDC" w14:textId="77777777" w:rsidTr="00862B0B">
        <w:tc>
          <w:tcPr>
            <w:tcW w:w="2270" w:type="pct"/>
          </w:tcPr>
          <w:p w14:paraId="09C6ACEA" w14:textId="1BDE4702"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29" w:name="_Toc501177897"/>
            <w:r w:rsidRPr="00A67277">
              <w:rPr>
                <w:rFonts w:cs="Arial"/>
              </w:rPr>
              <w:t xml:space="preserve">If there is at any time a change in the status or financial position of the issuer of the Stage I Performance Bond, the IBE shall, upon becoming aware of this, notify GCA without delay, or GCA may notify the IBE, thereupon the IBE shall promptly replace the relevant Stage I Implementation </w:t>
            </w:r>
            <w:r>
              <w:rPr>
                <w:rFonts w:cs="Arial"/>
              </w:rPr>
              <w:t>Guarantee</w:t>
            </w:r>
            <w:r w:rsidRPr="00A67277">
              <w:rPr>
                <w:rFonts w:cs="Arial"/>
              </w:rPr>
              <w:t xml:space="preserve"> with another first demand bank guarantee issued in identical terms by another bank that satisfies the criteria set out in paragraph (b).</w:t>
            </w:r>
            <w:bookmarkEnd w:id="129"/>
          </w:p>
        </w:tc>
        <w:tc>
          <w:tcPr>
            <w:tcW w:w="169" w:type="pct"/>
          </w:tcPr>
          <w:p w14:paraId="25E44847" w14:textId="77777777" w:rsidR="00862B0B" w:rsidRPr="00A67277" w:rsidRDefault="00862B0B" w:rsidP="00862B0B">
            <w:pPr>
              <w:spacing w:before="60" w:after="60"/>
              <w:rPr>
                <w:rFonts w:ascii="Arial" w:hAnsi="Arial" w:cs="Arial"/>
                <w:sz w:val="21"/>
                <w:szCs w:val="21"/>
              </w:rPr>
            </w:pPr>
          </w:p>
        </w:tc>
        <w:tc>
          <w:tcPr>
            <w:tcW w:w="2561" w:type="pct"/>
            <w:gridSpan w:val="2"/>
          </w:tcPr>
          <w:p w14:paraId="41B59945" w14:textId="77777777" w:rsidR="00862B0B" w:rsidRPr="00A67277" w:rsidRDefault="00862B0B" w:rsidP="00862B0B">
            <w:pPr>
              <w:pStyle w:val="Level3"/>
              <w:numPr>
                <w:ilvl w:val="2"/>
                <w:numId w:val="295"/>
              </w:numPr>
              <w:tabs>
                <w:tab w:val="clear" w:pos="1417"/>
                <w:tab w:val="num" w:pos="1333"/>
              </w:tabs>
              <w:spacing w:before="60" w:after="60"/>
              <w:ind w:left="1333" w:hanging="425"/>
              <w:rPr>
                <w:rFonts w:cs="Arial"/>
              </w:rPr>
            </w:pPr>
            <w:r w:rsidRPr="00A67277">
              <w:rPr>
                <w:rFonts w:cs="Arial"/>
              </w:rPr>
              <w:t>Apabila sewaktu-waktu terjadi perubahan terhadap status kondisi keuangan dari penerbit Jaminan Pelaksanaan Tahap I, BUP harus, setelah mengetahui kejadian tersebut, memberitahukan tanpa penundaan kepada PJPK, atau PJPK dapat memberitahukan kepada BUP, setelah itu BUP harus segera mengganti Jaminan Pelaksanaan Tahap I dengan bank garansi permintaan pertama yang dikeluarkan oleh bank lain dengan ketentuan yang sama yang memenuhi kriteria sebagaimana ditetapkan dalam paragraf (b).</w:t>
            </w:r>
          </w:p>
        </w:tc>
      </w:tr>
      <w:tr w:rsidR="00862B0B" w:rsidRPr="00A67277" w14:paraId="7DEDFB94" w14:textId="77777777" w:rsidTr="00862B0B">
        <w:tc>
          <w:tcPr>
            <w:tcW w:w="2270" w:type="pct"/>
          </w:tcPr>
          <w:p w14:paraId="3337F31C" w14:textId="0193BFF0"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30" w:name="_Toc501177898"/>
            <w:r w:rsidRPr="00A67277">
              <w:rPr>
                <w:rFonts w:cs="Arial"/>
              </w:rPr>
              <w:t xml:space="preserve">The IBE shall ensure that, throughout the </w:t>
            </w:r>
            <w:r w:rsidRPr="00A67277">
              <w:t>validity period referred to in paragraph (b)(iv) above</w:t>
            </w:r>
            <w:r w:rsidRPr="00A67277">
              <w:rPr>
                <w:rFonts w:cs="Arial"/>
              </w:rPr>
              <w:t>, the Stage I Performance Bond is maintained in the amount set out in paragraph (b) and is otherwise kept in full force and effect until it is permitted to be returned in accordance with the terms of this Agreement.</w:t>
            </w:r>
            <w:bookmarkEnd w:id="130"/>
          </w:p>
          <w:p w14:paraId="04765650" w14:textId="77777777" w:rsidR="00862B0B" w:rsidRPr="00A67277" w:rsidRDefault="00862B0B" w:rsidP="00862B0B">
            <w:pPr>
              <w:spacing w:before="60" w:after="60"/>
              <w:rPr>
                <w:rFonts w:ascii="Arial" w:hAnsi="Arial" w:cs="Arial"/>
                <w:sz w:val="21"/>
                <w:szCs w:val="21"/>
              </w:rPr>
            </w:pPr>
          </w:p>
        </w:tc>
        <w:tc>
          <w:tcPr>
            <w:tcW w:w="169" w:type="pct"/>
          </w:tcPr>
          <w:p w14:paraId="4AD9E612" w14:textId="77777777" w:rsidR="00862B0B" w:rsidRPr="00A67277" w:rsidRDefault="00862B0B" w:rsidP="00862B0B">
            <w:pPr>
              <w:spacing w:before="60" w:after="60"/>
              <w:rPr>
                <w:rFonts w:ascii="Arial" w:hAnsi="Arial" w:cs="Arial"/>
                <w:sz w:val="21"/>
                <w:szCs w:val="21"/>
              </w:rPr>
            </w:pPr>
          </w:p>
        </w:tc>
        <w:tc>
          <w:tcPr>
            <w:tcW w:w="2561" w:type="pct"/>
            <w:gridSpan w:val="2"/>
          </w:tcPr>
          <w:p w14:paraId="245C246C" w14:textId="77777777" w:rsidR="00862B0B" w:rsidRPr="00A67277" w:rsidRDefault="00862B0B" w:rsidP="00862B0B">
            <w:pPr>
              <w:pStyle w:val="Level3"/>
              <w:numPr>
                <w:ilvl w:val="2"/>
                <w:numId w:val="295"/>
              </w:numPr>
              <w:tabs>
                <w:tab w:val="clear" w:pos="1417"/>
                <w:tab w:val="num" w:pos="1333"/>
              </w:tabs>
              <w:spacing w:before="60" w:after="60"/>
              <w:ind w:left="1333" w:hanging="425"/>
              <w:rPr>
                <w:rFonts w:cs="Arial"/>
              </w:rPr>
            </w:pPr>
            <w:r w:rsidRPr="00A67277">
              <w:rPr>
                <w:rFonts w:cs="Arial"/>
              </w:rPr>
              <w:t xml:space="preserve">BUP harus memastikan selama Jangka Waktu Keberlakuan sebagaimana diatur dalam paragraf (b)(iv) di atas, Jaminan Pelaksanaan Tahap I harus dipertahankan dalam jumlah yang tercantum dalam </w:t>
            </w:r>
            <w:r w:rsidRPr="00A67277">
              <w:rPr>
                <w:rFonts w:cs="Arial"/>
                <w:lang w:val="en-US"/>
              </w:rPr>
              <w:t xml:space="preserve">paragraf </w:t>
            </w:r>
            <w:r w:rsidRPr="00A67277">
              <w:rPr>
                <w:rFonts w:cs="Arial"/>
                <w:lang w:val="id-ID"/>
              </w:rPr>
              <w:t>(b)</w:t>
            </w:r>
            <w:r w:rsidRPr="00A67277">
              <w:rPr>
                <w:rFonts w:cs="Arial"/>
              </w:rPr>
              <w:t xml:space="preserve"> dan harus tetap berlaku penuh dan efektif sampai diizinkan untuk dikembalikan sesuai dengan persyaratan dalam Perjanjian ini.</w:t>
            </w:r>
          </w:p>
        </w:tc>
      </w:tr>
      <w:tr w:rsidR="00862B0B" w:rsidRPr="00A67277" w14:paraId="0CBB0C2A" w14:textId="77777777" w:rsidTr="00862B0B">
        <w:tc>
          <w:tcPr>
            <w:tcW w:w="2270" w:type="pct"/>
          </w:tcPr>
          <w:p w14:paraId="2DD94D62" w14:textId="42049391"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31" w:name="_Toc501177900"/>
            <w:r w:rsidRPr="00A67277">
              <w:rPr>
                <w:rFonts w:cs="Arial"/>
              </w:rPr>
              <w:t>GCA shall have full recourse to the whole of the Stage I Performance Bond as provided under Clause 3.4 (Termination for Failure to Satisfy Conditions Precedent)</w:t>
            </w:r>
            <w:bookmarkEnd w:id="131"/>
            <w:r w:rsidRPr="00A67277">
              <w:rPr>
                <w:rFonts w:cs="Arial"/>
              </w:rPr>
              <w:t>.</w:t>
            </w:r>
          </w:p>
        </w:tc>
        <w:tc>
          <w:tcPr>
            <w:tcW w:w="169" w:type="pct"/>
          </w:tcPr>
          <w:p w14:paraId="047A82BF" w14:textId="77777777" w:rsidR="00862B0B" w:rsidRPr="00A67277" w:rsidRDefault="00862B0B" w:rsidP="00862B0B">
            <w:pPr>
              <w:spacing w:before="60" w:after="60"/>
              <w:rPr>
                <w:rFonts w:ascii="Arial" w:hAnsi="Arial" w:cs="Arial"/>
                <w:sz w:val="21"/>
                <w:szCs w:val="21"/>
              </w:rPr>
            </w:pPr>
          </w:p>
        </w:tc>
        <w:tc>
          <w:tcPr>
            <w:tcW w:w="2561" w:type="pct"/>
            <w:gridSpan w:val="2"/>
          </w:tcPr>
          <w:p w14:paraId="6AF67A34" w14:textId="77777777" w:rsidR="00862B0B" w:rsidRPr="00A67277" w:rsidRDefault="00862B0B" w:rsidP="00862B0B">
            <w:pPr>
              <w:pStyle w:val="Level3"/>
              <w:spacing w:before="60" w:after="60"/>
              <w:ind w:left="1332" w:hanging="450"/>
              <w:rPr>
                <w:rFonts w:cs="Arial"/>
              </w:rPr>
            </w:pPr>
            <w:r w:rsidRPr="00A67277">
              <w:rPr>
                <w:rFonts w:cs="Arial"/>
              </w:rPr>
              <w:t>(e)</w:t>
            </w:r>
            <w:r w:rsidRPr="00A67277">
              <w:rPr>
                <w:rFonts w:cs="Arial"/>
              </w:rPr>
              <w:tab/>
              <w:t>PJPK</w:t>
            </w:r>
            <w:r w:rsidRPr="00A67277">
              <w:rPr>
                <w:rFonts w:cs="Arial"/>
                <w:lang w:val="id-ID"/>
              </w:rPr>
              <w:t xml:space="preserve"> harus memiliki </w:t>
            </w:r>
            <w:r w:rsidRPr="00A67277">
              <w:rPr>
                <w:rFonts w:cs="Arial"/>
                <w:lang w:val="en-US"/>
              </w:rPr>
              <w:t xml:space="preserve">akses penuh atas </w:t>
            </w:r>
            <w:r w:rsidRPr="00A67277">
              <w:rPr>
                <w:rFonts w:cs="Arial"/>
                <w:lang w:val="id-ID"/>
              </w:rPr>
              <w:t xml:space="preserve">keseluruhan Jaminan Pelaksanaan Tahap I sebagaimana diatur dalam </w:t>
            </w:r>
            <w:r w:rsidRPr="00A67277">
              <w:rPr>
                <w:rFonts w:cs="Arial"/>
              </w:rPr>
              <w:t>Pasal</w:t>
            </w:r>
            <w:r w:rsidRPr="00A67277">
              <w:rPr>
                <w:rFonts w:cs="Arial"/>
                <w:lang w:val="id-ID"/>
              </w:rPr>
              <w:t xml:space="preserve"> 3.</w:t>
            </w:r>
            <w:r w:rsidRPr="00A67277">
              <w:rPr>
                <w:rFonts w:cs="Arial"/>
                <w:lang w:val="en-US"/>
              </w:rPr>
              <w:t>4</w:t>
            </w:r>
            <w:r w:rsidRPr="00A67277">
              <w:rPr>
                <w:rFonts w:cs="Arial"/>
                <w:lang w:val="id-ID"/>
              </w:rPr>
              <w:t xml:space="preserve"> (</w:t>
            </w:r>
            <w:r w:rsidRPr="00A67277">
              <w:rPr>
                <w:rFonts w:cs="Arial"/>
                <w:i/>
              </w:rPr>
              <w:t>Pengakhiran karena Kegagalan Memenuhi Persyaratan Pendahuluan</w:t>
            </w:r>
            <w:r w:rsidRPr="00A67277">
              <w:rPr>
                <w:rFonts w:cs="Arial"/>
                <w:lang w:val="id-ID"/>
              </w:rPr>
              <w:t>).</w:t>
            </w:r>
          </w:p>
        </w:tc>
      </w:tr>
      <w:tr w:rsidR="00862B0B" w:rsidRPr="00A67277" w14:paraId="6619E619" w14:textId="77777777" w:rsidTr="00862B0B">
        <w:tc>
          <w:tcPr>
            <w:tcW w:w="2270" w:type="pct"/>
          </w:tcPr>
          <w:p w14:paraId="7ECE50B1" w14:textId="2C0E4BF6"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32" w:name="_Toc501177901"/>
            <w:r w:rsidRPr="00A67277">
              <w:rPr>
                <w:rFonts w:cs="Arial"/>
              </w:rPr>
              <w:t>The amount called under the Stage I Performance Bond by GCA in any of the circumstances described in paragraph (f) will be an amount provided for in this Agreement.</w:t>
            </w:r>
            <w:bookmarkEnd w:id="132"/>
          </w:p>
        </w:tc>
        <w:tc>
          <w:tcPr>
            <w:tcW w:w="169" w:type="pct"/>
          </w:tcPr>
          <w:p w14:paraId="4BFA814C" w14:textId="77777777" w:rsidR="00862B0B" w:rsidRPr="00A67277" w:rsidRDefault="00862B0B" w:rsidP="00862B0B">
            <w:pPr>
              <w:spacing w:before="60" w:after="60"/>
              <w:rPr>
                <w:rFonts w:ascii="Arial" w:hAnsi="Arial" w:cs="Arial"/>
                <w:sz w:val="21"/>
                <w:szCs w:val="21"/>
              </w:rPr>
            </w:pPr>
          </w:p>
        </w:tc>
        <w:tc>
          <w:tcPr>
            <w:tcW w:w="2561" w:type="pct"/>
            <w:gridSpan w:val="2"/>
          </w:tcPr>
          <w:p w14:paraId="643F2922" w14:textId="77777777" w:rsidR="00862B0B" w:rsidRPr="00A67277" w:rsidRDefault="00862B0B" w:rsidP="00862B0B">
            <w:pPr>
              <w:pStyle w:val="Level3"/>
              <w:spacing w:before="60" w:after="60"/>
              <w:ind w:left="1332" w:hanging="450"/>
              <w:rPr>
                <w:rFonts w:cs="Arial"/>
              </w:rPr>
            </w:pPr>
            <w:r w:rsidRPr="00A67277">
              <w:rPr>
                <w:rFonts w:cs="Arial"/>
                <w:lang w:val="en-US"/>
              </w:rPr>
              <w:t>(f)</w:t>
            </w:r>
            <w:r w:rsidRPr="00A67277">
              <w:rPr>
                <w:rFonts w:cs="Arial"/>
                <w:lang w:val="en-US"/>
              </w:rPr>
              <w:tab/>
            </w:r>
            <w:r w:rsidRPr="00A67277">
              <w:rPr>
                <w:rFonts w:cs="Arial"/>
                <w:lang w:val="id-ID"/>
              </w:rPr>
              <w:t xml:space="preserve">Jumlah yang </w:t>
            </w:r>
            <w:r w:rsidRPr="00A67277">
              <w:rPr>
                <w:rFonts w:cs="Arial"/>
                <w:lang w:val="en-US"/>
              </w:rPr>
              <w:t xml:space="preserve">dimintakan oleh PJPK untuk dicairkan dari </w:t>
            </w:r>
            <w:r w:rsidRPr="00A67277">
              <w:rPr>
                <w:rFonts w:cs="Arial"/>
                <w:lang w:val="id-ID"/>
              </w:rPr>
              <w:t xml:space="preserve">Jaminan Pelaksanaan Tahap I dalam situasi apa pun yang dijelaskan dalam paragraf (f) </w:t>
            </w:r>
            <w:r w:rsidRPr="00A67277">
              <w:rPr>
                <w:rFonts w:cs="Arial"/>
                <w:lang w:val="en-US"/>
              </w:rPr>
              <w:t xml:space="preserve">harus sesuai dengan </w:t>
            </w:r>
            <w:r w:rsidRPr="00A67277">
              <w:rPr>
                <w:rFonts w:cs="Arial"/>
                <w:lang w:val="id-ID"/>
              </w:rPr>
              <w:t>jumlah yang diatur dalam Perjanjian ini.</w:t>
            </w:r>
          </w:p>
        </w:tc>
      </w:tr>
      <w:tr w:rsidR="00862B0B" w:rsidRPr="00A67277" w14:paraId="1EA91F22" w14:textId="77777777" w:rsidTr="00862B0B">
        <w:tc>
          <w:tcPr>
            <w:tcW w:w="2270" w:type="pct"/>
          </w:tcPr>
          <w:p w14:paraId="0A9D4ABE" w14:textId="7B37632B" w:rsidR="00862B0B" w:rsidRPr="00A67277" w:rsidRDefault="00862B0B" w:rsidP="00862B0B">
            <w:pPr>
              <w:pStyle w:val="Level3"/>
              <w:numPr>
                <w:ilvl w:val="2"/>
                <w:numId w:val="287"/>
              </w:numPr>
              <w:tabs>
                <w:tab w:val="clear" w:pos="1417"/>
                <w:tab w:val="num" w:pos="1581"/>
              </w:tabs>
              <w:spacing w:before="60" w:after="60"/>
              <w:ind w:left="1581" w:hanging="425"/>
              <w:rPr>
                <w:rFonts w:cs="Arial"/>
              </w:rPr>
            </w:pPr>
            <w:bookmarkStart w:id="133" w:name="_Toc501177902"/>
            <w:r w:rsidRPr="00A67277">
              <w:rPr>
                <w:rFonts w:cs="Arial"/>
              </w:rPr>
              <w:t>If it is determined that GCA is not entitled to the money received under the Stage I Performance Bond, GCA shall repay the amount (excluding interest) called under the Stage I Performance  Bond</w:t>
            </w:r>
            <w:r w:rsidRPr="00A67277" w:rsidDel="00D92226">
              <w:rPr>
                <w:rFonts w:cs="Arial"/>
              </w:rPr>
              <w:t xml:space="preserve"> </w:t>
            </w:r>
            <w:r w:rsidRPr="00A67277">
              <w:rPr>
                <w:rFonts w:cs="Arial"/>
              </w:rPr>
              <w:t>as soon as practicable after the determination has been made.</w:t>
            </w:r>
            <w:bookmarkEnd w:id="133"/>
          </w:p>
        </w:tc>
        <w:tc>
          <w:tcPr>
            <w:tcW w:w="169" w:type="pct"/>
          </w:tcPr>
          <w:p w14:paraId="4F48FF96" w14:textId="77777777" w:rsidR="00862B0B" w:rsidRPr="00A67277" w:rsidRDefault="00862B0B" w:rsidP="00862B0B">
            <w:pPr>
              <w:spacing w:before="60" w:after="60"/>
              <w:rPr>
                <w:rFonts w:ascii="Arial" w:hAnsi="Arial" w:cs="Arial"/>
                <w:sz w:val="21"/>
                <w:szCs w:val="21"/>
              </w:rPr>
            </w:pPr>
          </w:p>
        </w:tc>
        <w:tc>
          <w:tcPr>
            <w:tcW w:w="2561" w:type="pct"/>
            <w:gridSpan w:val="2"/>
          </w:tcPr>
          <w:p w14:paraId="3E820FE8" w14:textId="77777777" w:rsidR="00862B0B" w:rsidRPr="00A67277" w:rsidRDefault="00862B0B" w:rsidP="00862B0B">
            <w:pPr>
              <w:pStyle w:val="Level3"/>
              <w:numPr>
                <w:ilvl w:val="2"/>
                <w:numId w:val="297"/>
              </w:numPr>
              <w:tabs>
                <w:tab w:val="clear" w:pos="1417"/>
                <w:tab w:val="num" w:pos="1333"/>
              </w:tabs>
              <w:spacing w:before="60" w:after="60"/>
              <w:ind w:left="1333" w:hanging="425"/>
              <w:rPr>
                <w:rFonts w:cs="Arial"/>
              </w:rPr>
            </w:pPr>
            <w:r w:rsidRPr="00A67277">
              <w:rPr>
                <w:rFonts w:cs="Arial"/>
                <w:lang w:val="id-ID"/>
              </w:rPr>
              <w:t xml:space="preserve">Jika ditentukan bahwa </w:t>
            </w:r>
            <w:r w:rsidRPr="00931CB6">
              <w:rPr>
                <w:rFonts w:cs="Arial"/>
                <w:lang w:val="id-ID"/>
              </w:rPr>
              <w:t>PJPK</w:t>
            </w:r>
            <w:r w:rsidRPr="00A67277">
              <w:rPr>
                <w:rFonts w:cs="Arial"/>
                <w:lang w:val="id-ID"/>
              </w:rPr>
              <w:t xml:space="preserve"> tidak berhak atas uang yang diterima </w:t>
            </w:r>
            <w:r w:rsidRPr="00931CB6">
              <w:rPr>
                <w:rFonts w:cs="Arial"/>
                <w:lang w:val="id-ID"/>
              </w:rPr>
              <w:t xml:space="preserve">berdasarkan </w:t>
            </w:r>
            <w:r w:rsidRPr="00A67277">
              <w:rPr>
                <w:rFonts w:cs="Arial"/>
                <w:lang w:val="id-ID"/>
              </w:rPr>
              <w:t xml:space="preserve">Jaminan Pelaksanaan Tahap I, </w:t>
            </w:r>
            <w:r w:rsidRPr="00931CB6">
              <w:rPr>
                <w:rFonts w:cs="Arial"/>
                <w:lang w:val="id-ID"/>
              </w:rPr>
              <w:t>PJPK</w:t>
            </w:r>
            <w:r w:rsidRPr="00A67277">
              <w:rPr>
                <w:rFonts w:cs="Arial"/>
                <w:lang w:val="id-ID"/>
              </w:rPr>
              <w:t xml:space="preserve"> harus </w:t>
            </w:r>
            <w:r w:rsidRPr="00931CB6">
              <w:rPr>
                <w:rFonts w:cs="Arial"/>
                <w:lang w:val="id-ID"/>
              </w:rPr>
              <w:t xml:space="preserve">mengembalikan </w:t>
            </w:r>
            <w:r w:rsidRPr="00A67277">
              <w:rPr>
                <w:rFonts w:cs="Arial"/>
                <w:lang w:val="id-ID"/>
              </w:rPr>
              <w:t>jumlah (</w:t>
            </w:r>
            <w:r w:rsidRPr="00931CB6">
              <w:rPr>
                <w:rFonts w:cs="Arial"/>
                <w:lang w:val="id-ID"/>
              </w:rPr>
              <w:t>namun tidak termasuk bunga</w:t>
            </w:r>
            <w:r w:rsidRPr="00A67277">
              <w:rPr>
                <w:rFonts w:cs="Arial"/>
                <w:lang w:val="id-ID"/>
              </w:rPr>
              <w:t xml:space="preserve">) yang disebut dalam Jaminan Pelaksanaan Tahap I sesegera mungkin setelah </w:t>
            </w:r>
            <w:r w:rsidRPr="00931CB6">
              <w:rPr>
                <w:rFonts w:cs="Arial"/>
                <w:lang w:val="id-ID"/>
              </w:rPr>
              <w:t>dilakukan penetapan.</w:t>
            </w:r>
          </w:p>
        </w:tc>
      </w:tr>
      <w:tr w:rsidR="00862B0B" w:rsidRPr="00A67277" w14:paraId="211C1403" w14:textId="77777777" w:rsidTr="00862B0B">
        <w:tc>
          <w:tcPr>
            <w:tcW w:w="2270" w:type="pct"/>
          </w:tcPr>
          <w:p w14:paraId="591C2BC0" w14:textId="7F14DF54" w:rsidR="00862B0B" w:rsidRPr="00A67277" w:rsidRDefault="00862B0B" w:rsidP="00862B0B">
            <w:pPr>
              <w:pStyle w:val="Level3"/>
              <w:numPr>
                <w:ilvl w:val="2"/>
                <w:numId w:val="287"/>
              </w:numPr>
              <w:tabs>
                <w:tab w:val="clear" w:pos="1417"/>
                <w:tab w:val="num" w:pos="1333"/>
                <w:tab w:val="num" w:pos="1581"/>
              </w:tabs>
              <w:spacing w:before="60" w:after="60"/>
              <w:ind w:left="1581" w:hanging="425"/>
              <w:rPr>
                <w:rFonts w:cs="Arial"/>
              </w:rPr>
            </w:pPr>
            <w:bookmarkStart w:id="134" w:name="_Toc501177903"/>
            <w:r w:rsidRPr="00A67277">
              <w:rPr>
                <w:rFonts w:cs="Arial"/>
              </w:rPr>
              <w:t>The IBE shall ensure that any shortfall in the amount of the Stage I Performance Bond pursuant to any claim made by GCA is rectified within five (5) Business Days from the date of payment being made from the Stage I Performance Bond.</w:t>
            </w:r>
            <w:bookmarkEnd w:id="134"/>
          </w:p>
        </w:tc>
        <w:tc>
          <w:tcPr>
            <w:tcW w:w="169" w:type="pct"/>
          </w:tcPr>
          <w:p w14:paraId="28C73AC5" w14:textId="77777777" w:rsidR="00862B0B" w:rsidRPr="00A67277" w:rsidRDefault="00862B0B" w:rsidP="00862B0B">
            <w:pPr>
              <w:spacing w:before="60" w:after="60"/>
              <w:rPr>
                <w:rFonts w:ascii="Arial" w:hAnsi="Arial" w:cs="Arial"/>
                <w:sz w:val="21"/>
                <w:szCs w:val="21"/>
              </w:rPr>
            </w:pPr>
          </w:p>
        </w:tc>
        <w:tc>
          <w:tcPr>
            <w:tcW w:w="2561" w:type="pct"/>
            <w:gridSpan w:val="2"/>
          </w:tcPr>
          <w:p w14:paraId="7E265F1F" w14:textId="77777777" w:rsidR="00862B0B" w:rsidRPr="00A67277" w:rsidRDefault="00862B0B" w:rsidP="00862B0B">
            <w:pPr>
              <w:pStyle w:val="Level3"/>
              <w:numPr>
                <w:ilvl w:val="2"/>
                <w:numId w:val="298"/>
              </w:numPr>
              <w:tabs>
                <w:tab w:val="clear" w:pos="1417"/>
                <w:tab w:val="num" w:pos="1333"/>
              </w:tabs>
              <w:spacing w:before="60" w:after="60"/>
              <w:ind w:left="1333" w:hanging="425"/>
              <w:rPr>
                <w:rFonts w:cs="Arial"/>
              </w:rPr>
            </w:pPr>
            <w:r w:rsidRPr="00A67277">
              <w:rPr>
                <w:rFonts w:cs="Arial"/>
              </w:rPr>
              <w:t>BUP harus memastikan bahwa setiap kekurangan (</w:t>
            </w:r>
            <w:r w:rsidRPr="00A67277">
              <w:rPr>
                <w:rFonts w:cs="Arial"/>
                <w:i/>
              </w:rPr>
              <w:t>shortfall</w:t>
            </w:r>
            <w:r w:rsidRPr="00A67277">
              <w:rPr>
                <w:rFonts w:cs="Arial"/>
              </w:rPr>
              <w:t>) dalam Jaminan Pelaksanaan Tahap I sesuai dengan klaim yang dibuat oleh PJPK dibayarkan dalam waktu lima (5) Hari Kerja sejak tanggal dilakukannya pembayaran Jaminan Pelaksanaan Tahap I.</w:t>
            </w:r>
          </w:p>
        </w:tc>
      </w:tr>
      <w:tr w:rsidR="00862B0B" w:rsidRPr="00A67277" w14:paraId="640C2D85" w14:textId="77777777" w:rsidTr="00862B0B">
        <w:tc>
          <w:tcPr>
            <w:tcW w:w="2270" w:type="pct"/>
          </w:tcPr>
          <w:p w14:paraId="4D38725C" w14:textId="347C40B7" w:rsidR="00862B0B" w:rsidRPr="00A67277" w:rsidRDefault="00862B0B" w:rsidP="00862B0B">
            <w:pPr>
              <w:pStyle w:val="CentredHeading"/>
              <w:numPr>
                <w:ilvl w:val="0"/>
                <w:numId w:val="470"/>
              </w:numPr>
              <w:spacing w:before="60" w:after="60"/>
              <w:ind w:left="540" w:hanging="540"/>
              <w:jc w:val="both"/>
              <w:rPr>
                <w:rFonts w:eastAsia="Times New Roman" w:cs="Arial"/>
                <w:b w:val="0"/>
              </w:rPr>
            </w:pPr>
            <w:bookmarkStart w:id="135" w:name="_Toc501177904"/>
            <w:r w:rsidRPr="00A67277">
              <w:rPr>
                <w:rStyle w:val="Heading1Text"/>
                <w:rFonts w:cs="Arial"/>
                <w:b/>
              </w:rPr>
              <w:t>Overview of Project Structure</w:t>
            </w:r>
            <w:bookmarkEnd w:id="135"/>
          </w:p>
        </w:tc>
        <w:tc>
          <w:tcPr>
            <w:tcW w:w="169" w:type="pct"/>
          </w:tcPr>
          <w:p w14:paraId="098800E7" w14:textId="77777777" w:rsidR="00862B0B" w:rsidRPr="00A67277" w:rsidRDefault="00862B0B" w:rsidP="00862B0B">
            <w:pPr>
              <w:spacing w:before="60" w:after="60"/>
              <w:rPr>
                <w:rFonts w:ascii="Arial" w:hAnsi="Arial" w:cs="Arial"/>
                <w:b/>
                <w:sz w:val="21"/>
                <w:szCs w:val="21"/>
              </w:rPr>
            </w:pPr>
          </w:p>
        </w:tc>
        <w:tc>
          <w:tcPr>
            <w:tcW w:w="2561" w:type="pct"/>
            <w:gridSpan w:val="2"/>
          </w:tcPr>
          <w:p w14:paraId="41974A5A" w14:textId="77777777" w:rsidR="00862B0B" w:rsidRPr="00A67277" w:rsidRDefault="00862B0B" w:rsidP="00862B0B">
            <w:pPr>
              <w:pStyle w:val="CentredHeading"/>
              <w:numPr>
                <w:ilvl w:val="0"/>
                <w:numId w:val="299"/>
              </w:numPr>
              <w:spacing w:before="60" w:after="60"/>
              <w:ind w:left="483" w:hanging="425"/>
              <w:jc w:val="both"/>
              <w:rPr>
                <w:rFonts w:cs="Arial"/>
                <w:b w:val="0"/>
              </w:rPr>
            </w:pPr>
            <w:bookmarkStart w:id="136" w:name="_cp_text_1_943"/>
            <w:r w:rsidRPr="00A67277">
              <w:rPr>
                <w:rStyle w:val="Heading1Text"/>
                <w:rFonts w:cs="Arial"/>
                <w:b/>
              </w:rPr>
              <w:t>Penjelasan Struktur Proyek</w:t>
            </w:r>
            <w:bookmarkEnd w:id="136"/>
          </w:p>
        </w:tc>
      </w:tr>
      <w:tr w:rsidR="00862B0B" w:rsidRPr="00A67277" w14:paraId="1851EA61" w14:textId="77777777" w:rsidTr="00862B0B">
        <w:tc>
          <w:tcPr>
            <w:tcW w:w="2270" w:type="pct"/>
          </w:tcPr>
          <w:p w14:paraId="423B2474" w14:textId="77777777" w:rsidR="00862B0B" w:rsidRPr="00A67277" w:rsidRDefault="00862B0B" w:rsidP="00862B0B">
            <w:pPr>
              <w:pStyle w:val="Heading2"/>
              <w:keepLines w:val="0"/>
              <w:numPr>
                <w:ilvl w:val="1"/>
                <w:numId w:val="299"/>
              </w:numPr>
              <w:spacing w:before="60" w:after="60"/>
              <w:ind w:left="900"/>
              <w:jc w:val="both"/>
              <w:outlineLvl w:val="1"/>
              <w:rPr>
                <w:rFonts w:ascii="Arial" w:hAnsi="Arial" w:cs="Arial"/>
                <w:color w:val="auto"/>
                <w:sz w:val="21"/>
                <w:szCs w:val="21"/>
              </w:rPr>
            </w:pPr>
            <w:r w:rsidRPr="00A67277">
              <w:rPr>
                <w:rFonts w:ascii="Arial" w:hAnsi="Arial" w:cs="Arial"/>
                <w:b/>
                <w:color w:val="auto"/>
                <w:sz w:val="21"/>
                <w:szCs w:val="21"/>
              </w:rPr>
              <w:t>General Project Scope</w:t>
            </w:r>
          </w:p>
        </w:tc>
        <w:tc>
          <w:tcPr>
            <w:tcW w:w="169" w:type="pct"/>
          </w:tcPr>
          <w:p w14:paraId="71F24783" w14:textId="77777777" w:rsidR="00862B0B" w:rsidRPr="00A67277" w:rsidRDefault="00862B0B" w:rsidP="00862B0B">
            <w:pPr>
              <w:spacing w:before="60" w:after="60"/>
              <w:rPr>
                <w:rFonts w:ascii="Arial" w:hAnsi="Arial" w:cs="Arial"/>
                <w:sz w:val="21"/>
                <w:szCs w:val="21"/>
              </w:rPr>
            </w:pPr>
          </w:p>
        </w:tc>
        <w:tc>
          <w:tcPr>
            <w:tcW w:w="2561" w:type="pct"/>
            <w:gridSpan w:val="2"/>
          </w:tcPr>
          <w:p w14:paraId="76AE5077" w14:textId="77777777" w:rsidR="00862B0B" w:rsidRPr="00A67277" w:rsidRDefault="00862B0B" w:rsidP="00862B0B">
            <w:pPr>
              <w:pStyle w:val="Level2"/>
              <w:numPr>
                <w:ilvl w:val="1"/>
                <w:numId w:val="300"/>
              </w:numPr>
              <w:spacing w:before="60" w:after="60"/>
              <w:ind w:left="908" w:hanging="425"/>
              <w:rPr>
                <w:rFonts w:cs="Arial"/>
                <w:b/>
              </w:rPr>
            </w:pPr>
            <w:r w:rsidRPr="00A67277">
              <w:rPr>
                <w:rFonts w:cs="Arial"/>
                <w:b/>
              </w:rPr>
              <w:t>Lingkup Proyek secara Umum</w:t>
            </w:r>
          </w:p>
        </w:tc>
      </w:tr>
      <w:tr w:rsidR="00862B0B" w:rsidRPr="00A67277" w14:paraId="74A41DDF" w14:textId="77777777" w:rsidTr="00862B0B">
        <w:tc>
          <w:tcPr>
            <w:tcW w:w="2270" w:type="pct"/>
          </w:tcPr>
          <w:p w14:paraId="19995C8A" w14:textId="2AD8C299" w:rsidR="00862B0B" w:rsidRPr="00A67277" w:rsidRDefault="00862B0B" w:rsidP="00862B0B">
            <w:pPr>
              <w:pStyle w:val="Body2"/>
              <w:spacing w:before="60" w:after="60"/>
              <w:ind w:left="866"/>
              <w:rPr>
                <w:rFonts w:cs="Arial"/>
              </w:rPr>
            </w:pPr>
            <w:r w:rsidRPr="00A67277">
              <w:rPr>
                <w:rFonts w:cs="Arial"/>
                <w:szCs w:val="22"/>
              </w:rPr>
              <w:t xml:space="preserve">The scope of Project includes </w:t>
            </w:r>
            <w:r w:rsidRPr="00A67277">
              <w:t>finance, design, procurement, development, construction, operation and maintenance of the Facility during the Term by IBE and transfer of Facilityby the IBE to the GCA at the Transfer Date</w:t>
            </w:r>
            <w:r w:rsidRPr="00A67277">
              <w:rPr>
                <w:rFonts w:cs="Arial"/>
                <w:szCs w:val="22"/>
              </w:rPr>
              <w:t>.</w:t>
            </w:r>
          </w:p>
        </w:tc>
        <w:tc>
          <w:tcPr>
            <w:tcW w:w="169" w:type="pct"/>
          </w:tcPr>
          <w:p w14:paraId="2B7FD0AF" w14:textId="77777777" w:rsidR="00862B0B" w:rsidRPr="00A67277" w:rsidRDefault="00862B0B" w:rsidP="00862B0B">
            <w:pPr>
              <w:spacing w:before="60" w:after="60"/>
              <w:rPr>
                <w:rFonts w:ascii="Arial" w:hAnsi="Arial" w:cs="Arial"/>
                <w:sz w:val="21"/>
                <w:szCs w:val="21"/>
              </w:rPr>
            </w:pPr>
          </w:p>
        </w:tc>
        <w:tc>
          <w:tcPr>
            <w:tcW w:w="2561" w:type="pct"/>
            <w:gridSpan w:val="2"/>
          </w:tcPr>
          <w:p w14:paraId="6175860A" w14:textId="1D943FA7" w:rsidR="00862B0B" w:rsidRPr="00A67277" w:rsidRDefault="00862B0B" w:rsidP="00862B0B">
            <w:pPr>
              <w:pStyle w:val="Body2"/>
              <w:spacing w:before="60" w:after="60"/>
              <w:ind w:left="882"/>
              <w:rPr>
                <w:rFonts w:cs="Arial"/>
              </w:rPr>
            </w:pPr>
            <w:r w:rsidRPr="00A67277">
              <w:rPr>
                <w:rFonts w:cs="Arial"/>
              </w:rPr>
              <w:t>Lingkup Proyek meliputi pembiayaan, desain, pengadaan, pengembangan, konstruksi, pengoperasion dan pemeliharaan Fasilitas selama Jangka Waktu oleh BUP dan pengalihan Fasilitas oleh BUP kepada PJPK pada Tanggal Pengalihan.</w:t>
            </w:r>
          </w:p>
        </w:tc>
      </w:tr>
      <w:tr w:rsidR="00862B0B" w:rsidRPr="00A67277" w14:paraId="09020CB5" w14:textId="77777777" w:rsidTr="00862B0B">
        <w:tc>
          <w:tcPr>
            <w:tcW w:w="2270" w:type="pct"/>
          </w:tcPr>
          <w:p w14:paraId="571AF7F6" w14:textId="3F410E16" w:rsidR="00862B0B" w:rsidRPr="00A67277" w:rsidRDefault="00862B0B" w:rsidP="00862B0B">
            <w:pPr>
              <w:pStyle w:val="Heading2"/>
              <w:keepLines w:val="0"/>
              <w:numPr>
                <w:ilvl w:val="1"/>
                <w:numId w:val="299"/>
              </w:numPr>
              <w:spacing w:before="60" w:after="60"/>
              <w:ind w:left="873" w:hanging="426"/>
              <w:outlineLvl w:val="1"/>
              <w:rPr>
                <w:rFonts w:ascii="Arial" w:hAnsi="Arial" w:cs="Arial"/>
                <w:b/>
                <w:color w:val="auto"/>
                <w:sz w:val="21"/>
                <w:szCs w:val="21"/>
              </w:rPr>
            </w:pPr>
            <w:bookmarkStart w:id="137" w:name="_Toc501177905"/>
            <w:r w:rsidRPr="00A67277">
              <w:rPr>
                <w:rFonts w:ascii="Arial" w:hAnsi="Arial" w:cs="Arial"/>
                <w:b/>
                <w:color w:val="auto"/>
                <w:sz w:val="21"/>
                <w:szCs w:val="21"/>
              </w:rPr>
              <w:t xml:space="preserve">IBE’s General </w:t>
            </w:r>
            <w:bookmarkEnd w:id="137"/>
            <w:r w:rsidRPr="00A67277">
              <w:rPr>
                <w:rFonts w:ascii="Arial" w:hAnsi="Arial" w:cs="Arial"/>
                <w:b/>
                <w:color w:val="auto"/>
                <w:sz w:val="21"/>
                <w:szCs w:val="21"/>
              </w:rPr>
              <w:t>Obligations</w:t>
            </w:r>
          </w:p>
        </w:tc>
        <w:tc>
          <w:tcPr>
            <w:tcW w:w="169" w:type="pct"/>
          </w:tcPr>
          <w:p w14:paraId="40A76D43" w14:textId="77777777" w:rsidR="00862B0B" w:rsidRPr="00A67277" w:rsidRDefault="00862B0B" w:rsidP="00862B0B">
            <w:pPr>
              <w:spacing w:before="60" w:after="60"/>
              <w:rPr>
                <w:rFonts w:ascii="Arial" w:hAnsi="Arial" w:cs="Arial"/>
                <w:sz w:val="21"/>
                <w:szCs w:val="21"/>
              </w:rPr>
            </w:pPr>
          </w:p>
        </w:tc>
        <w:tc>
          <w:tcPr>
            <w:tcW w:w="2561" w:type="pct"/>
            <w:gridSpan w:val="2"/>
          </w:tcPr>
          <w:p w14:paraId="72177575" w14:textId="77777777" w:rsidR="00862B0B" w:rsidRPr="00A67277" w:rsidRDefault="00862B0B" w:rsidP="00862B0B">
            <w:pPr>
              <w:pStyle w:val="Level2"/>
              <w:numPr>
                <w:ilvl w:val="1"/>
                <w:numId w:val="300"/>
              </w:numPr>
              <w:spacing w:before="60" w:after="60"/>
              <w:ind w:left="908" w:hanging="425"/>
              <w:rPr>
                <w:rFonts w:cs="Arial"/>
                <w:b/>
              </w:rPr>
            </w:pPr>
            <w:r w:rsidRPr="00A67277">
              <w:rPr>
                <w:rFonts w:cs="Arial"/>
                <w:b/>
              </w:rPr>
              <w:t>Tanggung Jawab Umum BUP</w:t>
            </w:r>
          </w:p>
        </w:tc>
      </w:tr>
      <w:tr w:rsidR="00862B0B" w:rsidRPr="00A67277" w14:paraId="62740581" w14:textId="77777777" w:rsidTr="00862B0B">
        <w:tc>
          <w:tcPr>
            <w:tcW w:w="2270" w:type="pct"/>
          </w:tcPr>
          <w:p w14:paraId="2EAE3154" w14:textId="3AE09961" w:rsidR="00862B0B" w:rsidRPr="00A67277" w:rsidRDefault="00862B0B" w:rsidP="00862B0B">
            <w:pPr>
              <w:pStyle w:val="Body2"/>
              <w:spacing w:before="60" w:after="60"/>
              <w:ind w:left="873"/>
              <w:rPr>
                <w:rFonts w:cs="Arial"/>
              </w:rPr>
            </w:pPr>
            <w:r w:rsidRPr="00A67277">
              <w:rPr>
                <w:rFonts w:cs="Arial"/>
              </w:rPr>
              <w:t xml:space="preserve">Notwithstanding its other obligations under this Agreement, the IBE shall be </w:t>
            </w:r>
            <w:r>
              <w:rPr>
                <w:rFonts w:cs="Arial"/>
              </w:rPr>
              <w:t>responsible for implementing</w:t>
            </w:r>
            <w:r w:rsidRPr="00A67277">
              <w:rPr>
                <w:rFonts w:cs="Arial"/>
              </w:rPr>
              <w:t>:</w:t>
            </w:r>
          </w:p>
        </w:tc>
        <w:tc>
          <w:tcPr>
            <w:tcW w:w="169" w:type="pct"/>
          </w:tcPr>
          <w:p w14:paraId="6BA7387B" w14:textId="77777777" w:rsidR="00862B0B" w:rsidRPr="00A67277" w:rsidRDefault="00862B0B" w:rsidP="00862B0B">
            <w:pPr>
              <w:spacing w:before="60" w:after="60"/>
              <w:rPr>
                <w:rFonts w:ascii="Arial" w:hAnsi="Arial" w:cs="Arial"/>
                <w:sz w:val="21"/>
                <w:szCs w:val="21"/>
              </w:rPr>
            </w:pPr>
          </w:p>
        </w:tc>
        <w:tc>
          <w:tcPr>
            <w:tcW w:w="2561" w:type="pct"/>
            <w:gridSpan w:val="2"/>
          </w:tcPr>
          <w:p w14:paraId="092EC624" w14:textId="77777777" w:rsidR="00862B0B" w:rsidRPr="00A67277" w:rsidRDefault="00862B0B" w:rsidP="00862B0B">
            <w:pPr>
              <w:pStyle w:val="Level1"/>
              <w:spacing w:before="60" w:after="60"/>
              <w:ind w:left="881" w:hanging="19"/>
              <w:rPr>
                <w:rFonts w:cs="Arial"/>
              </w:rPr>
            </w:pPr>
            <w:r w:rsidRPr="00A67277">
              <w:rPr>
                <w:rFonts w:cs="Arial"/>
              </w:rPr>
              <w:t>Dengan tidak mengesampingkan kewajiban-kewajiban lainnya berdasarkan Perjanjian ini, BUP bertanggung jawab melaksanakan:</w:t>
            </w:r>
          </w:p>
        </w:tc>
      </w:tr>
      <w:tr w:rsidR="00862B0B" w:rsidRPr="00A67277" w14:paraId="3BA5039D" w14:textId="77777777" w:rsidTr="00862B0B">
        <w:tc>
          <w:tcPr>
            <w:tcW w:w="2270" w:type="pct"/>
          </w:tcPr>
          <w:p w14:paraId="18040912" w14:textId="6EFF0DEA" w:rsidR="00862B0B" w:rsidRPr="00A67277" w:rsidRDefault="00862B0B" w:rsidP="00862B0B">
            <w:pPr>
              <w:pStyle w:val="Level3"/>
              <w:numPr>
                <w:ilvl w:val="2"/>
                <w:numId w:val="407"/>
              </w:numPr>
              <w:spacing w:before="60" w:after="60"/>
              <w:ind w:left="1298" w:hanging="425"/>
              <w:rPr>
                <w:rFonts w:cs="Arial"/>
              </w:rPr>
            </w:pPr>
            <w:bookmarkStart w:id="138" w:name="_Toc501177907"/>
            <w:r w:rsidRPr="00A67277">
              <w:rPr>
                <w:rFonts w:cs="Arial"/>
              </w:rPr>
              <w:t>the financing and financing arrangements for the Project and any other agreements necessary to be entered into by the IBE in connection therewith or otherwise required to satisfy the IBE’s obligations under this Agreement;</w:t>
            </w:r>
            <w:bookmarkEnd w:id="138"/>
          </w:p>
        </w:tc>
        <w:tc>
          <w:tcPr>
            <w:tcW w:w="169" w:type="pct"/>
          </w:tcPr>
          <w:p w14:paraId="6DDCBDE5" w14:textId="77777777" w:rsidR="00862B0B" w:rsidRPr="00A67277" w:rsidRDefault="00862B0B" w:rsidP="00862B0B">
            <w:pPr>
              <w:spacing w:before="60" w:after="60"/>
              <w:rPr>
                <w:rFonts w:ascii="Arial" w:hAnsi="Arial" w:cs="Arial"/>
                <w:sz w:val="21"/>
                <w:szCs w:val="21"/>
              </w:rPr>
            </w:pPr>
          </w:p>
        </w:tc>
        <w:tc>
          <w:tcPr>
            <w:tcW w:w="2561" w:type="pct"/>
            <w:gridSpan w:val="2"/>
          </w:tcPr>
          <w:p w14:paraId="486DE989" w14:textId="77777777" w:rsidR="00862B0B" w:rsidRPr="00A67277" w:rsidRDefault="00862B0B" w:rsidP="00862B0B">
            <w:pPr>
              <w:pStyle w:val="Level4"/>
              <w:numPr>
                <w:ilvl w:val="1"/>
                <w:numId w:val="198"/>
              </w:numPr>
              <w:spacing w:before="60" w:after="60"/>
              <w:ind w:left="1306" w:hanging="425"/>
              <w:rPr>
                <w:rFonts w:cs="Arial"/>
              </w:rPr>
            </w:pPr>
            <w:r w:rsidRPr="00A67277">
              <w:rPr>
                <w:rFonts w:cs="Arial"/>
              </w:rPr>
              <w:t>pembiayaan dan pengaturan-pengaturan pembiayaan untuk Proyek dan setiap perjanjian lainnya yang diperlukan untuk dibuat oleh BUP dalam kaitannya dengan hal tersebut atau yang secara umum diperlukan untuk memenuhi kewajiban BUP berdasarkan Perjanjian ini;</w:t>
            </w:r>
          </w:p>
        </w:tc>
      </w:tr>
      <w:tr w:rsidR="00862B0B" w:rsidRPr="00A67277" w14:paraId="7015D14B" w14:textId="77777777" w:rsidTr="00862B0B">
        <w:tc>
          <w:tcPr>
            <w:tcW w:w="2270" w:type="pct"/>
          </w:tcPr>
          <w:p w14:paraId="44886584" w14:textId="32A5B29C" w:rsidR="00862B0B" w:rsidRPr="00A67277" w:rsidRDefault="00862B0B" w:rsidP="00862B0B">
            <w:pPr>
              <w:pStyle w:val="Level3"/>
              <w:numPr>
                <w:ilvl w:val="2"/>
                <w:numId w:val="407"/>
              </w:numPr>
              <w:spacing w:before="60" w:after="60"/>
              <w:ind w:left="1298" w:hanging="425"/>
              <w:rPr>
                <w:rFonts w:cs="Arial"/>
              </w:rPr>
            </w:pPr>
            <w:bookmarkStart w:id="139" w:name="_Toc501177909"/>
            <w:r w:rsidRPr="00A67277">
              <w:rPr>
                <w:rFonts w:cs="Arial"/>
              </w:rPr>
              <w:t>the design, procurement, development, construction, installation, completion, and testing of the Facility in accordance with the provisions of this Agreement;</w:t>
            </w:r>
            <w:bookmarkEnd w:id="139"/>
          </w:p>
        </w:tc>
        <w:tc>
          <w:tcPr>
            <w:tcW w:w="169" w:type="pct"/>
          </w:tcPr>
          <w:p w14:paraId="3FAB5DBB" w14:textId="77777777" w:rsidR="00862B0B" w:rsidRPr="00A67277" w:rsidRDefault="00862B0B" w:rsidP="00862B0B">
            <w:pPr>
              <w:spacing w:before="60" w:after="60"/>
              <w:rPr>
                <w:rFonts w:ascii="Arial" w:hAnsi="Arial" w:cs="Arial"/>
                <w:sz w:val="21"/>
                <w:szCs w:val="21"/>
              </w:rPr>
            </w:pPr>
          </w:p>
        </w:tc>
        <w:tc>
          <w:tcPr>
            <w:tcW w:w="2561" w:type="pct"/>
            <w:gridSpan w:val="2"/>
          </w:tcPr>
          <w:p w14:paraId="2C37B48A" w14:textId="77777777" w:rsidR="00862B0B" w:rsidRPr="00A67277" w:rsidRDefault="00862B0B" w:rsidP="00862B0B">
            <w:pPr>
              <w:pStyle w:val="Level4"/>
              <w:numPr>
                <w:ilvl w:val="1"/>
                <w:numId w:val="198"/>
              </w:numPr>
              <w:spacing w:before="60" w:after="60"/>
              <w:ind w:left="1306" w:hanging="425"/>
              <w:rPr>
                <w:rFonts w:cs="Arial"/>
              </w:rPr>
            </w:pPr>
            <w:r w:rsidRPr="00A67277">
              <w:rPr>
                <w:rFonts w:cs="Arial"/>
              </w:rPr>
              <w:t>desain, pengadaan, pengembangan, konstruksi, instalasi, penyelesaian, dan pengujian Fasilitas sesuai dengan ketentuan-ketentuan dalam Perjanjian ini.</w:t>
            </w:r>
          </w:p>
        </w:tc>
      </w:tr>
      <w:tr w:rsidR="00862B0B" w:rsidRPr="00A67277" w14:paraId="6CAC7866" w14:textId="77777777" w:rsidTr="00862B0B">
        <w:tc>
          <w:tcPr>
            <w:tcW w:w="2270" w:type="pct"/>
          </w:tcPr>
          <w:p w14:paraId="100B2F2C" w14:textId="14F4DCEF" w:rsidR="00862B0B" w:rsidRPr="00A67277" w:rsidRDefault="00862B0B" w:rsidP="00862B0B">
            <w:pPr>
              <w:pStyle w:val="Level3"/>
              <w:numPr>
                <w:ilvl w:val="2"/>
                <w:numId w:val="407"/>
              </w:numPr>
              <w:spacing w:before="60" w:after="60"/>
              <w:ind w:left="1298" w:hanging="425"/>
              <w:rPr>
                <w:rFonts w:cs="Arial"/>
              </w:rPr>
            </w:pPr>
            <w:bookmarkStart w:id="140" w:name="_Toc501177910"/>
            <w:r w:rsidRPr="00A67277">
              <w:rPr>
                <w:rFonts w:cs="Arial"/>
              </w:rPr>
              <w:t>operation and maintenance of the Facility in accordance with the provisions of this Agreement;</w:t>
            </w:r>
            <w:bookmarkEnd w:id="140"/>
          </w:p>
        </w:tc>
        <w:tc>
          <w:tcPr>
            <w:tcW w:w="169" w:type="pct"/>
          </w:tcPr>
          <w:p w14:paraId="181D6774" w14:textId="77777777" w:rsidR="00862B0B" w:rsidRPr="00A67277" w:rsidRDefault="00862B0B" w:rsidP="00862B0B">
            <w:pPr>
              <w:spacing w:before="60" w:after="60"/>
              <w:rPr>
                <w:rFonts w:ascii="Arial" w:hAnsi="Arial" w:cs="Arial"/>
                <w:sz w:val="21"/>
                <w:szCs w:val="21"/>
              </w:rPr>
            </w:pPr>
          </w:p>
        </w:tc>
        <w:tc>
          <w:tcPr>
            <w:tcW w:w="2561" w:type="pct"/>
            <w:gridSpan w:val="2"/>
          </w:tcPr>
          <w:p w14:paraId="3B169705" w14:textId="77777777" w:rsidR="00862B0B" w:rsidRPr="00A67277" w:rsidRDefault="00862B0B" w:rsidP="00862B0B">
            <w:pPr>
              <w:pStyle w:val="Level4"/>
              <w:numPr>
                <w:ilvl w:val="1"/>
                <w:numId w:val="198"/>
              </w:numPr>
              <w:spacing w:before="60" w:after="60"/>
              <w:ind w:left="1306" w:hanging="425"/>
              <w:rPr>
                <w:rFonts w:cs="Arial"/>
              </w:rPr>
            </w:pPr>
            <w:r w:rsidRPr="00A67277">
              <w:rPr>
                <w:rFonts w:cs="Arial"/>
              </w:rPr>
              <w:t>pengoperasian dan pemeliharaan Fasilitas sesuai dengan ketentuan-ketentuan dalam Perjanjian ini;</w:t>
            </w:r>
          </w:p>
        </w:tc>
      </w:tr>
      <w:tr w:rsidR="00862B0B" w:rsidRPr="00A67277" w14:paraId="3079344E" w14:textId="77777777" w:rsidTr="00862B0B">
        <w:tc>
          <w:tcPr>
            <w:tcW w:w="2270" w:type="pct"/>
          </w:tcPr>
          <w:p w14:paraId="2F93DC3D" w14:textId="7E813328" w:rsidR="00862B0B" w:rsidRPr="00A67277" w:rsidRDefault="00862B0B" w:rsidP="00862B0B">
            <w:pPr>
              <w:pStyle w:val="Level3"/>
              <w:numPr>
                <w:ilvl w:val="2"/>
                <w:numId w:val="407"/>
              </w:numPr>
              <w:spacing w:before="60" w:after="60"/>
              <w:ind w:left="1298" w:hanging="425"/>
              <w:rPr>
                <w:rFonts w:cs="Arial"/>
              </w:rPr>
            </w:pPr>
            <w:bookmarkStart w:id="141" w:name="_Toc501177912"/>
            <w:r w:rsidRPr="00A67277">
              <w:rPr>
                <w:rFonts w:cs="Arial"/>
              </w:rPr>
              <w:t>provision to the GCA, of the Services in accordance with the  Key Performance Indicators and the provisions of this Agreement;</w:t>
            </w:r>
            <w:bookmarkEnd w:id="141"/>
          </w:p>
        </w:tc>
        <w:tc>
          <w:tcPr>
            <w:tcW w:w="169" w:type="pct"/>
          </w:tcPr>
          <w:p w14:paraId="5674DB50" w14:textId="77777777" w:rsidR="00862B0B" w:rsidRPr="00A67277" w:rsidRDefault="00862B0B" w:rsidP="00862B0B">
            <w:pPr>
              <w:spacing w:before="60" w:after="60"/>
              <w:rPr>
                <w:rFonts w:ascii="Arial" w:hAnsi="Arial" w:cs="Arial"/>
                <w:sz w:val="21"/>
                <w:szCs w:val="21"/>
              </w:rPr>
            </w:pPr>
          </w:p>
        </w:tc>
        <w:tc>
          <w:tcPr>
            <w:tcW w:w="2561" w:type="pct"/>
            <w:gridSpan w:val="2"/>
          </w:tcPr>
          <w:p w14:paraId="5C0E6D05" w14:textId="77777777" w:rsidR="00862B0B" w:rsidRPr="00A67277" w:rsidRDefault="00862B0B" w:rsidP="00862B0B">
            <w:pPr>
              <w:pStyle w:val="Level4"/>
              <w:numPr>
                <w:ilvl w:val="1"/>
                <w:numId w:val="198"/>
              </w:numPr>
              <w:spacing w:before="60" w:after="60"/>
              <w:ind w:left="1306" w:hanging="425"/>
              <w:rPr>
                <w:rFonts w:cs="Arial"/>
              </w:rPr>
            </w:pPr>
            <w:r w:rsidRPr="00A67277">
              <w:rPr>
                <w:rFonts w:cs="Arial"/>
              </w:rPr>
              <w:t>penyediaan kepada PJPK, Layanan sesuai dengan Indikator Kinerja Utama dan ketentuan-ketentuan dalam Perjanjian ini;</w:t>
            </w:r>
          </w:p>
        </w:tc>
      </w:tr>
      <w:tr w:rsidR="00862B0B" w:rsidRPr="00A67277" w14:paraId="026ED1FC" w14:textId="77777777" w:rsidTr="00862B0B">
        <w:tc>
          <w:tcPr>
            <w:tcW w:w="2270" w:type="pct"/>
          </w:tcPr>
          <w:p w14:paraId="34D865DC" w14:textId="5C25FFD4" w:rsidR="00862B0B" w:rsidRPr="00A67277" w:rsidRDefault="00862B0B" w:rsidP="00862B0B">
            <w:pPr>
              <w:pStyle w:val="Level3"/>
              <w:numPr>
                <w:ilvl w:val="2"/>
                <w:numId w:val="407"/>
              </w:numPr>
              <w:spacing w:before="60" w:after="60"/>
              <w:ind w:left="1298" w:hanging="425"/>
              <w:rPr>
                <w:rFonts w:cs="Arial"/>
              </w:rPr>
            </w:pPr>
            <w:bookmarkStart w:id="142" w:name="_Toc501177915"/>
            <w:r w:rsidRPr="00A67277">
              <w:rPr>
                <w:rFonts w:cs="Arial"/>
              </w:rPr>
              <w:t xml:space="preserve">unless </w:t>
            </w:r>
            <w:bookmarkStart w:id="143" w:name="_cp_text_1_1053"/>
            <w:r w:rsidRPr="00A67277">
              <w:rPr>
                <w:rFonts w:cs="Arial"/>
              </w:rPr>
              <w:t xml:space="preserve">this Agreement is </w:t>
            </w:r>
            <w:bookmarkEnd w:id="143"/>
            <w:r w:rsidRPr="00A67277">
              <w:rPr>
                <w:rFonts w:cs="Arial"/>
              </w:rPr>
              <w:t xml:space="preserve">terminated </w:t>
            </w:r>
            <w:bookmarkStart w:id="144" w:name="_cp_text_1_1054"/>
            <w:r w:rsidRPr="00A67277">
              <w:rPr>
                <w:rFonts w:cs="Arial"/>
              </w:rPr>
              <w:t>earlier</w:t>
            </w:r>
            <w:bookmarkEnd w:id="144"/>
            <w:r w:rsidRPr="00A67277">
              <w:rPr>
                <w:rFonts w:cs="Arial"/>
              </w:rPr>
              <w:t>, upon the occurrence of the Expiry Date, transferring the ownership of the Facility to</w:t>
            </w:r>
            <w:bookmarkStart w:id="145" w:name="_cp_text_1_1059"/>
            <w:r w:rsidRPr="00A67277">
              <w:rPr>
                <w:rFonts w:cs="Arial"/>
              </w:rPr>
              <w:t xml:space="preserve"> the </w:t>
            </w:r>
            <w:bookmarkEnd w:id="145"/>
            <w:r w:rsidRPr="00A67277">
              <w:rPr>
                <w:rFonts w:cs="Arial"/>
              </w:rPr>
              <w:t>GCA or any other party appointed by GCA  pursuant to Clause 25 (Hand-Over of the Project).</w:t>
            </w:r>
          </w:p>
          <w:p w14:paraId="6CC8745F" w14:textId="77777777" w:rsidR="00862B0B" w:rsidRPr="00A67277" w:rsidRDefault="00862B0B" w:rsidP="00862B0B">
            <w:pPr>
              <w:rPr>
                <w:lang w:val="en-GB" w:eastAsia="en-GB"/>
              </w:rPr>
            </w:pPr>
          </w:p>
          <w:bookmarkEnd w:id="142"/>
          <w:p w14:paraId="61255D57" w14:textId="77777777" w:rsidR="00862B0B" w:rsidRPr="00A67277" w:rsidRDefault="00862B0B" w:rsidP="00862B0B">
            <w:pPr>
              <w:pStyle w:val="Level3"/>
              <w:spacing w:before="60" w:after="60"/>
              <w:ind w:left="1298"/>
              <w:rPr>
                <w:rFonts w:cs="Arial"/>
              </w:rPr>
            </w:pPr>
          </w:p>
        </w:tc>
        <w:tc>
          <w:tcPr>
            <w:tcW w:w="169" w:type="pct"/>
          </w:tcPr>
          <w:p w14:paraId="717AC41E" w14:textId="77777777" w:rsidR="00862B0B" w:rsidRPr="00A67277" w:rsidRDefault="00862B0B" w:rsidP="00862B0B">
            <w:pPr>
              <w:spacing w:before="60" w:after="60"/>
              <w:rPr>
                <w:rFonts w:ascii="Arial" w:hAnsi="Arial" w:cs="Arial"/>
                <w:sz w:val="21"/>
                <w:szCs w:val="21"/>
              </w:rPr>
            </w:pPr>
          </w:p>
        </w:tc>
        <w:tc>
          <w:tcPr>
            <w:tcW w:w="2561" w:type="pct"/>
            <w:gridSpan w:val="2"/>
          </w:tcPr>
          <w:p w14:paraId="0DC2BA39" w14:textId="71B575B9" w:rsidR="00862B0B" w:rsidRPr="00A67277" w:rsidRDefault="00862B0B" w:rsidP="00862B0B">
            <w:pPr>
              <w:pStyle w:val="Level4"/>
              <w:numPr>
                <w:ilvl w:val="1"/>
                <w:numId w:val="198"/>
              </w:numPr>
              <w:spacing w:before="60" w:after="60"/>
              <w:ind w:left="1306" w:hanging="425"/>
              <w:rPr>
                <w:rFonts w:cs="Arial"/>
              </w:rPr>
            </w:pPr>
            <w:r w:rsidRPr="00A67277">
              <w:rPr>
                <w:rFonts w:cs="Arial"/>
              </w:rPr>
              <w:t>kecuali Perjanjian ini diakhiri lebih awal, pada saat terjadinya Tanggal Daluarsa Perjanjian, penyerahan Fasilitas kepada PJPK atau pihak lain yang ditunjuk sebagai PJPK, sebagaimana berlaku sesuai dengan ketentuan Pasal 25 dalam Perjanjian ini (Penyerahan Kembali Proyek).</w:t>
            </w:r>
          </w:p>
        </w:tc>
      </w:tr>
      <w:tr w:rsidR="00862B0B" w:rsidRPr="00A67277" w14:paraId="5A75D738" w14:textId="77777777" w:rsidTr="00862B0B">
        <w:tc>
          <w:tcPr>
            <w:tcW w:w="2270" w:type="pct"/>
          </w:tcPr>
          <w:p w14:paraId="707A69A4" w14:textId="4157D116" w:rsidR="00862B0B" w:rsidRPr="00A67277" w:rsidRDefault="00862B0B" w:rsidP="00862B0B">
            <w:pPr>
              <w:pStyle w:val="Heading2"/>
              <w:keepLines w:val="0"/>
              <w:numPr>
                <w:ilvl w:val="1"/>
                <w:numId w:val="299"/>
              </w:numPr>
              <w:spacing w:before="60" w:after="60"/>
              <w:ind w:left="873" w:hanging="426"/>
              <w:outlineLvl w:val="1"/>
              <w:rPr>
                <w:rFonts w:ascii="Arial" w:hAnsi="Arial" w:cs="Arial"/>
                <w:b/>
                <w:color w:val="auto"/>
                <w:sz w:val="21"/>
                <w:szCs w:val="21"/>
              </w:rPr>
            </w:pPr>
            <w:bookmarkStart w:id="146" w:name="_Toc501177917"/>
            <w:r w:rsidRPr="00A67277">
              <w:rPr>
                <w:rFonts w:ascii="Arial" w:hAnsi="Arial" w:cs="Arial"/>
                <w:b/>
                <w:color w:val="auto"/>
                <w:sz w:val="21"/>
                <w:szCs w:val="21"/>
              </w:rPr>
              <w:t>GCA’s General Obligations</w:t>
            </w:r>
            <w:bookmarkEnd w:id="146"/>
          </w:p>
        </w:tc>
        <w:tc>
          <w:tcPr>
            <w:tcW w:w="169" w:type="pct"/>
          </w:tcPr>
          <w:p w14:paraId="2333A228" w14:textId="77777777" w:rsidR="00862B0B" w:rsidRPr="00A67277" w:rsidRDefault="00862B0B" w:rsidP="00862B0B">
            <w:pPr>
              <w:spacing w:before="60" w:after="60"/>
              <w:rPr>
                <w:rFonts w:ascii="Arial" w:hAnsi="Arial" w:cs="Arial"/>
                <w:sz w:val="21"/>
                <w:szCs w:val="21"/>
              </w:rPr>
            </w:pPr>
          </w:p>
        </w:tc>
        <w:tc>
          <w:tcPr>
            <w:tcW w:w="2561" w:type="pct"/>
            <w:gridSpan w:val="2"/>
          </w:tcPr>
          <w:p w14:paraId="0EE0A064" w14:textId="77777777" w:rsidR="00862B0B" w:rsidRPr="00A67277" w:rsidRDefault="00862B0B" w:rsidP="00862B0B">
            <w:pPr>
              <w:pStyle w:val="Level2"/>
              <w:numPr>
                <w:ilvl w:val="1"/>
                <w:numId w:val="300"/>
              </w:numPr>
              <w:spacing w:before="60" w:after="60"/>
              <w:ind w:left="881" w:hanging="425"/>
              <w:rPr>
                <w:rFonts w:cs="Arial"/>
                <w:b/>
              </w:rPr>
            </w:pPr>
            <w:r w:rsidRPr="00A67277">
              <w:rPr>
                <w:rFonts w:cs="Arial"/>
                <w:b/>
              </w:rPr>
              <w:t>Tanggung Jawab Umum PJPK</w:t>
            </w:r>
          </w:p>
        </w:tc>
      </w:tr>
      <w:tr w:rsidR="00862B0B" w:rsidRPr="00A67277" w14:paraId="22122169" w14:textId="77777777" w:rsidTr="00862B0B">
        <w:tc>
          <w:tcPr>
            <w:tcW w:w="2270" w:type="pct"/>
          </w:tcPr>
          <w:p w14:paraId="75CE76B4" w14:textId="77777777" w:rsidR="00862B0B" w:rsidRPr="00A67277" w:rsidRDefault="00862B0B" w:rsidP="00862B0B">
            <w:pPr>
              <w:pStyle w:val="Body2"/>
              <w:spacing w:before="60" w:after="60"/>
              <w:ind w:left="900"/>
            </w:pPr>
            <w:r w:rsidRPr="00A67277">
              <w:t>Without prejudice to GCA’s other obligations under this Agreement, the obligations of GCA, with respect to implementation of the Project, shall include:</w:t>
            </w:r>
          </w:p>
        </w:tc>
        <w:tc>
          <w:tcPr>
            <w:tcW w:w="169" w:type="pct"/>
          </w:tcPr>
          <w:p w14:paraId="0CACBECC" w14:textId="77777777" w:rsidR="00862B0B" w:rsidRPr="00A67277" w:rsidRDefault="00862B0B" w:rsidP="00862B0B">
            <w:pPr>
              <w:spacing w:before="60" w:after="60"/>
              <w:rPr>
                <w:rFonts w:ascii="Arial" w:hAnsi="Arial" w:cs="Arial"/>
                <w:sz w:val="21"/>
                <w:szCs w:val="21"/>
              </w:rPr>
            </w:pPr>
          </w:p>
        </w:tc>
        <w:tc>
          <w:tcPr>
            <w:tcW w:w="2561" w:type="pct"/>
            <w:gridSpan w:val="2"/>
          </w:tcPr>
          <w:p w14:paraId="5A203EB2" w14:textId="77777777" w:rsidR="00862B0B" w:rsidRPr="00A67277" w:rsidRDefault="00862B0B" w:rsidP="00862B0B">
            <w:pPr>
              <w:pStyle w:val="Level1"/>
              <w:spacing w:before="60" w:after="60"/>
              <w:ind w:left="881" w:hanging="19"/>
              <w:rPr>
                <w:rFonts w:cs="Arial"/>
              </w:rPr>
            </w:pPr>
            <w:r w:rsidRPr="00A67277">
              <w:rPr>
                <w:rFonts w:cs="Arial"/>
              </w:rPr>
              <w:t>Dengan tidak mengesampingkan kewajiban-kewajiban lain berdasarkan Perjanjian ini, PJPK bertanggung jawab untuk:</w:t>
            </w:r>
          </w:p>
        </w:tc>
      </w:tr>
      <w:tr w:rsidR="00862B0B" w:rsidRPr="00A67277" w14:paraId="5603230A" w14:textId="77777777" w:rsidTr="00862B0B">
        <w:tc>
          <w:tcPr>
            <w:tcW w:w="2270" w:type="pct"/>
          </w:tcPr>
          <w:p w14:paraId="2C987E74" w14:textId="66B68E74" w:rsidR="00862B0B" w:rsidRPr="00A67277" w:rsidRDefault="00862B0B" w:rsidP="00862B0B">
            <w:pPr>
              <w:pStyle w:val="Level3"/>
              <w:numPr>
                <w:ilvl w:val="2"/>
                <w:numId w:val="301"/>
              </w:numPr>
              <w:tabs>
                <w:tab w:val="clear" w:pos="1417"/>
                <w:tab w:val="num" w:pos="1298"/>
              </w:tabs>
              <w:spacing w:before="60" w:after="60"/>
              <w:ind w:left="1298" w:hanging="425"/>
              <w:rPr>
                <w:rFonts w:cs="Arial"/>
              </w:rPr>
            </w:pPr>
            <w:bookmarkStart w:id="147" w:name="_Toc501177920"/>
            <w:bookmarkStart w:id="148" w:name="_Toc501177921"/>
            <w:r w:rsidRPr="00A67277">
              <w:rPr>
                <w:rFonts w:cs="Arial"/>
              </w:rPr>
              <w:t xml:space="preserve">obtaining all requisite legal rights to, and control over the Site within the </w:t>
            </w:r>
            <w:r>
              <w:rPr>
                <w:rFonts w:cs="Arial"/>
              </w:rPr>
              <w:t xml:space="preserve">specified </w:t>
            </w:r>
            <w:r w:rsidRPr="00A67277">
              <w:rPr>
                <w:rFonts w:cs="Arial"/>
              </w:rPr>
              <w:t>timeframe and providing the Site to the IBE on the Site Hand-over Date without any compensation;</w:t>
            </w:r>
            <w:bookmarkEnd w:id="147"/>
            <w:bookmarkEnd w:id="148"/>
          </w:p>
        </w:tc>
        <w:tc>
          <w:tcPr>
            <w:tcW w:w="169" w:type="pct"/>
          </w:tcPr>
          <w:p w14:paraId="713802A7" w14:textId="77777777" w:rsidR="00862B0B" w:rsidRPr="00A67277" w:rsidRDefault="00862B0B" w:rsidP="00862B0B">
            <w:pPr>
              <w:spacing w:before="60" w:after="60"/>
              <w:rPr>
                <w:rFonts w:ascii="Arial" w:hAnsi="Arial" w:cs="Arial"/>
                <w:sz w:val="21"/>
                <w:szCs w:val="21"/>
              </w:rPr>
            </w:pPr>
          </w:p>
        </w:tc>
        <w:tc>
          <w:tcPr>
            <w:tcW w:w="2561" w:type="pct"/>
            <w:gridSpan w:val="2"/>
          </w:tcPr>
          <w:p w14:paraId="0CCAAAB2" w14:textId="77777777" w:rsidR="00862B0B" w:rsidRPr="00A67277" w:rsidRDefault="00862B0B" w:rsidP="00862B0B">
            <w:pPr>
              <w:pStyle w:val="Level4"/>
              <w:numPr>
                <w:ilvl w:val="0"/>
                <w:numId w:val="199"/>
              </w:numPr>
              <w:spacing w:before="60" w:after="60"/>
              <w:ind w:left="1306" w:hanging="425"/>
              <w:rPr>
                <w:rFonts w:cs="Arial"/>
              </w:rPr>
            </w:pPr>
            <w:r w:rsidRPr="00A67277">
              <w:rPr>
                <w:rFonts w:cs="Arial"/>
              </w:rPr>
              <w:t>memperoleh semua hak hukum yang diperlukan sehubungan dengan, dan penguasan atas Lokasi dalam jangka waktu yang ditentukan dan menyediakan Lokasi kepada BUP pada Tanggal Serah Terima Lokasi tanpa kompensasi apapun;</w:t>
            </w:r>
          </w:p>
        </w:tc>
      </w:tr>
      <w:tr w:rsidR="00862B0B" w:rsidRPr="00A67277" w14:paraId="21A9C285" w14:textId="77777777" w:rsidTr="00AF378E">
        <w:tc>
          <w:tcPr>
            <w:tcW w:w="2270" w:type="pct"/>
          </w:tcPr>
          <w:p w14:paraId="51640F33" w14:textId="5668D26E" w:rsidR="00862B0B" w:rsidRPr="00A67277" w:rsidRDefault="00862B0B" w:rsidP="00862B0B">
            <w:pPr>
              <w:pStyle w:val="Level3"/>
              <w:numPr>
                <w:ilvl w:val="2"/>
                <w:numId w:val="301"/>
              </w:numPr>
              <w:tabs>
                <w:tab w:val="clear" w:pos="1417"/>
                <w:tab w:val="num" w:pos="1298"/>
              </w:tabs>
              <w:spacing w:before="60" w:after="60"/>
              <w:ind w:left="1298" w:hanging="425"/>
              <w:rPr>
                <w:rFonts w:cs="Arial"/>
              </w:rPr>
            </w:pPr>
            <w:r w:rsidRPr="00A67277">
              <w:rPr>
                <w:rFonts w:cs="Arial"/>
              </w:rPr>
              <w:t xml:space="preserve">receiving and accepting the Services, and paying the </w:t>
            </w:r>
            <w:r>
              <w:rPr>
                <w:rFonts w:cs="Arial"/>
              </w:rPr>
              <w:t>Service Fee</w:t>
            </w:r>
            <w:r w:rsidRPr="00A67277">
              <w:rPr>
                <w:rFonts w:cs="Arial"/>
              </w:rPr>
              <w:t xml:space="preserve"> thereof, in accordance with the provisions of this Agreement;</w:t>
            </w:r>
          </w:p>
        </w:tc>
        <w:tc>
          <w:tcPr>
            <w:tcW w:w="169" w:type="pct"/>
          </w:tcPr>
          <w:p w14:paraId="06A7E5D5" w14:textId="77777777" w:rsidR="00862B0B" w:rsidRPr="00A67277" w:rsidRDefault="00862B0B" w:rsidP="00862B0B">
            <w:pPr>
              <w:spacing w:before="60" w:after="60"/>
              <w:rPr>
                <w:rFonts w:ascii="Arial" w:hAnsi="Arial" w:cs="Arial"/>
                <w:sz w:val="21"/>
                <w:szCs w:val="21"/>
              </w:rPr>
            </w:pPr>
          </w:p>
        </w:tc>
        <w:tc>
          <w:tcPr>
            <w:tcW w:w="2561" w:type="pct"/>
            <w:gridSpan w:val="2"/>
          </w:tcPr>
          <w:p w14:paraId="7228C8BC" w14:textId="395AE68D" w:rsidR="00862B0B" w:rsidRPr="00A67277" w:rsidRDefault="00862B0B" w:rsidP="00862B0B">
            <w:pPr>
              <w:pStyle w:val="Level4"/>
              <w:numPr>
                <w:ilvl w:val="0"/>
                <w:numId w:val="199"/>
              </w:numPr>
              <w:spacing w:before="60" w:after="60"/>
              <w:ind w:left="1306" w:hanging="425"/>
              <w:rPr>
                <w:rFonts w:cs="Arial"/>
              </w:rPr>
            </w:pPr>
            <w:r w:rsidRPr="00A67277">
              <w:rPr>
                <w:rFonts w:cs="Arial"/>
              </w:rPr>
              <w:t>memperoleh dan menerima Layanan, dan membayar Biaya Layanan atas Layanan tersebut, sesuai dengan ketentuan-ketentuan dalam Perjanjian ini;</w:t>
            </w:r>
          </w:p>
        </w:tc>
      </w:tr>
      <w:tr w:rsidR="00862B0B" w:rsidRPr="00A67277" w14:paraId="0CFCB2D8" w14:textId="77777777" w:rsidTr="00AF378E">
        <w:tc>
          <w:tcPr>
            <w:tcW w:w="2270" w:type="pct"/>
          </w:tcPr>
          <w:p w14:paraId="0898234A" w14:textId="217901A5" w:rsidR="00862B0B" w:rsidRPr="00A67277" w:rsidRDefault="00862B0B" w:rsidP="00862B0B">
            <w:pPr>
              <w:pStyle w:val="Level3"/>
              <w:numPr>
                <w:ilvl w:val="2"/>
                <w:numId w:val="301"/>
              </w:numPr>
              <w:tabs>
                <w:tab w:val="clear" w:pos="1417"/>
                <w:tab w:val="num" w:pos="1298"/>
              </w:tabs>
              <w:spacing w:before="60" w:after="60"/>
              <w:ind w:left="1298" w:hanging="425"/>
            </w:pPr>
            <w:bookmarkStart w:id="149" w:name="_Toc501177926"/>
            <w:bookmarkStart w:id="150" w:name="_cp_text_1_1097"/>
            <w:r w:rsidRPr="00A67277">
              <w:rPr>
                <w:rFonts w:cs="Arial"/>
              </w:rPr>
              <w:t>receiving the Facility at the Expiry Date (unless this Agreement is terminated earlier) in accordance with the provisions of this Agreement.</w:t>
            </w:r>
            <w:bookmarkEnd w:id="149"/>
            <w:bookmarkEnd w:id="150"/>
          </w:p>
        </w:tc>
        <w:tc>
          <w:tcPr>
            <w:tcW w:w="169" w:type="pct"/>
          </w:tcPr>
          <w:p w14:paraId="4F8E7F7C" w14:textId="77777777" w:rsidR="00862B0B" w:rsidRPr="00A67277" w:rsidRDefault="00862B0B" w:rsidP="00862B0B">
            <w:pPr>
              <w:spacing w:before="60" w:after="60"/>
              <w:rPr>
                <w:rFonts w:ascii="Arial" w:hAnsi="Arial" w:cs="Arial"/>
                <w:sz w:val="21"/>
                <w:szCs w:val="21"/>
              </w:rPr>
            </w:pPr>
          </w:p>
        </w:tc>
        <w:tc>
          <w:tcPr>
            <w:tcW w:w="2561" w:type="pct"/>
            <w:gridSpan w:val="2"/>
          </w:tcPr>
          <w:p w14:paraId="07DABA34" w14:textId="5973D071" w:rsidR="00862B0B" w:rsidRPr="00AF378E" w:rsidRDefault="00862B0B" w:rsidP="00AF378E">
            <w:pPr>
              <w:pStyle w:val="Level4"/>
              <w:numPr>
                <w:ilvl w:val="0"/>
                <w:numId w:val="199"/>
              </w:numPr>
              <w:spacing w:before="60" w:after="60"/>
              <w:ind w:left="1306" w:hanging="425"/>
              <w:rPr>
                <w:rFonts w:cs="Arial"/>
              </w:rPr>
            </w:pPr>
            <w:r w:rsidRPr="00A67277">
              <w:rPr>
                <w:rFonts w:cs="Arial"/>
              </w:rPr>
              <w:t>menerima Fasilitas  pada saat Tanggal Daluarsa Perjanjian (kecuali Perjanjian ini diakhiri lebih awal) sesuai dengan ketentuan-ketentuan dalam Perjanjian ini</w:t>
            </w:r>
          </w:p>
          <w:p w14:paraId="28BD9B54" w14:textId="629A786D" w:rsidR="00862B0B" w:rsidRPr="00A67277" w:rsidRDefault="00862B0B" w:rsidP="00862B0B">
            <w:pPr>
              <w:rPr>
                <w:lang w:val="en-GB" w:eastAsia="en-GB"/>
              </w:rPr>
            </w:pPr>
          </w:p>
        </w:tc>
      </w:tr>
      <w:tr w:rsidR="00862B0B" w:rsidRPr="00A67277" w14:paraId="399DA65F" w14:textId="77777777" w:rsidTr="00AF378E">
        <w:tc>
          <w:tcPr>
            <w:tcW w:w="2270" w:type="pct"/>
          </w:tcPr>
          <w:p w14:paraId="5565CD54" w14:textId="1D2CBBF9" w:rsidR="00862B0B" w:rsidRPr="00A67277" w:rsidRDefault="00862B0B" w:rsidP="00862B0B">
            <w:pPr>
              <w:pStyle w:val="Heading2"/>
              <w:keepLines w:val="0"/>
              <w:numPr>
                <w:ilvl w:val="1"/>
                <w:numId w:val="299"/>
              </w:numPr>
              <w:spacing w:before="60" w:after="60"/>
              <w:ind w:left="873" w:hanging="426"/>
              <w:outlineLvl w:val="1"/>
              <w:rPr>
                <w:rFonts w:ascii="Arial" w:hAnsi="Arial" w:cs="Arial"/>
                <w:b/>
                <w:color w:val="auto"/>
                <w:sz w:val="21"/>
                <w:szCs w:val="21"/>
              </w:rPr>
            </w:pPr>
            <w:bookmarkStart w:id="151" w:name="_Toc501177927"/>
            <w:bookmarkStart w:id="152" w:name="_Ref401161072"/>
            <w:r w:rsidRPr="00A67277">
              <w:rPr>
                <w:rFonts w:ascii="Arial" w:hAnsi="Arial" w:cs="Arial"/>
                <w:b/>
                <w:color w:val="auto"/>
                <w:sz w:val="21"/>
                <w:szCs w:val="21"/>
              </w:rPr>
              <w:t>Representatives</w:t>
            </w:r>
            <w:bookmarkEnd w:id="151"/>
            <w:bookmarkEnd w:id="152"/>
          </w:p>
        </w:tc>
        <w:tc>
          <w:tcPr>
            <w:tcW w:w="169" w:type="pct"/>
          </w:tcPr>
          <w:p w14:paraId="3D82E695" w14:textId="77777777" w:rsidR="00862B0B" w:rsidRPr="00A67277" w:rsidRDefault="00862B0B" w:rsidP="00862B0B">
            <w:pPr>
              <w:spacing w:before="60" w:after="60"/>
              <w:rPr>
                <w:rFonts w:ascii="Arial" w:hAnsi="Arial" w:cs="Arial"/>
                <w:sz w:val="21"/>
                <w:szCs w:val="21"/>
              </w:rPr>
            </w:pPr>
          </w:p>
        </w:tc>
        <w:tc>
          <w:tcPr>
            <w:tcW w:w="2561" w:type="pct"/>
            <w:gridSpan w:val="2"/>
          </w:tcPr>
          <w:p w14:paraId="61D4BE84" w14:textId="77777777" w:rsidR="00862B0B" w:rsidRPr="00A67277" w:rsidRDefault="00862B0B" w:rsidP="00862B0B">
            <w:pPr>
              <w:pStyle w:val="Level2"/>
              <w:numPr>
                <w:ilvl w:val="1"/>
                <w:numId w:val="300"/>
              </w:numPr>
              <w:spacing w:before="60" w:after="60"/>
              <w:ind w:left="881" w:hanging="425"/>
              <w:rPr>
                <w:rFonts w:cs="Arial"/>
                <w:b/>
              </w:rPr>
            </w:pPr>
            <w:r w:rsidRPr="00A67277">
              <w:rPr>
                <w:rFonts w:cs="Arial"/>
                <w:b/>
              </w:rPr>
              <w:t>Perwakilan</w:t>
            </w:r>
          </w:p>
        </w:tc>
      </w:tr>
      <w:tr w:rsidR="00862B0B" w:rsidRPr="00A67277" w14:paraId="0182BC3D" w14:textId="77777777" w:rsidTr="00AF378E">
        <w:trPr>
          <w:trHeight w:val="3077"/>
        </w:trPr>
        <w:tc>
          <w:tcPr>
            <w:tcW w:w="2270" w:type="pct"/>
          </w:tcPr>
          <w:p w14:paraId="70044ADF" w14:textId="76FF6DE5" w:rsidR="00862B0B" w:rsidRPr="00A67277" w:rsidRDefault="00862B0B" w:rsidP="00862B0B">
            <w:pPr>
              <w:pStyle w:val="Level3"/>
              <w:numPr>
                <w:ilvl w:val="0"/>
                <w:numId w:val="459"/>
              </w:numPr>
              <w:spacing w:before="60" w:after="60"/>
              <w:ind w:left="1333" w:hanging="450"/>
              <w:rPr>
                <w:rFonts w:cs="Arial"/>
              </w:rPr>
            </w:pPr>
            <w:bookmarkStart w:id="153" w:name="_Toc501177928"/>
            <w:r w:rsidRPr="00A67277">
              <w:rPr>
                <w:rFonts w:cs="Arial"/>
              </w:rPr>
              <w:t>Each Party must appoint a representative to act on that Party’s behalf for the purpose of this Agreement and exercise any of that Party’s rights or perform any of its obligations under this Agreement.</w:t>
            </w:r>
            <w:bookmarkEnd w:id="153"/>
          </w:p>
        </w:tc>
        <w:tc>
          <w:tcPr>
            <w:tcW w:w="169" w:type="pct"/>
          </w:tcPr>
          <w:p w14:paraId="6FB94E56" w14:textId="77777777" w:rsidR="00862B0B" w:rsidRPr="00A67277" w:rsidRDefault="00862B0B" w:rsidP="00862B0B">
            <w:pPr>
              <w:spacing w:before="60" w:after="60"/>
              <w:rPr>
                <w:rFonts w:ascii="Arial" w:hAnsi="Arial" w:cs="Arial"/>
                <w:sz w:val="21"/>
                <w:szCs w:val="21"/>
              </w:rPr>
            </w:pPr>
          </w:p>
        </w:tc>
        <w:tc>
          <w:tcPr>
            <w:tcW w:w="2561" w:type="pct"/>
            <w:gridSpan w:val="2"/>
          </w:tcPr>
          <w:p w14:paraId="32FF26DD" w14:textId="77777777" w:rsidR="00862B0B" w:rsidRPr="00A67277" w:rsidRDefault="00862B0B" w:rsidP="00862B0B">
            <w:pPr>
              <w:pStyle w:val="Level4"/>
              <w:numPr>
                <w:ilvl w:val="0"/>
                <w:numId w:val="200"/>
              </w:numPr>
              <w:spacing w:before="60" w:after="60"/>
              <w:ind w:left="1306" w:hanging="425"/>
              <w:rPr>
                <w:rFonts w:cs="Arial"/>
              </w:rPr>
            </w:pPr>
            <w:r w:rsidRPr="00A67277">
              <w:rPr>
                <w:rFonts w:cs="Arial"/>
              </w:rPr>
              <w:t>Masing-masing Pihak harus menunjuk seorang perwakilan untuk bertindak atas nama Pihak tersebut untuk tujuan Perjanjian ini dan menggunakan setiap hak-haknya dari Pihak atau melaksanakan kewajiban-kewajiban berdasarkan Perjanjian ini.</w:t>
            </w:r>
          </w:p>
        </w:tc>
      </w:tr>
      <w:tr w:rsidR="00862B0B" w:rsidRPr="00A67277" w14:paraId="64991E43" w14:textId="77777777" w:rsidTr="00AF378E">
        <w:tc>
          <w:tcPr>
            <w:tcW w:w="2270" w:type="pct"/>
          </w:tcPr>
          <w:p w14:paraId="0F7C1C5F" w14:textId="0FE68F25" w:rsidR="00862B0B" w:rsidRPr="00A67277" w:rsidRDefault="00862B0B" w:rsidP="00862B0B">
            <w:pPr>
              <w:pStyle w:val="Level3"/>
              <w:numPr>
                <w:ilvl w:val="0"/>
                <w:numId w:val="459"/>
              </w:numPr>
              <w:spacing w:before="60" w:after="60"/>
              <w:ind w:left="1333" w:hanging="450"/>
              <w:rPr>
                <w:rFonts w:cs="Arial"/>
              </w:rPr>
            </w:pPr>
            <w:bookmarkStart w:id="154" w:name="_Toc501177929"/>
            <w:r w:rsidRPr="00A67277">
              <w:rPr>
                <w:rFonts w:cs="Arial"/>
              </w:rPr>
              <w:t>The identity and contact details of each Party’s representative as on the Effective Date are set out in Appendix 1 (</w:t>
            </w:r>
            <w:bookmarkStart w:id="155" w:name="_cp_text_1_1115"/>
            <w:r w:rsidRPr="00A67277">
              <w:rPr>
                <w:rFonts w:cs="Arial"/>
              </w:rPr>
              <w:t>Representatives</w:t>
            </w:r>
            <w:bookmarkEnd w:id="155"/>
            <w:r w:rsidRPr="00A67277">
              <w:rPr>
                <w:rFonts w:cs="Arial"/>
              </w:rPr>
              <w:t>).</w:t>
            </w:r>
            <w:bookmarkEnd w:id="154"/>
          </w:p>
        </w:tc>
        <w:tc>
          <w:tcPr>
            <w:tcW w:w="169" w:type="pct"/>
          </w:tcPr>
          <w:p w14:paraId="2759226F" w14:textId="77777777" w:rsidR="00862B0B" w:rsidRPr="00A67277" w:rsidRDefault="00862B0B" w:rsidP="00862B0B">
            <w:pPr>
              <w:spacing w:before="60" w:after="60"/>
              <w:rPr>
                <w:rFonts w:ascii="Arial" w:hAnsi="Arial" w:cs="Arial"/>
                <w:sz w:val="21"/>
                <w:szCs w:val="21"/>
              </w:rPr>
            </w:pPr>
          </w:p>
        </w:tc>
        <w:tc>
          <w:tcPr>
            <w:tcW w:w="2561" w:type="pct"/>
            <w:gridSpan w:val="2"/>
          </w:tcPr>
          <w:p w14:paraId="218ACAF7" w14:textId="77777777" w:rsidR="00862B0B" w:rsidRPr="00A67277" w:rsidRDefault="00862B0B" w:rsidP="00862B0B">
            <w:pPr>
              <w:pStyle w:val="Level4"/>
              <w:numPr>
                <w:ilvl w:val="0"/>
                <w:numId w:val="200"/>
              </w:numPr>
              <w:spacing w:before="60" w:after="60"/>
              <w:ind w:left="1306" w:hanging="425"/>
              <w:rPr>
                <w:rFonts w:cs="Arial"/>
              </w:rPr>
            </w:pPr>
            <w:r w:rsidRPr="00A67277">
              <w:rPr>
                <w:rFonts w:cs="Arial"/>
              </w:rPr>
              <w:t>Identitas dan rincian kontak masing-masing wakil Pihak pada Tanggal Efektif diatur dalam Lampiran 1 (</w:t>
            </w:r>
            <w:r w:rsidRPr="00A67277">
              <w:rPr>
                <w:rFonts w:cs="Arial"/>
                <w:i/>
              </w:rPr>
              <w:t>Perwakilan</w:t>
            </w:r>
            <w:r w:rsidRPr="00A67277">
              <w:rPr>
                <w:rFonts w:cs="Arial"/>
              </w:rPr>
              <w:t>).</w:t>
            </w:r>
          </w:p>
        </w:tc>
      </w:tr>
      <w:tr w:rsidR="00862B0B" w:rsidRPr="00A67277" w14:paraId="1BDBCA6F" w14:textId="77777777" w:rsidTr="00862B0B">
        <w:tc>
          <w:tcPr>
            <w:tcW w:w="2270" w:type="pct"/>
          </w:tcPr>
          <w:p w14:paraId="612ADF32" w14:textId="51D09990" w:rsidR="00862B0B" w:rsidRPr="00A67277" w:rsidRDefault="00862B0B" w:rsidP="00862B0B">
            <w:pPr>
              <w:pStyle w:val="Level3"/>
              <w:numPr>
                <w:ilvl w:val="2"/>
                <w:numId w:val="460"/>
              </w:numPr>
              <w:spacing w:before="60" w:after="60"/>
              <w:ind w:left="1298" w:hanging="425"/>
              <w:rPr>
                <w:rFonts w:cs="Arial"/>
              </w:rPr>
            </w:pPr>
            <w:bookmarkStart w:id="156" w:name="_Toc501177930"/>
            <w:r w:rsidRPr="00A67277">
              <w:rPr>
                <w:rFonts w:cs="Arial"/>
              </w:rPr>
              <w:t>Each Party may by notice in writing to the other Party change their respective representative. Each Party shall (as far as reasonably practicable) consult with the other Party prior to the appointment of any replacement for a representative, taking account of the need for liaison and continuity in respect of the Project. Such change shall have effect on the date specified in the written notice.</w:t>
            </w:r>
            <w:bookmarkEnd w:id="156"/>
          </w:p>
        </w:tc>
        <w:tc>
          <w:tcPr>
            <w:tcW w:w="169" w:type="pct"/>
          </w:tcPr>
          <w:p w14:paraId="44C16412" w14:textId="77777777" w:rsidR="00862B0B" w:rsidRPr="00A67277" w:rsidRDefault="00862B0B" w:rsidP="00862B0B">
            <w:pPr>
              <w:spacing w:before="60" w:after="60"/>
              <w:rPr>
                <w:rFonts w:ascii="Arial" w:hAnsi="Arial" w:cs="Arial"/>
                <w:sz w:val="21"/>
                <w:szCs w:val="21"/>
              </w:rPr>
            </w:pPr>
          </w:p>
        </w:tc>
        <w:tc>
          <w:tcPr>
            <w:tcW w:w="2561" w:type="pct"/>
            <w:gridSpan w:val="2"/>
          </w:tcPr>
          <w:p w14:paraId="4A28D763" w14:textId="77777777" w:rsidR="00862B0B" w:rsidRPr="00A67277" w:rsidRDefault="00862B0B" w:rsidP="00862B0B">
            <w:pPr>
              <w:pStyle w:val="Level4"/>
              <w:numPr>
                <w:ilvl w:val="0"/>
                <w:numId w:val="200"/>
              </w:numPr>
              <w:spacing w:before="60" w:after="60"/>
              <w:ind w:left="1306" w:hanging="425"/>
              <w:rPr>
                <w:rFonts w:cs="Arial"/>
              </w:rPr>
            </w:pPr>
            <w:r w:rsidRPr="00A67277">
              <w:rPr>
                <w:rFonts w:cs="Arial"/>
              </w:rPr>
              <w:t>Masing-masing Pihak dapat dengan pemberitahuan secara tertulis kepada Pihak lain untuk mengubah perwakilan bersangkutan. Masing-masing Pihak harus (sejauh secara wajar yang dapat dilakukan) berkonsultasi dengan Pihak lainnya sebelum melakukan penggantian seorang perwakilan, dengan mempertimbangkan kebutuhan pendampingan dan keberlanjutan sehubungan dengan Proyek. Perubahan tersebut harus berlaku pada tanggal sebagaimana diatur dalam pemberitahuan tertulis.</w:t>
            </w:r>
          </w:p>
        </w:tc>
      </w:tr>
      <w:tr w:rsidR="00862B0B" w:rsidRPr="00A67277" w14:paraId="3CF98E08" w14:textId="77777777" w:rsidTr="00862B0B">
        <w:tc>
          <w:tcPr>
            <w:tcW w:w="2270" w:type="pct"/>
          </w:tcPr>
          <w:p w14:paraId="59F1B327" w14:textId="54FBFB02" w:rsidR="00862B0B" w:rsidRPr="00A67277" w:rsidRDefault="00862B0B" w:rsidP="00862B0B">
            <w:pPr>
              <w:pStyle w:val="Level3"/>
              <w:numPr>
                <w:ilvl w:val="2"/>
                <w:numId w:val="460"/>
              </w:numPr>
              <w:spacing w:before="60" w:after="60"/>
              <w:ind w:left="1298" w:hanging="425"/>
              <w:rPr>
                <w:rFonts w:cs="Arial"/>
              </w:rPr>
            </w:pPr>
            <w:bookmarkStart w:id="157" w:name="_Toc501177931"/>
            <w:r w:rsidRPr="00A67277">
              <w:rPr>
                <w:rFonts w:cs="Arial"/>
              </w:rPr>
              <w:t>During any period when no representative has been appointed by a Party (or when a Party’s representative is unable through illness, incapacity or any other reason whatsoever to carry out or exercise his functions under this Agreement), such Party shall carry out the functions which would otherwise be performed by its representative.</w:t>
            </w:r>
            <w:bookmarkEnd w:id="157"/>
          </w:p>
        </w:tc>
        <w:tc>
          <w:tcPr>
            <w:tcW w:w="169" w:type="pct"/>
          </w:tcPr>
          <w:p w14:paraId="2872CD2A" w14:textId="77777777" w:rsidR="00862B0B" w:rsidRPr="00A67277" w:rsidRDefault="00862B0B" w:rsidP="00862B0B">
            <w:pPr>
              <w:spacing w:before="60" w:after="60"/>
              <w:rPr>
                <w:rFonts w:ascii="Arial" w:hAnsi="Arial" w:cs="Arial"/>
                <w:sz w:val="21"/>
                <w:szCs w:val="21"/>
              </w:rPr>
            </w:pPr>
          </w:p>
        </w:tc>
        <w:tc>
          <w:tcPr>
            <w:tcW w:w="2561" w:type="pct"/>
            <w:gridSpan w:val="2"/>
          </w:tcPr>
          <w:p w14:paraId="5735909C" w14:textId="77777777" w:rsidR="00862B0B" w:rsidRPr="00A67277" w:rsidRDefault="00862B0B" w:rsidP="00862B0B">
            <w:pPr>
              <w:pStyle w:val="Level4"/>
              <w:numPr>
                <w:ilvl w:val="0"/>
                <w:numId w:val="200"/>
              </w:numPr>
              <w:spacing w:before="60" w:after="60"/>
              <w:ind w:left="1306" w:hanging="425"/>
              <w:rPr>
                <w:rFonts w:cs="Arial"/>
              </w:rPr>
            </w:pPr>
            <w:r w:rsidRPr="00A67277">
              <w:rPr>
                <w:rFonts w:cs="Arial"/>
              </w:rPr>
              <w:t>Dalam setiap jangka waktu dimana tidak ada perwakilan yang ditunjuk oleh Pihak (atau pada saaat perwakilan Pihak tidak mampu karena sakit, tidak memiliki kapasitas atau setiap alasan lainnya untuk melakukan fungsinya berdasarkan Perjanjian ini), Pihak tersebut harus melaksanakan fungsinya yang seharusnya dilakukan oleh perwakilannya.</w:t>
            </w:r>
          </w:p>
        </w:tc>
      </w:tr>
      <w:tr w:rsidR="00862B0B" w:rsidRPr="00A67277" w14:paraId="6030A2FD" w14:textId="77777777" w:rsidTr="00862B0B">
        <w:tc>
          <w:tcPr>
            <w:tcW w:w="2270" w:type="pct"/>
          </w:tcPr>
          <w:p w14:paraId="4CCAAF2F" w14:textId="43A95BCD" w:rsidR="00862B0B" w:rsidRPr="00A67277" w:rsidRDefault="00862B0B" w:rsidP="00862B0B">
            <w:pPr>
              <w:pStyle w:val="Level3"/>
              <w:numPr>
                <w:ilvl w:val="2"/>
                <w:numId w:val="460"/>
              </w:numPr>
              <w:spacing w:before="60" w:after="60"/>
              <w:ind w:left="1298" w:hanging="425"/>
              <w:rPr>
                <w:rFonts w:cs="Arial"/>
              </w:rPr>
            </w:pPr>
            <w:bookmarkStart w:id="158" w:name="_Toc501177932"/>
            <w:r w:rsidRPr="00A67277">
              <w:rPr>
                <w:rFonts w:cs="Arial"/>
              </w:rPr>
              <w:t>Any Party shall be entitled to treat any act of the other Party’s representative which is authorised by this Agreement as being expressly authorised by the other Party except as previously notified in writing before such act. No Party or Party’s representative shall be required to determine whether an express authorisation has in fact been given.</w:t>
            </w:r>
            <w:bookmarkEnd w:id="158"/>
          </w:p>
        </w:tc>
        <w:tc>
          <w:tcPr>
            <w:tcW w:w="169" w:type="pct"/>
          </w:tcPr>
          <w:p w14:paraId="16AF7598" w14:textId="77777777" w:rsidR="00862B0B" w:rsidRPr="00A67277" w:rsidRDefault="00862B0B" w:rsidP="00862B0B">
            <w:pPr>
              <w:spacing w:before="60" w:after="60"/>
              <w:rPr>
                <w:rFonts w:ascii="Arial" w:hAnsi="Arial" w:cs="Arial"/>
                <w:sz w:val="21"/>
                <w:szCs w:val="21"/>
              </w:rPr>
            </w:pPr>
          </w:p>
        </w:tc>
        <w:tc>
          <w:tcPr>
            <w:tcW w:w="2561" w:type="pct"/>
            <w:gridSpan w:val="2"/>
          </w:tcPr>
          <w:p w14:paraId="643F01B0" w14:textId="77777777" w:rsidR="00862B0B" w:rsidRPr="00A67277" w:rsidRDefault="00862B0B" w:rsidP="00862B0B">
            <w:pPr>
              <w:pStyle w:val="Level4"/>
              <w:numPr>
                <w:ilvl w:val="0"/>
                <w:numId w:val="200"/>
              </w:numPr>
              <w:spacing w:before="60" w:after="60"/>
              <w:ind w:left="1306" w:hanging="425"/>
              <w:rPr>
                <w:rFonts w:cs="Arial"/>
              </w:rPr>
            </w:pPr>
            <w:r w:rsidRPr="00A67277">
              <w:rPr>
                <w:rFonts w:cs="Arial"/>
              </w:rPr>
              <w:t>Setiap Pihak berhak untuk memperlakukan setiap tindakan dari perwakilan Pihak lain yang diberikan kewenangan oleh Perjanjian ini sebagaimana diberikan kewenangan secara jelas oleh Pihak lain kecuali jika telah diberitahukan secara tertulis sebelum dilakukannya tindakan tersebut. Masing-masing Pihak atau Perwakilan Pihak tidak diharuskan untuk meminta pembuktian apakah pemberian otorisasi/wewenang sebenarnya telah diberikan.</w:t>
            </w:r>
          </w:p>
        </w:tc>
      </w:tr>
      <w:tr w:rsidR="00862B0B" w:rsidRPr="00A67277" w14:paraId="5172994F" w14:textId="77777777" w:rsidTr="00862B0B">
        <w:tc>
          <w:tcPr>
            <w:tcW w:w="2270" w:type="pct"/>
          </w:tcPr>
          <w:p w14:paraId="44E9ACE2" w14:textId="6A07AB6E" w:rsidR="00862B0B" w:rsidRPr="00A67277" w:rsidRDefault="00862B0B" w:rsidP="00862B0B">
            <w:pPr>
              <w:pStyle w:val="Heading2"/>
              <w:keepLines w:val="0"/>
              <w:numPr>
                <w:ilvl w:val="1"/>
                <w:numId w:val="299"/>
              </w:numPr>
              <w:spacing w:before="60" w:after="60"/>
              <w:ind w:left="873" w:hanging="426"/>
              <w:outlineLvl w:val="1"/>
              <w:rPr>
                <w:rFonts w:ascii="Arial" w:hAnsi="Arial" w:cs="Arial"/>
                <w:b/>
                <w:color w:val="auto"/>
                <w:sz w:val="21"/>
                <w:szCs w:val="21"/>
              </w:rPr>
            </w:pPr>
            <w:bookmarkStart w:id="159" w:name="_Toc501177933"/>
            <w:r w:rsidRPr="00A67277">
              <w:rPr>
                <w:rFonts w:ascii="Arial" w:hAnsi="Arial" w:cs="Arial"/>
                <w:b/>
                <w:color w:val="auto"/>
                <w:sz w:val="21"/>
                <w:szCs w:val="21"/>
              </w:rPr>
              <w:t>Project Agreements</w:t>
            </w:r>
            <w:bookmarkEnd w:id="159"/>
          </w:p>
        </w:tc>
        <w:tc>
          <w:tcPr>
            <w:tcW w:w="169" w:type="pct"/>
          </w:tcPr>
          <w:p w14:paraId="539A464C" w14:textId="77777777" w:rsidR="00862B0B" w:rsidRPr="00A67277" w:rsidRDefault="00862B0B" w:rsidP="00862B0B">
            <w:pPr>
              <w:spacing w:before="60" w:after="60"/>
              <w:rPr>
                <w:rFonts w:ascii="Arial" w:hAnsi="Arial" w:cs="Arial"/>
                <w:sz w:val="21"/>
                <w:szCs w:val="21"/>
              </w:rPr>
            </w:pPr>
          </w:p>
        </w:tc>
        <w:tc>
          <w:tcPr>
            <w:tcW w:w="2561" w:type="pct"/>
            <w:gridSpan w:val="2"/>
          </w:tcPr>
          <w:p w14:paraId="6087B689" w14:textId="77777777" w:rsidR="00862B0B" w:rsidRPr="00A67277" w:rsidRDefault="00862B0B" w:rsidP="00862B0B">
            <w:pPr>
              <w:pStyle w:val="Level2"/>
              <w:numPr>
                <w:ilvl w:val="1"/>
                <w:numId w:val="300"/>
              </w:numPr>
              <w:spacing w:before="60" w:after="60"/>
              <w:ind w:left="881" w:hanging="425"/>
              <w:rPr>
                <w:rFonts w:cs="Arial"/>
                <w:b/>
              </w:rPr>
            </w:pPr>
            <w:r w:rsidRPr="00A67277">
              <w:rPr>
                <w:rFonts w:cs="Arial"/>
                <w:b/>
              </w:rPr>
              <w:t>Perjanjian Proyek</w:t>
            </w:r>
          </w:p>
        </w:tc>
      </w:tr>
      <w:tr w:rsidR="00862B0B" w:rsidRPr="00A67277" w14:paraId="7326D09F" w14:textId="77777777" w:rsidTr="00862B0B">
        <w:tc>
          <w:tcPr>
            <w:tcW w:w="2270" w:type="pct"/>
          </w:tcPr>
          <w:p w14:paraId="347048FC" w14:textId="3B30FF8B" w:rsidR="00862B0B" w:rsidRPr="00A67277" w:rsidRDefault="00862B0B" w:rsidP="00862B0B">
            <w:pPr>
              <w:pStyle w:val="Level3"/>
              <w:spacing w:before="60" w:after="60"/>
              <w:ind w:left="851"/>
              <w:rPr>
                <w:rFonts w:cs="Arial"/>
              </w:rPr>
            </w:pPr>
            <w:bookmarkStart w:id="160" w:name="_Toc501177934"/>
            <w:r w:rsidRPr="00A67277">
              <w:rPr>
                <w:rFonts w:cs="Arial"/>
              </w:rPr>
              <w:t>The IBE must enter into the Project Agreements necessary to be entered into by the IBE to enable it to fulfil its obligations under this Agreement.</w:t>
            </w:r>
            <w:bookmarkEnd w:id="160"/>
          </w:p>
        </w:tc>
        <w:tc>
          <w:tcPr>
            <w:tcW w:w="169" w:type="pct"/>
          </w:tcPr>
          <w:p w14:paraId="52ACCADB" w14:textId="77777777" w:rsidR="00862B0B" w:rsidRPr="00A67277" w:rsidRDefault="00862B0B" w:rsidP="00862B0B">
            <w:pPr>
              <w:spacing w:before="60" w:after="60"/>
              <w:rPr>
                <w:rFonts w:ascii="Arial" w:hAnsi="Arial" w:cs="Arial"/>
                <w:sz w:val="21"/>
                <w:szCs w:val="21"/>
              </w:rPr>
            </w:pPr>
          </w:p>
        </w:tc>
        <w:tc>
          <w:tcPr>
            <w:tcW w:w="2561" w:type="pct"/>
            <w:gridSpan w:val="2"/>
          </w:tcPr>
          <w:p w14:paraId="49EF0F32" w14:textId="77777777" w:rsidR="00862B0B" w:rsidRPr="00A67277" w:rsidRDefault="00862B0B" w:rsidP="00862B0B">
            <w:pPr>
              <w:pStyle w:val="Level3"/>
              <w:spacing w:before="60" w:after="60"/>
              <w:ind w:left="850"/>
              <w:rPr>
                <w:rFonts w:cs="Arial"/>
              </w:rPr>
            </w:pPr>
            <w:r w:rsidRPr="00A67277">
              <w:rPr>
                <w:rFonts w:cs="Arial"/>
              </w:rPr>
              <w:t>BUP harus menandatangani Perjanjian Proyek yang diperlukan untuk ditandatangani oleh BUP untuk dapat memenuhi kewajiban-kewajibannya berdasarkan Perjanjian ini.</w:t>
            </w:r>
          </w:p>
        </w:tc>
      </w:tr>
      <w:tr w:rsidR="00862B0B" w:rsidRPr="00A67277" w14:paraId="655E5B0B" w14:textId="77777777" w:rsidTr="00862B0B">
        <w:tc>
          <w:tcPr>
            <w:tcW w:w="2270" w:type="pct"/>
          </w:tcPr>
          <w:p w14:paraId="6A4A8B1D" w14:textId="77039528" w:rsidR="00862B0B" w:rsidRPr="00A67277" w:rsidRDefault="00862B0B" w:rsidP="00862B0B">
            <w:pPr>
              <w:pStyle w:val="Heading2"/>
              <w:keepLines w:val="0"/>
              <w:numPr>
                <w:ilvl w:val="1"/>
                <w:numId w:val="299"/>
              </w:numPr>
              <w:spacing w:before="60" w:after="60"/>
              <w:ind w:left="873" w:hanging="426"/>
              <w:outlineLvl w:val="1"/>
              <w:rPr>
                <w:rFonts w:ascii="Arial" w:hAnsi="Arial" w:cs="Arial"/>
                <w:b/>
                <w:color w:val="auto"/>
                <w:sz w:val="21"/>
                <w:szCs w:val="21"/>
              </w:rPr>
            </w:pPr>
            <w:bookmarkStart w:id="161" w:name="_Toc501177939"/>
            <w:r w:rsidRPr="00A67277">
              <w:rPr>
                <w:rFonts w:ascii="Arial" w:hAnsi="Arial" w:cs="Arial"/>
                <w:b/>
                <w:color w:val="auto"/>
                <w:sz w:val="21"/>
                <w:szCs w:val="21"/>
              </w:rPr>
              <w:t>Authorisations</w:t>
            </w:r>
            <w:bookmarkEnd w:id="161"/>
          </w:p>
        </w:tc>
        <w:tc>
          <w:tcPr>
            <w:tcW w:w="169" w:type="pct"/>
          </w:tcPr>
          <w:p w14:paraId="48C7CE4C" w14:textId="77777777" w:rsidR="00862B0B" w:rsidRPr="00A67277" w:rsidRDefault="00862B0B" w:rsidP="00862B0B">
            <w:pPr>
              <w:spacing w:before="60" w:after="60"/>
              <w:rPr>
                <w:rFonts w:ascii="Arial" w:hAnsi="Arial" w:cs="Arial"/>
                <w:sz w:val="21"/>
                <w:szCs w:val="21"/>
              </w:rPr>
            </w:pPr>
          </w:p>
        </w:tc>
        <w:tc>
          <w:tcPr>
            <w:tcW w:w="2561" w:type="pct"/>
            <w:gridSpan w:val="2"/>
          </w:tcPr>
          <w:p w14:paraId="34420FA1" w14:textId="77777777" w:rsidR="00862B0B" w:rsidRPr="00A67277" w:rsidRDefault="00862B0B" w:rsidP="00862B0B">
            <w:pPr>
              <w:pStyle w:val="Level2"/>
              <w:numPr>
                <w:ilvl w:val="1"/>
                <w:numId w:val="300"/>
              </w:numPr>
              <w:spacing w:before="60" w:after="60"/>
              <w:ind w:left="881" w:hanging="425"/>
              <w:rPr>
                <w:rFonts w:cs="Arial"/>
                <w:b/>
              </w:rPr>
            </w:pPr>
            <w:r w:rsidRPr="00A67277">
              <w:rPr>
                <w:rFonts w:cs="Arial"/>
                <w:b/>
              </w:rPr>
              <w:t>Persetujuan-Persetujuan</w:t>
            </w:r>
          </w:p>
        </w:tc>
      </w:tr>
      <w:tr w:rsidR="00862B0B" w:rsidRPr="00A67277" w14:paraId="439DF61D" w14:textId="77777777" w:rsidTr="00862B0B">
        <w:tc>
          <w:tcPr>
            <w:tcW w:w="2270" w:type="pct"/>
          </w:tcPr>
          <w:p w14:paraId="6FD7A0BE" w14:textId="51C8EF89" w:rsidR="00862B0B" w:rsidRPr="00A67277" w:rsidRDefault="00862B0B" w:rsidP="00862B0B">
            <w:pPr>
              <w:pStyle w:val="Level3"/>
              <w:numPr>
                <w:ilvl w:val="2"/>
                <w:numId w:val="306"/>
              </w:numPr>
              <w:tabs>
                <w:tab w:val="clear" w:pos="1417"/>
                <w:tab w:val="num" w:pos="1298"/>
              </w:tabs>
              <w:spacing w:before="60" w:after="60"/>
              <w:ind w:left="1298" w:hanging="425"/>
              <w:rPr>
                <w:rFonts w:cs="Arial"/>
              </w:rPr>
            </w:pPr>
            <w:bookmarkStart w:id="162" w:name="_Toc501177940"/>
            <w:bookmarkStart w:id="163" w:name="_Ref397431533"/>
            <w:r w:rsidRPr="00A67277">
              <w:rPr>
                <w:rFonts w:cs="Arial"/>
              </w:rPr>
              <w:t>Except as otherwise provided in paragraph (b), the IBE must obtain, maintain and renew, and procure that each of its Contractors obtain, maintain and renew, all Authorisations necessary for the IBE to undertake the Project and to otherwise perform its obligations under this Agreement and the Project Agreements, including the Authorisations identified in Appendix 11 (</w:t>
            </w:r>
            <w:r w:rsidRPr="00A67277">
              <w:rPr>
                <w:rFonts w:cs="Arial"/>
                <w:i/>
              </w:rPr>
              <w:t>Key Authorisations</w:t>
            </w:r>
            <w:r w:rsidRPr="00A67277">
              <w:rPr>
                <w:rFonts w:cs="Arial"/>
              </w:rPr>
              <w:t>). The IBE shall not commence any part of the Project until it has obtained all necessary Authorisations in relation to that part of the Project.</w:t>
            </w:r>
            <w:bookmarkEnd w:id="162"/>
            <w:bookmarkEnd w:id="163"/>
          </w:p>
        </w:tc>
        <w:tc>
          <w:tcPr>
            <w:tcW w:w="169" w:type="pct"/>
          </w:tcPr>
          <w:p w14:paraId="3E3E7A81" w14:textId="77777777" w:rsidR="00862B0B" w:rsidRPr="00A67277" w:rsidRDefault="00862B0B" w:rsidP="00862B0B">
            <w:pPr>
              <w:spacing w:before="60" w:after="60"/>
              <w:rPr>
                <w:rFonts w:ascii="Arial" w:hAnsi="Arial" w:cs="Arial"/>
                <w:sz w:val="21"/>
                <w:szCs w:val="21"/>
              </w:rPr>
            </w:pPr>
          </w:p>
        </w:tc>
        <w:tc>
          <w:tcPr>
            <w:tcW w:w="2561" w:type="pct"/>
            <w:gridSpan w:val="2"/>
          </w:tcPr>
          <w:p w14:paraId="7DEE8CD6" w14:textId="7BBE2C3E" w:rsidR="00862B0B" w:rsidRPr="00A67277" w:rsidRDefault="00862B0B" w:rsidP="00862B0B">
            <w:pPr>
              <w:pStyle w:val="Level3"/>
              <w:numPr>
                <w:ilvl w:val="2"/>
                <w:numId w:val="304"/>
              </w:numPr>
              <w:tabs>
                <w:tab w:val="clear" w:pos="1417"/>
                <w:tab w:val="num" w:pos="1333"/>
              </w:tabs>
              <w:spacing w:before="60" w:after="60"/>
              <w:ind w:left="1333" w:hanging="425"/>
              <w:rPr>
                <w:rFonts w:cs="Arial"/>
              </w:rPr>
            </w:pPr>
            <w:r w:rsidRPr="00A67277">
              <w:t>Kecuali ditentukan lain dalam paragraf (b), BUP harus memperoleh, mempertahankan dan memperbaharui, dan menyebabkan masing-masing Kontraktor memperoleh, mempertahankan dan memperbaharui, semua Persetujuan yang diperlukan BUP untuk melaksanakan Proyek dan untuk melaksanakan kewajiban-kewajibannya berdasarkan Perjanjian ini dan Perjanjian Proyek, termasuk Persetujuan-Persetujuan yang ditentukan dalam Lampiran 11 (</w:t>
            </w:r>
            <w:r w:rsidRPr="00A67277">
              <w:rPr>
                <w:i/>
              </w:rPr>
              <w:t>Persetujuan-Persetujuan Utama</w:t>
            </w:r>
            <w:r w:rsidRPr="00A67277">
              <w:t>). BUP tidak dapat memulai setiap bagian dari Proyek sampai telah diperoleh semua Persetujuan-Persetujuan yang diperlukan dalam kaitannya dengan bagian dari Proyek tersebut</w:t>
            </w:r>
            <w:r w:rsidRPr="00A67277">
              <w:rPr>
                <w:rFonts w:cs="Arial"/>
              </w:rPr>
              <w:t>.</w:t>
            </w:r>
          </w:p>
        </w:tc>
      </w:tr>
      <w:tr w:rsidR="00862B0B" w:rsidRPr="00A67277" w14:paraId="18BBA27E" w14:textId="77777777" w:rsidTr="00862B0B">
        <w:tc>
          <w:tcPr>
            <w:tcW w:w="2270" w:type="pct"/>
          </w:tcPr>
          <w:p w14:paraId="1DF7807E" w14:textId="776364F1" w:rsidR="00862B0B" w:rsidRPr="00A67277" w:rsidRDefault="00862B0B" w:rsidP="00862B0B">
            <w:pPr>
              <w:pStyle w:val="Level3"/>
              <w:numPr>
                <w:ilvl w:val="2"/>
                <w:numId w:val="306"/>
              </w:numPr>
              <w:tabs>
                <w:tab w:val="clear" w:pos="1417"/>
                <w:tab w:val="num" w:pos="1298"/>
              </w:tabs>
              <w:spacing w:before="60" w:after="60"/>
              <w:ind w:left="1298" w:hanging="425"/>
              <w:rPr>
                <w:rFonts w:cs="Arial"/>
              </w:rPr>
            </w:pPr>
            <w:bookmarkStart w:id="164" w:name="_Toc501177941"/>
            <w:r w:rsidRPr="00A67277">
              <w:rPr>
                <w:rFonts w:cs="Arial"/>
              </w:rPr>
              <w:t>The GCA must obtain, maintain and renew the Authorisations as listed accordance with stipulations in sections 2.2 and 3.2 of Appendix 11 (</w:t>
            </w:r>
            <w:r w:rsidRPr="00A67277">
              <w:rPr>
                <w:rFonts w:cs="Arial"/>
                <w:i/>
              </w:rPr>
              <w:t>Key Authorisations</w:t>
            </w:r>
            <w:r w:rsidRPr="00A67277">
              <w:rPr>
                <w:rFonts w:cs="Arial"/>
              </w:rPr>
              <w:t>).</w:t>
            </w:r>
            <w:bookmarkEnd w:id="164"/>
          </w:p>
        </w:tc>
        <w:tc>
          <w:tcPr>
            <w:tcW w:w="169" w:type="pct"/>
          </w:tcPr>
          <w:p w14:paraId="3B091FF7" w14:textId="77777777" w:rsidR="00862B0B" w:rsidRPr="00A67277" w:rsidRDefault="00862B0B" w:rsidP="00862B0B">
            <w:pPr>
              <w:spacing w:before="60" w:after="60"/>
              <w:rPr>
                <w:rFonts w:ascii="Arial" w:hAnsi="Arial" w:cs="Arial"/>
                <w:sz w:val="21"/>
                <w:szCs w:val="21"/>
              </w:rPr>
            </w:pPr>
          </w:p>
        </w:tc>
        <w:tc>
          <w:tcPr>
            <w:tcW w:w="2561" w:type="pct"/>
            <w:gridSpan w:val="2"/>
          </w:tcPr>
          <w:p w14:paraId="681C176D" w14:textId="2A1D3EF3" w:rsidR="00862B0B" w:rsidRPr="00A67277" w:rsidRDefault="00862B0B" w:rsidP="00862B0B">
            <w:pPr>
              <w:pStyle w:val="Level3"/>
              <w:numPr>
                <w:ilvl w:val="2"/>
                <w:numId w:val="307"/>
              </w:numPr>
              <w:tabs>
                <w:tab w:val="clear" w:pos="1417"/>
                <w:tab w:val="num" w:pos="1333"/>
              </w:tabs>
              <w:spacing w:before="60" w:after="60"/>
              <w:ind w:left="1333" w:hanging="425"/>
              <w:rPr>
                <w:rFonts w:cs="Arial"/>
              </w:rPr>
            </w:pPr>
            <w:r w:rsidRPr="00A67277">
              <w:rPr>
                <w:rFonts w:cs="Arial"/>
              </w:rPr>
              <w:t>PJPK harus memperoleh, mempertahankan dan memperbaharui Persetujuan-Persetujuan sebagaimana tercantum sesuai dengan peraturan dalam bagian 2.2 dan 3.2 Lampiran 11 (</w:t>
            </w:r>
            <w:r w:rsidRPr="00A67277">
              <w:rPr>
                <w:rFonts w:cs="Arial"/>
                <w:i/>
              </w:rPr>
              <w:t>Persetujuan-Persetujuan Utama</w:t>
            </w:r>
            <w:r w:rsidRPr="00A67277">
              <w:rPr>
                <w:rFonts w:cs="Arial"/>
              </w:rPr>
              <w:t>).</w:t>
            </w:r>
          </w:p>
        </w:tc>
      </w:tr>
      <w:tr w:rsidR="00862B0B" w:rsidRPr="00A67277" w14:paraId="1BD73167" w14:textId="77777777" w:rsidTr="00862B0B">
        <w:tc>
          <w:tcPr>
            <w:tcW w:w="2270" w:type="pct"/>
          </w:tcPr>
          <w:p w14:paraId="715572D8" w14:textId="0571F448" w:rsidR="00862B0B" w:rsidRPr="00A67277" w:rsidRDefault="00862B0B" w:rsidP="00862B0B">
            <w:pPr>
              <w:pStyle w:val="Level3"/>
              <w:numPr>
                <w:ilvl w:val="2"/>
                <w:numId w:val="306"/>
              </w:numPr>
              <w:tabs>
                <w:tab w:val="clear" w:pos="1417"/>
                <w:tab w:val="num" w:pos="1298"/>
              </w:tabs>
              <w:spacing w:before="60" w:after="60"/>
              <w:ind w:left="1298" w:hanging="425"/>
              <w:rPr>
                <w:rFonts w:cs="Arial"/>
              </w:rPr>
            </w:pPr>
            <w:bookmarkStart w:id="165" w:name="_Toc501177942"/>
            <w:r w:rsidRPr="00A67277">
              <w:rPr>
                <w:rFonts w:cs="Arial"/>
              </w:rPr>
              <w:t>Each of the IBE and GCA must deliver to the other:</w:t>
            </w:r>
            <w:bookmarkEnd w:id="165"/>
          </w:p>
        </w:tc>
        <w:tc>
          <w:tcPr>
            <w:tcW w:w="169" w:type="pct"/>
          </w:tcPr>
          <w:p w14:paraId="7623B5B6" w14:textId="77777777" w:rsidR="00862B0B" w:rsidRPr="00A67277" w:rsidRDefault="00862B0B" w:rsidP="00862B0B">
            <w:pPr>
              <w:spacing w:before="60" w:after="60"/>
              <w:rPr>
                <w:rFonts w:ascii="Arial" w:hAnsi="Arial" w:cs="Arial"/>
                <w:sz w:val="21"/>
                <w:szCs w:val="21"/>
              </w:rPr>
            </w:pPr>
          </w:p>
        </w:tc>
        <w:tc>
          <w:tcPr>
            <w:tcW w:w="2561" w:type="pct"/>
            <w:gridSpan w:val="2"/>
          </w:tcPr>
          <w:p w14:paraId="52FF0106" w14:textId="77777777" w:rsidR="00862B0B" w:rsidRPr="00A67277" w:rsidRDefault="00862B0B" w:rsidP="00862B0B">
            <w:pPr>
              <w:pStyle w:val="Level3"/>
              <w:numPr>
                <w:ilvl w:val="2"/>
                <w:numId w:val="308"/>
              </w:numPr>
              <w:tabs>
                <w:tab w:val="clear" w:pos="1417"/>
                <w:tab w:val="num" w:pos="1333"/>
              </w:tabs>
              <w:spacing w:before="60" w:after="60"/>
              <w:ind w:left="1333" w:hanging="425"/>
              <w:rPr>
                <w:rFonts w:cs="Arial"/>
              </w:rPr>
            </w:pPr>
            <w:r w:rsidRPr="00A67277">
              <w:rPr>
                <w:rFonts w:cs="Arial"/>
              </w:rPr>
              <w:t>Masing-masing BUP dan PJPK harus menyerahkan kepada satu sama lain:</w:t>
            </w:r>
          </w:p>
        </w:tc>
      </w:tr>
      <w:tr w:rsidR="00862B0B" w:rsidRPr="00A67277" w14:paraId="0DA4D726" w14:textId="77777777" w:rsidTr="00862B0B">
        <w:tc>
          <w:tcPr>
            <w:tcW w:w="2270" w:type="pct"/>
          </w:tcPr>
          <w:p w14:paraId="298EF750" w14:textId="77777777" w:rsidR="00862B0B" w:rsidRPr="00A67277" w:rsidRDefault="00862B0B" w:rsidP="00862B0B">
            <w:pPr>
              <w:pStyle w:val="Level4"/>
              <w:numPr>
                <w:ilvl w:val="3"/>
                <w:numId w:val="408"/>
              </w:numPr>
              <w:tabs>
                <w:tab w:val="clear" w:pos="2126"/>
                <w:tab w:val="num" w:pos="1800"/>
              </w:tabs>
              <w:spacing w:before="60" w:after="60"/>
              <w:ind w:left="1800" w:hanging="540"/>
              <w:rPr>
                <w:rFonts w:cs="Arial"/>
              </w:rPr>
            </w:pPr>
            <w:r w:rsidRPr="00A67277">
              <w:rPr>
                <w:rFonts w:cs="Arial"/>
              </w:rPr>
              <w:t>on or before the Effective Date, certified copies of all Authorisations referred to in paragraphs (a) and (b) that are required to have been obtained by such date in connection with the execution, delivery and commencement of the performance of this Agreement, the Project Agreements, and the transactions contemplated hereby and thereby, and any other such Authorisations have been issued on or prior to the Effective Date;</w:t>
            </w:r>
          </w:p>
        </w:tc>
        <w:tc>
          <w:tcPr>
            <w:tcW w:w="169" w:type="pct"/>
          </w:tcPr>
          <w:p w14:paraId="6CB2890F" w14:textId="77777777" w:rsidR="00862B0B" w:rsidRPr="00A67277" w:rsidRDefault="00862B0B" w:rsidP="00862B0B">
            <w:pPr>
              <w:spacing w:before="60" w:after="60"/>
              <w:rPr>
                <w:rFonts w:ascii="Arial" w:hAnsi="Arial" w:cs="Arial"/>
                <w:sz w:val="21"/>
                <w:szCs w:val="21"/>
              </w:rPr>
            </w:pPr>
          </w:p>
        </w:tc>
        <w:tc>
          <w:tcPr>
            <w:tcW w:w="2561" w:type="pct"/>
            <w:gridSpan w:val="2"/>
          </w:tcPr>
          <w:p w14:paraId="1840EBDA" w14:textId="77777777" w:rsidR="00862B0B" w:rsidRPr="00A67277" w:rsidRDefault="00862B0B" w:rsidP="00862B0B">
            <w:pPr>
              <w:pStyle w:val="Level4"/>
              <w:numPr>
                <w:ilvl w:val="3"/>
                <w:numId w:val="309"/>
              </w:numPr>
              <w:tabs>
                <w:tab w:val="clear" w:pos="2126"/>
              </w:tabs>
              <w:spacing w:before="60" w:after="60"/>
              <w:ind w:left="1900" w:hanging="568"/>
              <w:rPr>
                <w:rFonts w:cs="Arial"/>
              </w:rPr>
            </w:pPr>
            <w:r w:rsidRPr="00A67277">
              <w:rPr>
                <w:rFonts w:cs="Arial"/>
              </w:rPr>
              <w:t>pada atau sebelum Tanggal Efektif, salinan-salinan semua Persetujuan-Persetujuan yang telah disahkan sebagaimana dirujuk dalam paragraf (a) dan (b) yang harus telah diperoleh pada tanggal tersebut dalam kaitannya dengan pelaksanaan, penyerahan dan dimulainya pelaksanaan Perjanjian ini dan Perjanjian Proyek serta transaksi yang dimaksud dalam Perjanjian ini dan dalam Perjanjian Proyek lainnya tersebut, dan segala Persetujuan-Persetujuan lain yang telah diterbitkan pada atau sebelum Tanggal Efektif;</w:t>
            </w:r>
          </w:p>
        </w:tc>
      </w:tr>
      <w:tr w:rsidR="00862B0B" w:rsidRPr="00A67277" w14:paraId="05416595" w14:textId="77777777" w:rsidTr="00862B0B">
        <w:tc>
          <w:tcPr>
            <w:tcW w:w="2270" w:type="pct"/>
          </w:tcPr>
          <w:p w14:paraId="07DE9530" w14:textId="36A10D79" w:rsidR="00862B0B" w:rsidRPr="00A67277" w:rsidRDefault="00862B0B" w:rsidP="00862B0B">
            <w:pPr>
              <w:pStyle w:val="Level4"/>
              <w:numPr>
                <w:ilvl w:val="3"/>
                <w:numId w:val="408"/>
              </w:numPr>
              <w:tabs>
                <w:tab w:val="clear" w:pos="2126"/>
                <w:tab w:val="num" w:pos="1800"/>
              </w:tabs>
              <w:spacing w:before="60" w:after="60"/>
              <w:ind w:left="1800" w:hanging="540"/>
              <w:rPr>
                <w:rFonts w:cs="Arial"/>
              </w:rPr>
            </w:pPr>
            <w:r w:rsidRPr="00A67277">
              <w:rPr>
                <w:rFonts w:cs="Arial"/>
              </w:rPr>
              <w:t xml:space="preserve">on or before the Commercial Operation </w:t>
            </w:r>
            <w:r>
              <w:rPr>
                <w:rFonts w:cs="Arial"/>
              </w:rPr>
              <w:t>D</w:t>
            </w:r>
            <w:r w:rsidRPr="00A67277">
              <w:rPr>
                <w:rFonts w:cs="Arial"/>
              </w:rPr>
              <w:t>ate</w:t>
            </w:r>
            <w:r>
              <w:rPr>
                <w:rFonts w:cs="Arial"/>
              </w:rPr>
              <w:t>d</w:t>
            </w:r>
            <w:r w:rsidRPr="00A67277">
              <w:rPr>
                <w:rFonts w:cs="Arial"/>
              </w:rPr>
              <w:t>, certified copies of all Authorisations referred to in paragraphs (a) and (b), and any amendments, variations or replacements of any such Authorisation that has been previously delivered to GCA, that have been issued after the Effective Date; and</w:t>
            </w:r>
          </w:p>
        </w:tc>
        <w:tc>
          <w:tcPr>
            <w:tcW w:w="169" w:type="pct"/>
          </w:tcPr>
          <w:p w14:paraId="010E17C0" w14:textId="77777777" w:rsidR="00862B0B" w:rsidRPr="00A67277" w:rsidRDefault="00862B0B" w:rsidP="00862B0B">
            <w:pPr>
              <w:spacing w:before="60" w:after="60"/>
              <w:rPr>
                <w:rFonts w:ascii="Arial" w:hAnsi="Arial" w:cs="Arial"/>
                <w:sz w:val="21"/>
                <w:szCs w:val="21"/>
              </w:rPr>
            </w:pPr>
          </w:p>
        </w:tc>
        <w:tc>
          <w:tcPr>
            <w:tcW w:w="2561" w:type="pct"/>
            <w:gridSpan w:val="2"/>
          </w:tcPr>
          <w:p w14:paraId="14B1D4E7" w14:textId="77777777" w:rsidR="00862B0B" w:rsidRPr="00A67277" w:rsidRDefault="00862B0B" w:rsidP="00862B0B">
            <w:pPr>
              <w:pStyle w:val="Level4"/>
              <w:numPr>
                <w:ilvl w:val="3"/>
                <w:numId w:val="309"/>
              </w:numPr>
              <w:tabs>
                <w:tab w:val="clear" w:pos="2126"/>
              </w:tabs>
              <w:spacing w:before="60" w:after="60"/>
              <w:ind w:left="1900" w:hanging="568"/>
              <w:rPr>
                <w:rFonts w:cs="Arial"/>
              </w:rPr>
            </w:pPr>
            <w:r w:rsidRPr="00A67277">
              <w:rPr>
                <w:rFonts w:cs="Arial"/>
              </w:rPr>
              <w:t>pada atau sebelum Tanggal Operasi Komersial, salinan-salinan semua Persetujuan-Persetujuan sebagaimana dirujuk di dalam paragraf (a) dan paragraf (b), dan setiap perubahannya, modifikasi atau penggantian setiap Persetujuan yang sebelumnya telah diberikan kepada PJPK, yang telah dikeluarkan setelah Tanggal Efektif; dan</w:t>
            </w:r>
          </w:p>
        </w:tc>
      </w:tr>
      <w:tr w:rsidR="00862B0B" w:rsidRPr="00A67277" w14:paraId="5D1FE811" w14:textId="77777777" w:rsidTr="00862B0B">
        <w:tc>
          <w:tcPr>
            <w:tcW w:w="2270" w:type="pct"/>
          </w:tcPr>
          <w:p w14:paraId="38E2C4EE" w14:textId="77777777" w:rsidR="00862B0B" w:rsidRPr="00A67277" w:rsidRDefault="00862B0B" w:rsidP="00862B0B">
            <w:pPr>
              <w:pStyle w:val="Level4"/>
              <w:numPr>
                <w:ilvl w:val="3"/>
                <w:numId w:val="408"/>
              </w:numPr>
              <w:tabs>
                <w:tab w:val="clear" w:pos="2126"/>
                <w:tab w:val="num" w:pos="1800"/>
              </w:tabs>
              <w:spacing w:before="60" w:after="60"/>
              <w:ind w:left="1800" w:hanging="540"/>
              <w:rPr>
                <w:rFonts w:cs="Arial"/>
              </w:rPr>
            </w:pPr>
            <w:r w:rsidRPr="00A67277">
              <w:rPr>
                <w:rFonts w:cs="Arial"/>
              </w:rPr>
              <w:t>promptly, at a Party’s request from time to time, copies of any such Authorisations referred to in paragraphs (a) and (b).</w:t>
            </w:r>
          </w:p>
        </w:tc>
        <w:tc>
          <w:tcPr>
            <w:tcW w:w="169" w:type="pct"/>
          </w:tcPr>
          <w:p w14:paraId="6EA9BEB4" w14:textId="77777777" w:rsidR="00862B0B" w:rsidRPr="00A67277" w:rsidRDefault="00862B0B" w:rsidP="00862B0B">
            <w:pPr>
              <w:spacing w:before="60" w:after="60"/>
              <w:rPr>
                <w:rFonts w:ascii="Arial" w:hAnsi="Arial" w:cs="Arial"/>
                <w:sz w:val="21"/>
                <w:szCs w:val="21"/>
              </w:rPr>
            </w:pPr>
          </w:p>
        </w:tc>
        <w:tc>
          <w:tcPr>
            <w:tcW w:w="2561" w:type="pct"/>
            <w:gridSpan w:val="2"/>
          </w:tcPr>
          <w:p w14:paraId="0105F8A1" w14:textId="77777777" w:rsidR="00862B0B" w:rsidRPr="00A67277" w:rsidRDefault="00862B0B" w:rsidP="00862B0B">
            <w:pPr>
              <w:pStyle w:val="Level4"/>
              <w:numPr>
                <w:ilvl w:val="3"/>
                <w:numId w:val="309"/>
              </w:numPr>
              <w:tabs>
                <w:tab w:val="clear" w:pos="2126"/>
              </w:tabs>
              <w:spacing w:before="60" w:after="60"/>
              <w:ind w:left="1900" w:hanging="568"/>
              <w:rPr>
                <w:rFonts w:cs="Arial"/>
              </w:rPr>
            </w:pPr>
            <w:r w:rsidRPr="00A67277">
              <w:rPr>
                <w:rFonts w:cs="Arial"/>
              </w:rPr>
              <w:t>segera, atas permintaan suatu Pihak dari waktu ke waktu, salinan Persetujuan-Persetujuan sebagaimana dimaksud dalam paragraf (a) dan paragraf (b).</w:t>
            </w:r>
          </w:p>
        </w:tc>
      </w:tr>
      <w:tr w:rsidR="00862B0B" w:rsidRPr="00A67277" w14:paraId="311DDE83" w14:textId="77777777" w:rsidTr="00862B0B">
        <w:tc>
          <w:tcPr>
            <w:tcW w:w="2270" w:type="pct"/>
          </w:tcPr>
          <w:p w14:paraId="2C16BB21" w14:textId="2A71754A" w:rsidR="00862B0B" w:rsidRPr="00A67277" w:rsidRDefault="00862B0B" w:rsidP="00862B0B">
            <w:pPr>
              <w:pStyle w:val="Level3"/>
              <w:numPr>
                <w:ilvl w:val="2"/>
                <w:numId w:val="306"/>
              </w:numPr>
              <w:tabs>
                <w:tab w:val="clear" w:pos="1417"/>
                <w:tab w:val="num" w:pos="1298"/>
              </w:tabs>
              <w:spacing w:before="60" w:after="60"/>
              <w:ind w:left="1298" w:hanging="425"/>
              <w:rPr>
                <w:rFonts w:cs="Arial"/>
              </w:rPr>
            </w:pPr>
            <w:bookmarkStart w:id="166" w:name="_Toc501177943"/>
            <w:bookmarkStart w:id="167" w:name="_Ref397333926"/>
            <w:r w:rsidRPr="00A67277">
              <w:rPr>
                <w:rFonts w:cs="Arial"/>
              </w:rPr>
              <w:t>If any Authorisation obtained in accordance with paragraphs (a) and (b) is revoked or withdrawn, the GCA or IBE (where applicable) must:</w:t>
            </w:r>
            <w:bookmarkEnd w:id="166"/>
            <w:bookmarkEnd w:id="167"/>
          </w:p>
        </w:tc>
        <w:tc>
          <w:tcPr>
            <w:tcW w:w="169" w:type="pct"/>
          </w:tcPr>
          <w:p w14:paraId="7F15B5F4" w14:textId="77777777" w:rsidR="00862B0B" w:rsidRPr="00A67277" w:rsidRDefault="00862B0B" w:rsidP="00862B0B">
            <w:pPr>
              <w:spacing w:before="60" w:after="60"/>
              <w:rPr>
                <w:rFonts w:ascii="Arial" w:hAnsi="Arial" w:cs="Arial"/>
                <w:sz w:val="21"/>
                <w:szCs w:val="21"/>
              </w:rPr>
            </w:pPr>
          </w:p>
        </w:tc>
        <w:tc>
          <w:tcPr>
            <w:tcW w:w="2561" w:type="pct"/>
            <w:gridSpan w:val="2"/>
          </w:tcPr>
          <w:p w14:paraId="7EF25117" w14:textId="77777777" w:rsidR="00862B0B" w:rsidRPr="00A67277" w:rsidRDefault="00862B0B" w:rsidP="00862B0B">
            <w:pPr>
              <w:pStyle w:val="Level3"/>
              <w:numPr>
                <w:ilvl w:val="2"/>
                <w:numId w:val="310"/>
              </w:numPr>
              <w:tabs>
                <w:tab w:val="clear" w:pos="1417"/>
              </w:tabs>
              <w:spacing w:before="60" w:after="60"/>
              <w:ind w:left="1333" w:hanging="425"/>
              <w:rPr>
                <w:rFonts w:cs="Arial"/>
              </w:rPr>
            </w:pPr>
            <w:r w:rsidRPr="00A67277">
              <w:rPr>
                <w:rFonts w:cs="Arial"/>
              </w:rPr>
              <w:t>Jika setiap Persetujuan yang diperoleh sesuai dengan paragraf (a) dan (b) dicabut atau ditarik, PJPK atau BUP (yang mana berlaku) harus:</w:t>
            </w:r>
          </w:p>
        </w:tc>
      </w:tr>
      <w:tr w:rsidR="00862B0B" w:rsidRPr="00A67277" w14:paraId="068AE47D" w14:textId="77777777" w:rsidTr="00862B0B">
        <w:tc>
          <w:tcPr>
            <w:tcW w:w="2270" w:type="pct"/>
          </w:tcPr>
          <w:p w14:paraId="61EE0481" w14:textId="10D7AB9C" w:rsidR="00862B0B" w:rsidRPr="00A67277" w:rsidRDefault="00862B0B" w:rsidP="00862B0B">
            <w:pPr>
              <w:pStyle w:val="Level4"/>
              <w:numPr>
                <w:ilvl w:val="3"/>
                <w:numId w:val="409"/>
              </w:numPr>
              <w:spacing w:before="60" w:after="60"/>
              <w:rPr>
                <w:rFonts w:cs="Arial"/>
              </w:rPr>
            </w:pPr>
            <w:r w:rsidRPr="00A67277">
              <w:rPr>
                <w:rFonts w:cs="Arial"/>
              </w:rPr>
              <w:t xml:space="preserve">immediately </w:t>
            </w:r>
            <w:r>
              <w:rPr>
                <w:rFonts w:cs="Arial"/>
              </w:rPr>
              <w:t>notify</w:t>
            </w:r>
            <w:r w:rsidRPr="00A67277">
              <w:rPr>
                <w:rFonts w:cs="Arial"/>
              </w:rPr>
              <w:t xml:space="preserve"> the other Party in writing of that revocation or withdrawal, and the impact of that revocation or withdrawal on such Party’s ability to perform its obligations under this Agreement; and</w:t>
            </w:r>
          </w:p>
        </w:tc>
        <w:tc>
          <w:tcPr>
            <w:tcW w:w="169" w:type="pct"/>
          </w:tcPr>
          <w:p w14:paraId="032FBC8E" w14:textId="77777777" w:rsidR="00862B0B" w:rsidRPr="00A67277" w:rsidRDefault="00862B0B" w:rsidP="00862B0B">
            <w:pPr>
              <w:spacing w:before="60" w:after="60"/>
              <w:rPr>
                <w:rFonts w:ascii="Arial" w:hAnsi="Arial" w:cs="Arial"/>
                <w:sz w:val="21"/>
                <w:szCs w:val="21"/>
              </w:rPr>
            </w:pPr>
          </w:p>
        </w:tc>
        <w:tc>
          <w:tcPr>
            <w:tcW w:w="2561" w:type="pct"/>
            <w:gridSpan w:val="2"/>
          </w:tcPr>
          <w:p w14:paraId="59615872" w14:textId="77777777" w:rsidR="00862B0B" w:rsidRPr="00A67277" w:rsidRDefault="00862B0B" w:rsidP="00862B0B">
            <w:pPr>
              <w:pStyle w:val="Level4"/>
              <w:numPr>
                <w:ilvl w:val="3"/>
                <w:numId w:val="311"/>
              </w:numPr>
              <w:tabs>
                <w:tab w:val="clear" w:pos="2126"/>
                <w:tab w:val="num" w:pos="1900"/>
              </w:tabs>
              <w:spacing w:before="60" w:after="60"/>
              <w:ind w:left="1900" w:hanging="425"/>
              <w:rPr>
                <w:rFonts w:cs="Arial"/>
              </w:rPr>
            </w:pPr>
            <w:r w:rsidRPr="00A67277">
              <w:rPr>
                <w:rFonts w:cs="Arial"/>
              </w:rPr>
              <w:t>secepatnya   memberitahukan Pihak lainnya dalam bentuk tertulis terkait pencabutan atau penarikan tersebut, dan akibat atas pencabutan atau penarikan tersebut terhadap kemampuan Pihak tersebut untuk melakukan kewajiban-kewajibannya berdasarkan Perjanjian ini; dan</w:t>
            </w:r>
          </w:p>
        </w:tc>
      </w:tr>
      <w:tr w:rsidR="00862B0B" w:rsidRPr="00A67277" w14:paraId="7AAB4F5B" w14:textId="77777777" w:rsidTr="00862B0B">
        <w:tc>
          <w:tcPr>
            <w:tcW w:w="2270" w:type="pct"/>
          </w:tcPr>
          <w:p w14:paraId="196C3613" w14:textId="77777777" w:rsidR="00862B0B" w:rsidRPr="00A67277" w:rsidRDefault="00862B0B" w:rsidP="00862B0B">
            <w:pPr>
              <w:pStyle w:val="Level4"/>
              <w:numPr>
                <w:ilvl w:val="3"/>
                <w:numId w:val="409"/>
              </w:numPr>
              <w:spacing w:before="60" w:after="60"/>
              <w:rPr>
                <w:rFonts w:cs="Arial"/>
              </w:rPr>
            </w:pPr>
            <w:r w:rsidRPr="00A67277">
              <w:rPr>
                <w:rFonts w:cs="Arial"/>
              </w:rPr>
              <w:t>promptly do everything necessary to regain or renew that Authorisation.</w:t>
            </w:r>
          </w:p>
        </w:tc>
        <w:tc>
          <w:tcPr>
            <w:tcW w:w="169" w:type="pct"/>
          </w:tcPr>
          <w:p w14:paraId="67634640" w14:textId="77777777" w:rsidR="00862B0B" w:rsidRPr="00A67277" w:rsidRDefault="00862B0B" w:rsidP="00862B0B">
            <w:pPr>
              <w:spacing w:before="60" w:after="60"/>
              <w:rPr>
                <w:rFonts w:ascii="Arial" w:hAnsi="Arial" w:cs="Arial"/>
                <w:sz w:val="21"/>
                <w:szCs w:val="21"/>
              </w:rPr>
            </w:pPr>
          </w:p>
        </w:tc>
        <w:tc>
          <w:tcPr>
            <w:tcW w:w="2561" w:type="pct"/>
            <w:gridSpan w:val="2"/>
          </w:tcPr>
          <w:p w14:paraId="668AECCD" w14:textId="77777777" w:rsidR="00862B0B" w:rsidRPr="00A67277" w:rsidRDefault="00862B0B" w:rsidP="00862B0B">
            <w:pPr>
              <w:pStyle w:val="Level4"/>
              <w:numPr>
                <w:ilvl w:val="3"/>
                <w:numId w:val="312"/>
              </w:numPr>
              <w:tabs>
                <w:tab w:val="clear" w:pos="2126"/>
                <w:tab w:val="num" w:pos="1900"/>
              </w:tabs>
              <w:spacing w:before="60" w:after="60"/>
              <w:ind w:left="1900" w:hanging="425"/>
              <w:rPr>
                <w:rFonts w:cs="Arial"/>
              </w:rPr>
            </w:pPr>
            <w:r w:rsidRPr="00A67277">
              <w:rPr>
                <w:rFonts w:cs="Arial"/>
              </w:rPr>
              <w:t>segera melakukan hal-hal yang diperlukan secara wajar untuk memperoleh kembali atau memperbarui Persetujuan tersebut.</w:t>
            </w:r>
          </w:p>
        </w:tc>
      </w:tr>
      <w:tr w:rsidR="00862B0B" w:rsidRPr="00A67277" w14:paraId="017D352E" w14:textId="77777777" w:rsidTr="00862B0B">
        <w:tc>
          <w:tcPr>
            <w:tcW w:w="2270" w:type="pct"/>
          </w:tcPr>
          <w:p w14:paraId="191062ED" w14:textId="77777777" w:rsidR="00862B0B" w:rsidRPr="00A67277" w:rsidRDefault="00862B0B" w:rsidP="00862B0B">
            <w:pPr>
              <w:pStyle w:val="Body3"/>
              <w:spacing w:before="60" w:after="60"/>
              <w:ind w:left="1440"/>
              <w:rPr>
                <w:rFonts w:cs="Arial"/>
              </w:rPr>
            </w:pPr>
            <w:r w:rsidRPr="00A67277">
              <w:rPr>
                <w:rFonts w:cs="Arial"/>
              </w:rPr>
              <w:t>Notice given by any Party under this paragraph (d) does not affect such Party’s obligations under this Agreement.</w:t>
            </w:r>
          </w:p>
        </w:tc>
        <w:tc>
          <w:tcPr>
            <w:tcW w:w="169" w:type="pct"/>
          </w:tcPr>
          <w:p w14:paraId="24AFE428" w14:textId="77777777" w:rsidR="00862B0B" w:rsidRPr="00A67277" w:rsidRDefault="00862B0B" w:rsidP="00862B0B">
            <w:pPr>
              <w:spacing w:before="60" w:after="60"/>
              <w:rPr>
                <w:rFonts w:ascii="Arial" w:hAnsi="Arial" w:cs="Arial"/>
                <w:sz w:val="21"/>
                <w:szCs w:val="21"/>
              </w:rPr>
            </w:pPr>
          </w:p>
        </w:tc>
        <w:tc>
          <w:tcPr>
            <w:tcW w:w="2561" w:type="pct"/>
            <w:gridSpan w:val="2"/>
          </w:tcPr>
          <w:p w14:paraId="0AD0A601" w14:textId="77777777" w:rsidR="00862B0B" w:rsidRPr="00A67277" w:rsidRDefault="00862B0B" w:rsidP="00862B0B">
            <w:pPr>
              <w:pStyle w:val="Level1"/>
              <w:spacing w:before="60" w:after="60"/>
              <w:ind w:left="1452" w:hanging="12"/>
              <w:rPr>
                <w:rFonts w:cs="Arial"/>
              </w:rPr>
            </w:pPr>
            <w:r w:rsidRPr="00A67277">
              <w:rPr>
                <w:rFonts w:cs="Arial"/>
              </w:rPr>
              <w:t>Pemberitahuan yang diberikan oleh salah satu Pihak berdasarkan paragraf (d) ini tidak mengurangi kewajiban-kewajiban Pihak tersebut berdasarkan Perjanjian ini.</w:t>
            </w:r>
          </w:p>
        </w:tc>
      </w:tr>
      <w:tr w:rsidR="00862B0B" w:rsidRPr="00A67277" w14:paraId="11CD9522" w14:textId="77777777" w:rsidTr="00862B0B">
        <w:tc>
          <w:tcPr>
            <w:tcW w:w="2270" w:type="pct"/>
          </w:tcPr>
          <w:p w14:paraId="3B6DDDC2" w14:textId="0BEF880A" w:rsidR="00862B0B" w:rsidRPr="00A67277" w:rsidRDefault="00862B0B" w:rsidP="00862B0B">
            <w:pPr>
              <w:pStyle w:val="Level3"/>
              <w:numPr>
                <w:ilvl w:val="2"/>
                <w:numId w:val="306"/>
              </w:numPr>
              <w:tabs>
                <w:tab w:val="clear" w:pos="1417"/>
                <w:tab w:val="num" w:pos="1298"/>
              </w:tabs>
              <w:spacing w:before="60" w:after="60"/>
              <w:ind w:left="1298" w:hanging="425"/>
              <w:rPr>
                <w:rFonts w:cs="Arial"/>
              </w:rPr>
            </w:pPr>
            <w:bookmarkStart w:id="168" w:name="_Toc501177945"/>
            <w:r w:rsidRPr="00A67277">
              <w:rPr>
                <w:rFonts w:cs="Arial"/>
              </w:rPr>
              <w:t xml:space="preserve">Each Party shall, if requested by the other Party, provide reasonable assistance to the such other Party to promote and support the applications without any obligation, in relation to obtaining the Authorisations required under this Clause </w:t>
            </w:r>
            <w:bookmarkStart w:id="169" w:name="_cp_text_1_1164"/>
            <w:r w:rsidRPr="00A67277">
              <w:rPr>
                <w:rFonts w:cs="Arial"/>
              </w:rPr>
              <w:t xml:space="preserve">4.5 </w:t>
            </w:r>
            <w:bookmarkEnd w:id="169"/>
            <w:r w:rsidRPr="00A67277">
              <w:rPr>
                <w:rFonts w:cs="Arial"/>
              </w:rPr>
              <w:t>(</w:t>
            </w:r>
            <w:r w:rsidRPr="00A67277">
              <w:rPr>
                <w:rFonts w:cs="Arial"/>
                <w:i/>
              </w:rPr>
              <w:t>Authorisations</w:t>
            </w:r>
            <w:r w:rsidRPr="00A67277">
              <w:rPr>
                <w:rFonts w:cs="Arial"/>
              </w:rPr>
              <w:t>).</w:t>
            </w:r>
            <w:bookmarkEnd w:id="168"/>
          </w:p>
        </w:tc>
        <w:tc>
          <w:tcPr>
            <w:tcW w:w="169" w:type="pct"/>
          </w:tcPr>
          <w:p w14:paraId="00E1303A" w14:textId="77777777" w:rsidR="00862B0B" w:rsidRPr="00A67277" w:rsidRDefault="00862B0B" w:rsidP="00862B0B">
            <w:pPr>
              <w:spacing w:before="60" w:after="60"/>
              <w:rPr>
                <w:rFonts w:ascii="Arial" w:hAnsi="Arial" w:cs="Arial"/>
                <w:sz w:val="21"/>
                <w:szCs w:val="21"/>
              </w:rPr>
            </w:pPr>
          </w:p>
        </w:tc>
        <w:tc>
          <w:tcPr>
            <w:tcW w:w="2561" w:type="pct"/>
            <w:gridSpan w:val="2"/>
          </w:tcPr>
          <w:p w14:paraId="5A03CA5B" w14:textId="77777777" w:rsidR="00862B0B" w:rsidRPr="00A67277" w:rsidRDefault="00862B0B" w:rsidP="00862B0B">
            <w:pPr>
              <w:pStyle w:val="Level3"/>
              <w:numPr>
                <w:ilvl w:val="2"/>
                <w:numId w:val="313"/>
              </w:numPr>
              <w:tabs>
                <w:tab w:val="clear" w:pos="1417"/>
                <w:tab w:val="num" w:pos="1333"/>
              </w:tabs>
              <w:spacing w:before="60" w:after="60"/>
              <w:ind w:left="1333" w:hanging="425"/>
              <w:rPr>
                <w:rFonts w:cs="Arial"/>
              </w:rPr>
            </w:pPr>
            <w:r w:rsidRPr="00A67277">
              <w:rPr>
                <w:rFonts w:cs="Arial"/>
              </w:rPr>
              <w:t>Setiap Pihak wajib, apabila diminta oleh Pihak lainnya, memberikan bantuan yang wajar kepada Pihak lain tersebut untuk membantu dan mendukung permohonan tersebut tanpa kewajiban apapun, dalam kaitannya untuk memperoleh Persetujuan-Persetujuan yang dipersyaratkan berdasarkan Pasal 4.5 ini (</w:t>
            </w:r>
            <w:r w:rsidRPr="00A67277">
              <w:rPr>
                <w:rFonts w:cs="Arial"/>
                <w:i/>
              </w:rPr>
              <w:t>Persetujuan-Persetujuan</w:t>
            </w:r>
            <w:r w:rsidRPr="00A67277">
              <w:rPr>
                <w:rFonts w:cs="Arial"/>
              </w:rPr>
              <w:t>).</w:t>
            </w:r>
          </w:p>
          <w:p w14:paraId="5E76E21F" w14:textId="77777777" w:rsidR="00862B0B" w:rsidRPr="00A67277" w:rsidRDefault="00862B0B" w:rsidP="00862B0B">
            <w:pPr>
              <w:rPr>
                <w:lang w:val="en-GB" w:eastAsia="en-GB"/>
              </w:rPr>
            </w:pPr>
          </w:p>
        </w:tc>
      </w:tr>
      <w:tr w:rsidR="00862B0B" w:rsidRPr="00A67277" w14:paraId="22BB2C5F" w14:textId="77777777" w:rsidTr="00862B0B">
        <w:tc>
          <w:tcPr>
            <w:tcW w:w="2270" w:type="pct"/>
          </w:tcPr>
          <w:p w14:paraId="16DEF2F9" w14:textId="43F507D9" w:rsidR="00862B0B" w:rsidRPr="00A67277" w:rsidRDefault="00862B0B" w:rsidP="00862B0B">
            <w:pPr>
              <w:pStyle w:val="CentredHeading"/>
              <w:numPr>
                <w:ilvl w:val="0"/>
                <w:numId w:val="470"/>
              </w:numPr>
              <w:spacing w:before="60" w:after="60"/>
              <w:ind w:left="447" w:hanging="447"/>
              <w:jc w:val="left"/>
              <w:rPr>
                <w:rFonts w:cs="Arial"/>
              </w:rPr>
            </w:pPr>
            <w:bookmarkStart w:id="170" w:name="_Toc501177967"/>
            <w:r w:rsidRPr="00A67277">
              <w:rPr>
                <w:rFonts w:cs="Arial"/>
                <w:lang w:val="en-US" w:eastAsia="en-US"/>
              </w:rPr>
              <w:t>Implementing Business Entity / IBE</w:t>
            </w:r>
            <w:bookmarkEnd w:id="170"/>
          </w:p>
        </w:tc>
        <w:tc>
          <w:tcPr>
            <w:tcW w:w="169" w:type="pct"/>
          </w:tcPr>
          <w:p w14:paraId="021C0816" w14:textId="77777777" w:rsidR="00862B0B" w:rsidRPr="00A67277" w:rsidRDefault="00862B0B" w:rsidP="00862B0B">
            <w:pPr>
              <w:spacing w:before="60" w:after="60"/>
              <w:rPr>
                <w:rFonts w:ascii="Arial" w:hAnsi="Arial" w:cs="Arial"/>
                <w:b/>
                <w:sz w:val="21"/>
                <w:szCs w:val="21"/>
              </w:rPr>
            </w:pPr>
          </w:p>
        </w:tc>
        <w:tc>
          <w:tcPr>
            <w:tcW w:w="2561" w:type="pct"/>
            <w:gridSpan w:val="2"/>
          </w:tcPr>
          <w:p w14:paraId="086EEE5D" w14:textId="77777777" w:rsidR="00862B0B" w:rsidRPr="00A67277" w:rsidRDefault="00862B0B" w:rsidP="00862B0B">
            <w:pPr>
              <w:pStyle w:val="CentredHeading"/>
              <w:numPr>
                <w:ilvl w:val="0"/>
                <w:numId w:val="299"/>
              </w:numPr>
              <w:spacing w:before="60" w:after="60"/>
              <w:ind w:left="483" w:hanging="425"/>
              <w:jc w:val="both"/>
              <w:rPr>
                <w:rStyle w:val="Heading1Text"/>
                <w:rFonts w:asciiTheme="minorHAnsi" w:eastAsiaTheme="minorHAnsi" w:hAnsiTheme="minorHAnsi" w:cstheme="minorBidi"/>
                <w:b/>
                <w:smallCaps/>
                <w:sz w:val="22"/>
                <w:szCs w:val="22"/>
                <w:lang w:val="en-US" w:eastAsia="en-US"/>
              </w:rPr>
            </w:pPr>
            <w:r w:rsidRPr="00A67277">
              <w:rPr>
                <w:rStyle w:val="Heading1Text"/>
                <w:b/>
              </w:rPr>
              <w:t>Badan Usaha Pelaksana / BUP</w:t>
            </w:r>
          </w:p>
        </w:tc>
      </w:tr>
      <w:tr w:rsidR="00862B0B" w:rsidRPr="00A67277" w14:paraId="2037E774" w14:textId="77777777" w:rsidTr="00862B0B">
        <w:tc>
          <w:tcPr>
            <w:tcW w:w="2270" w:type="pct"/>
          </w:tcPr>
          <w:p w14:paraId="01A20708" w14:textId="77777777" w:rsidR="00862B0B" w:rsidRPr="00A67277" w:rsidRDefault="00862B0B" w:rsidP="00862B0B">
            <w:pPr>
              <w:pStyle w:val="Heading2"/>
              <w:keepLines w:val="0"/>
              <w:numPr>
                <w:ilvl w:val="1"/>
                <w:numId w:val="314"/>
              </w:numPr>
              <w:spacing w:before="60" w:after="60"/>
              <w:ind w:left="873" w:hanging="426"/>
              <w:outlineLvl w:val="1"/>
              <w:rPr>
                <w:rFonts w:ascii="Arial" w:hAnsi="Arial" w:cs="Arial"/>
                <w:b/>
                <w:color w:val="auto"/>
                <w:sz w:val="21"/>
                <w:szCs w:val="21"/>
              </w:rPr>
            </w:pPr>
            <w:bookmarkStart w:id="171" w:name="_Toc501177969"/>
            <w:bookmarkStart w:id="172" w:name="_Hlk502653331"/>
            <w:r w:rsidRPr="00A67277">
              <w:rPr>
                <w:rFonts w:ascii="Arial" w:hAnsi="Arial" w:cs="Arial"/>
                <w:b/>
                <w:color w:val="auto"/>
                <w:sz w:val="21"/>
                <w:szCs w:val="21"/>
              </w:rPr>
              <w:t>Capital of the IBE</w:t>
            </w:r>
            <w:bookmarkEnd w:id="171"/>
          </w:p>
        </w:tc>
        <w:tc>
          <w:tcPr>
            <w:tcW w:w="169" w:type="pct"/>
          </w:tcPr>
          <w:p w14:paraId="3FF46FEC" w14:textId="77777777" w:rsidR="00862B0B" w:rsidRPr="00A67277" w:rsidRDefault="00862B0B" w:rsidP="00862B0B">
            <w:pPr>
              <w:spacing w:before="60" w:after="60"/>
              <w:rPr>
                <w:rFonts w:ascii="Arial" w:hAnsi="Arial" w:cs="Arial"/>
                <w:sz w:val="21"/>
                <w:szCs w:val="21"/>
              </w:rPr>
            </w:pPr>
          </w:p>
        </w:tc>
        <w:tc>
          <w:tcPr>
            <w:tcW w:w="2561" w:type="pct"/>
            <w:gridSpan w:val="2"/>
          </w:tcPr>
          <w:p w14:paraId="1F7680CC" w14:textId="77777777" w:rsidR="00862B0B" w:rsidRPr="00A67277" w:rsidRDefault="00862B0B" w:rsidP="00862B0B">
            <w:pPr>
              <w:pStyle w:val="Level2"/>
              <w:numPr>
                <w:ilvl w:val="1"/>
                <w:numId w:val="315"/>
              </w:numPr>
              <w:spacing w:before="60" w:after="60"/>
              <w:ind w:left="881" w:hanging="425"/>
              <w:rPr>
                <w:rFonts w:cs="Arial"/>
                <w:b/>
              </w:rPr>
            </w:pPr>
            <w:r w:rsidRPr="00A67277">
              <w:rPr>
                <w:rFonts w:cs="Arial"/>
                <w:b/>
              </w:rPr>
              <w:t>Modal BUP</w:t>
            </w:r>
          </w:p>
        </w:tc>
      </w:tr>
      <w:tr w:rsidR="00862B0B" w:rsidRPr="00A67277" w14:paraId="20183AF2" w14:textId="77777777" w:rsidTr="00862B0B">
        <w:tc>
          <w:tcPr>
            <w:tcW w:w="2270" w:type="pct"/>
          </w:tcPr>
          <w:p w14:paraId="1BB722B6" w14:textId="3405CFF5" w:rsidR="00862B0B" w:rsidRPr="00A67277" w:rsidRDefault="00862B0B" w:rsidP="00862B0B">
            <w:pPr>
              <w:pStyle w:val="Body3"/>
              <w:spacing w:before="60" w:after="60"/>
              <w:ind w:left="873"/>
              <w:rPr>
                <w:rFonts w:cs="Arial"/>
              </w:rPr>
            </w:pPr>
            <w:r w:rsidRPr="00A67277">
              <w:rPr>
                <w:rFonts w:cs="Arial"/>
              </w:rPr>
              <w:t xml:space="preserve">The IBE </w:t>
            </w:r>
            <w:r>
              <w:rPr>
                <w:rFonts w:cs="Arial"/>
              </w:rPr>
              <w:t>guarantees that</w:t>
            </w:r>
            <w:r w:rsidRPr="00A67277">
              <w:rPr>
                <w:rFonts w:cs="Arial"/>
              </w:rPr>
              <w:t>:</w:t>
            </w:r>
          </w:p>
        </w:tc>
        <w:tc>
          <w:tcPr>
            <w:tcW w:w="169" w:type="pct"/>
          </w:tcPr>
          <w:p w14:paraId="5BBB643A" w14:textId="77777777" w:rsidR="00862B0B" w:rsidRPr="00A67277" w:rsidRDefault="00862B0B" w:rsidP="00862B0B">
            <w:pPr>
              <w:spacing w:before="60" w:after="60"/>
              <w:rPr>
                <w:rFonts w:ascii="Arial" w:hAnsi="Arial" w:cs="Arial"/>
                <w:sz w:val="21"/>
                <w:szCs w:val="21"/>
              </w:rPr>
            </w:pPr>
          </w:p>
        </w:tc>
        <w:tc>
          <w:tcPr>
            <w:tcW w:w="2561" w:type="pct"/>
            <w:gridSpan w:val="2"/>
          </w:tcPr>
          <w:p w14:paraId="3F00E32E" w14:textId="77777777" w:rsidR="00862B0B" w:rsidRPr="00A67277" w:rsidRDefault="00862B0B" w:rsidP="00862B0B">
            <w:pPr>
              <w:pStyle w:val="Body2"/>
              <w:spacing w:before="60" w:after="60"/>
              <w:ind w:left="878"/>
              <w:rPr>
                <w:rFonts w:cs="Arial"/>
              </w:rPr>
            </w:pPr>
            <w:r w:rsidRPr="00A67277">
              <w:rPr>
                <w:rFonts w:cs="Arial"/>
              </w:rPr>
              <w:t>BUP menjamin bahwa:</w:t>
            </w:r>
          </w:p>
        </w:tc>
      </w:tr>
      <w:tr w:rsidR="00862B0B" w:rsidRPr="00A67277" w14:paraId="1F005462" w14:textId="77777777" w:rsidTr="00862B0B">
        <w:tc>
          <w:tcPr>
            <w:tcW w:w="2270" w:type="pct"/>
          </w:tcPr>
          <w:p w14:paraId="5C9A2A95" w14:textId="5A2A7CC6" w:rsidR="00862B0B" w:rsidRPr="00A67277" w:rsidRDefault="00862B0B" w:rsidP="00862B0B">
            <w:pPr>
              <w:pStyle w:val="Level3"/>
              <w:numPr>
                <w:ilvl w:val="2"/>
                <w:numId w:val="316"/>
              </w:numPr>
              <w:tabs>
                <w:tab w:val="clear" w:pos="1417"/>
                <w:tab w:val="num" w:pos="1298"/>
              </w:tabs>
              <w:spacing w:before="60" w:after="60"/>
              <w:ind w:left="1298" w:hanging="425"/>
              <w:rPr>
                <w:rFonts w:cs="Arial"/>
              </w:rPr>
            </w:pPr>
            <w:bookmarkStart w:id="173" w:name="_Toc501177970"/>
            <w:r w:rsidRPr="00A67277">
              <w:rPr>
                <w:rFonts w:cs="Arial"/>
              </w:rPr>
              <w:t>the proportion</w:t>
            </w:r>
            <w:r>
              <w:rPr>
                <w:rFonts w:cs="Arial"/>
              </w:rPr>
              <w:t xml:space="preserve"> of </w:t>
            </w:r>
            <w:r w:rsidRPr="00A67277">
              <w:rPr>
                <w:rFonts w:cs="Arial"/>
              </w:rPr>
              <w:t>shareholding of the Shareholders as s</w:t>
            </w:r>
            <w:r>
              <w:rPr>
                <w:rFonts w:cs="Arial"/>
              </w:rPr>
              <w:t>tipulated</w:t>
            </w:r>
            <w:r w:rsidRPr="00A67277">
              <w:rPr>
                <w:rFonts w:cs="Arial"/>
              </w:rPr>
              <w:t xml:space="preserve"> in Appendix 3 (</w:t>
            </w:r>
            <w:r w:rsidRPr="00A67277">
              <w:rPr>
                <w:rFonts w:cs="Arial"/>
                <w:i/>
              </w:rPr>
              <w:t>Shareholders</w:t>
            </w:r>
            <w:r w:rsidRPr="00A67277">
              <w:rPr>
                <w:rFonts w:cs="Arial"/>
              </w:rPr>
              <w:t>)</w:t>
            </w:r>
            <w:bookmarkEnd w:id="173"/>
            <w:r w:rsidRPr="00A67277">
              <w:rPr>
                <w:rFonts w:cs="Arial"/>
              </w:rPr>
              <w:t>;</w:t>
            </w:r>
          </w:p>
        </w:tc>
        <w:tc>
          <w:tcPr>
            <w:tcW w:w="169" w:type="pct"/>
          </w:tcPr>
          <w:p w14:paraId="216079B6" w14:textId="77777777" w:rsidR="00862B0B" w:rsidRPr="00A67277" w:rsidRDefault="00862B0B" w:rsidP="00862B0B">
            <w:pPr>
              <w:spacing w:before="60" w:after="60"/>
              <w:rPr>
                <w:rFonts w:ascii="Arial" w:hAnsi="Arial" w:cs="Arial"/>
                <w:sz w:val="21"/>
                <w:szCs w:val="21"/>
              </w:rPr>
            </w:pPr>
          </w:p>
        </w:tc>
        <w:tc>
          <w:tcPr>
            <w:tcW w:w="2561" w:type="pct"/>
            <w:gridSpan w:val="2"/>
          </w:tcPr>
          <w:p w14:paraId="0D29FDF5" w14:textId="77777777" w:rsidR="00862B0B" w:rsidRPr="00A67277" w:rsidRDefault="00862B0B" w:rsidP="00862B0B">
            <w:pPr>
              <w:pStyle w:val="Level3"/>
              <w:numPr>
                <w:ilvl w:val="2"/>
                <w:numId w:val="317"/>
              </w:numPr>
              <w:tabs>
                <w:tab w:val="clear" w:pos="1417"/>
              </w:tabs>
              <w:spacing w:before="60" w:after="60"/>
              <w:ind w:left="1333" w:hanging="425"/>
              <w:rPr>
                <w:rFonts w:cs="Arial"/>
              </w:rPr>
            </w:pPr>
            <w:r w:rsidRPr="00A67277">
              <w:rPr>
                <w:rFonts w:cs="Arial"/>
              </w:rPr>
              <w:t>proporsi kepemilikan saham para Pemegang Saham sebagaimana diatur dalam Lampiran 3 (</w:t>
            </w:r>
            <w:r w:rsidRPr="00A67277">
              <w:rPr>
                <w:rFonts w:cs="Arial"/>
                <w:i/>
              </w:rPr>
              <w:t>Pemegang Saham</w:t>
            </w:r>
            <w:r w:rsidRPr="00A67277">
              <w:rPr>
                <w:rFonts w:cs="Arial"/>
              </w:rPr>
              <w:t>);</w:t>
            </w:r>
          </w:p>
        </w:tc>
      </w:tr>
      <w:tr w:rsidR="00862B0B" w:rsidRPr="00A67277" w14:paraId="15990B8C" w14:textId="77777777" w:rsidTr="00862B0B">
        <w:tc>
          <w:tcPr>
            <w:tcW w:w="2270" w:type="pct"/>
          </w:tcPr>
          <w:p w14:paraId="6AB1E5CD" w14:textId="2258467F" w:rsidR="00862B0B" w:rsidRPr="00A67277" w:rsidRDefault="00862B0B" w:rsidP="00862B0B">
            <w:pPr>
              <w:pStyle w:val="Level3"/>
              <w:numPr>
                <w:ilvl w:val="2"/>
                <w:numId w:val="316"/>
              </w:numPr>
              <w:tabs>
                <w:tab w:val="clear" w:pos="1417"/>
                <w:tab w:val="num" w:pos="1298"/>
              </w:tabs>
              <w:spacing w:before="60" w:after="60"/>
              <w:ind w:left="1298" w:hanging="425"/>
              <w:rPr>
                <w:rFonts w:cs="Arial"/>
              </w:rPr>
            </w:pPr>
            <w:bookmarkStart w:id="174" w:name="_Toc501177971"/>
            <w:r w:rsidRPr="00A67277">
              <w:rPr>
                <w:rFonts w:cs="Arial"/>
              </w:rPr>
              <w:t>each Shareholder shall be the registered, legal and beneficial owner of the number of shares of the IBE set out opposite its name in Appendix 3 (</w:t>
            </w:r>
            <w:r w:rsidRPr="00A67277">
              <w:rPr>
                <w:rFonts w:cs="Arial"/>
                <w:i/>
              </w:rPr>
              <w:t>Shareholders</w:t>
            </w:r>
            <w:r w:rsidRPr="00A67277">
              <w:rPr>
                <w:rFonts w:cs="Arial"/>
              </w:rPr>
              <w:t>);</w:t>
            </w:r>
            <w:bookmarkEnd w:id="174"/>
            <w:r w:rsidRPr="00A67277">
              <w:rPr>
                <w:rFonts w:cs="Arial"/>
              </w:rPr>
              <w:t xml:space="preserve"> and</w:t>
            </w:r>
          </w:p>
        </w:tc>
        <w:tc>
          <w:tcPr>
            <w:tcW w:w="169" w:type="pct"/>
          </w:tcPr>
          <w:p w14:paraId="45C9DE23" w14:textId="77777777" w:rsidR="00862B0B" w:rsidRPr="00A67277" w:rsidRDefault="00862B0B" w:rsidP="00862B0B">
            <w:pPr>
              <w:spacing w:before="60" w:after="60"/>
              <w:rPr>
                <w:rFonts w:ascii="Arial" w:hAnsi="Arial" w:cs="Arial"/>
                <w:sz w:val="21"/>
                <w:szCs w:val="21"/>
              </w:rPr>
            </w:pPr>
          </w:p>
        </w:tc>
        <w:tc>
          <w:tcPr>
            <w:tcW w:w="2561" w:type="pct"/>
            <w:gridSpan w:val="2"/>
          </w:tcPr>
          <w:p w14:paraId="6C5BB76F" w14:textId="2F952AF6" w:rsidR="00862B0B" w:rsidRPr="00A67277" w:rsidRDefault="00862B0B" w:rsidP="00862B0B">
            <w:pPr>
              <w:pStyle w:val="Level3"/>
              <w:numPr>
                <w:ilvl w:val="2"/>
                <w:numId w:val="319"/>
              </w:numPr>
              <w:tabs>
                <w:tab w:val="clear" w:pos="1417"/>
              </w:tabs>
              <w:spacing w:before="60" w:after="60"/>
              <w:ind w:left="1333" w:hanging="425"/>
              <w:rPr>
                <w:rFonts w:cs="Arial"/>
              </w:rPr>
            </w:pPr>
            <w:r w:rsidRPr="00A67277">
              <w:rPr>
                <w:rFonts w:cs="Arial"/>
              </w:rPr>
              <w:t>setiap Pemegang Saham merupakan pemilik sah, terdaftar dan penerima manfaat sebenarnya dari sejumlah saham BUP yang disebutkan disamping namanya dalam Lampiran 3 (</w:t>
            </w:r>
            <w:r w:rsidRPr="00A67277">
              <w:rPr>
                <w:rFonts w:cs="Arial"/>
                <w:i/>
              </w:rPr>
              <w:t>Pemegang Saham</w:t>
            </w:r>
            <w:r w:rsidRPr="00A67277">
              <w:rPr>
                <w:rFonts w:cs="Arial"/>
              </w:rPr>
              <w:t>); dan</w:t>
            </w:r>
          </w:p>
        </w:tc>
      </w:tr>
      <w:tr w:rsidR="00862B0B" w:rsidRPr="00A67277" w14:paraId="4619228E" w14:textId="77777777" w:rsidTr="00862B0B">
        <w:tc>
          <w:tcPr>
            <w:tcW w:w="2270" w:type="pct"/>
          </w:tcPr>
          <w:p w14:paraId="2B5CB4D4" w14:textId="0C2F548C" w:rsidR="00862B0B" w:rsidRPr="00A67277" w:rsidRDefault="00862B0B" w:rsidP="00862B0B">
            <w:pPr>
              <w:pStyle w:val="Level3"/>
              <w:numPr>
                <w:ilvl w:val="2"/>
                <w:numId w:val="316"/>
              </w:numPr>
              <w:tabs>
                <w:tab w:val="clear" w:pos="1417"/>
                <w:tab w:val="num" w:pos="1298"/>
              </w:tabs>
              <w:spacing w:before="60" w:after="60"/>
              <w:ind w:left="1298" w:hanging="425"/>
              <w:rPr>
                <w:rFonts w:cs="Arial"/>
              </w:rPr>
            </w:pPr>
            <w:bookmarkStart w:id="175" w:name="_Toc501177972"/>
            <w:r w:rsidRPr="00A67277">
              <w:rPr>
                <w:rFonts w:cs="Arial"/>
              </w:rPr>
              <w:t xml:space="preserve">all issued shares of the IBE shall, when issued, have been </w:t>
            </w:r>
            <w:bookmarkStart w:id="176" w:name="_cp_text_1_1296"/>
            <w:r w:rsidRPr="00A67277">
              <w:rPr>
                <w:rFonts w:cs="Arial"/>
              </w:rPr>
              <w:t>authorised</w:t>
            </w:r>
            <w:bookmarkEnd w:id="176"/>
            <w:r w:rsidRPr="00A67277">
              <w:rPr>
                <w:rFonts w:cs="Arial"/>
              </w:rPr>
              <w:t>, allotted and called-up and validly issued and registered and fully paid</w:t>
            </w:r>
            <w:bookmarkEnd w:id="175"/>
            <w:r w:rsidRPr="00A67277">
              <w:rPr>
                <w:rFonts w:cs="Arial"/>
              </w:rPr>
              <w:t>.</w:t>
            </w:r>
          </w:p>
        </w:tc>
        <w:tc>
          <w:tcPr>
            <w:tcW w:w="169" w:type="pct"/>
          </w:tcPr>
          <w:p w14:paraId="1E9200FC" w14:textId="77777777" w:rsidR="00862B0B" w:rsidRPr="00A67277" w:rsidRDefault="00862B0B" w:rsidP="00862B0B">
            <w:pPr>
              <w:spacing w:before="60" w:after="60"/>
              <w:rPr>
                <w:rFonts w:ascii="Arial" w:hAnsi="Arial" w:cs="Arial"/>
                <w:sz w:val="21"/>
                <w:szCs w:val="21"/>
              </w:rPr>
            </w:pPr>
          </w:p>
        </w:tc>
        <w:tc>
          <w:tcPr>
            <w:tcW w:w="2561" w:type="pct"/>
            <w:gridSpan w:val="2"/>
          </w:tcPr>
          <w:p w14:paraId="623C8076" w14:textId="5FFF9CFB" w:rsidR="00862B0B" w:rsidRPr="00A67277" w:rsidRDefault="00862B0B" w:rsidP="00862B0B">
            <w:pPr>
              <w:pStyle w:val="Level3"/>
              <w:numPr>
                <w:ilvl w:val="2"/>
                <w:numId w:val="318"/>
              </w:numPr>
              <w:tabs>
                <w:tab w:val="clear" w:pos="1417"/>
              </w:tabs>
              <w:spacing w:before="60" w:after="60"/>
              <w:ind w:left="1333" w:hanging="425"/>
              <w:rPr>
                <w:rFonts w:cs="Arial"/>
              </w:rPr>
            </w:pPr>
            <w:r w:rsidRPr="00A67277">
              <w:rPr>
                <w:rFonts w:cs="Arial"/>
              </w:rPr>
              <w:t>seluruh saham yang diterbitkan harus, pada saat diterbitkan, telah ditetapkan dalam modal dasar, modal ditempatkan dan modal disetor BUP dan telah diterbitkan secara sah dan terdaftar dan telah disetor penuh.</w:t>
            </w:r>
          </w:p>
        </w:tc>
      </w:tr>
      <w:tr w:rsidR="00862B0B" w:rsidRPr="00A67277" w14:paraId="4CFF7358" w14:textId="77777777" w:rsidTr="00862B0B">
        <w:tc>
          <w:tcPr>
            <w:tcW w:w="2270" w:type="pct"/>
          </w:tcPr>
          <w:p w14:paraId="52FE022B" w14:textId="77777777" w:rsidR="00862B0B" w:rsidRPr="00A67277" w:rsidRDefault="00862B0B" w:rsidP="00862B0B">
            <w:pPr>
              <w:pStyle w:val="Heading2"/>
              <w:keepLines w:val="0"/>
              <w:numPr>
                <w:ilvl w:val="1"/>
                <w:numId w:val="314"/>
              </w:numPr>
              <w:spacing w:before="60" w:after="60"/>
              <w:ind w:left="873" w:hanging="426"/>
              <w:outlineLvl w:val="1"/>
              <w:rPr>
                <w:rFonts w:ascii="Arial" w:hAnsi="Arial" w:cs="Arial"/>
                <w:b/>
                <w:color w:val="auto"/>
                <w:sz w:val="21"/>
                <w:szCs w:val="21"/>
              </w:rPr>
            </w:pPr>
            <w:bookmarkStart w:id="177" w:name="_Toc501177974"/>
            <w:r w:rsidRPr="00A67277">
              <w:rPr>
                <w:rFonts w:ascii="Arial" w:hAnsi="Arial" w:cs="Arial"/>
                <w:b/>
                <w:color w:val="auto"/>
                <w:sz w:val="21"/>
                <w:szCs w:val="21"/>
              </w:rPr>
              <w:t>Restrictions on Transfer of Equity</w:t>
            </w:r>
            <w:bookmarkEnd w:id="177"/>
          </w:p>
        </w:tc>
        <w:tc>
          <w:tcPr>
            <w:tcW w:w="169" w:type="pct"/>
          </w:tcPr>
          <w:p w14:paraId="75A6205B" w14:textId="77777777" w:rsidR="00862B0B" w:rsidRPr="00A67277" w:rsidRDefault="00862B0B" w:rsidP="00862B0B">
            <w:pPr>
              <w:spacing w:before="60" w:after="60"/>
              <w:rPr>
                <w:rFonts w:ascii="Arial" w:hAnsi="Arial" w:cs="Arial"/>
                <w:sz w:val="21"/>
                <w:szCs w:val="21"/>
              </w:rPr>
            </w:pPr>
          </w:p>
        </w:tc>
        <w:tc>
          <w:tcPr>
            <w:tcW w:w="2561" w:type="pct"/>
            <w:gridSpan w:val="2"/>
          </w:tcPr>
          <w:p w14:paraId="0134431D" w14:textId="77777777" w:rsidR="00862B0B" w:rsidRPr="00A67277" w:rsidRDefault="00862B0B" w:rsidP="00862B0B">
            <w:pPr>
              <w:pStyle w:val="Level2"/>
              <w:numPr>
                <w:ilvl w:val="1"/>
                <w:numId w:val="315"/>
              </w:numPr>
              <w:spacing w:before="60" w:after="60"/>
              <w:ind w:left="881" w:hanging="425"/>
              <w:rPr>
                <w:rFonts w:cs="Arial"/>
                <w:b/>
              </w:rPr>
            </w:pPr>
            <w:bookmarkStart w:id="178" w:name="_Ref397432349"/>
            <w:r w:rsidRPr="00A67277">
              <w:rPr>
                <w:rFonts w:cs="Arial"/>
                <w:b/>
              </w:rPr>
              <w:t xml:space="preserve">Batasan Pengalihan </w:t>
            </w:r>
            <w:bookmarkEnd w:id="178"/>
            <w:r w:rsidRPr="00A67277">
              <w:rPr>
                <w:rFonts w:cs="Arial"/>
                <w:b/>
              </w:rPr>
              <w:t>Ekuitas</w:t>
            </w:r>
          </w:p>
        </w:tc>
      </w:tr>
      <w:tr w:rsidR="00862B0B" w:rsidRPr="00A67277" w14:paraId="749708DB" w14:textId="77777777" w:rsidTr="00862B0B">
        <w:tc>
          <w:tcPr>
            <w:tcW w:w="2270" w:type="pct"/>
          </w:tcPr>
          <w:p w14:paraId="7EF8DF91" w14:textId="58AE34AF" w:rsidR="00862B0B" w:rsidRPr="00A67277" w:rsidRDefault="00862B0B" w:rsidP="00862B0B">
            <w:pPr>
              <w:pStyle w:val="Level3"/>
              <w:numPr>
                <w:ilvl w:val="2"/>
                <w:numId w:val="324"/>
              </w:numPr>
              <w:tabs>
                <w:tab w:val="clear" w:pos="1417"/>
                <w:tab w:val="num" w:pos="1298"/>
              </w:tabs>
              <w:spacing w:before="60" w:after="60"/>
              <w:ind w:left="1298" w:hanging="425"/>
              <w:rPr>
                <w:rFonts w:cs="Arial"/>
              </w:rPr>
            </w:pPr>
            <w:bookmarkStart w:id="179" w:name="_Toc501177975"/>
            <w:r w:rsidRPr="00A67277">
              <w:rPr>
                <w:szCs w:val="24"/>
              </w:rPr>
              <w:t xml:space="preserve">Subject to the rights of the Financing Parties under the Financing Documents, </w:t>
            </w:r>
            <w:r w:rsidRPr="00A67277">
              <w:rPr>
                <w:rFonts w:cs="Arial"/>
              </w:rPr>
              <w:t xml:space="preserve"> until the the Commercial Operation Date, the IBE shall ensure that a Shareholder does not, without prior approval of GCA, transfer or grant an Encumbrance over any interest in any part of its Equity in the </w:t>
            </w:r>
            <w:bookmarkStart w:id="180" w:name="_cp_text_1_1297"/>
            <w:r w:rsidRPr="00A67277">
              <w:rPr>
                <w:rFonts w:cs="Arial"/>
              </w:rPr>
              <w:t>IBE</w:t>
            </w:r>
            <w:r>
              <w:rPr>
                <w:rFonts w:cs="Arial"/>
              </w:rPr>
              <w:t xml:space="preserve"> to the other party other than the Financing Parties  or to the other party other than its existing shareholders</w:t>
            </w:r>
            <w:bookmarkEnd w:id="180"/>
            <w:r w:rsidRPr="00A67277">
              <w:rPr>
                <w:rFonts w:cs="Arial"/>
              </w:rPr>
              <w:t>.</w:t>
            </w:r>
            <w:bookmarkEnd w:id="179"/>
          </w:p>
        </w:tc>
        <w:tc>
          <w:tcPr>
            <w:tcW w:w="169" w:type="pct"/>
          </w:tcPr>
          <w:p w14:paraId="2CA5B8DC" w14:textId="77777777" w:rsidR="00862B0B" w:rsidRPr="00A67277" w:rsidRDefault="00862B0B" w:rsidP="00862B0B">
            <w:pPr>
              <w:spacing w:before="60" w:after="60"/>
              <w:rPr>
                <w:rFonts w:ascii="Arial" w:hAnsi="Arial" w:cs="Arial"/>
                <w:sz w:val="21"/>
                <w:szCs w:val="21"/>
              </w:rPr>
            </w:pPr>
          </w:p>
        </w:tc>
        <w:tc>
          <w:tcPr>
            <w:tcW w:w="2561" w:type="pct"/>
            <w:gridSpan w:val="2"/>
          </w:tcPr>
          <w:p w14:paraId="6CB19B13" w14:textId="4DC45542" w:rsidR="00862B0B" w:rsidRPr="00A67277" w:rsidRDefault="00862B0B" w:rsidP="00862B0B">
            <w:pPr>
              <w:pStyle w:val="Level3"/>
              <w:numPr>
                <w:ilvl w:val="2"/>
                <w:numId w:val="326"/>
              </w:numPr>
              <w:tabs>
                <w:tab w:val="clear" w:pos="1417"/>
                <w:tab w:val="num" w:pos="1333"/>
              </w:tabs>
              <w:spacing w:before="60" w:after="60"/>
              <w:ind w:left="1333" w:hanging="425"/>
              <w:rPr>
                <w:rFonts w:cs="Arial"/>
              </w:rPr>
            </w:pPr>
            <w:bookmarkStart w:id="181" w:name="_Ref397432452"/>
            <w:r w:rsidRPr="00A67277">
              <w:rPr>
                <w:rFonts w:cs="Arial"/>
              </w:rPr>
              <w:t>Tunduk pada hak dari Lembaga Pembiayaan berdasarkan Perjanjian Pembiayaan, hingga Tanggal Operasi Komersial BUP harus memastikan bahwa setiap Pemegang Saham tidak akan, tanpa persetujuan tertulis terlebih dahulu dari PJPK, mengalihkan atau menyetujui pemberian suatu Hak Jaminan apapun terhadap bagian-bagian manapun dari Ekuitas BUP</w:t>
            </w:r>
            <w:r>
              <w:rPr>
                <w:rFonts w:cs="Arial"/>
              </w:rPr>
              <w:t xml:space="preserve"> kepada pihak lain selain dari Lembaga Pembiayaan  atau pihak lain selain dari pemegang saham eksisting</w:t>
            </w:r>
            <w:r w:rsidRPr="00A67277">
              <w:rPr>
                <w:rFonts w:cs="Arial"/>
              </w:rPr>
              <w:t>.</w:t>
            </w:r>
            <w:bookmarkEnd w:id="181"/>
          </w:p>
        </w:tc>
      </w:tr>
      <w:tr w:rsidR="00862B0B" w:rsidRPr="00A67277" w14:paraId="629F232A" w14:textId="77777777" w:rsidTr="00862B0B">
        <w:tc>
          <w:tcPr>
            <w:tcW w:w="2270" w:type="pct"/>
          </w:tcPr>
          <w:p w14:paraId="613BBB8F" w14:textId="7D84DF5F" w:rsidR="00862B0B" w:rsidRPr="00A67277" w:rsidRDefault="00862B0B" w:rsidP="00862B0B">
            <w:pPr>
              <w:pStyle w:val="Level3"/>
              <w:numPr>
                <w:ilvl w:val="2"/>
                <w:numId w:val="324"/>
              </w:numPr>
              <w:tabs>
                <w:tab w:val="clear" w:pos="1417"/>
                <w:tab w:val="num" w:pos="1298"/>
              </w:tabs>
              <w:spacing w:before="60" w:after="60"/>
              <w:ind w:left="1298" w:hanging="425"/>
              <w:rPr>
                <w:rFonts w:cs="Arial"/>
              </w:rPr>
            </w:pPr>
            <w:bookmarkStart w:id="182" w:name="_Ref397432492"/>
            <w:bookmarkStart w:id="183" w:name="_Toc501177976"/>
            <w:r w:rsidRPr="00A67277">
              <w:rPr>
                <w:rFonts w:cs="Arial"/>
              </w:rPr>
              <w:t>If a Shareholder wishes to transfer any interest in any part of its Equity or grant any Encumbrance over any interest in any part of its Equity</w:t>
            </w:r>
            <w:r>
              <w:rPr>
                <w:rFonts w:cs="Arial"/>
              </w:rPr>
              <w:t xml:space="preserve"> to the other party other than the Financing Parties or to the other party other than its existing shareholders</w:t>
            </w:r>
            <w:r w:rsidRPr="00A67277">
              <w:rPr>
                <w:rFonts w:cs="Arial"/>
              </w:rPr>
              <w:t>, the IBE must first submit to GCA a written request for approval to do so as required under paragraph (a). The request must include a description of:</w:t>
            </w:r>
            <w:bookmarkEnd w:id="182"/>
            <w:bookmarkEnd w:id="183"/>
          </w:p>
        </w:tc>
        <w:tc>
          <w:tcPr>
            <w:tcW w:w="169" w:type="pct"/>
          </w:tcPr>
          <w:p w14:paraId="4B973C7B" w14:textId="77777777" w:rsidR="00862B0B" w:rsidRPr="00A67277" w:rsidRDefault="00862B0B" w:rsidP="00862B0B">
            <w:pPr>
              <w:spacing w:before="60" w:after="60"/>
              <w:rPr>
                <w:rFonts w:ascii="Arial" w:hAnsi="Arial" w:cs="Arial"/>
                <w:sz w:val="21"/>
                <w:szCs w:val="21"/>
              </w:rPr>
            </w:pPr>
          </w:p>
        </w:tc>
        <w:tc>
          <w:tcPr>
            <w:tcW w:w="2561" w:type="pct"/>
            <w:gridSpan w:val="2"/>
          </w:tcPr>
          <w:p w14:paraId="03F82B3B" w14:textId="60E5D46D" w:rsidR="00862B0B" w:rsidRPr="00A67277" w:rsidRDefault="00862B0B" w:rsidP="00862B0B">
            <w:pPr>
              <w:pStyle w:val="Level3"/>
              <w:numPr>
                <w:ilvl w:val="2"/>
                <w:numId w:val="325"/>
              </w:numPr>
              <w:tabs>
                <w:tab w:val="clear" w:pos="1417"/>
                <w:tab w:val="num" w:pos="1333"/>
              </w:tabs>
              <w:spacing w:before="60" w:after="60"/>
              <w:ind w:left="1333" w:hanging="425"/>
              <w:rPr>
                <w:rFonts w:cs="Arial"/>
              </w:rPr>
            </w:pPr>
            <w:r w:rsidRPr="00A67277">
              <w:rPr>
                <w:rFonts w:cs="Arial"/>
              </w:rPr>
              <w:t>Apabila Pemegang Saham menginginkan untuk mengalihkan setiap kepentingan dari bagian manapun dari Ekuitas atau memberikan Hak Jaminan apapun atas kepentingan dari bagian manapun dari Ekuitas yang dimilikinya</w:t>
            </w:r>
            <w:r>
              <w:rPr>
                <w:rFonts w:cs="Arial"/>
              </w:rPr>
              <w:t xml:space="preserve">  kepada pihak lain selain dari Lembaga Pembiayaan atau pihak lain selain dari pemegang saham eksisting</w:t>
            </w:r>
            <w:r w:rsidRPr="00A67277">
              <w:rPr>
                <w:rFonts w:cs="Arial"/>
              </w:rPr>
              <w:t>, BUP harus mengajukan permohonan tertulis terlebih dahulu kepada PJPK sebagaimana disyaratkan berdasarkan paragraf (a). Permintaan tersebut harus mencakup penjelasan dari:</w:t>
            </w:r>
          </w:p>
        </w:tc>
      </w:tr>
      <w:tr w:rsidR="00862B0B" w:rsidRPr="00A67277" w14:paraId="63368DB6" w14:textId="77777777" w:rsidTr="00862B0B">
        <w:tc>
          <w:tcPr>
            <w:tcW w:w="2270" w:type="pct"/>
          </w:tcPr>
          <w:p w14:paraId="0E14ECF6" w14:textId="77777777" w:rsidR="00862B0B" w:rsidRPr="00A67277" w:rsidRDefault="00862B0B" w:rsidP="00862B0B">
            <w:pPr>
              <w:pStyle w:val="Level4"/>
              <w:numPr>
                <w:ilvl w:val="3"/>
                <w:numId w:val="411"/>
              </w:numPr>
              <w:tabs>
                <w:tab w:val="clear" w:pos="2126"/>
              </w:tabs>
              <w:spacing w:before="60" w:after="60"/>
              <w:ind w:left="1890" w:hanging="473"/>
              <w:rPr>
                <w:rFonts w:cs="Arial"/>
              </w:rPr>
            </w:pPr>
            <w:r w:rsidRPr="00A67277">
              <w:rPr>
                <w:rFonts w:cs="Arial"/>
              </w:rPr>
              <w:t>the proposed transfer of Equity or Encumbrance;</w:t>
            </w:r>
          </w:p>
        </w:tc>
        <w:tc>
          <w:tcPr>
            <w:tcW w:w="169" w:type="pct"/>
          </w:tcPr>
          <w:p w14:paraId="53D33FA8" w14:textId="77777777" w:rsidR="00862B0B" w:rsidRPr="00A67277" w:rsidRDefault="00862B0B" w:rsidP="00862B0B">
            <w:pPr>
              <w:spacing w:before="60" w:after="60"/>
              <w:rPr>
                <w:rFonts w:ascii="Arial" w:hAnsi="Arial" w:cs="Arial"/>
                <w:sz w:val="21"/>
                <w:szCs w:val="21"/>
              </w:rPr>
            </w:pPr>
          </w:p>
        </w:tc>
        <w:tc>
          <w:tcPr>
            <w:tcW w:w="2561" w:type="pct"/>
            <w:gridSpan w:val="2"/>
          </w:tcPr>
          <w:p w14:paraId="6A3DE2E6" w14:textId="77777777" w:rsidR="00862B0B" w:rsidRPr="00A67277" w:rsidRDefault="00862B0B" w:rsidP="00862B0B">
            <w:pPr>
              <w:pStyle w:val="Level4"/>
              <w:numPr>
                <w:ilvl w:val="3"/>
                <w:numId w:val="327"/>
              </w:numPr>
              <w:tabs>
                <w:tab w:val="clear" w:pos="2126"/>
              </w:tabs>
              <w:spacing w:before="60" w:after="60"/>
              <w:ind w:left="1900" w:hanging="425"/>
              <w:rPr>
                <w:rFonts w:cs="Arial"/>
              </w:rPr>
            </w:pPr>
            <w:r w:rsidRPr="00A67277">
              <w:rPr>
                <w:rFonts w:cs="Arial"/>
              </w:rPr>
              <w:t>usulan pengalihan atas Ekuitas atau Hak Jaminan;</w:t>
            </w:r>
          </w:p>
        </w:tc>
      </w:tr>
      <w:tr w:rsidR="00862B0B" w:rsidRPr="00A67277" w14:paraId="77D8EE27" w14:textId="77777777" w:rsidTr="00862B0B">
        <w:tc>
          <w:tcPr>
            <w:tcW w:w="2270" w:type="pct"/>
          </w:tcPr>
          <w:p w14:paraId="3EE75822" w14:textId="77BB6E10" w:rsidR="00862B0B" w:rsidRPr="00A67277" w:rsidRDefault="00862B0B" w:rsidP="00862B0B">
            <w:pPr>
              <w:pStyle w:val="Level4"/>
              <w:numPr>
                <w:ilvl w:val="3"/>
                <w:numId w:val="411"/>
              </w:numPr>
              <w:spacing w:before="60" w:after="60"/>
              <w:ind w:left="1865" w:hanging="425"/>
              <w:rPr>
                <w:rFonts w:cs="Arial"/>
              </w:rPr>
            </w:pPr>
            <w:r w:rsidRPr="00A67277">
              <w:t>the transferee</w:t>
            </w:r>
            <w:r>
              <w:t xml:space="preserve"> or beneficiery</w:t>
            </w:r>
            <w:r w:rsidRPr="00A67277">
              <w:t>; and</w:t>
            </w:r>
          </w:p>
        </w:tc>
        <w:tc>
          <w:tcPr>
            <w:tcW w:w="169" w:type="pct"/>
          </w:tcPr>
          <w:p w14:paraId="4C2CE219" w14:textId="77777777" w:rsidR="00862B0B" w:rsidRPr="00A67277" w:rsidRDefault="00862B0B" w:rsidP="00862B0B">
            <w:pPr>
              <w:spacing w:before="60" w:after="60"/>
              <w:rPr>
                <w:rFonts w:ascii="Arial" w:hAnsi="Arial" w:cs="Arial"/>
                <w:sz w:val="21"/>
                <w:szCs w:val="21"/>
              </w:rPr>
            </w:pPr>
          </w:p>
        </w:tc>
        <w:tc>
          <w:tcPr>
            <w:tcW w:w="2561" w:type="pct"/>
            <w:gridSpan w:val="2"/>
          </w:tcPr>
          <w:p w14:paraId="70EAB970" w14:textId="356CC528" w:rsidR="00862B0B" w:rsidRPr="00A67277" w:rsidRDefault="00862B0B" w:rsidP="00862B0B">
            <w:pPr>
              <w:pStyle w:val="Level4"/>
              <w:numPr>
                <w:ilvl w:val="3"/>
                <w:numId w:val="328"/>
              </w:numPr>
              <w:tabs>
                <w:tab w:val="clear" w:pos="2126"/>
              </w:tabs>
              <w:spacing w:before="60" w:after="60"/>
              <w:ind w:left="1900" w:hanging="425"/>
              <w:rPr>
                <w:rFonts w:cs="Arial"/>
              </w:rPr>
            </w:pPr>
            <w:r w:rsidRPr="00A67277">
              <w:rPr>
                <w:rFonts w:cs="Arial"/>
              </w:rPr>
              <w:t>penerima pengalihan</w:t>
            </w:r>
            <w:r>
              <w:rPr>
                <w:rFonts w:cs="Arial"/>
              </w:rPr>
              <w:t xml:space="preserve"> atau penerima manfaat</w:t>
            </w:r>
            <w:r w:rsidRPr="00A67277">
              <w:rPr>
                <w:rFonts w:cs="Arial"/>
              </w:rPr>
              <w:t>; dan</w:t>
            </w:r>
          </w:p>
        </w:tc>
      </w:tr>
      <w:tr w:rsidR="00862B0B" w:rsidRPr="00A67277" w14:paraId="56C46071" w14:textId="77777777" w:rsidTr="00862B0B">
        <w:trPr>
          <w:trHeight w:val="1727"/>
        </w:trPr>
        <w:tc>
          <w:tcPr>
            <w:tcW w:w="2270" w:type="pct"/>
          </w:tcPr>
          <w:p w14:paraId="583540BB" w14:textId="77E40111" w:rsidR="00862B0B" w:rsidRPr="00A67277" w:rsidRDefault="00862B0B" w:rsidP="00862B0B">
            <w:pPr>
              <w:pStyle w:val="Level4"/>
              <w:numPr>
                <w:ilvl w:val="3"/>
                <w:numId w:val="411"/>
              </w:numPr>
              <w:spacing w:before="60" w:after="60"/>
              <w:ind w:left="1865" w:hanging="425"/>
              <w:rPr>
                <w:rFonts w:cs="Arial"/>
              </w:rPr>
            </w:pPr>
            <w:r w:rsidRPr="00A67277">
              <w:t>if applicable, any proposed amendment to the Shareholders’ Agreement</w:t>
            </w:r>
            <w:r w:rsidRPr="00A67277" w:rsidDel="00975B01">
              <w:rPr>
                <w:rFonts w:cs="Arial"/>
              </w:rPr>
              <w:t>.</w:t>
            </w:r>
          </w:p>
        </w:tc>
        <w:tc>
          <w:tcPr>
            <w:tcW w:w="169" w:type="pct"/>
          </w:tcPr>
          <w:p w14:paraId="0E013BCD" w14:textId="77777777" w:rsidR="00862B0B" w:rsidRPr="00A67277" w:rsidRDefault="00862B0B" w:rsidP="00862B0B">
            <w:pPr>
              <w:spacing w:before="60" w:after="60"/>
              <w:rPr>
                <w:rFonts w:ascii="Arial" w:hAnsi="Arial" w:cs="Arial"/>
                <w:sz w:val="21"/>
                <w:szCs w:val="21"/>
              </w:rPr>
            </w:pPr>
          </w:p>
        </w:tc>
        <w:tc>
          <w:tcPr>
            <w:tcW w:w="2561" w:type="pct"/>
            <w:gridSpan w:val="2"/>
          </w:tcPr>
          <w:p w14:paraId="605FD03B" w14:textId="77777777" w:rsidR="00862B0B" w:rsidRPr="00A67277" w:rsidRDefault="00862B0B" w:rsidP="00862B0B">
            <w:pPr>
              <w:pStyle w:val="Level4"/>
              <w:numPr>
                <w:ilvl w:val="3"/>
                <w:numId w:val="329"/>
              </w:numPr>
              <w:tabs>
                <w:tab w:val="clear" w:pos="2126"/>
              </w:tabs>
              <w:spacing w:before="60" w:after="60"/>
              <w:ind w:left="1900" w:hanging="425"/>
              <w:rPr>
                <w:rFonts w:cs="Arial"/>
              </w:rPr>
            </w:pPr>
            <w:r w:rsidRPr="00A67277">
              <w:rPr>
                <w:rFonts w:cs="Arial"/>
                <w:lang w:val="en-US"/>
              </w:rPr>
              <w:t>j</w:t>
            </w:r>
            <w:r w:rsidRPr="00A67277">
              <w:rPr>
                <w:rFonts w:cs="Arial"/>
                <w:lang w:val="id-ID"/>
              </w:rPr>
              <w:t>ika berlaku, setiap usulan perubahan terhadap Perjanjian Pemegang Saham.</w:t>
            </w:r>
          </w:p>
        </w:tc>
      </w:tr>
      <w:tr w:rsidR="00862B0B" w:rsidRPr="00A67277" w14:paraId="0DEEBC5A" w14:textId="77777777" w:rsidTr="00862B0B">
        <w:tc>
          <w:tcPr>
            <w:tcW w:w="2270" w:type="pct"/>
          </w:tcPr>
          <w:p w14:paraId="46B4B64D" w14:textId="77777777" w:rsidR="00862B0B" w:rsidRPr="00A67277" w:rsidRDefault="00862B0B" w:rsidP="00862B0B">
            <w:pPr>
              <w:pStyle w:val="Body3"/>
              <w:spacing w:before="60" w:after="60"/>
              <w:ind w:left="1440"/>
              <w:rPr>
                <w:rFonts w:cs="Arial"/>
              </w:rPr>
            </w:pPr>
            <w:bookmarkStart w:id="184" w:name="_Toc501177977"/>
            <w:r w:rsidRPr="00A67277">
              <w:rPr>
                <w:rFonts w:cs="Arial"/>
              </w:rPr>
              <w:t xml:space="preserve">GCA may request the IBE to, and the IBE must, provide GCA, within </w:t>
            </w:r>
            <w:bookmarkStart w:id="185" w:name="_cp_text_1_1301"/>
            <w:r w:rsidRPr="00A67277">
              <w:rPr>
                <w:rFonts w:cs="Arial"/>
              </w:rPr>
              <w:t xml:space="preserve">ten </w:t>
            </w:r>
            <w:bookmarkEnd w:id="185"/>
            <w:r w:rsidRPr="00A67277">
              <w:rPr>
                <w:rFonts w:cs="Arial"/>
              </w:rPr>
              <w:t>(</w:t>
            </w:r>
            <w:bookmarkStart w:id="186" w:name="_cp_text_1_1303"/>
            <w:r w:rsidRPr="00A67277">
              <w:rPr>
                <w:rFonts w:cs="Arial"/>
              </w:rPr>
              <w:t>10</w:t>
            </w:r>
            <w:bookmarkEnd w:id="186"/>
            <w:r w:rsidRPr="00A67277">
              <w:rPr>
                <w:rFonts w:cs="Arial"/>
              </w:rPr>
              <w:t xml:space="preserve">) </w:t>
            </w:r>
            <w:bookmarkStart w:id="187" w:name="_cp_text_1_1304"/>
            <w:r w:rsidRPr="00A67277">
              <w:rPr>
                <w:rFonts w:cs="Arial"/>
              </w:rPr>
              <w:t xml:space="preserve">Business </w:t>
            </w:r>
            <w:bookmarkEnd w:id="187"/>
            <w:r w:rsidRPr="00A67277">
              <w:rPr>
                <w:rFonts w:cs="Arial"/>
              </w:rPr>
              <w:t>Days following receipt of the request, any additional information which GCA considers necessary for its evaluation of the transfer of Equity or grant of an Encumbrance over the Equity.</w:t>
            </w:r>
            <w:bookmarkEnd w:id="184"/>
          </w:p>
        </w:tc>
        <w:tc>
          <w:tcPr>
            <w:tcW w:w="169" w:type="pct"/>
          </w:tcPr>
          <w:p w14:paraId="1DC28D5A" w14:textId="77777777" w:rsidR="00862B0B" w:rsidRPr="00A67277" w:rsidRDefault="00862B0B" w:rsidP="00862B0B">
            <w:pPr>
              <w:spacing w:before="60" w:after="60"/>
              <w:rPr>
                <w:rFonts w:ascii="Arial" w:hAnsi="Arial" w:cs="Arial"/>
                <w:sz w:val="21"/>
                <w:szCs w:val="21"/>
              </w:rPr>
            </w:pPr>
          </w:p>
        </w:tc>
        <w:tc>
          <w:tcPr>
            <w:tcW w:w="2561" w:type="pct"/>
            <w:gridSpan w:val="2"/>
          </w:tcPr>
          <w:p w14:paraId="4BB58651" w14:textId="77777777" w:rsidR="00862B0B" w:rsidRPr="00A67277" w:rsidRDefault="00862B0B" w:rsidP="00862B0B">
            <w:pPr>
              <w:pStyle w:val="Body2"/>
              <w:spacing w:before="60" w:after="60"/>
              <w:ind w:left="1440"/>
              <w:rPr>
                <w:rFonts w:cs="Arial"/>
              </w:rPr>
            </w:pPr>
            <w:r w:rsidRPr="00A67277">
              <w:rPr>
                <w:rFonts w:cs="Arial"/>
              </w:rPr>
              <w:t>PJPK dapat meminta kepada BUP untuk, dan BUP harus, dalam waktu sepuluh (10) Hari Kerja setelah menerima permintaan tersebut, memberikan kepada PJPK, setiap informasi tambahan yang dianggap perlu oleh PJPK untuk mengevaluasi pengalihan Ekuitas atau memberikan persetujuan atas pemberian Hak Jaminan atas Ekuitas tersebut.</w:t>
            </w:r>
          </w:p>
        </w:tc>
      </w:tr>
      <w:tr w:rsidR="00862B0B" w:rsidRPr="00A67277" w14:paraId="58D64D58" w14:textId="77777777" w:rsidTr="00862B0B">
        <w:tc>
          <w:tcPr>
            <w:tcW w:w="2270" w:type="pct"/>
          </w:tcPr>
          <w:p w14:paraId="1ABC83E4" w14:textId="52E4EDC0" w:rsidR="00862B0B" w:rsidRPr="00A67277" w:rsidRDefault="00862B0B" w:rsidP="00862B0B">
            <w:pPr>
              <w:pStyle w:val="Level3"/>
              <w:numPr>
                <w:ilvl w:val="2"/>
                <w:numId w:val="324"/>
              </w:numPr>
              <w:tabs>
                <w:tab w:val="clear" w:pos="1417"/>
                <w:tab w:val="num" w:pos="1298"/>
              </w:tabs>
              <w:spacing w:before="60" w:after="60"/>
              <w:ind w:left="1298" w:hanging="425"/>
              <w:rPr>
                <w:rFonts w:cs="Arial"/>
              </w:rPr>
            </w:pPr>
            <w:bookmarkStart w:id="188" w:name="_Toc501177978"/>
            <w:r w:rsidRPr="00A67277">
              <w:rPr>
                <w:rFonts w:cs="Arial"/>
              </w:rPr>
              <w:t>GCA must review a request by the IBE under paragraph (b) and either approve or reject in writing such request   within thirty (30)  Days following the receipt of such request or the receipt of additional requested information, whichever is the later.</w:t>
            </w:r>
            <w:bookmarkEnd w:id="188"/>
          </w:p>
        </w:tc>
        <w:tc>
          <w:tcPr>
            <w:tcW w:w="169" w:type="pct"/>
          </w:tcPr>
          <w:p w14:paraId="4D1C8856" w14:textId="77777777" w:rsidR="00862B0B" w:rsidRPr="00A67277" w:rsidRDefault="00862B0B" w:rsidP="00862B0B">
            <w:pPr>
              <w:spacing w:before="60" w:after="60"/>
              <w:rPr>
                <w:rFonts w:ascii="Arial" w:hAnsi="Arial" w:cs="Arial"/>
                <w:sz w:val="21"/>
                <w:szCs w:val="21"/>
              </w:rPr>
            </w:pPr>
          </w:p>
        </w:tc>
        <w:tc>
          <w:tcPr>
            <w:tcW w:w="2561" w:type="pct"/>
            <w:gridSpan w:val="2"/>
          </w:tcPr>
          <w:p w14:paraId="5AA72228" w14:textId="3F9B2724" w:rsidR="00862B0B" w:rsidRPr="00A67277" w:rsidRDefault="00862B0B" w:rsidP="00862B0B">
            <w:pPr>
              <w:pStyle w:val="Level3"/>
              <w:numPr>
                <w:ilvl w:val="2"/>
                <w:numId w:val="330"/>
              </w:numPr>
              <w:tabs>
                <w:tab w:val="clear" w:pos="1417"/>
              </w:tabs>
              <w:spacing w:before="60" w:after="60"/>
              <w:ind w:left="1333" w:hanging="425"/>
              <w:rPr>
                <w:rFonts w:cs="Arial"/>
              </w:rPr>
            </w:pPr>
            <w:r w:rsidRPr="00A67277">
              <w:rPr>
                <w:rFonts w:cs="Arial"/>
                <w:shd w:val="clear" w:color="auto" w:fill="FFFFFF"/>
              </w:rPr>
              <w:t>PJPK harus meninjau permintaan dari BUP berdasarkan paragraf (b) dan menyetujui atau menolak secara tertulis permintaan tersebut dalam waktu tiga puluh (30) Hari setelah diterimanya permintaan tersebut atau diterimanya tambahan permintaan informasi, yang mana lebih akhir terjadi.</w:t>
            </w:r>
          </w:p>
        </w:tc>
      </w:tr>
      <w:tr w:rsidR="00862B0B" w:rsidRPr="00A67277" w14:paraId="3DDB5495" w14:textId="77777777" w:rsidTr="00862B0B">
        <w:tc>
          <w:tcPr>
            <w:tcW w:w="2270" w:type="pct"/>
          </w:tcPr>
          <w:p w14:paraId="5FFF1E72" w14:textId="013A693A" w:rsidR="00862B0B" w:rsidRPr="00A67277" w:rsidRDefault="00862B0B" w:rsidP="00862B0B">
            <w:pPr>
              <w:pStyle w:val="Level3"/>
              <w:numPr>
                <w:ilvl w:val="2"/>
                <w:numId w:val="324"/>
              </w:numPr>
              <w:tabs>
                <w:tab w:val="clear" w:pos="1417"/>
                <w:tab w:val="num" w:pos="1298"/>
              </w:tabs>
              <w:spacing w:before="60" w:after="60"/>
              <w:ind w:left="1298" w:hanging="425"/>
              <w:rPr>
                <w:rFonts w:cs="Arial"/>
              </w:rPr>
            </w:pPr>
            <w:r w:rsidRPr="00A67277">
              <w:rPr>
                <w:rFonts w:cs="Arial"/>
              </w:rPr>
              <w:t>the GCA agrees that, it will not unreasonably withhold or delay its consent to the request by the IBE under paragraph (c) that has no material negative effect to the Project.</w:t>
            </w:r>
          </w:p>
        </w:tc>
        <w:tc>
          <w:tcPr>
            <w:tcW w:w="169" w:type="pct"/>
          </w:tcPr>
          <w:p w14:paraId="593FF193" w14:textId="77777777" w:rsidR="00862B0B" w:rsidRPr="00A67277" w:rsidRDefault="00862B0B" w:rsidP="00862B0B">
            <w:pPr>
              <w:spacing w:before="60" w:after="60"/>
              <w:rPr>
                <w:rFonts w:ascii="Arial" w:hAnsi="Arial" w:cs="Arial"/>
                <w:sz w:val="21"/>
                <w:szCs w:val="21"/>
              </w:rPr>
            </w:pPr>
          </w:p>
        </w:tc>
        <w:tc>
          <w:tcPr>
            <w:tcW w:w="2561" w:type="pct"/>
            <w:gridSpan w:val="2"/>
          </w:tcPr>
          <w:p w14:paraId="05237F67" w14:textId="6716F3B7" w:rsidR="00862B0B" w:rsidRPr="00A67277" w:rsidRDefault="00862B0B" w:rsidP="00862B0B">
            <w:pPr>
              <w:pStyle w:val="Level3"/>
              <w:numPr>
                <w:ilvl w:val="2"/>
                <w:numId w:val="330"/>
              </w:numPr>
              <w:tabs>
                <w:tab w:val="clear" w:pos="1417"/>
              </w:tabs>
              <w:spacing w:before="60" w:after="60"/>
              <w:ind w:left="1333" w:hanging="425"/>
              <w:rPr>
                <w:rFonts w:cs="Arial"/>
                <w:shd w:val="clear" w:color="auto" w:fill="FFFFFF"/>
              </w:rPr>
            </w:pPr>
            <w:r w:rsidRPr="00A67277">
              <w:rPr>
                <w:rFonts w:cs="Arial"/>
                <w:shd w:val="clear" w:color="auto" w:fill="FFFFFF"/>
              </w:rPr>
              <w:t>PJPK sepakat bahwa, PJPK tidak akan menahan atau menunda persetujuannya secara tidak wajar atas  permintaan dari BUP berdasarkan paragraf (c) yang tidak menyebabkan dampak material negatif terhadap Proyek</w:t>
            </w:r>
          </w:p>
        </w:tc>
      </w:tr>
      <w:tr w:rsidR="00862B0B" w:rsidRPr="00A67277" w14:paraId="0B068419" w14:textId="77777777" w:rsidTr="00862B0B">
        <w:tc>
          <w:tcPr>
            <w:tcW w:w="2270" w:type="pct"/>
          </w:tcPr>
          <w:p w14:paraId="306209A1" w14:textId="77777777" w:rsidR="00862B0B" w:rsidRPr="00A67277" w:rsidRDefault="00862B0B" w:rsidP="00862B0B">
            <w:pPr>
              <w:pStyle w:val="CentredHeading"/>
              <w:numPr>
                <w:ilvl w:val="0"/>
                <w:numId w:val="470"/>
              </w:numPr>
              <w:spacing w:before="60" w:after="60"/>
              <w:ind w:left="257" w:hanging="257"/>
              <w:jc w:val="left"/>
              <w:rPr>
                <w:rFonts w:cs="Arial"/>
              </w:rPr>
            </w:pPr>
            <w:bookmarkStart w:id="189" w:name="_Toc501177984"/>
            <w:bookmarkStart w:id="190" w:name="_Hlk502648973"/>
            <w:bookmarkEnd w:id="172"/>
            <w:r w:rsidRPr="00A67277">
              <w:rPr>
                <w:rFonts w:cs="Arial"/>
              </w:rPr>
              <w:t>Financial Model and Project Financing</w:t>
            </w:r>
            <w:bookmarkEnd w:id="189"/>
          </w:p>
        </w:tc>
        <w:tc>
          <w:tcPr>
            <w:tcW w:w="169" w:type="pct"/>
          </w:tcPr>
          <w:p w14:paraId="3C18251A" w14:textId="77777777" w:rsidR="00862B0B" w:rsidRPr="00A67277" w:rsidRDefault="00862B0B" w:rsidP="00862B0B">
            <w:pPr>
              <w:spacing w:before="60" w:after="60"/>
              <w:rPr>
                <w:rFonts w:ascii="Arial" w:hAnsi="Arial" w:cs="Arial"/>
                <w:sz w:val="21"/>
                <w:szCs w:val="21"/>
              </w:rPr>
            </w:pPr>
          </w:p>
        </w:tc>
        <w:tc>
          <w:tcPr>
            <w:tcW w:w="2561" w:type="pct"/>
            <w:gridSpan w:val="2"/>
          </w:tcPr>
          <w:p w14:paraId="05543875" w14:textId="77777777" w:rsidR="00862B0B" w:rsidRPr="00A67277" w:rsidRDefault="00862B0B" w:rsidP="00862B0B">
            <w:pPr>
              <w:pStyle w:val="CentredHeading"/>
              <w:numPr>
                <w:ilvl w:val="0"/>
                <w:numId w:val="412"/>
              </w:numPr>
              <w:spacing w:before="60" w:after="60"/>
              <w:ind w:left="360"/>
              <w:jc w:val="both"/>
              <w:rPr>
                <w:rFonts w:cs="Arial"/>
              </w:rPr>
            </w:pPr>
            <w:r w:rsidRPr="00A67277">
              <w:rPr>
                <w:rFonts w:cs="Arial"/>
                <w:lang w:val="en-US" w:eastAsia="en-US"/>
              </w:rPr>
              <w:t>Model Keuangan dan Pembiayaan Proyek</w:t>
            </w:r>
          </w:p>
        </w:tc>
      </w:tr>
      <w:tr w:rsidR="00862B0B" w:rsidRPr="00A67277" w14:paraId="4DEAC163" w14:textId="77777777" w:rsidTr="00862B0B">
        <w:tc>
          <w:tcPr>
            <w:tcW w:w="2270" w:type="pct"/>
          </w:tcPr>
          <w:p w14:paraId="14067147" w14:textId="77777777" w:rsidR="00862B0B" w:rsidRPr="00A67277" w:rsidRDefault="00862B0B" w:rsidP="00862B0B">
            <w:pPr>
              <w:pStyle w:val="Heading2"/>
              <w:keepLines w:val="0"/>
              <w:numPr>
                <w:ilvl w:val="1"/>
                <w:numId w:val="413"/>
              </w:numPr>
              <w:spacing w:before="60" w:after="60"/>
              <w:ind w:left="900" w:hanging="540"/>
              <w:outlineLvl w:val="1"/>
              <w:rPr>
                <w:rFonts w:ascii="Arial" w:hAnsi="Arial" w:cs="Arial"/>
                <w:b/>
                <w:color w:val="auto"/>
                <w:sz w:val="21"/>
                <w:szCs w:val="21"/>
              </w:rPr>
            </w:pPr>
            <w:bookmarkStart w:id="191" w:name="_Toc501177985"/>
            <w:r w:rsidRPr="00A67277">
              <w:rPr>
                <w:rFonts w:ascii="Arial" w:hAnsi="Arial" w:cs="Arial"/>
                <w:b/>
                <w:color w:val="auto"/>
                <w:sz w:val="21"/>
                <w:szCs w:val="21"/>
              </w:rPr>
              <w:t>Financial Model</w:t>
            </w:r>
            <w:bookmarkEnd w:id="191"/>
          </w:p>
        </w:tc>
        <w:tc>
          <w:tcPr>
            <w:tcW w:w="169" w:type="pct"/>
          </w:tcPr>
          <w:p w14:paraId="56345B20" w14:textId="77777777" w:rsidR="00862B0B" w:rsidRPr="00A67277" w:rsidRDefault="00862B0B" w:rsidP="00862B0B">
            <w:pPr>
              <w:spacing w:before="60" w:after="60"/>
              <w:rPr>
                <w:rFonts w:ascii="Arial" w:hAnsi="Arial" w:cs="Arial"/>
                <w:sz w:val="21"/>
                <w:szCs w:val="21"/>
              </w:rPr>
            </w:pPr>
          </w:p>
        </w:tc>
        <w:tc>
          <w:tcPr>
            <w:tcW w:w="2561" w:type="pct"/>
            <w:gridSpan w:val="2"/>
          </w:tcPr>
          <w:p w14:paraId="3198CC84" w14:textId="77777777" w:rsidR="00862B0B" w:rsidRPr="00A67277" w:rsidRDefault="00862B0B" w:rsidP="00862B0B">
            <w:pPr>
              <w:pStyle w:val="Level2"/>
              <w:numPr>
                <w:ilvl w:val="1"/>
                <w:numId w:val="333"/>
              </w:numPr>
              <w:spacing w:before="60" w:after="60"/>
              <w:ind w:left="972" w:hanging="612"/>
              <w:rPr>
                <w:rFonts w:cs="Arial"/>
                <w:b/>
                <w:lang w:val="en-US"/>
              </w:rPr>
            </w:pPr>
            <w:r w:rsidRPr="00A67277">
              <w:rPr>
                <w:rFonts w:cs="Arial"/>
                <w:b/>
              </w:rPr>
              <w:t>Model Keuangan</w:t>
            </w:r>
          </w:p>
        </w:tc>
      </w:tr>
      <w:tr w:rsidR="00862B0B" w:rsidRPr="00A67277" w14:paraId="145E5025" w14:textId="77777777" w:rsidTr="00862B0B">
        <w:tc>
          <w:tcPr>
            <w:tcW w:w="2270" w:type="pct"/>
          </w:tcPr>
          <w:p w14:paraId="4209E036" w14:textId="2102B873" w:rsidR="00862B0B" w:rsidRPr="00C4716D" w:rsidRDefault="00C4716D" w:rsidP="00C4716D">
            <w:pPr>
              <w:pStyle w:val="Level3"/>
              <w:spacing w:before="60" w:after="60"/>
              <w:ind w:left="851"/>
              <w:rPr>
                <w:rFonts w:cs="Arial"/>
              </w:rPr>
            </w:pPr>
            <w:bookmarkStart w:id="192" w:name="_Toc501177986"/>
            <w:r w:rsidRPr="00C4716D">
              <w:rPr>
                <w:rFonts w:cs="Arial"/>
              </w:rPr>
              <w:t>Subjec to the provisions in Appendix 16 (</w:t>
            </w:r>
            <w:r w:rsidRPr="00C4716D">
              <w:rPr>
                <w:rFonts w:cs="Arial"/>
                <w:i/>
              </w:rPr>
              <w:t>Financial Model</w:t>
            </w:r>
            <w:r w:rsidRPr="00C4716D">
              <w:rPr>
                <w:rFonts w:cs="Arial"/>
              </w:rPr>
              <w:t>),</w:t>
            </w:r>
            <w:r w:rsidR="00862B0B" w:rsidRPr="00C4716D">
              <w:rPr>
                <w:rFonts w:cs="Arial"/>
              </w:rPr>
              <w:t>at all times during the Term, the IBE shall not agree to, or make, any amendments, modifications or supplements to, or consent to any changes to the Financial Model as attachment to this Agreement as Appendix 16 (</w:t>
            </w:r>
            <w:r w:rsidR="00862B0B" w:rsidRPr="00C4716D">
              <w:rPr>
                <w:rFonts w:cs="Arial"/>
                <w:i/>
              </w:rPr>
              <w:t>Financial Model</w:t>
            </w:r>
            <w:r w:rsidR="00862B0B" w:rsidRPr="00C4716D">
              <w:rPr>
                <w:rFonts w:cs="Arial"/>
              </w:rPr>
              <w:t>) without the prior written consent of GCA (which consent shall not be unreasonably withheld).</w:t>
            </w:r>
            <w:bookmarkEnd w:id="192"/>
          </w:p>
        </w:tc>
        <w:tc>
          <w:tcPr>
            <w:tcW w:w="169" w:type="pct"/>
          </w:tcPr>
          <w:p w14:paraId="0FEB4B04" w14:textId="77777777" w:rsidR="00862B0B" w:rsidRPr="00C4716D" w:rsidRDefault="00862B0B" w:rsidP="00862B0B">
            <w:pPr>
              <w:spacing w:before="60" w:after="60"/>
              <w:rPr>
                <w:rFonts w:ascii="Arial" w:hAnsi="Arial" w:cs="Arial"/>
                <w:sz w:val="21"/>
                <w:szCs w:val="21"/>
              </w:rPr>
            </w:pPr>
          </w:p>
        </w:tc>
        <w:tc>
          <w:tcPr>
            <w:tcW w:w="2561" w:type="pct"/>
            <w:gridSpan w:val="2"/>
          </w:tcPr>
          <w:p w14:paraId="50A9924C" w14:textId="2E282DB2" w:rsidR="00862B0B" w:rsidRPr="00C4716D" w:rsidRDefault="00C4716D" w:rsidP="00C4716D">
            <w:pPr>
              <w:pStyle w:val="Level3"/>
              <w:spacing w:before="60" w:after="60"/>
              <w:ind w:left="1008"/>
              <w:rPr>
                <w:rFonts w:cs="Arial"/>
              </w:rPr>
            </w:pPr>
            <w:r w:rsidRPr="00C4716D">
              <w:rPr>
                <w:rFonts w:cs="Arial"/>
              </w:rPr>
              <w:t>Tunduk pada ketentuan pada Lampiran 16 (</w:t>
            </w:r>
            <w:r w:rsidRPr="00C4716D">
              <w:rPr>
                <w:rFonts w:cs="Arial"/>
                <w:i/>
              </w:rPr>
              <w:t>Model Keuangan</w:t>
            </w:r>
            <w:r w:rsidRPr="00C4716D">
              <w:rPr>
                <w:rFonts w:cs="Arial"/>
              </w:rPr>
              <w:t xml:space="preserve">), </w:t>
            </w:r>
            <w:r w:rsidR="00862B0B" w:rsidRPr="00C4716D">
              <w:rPr>
                <w:rFonts w:cs="Arial"/>
              </w:rPr>
              <w:t>setiap saat selama Jangka Waktu, BUP tidak diperkenankan menyepakati atau membuat, setiap perubahan, modifikasi atau penambahan, atau memberikan persetujuan untuk setiap perubahan pada Model Keuangan sebagaimana terlampir pada Perjanjian ini sebagai Lampiran 16 (Model Keuangan) tanpa persetujuan tertulis dari PJPK (persetujuan mana tidak boleh ditahan secara tidak wajar).</w:t>
            </w:r>
          </w:p>
        </w:tc>
      </w:tr>
      <w:tr w:rsidR="00862B0B" w:rsidRPr="00A67277" w14:paraId="20CD8AEE" w14:textId="77777777" w:rsidTr="00862B0B">
        <w:tc>
          <w:tcPr>
            <w:tcW w:w="2270" w:type="pct"/>
          </w:tcPr>
          <w:p w14:paraId="01354974" w14:textId="0156C5EF" w:rsidR="00862B0B" w:rsidRPr="00A67277" w:rsidRDefault="00862B0B" w:rsidP="00862B0B">
            <w:pPr>
              <w:pStyle w:val="Heading2"/>
              <w:keepLines w:val="0"/>
              <w:numPr>
                <w:ilvl w:val="1"/>
                <w:numId w:val="413"/>
              </w:numPr>
              <w:spacing w:before="60" w:after="60"/>
              <w:ind w:hanging="540"/>
              <w:outlineLvl w:val="1"/>
              <w:rPr>
                <w:rFonts w:ascii="Arial" w:hAnsi="Arial" w:cs="Arial"/>
                <w:b/>
                <w:color w:val="auto"/>
                <w:sz w:val="21"/>
                <w:szCs w:val="21"/>
              </w:rPr>
            </w:pPr>
            <w:bookmarkStart w:id="193" w:name="_Toc501177988"/>
            <w:bookmarkEnd w:id="190"/>
            <w:r w:rsidRPr="00A67277">
              <w:rPr>
                <w:rFonts w:ascii="Arial" w:hAnsi="Arial" w:cs="Arial"/>
                <w:b/>
                <w:color w:val="auto"/>
                <w:sz w:val="21"/>
                <w:szCs w:val="21"/>
              </w:rPr>
              <w:t>Project Financing</w:t>
            </w:r>
            <w:bookmarkEnd w:id="193"/>
          </w:p>
        </w:tc>
        <w:tc>
          <w:tcPr>
            <w:tcW w:w="169" w:type="pct"/>
          </w:tcPr>
          <w:p w14:paraId="744F887B" w14:textId="77777777" w:rsidR="00862B0B" w:rsidRPr="00A67277" w:rsidRDefault="00862B0B" w:rsidP="00862B0B">
            <w:pPr>
              <w:spacing w:before="60" w:after="60"/>
              <w:rPr>
                <w:rFonts w:ascii="Arial" w:hAnsi="Arial" w:cs="Arial"/>
                <w:sz w:val="21"/>
                <w:szCs w:val="21"/>
              </w:rPr>
            </w:pPr>
          </w:p>
        </w:tc>
        <w:tc>
          <w:tcPr>
            <w:tcW w:w="2561" w:type="pct"/>
            <w:gridSpan w:val="2"/>
          </w:tcPr>
          <w:p w14:paraId="2A33D05F" w14:textId="77777777" w:rsidR="00862B0B" w:rsidRPr="00A67277" w:rsidRDefault="00862B0B" w:rsidP="00862B0B">
            <w:pPr>
              <w:pStyle w:val="Level2"/>
              <w:numPr>
                <w:ilvl w:val="1"/>
                <w:numId w:val="333"/>
              </w:numPr>
              <w:spacing w:before="60" w:after="60"/>
              <w:ind w:left="946" w:hanging="493"/>
              <w:rPr>
                <w:rFonts w:cs="Arial"/>
                <w:b/>
              </w:rPr>
            </w:pPr>
            <w:r w:rsidRPr="00A67277">
              <w:rPr>
                <w:rFonts w:cs="Arial"/>
                <w:b/>
              </w:rPr>
              <w:t>Pembiayaan Proyek</w:t>
            </w:r>
          </w:p>
        </w:tc>
      </w:tr>
      <w:tr w:rsidR="00862B0B" w:rsidRPr="00A67277" w14:paraId="14736B20" w14:textId="77777777" w:rsidTr="00862B0B">
        <w:tc>
          <w:tcPr>
            <w:tcW w:w="2270" w:type="pct"/>
          </w:tcPr>
          <w:p w14:paraId="08578BB4" w14:textId="1D7782E6" w:rsidR="00862B0B" w:rsidRPr="00A67277" w:rsidRDefault="00862B0B" w:rsidP="00862B0B">
            <w:pPr>
              <w:pStyle w:val="Level3"/>
              <w:numPr>
                <w:ilvl w:val="2"/>
                <w:numId w:val="334"/>
              </w:numPr>
              <w:tabs>
                <w:tab w:val="clear" w:pos="1417"/>
              </w:tabs>
              <w:spacing w:before="60" w:after="60"/>
              <w:ind w:left="1260" w:hanging="540"/>
              <w:rPr>
                <w:rFonts w:cs="Arial"/>
              </w:rPr>
            </w:pPr>
            <w:bookmarkStart w:id="194" w:name="_Toc501177989"/>
            <w:r w:rsidRPr="00A67277">
              <w:rPr>
                <w:rFonts w:cs="Arial"/>
              </w:rPr>
              <w:t>Subject to paragraphs (b), (c) and (d) below, Clause 4.4 (</w:t>
            </w:r>
            <w:r w:rsidRPr="00A67277">
              <w:rPr>
                <w:rFonts w:cs="Arial"/>
                <w:i/>
              </w:rPr>
              <w:t>Project Agreements</w:t>
            </w:r>
            <w:r w:rsidRPr="00A67277">
              <w:rPr>
                <w:rFonts w:cs="Arial"/>
              </w:rPr>
              <w:t>) and Clause 6.4 (</w:t>
            </w:r>
            <w:r w:rsidRPr="00A67277">
              <w:rPr>
                <w:rFonts w:cs="Arial"/>
                <w:i/>
              </w:rPr>
              <w:t>Refinancing</w:t>
            </w:r>
            <w:r w:rsidRPr="00A67277">
              <w:rPr>
                <w:rFonts w:cs="Arial"/>
              </w:rPr>
              <w:t>), the IBE may enter into any Financing Document as it deems necessary.</w:t>
            </w:r>
            <w:bookmarkEnd w:id="194"/>
          </w:p>
        </w:tc>
        <w:tc>
          <w:tcPr>
            <w:tcW w:w="169" w:type="pct"/>
          </w:tcPr>
          <w:p w14:paraId="2197378F" w14:textId="77777777" w:rsidR="00862B0B" w:rsidRPr="00A67277" w:rsidRDefault="00862B0B" w:rsidP="00862B0B">
            <w:pPr>
              <w:spacing w:before="60" w:after="60"/>
              <w:rPr>
                <w:rFonts w:ascii="Arial" w:hAnsi="Arial" w:cs="Arial"/>
                <w:sz w:val="21"/>
                <w:szCs w:val="21"/>
              </w:rPr>
            </w:pPr>
          </w:p>
        </w:tc>
        <w:tc>
          <w:tcPr>
            <w:tcW w:w="2561" w:type="pct"/>
            <w:gridSpan w:val="2"/>
          </w:tcPr>
          <w:p w14:paraId="413B2125" w14:textId="77777777" w:rsidR="00862B0B" w:rsidRPr="00A67277" w:rsidRDefault="00862B0B" w:rsidP="00862B0B">
            <w:pPr>
              <w:pStyle w:val="Level3"/>
              <w:numPr>
                <w:ilvl w:val="2"/>
                <w:numId w:val="335"/>
              </w:numPr>
              <w:tabs>
                <w:tab w:val="clear" w:pos="1417"/>
                <w:tab w:val="num" w:pos="1486"/>
              </w:tabs>
              <w:spacing w:before="60" w:after="60"/>
              <w:ind w:left="1486" w:hanging="540"/>
              <w:rPr>
                <w:rFonts w:cs="Arial"/>
              </w:rPr>
            </w:pPr>
            <w:r w:rsidRPr="00A67277">
              <w:rPr>
                <w:rFonts w:cs="Arial"/>
              </w:rPr>
              <w:t>Tunduk pada paragraf (b), (c) dan (d) di bawah, Pasal 4.4 (</w:t>
            </w:r>
            <w:r w:rsidRPr="00A67277">
              <w:rPr>
                <w:rFonts w:cs="Arial"/>
                <w:i/>
              </w:rPr>
              <w:t>Perjanjian Proyek</w:t>
            </w:r>
            <w:r w:rsidRPr="00A67277">
              <w:rPr>
                <w:rFonts w:cs="Arial"/>
              </w:rPr>
              <w:t>) dan Pasal 6.4 (</w:t>
            </w:r>
            <w:r w:rsidRPr="00A67277">
              <w:rPr>
                <w:rFonts w:cs="Arial"/>
                <w:i/>
              </w:rPr>
              <w:t>Pembiayaan Ulang</w:t>
            </w:r>
            <w:r w:rsidRPr="00A67277">
              <w:rPr>
                <w:rFonts w:cs="Arial"/>
              </w:rPr>
              <w:t>), BUP dapat menandatangani seluruh Dokumen Pembiayaan sebagaimana dianggap perlu.</w:t>
            </w:r>
          </w:p>
        </w:tc>
      </w:tr>
      <w:tr w:rsidR="00862B0B" w:rsidRPr="00A67277" w14:paraId="7A35C904" w14:textId="77777777" w:rsidTr="00862B0B">
        <w:tc>
          <w:tcPr>
            <w:tcW w:w="2270" w:type="pct"/>
          </w:tcPr>
          <w:p w14:paraId="2AE16692" w14:textId="6E9BF6C1" w:rsidR="00862B0B" w:rsidRPr="00A67277" w:rsidRDefault="00862B0B" w:rsidP="00862B0B">
            <w:pPr>
              <w:pStyle w:val="Level3"/>
              <w:numPr>
                <w:ilvl w:val="2"/>
                <w:numId w:val="334"/>
              </w:numPr>
              <w:tabs>
                <w:tab w:val="clear" w:pos="1417"/>
              </w:tabs>
              <w:spacing w:before="60" w:after="60"/>
              <w:ind w:left="1260" w:hanging="540"/>
              <w:rPr>
                <w:rFonts w:cs="Arial"/>
              </w:rPr>
            </w:pPr>
            <w:bookmarkStart w:id="195" w:name="_Toc501177990"/>
            <w:r w:rsidRPr="00A67277">
              <w:rPr>
                <w:rFonts w:cs="Arial"/>
              </w:rPr>
              <w:t>The IBE shall arrange the financing (including the debt and Equity financing) required for the implementation of the Project.</w:t>
            </w:r>
            <w:bookmarkEnd w:id="195"/>
          </w:p>
        </w:tc>
        <w:tc>
          <w:tcPr>
            <w:tcW w:w="169" w:type="pct"/>
          </w:tcPr>
          <w:p w14:paraId="2428AE81" w14:textId="77777777" w:rsidR="00862B0B" w:rsidRPr="00A67277" w:rsidRDefault="00862B0B" w:rsidP="00862B0B">
            <w:pPr>
              <w:spacing w:before="60" w:after="60"/>
              <w:rPr>
                <w:rFonts w:ascii="Arial" w:hAnsi="Arial" w:cs="Arial"/>
                <w:sz w:val="21"/>
                <w:szCs w:val="21"/>
              </w:rPr>
            </w:pPr>
          </w:p>
        </w:tc>
        <w:tc>
          <w:tcPr>
            <w:tcW w:w="2561" w:type="pct"/>
            <w:gridSpan w:val="2"/>
          </w:tcPr>
          <w:p w14:paraId="47BB5EEF" w14:textId="77777777" w:rsidR="00862B0B" w:rsidRPr="00A67277" w:rsidRDefault="00862B0B" w:rsidP="00862B0B">
            <w:pPr>
              <w:pStyle w:val="Level3"/>
              <w:numPr>
                <w:ilvl w:val="2"/>
                <w:numId w:val="336"/>
              </w:numPr>
              <w:tabs>
                <w:tab w:val="clear" w:pos="1417"/>
                <w:tab w:val="num" w:pos="1491"/>
              </w:tabs>
              <w:spacing w:before="60" w:after="60"/>
              <w:ind w:left="1491" w:hanging="540"/>
              <w:rPr>
                <w:rFonts w:cs="Arial"/>
              </w:rPr>
            </w:pPr>
            <w:r w:rsidRPr="00A67277">
              <w:rPr>
                <w:rFonts w:cs="Arial"/>
              </w:rPr>
              <w:t>BUP harus mengatur pembiayaan (termasuk pembiayaan utang dan Ekuitas) yang diperlukan untuk pelaksanaan Proyek.</w:t>
            </w:r>
          </w:p>
        </w:tc>
      </w:tr>
      <w:tr w:rsidR="00862B0B" w:rsidRPr="00A67277" w14:paraId="197EBBD3" w14:textId="77777777" w:rsidTr="00862B0B">
        <w:tc>
          <w:tcPr>
            <w:tcW w:w="2270" w:type="pct"/>
          </w:tcPr>
          <w:p w14:paraId="7C6DA89E" w14:textId="1D669E27" w:rsidR="00862B0B" w:rsidRPr="00A67277" w:rsidRDefault="00862B0B" w:rsidP="00862B0B">
            <w:pPr>
              <w:pStyle w:val="Level3"/>
              <w:numPr>
                <w:ilvl w:val="2"/>
                <w:numId w:val="334"/>
              </w:numPr>
              <w:tabs>
                <w:tab w:val="clear" w:pos="1417"/>
              </w:tabs>
              <w:spacing w:before="60" w:after="60"/>
              <w:ind w:left="1260" w:hanging="540"/>
              <w:rPr>
                <w:rFonts w:cs="Arial"/>
              </w:rPr>
            </w:pPr>
            <w:bookmarkStart w:id="196" w:name="_Toc501177991"/>
            <w:r w:rsidRPr="00A67277">
              <w:rPr>
                <w:rFonts w:cs="Arial"/>
              </w:rPr>
              <w:t xml:space="preserve">The IBE is free to assume any level of debt to equity ratio, to the extent such ratio is acceptable by the Financing Party, and provided that any Senior Debt </w:t>
            </w:r>
            <w:r>
              <w:rPr>
                <w:rFonts w:cs="Arial"/>
              </w:rPr>
              <w:t xml:space="preserve">in </w:t>
            </w:r>
            <w:r w:rsidRPr="00A67277">
              <w:rPr>
                <w:rFonts w:cs="Arial"/>
              </w:rPr>
              <w:t>exce</w:t>
            </w:r>
            <w:r>
              <w:rPr>
                <w:rFonts w:cs="Arial"/>
              </w:rPr>
              <w:t xml:space="preserve">ss of </w:t>
            </w:r>
            <w:r w:rsidRPr="00A67277">
              <w:rPr>
                <w:rFonts w:cs="Arial"/>
              </w:rPr>
              <w:t>[seventy] per cent ([70]%) of the total project cost shall be excluded from the calculation of Senior Debt Component (as defined in Appendix 14 (</w:t>
            </w:r>
            <w:r w:rsidRPr="00A67277">
              <w:rPr>
                <w:rFonts w:cs="Arial"/>
                <w:i/>
              </w:rPr>
              <w:t>Termination Payment</w:t>
            </w:r>
            <w:r w:rsidRPr="00A67277">
              <w:rPr>
                <w:rFonts w:cs="Arial"/>
              </w:rPr>
              <w:t>)) for the purpose of calculation of Termination Cost.</w:t>
            </w:r>
            <w:bookmarkEnd w:id="196"/>
          </w:p>
          <w:p w14:paraId="15EAB381" w14:textId="77777777" w:rsidR="00862B0B" w:rsidRPr="00A67277" w:rsidRDefault="00862B0B" w:rsidP="00862B0B">
            <w:pPr>
              <w:spacing w:before="60" w:after="60"/>
              <w:rPr>
                <w:rFonts w:ascii="Arial" w:hAnsi="Arial" w:cs="Arial"/>
                <w:sz w:val="21"/>
                <w:szCs w:val="21"/>
              </w:rPr>
            </w:pPr>
          </w:p>
        </w:tc>
        <w:tc>
          <w:tcPr>
            <w:tcW w:w="169" w:type="pct"/>
          </w:tcPr>
          <w:p w14:paraId="67F52A50" w14:textId="77777777" w:rsidR="00862B0B" w:rsidRPr="00A67277" w:rsidRDefault="00862B0B" w:rsidP="00862B0B">
            <w:pPr>
              <w:spacing w:before="60" w:after="60"/>
              <w:rPr>
                <w:rFonts w:ascii="Arial" w:hAnsi="Arial" w:cs="Arial"/>
                <w:sz w:val="21"/>
                <w:szCs w:val="21"/>
              </w:rPr>
            </w:pPr>
          </w:p>
        </w:tc>
        <w:tc>
          <w:tcPr>
            <w:tcW w:w="2561" w:type="pct"/>
            <w:gridSpan w:val="2"/>
          </w:tcPr>
          <w:p w14:paraId="43651FB8" w14:textId="7DF43593" w:rsidR="00862B0B" w:rsidRPr="00A67277" w:rsidRDefault="00862B0B" w:rsidP="00862B0B">
            <w:pPr>
              <w:pStyle w:val="Level3"/>
              <w:numPr>
                <w:ilvl w:val="2"/>
                <w:numId w:val="337"/>
              </w:numPr>
              <w:tabs>
                <w:tab w:val="clear" w:pos="1417"/>
              </w:tabs>
              <w:spacing w:before="60" w:after="60"/>
              <w:ind w:left="1491" w:hanging="540"/>
              <w:rPr>
                <w:rFonts w:cs="Arial"/>
              </w:rPr>
            </w:pPr>
            <w:r w:rsidRPr="00A67277">
              <w:rPr>
                <w:rFonts w:cs="Arial"/>
              </w:rPr>
              <w:t>BUP dapat mengasumsikan seluruh tingkatan rasio hutang terhadap ekuitas, sejauh rasio tersebut dapat diterima oleh Pihak Pembiaya, dan dengan ketentuan bahwa Hutang Senior yang melebihi [tujuh puluh] persen ([70%]%) dari total Biaya Proyek dikecualikan dari perhitungan Komponen Hutang Senior (sebagaimana didefinisikan dalam Lampiran 14 (</w:t>
            </w:r>
            <w:r w:rsidRPr="00A67277">
              <w:rPr>
                <w:rFonts w:cs="Arial"/>
                <w:i/>
              </w:rPr>
              <w:t>Pembayaran Pengakhiran</w:t>
            </w:r>
            <w:r w:rsidRPr="00A67277">
              <w:rPr>
                <w:rFonts w:cs="Arial"/>
              </w:rPr>
              <w:t>) untuk keperluan perhitungan Biaya Pengakhiran.</w:t>
            </w:r>
          </w:p>
        </w:tc>
      </w:tr>
      <w:tr w:rsidR="00862B0B" w:rsidRPr="00A67277" w14:paraId="50996F58" w14:textId="77777777" w:rsidTr="00862B0B">
        <w:tc>
          <w:tcPr>
            <w:tcW w:w="2270" w:type="pct"/>
          </w:tcPr>
          <w:p w14:paraId="2DF8494C" w14:textId="3A120773" w:rsidR="00862B0B" w:rsidRPr="00A67277" w:rsidRDefault="00862B0B" w:rsidP="00862B0B">
            <w:pPr>
              <w:pStyle w:val="Level3"/>
              <w:numPr>
                <w:ilvl w:val="2"/>
                <w:numId w:val="334"/>
              </w:numPr>
              <w:tabs>
                <w:tab w:val="clear" w:pos="1417"/>
              </w:tabs>
              <w:spacing w:before="60" w:after="60"/>
              <w:ind w:left="1260" w:hanging="540"/>
              <w:rPr>
                <w:rFonts w:cs="Arial"/>
              </w:rPr>
            </w:pPr>
            <w:bookmarkStart w:id="197" w:name="_Toc501177992"/>
            <w:r w:rsidRPr="00A67277">
              <w:rPr>
                <w:rFonts w:cs="Arial"/>
              </w:rPr>
              <w:t>The IBE shall use all reasonable endeavours to obtain the most favourable available terms for any potential financing (including Refinancing).</w:t>
            </w:r>
            <w:bookmarkEnd w:id="197"/>
          </w:p>
        </w:tc>
        <w:tc>
          <w:tcPr>
            <w:tcW w:w="169" w:type="pct"/>
          </w:tcPr>
          <w:p w14:paraId="2920B291" w14:textId="77777777" w:rsidR="00862B0B" w:rsidRPr="00A67277" w:rsidRDefault="00862B0B" w:rsidP="00862B0B">
            <w:pPr>
              <w:spacing w:before="60" w:after="60"/>
              <w:rPr>
                <w:rFonts w:ascii="Arial" w:hAnsi="Arial" w:cs="Arial"/>
                <w:sz w:val="21"/>
                <w:szCs w:val="21"/>
              </w:rPr>
            </w:pPr>
          </w:p>
        </w:tc>
        <w:tc>
          <w:tcPr>
            <w:tcW w:w="2561" w:type="pct"/>
            <w:gridSpan w:val="2"/>
          </w:tcPr>
          <w:p w14:paraId="666F22DD" w14:textId="77777777" w:rsidR="00862B0B" w:rsidRPr="00A67277" w:rsidRDefault="00862B0B" w:rsidP="00862B0B">
            <w:pPr>
              <w:pStyle w:val="Level3"/>
              <w:numPr>
                <w:ilvl w:val="2"/>
                <w:numId w:val="338"/>
              </w:numPr>
              <w:tabs>
                <w:tab w:val="clear" w:pos="1417"/>
                <w:tab w:val="num" w:pos="1491"/>
              </w:tabs>
              <w:spacing w:before="60" w:after="60"/>
              <w:ind w:left="1491" w:hanging="540"/>
              <w:rPr>
                <w:rFonts w:cs="Arial"/>
              </w:rPr>
            </w:pPr>
            <w:r w:rsidRPr="00A67277">
              <w:rPr>
                <w:rFonts w:cs="Arial"/>
              </w:rPr>
              <w:t>BUP harus menggunakan semua upaya yang wajar untuk mendapatkan ketentuan-ketentuan yang menguntungkan baginya untuk pembiayaan potensial (termasuk Pembiayaan Ulang).</w:t>
            </w:r>
          </w:p>
        </w:tc>
      </w:tr>
      <w:tr w:rsidR="00862B0B" w:rsidRPr="00A67277" w14:paraId="0A9354BC" w14:textId="77777777" w:rsidTr="00862B0B">
        <w:tc>
          <w:tcPr>
            <w:tcW w:w="2270" w:type="pct"/>
          </w:tcPr>
          <w:p w14:paraId="295174DD" w14:textId="49146887" w:rsidR="00862B0B" w:rsidRPr="00A67277" w:rsidRDefault="00862B0B" w:rsidP="00862B0B">
            <w:pPr>
              <w:pStyle w:val="Heading2"/>
              <w:keepLines w:val="0"/>
              <w:numPr>
                <w:ilvl w:val="1"/>
                <w:numId w:val="413"/>
              </w:numPr>
              <w:spacing w:before="60" w:after="60"/>
              <w:ind w:hanging="532"/>
              <w:outlineLvl w:val="1"/>
              <w:rPr>
                <w:rFonts w:ascii="Arial" w:hAnsi="Arial" w:cs="Arial"/>
                <w:b/>
                <w:color w:val="auto"/>
                <w:sz w:val="21"/>
                <w:szCs w:val="21"/>
              </w:rPr>
            </w:pPr>
            <w:bookmarkStart w:id="198" w:name="_Toc501177993"/>
            <w:r w:rsidRPr="00A67277">
              <w:rPr>
                <w:rFonts w:ascii="Arial" w:hAnsi="Arial" w:cs="Arial"/>
                <w:b/>
                <w:color w:val="auto"/>
                <w:sz w:val="21"/>
                <w:szCs w:val="21"/>
              </w:rPr>
              <w:t>No Fiscal Support</w:t>
            </w:r>
            <w:bookmarkEnd w:id="198"/>
          </w:p>
        </w:tc>
        <w:tc>
          <w:tcPr>
            <w:tcW w:w="169" w:type="pct"/>
          </w:tcPr>
          <w:p w14:paraId="34FCF95C" w14:textId="77777777" w:rsidR="00862B0B" w:rsidRPr="00A67277" w:rsidRDefault="00862B0B" w:rsidP="00862B0B">
            <w:pPr>
              <w:spacing w:before="60" w:after="60"/>
              <w:rPr>
                <w:rFonts w:ascii="Arial" w:hAnsi="Arial" w:cs="Arial"/>
                <w:sz w:val="21"/>
                <w:szCs w:val="21"/>
              </w:rPr>
            </w:pPr>
          </w:p>
        </w:tc>
        <w:tc>
          <w:tcPr>
            <w:tcW w:w="2561" w:type="pct"/>
            <w:gridSpan w:val="2"/>
          </w:tcPr>
          <w:p w14:paraId="67F7054D" w14:textId="77777777" w:rsidR="00862B0B" w:rsidRPr="00A67277" w:rsidRDefault="00862B0B" w:rsidP="00862B0B">
            <w:pPr>
              <w:pStyle w:val="Level2"/>
              <w:numPr>
                <w:ilvl w:val="1"/>
                <w:numId w:val="333"/>
              </w:numPr>
              <w:spacing w:before="60" w:after="60"/>
              <w:ind w:left="951" w:hanging="540"/>
              <w:rPr>
                <w:rFonts w:cs="Arial"/>
                <w:b/>
              </w:rPr>
            </w:pPr>
            <w:r w:rsidRPr="00A67277">
              <w:rPr>
                <w:rFonts w:cs="Arial"/>
                <w:b/>
              </w:rPr>
              <w:t>Tidak Ada Dukungan Fiskal</w:t>
            </w:r>
          </w:p>
        </w:tc>
      </w:tr>
      <w:tr w:rsidR="00862B0B" w:rsidRPr="00A67277" w14:paraId="06687FB5" w14:textId="77777777" w:rsidTr="00862B0B">
        <w:tc>
          <w:tcPr>
            <w:tcW w:w="2270" w:type="pct"/>
          </w:tcPr>
          <w:p w14:paraId="51266A24" w14:textId="53BF63F3" w:rsidR="00862B0B" w:rsidRPr="00A67277" w:rsidRDefault="00862B0B" w:rsidP="00862B0B">
            <w:pPr>
              <w:pStyle w:val="Level3"/>
              <w:spacing w:before="60" w:after="60"/>
              <w:ind w:left="720"/>
              <w:rPr>
                <w:rFonts w:cs="Arial"/>
              </w:rPr>
            </w:pPr>
            <w:bookmarkStart w:id="199" w:name="_Toc501177994"/>
            <w:r w:rsidRPr="00A67277">
              <w:rPr>
                <w:rFonts w:cs="Arial"/>
              </w:rPr>
              <w:t>The Parties acknowledge that this Project will not receive support from the Government of Indonesia in the form of fiscal contributions in financial form.</w:t>
            </w:r>
            <w:bookmarkEnd w:id="199"/>
          </w:p>
        </w:tc>
        <w:tc>
          <w:tcPr>
            <w:tcW w:w="169" w:type="pct"/>
          </w:tcPr>
          <w:p w14:paraId="49C2C99C" w14:textId="77777777" w:rsidR="00862B0B" w:rsidRPr="00A67277" w:rsidRDefault="00862B0B" w:rsidP="00862B0B">
            <w:pPr>
              <w:spacing w:before="60" w:after="60"/>
              <w:rPr>
                <w:rFonts w:ascii="Arial" w:hAnsi="Arial" w:cs="Arial"/>
                <w:sz w:val="21"/>
                <w:szCs w:val="21"/>
              </w:rPr>
            </w:pPr>
          </w:p>
        </w:tc>
        <w:tc>
          <w:tcPr>
            <w:tcW w:w="2561" w:type="pct"/>
            <w:gridSpan w:val="2"/>
          </w:tcPr>
          <w:p w14:paraId="50BD3A0A" w14:textId="72456203" w:rsidR="00862B0B" w:rsidRPr="00A67277" w:rsidRDefault="00862B0B" w:rsidP="00862B0B">
            <w:pPr>
              <w:pStyle w:val="Level3"/>
              <w:spacing w:before="60" w:after="60"/>
              <w:ind w:left="1024"/>
              <w:rPr>
                <w:rFonts w:cs="Arial"/>
              </w:rPr>
            </w:pPr>
            <w:r w:rsidRPr="00A67277">
              <w:rPr>
                <w:rFonts w:cs="Arial"/>
              </w:rPr>
              <w:t>Para Pihak mengakui bahwa Proyek ini tidak akan menerima dukungan dari Pemerintah Indonesia berupa kontribusi fiskal dalam bentuk finansial.</w:t>
            </w:r>
          </w:p>
        </w:tc>
      </w:tr>
      <w:tr w:rsidR="00862B0B" w:rsidRPr="00A67277" w14:paraId="6017C0FB" w14:textId="77777777" w:rsidTr="00862B0B">
        <w:tc>
          <w:tcPr>
            <w:tcW w:w="2270" w:type="pct"/>
          </w:tcPr>
          <w:p w14:paraId="71F7EFB5" w14:textId="1D9BE3AE" w:rsidR="00862B0B" w:rsidRPr="00A67277" w:rsidRDefault="00862B0B" w:rsidP="00862B0B">
            <w:pPr>
              <w:pStyle w:val="Heading2"/>
              <w:keepLines w:val="0"/>
              <w:numPr>
                <w:ilvl w:val="1"/>
                <w:numId w:val="413"/>
              </w:numPr>
              <w:spacing w:before="60" w:after="60"/>
              <w:ind w:hanging="532"/>
              <w:outlineLvl w:val="1"/>
              <w:rPr>
                <w:rFonts w:ascii="Arial" w:hAnsi="Arial" w:cs="Arial"/>
                <w:b/>
                <w:color w:val="auto"/>
                <w:sz w:val="21"/>
                <w:szCs w:val="21"/>
              </w:rPr>
            </w:pPr>
            <w:bookmarkStart w:id="200" w:name="_Toc501177997"/>
            <w:r w:rsidRPr="00A67277">
              <w:rPr>
                <w:rFonts w:ascii="Arial" w:hAnsi="Arial" w:cs="Arial"/>
                <w:b/>
                <w:color w:val="auto"/>
                <w:sz w:val="21"/>
                <w:szCs w:val="21"/>
              </w:rPr>
              <w:t>Refinancing</w:t>
            </w:r>
            <w:bookmarkEnd w:id="200"/>
          </w:p>
        </w:tc>
        <w:tc>
          <w:tcPr>
            <w:tcW w:w="169" w:type="pct"/>
          </w:tcPr>
          <w:p w14:paraId="4FB3F25B" w14:textId="77777777" w:rsidR="00862B0B" w:rsidRPr="00A67277" w:rsidRDefault="00862B0B" w:rsidP="00862B0B">
            <w:pPr>
              <w:spacing w:before="60" w:after="60"/>
              <w:rPr>
                <w:rFonts w:ascii="Arial" w:hAnsi="Arial" w:cs="Arial"/>
                <w:sz w:val="21"/>
                <w:szCs w:val="21"/>
              </w:rPr>
            </w:pPr>
          </w:p>
        </w:tc>
        <w:tc>
          <w:tcPr>
            <w:tcW w:w="2561" w:type="pct"/>
            <w:gridSpan w:val="2"/>
          </w:tcPr>
          <w:p w14:paraId="456573C9" w14:textId="77777777" w:rsidR="00862B0B" w:rsidRPr="00A67277" w:rsidRDefault="00862B0B" w:rsidP="00862B0B">
            <w:pPr>
              <w:pStyle w:val="Level2"/>
              <w:numPr>
                <w:ilvl w:val="1"/>
                <w:numId w:val="333"/>
              </w:numPr>
              <w:spacing w:before="60" w:after="60"/>
              <w:ind w:left="951" w:hanging="540"/>
              <w:rPr>
                <w:rFonts w:cs="Arial"/>
                <w:b/>
              </w:rPr>
            </w:pPr>
            <w:r w:rsidRPr="00A67277">
              <w:rPr>
                <w:rFonts w:cs="Arial"/>
                <w:b/>
              </w:rPr>
              <w:t>Pembiayaan Ulang</w:t>
            </w:r>
          </w:p>
        </w:tc>
      </w:tr>
      <w:tr w:rsidR="00862B0B" w:rsidRPr="00A67277" w14:paraId="0ED613D8" w14:textId="77777777" w:rsidTr="00862B0B">
        <w:tc>
          <w:tcPr>
            <w:tcW w:w="2270" w:type="pct"/>
          </w:tcPr>
          <w:p w14:paraId="0A534AA8" w14:textId="6DAD171D"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1" w:name="_Toc501177998"/>
            <w:r w:rsidRPr="00A67277">
              <w:rPr>
                <w:rFonts w:cs="Arial"/>
              </w:rPr>
              <w:t xml:space="preserve">The IBE shall be entitled to negotiate and enter into any Refinancing </w:t>
            </w:r>
            <w:r>
              <w:rPr>
                <w:rFonts w:cs="Arial"/>
              </w:rPr>
              <w:t xml:space="preserve">that has been </w:t>
            </w:r>
            <w:r w:rsidRPr="00A67277">
              <w:rPr>
                <w:rFonts w:cs="Arial"/>
              </w:rPr>
              <w:t>assumed within the Financial Model, with at least twenty (20) Business Days' written noti</w:t>
            </w:r>
            <w:r>
              <w:rPr>
                <w:rFonts w:cs="Arial"/>
              </w:rPr>
              <w:t xml:space="preserve">ification in advance </w:t>
            </w:r>
            <w:r w:rsidRPr="00A67277">
              <w:rPr>
                <w:rFonts w:cs="Arial"/>
              </w:rPr>
              <w:t>to GCA. The IBE shall not undertake any other Refinancing or enter into negotiations with any third party with a view to any Refinancing in respect of the Project after the Effective Date, without:</w:t>
            </w:r>
            <w:bookmarkEnd w:id="201"/>
          </w:p>
        </w:tc>
        <w:tc>
          <w:tcPr>
            <w:tcW w:w="169" w:type="pct"/>
          </w:tcPr>
          <w:p w14:paraId="3863D0F8" w14:textId="77777777" w:rsidR="00862B0B" w:rsidRPr="00A67277" w:rsidRDefault="00862B0B" w:rsidP="00862B0B">
            <w:pPr>
              <w:spacing w:before="60" w:after="60"/>
              <w:rPr>
                <w:rFonts w:ascii="Arial" w:hAnsi="Arial" w:cs="Arial"/>
                <w:sz w:val="21"/>
                <w:szCs w:val="21"/>
              </w:rPr>
            </w:pPr>
          </w:p>
        </w:tc>
        <w:tc>
          <w:tcPr>
            <w:tcW w:w="2561" w:type="pct"/>
            <w:gridSpan w:val="2"/>
          </w:tcPr>
          <w:p w14:paraId="68548DF0" w14:textId="77777777" w:rsidR="00862B0B" w:rsidRPr="00A67277" w:rsidRDefault="00862B0B" w:rsidP="00862B0B">
            <w:pPr>
              <w:pStyle w:val="Level3"/>
              <w:numPr>
                <w:ilvl w:val="2"/>
                <w:numId w:val="341"/>
              </w:numPr>
              <w:tabs>
                <w:tab w:val="clear" w:pos="1417"/>
                <w:tab w:val="num" w:pos="1491"/>
              </w:tabs>
              <w:spacing w:before="60" w:after="60"/>
              <w:ind w:left="1491" w:hanging="540"/>
              <w:rPr>
                <w:rFonts w:cs="Arial"/>
              </w:rPr>
            </w:pPr>
            <w:r w:rsidRPr="00A67277">
              <w:rPr>
                <w:rFonts w:cs="Arial"/>
              </w:rPr>
              <w:t>BUP berhak untuk melakukan negosiasi dan mengikatkan diri dalam setiap Pembiayaan Ulang yang telah diasumsikan dalam Model Keuangan, dengan pemberitahuan tertulis sekurang-kurangnya dua puluh (20) Hari Kerja sebelumnya kepada PJPK. BUP tidak dapat melakukan Pembiayaan Ulang lainnya atau melakukan negosiasi dengan pihak ketiga sehubungan dengan Pembiayaan Ulang terkait dengan Proyek setelah Tanggal Efektif, tanpa:</w:t>
            </w:r>
          </w:p>
        </w:tc>
      </w:tr>
      <w:tr w:rsidR="00862B0B" w:rsidRPr="00A67277" w14:paraId="2BC984C1" w14:textId="77777777" w:rsidTr="00862B0B">
        <w:tc>
          <w:tcPr>
            <w:tcW w:w="2270" w:type="pct"/>
          </w:tcPr>
          <w:p w14:paraId="45C40F46" w14:textId="5CE78B91" w:rsidR="00862B0B" w:rsidRPr="00A67277" w:rsidRDefault="00862B0B" w:rsidP="00862B0B">
            <w:pPr>
              <w:pStyle w:val="Level4"/>
              <w:numPr>
                <w:ilvl w:val="3"/>
                <w:numId w:val="414"/>
              </w:numPr>
              <w:tabs>
                <w:tab w:val="clear" w:pos="2126"/>
                <w:tab w:val="num" w:pos="1560"/>
              </w:tabs>
              <w:spacing w:before="60" w:after="60"/>
              <w:ind w:left="1560" w:hanging="426"/>
              <w:rPr>
                <w:rFonts w:cs="Arial"/>
              </w:rPr>
            </w:pPr>
            <w:r w:rsidRPr="00A67277">
              <w:rPr>
                <w:rFonts w:cs="Arial"/>
              </w:rPr>
              <w:t>at least one (1) Month prior written notice to GCA (except if the Refinancing is required to avoid a default under the Financing Documents, in which case the IBE shall be required to provide reasonable prior notice to GCA); and</w:t>
            </w:r>
          </w:p>
        </w:tc>
        <w:tc>
          <w:tcPr>
            <w:tcW w:w="169" w:type="pct"/>
          </w:tcPr>
          <w:p w14:paraId="0D8AC70D" w14:textId="77777777" w:rsidR="00862B0B" w:rsidRPr="00A67277" w:rsidRDefault="00862B0B" w:rsidP="00862B0B">
            <w:pPr>
              <w:spacing w:before="60" w:after="60"/>
              <w:rPr>
                <w:rFonts w:ascii="Arial" w:hAnsi="Arial" w:cs="Arial"/>
                <w:sz w:val="21"/>
                <w:szCs w:val="21"/>
              </w:rPr>
            </w:pPr>
          </w:p>
        </w:tc>
        <w:tc>
          <w:tcPr>
            <w:tcW w:w="2561" w:type="pct"/>
            <w:gridSpan w:val="2"/>
          </w:tcPr>
          <w:p w14:paraId="2002F04D" w14:textId="3124BFDA" w:rsidR="00862B0B" w:rsidRPr="00A67277" w:rsidRDefault="00862B0B" w:rsidP="00862B0B">
            <w:pPr>
              <w:pStyle w:val="Level4"/>
              <w:numPr>
                <w:ilvl w:val="3"/>
                <w:numId w:val="339"/>
              </w:numPr>
              <w:tabs>
                <w:tab w:val="clear" w:pos="2126"/>
              </w:tabs>
              <w:spacing w:before="60" w:after="60"/>
              <w:ind w:left="1875" w:hanging="426"/>
              <w:rPr>
                <w:rFonts w:cs="Arial"/>
              </w:rPr>
            </w:pPr>
            <w:r w:rsidRPr="00A67277">
              <w:rPr>
                <w:rFonts w:cs="Arial"/>
              </w:rPr>
              <w:t>pemberitahuan tertulis kepada PJPK paling sedikit satu (1) Bulan sebelumnya (kecuali jika Pembiayaan Ulang diharuskan untuk menghindari cidera janji berdasarkan Dokumen Pembiayaan, dalam hal mana BUP berkewajiban untuk menyampaikan pemberitahuan sebelumnya sewajarnya kepada PJPK); dan</w:t>
            </w:r>
          </w:p>
        </w:tc>
      </w:tr>
      <w:tr w:rsidR="00862B0B" w:rsidRPr="00A67277" w14:paraId="28159258" w14:textId="77777777" w:rsidTr="00862B0B">
        <w:tc>
          <w:tcPr>
            <w:tcW w:w="2270" w:type="pct"/>
          </w:tcPr>
          <w:p w14:paraId="6CF69E3A" w14:textId="40E5A51F" w:rsidR="00862B0B" w:rsidRPr="00A67277" w:rsidRDefault="00862B0B" w:rsidP="00862B0B">
            <w:pPr>
              <w:pStyle w:val="Level4"/>
              <w:numPr>
                <w:ilvl w:val="3"/>
                <w:numId w:val="414"/>
              </w:numPr>
              <w:tabs>
                <w:tab w:val="clear" w:pos="2126"/>
                <w:tab w:val="num" w:pos="1560"/>
              </w:tabs>
              <w:spacing w:before="60" w:after="60"/>
              <w:ind w:left="1560" w:hanging="426"/>
              <w:rPr>
                <w:rFonts w:cs="Arial"/>
              </w:rPr>
            </w:pPr>
            <w:r w:rsidRPr="00A67277">
              <w:rPr>
                <w:rFonts w:cs="Arial"/>
              </w:rPr>
              <w:t xml:space="preserve">the prior written consent of GCA (which </w:t>
            </w:r>
            <w:r>
              <w:rPr>
                <w:rFonts w:cs="Arial"/>
              </w:rPr>
              <w:t xml:space="preserve">consent </w:t>
            </w:r>
            <w:r w:rsidRPr="00A67277">
              <w:rPr>
                <w:rFonts w:cs="Arial"/>
              </w:rPr>
              <w:t>shall not be unreasonably withheld).</w:t>
            </w:r>
          </w:p>
        </w:tc>
        <w:tc>
          <w:tcPr>
            <w:tcW w:w="169" w:type="pct"/>
          </w:tcPr>
          <w:p w14:paraId="4C21072A" w14:textId="77777777" w:rsidR="00862B0B" w:rsidRPr="00A67277" w:rsidRDefault="00862B0B" w:rsidP="00862B0B">
            <w:pPr>
              <w:spacing w:before="60" w:after="60"/>
              <w:rPr>
                <w:rFonts w:ascii="Arial" w:hAnsi="Arial" w:cs="Arial"/>
                <w:sz w:val="21"/>
                <w:szCs w:val="21"/>
              </w:rPr>
            </w:pPr>
          </w:p>
        </w:tc>
        <w:tc>
          <w:tcPr>
            <w:tcW w:w="2561" w:type="pct"/>
            <w:gridSpan w:val="2"/>
          </w:tcPr>
          <w:p w14:paraId="2A1CA5E9" w14:textId="485D64AA" w:rsidR="00862B0B" w:rsidRPr="00A67277" w:rsidRDefault="00862B0B" w:rsidP="00862B0B">
            <w:pPr>
              <w:pStyle w:val="Level4"/>
              <w:numPr>
                <w:ilvl w:val="3"/>
                <w:numId w:val="339"/>
              </w:numPr>
              <w:tabs>
                <w:tab w:val="clear" w:pos="2126"/>
              </w:tabs>
              <w:spacing w:before="60" w:after="60"/>
              <w:ind w:left="1875" w:hanging="426"/>
              <w:rPr>
                <w:rFonts w:cs="Arial"/>
              </w:rPr>
            </w:pPr>
            <w:r w:rsidRPr="00A67277">
              <w:rPr>
                <w:rFonts w:cs="Arial"/>
              </w:rPr>
              <w:t xml:space="preserve">persetujuan tertulis sebelumnya dari PJPK (persetujuan mana tidak </w:t>
            </w:r>
            <w:r>
              <w:rPr>
                <w:rFonts w:cs="Arial"/>
              </w:rPr>
              <w:t xml:space="preserve">boleh </w:t>
            </w:r>
            <w:r w:rsidRPr="00A67277">
              <w:rPr>
                <w:rFonts w:cs="Arial"/>
              </w:rPr>
              <w:t>ditahan secara tidak wajar).</w:t>
            </w:r>
          </w:p>
        </w:tc>
      </w:tr>
      <w:tr w:rsidR="00862B0B" w:rsidRPr="00A67277" w14:paraId="7EE7CCDF" w14:textId="77777777" w:rsidTr="00862B0B">
        <w:tc>
          <w:tcPr>
            <w:tcW w:w="2270" w:type="pct"/>
          </w:tcPr>
          <w:p w14:paraId="5E9C045F" w14:textId="522CBFAB"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2" w:name="_Toc501177999"/>
            <w:r w:rsidRPr="00A67277">
              <w:rPr>
                <w:rFonts w:cs="Arial"/>
              </w:rPr>
              <w:t xml:space="preserve">The IBE shall keep GCA reasonably informed as to the status of any negotiations pertaining to </w:t>
            </w:r>
            <w:r w:rsidRPr="00A67277">
              <w:rPr>
                <w:rFonts w:eastAsia="Times New Roman" w:cs="Arial"/>
              </w:rPr>
              <w:t>any</w:t>
            </w:r>
            <w:r w:rsidRPr="00A67277">
              <w:rPr>
                <w:rFonts w:cs="Arial"/>
              </w:rPr>
              <w:t xml:space="preserve"> proposed Refinancing and shall promptly provide GCA with full details of the terms of the proposed Refinancing, including:</w:t>
            </w:r>
            <w:bookmarkEnd w:id="202"/>
          </w:p>
        </w:tc>
        <w:tc>
          <w:tcPr>
            <w:tcW w:w="169" w:type="pct"/>
          </w:tcPr>
          <w:p w14:paraId="22609884" w14:textId="77777777" w:rsidR="00862B0B" w:rsidRPr="00A67277" w:rsidRDefault="00862B0B" w:rsidP="00862B0B">
            <w:pPr>
              <w:spacing w:before="60" w:after="60"/>
              <w:rPr>
                <w:rFonts w:ascii="Arial" w:hAnsi="Arial" w:cs="Arial"/>
                <w:sz w:val="21"/>
                <w:szCs w:val="21"/>
              </w:rPr>
            </w:pPr>
          </w:p>
        </w:tc>
        <w:tc>
          <w:tcPr>
            <w:tcW w:w="2561" w:type="pct"/>
            <w:gridSpan w:val="2"/>
          </w:tcPr>
          <w:p w14:paraId="6EC7B7EC" w14:textId="41EBAF3D" w:rsidR="00862B0B" w:rsidRPr="00A67277" w:rsidRDefault="00862B0B" w:rsidP="00862B0B">
            <w:pPr>
              <w:pStyle w:val="Level3"/>
              <w:numPr>
                <w:ilvl w:val="2"/>
                <w:numId w:val="340"/>
              </w:numPr>
              <w:tabs>
                <w:tab w:val="clear" w:pos="1417"/>
                <w:tab w:val="num" w:pos="1491"/>
              </w:tabs>
              <w:spacing w:before="60" w:after="60"/>
              <w:ind w:left="1491" w:hanging="540"/>
              <w:rPr>
                <w:rFonts w:cs="Arial"/>
              </w:rPr>
            </w:pPr>
            <w:r w:rsidRPr="00A67277">
              <w:rPr>
                <w:rFonts w:cs="Arial"/>
              </w:rPr>
              <w:t xml:space="preserve">BUP harus selalu </w:t>
            </w:r>
            <w:r>
              <w:rPr>
                <w:rFonts w:cs="Arial"/>
              </w:rPr>
              <w:t xml:space="preserve">sewajarnya </w:t>
            </w:r>
            <w:r w:rsidRPr="00A67277">
              <w:rPr>
                <w:rFonts w:cs="Arial"/>
              </w:rPr>
              <w:t>menyampaikan kepada PJPK informasi mengenai status negosiasi apapun yang berkaitan dengan Pembiayaan Ulang yang diusulkan dan segera memberikan rincian lengkap mengenai persyaratan Pembiayaan Ulang yang diusulkan kepada PJPK, termasuk:</w:t>
            </w:r>
          </w:p>
        </w:tc>
      </w:tr>
      <w:tr w:rsidR="00862B0B" w:rsidRPr="00A67277" w14:paraId="639C9285" w14:textId="77777777" w:rsidTr="00862B0B">
        <w:tc>
          <w:tcPr>
            <w:tcW w:w="2270" w:type="pct"/>
          </w:tcPr>
          <w:p w14:paraId="1DAB75D5" w14:textId="77777777" w:rsidR="00862B0B" w:rsidRPr="00A67277" w:rsidRDefault="00862B0B" w:rsidP="00862B0B">
            <w:pPr>
              <w:pStyle w:val="Level4"/>
              <w:numPr>
                <w:ilvl w:val="0"/>
                <w:numId w:val="475"/>
              </w:numPr>
              <w:spacing w:before="60" w:after="60"/>
              <w:ind w:left="1560" w:hanging="426"/>
              <w:rPr>
                <w:rFonts w:cs="Arial"/>
              </w:rPr>
            </w:pPr>
            <w:r w:rsidRPr="00A67277">
              <w:rPr>
                <w:rFonts w:cs="Arial"/>
              </w:rPr>
              <w:t>a copy of the proposed financial model relating to it, which shall show, among other things, the material changes to the IBE's obligations to the Financing Parties and any anticipated Refinancing Gain;</w:t>
            </w:r>
          </w:p>
        </w:tc>
        <w:tc>
          <w:tcPr>
            <w:tcW w:w="169" w:type="pct"/>
          </w:tcPr>
          <w:p w14:paraId="55D438BB" w14:textId="77777777" w:rsidR="00862B0B" w:rsidRPr="00A67277" w:rsidRDefault="00862B0B" w:rsidP="00862B0B">
            <w:pPr>
              <w:spacing w:before="60" w:after="60"/>
              <w:rPr>
                <w:rFonts w:ascii="Arial" w:hAnsi="Arial" w:cs="Arial"/>
                <w:sz w:val="21"/>
                <w:szCs w:val="21"/>
              </w:rPr>
            </w:pPr>
          </w:p>
        </w:tc>
        <w:tc>
          <w:tcPr>
            <w:tcW w:w="2561" w:type="pct"/>
            <w:gridSpan w:val="2"/>
          </w:tcPr>
          <w:p w14:paraId="49913B4B" w14:textId="77777777" w:rsidR="00862B0B" w:rsidRPr="00A67277" w:rsidRDefault="00862B0B" w:rsidP="00862B0B">
            <w:pPr>
              <w:pStyle w:val="Level4"/>
              <w:numPr>
                <w:ilvl w:val="3"/>
                <w:numId w:val="342"/>
              </w:numPr>
              <w:tabs>
                <w:tab w:val="clear" w:pos="2126"/>
              </w:tabs>
              <w:spacing w:before="60" w:after="60"/>
              <w:ind w:left="1875" w:hanging="426"/>
              <w:rPr>
                <w:rFonts w:cs="Arial"/>
                <w:lang w:val="en-US"/>
              </w:rPr>
            </w:pPr>
            <w:r w:rsidRPr="00A67277">
              <w:rPr>
                <w:rFonts w:cs="Arial"/>
                <w:lang w:val="en-US"/>
              </w:rPr>
              <w:t xml:space="preserve">salinan model keuangan yang </w:t>
            </w:r>
            <w:r w:rsidRPr="00A67277">
              <w:rPr>
                <w:rFonts w:cs="Arial"/>
                <w:lang w:val="id-ID"/>
              </w:rPr>
              <w:t>diajukan</w:t>
            </w:r>
            <w:r w:rsidRPr="00A67277">
              <w:rPr>
                <w:rFonts w:cs="Arial"/>
                <w:lang w:val="en-US"/>
              </w:rPr>
              <w:t xml:space="preserve"> sehubungan dengan Pembiayaan Ulang, yang akan menunjukkan antara lain, perubahan material terhadap kewajiban BUP kepada Pihak Pembiaya dan setiap </w:t>
            </w:r>
            <w:r w:rsidRPr="00A67277">
              <w:rPr>
                <w:rFonts w:cs="Arial"/>
                <w:lang w:val="id-ID"/>
              </w:rPr>
              <w:t xml:space="preserve">antisipasi Keuntungan Pembiayaan </w:t>
            </w:r>
            <w:r w:rsidRPr="00A67277">
              <w:rPr>
                <w:rFonts w:cs="Arial"/>
                <w:lang w:val="en-US"/>
              </w:rPr>
              <w:t>Ulang;</w:t>
            </w:r>
          </w:p>
        </w:tc>
      </w:tr>
      <w:tr w:rsidR="00862B0B" w:rsidRPr="00A67277" w14:paraId="171C47EA" w14:textId="77777777" w:rsidTr="00862B0B">
        <w:tc>
          <w:tcPr>
            <w:tcW w:w="2270" w:type="pct"/>
          </w:tcPr>
          <w:p w14:paraId="08ADF633" w14:textId="77777777" w:rsidR="00862B0B" w:rsidRPr="00A67277" w:rsidRDefault="00862B0B" w:rsidP="00862B0B">
            <w:pPr>
              <w:pStyle w:val="Level4"/>
              <w:numPr>
                <w:ilvl w:val="0"/>
                <w:numId w:val="475"/>
              </w:numPr>
              <w:spacing w:before="60" w:after="60"/>
              <w:ind w:left="1560" w:hanging="426"/>
              <w:rPr>
                <w:rFonts w:cs="Arial"/>
              </w:rPr>
            </w:pPr>
            <w:r w:rsidRPr="00A67277">
              <w:rPr>
                <w:rFonts w:cs="Arial"/>
              </w:rPr>
              <w:t>the basis for the assumptions used in the proposed financial model;</w:t>
            </w:r>
          </w:p>
        </w:tc>
        <w:tc>
          <w:tcPr>
            <w:tcW w:w="169" w:type="pct"/>
          </w:tcPr>
          <w:p w14:paraId="14CABC00" w14:textId="77777777" w:rsidR="00862B0B" w:rsidRPr="00A67277" w:rsidRDefault="00862B0B" w:rsidP="00862B0B">
            <w:pPr>
              <w:spacing w:before="60" w:after="60"/>
              <w:rPr>
                <w:rFonts w:ascii="Arial" w:hAnsi="Arial" w:cs="Arial"/>
                <w:sz w:val="21"/>
                <w:szCs w:val="21"/>
              </w:rPr>
            </w:pPr>
          </w:p>
        </w:tc>
        <w:tc>
          <w:tcPr>
            <w:tcW w:w="2561" w:type="pct"/>
            <w:gridSpan w:val="2"/>
          </w:tcPr>
          <w:p w14:paraId="409B0BB0" w14:textId="77777777" w:rsidR="00862B0B" w:rsidRPr="00A67277" w:rsidRDefault="00862B0B" w:rsidP="00862B0B">
            <w:pPr>
              <w:pStyle w:val="Level4"/>
              <w:numPr>
                <w:ilvl w:val="3"/>
                <w:numId w:val="342"/>
              </w:numPr>
              <w:tabs>
                <w:tab w:val="clear" w:pos="2126"/>
              </w:tabs>
              <w:spacing w:before="60" w:after="60"/>
              <w:ind w:left="1875" w:hanging="426"/>
              <w:rPr>
                <w:rFonts w:cs="Arial"/>
                <w:lang w:val="en-US"/>
              </w:rPr>
            </w:pPr>
            <w:r w:rsidRPr="00A67277">
              <w:rPr>
                <w:rFonts w:cs="Arial"/>
                <w:lang w:val="en-US"/>
              </w:rPr>
              <w:t>dasar untuk asumsi-asumsi yang digunakan dalam model keuangan yang diusulkan;</w:t>
            </w:r>
          </w:p>
        </w:tc>
      </w:tr>
      <w:tr w:rsidR="00862B0B" w:rsidRPr="00A67277" w14:paraId="3880AAB3" w14:textId="77777777" w:rsidTr="00862B0B">
        <w:tc>
          <w:tcPr>
            <w:tcW w:w="2270" w:type="pct"/>
          </w:tcPr>
          <w:p w14:paraId="32FFA1D8" w14:textId="2AC12768" w:rsidR="00862B0B" w:rsidRPr="00A67277" w:rsidRDefault="00862B0B" w:rsidP="00862B0B">
            <w:pPr>
              <w:pStyle w:val="Level4"/>
              <w:numPr>
                <w:ilvl w:val="0"/>
                <w:numId w:val="475"/>
              </w:numPr>
              <w:spacing w:before="60" w:after="60"/>
              <w:ind w:left="1560" w:hanging="426"/>
              <w:rPr>
                <w:rFonts w:cs="Arial"/>
              </w:rPr>
            </w:pPr>
            <w:r w:rsidRPr="00A67277">
              <w:rPr>
                <w:rFonts w:cs="Arial"/>
              </w:rPr>
              <w:t xml:space="preserve">a certificate in </w:t>
            </w:r>
            <w:r>
              <w:rPr>
                <w:rFonts w:cs="Arial"/>
              </w:rPr>
              <w:t xml:space="preserve">a form </w:t>
            </w:r>
            <w:r w:rsidRPr="00A67277">
              <w:rPr>
                <w:rFonts w:cs="Arial"/>
              </w:rPr>
              <w:t xml:space="preserve"> acceptable to GCA from the auditors of </w:t>
            </w:r>
            <w:r>
              <w:rPr>
                <w:rFonts w:cs="Arial"/>
              </w:rPr>
              <w:t xml:space="preserve">the </w:t>
            </w:r>
            <w:r w:rsidRPr="00A67277">
              <w:rPr>
                <w:rFonts w:cs="Arial"/>
              </w:rPr>
              <w:t>financial model;</w:t>
            </w:r>
          </w:p>
        </w:tc>
        <w:tc>
          <w:tcPr>
            <w:tcW w:w="169" w:type="pct"/>
          </w:tcPr>
          <w:p w14:paraId="13F09A09" w14:textId="77777777" w:rsidR="00862B0B" w:rsidRPr="00A67277" w:rsidRDefault="00862B0B" w:rsidP="00862B0B">
            <w:pPr>
              <w:spacing w:before="60" w:after="60"/>
              <w:rPr>
                <w:rFonts w:ascii="Arial" w:hAnsi="Arial" w:cs="Arial"/>
                <w:sz w:val="21"/>
                <w:szCs w:val="21"/>
              </w:rPr>
            </w:pPr>
          </w:p>
        </w:tc>
        <w:tc>
          <w:tcPr>
            <w:tcW w:w="2561" w:type="pct"/>
            <w:gridSpan w:val="2"/>
          </w:tcPr>
          <w:p w14:paraId="10521873" w14:textId="77777777" w:rsidR="00862B0B" w:rsidRPr="00A67277" w:rsidRDefault="00862B0B" w:rsidP="00862B0B">
            <w:pPr>
              <w:pStyle w:val="Level4"/>
              <w:numPr>
                <w:ilvl w:val="3"/>
                <w:numId w:val="342"/>
              </w:numPr>
              <w:tabs>
                <w:tab w:val="clear" w:pos="2126"/>
              </w:tabs>
              <w:spacing w:before="60" w:after="60"/>
              <w:ind w:left="1875" w:hanging="426"/>
              <w:rPr>
                <w:rFonts w:cs="Arial"/>
                <w:lang w:val="en-US"/>
              </w:rPr>
            </w:pPr>
            <w:r w:rsidRPr="00A67277">
              <w:rPr>
                <w:rFonts w:cs="Arial"/>
                <w:lang w:val="en-US"/>
              </w:rPr>
              <w:t>suatu sertifikat dalam bentuk yang dapat diterima PJPK dari auditor model keuangan tersebut;</w:t>
            </w:r>
          </w:p>
        </w:tc>
      </w:tr>
      <w:tr w:rsidR="00862B0B" w:rsidRPr="00A67277" w14:paraId="562EB4BD" w14:textId="77777777" w:rsidTr="00862B0B">
        <w:tc>
          <w:tcPr>
            <w:tcW w:w="2270" w:type="pct"/>
          </w:tcPr>
          <w:p w14:paraId="3B217456" w14:textId="77777777" w:rsidR="00862B0B" w:rsidRPr="00A67277" w:rsidRDefault="00862B0B" w:rsidP="00862B0B">
            <w:pPr>
              <w:pStyle w:val="Level4"/>
              <w:numPr>
                <w:ilvl w:val="0"/>
                <w:numId w:val="475"/>
              </w:numPr>
              <w:spacing w:before="60" w:after="60"/>
              <w:ind w:left="1560" w:hanging="426"/>
              <w:rPr>
                <w:rFonts w:cs="Arial"/>
              </w:rPr>
            </w:pPr>
            <w:r w:rsidRPr="00A67277">
              <w:rPr>
                <w:rFonts w:cs="Arial"/>
              </w:rPr>
              <w:t>(if applicable) a comparison with any Refinancing assumed within the Financial Model; and</w:t>
            </w:r>
          </w:p>
        </w:tc>
        <w:tc>
          <w:tcPr>
            <w:tcW w:w="169" w:type="pct"/>
          </w:tcPr>
          <w:p w14:paraId="0D78E2E2" w14:textId="77777777" w:rsidR="00862B0B" w:rsidRPr="00A67277" w:rsidRDefault="00862B0B" w:rsidP="00862B0B">
            <w:pPr>
              <w:spacing w:before="60" w:after="60"/>
              <w:rPr>
                <w:rFonts w:ascii="Arial" w:hAnsi="Arial" w:cs="Arial"/>
                <w:sz w:val="21"/>
                <w:szCs w:val="21"/>
              </w:rPr>
            </w:pPr>
          </w:p>
        </w:tc>
        <w:tc>
          <w:tcPr>
            <w:tcW w:w="2561" w:type="pct"/>
            <w:gridSpan w:val="2"/>
          </w:tcPr>
          <w:p w14:paraId="71A4B132" w14:textId="77777777" w:rsidR="00862B0B" w:rsidRPr="00A67277" w:rsidRDefault="00862B0B" w:rsidP="00862B0B">
            <w:pPr>
              <w:pStyle w:val="Level4"/>
              <w:numPr>
                <w:ilvl w:val="3"/>
                <w:numId w:val="342"/>
              </w:numPr>
              <w:tabs>
                <w:tab w:val="clear" w:pos="2126"/>
              </w:tabs>
              <w:spacing w:before="60" w:after="60"/>
              <w:ind w:left="1875" w:hanging="426"/>
              <w:rPr>
                <w:rFonts w:cs="Arial"/>
                <w:lang w:val="en-US"/>
              </w:rPr>
            </w:pPr>
            <w:r w:rsidRPr="00A67277">
              <w:rPr>
                <w:rFonts w:cs="Arial"/>
                <w:lang w:val="en-US"/>
              </w:rPr>
              <w:t>(apabila berlaku) suatu perbandingan dengan setiap Pembiayaan Ulang yang diasumsikan dalam Model Keuangan; dan</w:t>
            </w:r>
          </w:p>
        </w:tc>
      </w:tr>
      <w:tr w:rsidR="00862B0B" w:rsidRPr="00A67277" w14:paraId="6CA96734" w14:textId="77777777" w:rsidTr="00862B0B">
        <w:tc>
          <w:tcPr>
            <w:tcW w:w="2270" w:type="pct"/>
          </w:tcPr>
          <w:p w14:paraId="58D88DF3" w14:textId="69E0CEDB" w:rsidR="00862B0B" w:rsidRPr="00A67277" w:rsidRDefault="00862B0B" w:rsidP="00862B0B">
            <w:pPr>
              <w:pStyle w:val="Level4"/>
              <w:numPr>
                <w:ilvl w:val="0"/>
                <w:numId w:val="475"/>
              </w:numPr>
              <w:spacing w:before="60" w:after="60"/>
              <w:ind w:left="1560" w:hanging="426"/>
              <w:rPr>
                <w:rFonts w:cs="Arial"/>
              </w:rPr>
            </w:pPr>
            <w:r w:rsidRPr="00A67277">
              <w:rPr>
                <w:rFonts w:cs="Arial"/>
              </w:rPr>
              <w:t>any information, data and documents in connection with the proposed Refinancing that GCA may reasonably require in order to enable GCA to determine if the proposed Refinancing should be permitted, and to calculate the Refinancing Gain.</w:t>
            </w:r>
          </w:p>
        </w:tc>
        <w:tc>
          <w:tcPr>
            <w:tcW w:w="169" w:type="pct"/>
          </w:tcPr>
          <w:p w14:paraId="06CA9493" w14:textId="77777777" w:rsidR="00862B0B" w:rsidRPr="00A67277" w:rsidRDefault="00862B0B" w:rsidP="00862B0B">
            <w:pPr>
              <w:spacing w:before="60" w:after="60"/>
              <w:rPr>
                <w:rFonts w:ascii="Arial" w:hAnsi="Arial" w:cs="Arial"/>
                <w:sz w:val="21"/>
                <w:szCs w:val="21"/>
              </w:rPr>
            </w:pPr>
          </w:p>
        </w:tc>
        <w:tc>
          <w:tcPr>
            <w:tcW w:w="2561" w:type="pct"/>
            <w:gridSpan w:val="2"/>
          </w:tcPr>
          <w:p w14:paraId="24B27118" w14:textId="77777777" w:rsidR="00862B0B" w:rsidRPr="00A67277" w:rsidRDefault="00862B0B" w:rsidP="00862B0B">
            <w:pPr>
              <w:pStyle w:val="Level4"/>
              <w:numPr>
                <w:ilvl w:val="3"/>
                <w:numId w:val="342"/>
              </w:numPr>
              <w:tabs>
                <w:tab w:val="clear" w:pos="2126"/>
              </w:tabs>
              <w:spacing w:before="60" w:after="60"/>
              <w:ind w:left="1875" w:hanging="426"/>
              <w:rPr>
                <w:rFonts w:cs="Arial"/>
                <w:lang w:val="en-US"/>
              </w:rPr>
            </w:pPr>
            <w:r w:rsidRPr="00A67277">
              <w:rPr>
                <w:rFonts w:cs="Arial"/>
                <w:lang w:val="en-US"/>
              </w:rPr>
              <w:t>setiap informasi, data dan dokumen sehubungan dengan Pembiayaan Ulang yang diajukan yang mungkin secara wajar diperlukan oleh PJPK untuk menentukan apakah Pembiayaan Ulang dapat diizinkan, dan untuk menghitung Keuntungan Pembiayaan Ulang.</w:t>
            </w:r>
          </w:p>
        </w:tc>
      </w:tr>
      <w:tr w:rsidR="00862B0B" w:rsidRPr="00A67277" w14:paraId="2E7CFA6A" w14:textId="77777777" w:rsidTr="00862B0B">
        <w:tc>
          <w:tcPr>
            <w:tcW w:w="2270" w:type="pct"/>
          </w:tcPr>
          <w:p w14:paraId="39E92CA7" w14:textId="486B9468"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3" w:name="_Toc501178000"/>
            <w:r w:rsidRPr="00A67277">
              <w:rPr>
                <w:rFonts w:cs="Arial"/>
              </w:rPr>
              <w:t>The IBE shall deliver to GCA a certified copy of each executed Financing Document relating to the proposed Refinancing, within ten (10) Business Days of the execution of such Financing Documents.</w:t>
            </w:r>
            <w:bookmarkEnd w:id="203"/>
          </w:p>
        </w:tc>
        <w:tc>
          <w:tcPr>
            <w:tcW w:w="169" w:type="pct"/>
          </w:tcPr>
          <w:p w14:paraId="4162D8C3" w14:textId="77777777" w:rsidR="00862B0B" w:rsidRPr="00A67277" w:rsidRDefault="00862B0B" w:rsidP="00862B0B">
            <w:pPr>
              <w:spacing w:before="60" w:after="60"/>
              <w:rPr>
                <w:rFonts w:ascii="Arial" w:hAnsi="Arial" w:cs="Arial"/>
                <w:sz w:val="21"/>
                <w:szCs w:val="21"/>
              </w:rPr>
            </w:pPr>
          </w:p>
        </w:tc>
        <w:tc>
          <w:tcPr>
            <w:tcW w:w="2561" w:type="pct"/>
            <w:gridSpan w:val="2"/>
          </w:tcPr>
          <w:p w14:paraId="08227F5E" w14:textId="58DDF0FF" w:rsidR="00862B0B" w:rsidRPr="00A67277" w:rsidRDefault="00862B0B" w:rsidP="00862B0B">
            <w:pPr>
              <w:pStyle w:val="Level3"/>
              <w:numPr>
                <w:ilvl w:val="2"/>
                <w:numId w:val="343"/>
              </w:numPr>
              <w:tabs>
                <w:tab w:val="clear" w:pos="1417"/>
                <w:tab w:val="num" w:pos="1491"/>
              </w:tabs>
              <w:spacing w:before="60" w:after="60"/>
              <w:ind w:left="1491" w:hanging="540"/>
              <w:rPr>
                <w:rFonts w:cs="Arial"/>
              </w:rPr>
            </w:pPr>
            <w:r w:rsidRPr="00A67277">
              <w:rPr>
                <w:rFonts w:cs="Arial"/>
              </w:rPr>
              <w:t>BUP harus menyampaikan kepada PJPK salinan yang disahkan dari setiap Dokumen Pembiayaan sehubungan dengan Pembiayaan Ulang yang diusulkan, dalam waktu sepuluh (10) Hari Kerja setelah penandatanganan Dokumen Pembiayaan tersebut.</w:t>
            </w:r>
          </w:p>
        </w:tc>
      </w:tr>
      <w:tr w:rsidR="00862B0B" w:rsidRPr="00A67277" w14:paraId="7F20A937" w14:textId="77777777" w:rsidTr="00862B0B">
        <w:tc>
          <w:tcPr>
            <w:tcW w:w="2270" w:type="pct"/>
          </w:tcPr>
          <w:p w14:paraId="0B9F7001" w14:textId="7D35A656"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4" w:name="_Toc501178002"/>
            <w:r w:rsidRPr="00A67277">
              <w:rPr>
                <w:rFonts w:cs="Arial"/>
              </w:rPr>
              <w:t xml:space="preserve">The Refinancing </w:t>
            </w:r>
            <w:r>
              <w:rPr>
                <w:rFonts w:cs="Arial"/>
              </w:rPr>
              <w:t>Benefit</w:t>
            </w:r>
            <w:r w:rsidRPr="00A67277">
              <w:rPr>
                <w:rFonts w:cs="Arial"/>
              </w:rPr>
              <w:t xml:space="preserve"> shall be shared between the IBE and GCA with 50:50 share.</w:t>
            </w:r>
            <w:bookmarkEnd w:id="204"/>
          </w:p>
        </w:tc>
        <w:tc>
          <w:tcPr>
            <w:tcW w:w="169" w:type="pct"/>
          </w:tcPr>
          <w:p w14:paraId="7E989261" w14:textId="77777777" w:rsidR="00862B0B" w:rsidRPr="00A67277" w:rsidRDefault="00862B0B" w:rsidP="00862B0B">
            <w:pPr>
              <w:spacing w:before="60" w:after="60" w:line="259" w:lineRule="auto"/>
              <w:rPr>
                <w:rFonts w:ascii="Arial" w:hAnsi="Arial" w:cs="Arial"/>
                <w:sz w:val="21"/>
                <w:szCs w:val="21"/>
              </w:rPr>
            </w:pPr>
          </w:p>
        </w:tc>
        <w:tc>
          <w:tcPr>
            <w:tcW w:w="2561" w:type="pct"/>
            <w:gridSpan w:val="2"/>
          </w:tcPr>
          <w:p w14:paraId="3E348009" w14:textId="57636783" w:rsidR="00862B0B" w:rsidRPr="00A67277" w:rsidRDefault="00862B0B" w:rsidP="00862B0B">
            <w:pPr>
              <w:pStyle w:val="Level3"/>
              <w:numPr>
                <w:ilvl w:val="2"/>
                <w:numId w:val="343"/>
              </w:numPr>
              <w:tabs>
                <w:tab w:val="clear" w:pos="1417"/>
                <w:tab w:val="num" w:pos="1491"/>
              </w:tabs>
              <w:spacing w:before="60" w:after="60"/>
              <w:ind w:left="1491" w:hanging="540"/>
              <w:rPr>
                <w:rFonts w:cs="Arial"/>
              </w:rPr>
            </w:pPr>
            <w:r w:rsidRPr="00A67277">
              <w:rPr>
                <w:rFonts w:cs="Arial"/>
              </w:rPr>
              <w:t>Keuntungan Pembiayaan Ulang harus dibagi antara BUP dan PJPK masing-masing dengan rasio 50:50.</w:t>
            </w:r>
          </w:p>
        </w:tc>
      </w:tr>
      <w:tr w:rsidR="00862B0B" w:rsidRPr="00A67277" w14:paraId="153493A2" w14:textId="77777777" w:rsidTr="00862B0B">
        <w:tc>
          <w:tcPr>
            <w:tcW w:w="2270" w:type="pct"/>
          </w:tcPr>
          <w:p w14:paraId="23089BEB" w14:textId="76CF796F"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5" w:name="_Toc501178003"/>
            <w:r w:rsidRPr="00A67277">
              <w:rPr>
                <w:rFonts w:cs="Arial"/>
              </w:rPr>
              <w:t>Subject to prior prompt notification to the IBE, GCA may elect to receive its portion of the Refinancing Gain as:</w:t>
            </w:r>
            <w:bookmarkEnd w:id="205"/>
          </w:p>
        </w:tc>
        <w:tc>
          <w:tcPr>
            <w:tcW w:w="169" w:type="pct"/>
          </w:tcPr>
          <w:p w14:paraId="1C524071" w14:textId="77777777" w:rsidR="00862B0B" w:rsidRPr="00A67277" w:rsidRDefault="00862B0B" w:rsidP="00862B0B">
            <w:pPr>
              <w:spacing w:before="60" w:after="60"/>
              <w:rPr>
                <w:rFonts w:ascii="Arial" w:hAnsi="Arial" w:cs="Arial"/>
                <w:sz w:val="21"/>
                <w:szCs w:val="21"/>
              </w:rPr>
            </w:pPr>
          </w:p>
        </w:tc>
        <w:tc>
          <w:tcPr>
            <w:tcW w:w="2561" w:type="pct"/>
            <w:gridSpan w:val="2"/>
          </w:tcPr>
          <w:p w14:paraId="1A7F0020" w14:textId="77777777" w:rsidR="00862B0B" w:rsidRPr="00A67277" w:rsidRDefault="00862B0B" w:rsidP="00862B0B">
            <w:pPr>
              <w:pStyle w:val="Level3"/>
              <w:numPr>
                <w:ilvl w:val="2"/>
                <w:numId w:val="343"/>
              </w:numPr>
              <w:tabs>
                <w:tab w:val="clear" w:pos="1417"/>
                <w:tab w:val="num" w:pos="1491"/>
              </w:tabs>
              <w:spacing w:before="60" w:after="60"/>
              <w:ind w:left="1491" w:hanging="540"/>
              <w:rPr>
                <w:rFonts w:cs="Arial"/>
              </w:rPr>
            </w:pPr>
            <w:r w:rsidRPr="00A67277">
              <w:rPr>
                <w:rFonts w:cs="Arial"/>
              </w:rPr>
              <w:t>PJPK dapat memilih untuk menerima bagian Keuntungan Pembiayaan Ulang dalam bentuk:</w:t>
            </w:r>
          </w:p>
        </w:tc>
      </w:tr>
      <w:tr w:rsidR="00862B0B" w:rsidRPr="00A67277" w14:paraId="07BA0C08" w14:textId="77777777" w:rsidTr="00862B0B">
        <w:tc>
          <w:tcPr>
            <w:tcW w:w="2270" w:type="pct"/>
          </w:tcPr>
          <w:p w14:paraId="1D1076AF" w14:textId="7E00E88A" w:rsidR="00862B0B" w:rsidRPr="00A67277" w:rsidRDefault="00862B0B" w:rsidP="00862B0B">
            <w:pPr>
              <w:pStyle w:val="Level4"/>
              <w:numPr>
                <w:ilvl w:val="3"/>
                <w:numId w:val="474"/>
              </w:numPr>
              <w:tabs>
                <w:tab w:val="clear" w:pos="2126"/>
                <w:tab w:val="num" w:pos="1560"/>
              </w:tabs>
              <w:spacing w:before="60" w:after="60"/>
              <w:ind w:left="1560" w:hanging="426"/>
              <w:rPr>
                <w:rFonts w:cs="Arial"/>
              </w:rPr>
            </w:pPr>
            <w:r w:rsidRPr="00A67277">
              <w:rPr>
                <w:rFonts w:cs="Arial"/>
              </w:rPr>
              <w:t xml:space="preserve">an adjustment in the </w:t>
            </w:r>
            <w:r>
              <w:rPr>
                <w:rFonts w:cs="Arial"/>
              </w:rPr>
              <w:t>Service Fee</w:t>
            </w:r>
            <w:r w:rsidRPr="00A67277">
              <w:rPr>
                <w:rFonts w:cs="Arial"/>
              </w:rPr>
              <w:t>;</w:t>
            </w:r>
          </w:p>
        </w:tc>
        <w:tc>
          <w:tcPr>
            <w:tcW w:w="169" w:type="pct"/>
          </w:tcPr>
          <w:p w14:paraId="1BA5E055" w14:textId="77777777" w:rsidR="00862B0B" w:rsidRPr="00A67277" w:rsidRDefault="00862B0B" w:rsidP="00862B0B">
            <w:pPr>
              <w:spacing w:before="60" w:after="60"/>
              <w:rPr>
                <w:rFonts w:ascii="Arial" w:hAnsi="Arial" w:cs="Arial"/>
                <w:sz w:val="21"/>
                <w:szCs w:val="21"/>
              </w:rPr>
            </w:pPr>
          </w:p>
        </w:tc>
        <w:tc>
          <w:tcPr>
            <w:tcW w:w="2561" w:type="pct"/>
            <w:gridSpan w:val="2"/>
          </w:tcPr>
          <w:p w14:paraId="459BDEAA" w14:textId="2A419AE2" w:rsidR="00862B0B" w:rsidRPr="00A67277" w:rsidRDefault="00862B0B" w:rsidP="00862B0B">
            <w:pPr>
              <w:pStyle w:val="Level4"/>
              <w:numPr>
                <w:ilvl w:val="3"/>
                <w:numId w:val="345"/>
              </w:numPr>
              <w:tabs>
                <w:tab w:val="clear" w:pos="2126"/>
                <w:tab w:val="num" w:pos="1875"/>
              </w:tabs>
              <w:spacing w:before="60" w:after="60"/>
              <w:ind w:left="1875" w:hanging="426"/>
              <w:rPr>
                <w:rFonts w:cs="Arial"/>
              </w:rPr>
            </w:pPr>
            <w:r w:rsidRPr="00A67277">
              <w:rPr>
                <w:rFonts w:cs="Arial"/>
              </w:rPr>
              <w:t>penyesuaian Biaya Layanan;</w:t>
            </w:r>
          </w:p>
        </w:tc>
      </w:tr>
      <w:tr w:rsidR="00862B0B" w:rsidRPr="00A67277" w14:paraId="78C49861" w14:textId="77777777" w:rsidTr="00862B0B">
        <w:tc>
          <w:tcPr>
            <w:tcW w:w="2270" w:type="pct"/>
          </w:tcPr>
          <w:p w14:paraId="076C5472" w14:textId="77777777" w:rsidR="00862B0B" w:rsidRPr="00A67277" w:rsidRDefault="00862B0B" w:rsidP="00862B0B">
            <w:pPr>
              <w:pStyle w:val="Level4"/>
              <w:numPr>
                <w:ilvl w:val="3"/>
                <w:numId w:val="474"/>
              </w:numPr>
              <w:tabs>
                <w:tab w:val="clear" w:pos="2126"/>
                <w:tab w:val="num" w:pos="1560"/>
              </w:tabs>
              <w:spacing w:before="60" w:after="60"/>
              <w:ind w:left="1560" w:hanging="426"/>
              <w:rPr>
                <w:rFonts w:cs="Arial"/>
              </w:rPr>
            </w:pPr>
            <w:r w:rsidRPr="00A67277">
              <w:rPr>
                <w:rFonts w:cs="Arial"/>
              </w:rPr>
              <w:t>a change in the duration of the Term;</w:t>
            </w:r>
          </w:p>
        </w:tc>
        <w:tc>
          <w:tcPr>
            <w:tcW w:w="169" w:type="pct"/>
          </w:tcPr>
          <w:p w14:paraId="61F03C1B" w14:textId="77777777" w:rsidR="00862B0B" w:rsidRPr="00A67277" w:rsidRDefault="00862B0B" w:rsidP="00862B0B">
            <w:pPr>
              <w:spacing w:before="60" w:after="60"/>
              <w:rPr>
                <w:rFonts w:ascii="Arial" w:hAnsi="Arial" w:cs="Arial"/>
                <w:sz w:val="21"/>
                <w:szCs w:val="21"/>
              </w:rPr>
            </w:pPr>
          </w:p>
        </w:tc>
        <w:tc>
          <w:tcPr>
            <w:tcW w:w="2561" w:type="pct"/>
            <w:gridSpan w:val="2"/>
          </w:tcPr>
          <w:p w14:paraId="583EB578" w14:textId="77777777" w:rsidR="00862B0B" w:rsidRPr="00A67277" w:rsidRDefault="00862B0B" w:rsidP="00862B0B">
            <w:pPr>
              <w:pStyle w:val="Level4"/>
              <w:numPr>
                <w:ilvl w:val="3"/>
                <w:numId w:val="345"/>
              </w:numPr>
              <w:tabs>
                <w:tab w:val="clear" w:pos="2126"/>
                <w:tab w:val="num" w:pos="1875"/>
              </w:tabs>
              <w:spacing w:before="60" w:after="60"/>
              <w:ind w:left="1875" w:hanging="426"/>
              <w:rPr>
                <w:rFonts w:cs="Arial"/>
              </w:rPr>
            </w:pPr>
            <w:r w:rsidRPr="00A67277">
              <w:rPr>
                <w:rFonts w:cs="Arial"/>
              </w:rPr>
              <w:t>perubahan dalam Jangka Waktu;</w:t>
            </w:r>
          </w:p>
        </w:tc>
      </w:tr>
      <w:tr w:rsidR="00862B0B" w:rsidRPr="00A67277" w14:paraId="6B0FA7E9" w14:textId="77777777" w:rsidTr="00862B0B">
        <w:tc>
          <w:tcPr>
            <w:tcW w:w="2270" w:type="pct"/>
          </w:tcPr>
          <w:p w14:paraId="2916AEA3" w14:textId="77777777" w:rsidR="00862B0B" w:rsidRPr="00A67277" w:rsidRDefault="00862B0B" w:rsidP="00862B0B">
            <w:pPr>
              <w:pStyle w:val="Level4"/>
              <w:numPr>
                <w:ilvl w:val="3"/>
                <w:numId w:val="474"/>
              </w:numPr>
              <w:tabs>
                <w:tab w:val="clear" w:pos="2126"/>
                <w:tab w:val="num" w:pos="1560"/>
              </w:tabs>
              <w:spacing w:before="60" w:after="60"/>
              <w:ind w:left="1560" w:hanging="426"/>
              <w:rPr>
                <w:rFonts w:cs="Arial"/>
              </w:rPr>
            </w:pPr>
            <w:r w:rsidRPr="00A67277">
              <w:rPr>
                <w:rFonts w:cs="Arial"/>
              </w:rPr>
              <w:t>a combination of any of sub-paragraphs (i) and (ii) above.</w:t>
            </w:r>
          </w:p>
        </w:tc>
        <w:tc>
          <w:tcPr>
            <w:tcW w:w="169" w:type="pct"/>
          </w:tcPr>
          <w:p w14:paraId="66365E2E" w14:textId="77777777" w:rsidR="00862B0B" w:rsidRPr="00A67277" w:rsidRDefault="00862B0B" w:rsidP="00862B0B">
            <w:pPr>
              <w:spacing w:before="60" w:after="60"/>
              <w:rPr>
                <w:rFonts w:ascii="Arial" w:hAnsi="Arial" w:cs="Arial"/>
                <w:sz w:val="21"/>
                <w:szCs w:val="21"/>
              </w:rPr>
            </w:pPr>
          </w:p>
        </w:tc>
        <w:tc>
          <w:tcPr>
            <w:tcW w:w="2561" w:type="pct"/>
            <w:gridSpan w:val="2"/>
          </w:tcPr>
          <w:p w14:paraId="4EC8090A" w14:textId="77777777" w:rsidR="00862B0B" w:rsidRPr="00A67277" w:rsidRDefault="00862B0B" w:rsidP="00862B0B">
            <w:pPr>
              <w:pStyle w:val="Level4"/>
              <w:numPr>
                <w:ilvl w:val="3"/>
                <w:numId w:val="345"/>
              </w:numPr>
              <w:tabs>
                <w:tab w:val="clear" w:pos="2126"/>
                <w:tab w:val="num" w:pos="1875"/>
              </w:tabs>
              <w:spacing w:before="60" w:after="60"/>
              <w:ind w:left="1875" w:hanging="426"/>
              <w:rPr>
                <w:rFonts w:cs="Arial"/>
              </w:rPr>
            </w:pPr>
            <w:r w:rsidRPr="00A67277">
              <w:rPr>
                <w:rFonts w:cs="Arial"/>
              </w:rPr>
              <w:t>kombinasi dari setiap sub-paragraf (i) dan (ii) di atas.</w:t>
            </w:r>
          </w:p>
        </w:tc>
      </w:tr>
      <w:tr w:rsidR="00862B0B" w:rsidRPr="00A67277" w14:paraId="2F9F3BAA" w14:textId="77777777" w:rsidTr="00862B0B">
        <w:tc>
          <w:tcPr>
            <w:tcW w:w="2270" w:type="pct"/>
          </w:tcPr>
          <w:p w14:paraId="4426FE97" w14:textId="684BA4FA"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r w:rsidRPr="00A67277">
              <w:rPr>
                <w:rFonts w:cs="Arial"/>
              </w:rPr>
              <w:t xml:space="preserve">The adjustment in the </w:t>
            </w:r>
            <w:r>
              <w:rPr>
                <w:rFonts w:cs="Arial"/>
              </w:rPr>
              <w:t>Service Fee</w:t>
            </w:r>
            <w:r w:rsidRPr="00A67277">
              <w:rPr>
                <w:rFonts w:cs="Arial"/>
              </w:rPr>
              <w:t xml:space="preserve"> and/or change in the duration of the Term as provided in paragraph (e) above shall reduce the net present value of excess cash flows resulting from the Refinancing </w:t>
            </w:r>
            <w:r w:rsidRPr="00A67277">
              <w:t xml:space="preserve">to fifty percent (50%) of the net present value of excess </w:t>
            </w:r>
            <w:r w:rsidRPr="00A67277">
              <w:rPr>
                <w:rFonts w:cs="Arial"/>
              </w:rPr>
              <w:t>cash flows</w:t>
            </w:r>
            <w:r w:rsidRPr="00A67277" w:rsidDel="00104D4D">
              <w:t xml:space="preserve"> </w:t>
            </w:r>
            <w:r w:rsidRPr="00A67277">
              <w:t xml:space="preserve"> resulting from the Refinancing without adjustment of the </w:t>
            </w:r>
            <w:r>
              <w:t>Service Fee</w:t>
            </w:r>
            <w:r w:rsidRPr="00A67277">
              <w:t xml:space="preserve"> and/or the duration of the Term</w:t>
            </w:r>
            <w:r w:rsidRPr="00A67277">
              <w:rPr>
                <w:rFonts w:cs="Arial"/>
              </w:rPr>
              <w:t xml:space="preserve">.  </w:t>
            </w:r>
          </w:p>
        </w:tc>
        <w:tc>
          <w:tcPr>
            <w:tcW w:w="169" w:type="pct"/>
          </w:tcPr>
          <w:p w14:paraId="2701BD40" w14:textId="77777777" w:rsidR="00862B0B" w:rsidRPr="00A67277" w:rsidRDefault="00862B0B" w:rsidP="00862B0B">
            <w:pPr>
              <w:spacing w:before="60" w:after="60"/>
              <w:rPr>
                <w:rFonts w:ascii="Arial" w:hAnsi="Arial" w:cs="Arial"/>
                <w:sz w:val="21"/>
                <w:szCs w:val="21"/>
              </w:rPr>
            </w:pPr>
          </w:p>
        </w:tc>
        <w:tc>
          <w:tcPr>
            <w:tcW w:w="2561" w:type="pct"/>
            <w:gridSpan w:val="2"/>
          </w:tcPr>
          <w:p w14:paraId="08C6044A" w14:textId="2BAD167E" w:rsidR="00862B0B" w:rsidRPr="00A67277" w:rsidRDefault="00862B0B" w:rsidP="00862B0B">
            <w:pPr>
              <w:pStyle w:val="Level3"/>
              <w:numPr>
                <w:ilvl w:val="2"/>
                <w:numId w:val="343"/>
              </w:numPr>
              <w:tabs>
                <w:tab w:val="clear" w:pos="1417"/>
                <w:tab w:val="num" w:pos="1491"/>
              </w:tabs>
              <w:spacing w:before="60" w:after="60"/>
              <w:ind w:left="1491" w:hanging="540"/>
              <w:rPr>
                <w:rFonts w:cs="Arial"/>
              </w:rPr>
            </w:pPr>
            <w:r w:rsidRPr="00A67277">
              <w:rPr>
                <w:rFonts w:cs="Arial"/>
              </w:rPr>
              <w:t xml:space="preserve">Penyesuaian Biaya Layanan dan/atau perubahan dalam Jangka Waktu sebagaimana dimaksud pada paragraf (e) di atas harus mengurangi kelebihan arus kas yang dihasilkan dari Pembiayaan Ulang hingga lima puluh (50%) dari </w:t>
            </w:r>
            <w:r w:rsidRPr="00A67277">
              <w:rPr>
                <w:rFonts w:cs="Arial"/>
                <w:i/>
              </w:rPr>
              <w:t>net present value</w:t>
            </w:r>
            <w:r w:rsidRPr="00A67277">
              <w:rPr>
                <w:rFonts w:cs="Arial"/>
              </w:rPr>
              <w:t xml:space="preserve"> kelebihan arus kas yang dihasilkan dari Pembiayaan Ulang tanpa penyesuaian </w:t>
            </w:r>
            <w:r>
              <w:rPr>
                <w:rFonts w:cs="Arial"/>
              </w:rPr>
              <w:t>Biaya</w:t>
            </w:r>
            <w:r w:rsidRPr="00A67277">
              <w:rPr>
                <w:rFonts w:cs="Arial"/>
              </w:rPr>
              <w:t xml:space="preserve"> Layanan dan/atau Jangka Waktu. </w:t>
            </w:r>
          </w:p>
        </w:tc>
      </w:tr>
      <w:tr w:rsidR="00862B0B" w:rsidRPr="00A67277" w14:paraId="77A15EF9" w14:textId="77777777" w:rsidTr="00862B0B">
        <w:tc>
          <w:tcPr>
            <w:tcW w:w="2270" w:type="pct"/>
          </w:tcPr>
          <w:p w14:paraId="52A98955" w14:textId="58A832B7" w:rsidR="00862B0B" w:rsidRPr="00A67277" w:rsidRDefault="00862B0B" w:rsidP="00862B0B">
            <w:pPr>
              <w:pStyle w:val="Level3"/>
              <w:numPr>
                <w:ilvl w:val="2"/>
                <w:numId w:val="414"/>
              </w:numPr>
              <w:tabs>
                <w:tab w:val="clear" w:pos="1417"/>
                <w:tab w:val="num" w:pos="1134"/>
              </w:tabs>
              <w:spacing w:before="60" w:after="60"/>
              <w:ind w:left="1134" w:hanging="425"/>
              <w:rPr>
                <w:rFonts w:cs="Arial"/>
              </w:rPr>
            </w:pPr>
            <w:bookmarkStart w:id="206" w:name="_Toc501178004"/>
            <w:r w:rsidRPr="00A67277">
              <w:rPr>
                <w:rFonts w:cs="Arial"/>
              </w:rPr>
              <w:t>Save as expressly prescribed in this Clause 6.4 (</w:t>
            </w:r>
            <w:r w:rsidRPr="00A67277">
              <w:rPr>
                <w:rFonts w:cs="Arial"/>
                <w:i/>
              </w:rPr>
              <w:t>Refinancing</w:t>
            </w:r>
            <w:r w:rsidRPr="00A67277">
              <w:rPr>
                <w:rFonts w:cs="Arial"/>
              </w:rPr>
              <w:t>), the Parties shall negotiate in good faith to agree on the other terms of the sharing of the Refinancing Gain (including the basis and method of calculation of the Refinancing Gain and the manner and timing of payments of GCA</w:t>
            </w:r>
            <w:r w:rsidRPr="00A67277">
              <w:rPr>
                <w:rFonts w:eastAsia="Times New Roman" w:cs="Arial"/>
              </w:rPr>
              <w:t>’</w:t>
            </w:r>
            <w:r w:rsidRPr="00A67277">
              <w:rPr>
                <w:rFonts w:cs="Arial"/>
              </w:rPr>
              <w:t>s share of the Refinancing Gain). If the Parties are unable to agree on the other terms of the sharing of the Refinancing Gain (including the basis and method of calculation of the Refinancing Gain and the manner and timing of payments of GCA</w:t>
            </w:r>
            <w:r w:rsidRPr="00A67277">
              <w:rPr>
                <w:rFonts w:eastAsia="Times New Roman" w:cs="Arial"/>
              </w:rPr>
              <w:t>’</w:t>
            </w:r>
            <w:r w:rsidRPr="00A67277">
              <w:rPr>
                <w:rFonts w:cs="Arial"/>
              </w:rPr>
              <w:t>s share of the Refinancing Gain) prior to the closing of any such proposed Refinancing, then either Party may refer the matter for resolution by a Third Party Expert pursuant to Clause 28.2 (</w:t>
            </w:r>
            <w:r w:rsidRPr="00A67277">
              <w:rPr>
                <w:rFonts w:cs="Arial"/>
                <w:i/>
              </w:rPr>
              <w:t>Referral to a Third Party Expert</w:t>
            </w:r>
            <w:r w:rsidRPr="00A67277">
              <w:rPr>
                <w:rFonts w:cs="Arial"/>
              </w:rPr>
              <w:t>). Notwithstanding the provisions of Clause 28.2 (</w:t>
            </w:r>
            <w:r w:rsidRPr="00A67277">
              <w:rPr>
                <w:rFonts w:cs="Arial"/>
                <w:i/>
              </w:rPr>
              <w:t>Referral to a Third Party Expert</w:t>
            </w:r>
            <w:r w:rsidRPr="00A67277">
              <w:rPr>
                <w:rFonts w:cs="Arial"/>
              </w:rPr>
              <w:t>), the decision of the Third Party Expert in connection with any Dispute referred pursuant to this paragraph shall be final and binding and neither Party shall be entitled to refer any such Dispute for resolution by way of arbitration in accordance with Clause 28.3 (</w:t>
            </w:r>
            <w:r w:rsidRPr="00A67277">
              <w:rPr>
                <w:rFonts w:eastAsia="Times New Roman" w:cs="Arial"/>
                <w:i/>
              </w:rPr>
              <w:t>Arbitration</w:t>
            </w:r>
            <w:r w:rsidRPr="00A67277">
              <w:rPr>
                <w:rFonts w:cs="Arial"/>
              </w:rPr>
              <w:t>).</w:t>
            </w:r>
            <w:bookmarkEnd w:id="206"/>
          </w:p>
        </w:tc>
        <w:tc>
          <w:tcPr>
            <w:tcW w:w="169" w:type="pct"/>
          </w:tcPr>
          <w:p w14:paraId="4D066D1A" w14:textId="77777777" w:rsidR="00862B0B" w:rsidRPr="00A67277" w:rsidRDefault="00862B0B" w:rsidP="00862B0B">
            <w:pPr>
              <w:spacing w:before="60" w:after="60"/>
              <w:rPr>
                <w:rFonts w:ascii="Arial" w:hAnsi="Arial" w:cs="Arial"/>
                <w:sz w:val="21"/>
                <w:szCs w:val="21"/>
              </w:rPr>
            </w:pPr>
          </w:p>
        </w:tc>
        <w:tc>
          <w:tcPr>
            <w:tcW w:w="2561" w:type="pct"/>
            <w:gridSpan w:val="2"/>
          </w:tcPr>
          <w:p w14:paraId="0A945584" w14:textId="7BB94CF4" w:rsidR="00862B0B" w:rsidRPr="00A67277" w:rsidRDefault="00862B0B" w:rsidP="00862B0B">
            <w:pPr>
              <w:pStyle w:val="Level3"/>
              <w:numPr>
                <w:ilvl w:val="2"/>
                <w:numId w:val="343"/>
              </w:numPr>
              <w:tabs>
                <w:tab w:val="clear" w:pos="1417"/>
                <w:tab w:val="num" w:pos="1491"/>
              </w:tabs>
              <w:spacing w:before="60" w:after="60"/>
              <w:ind w:left="1491" w:hanging="540"/>
              <w:rPr>
                <w:rFonts w:cs="Arial"/>
              </w:rPr>
            </w:pPr>
            <w:r w:rsidRPr="00A67277">
              <w:rPr>
                <w:rFonts w:cs="Arial"/>
              </w:rPr>
              <w:t>Kecuali diatur secara tegas dalam Pasal 6.4 (</w:t>
            </w:r>
            <w:r w:rsidRPr="00A67277">
              <w:rPr>
                <w:rFonts w:cs="Arial"/>
                <w:i/>
              </w:rPr>
              <w:t>Pembiayaan Ulang</w:t>
            </w:r>
            <w:r w:rsidRPr="00A67277">
              <w:rPr>
                <w:rFonts w:cs="Arial"/>
              </w:rPr>
              <w:t>) ini, Para Pihak harus bernegosiasi dengan itikad baik untuk menyetujui persyaratan lain dalam pembagian Keuntungan Pembiayaan Ulang (termasuk dasar dan metode penghitungan Keuntungan Pembiayaan Ulang dan cara serta waktu pembayaran bagian PJPK dari Keuntungan Pembiayaan Ulang). Jika Para Pihak tidak dapat menyetujui persyaratan lain sehubungan dengan pembagian Keuntungan Pembiayaan Ulang (termasuk dasar dan metode penghitungan Keuntungan Pembiayaan Ulang dan cara serta waktu pembayaran bagian PJPK dari Keuntungan Pembiayaan Ulang) sebelum pemenuhan Pembiayaan Ulang yang diusulkan tersebut, maka salah satu Pihak dapat merujuk hal tersebut untuk diselesaikan oleh Ahli Independen sesuai dengan Pasal 28.2 (</w:t>
            </w:r>
            <w:r w:rsidRPr="00A67277">
              <w:rPr>
                <w:rFonts w:cs="Arial"/>
                <w:i/>
              </w:rPr>
              <w:t>Rujukan kepada Ahli Independen</w:t>
            </w:r>
            <w:r w:rsidRPr="00A67277">
              <w:rPr>
                <w:rFonts w:cs="Arial"/>
              </w:rPr>
              <w:t>). Menyimpang dari ketentuan Pasal 28.2 (</w:t>
            </w:r>
            <w:r w:rsidRPr="00A67277">
              <w:rPr>
                <w:rFonts w:cs="Arial"/>
                <w:i/>
              </w:rPr>
              <w:t>Rujukan kepada Ahli Independen</w:t>
            </w:r>
            <w:r w:rsidRPr="00A67277">
              <w:rPr>
                <w:rFonts w:cs="Arial"/>
              </w:rPr>
              <w:t>), penetapan Ahli Independen sehubungan dengan Sengketa yang dimaksud menurut pargraf ini bersifat final dan mengikat dan masing-masing Pihak tidak berhak untuk merujuk Sengketa tersebut untuk diselesaikan melalui arbitrase sesuai dengan Pasal 28.3 (</w:t>
            </w:r>
            <w:r w:rsidRPr="00A67277">
              <w:rPr>
                <w:rFonts w:cs="Arial"/>
                <w:i/>
              </w:rPr>
              <w:t>Arbitrase</w:t>
            </w:r>
            <w:r w:rsidRPr="00A67277">
              <w:rPr>
                <w:rFonts w:cs="Arial"/>
              </w:rPr>
              <w:t>).</w:t>
            </w:r>
          </w:p>
        </w:tc>
      </w:tr>
      <w:tr w:rsidR="00862B0B" w:rsidRPr="00A67277" w14:paraId="2D5DA10D" w14:textId="77777777" w:rsidTr="00862B0B">
        <w:tc>
          <w:tcPr>
            <w:tcW w:w="2270" w:type="pct"/>
          </w:tcPr>
          <w:p w14:paraId="04C5753D" w14:textId="4F9B4ED6" w:rsidR="00862B0B" w:rsidRPr="00A67277" w:rsidRDefault="00862B0B" w:rsidP="00862B0B">
            <w:pPr>
              <w:pStyle w:val="CentredHeading"/>
              <w:numPr>
                <w:ilvl w:val="0"/>
                <w:numId w:val="470"/>
              </w:numPr>
              <w:spacing w:before="60" w:after="60"/>
              <w:ind w:left="460" w:hanging="460"/>
              <w:jc w:val="left"/>
              <w:rPr>
                <w:rFonts w:cs="Arial"/>
              </w:rPr>
            </w:pPr>
            <w:bookmarkStart w:id="207" w:name="_Toc501178014"/>
            <w:r w:rsidRPr="00A67277">
              <w:rPr>
                <w:rFonts w:cs="Arial"/>
              </w:rPr>
              <w:t>Land and Site</w:t>
            </w:r>
            <w:bookmarkEnd w:id="207"/>
          </w:p>
        </w:tc>
        <w:tc>
          <w:tcPr>
            <w:tcW w:w="169" w:type="pct"/>
          </w:tcPr>
          <w:p w14:paraId="262F6587" w14:textId="77777777" w:rsidR="00862B0B" w:rsidRPr="00A67277" w:rsidRDefault="00862B0B" w:rsidP="00862B0B">
            <w:pPr>
              <w:spacing w:before="60" w:after="60"/>
              <w:rPr>
                <w:rFonts w:ascii="Arial" w:hAnsi="Arial" w:cs="Arial"/>
                <w:sz w:val="21"/>
                <w:szCs w:val="21"/>
              </w:rPr>
            </w:pPr>
          </w:p>
        </w:tc>
        <w:tc>
          <w:tcPr>
            <w:tcW w:w="2561" w:type="pct"/>
            <w:gridSpan w:val="2"/>
          </w:tcPr>
          <w:p w14:paraId="0356A0A6" w14:textId="77777777" w:rsidR="00862B0B" w:rsidRPr="00A67277" w:rsidRDefault="00862B0B" w:rsidP="00862B0B">
            <w:pPr>
              <w:pStyle w:val="CentredHeading"/>
              <w:numPr>
                <w:ilvl w:val="0"/>
                <w:numId w:val="415"/>
              </w:numPr>
              <w:spacing w:before="60" w:after="60"/>
              <w:ind w:left="457" w:hanging="425"/>
              <w:jc w:val="left"/>
              <w:rPr>
                <w:rFonts w:cs="Arial"/>
                <w:lang w:val="en-US" w:eastAsia="en-US"/>
              </w:rPr>
            </w:pPr>
            <w:r w:rsidRPr="00A67277">
              <w:rPr>
                <w:rFonts w:cs="Arial"/>
                <w:lang w:val="en-US" w:eastAsia="en-US"/>
              </w:rPr>
              <w:t>Tanah dan Lokasi</w:t>
            </w:r>
          </w:p>
        </w:tc>
      </w:tr>
      <w:tr w:rsidR="00862B0B" w:rsidRPr="00A67277" w14:paraId="011A1AAE" w14:textId="77777777" w:rsidTr="00862B0B">
        <w:tc>
          <w:tcPr>
            <w:tcW w:w="2270" w:type="pct"/>
          </w:tcPr>
          <w:p w14:paraId="7BF831A8" w14:textId="6716F5F2" w:rsidR="00862B0B" w:rsidRPr="00A67277" w:rsidRDefault="00862B0B" w:rsidP="00862B0B">
            <w:pPr>
              <w:pStyle w:val="Heading2"/>
              <w:keepLines w:val="0"/>
              <w:numPr>
                <w:ilvl w:val="1"/>
                <w:numId w:val="415"/>
              </w:numPr>
              <w:spacing w:before="60" w:after="60"/>
              <w:ind w:left="851" w:hanging="425"/>
              <w:outlineLvl w:val="1"/>
              <w:rPr>
                <w:rFonts w:ascii="Arial" w:hAnsi="Arial" w:cs="Arial"/>
                <w:b/>
                <w:color w:val="auto"/>
                <w:sz w:val="21"/>
                <w:szCs w:val="21"/>
              </w:rPr>
            </w:pPr>
            <w:bookmarkStart w:id="208" w:name="_Toc501178015"/>
            <w:r w:rsidRPr="00A67277">
              <w:rPr>
                <w:rFonts w:ascii="Arial" w:hAnsi="Arial" w:cs="Arial"/>
                <w:b/>
                <w:color w:val="auto"/>
                <w:sz w:val="21"/>
                <w:szCs w:val="21"/>
              </w:rPr>
              <w:t>Rights on Sit</w:t>
            </w:r>
            <w:bookmarkEnd w:id="208"/>
            <w:r w:rsidRPr="00A67277">
              <w:rPr>
                <w:rFonts w:ascii="Arial" w:hAnsi="Arial" w:cs="Arial"/>
                <w:b/>
                <w:color w:val="auto"/>
                <w:sz w:val="21"/>
                <w:szCs w:val="21"/>
              </w:rPr>
              <w:t>e</w:t>
            </w:r>
          </w:p>
        </w:tc>
        <w:tc>
          <w:tcPr>
            <w:tcW w:w="169" w:type="pct"/>
          </w:tcPr>
          <w:p w14:paraId="7B95F43C" w14:textId="57EA6AD4" w:rsidR="00862B0B" w:rsidRPr="00A67277" w:rsidRDefault="00862B0B" w:rsidP="00862B0B">
            <w:pPr>
              <w:spacing w:before="60" w:after="60"/>
              <w:rPr>
                <w:rFonts w:ascii="Arial" w:hAnsi="Arial" w:cs="Arial"/>
                <w:sz w:val="21"/>
                <w:szCs w:val="21"/>
              </w:rPr>
            </w:pPr>
          </w:p>
        </w:tc>
        <w:tc>
          <w:tcPr>
            <w:tcW w:w="2561" w:type="pct"/>
            <w:gridSpan w:val="2"/>
          </w:tcPr>
          <w:p w14:paraId="42C7ABE4" w14:textId="46CB8640" w:rsidR="00862B0B" w:rsidRPr="00A67277" w:rsidRDefault="00862B0B" w:rsidP="00862B0B">
            <w:pPr>
              <w:pStyle w:val="Heading2"/>
              <w:keepLines w:val="0"/>
              <w:numPr>
                <w:ilvl w:val="1"/>
                <w:numId w:val="470"/>
              </w:numPr>
              <w:spacing w:before="60" w:after="60"/>
              <w:ind w:left="882" w:hanging="425"/>
              <w:jc w:val="both"/>
              <w:outlineLvl w:val="1"/>
              <w:rPr>
                <w:rFonts w:ascii="Arial" w:hAnsi="Arial" w:cs="Arial"/>
                <w:b/>
                <w:color w:val="auto"/>
                <w:sz w:val="21"/>
                <w:szCs w:val="21"/>
              </w:rPr>
            </w:pPr>
            <w:r w:rsidRPr="00A67277">
              <w:rPr>
                <w:rFonts w:ascii="Arial" w:hAnsi="Arial" w:cs="Arial"/>
                <w:b/>
                <w:color w:val="auto"/>
                <w:sz w:val="21"/>
                <w:szCs w:val="21"/>
              </w:rPr>
              <w:t>Hak atas Lokasi</w:t>
            </w:r>
          </w:p>
        </w:tc>
      </w:tr>
      <w:tr w:rsidR="00862B0B" w:rsidRPr="00A67277" w14:paraId="4438123D" w14:textId="77777777" w:rsidTr="00862B0B">
        <w:tc>
          <w:tcPr>
            <w:tcW w:w="2270" w:type="pct"/>
          </w:tcPr>
          <w:p w14:paraId="617E384F" w14:textId="7B904A16" w:rsidR="00862B0B" w:rsidRPr="00A67277" w:rsidRDefault="00862B0B" w:rsidP="00862B0B">
            <w:pPr>
              <w:pStyle w:val="ListParagraph"/>
              <w:numPr>
                <w:ilvl w:val="0"/>
                <w:numId w:val="349"/>
              </w:numPr>
              <w:spacing w:before="60" w:after="60" w:line="240" w:lineRule="auto"/>
              <w:ind w:left="1298" w:hanging="447"/>
              <w:jc w:val="left"/>
              <w:rPr>
                <w:rFonts w:cs="Arial"/>
              </w:rPr>
            </w:pPr>
            <w:bookmarkStart w:id="209" w:name="_Toc501178016"/>
            <w:r w:rsidRPr="00A67277">
              <w:rPr>
                <w:rFonts w:cs="Arial"/>
              </w:rPr>
              <w:t xml:space="preserve">GCA hereby: </w:t>
            </w:r>
            <w:bookmarkEnd w:id="209"/>
          </w:p>
        </w:tc>
        <w:tc>
          <w:tcPr>
            <w:tcW w:w="169" w:type="pct"/>
          </w:tcPr>
          <w:p w14:paraId="42432A42" w14:textId="77777777" w:rsidR="00862B0B" w:rsidRPr="00A67277" w:rsidRDefault="00862B0B" w:rsidP="00862B0B">
            <w:pPr>
              <w:spacing w:before="60" w:after="60"/>
              <w:rPr>
                <w:rFonts w:ascii="Arial" w:hAnsi="Arial" w:cs="Arial"/>
                <w:sz w:val="21"/>
                <w:szCs w:val="21"/>
              </w:rPr>
            </w:pPr>
          </w:p>
        </w:tc>
        <w:tc>
          <w:tcPr>
            <w:tcW w:w="2561" w:type="pct"/>
            <w:gridSpan w:val="2"/>
          </w:tcPr>
          <w:p w14:paraId="25B8F913" w14:textId="77777777" w:rsidR="00862B0B" w:rsidRPr="00A67277" w:rsidRDefault="00862B0B" w:rsidP="00862B0B">
            <w:pPr>
              <w:pStyle w:val="Level3"/>
              <w:numPr>
                <w:ilvl w:val="2"/>
                <w:numId w:val="347"/>
              </w:numPr>
              <w:tabs>
                <w:tab w:val="clear" w:pos="1417"/>
                <w:tab w:val="num" w:pos="1333"/>
              </w:tabs>
              <w:spacing w:before="60" w:after="60"/>
              <w:ind w:left="1333" w:hanging="425"/>
              <w:rPr>
                <w:rFonts w:cs="Arial"/>
              </w:rPr>
            </w:pPr>
            <w:r w:rsidRPr="00A67277">
              <w:rPr>
                <w:rFonts w:cs="Arial"/>
              </w:rPr>
              <w:t xml:space="preserve">PJPK dengan ini: </w:t>
            </w:r>
          </w:p>
        </w:tc>
      </w:tr>
      <w:tr w:rsidR="00862B0B" w:rsidRPr="00A67277" w14:paraId="590745C1" w14:textId="77777777" w:rsidTr="00862B0B">
        <w:tc>
          <w:tcPr>
            <w:tcW w:w="2270" w:type="pct"/>
          </w:tcPr>
          <w:p w14:paraId="36207AD0" w14:textId="77777777" w:rsidR="00862B0B" w:rsidRPr="00A67277" w:rsidRDefault="00862B0B" w:rsidP="00862B0B">
            <w:pPr>
              <w:pStyle w:val="Level4"/>
              <w:numPr>
                <w:ilvl w:val="3"/>
                <w:numId w:val="2"/>
              </w:numPr>
              <w:tabs>
                <w:tab w:val="clear" w:pos="2126"/>
                <w:tab w:val="num" w:pos="1701"/>
              </w:tabs>
              <w:spacing w:before="60" w:after="60"/>
              <w:ind w:left="1701" w:hanging="425"/>
              <w:rPr>
                <w:rFonts w:cs="Arial"/>
              </w:rPr>
            </w:pPr>
            <w:r w:rsidRPr="00A67277">
              <w:rPr>
                <w:rFonts w:cs="Arial"/>
              </w:rPr>
              <w:t xml:space="preserve">undertakes to procure access and usage rights </w:t>
            </w:r>
            <w:bookmarkStart w:id="210" w:name="_cp_text_1_1330"/>
            <w:r w:rsidRPr="00A67277">
              <w:rPr>
                <w:rFonts w:cs="Arial"/>
              </w:rPr>
              <w:t>to</w:t>
            </w:r>
            <w:bookmarkEnd w:id="210"/>
            <w:r w:rsidRPr="00A67277">
              <w:rPr>
                <w:rFonts w:cs="Arial"/>
              </w:rPr>
              <w:t xml:space="preserve"> the land constituting the Site; </w:t>
            </w:r>
          </w:p>
          <w:p w14:paraId="17145070" w14:textId="77777777" w:rsidR="00862B0B" w:rsidRPr="00A67277" w:rsidRDefault="00862B0B" w:rsidP="00862B0B">
            <w:pPr>
              <w:spacing w:before="60" w:after="60"/>
              <w:rPr>
                <w:rFonts w:ascii="Arial" w:hAnsi="Arial" w:cs="Arial"/>
                <w:sz w:val="21"/>
                <w:szCs w:val="21"/>
              </w:rPr>
            </w:pPr>
          </w:p>
        </w:tc>
        <w:tc>
          <w:tcPr>
            <w:tcW w:w="169" w:type="pct"/>
          </w:tcPr>
          <w:p w14:paraId="015E881F" w14:textId="77777777" w:rsidR="00862B0B" w:rsidRPr="00A67277" w:rsidRDefault="00862B0B" w:rsidP="00862B0B">
            <w:pPr>
              <w:spacing w:before="60" w:after="60"/>
              <w:rPr>
                <w:rFonts w:ascii="Arial" w:hAnsi="Arial" w:cs="Arial"/>
                <w:sz w:val="21"/>
                <w:szCs w:val="21"/>
              </w:rPr>
            </w:pPr>
          </w:p>
        </w:tc>
        <w:tc>
          <w:tcPr>
            <w:tcW w:w="2561" w:type="pct"/>
            <w:gridSpan w:val="2"/>
          </w:tcPr>
          <w:p w14:paraId="2298BFEA" w14:textId="77777777" w:rsidR="00862B0B" w:rsidRPr="00A67277" w:rsidRDefault="00862B0B" w:rsidP="00862B0B">
            <w:pPr>
              <w:pStyle w:val="Level4"/>
              <w:numPr>
                <w:ilvl w:val="3"/>
                <w:numId w:val="350"/>
              </w:numPr>
              <w:tabs>
                <w:tab w:val="clear" w:pos="2126"/>
              </w:tabs>
              <w:spacing w:before="60" w:after="60"/>
              <w:ind w:left="1733" w:hanging="425"/>
              <w:rPr>
                <w:rFonts w:cs="Arial"/>
              </w:rPr>
            </w:pPr>
            <w:r w:rsidRPr="00A67277">
              <w:rPr>
                <w:rFonts w:cs="Arial"/>
              </w:rPr>
              <w:t>berjanji untuk mendapatkan akses dan hak untuk menggunakan setiap bidang tanah yang merupakan bagian-bagian dari Lokasi;</w:t>
            </w:r>
          </w:p>
        </w:tc>
      </w:tr>
      <w:tr w:rsidR="00862B0B" w:rsidRPr="00A67277" w14:paraId="64D244E9" w14:textId="77777777" w:rsidTr="00862B0B">
        <w:tc>
          <w:tcPr>
            <w:tcW w:w="2270" w:type="pct"/>
          </w:tcPr>
          <w:p w14:paraId="01B42A15" w14:textId="7FFAC49F" w:rsidR="00862B0B" w:rsidRPr="00A67277" w:rsidRDefault="00862B0B" w:rsidP="00862B0B">
            <w:pPr>
              <w:pStyle w:val="Level4"/>
              <w:numPr>
                <w:ilvl w:val="3"/>
                <w:numId w:val="2"/>
              </w:numPr>
              <w:tabs>
                <w:tab w:val="clear" w:pos="2126"/>
                <w:tab w:val="num" w:pos="1701"/>
              </w:tabs>
              <w:spacing w:before="60" w:after="60"/>
              <w:ind w:left="1701" w:hanging="425"/>
              <w:rPr>
                <w:rFonts w:cs="Arial"/>
              </w:rPr>
            </w:pPr>
            <w:r w:rsidRPr="00A67277">
              <w:rPr>
                <w:rFonts w:cs="Arial"/>
              </w:rPr>
              <w:t>undertakes that the Toll Road Operators shall cooperate with and provide access to the IBE for carrying out the Works on Site;</w:t>
            </w:r>
          </w:p>
        </w:tc>
        <w:tc>
          <w:tcPr>
            <w:tcW w:w="169" w:type="pct"/>
          </w:tcPr>
          <w:p w14:paraId="77BF2BA9" w14:textId="77777777" w:rsidR="00862B0B" w:rsidRPr="00A67277" w:rsidRDefault="00862B0B" w:rsidP="00862B0B">
            <w:pPr>
              <w:spacing w:before="60" w:after="60"/>
              <w:rPr>
                <w:rFonts w:ascii="Arial" w:hAnsi="Arial" w:cs="Arial"/>
                <w:sz w:val="21"/>
                <w:szCs w:val="21"/>
              </w:rPr>
            </w:pPr>
          </w:p>
        </w:tc>
        <w:tc>
          <w:tcPr>
            <w:tcW w:w="2561" w:type="pct"/>
            <w:gridSpan w:val="2"/>
          </w:tcPr>
          <w:p w14:paraId="7BFAEFE6" w14:textId="62D7EA02" w:rsidR="00862B0B" w:rsidRPr="00A67277" w:rsidRDefault="00862B0B" w:rsidP="00862B0B">
            <w:pPr>
              <w:pStyle w:val="Level4"/>
              <w:numPr>
                <w:ilvl w:val="3"/>
                <w:numId w:val="476"/>
              </w:numPr>
              <w:tabs>
                <w:tab w:val="clear" w:pos="2126"/>
              </w:tabs>
              <w:spacing w:before="60" w:after="60"/>
              <w:ind w:left="1733" w:hanging="425"/>
              <w:rPr>
                <w:rFonts w:cs="Arial"/>
              </w:rPr>
            </w:pPr>
            <w:r w:rsidRPr="00A67277">
              <w:rPr>
                <w:rFonts w:cs="Arial"/>
              </w:rPr>
              <w:t>berjanji bahwa Badan Usaha Jalan Tol bekerjasama dengan dan memberikan akses kepada BUP untuk melaksanakan Pekerjaan di Lokasi;</w:t>
            </w:r>
          </w:p>
        </w:tc>
      </w:tr>
      <w:tr w:rsidR="00862B0B" w:rsidRPr="00A67277" w14:paraId="76813242" w14:textId="77777777" w:rsidTr="00862B0B">
        <w:tc>
          <w:tcPr>
            <w:tcW w:w="2270" w:type="pct"/>
          </w:tcPr>
          <w:p w14:paraId="070BE8FA" w14:textId="77777777" w:rsidR="00862B0B" w:rsidRPr="00A67277" w:rsidRDefault="00862B0B" w:rsidP="00862B0B">
            <w:pPr>
              <w:pStyle w:val="Level4"/>
              <w:numPr>
                <w:ilvl w:val="3"/>
                <w:numId w:val="2"/>
              </w:numPr>
              <w:tabs>
                <w:tab w:val="clear" w:pos="2126"/>
                <w:tab w:val="num" w:pos="1701"/>
              </w:tabs>
              <w:spacing w:before="60" w:after="60"/>
              <w:ind w:left="1701" w:hanging="425"/>
              <w:rPr>
                <w:rFonts w:cs="Arial"/>
              </w:rPr>
            </w:pPr>
            <w:r w:rsidRPr="00A67277">
              <w:rPr>
                <w:rFonts w:cs="Arial"/>
              </w:rPr>
              <w:t>grants, or undertakes to procure the granting of, to the IBE from the Site Hand-over Date until the Expiry Date, the right of use the Site, including the totality of surface and underground spaces with adequate access thereto</w:t>
            </w:r>
            <w:bookmarkStart w:id="211" w:name="_cp_text_1_1336"/>
            <w:r w:rsidRPr="00A67277">
              <w:rPr>
                <w:rFonts w:cs="Arial"/>
              </w:rPr>
              <w:t>, and associated air spaces above the Site</w:t>
            </w:r>
            <w:bookmarkEnd w:id="211"/>
            <w:r w:rsidRPr="00A67277">
              <w:rPr>
                <w:rFonts w:cs="Arial"/>
              </w:rPr>
              <w:t xml:space="preserve">, which are necessary for the construction of the Facility and the operation and maintenance of the Facility, in accordance with the provisions herein, at no charge to the </w:t>
            </w:r>
            <w:bookmarkStart w:id="212" w:name="_cp_text_1_1337"/>
            <w:r w:rsidRPr="00A67277">
              <w:rPr>
                <w:rFonts w:cs="Arial"/>
              </w:rPr>
              <w:t>IBE</w:t>
            </w:r>
            <w:bookmarkEnd w:id="212"/>
            <w:r w:rsidRPr="00A67277">
              <w:rPr>
                <w:rFonts w:cs="Arial"/>
              </w:rPr>
              <w:t>;</w:t>
            </w:r>
          </w:p>
        </w:tc>
        <w:tc>
          <w:tcPr>
            <w:tcW w:w="169" w:type="pct"/>
          </w:tcPr>
          <w:p w14:paraId="6EF5712B" w14:textId="77777777" w:rsidR="00862B0B" w:rsidRPr="00A67277" w:rsidRDefault="00862B0B" w:rsidP="00862B0B">
            <w:pPr>
              <w:spacing w:before="60" w:after="60"/>
              <w:rPr>
                <w:rFonts w:ascii="Arial" w:hAnsi="Arial" w:cs="Arial"/>
                <w:sz w:val="21"/>
                <w:szCs w:val="21"/>
              </w:rPr>
            </w:pPr>
          </w:p>
        </w:tc>
        <w:tc>
          <w:tcPr>
            <w:tcW w:w="2561" w:type="pct"/>
            <w:gridSpan w:val="2"/>
          </w:tcPr>
          <w:p w14:paraId="59038138" w14:textId="0ECA24D4" w:rsidR="00862B0B" w:rsidRPr="00A67277" w:rsidRDefault="00862B0B" w:rsidP="00862B0B">
            <w:pPr>
              <w:pStyle w:val="Level4"/>
              <w:numPr>
                <w:ilvl w:val="3"/>
                <w:numId w:val="476"/>
              </w:numPr>
              <w:tabs>
                <w:tab w:val="clear" w:pos="2126"/>
              </w:tabs>
              <w:spacing w:before="60" w:after="60"/>
              <w:ind w:left="1733" w:hanging="425"/>
              <w:rPr>
                <w:rFonts w:cs="Arial"/>
              </w:rPr>
            </w:pPr>
            <w:r w:rsidRPr="00A67277">
              <w:rPr>
                <w:rFonts w:cs="Arial"/>
              </w:rPr>
              <w:t>memberikan, atau berjanji untuk menyebabkan diberikannya kepada BUP sejak Tanggal Serah Terima Lokasi sampai dengan Tanggal Daluarsa Perjanjian, hak untuk menggunakan Lokasi, temasuk seluruh permukaan dan ruang bawah tanah dengan akses yang memadai, dan ruang udara yang berada di atas Lokasi, yang diperlukan untuk keperluan pelaksanaan Pekerjaan Fasilitas dan pengoperasian serta pemeliharaan Fasilitas sesuai dengan ketentuan dalam Perjanjian ini, tanpa biaya yang dibebankan kepada BUP;</w:t>
            </w:r>
          </w:p>
        </w:tc>
      </w:tr>
      <w:tr w:rsidR="00862B0B" w:rsidRPr="00A67277" w14:paraId="0D1B5A81" w14:textId="77777777" w:rsidTr="00862B0B">
        <w:tc>
          <w:tcPr>
            <w:tcW w:w="2270" w:type="pct"/>
          </w:tcPr>
          <w:p w14:paraId="557203EA" w14:textId="08F74E1F" w:rsidR="00862B0B" w:rsidRPr="00A67277" w:rsidRDefault="00862B0B" w:rsidP="00862B0B">
            <w:pPr>
              <w:pStyle w:val="Level4"/>
              <w:numPr>
                <w:ilvl w:val="3"/>
                <w:numId w:val="2"/>
              </w:numPr>
              <w:tabs>
                <w:tab w:val="clear" w:pos="2126"/>
                <w:tab w:val="num" w:pos="1701"/>
              </w:tabs>
              <w:spacing w:before="60" w:after="60"/>
              <w:ind w:left="1701" w:hanging="425"/>
              <w:rPr>
                <w:rFonts w:cs="Arial"/>
              </w:rPr>
            </w:pPr>
            <w:bookmarkStart w:id="213" w:name="_cp_text_1_1345"/>
            <w:r w:rsidRPr="00A67277">
              <w:rPr>
                <w:rFonts w:cs="Arial"/>
              </w:rPr>
              <w:t>in connection with Site Authorisations:</w:t>
            </w:r>
            <w:bookmarkEnd w:id="213"/>
          </w:p>
        </w:tc>
        <w:tc>
          <w:tcPr>
            <w:tcW w:w="169" w:type="pct"/>
          </w:tcPr>
          <w:p w14:paraId="120CFE41" w14:textId="77777777" w:rsidR="00862B0B" w:rsidRPr="00A67277" w:rsidRDefault="00862B0B" w:rsidP="00862B0B">
            <w:pPr>
              <w:spacing w:before="60" w:after="60"/>
              <w:rPr>
                <w:rFonts w:ascii="Arial" w:hAnsi="Arial" w:cs="Arial"/>
                <w:sz w:val="21"/>
                <w:szCs w:val="21"/>
              </w:rPr>
            </w:pPr>
          </w:p>
        </w:tc>
        <w:tc>
          <w:tcPr>
            <w:tcW w:w="2561" w:type="pct"/>
            <w:gridSpan w:val="2"/>
          </w:tcPr>
          <w:p w14:paraId="1782B9B7" w14:textId="77777777" w:rsidR="00862B0B" w:rsidRPr="00A67277" w:rsidRDefault="00862B0B" w:rsidP="00862B0B">
            <w:pPr>
              <w:pStyle w:val="Level4"/>
              <w:numPr>
                <w:ilvl w:val="3"/>
                <w:numId w:val="476"/>
              </w:numPr>
              <w:spacing w:before="60" w:after="60"/>
              <w:ind w:left="1733" w:hanging="425"/>
              <w:rPr>
                <w:rFonts w:cs="Arial"/>
              </w:rPr>
            </w:pPr>
            <w:r w:rsidRPr="00A67277">
              <w:rPr>
                <w:rFonts w:cs="Arial"/>
              </w:rPr>
              <w:t>sehubungan dengan Persetujuan Terkait Lokasi:</w:t>
            </w:r>
          </w:p>
        </w:tc>
      </w:tr>
      <w:tr w:rsidR="00862B0B" w:rsidRPr="00A67277" w14:paraId="4E745EE5" w14:textId="77777777" w:rsidTr="00862B0B">
        <w:tc>
          <w:tcPr>
            <w:tcW w:w="2270" w:type="pct"/>
          </w:tcPr>
          <w:p w14:paraId="6D6BC31A" w14:textId="1E9CA6E2" w:rsidR="00862B0B" w:rsidRPr="00A67277" w:rsidRDefault="00862B0B" w:rsidP="00862B0B">
            <w:pPr>
              <w:pStyle w:val="Level5"/>
              <w:numPr>
                <w:ilvl w:val="4"/>
                <w:numId w:val="2"/>
              </w:numPr>
              <w:tabs>
                <w:tab w:val="clear" w:pos="2835"/>
                <w:tab w:val="num" w:pos="2127"/>
              </w:tabs>
              <w:spacing w:before="60" w:after="60"/>
              <w:ind w:left="2127" w:hanging="426"/>
              <w:rPr>
                <w:rFonts w:cs="Arial"/>
              </w:rPr>
            </w:pPr>
            <w:bookmarkStart w:id="214" w:name="_cp_text_1_1346"/>
            <w:r w:rsidRPr="00A67277">
              <w:rPr>
                <w:rFonts w:cs="Arial"/>
              </w:rPr>
              <w:t xml:space="preserve">undertakes to co-operate with the </w:t>
            </w:r>
            <w:bookmarkStart w:id="215" w:name="_cp_text_4_1347"/>
            <w:bookmarkEnd w:id="214"/>
            <w:r w:rsidRPr="00A67277">
              <w:rPr>
                <w:rFonts w:cs="Arial"/>
              </w:rPr>
              <w:t xml:space="preserve">IBE </w:t>
            </w:r>
            <w:bookmarkStart w:id="216" w:name="_cp_text_1_1348"/>
            <w:bookmarkEnd w:id="215"/>
            <w:r w:rsidRPr="00A67277">
              <w:rPr>
                <w:rFonts w:cs="Arial"/>
              </w:rPr>
              <w:t>prior to the Site Hand-over Date; and</w:t>
            </w:r>
            <w:bookmarkEnd w:id="216"/>
          </w:p>
        </w:tc>
        <w:tc>
          <w:tcPr>
            <w:tcW w:w="169" w:type="pct"/>
          </w:tcPr>
          <w:p w14:paraId="5A28BE25" w14:textId="77777777" w:rsidR="00862B0B" w:rsidRPr="00A67277" w:rsidRDefault="00862B0B" w:rsidP="00862B0B">
            <w:pPr>
              <w:spacing w:before="60" w:after="60"/>
              <w:rPr>
                <w:rFonts w:ascii="Arial" w:hAnsi="Arial" w:cs="Arial"/>
                <w:sz w:val="21"/>
                <w:szCs w:val="21"/>
              </w:rPr>
            </w:pPr>
          </w:p>
        </w:tc>
        <w:tc>
          <w:tcPr>
            <w:tcW w:w="2561" w:type="pct"/>
            <w:gridSpan w:val="2"/>
          </w:tcPr>
          <w:p w14:paraId="68137B76" w14:textId="77777777" w:rsidR="00862B0B" w:rsidRPr="00A67277" w:rsidRDefault="00862B0B" w:rsidP="00862B0B">
            <w:pPr>
              <w:pStyle w:val="Level5"/>
              <w:numPr>
                <w:ilvl w:val="4"/>
                <w:numId w:val="351"/>
              </w:numPr>
              <w:tabs>
                <w:tab w:val="clear" w:pos="2835"/>
                <w:tab w:val="num" w:pos="2158"/>
              </w:tabs>
              <w:spacing w:before="60" w:after="60"/>
              <w:ind w:left="2158" w:hanging="425"/>
              <w:rPr>
                <w:rFonts w:cs="Arial"/>
              </w:rPr>
            </w:pPr>
            <w:r w:rsidRPr="00A67277">
              <w:rPr>
                <w:rFonts w:cs="Arial"/>
              </w:rPr>
              <w:t>melakukan kerjasama dengan BUP sebelum Tanggal Serah Terima Lokasi; dan</w:t>
            </w:r>
          </w:p>
        </w:tc>
      </w:tr>
      <w:tr w:rsidR="00862B0B" w:rsidRPr="00A67277" w14:paraId="43579A74" w14:textId="77777777" w:rsidTr="00862B0B">
        <w:tc>
          <w:tcPr>
            <w:tcW w:w="2270" w:type="pct"/>
          </w:tcPr>
          <w:p w14:paraId="616948C9" w14:textId="77777777" w:rsidR="00862B0B" w:rsidRPr="00A67277" w:rsidRDefault="00862B0B" w:rsidP="00862B0B">
            <w:pPr>
              <w:pStyle w:val="Level5"/>
              <w:numPr>
                <w:ilvl w:val="4"/>
                <w:numId w:val="2"/>
              </w:numPr>
              <w:tabs>
                <w:tab w:val="clear" w:pos="2835"/>
                <w:tab w:val="num" w:pos="2127"/>
              </w:tabs>
              <w:spacing w:before="60" w:after="60"/>
              <w:ind w:left="2127" w:hanging="426"/>
              <w:rPr>
                <w:rFonts w:cs="Arial"/>
              </w:rPr>
            </w:pPr>
            <w:r w:rsidRPr="00A67277">
              <w:rPr>
                <w:rFonts w:cs="Arial"/>
              </w:rPr>
              <w:t>if a Site Authorisation is required under the Legal Requirements to be in the name of IBE, to procure or provide any such Site Authorisation and to renew and/or extend such Site Authorisation during the whole duration of the Term.</w:t>
            </w:r>
          </w:p>
        </w:tc>
        <w:tc>
          <w:tcPr>
            <w:tcW w:w="169" w:type="pct"/>
          </w:tcPr>
          <w:p w14:paraId="1F1A3FCE" w14:textId="77777777" w:rsidR="00862B0B" w:rsidRPr="00A67277" w:rsidRDefault="00862B0B" w:rsidP="00862B0B">
            <w:pPr>
              <w:spacing w:before="60" w:after="60"/>
              <w:rPr>
                <w:rFonts w:ascii="Arial" w:hAnsi="Arial" w:cs="Arial"/>
                <w:sz w:val="21"/>
                <w:szCs w:val="21"/>
              </w:rPr>
            </w:pPr>
          </w:p>
        </w:tc>
        <w:tc>
          <w:tcPr>
            <w:tcW w:w="2561" w:type="pct"/>
            <w:gridSpan w:val="2"/>
          </w:tcPr>
          <w:p w14:paraId="4D0E942F" w14:textId="77777777" w:rsidR="00862B0B" w:rsidRPr="00A67277" w:rsidRDefault="00862B0B" w:rsidP="00862B0B">
            <w:pPr>
              <w:pStyle w:val="Level5"/>
              <w:numPr>
                <w:ilvl w:val="4"/>
                <w:numId w:val="477"/>
              </w:numPr>
              <w:tabs>
                <w:tab w:val="clear" w:pos="2835"/>
                <w:tab w:val="num" w:pos="2158"/>
              </w:tabs>
              <w:spacing w:before="60" w:after="60"/>
              <w:ind w:left="2158" w:hanging="425"/>
              <w:rPr>
                <w:rFonts w:cs="Arial"/>
              </w:rPr>
            </w:pPr>
            <w:r w:rsidRPr="00A67277">
              <w:rPr>
                <w:rFonts w:cs="Arial"/>
              </w:rPr>
              <w:t>apabila Persetujuan Terkait Lokasi diwajibkan berdasarkan Persyaratan Hukum untuk didapatkan atas nama BUP, untuk mendapatkan atau memberikan Persetujuan Terkait Lokasi pada saat Tanggal Serah Terima Lokasi dan untuk memperbaharui dan/atau memperpanjang Persetujuan Terkait Lokasi tersebut selama durasi Jangka Waktu.</w:t>
            </w:r>
            <w:bookmarkStart w:id="217" w:name="_cp_text_1_1349"/>
            <w:bookmarkEnd w:id="217"/>
          </w:p>
        </w:tc>
      </w:tr>
      <w:tr w:rsidR="00862B0B" w:rsidRPr="00A67277" w14:paraId="62D8FD85" w14:textId="77777777" w:rsidTr="00862B0B">
        <w:tc>
          <w:tcPr>
            <w:tcW w:w="2270" w:type="pct"/>
          </w:tcPr>
          <w:p w14:paraId="12CD23A5" w14:textId="51C6B387" w:rsidR="00862B0B" w:rsidRPr="00A67277" w:rsidRDefault="00862B0B" w:rsidP="00862B0B">
            <w:pPr>
              <w:pStyle w:val="ListParagraph"/>
              <w:numPr>
                <w:ilvl w:val="0"/>
                <w:numId w:val="349"/>
              </w:numPr>
              <w:spacing w:before="60" w:after="60" w:line="240" w:lineRule="auto"/>
              <w:ind w:left="1298" w:hanging="447"/>
              <w:rPr>
                <w:rFonts w:cs="Arial"/>
              </w:rPr>
            </w:pPr>
            <w:bookmarkStart w:id="218" w:name="_Toc501178017"/>
            <w:r w:rsidRPr="00A67277">
              <w:rPr>
                <w:rFonts w:cs="Arial"/>
              </w:rPr>
              <w:t>GCA undertakes the obligation, during the whole duration of the Term, IBE shall have the right to utilize the Site for the purpose of the Project.</w:t>
            </w:r>
            <w:bookmarkEnd w:id="218"/>
          </w:p>
        </w:tc>
        <w:tc>
          <w:tcPr>
            <w:tcW w:w="169" w:type="pct"/>
          </w:tcPr>
          <w:p w14:paraId="62DD19B3" w14:textId="77777777" w:rsidR="00862B0B" w:rsidRPr="00A67277" w:rsidRDefault="00862B0B" w:rsidP="00862B0B">
            <w:pPr>
              <w:spacing w:before="60" w:after="60"/>
              <w:rPr>
                <w:rFonts w:ascii="Arial" w:hAnsi="Arial" w:cs="Arial"/>
                <w:sz w:val="21"/>
                <w:szCs w:val="21"/>
              </w:rPr>
            </w:pPr>
          </w:p>
        </w:tc>
        <w:tc>
          <w:tcPr>
            <w:tcW w:w="2561" w:type="pct"/>
            <w:gridSpan w:val="2"/>
          </w:tcPr>
          <w:p w14:paraId="572FE109" w14:textId="77777777" w:rsidR="00862B0B" w:rsidRPr="00A67277" w:rsidRDefault="00862B0B" w:rsidP="00862B0B">
            <w:pPr>
              <w:pStyle w:val="Level3"/>
              <w:numPr>
                <w:ilvl w:val="2"/>
                <w:numId w:val="347"/>
              </w:numPr>
              <w:tabs>
                <w:tab w:val="clear" w:pos="1417"/>
                <w:tab w:val="num" w:pos="1333"/>
              </w:tabs>
              <w:spacing w:before="60" w:after="60"/>
              <w:ind w:left="1333" w:hanging="425"/>
              <w:rPr>
                <w:rFonts w:cs="Arial"/>
              </w:rPr>
            </w:pPr>
            <w:r w:rsidRPr="00A67277">
              <w:rPr>
                <w:rFonts w:cs="Arial"/>
              </w:rPr>
              <w:t>PJPK berjanji, selama Jangka Waktu, BUP memiliki hak untuk menggunakan Lokasi untuk tujuan Proyek.</w:t>
            </w:r>
          </w:p>
        </w:tc>
      </w:tr>
      <w:tr w:rsidR="00862B0B" w:rsidRPr="00A67277" w14:paraId="7002309B" w14:textId="77777777" w:rsidTr="00862B0B">
        <w:tc>
          <w:tcPr>
            <w:tcW w:w="2270" w:type="pct"/>
          </w:tcPr>
          <w:p w14:paraId="3982BCB2" w14:textId="50873913" w:rsidR="00862B0B" w:rsidRPr="00A67277" w:rsidRDefault="00862B0B" w:rsidP="00862B0B">
            <w:pPr>
              <w:pStyle w:val="ListParagraph"/>
              <w:numPr>
                <w:ilvl w:val="0"/>
                <w:numId w:val="349"/>
              </w:numPr>
              <w:spacing w:before="60" w:after="60" w:line="240" w:lineRule="auto"/>
              <w:ind w:left="1298" w:hanging="447"/>
              <w:rPr>
                <w:rFonts w:cs="Arial"/>
              </w:rPr>
            </w:pPr>
            <w:bookmarkStart w:id="219" w:name="_cp_text_1_1353"/>
            <w:bookmarkStart w:id="220" w:name="_Toc501178018"/>
            <w:r w:rsidRPr="00A67277">
              <w:rPr>
                <w:rFonts w:cs="Arial"/>
              </w:rPr>
              <w:t xml:space="preserve">Should </w:t>
            </w:r>
            <w:bookmarkEnd w:id="219"/>
            <w:r w:rsidRPr="00A67277">
              <w:rPr>
                <w:rFonts w:cs="Arial"/>
              </w:rPr>
              <w:t xml:space="preserve">GCA </w:t>
            </w:r>
            <w:bookmarkStart w:id="221" w:name="_cp_text_1_1355"/>
            <w:r w:rsidRPr="00A67277">
              <w:rPr>
                <w:rFonts w:cs="Arial"/>
              </w:rPr>
              <w:t xml:space="preserve">fails </w:t>
            </w:r>
            <w:bookmarkEnd w:id="221"/>
            <w:r w:rsidRPr="00A67277">
              <w:rPr>
                <w:rFonts w:cs="Arial"/>
              </w:rPr>
              <w:t xml:space="preserve">to comply with the obligations of this Clause, the IBE shall be entitled to </w:t>
            </w:r>
            <w:bookmarkStart w:id="222" w:name="_cp_text_1_1357"/>
            <w:r w:rsidRPr="00A67277">
              <w:rPr>
                <w:rFonts w:cs="Arial"/>
              </w:rPr>
              <w:t xml:space="preserve">a </w:t>
            </w:r>
            <w:bookmarkEnd w:id="222"/>
            <w:r w:rsidRPr="00A67277">
              <w:rPr>
                <w:rFonts w:cs="Arial"/>
              </w:rPr>
              <w:t xml:space="preserve">corresponding extension of the Milestone Dates to the extent that such non-compliance </w:t>
            </w:r>
            <w:bookmarkStart w:id="223" w:name="_cp_text_1_1359"/>
            <w:r w:rsidRPr="00A67277">
              <w:rPr>
                <w:rFonts w:cs="Arial"/>
              </w:rPr>
              <w:t xml:space="preserve">causes </w:t>
            </w:r>
            <w:bookmarkEnd w:id="223"/>
            <w:r w:rsidRPr="00A67277">
              <w:rPr>
                <w:rFonts w:cs="Arial"/>
              </w:rPr>
              <w:t xml:space="preserve">delay </w:t>
            </w:r>
            <w:bookmarkStart w:id="224" w:name="_cp_text_1_1361"/>
            <w:r w:rsidRPr="00A67277">
              <w:rPr>
                <w:rFonts w:cs="Arial"/>
              </w:rPr>
              <w:t xml:space="preserve">to </w:t>
            </w:r>
            <w:bookmarkEnd w:id="224"/>
            <w:r w:rsidRPr="00A67277">
              <w:rPr>
                <w:rFonts w:cs="Arial"/>
              </w:rPr>
              <w:t xml:space="preserve">the Milestone Dates, including the Commercial Operation Date. </w:t>
            </w:r>
            <w:bookmarkEnd w:id="220"/>
          </w:p>
        </w:tc>
        <w:tc>
          <w:tcPr>
            <w:tcW w:w="169" w:type="pct"/>
          </w:tcPr>
          <w:p w14:paraId="678DC949" w14:textId="77777777" w:rsidR="00862B0B" w:rsidRPr="00A67277" w:rsidRDefault="00862B0B" w:rsidP="00862B0B">
            <w:pPr>
              <w:spacing w:before="60" w:after="60"/>
              <w:rPr>
                <w:rFonts w:ascii="Arial" w:hAnsi="Arial" w:cs="Arial"/>
                <w:sz w:val="21"/>
                <w:szCs w:val="21"/>
              </w:rPr>
            </w:pPr>
          </w:p>
        </w:tc>
        <w:tc>
          <w:tcPr>
            <w:tcW w:w="2561" w:type="pct"/>
            <w:gridSpan w:val="2"/>
          </w:tcPr>
          <w:p w14:paraId="456FE071" w14:textId="7883052B" w:rsidR="00862B0B" w:rsidRPr="00A67277" w:rsidRDefault="00862B0B" w:rsidP="00862B0B">
            <w:pPr>
              <w:pStyle w:val="Level3"/>
              <w:numPr>
                <w:ilvl w:val="2"/>
                <w:numId w:val="347"/>
              </w:numPr>
              <w:tabs>
                <w:tab w:val="clear" w:pos="1417"/>
                <w:tab w:val="num" w:pos="1333"/>
              </w:tabs>
              <w:spacing w:before="60" w:after="60"/>
              <w:ind w:left="1333" w:hanging="425"/>
              <w:rPr>
                <w:rFonts w:cs="Arial"/>
              </w:rPr>
            </w:pPr>
            <w:r w:rsidRPr="00A67277">
              <w:rPr>
                <w:rFonts w:cs="Arial"/>
              </w:rPr>
              <w:t xml:space="preserve">Apabila PJPK melanggar Pasal ini, BUP berhak atas perpanjangan atas Tanggal Pencapaian, sejauh ketidaksesuaian tersebut menyebabkan penundaan terhadap Tanggal Pencapaian, termasuk Tanggal Operasi Komersial. </w:t>
            </w:r>
          </w:p>
        </w:tc>
      </w:tr>
      <w:tr w:rsidR="00862B0B" w:rsidRPr="00A67277" w14:paraId="78087DBC" w14:textId="77777777" w:rsidTr="00862B0B">
        <w:tc>
          <w:tcPr>
            <w:tcW w:w="2270" w:type="pct"/>
          </w:tcPr>
          <w:p w14:paraId="1F0F972F" w14:textId="72E2CB97" w:rsidR="00862B0B" w:rsidRPr="00A67277" w:rsidRDefault="00862B0B" w:rsidP="00862B0B">
            <w:pPr>
              <w:pStyle w:val="ListParagraph"/>
              <w:numPr>
                <w:ilvl w:val="0"/>
                <w:numId w:val="349"/>
              </w:numPr>
              <w:spacing w:before="60" w:after="60" w:line="240" w:lineRule="auto"/>
              <w:ind w:left="1298" w:hanging="447"/>
              <w:rPr>
                <w:rFonts w:cs="Arial"/>
              </w:rPr>
            </w:pPr>
            <w:bookmarkStart w:id="225" w:name="_Toc501178019"/>
            <w:r w:rsidRPr="00A67277">
              <w:rPr>
                <w:rFonts w:cs="Arial"/>
              </w:rPr>
              <w:t>If requested by GCA to do so, the IBE shall cooperate with GCA in relation to the Site provision and Site Authorisation process, including using best efforts to provide any information, document, survey or study related to the Site required by GCA.</w:t>
            </w:r>
            <w:bookmarkEnd w:id="225"/>
          </w:p>
        </w:tc>
        <w:tc>
          <w:tcPr>
            <w:tcW w:w="169" w:type="pct"/>
          </w:tcPr>
          <w:p w14:paraId="342796B4" w14:textId="77777777" w:rsidR="00862B0B" w:rsidRPr="00A67277" w:rsidRDefault="00862B0B" w:rsidP="00862B0B">
            <w:pPr>
              <w:spacing w:before="60" w:after="60"/>
              <w:rPr>
                <w:rFonts w:ascii="Arial" w:hAnsi="Arial" w:cs="Arial"/>
                <w:sz w:val="21"/>
                <w:szCs w:val="21"/>
              </w:rPr>
            </w:pPr>
          </w:p>
        </w:tc>
        <w:tc>
          <w:tcPr>
            <w:tcW w:w="2561" w:type="pct"/>
            <w:gridSpan w:val="2"/>
          </w:tcPr>
          <w:p w14:paraId="6DCD4CCE" w14:textId="74C2D039" w:rsidR="00862B0B" w:rsidRPr="00A67277" w:rsidRDefault="00862B0B" w:rsidP="00862B0B">
            <w:pPr>
              <w:pStyle w:val="Level3"/>
              <w:numPr>
                <w:ilvl w:val="2"/>
                <w:numId w:val="347"/>
              </w:numPr>
              <w:tabs>
                <w:tab w:val="clear" w:pos="1417"/>
                <w:tab w:val="num" w:pos="1333"/>
              </w:tabs>
              <w:spacing w:before="60" w:after="60"/>
              <w:ind w:left="1333" w:hanging="425"/>
              <w:rPr>
                <w:rFonts w:cs="Arial"/>
              </w:rPr>
            </w:pPr>
            <w:r w:rsidRPr="00A67277">
              <w:rPr>
                <w:rFonts w:cs="Arial"/>
              </w:rPr>
              <w:t>Apabila diminta oleh PJPK, BUP akan bekerjasama dengan PJPK sehubungan dengan proses penyediaan Lokasi dan Persetujuan Terkait Lokasi, termasuk upaya terbaik untuk menyediakan seluruh informasi, dokumen, survei, atau studi terkait dengan upaya dari PJPK terhadap Lokasi.</w:t>
            </w:r>
          </w:p>
        </w:tc>
      </w:tr>
      <w:tr w:rsidR="00862B0B" w:rsidRPr="00A67277" w14:paraId="3F35AB1C" w14:textId="77777777" w:rsidTr="00862B0B">
        <w:tc>
          <w:tcPr>
            <w:tcW w:w="2270" w:type="pct"/>
          </w:tcPr>
          <w:p w14:paraId="78CC7BB9" w14:textId="06749E9B" w:rsidR="00862B0B" w:rsidRPr="00A67277" w:rsidRDefault="00862B0B" w:rsidP="00862B0B">
            <w:pPr>
              <w:pStyle w:val="Heading2"/>
              <w:keepLines w:val="0"/>
              <w:numPr>
                <w:ilvl w:val="1"/>
                <w:numId w:val="415"/>
              </w:numPr>
              <w:spacing w:before="60" w:after="60"/>
              <w:ind w:left="873" w:hanging="426"/>
              <w:jc w:val="both"/>
              <w:outlineLvl w:val="1"/>
              <w:rPr>
                <w:rFonts w:ascii="Arial" w:hAnsi="Arial" w:cs="Arial"/>
                <w:color w:val="auto"/>
                <w:sz w:val="21"/>
                <w:szCs w:val="21"/>
              </w:rPr>
            </w:pPr>
            <w:bookmarkStart w:id="226" w:name="_Toc501178020"/>
            <w:r w:rsidRPr="00A67277">
              <w:rPr>
                <w:rFonts w:ascii="Arial" w:hAnsi="Arial" w:cs="Arial"/>
                <w:b/>
                <w:color w:val="auto"/>
                <w:sz w:val="21"/>
                <w:szCs w:val="21"/>
              </w:rPr>
              <w:t>Condition of the Site</w:t>
            </w:r>
            <w:r w:rsidRPr="00A67277">
              <w:rPr>
                <w:rFonts w:ascii="Arial" w:hAnsi="Arial" w:cs="Arial"/>
                <w:color w:val="auto"/>
                <w:sz w:val="21"/>
                <w:szCs w:val="21"/>
              </w:rPr>
              <w:t xml:space="preserve"> </w:t>
            </w:r>
            <w:bookmarkEnd w:id="226"/>
          </w:p>
        </w:tc>
        <w:tc>
          <w:tcPr>
            <w:tcW w:w="169" w:type="pct"/>
          </w:tcPr>
          <w:p w14:paraId="57B34DBC" w14:textId="77777777" w:rsidR="00862B0B" w:rsidRPr="00A67277" w:rsidRDefault="00862B0B" w:rsidP="00862B0B">
            <w:pPr>
              <w:spacing w:before="60" w:after="60"/>
              <w:rPr>
                <w:rFonts w:ascii="Arial" w:hAnsi="Arial" w:cs="Arial"/>
                <w:sz w:val="21"/>
                <w:szCs w:val="21"/>
              </w:rPr>
            </w:pPr>
          </w:p>
        </w:tc>
        <w:tc>
          <w:tcPr>
            <w:tcW w:w="2561" w:type="pct"/>
            <w:gridSpan w:val="2"/>
          </w:tcPr>
          <w:p w14:paraId="14BA03EF" w14:textId="77777777" w:rsidR="00862B0B" w:rsidRPr="00A67277" w:rsidRDefault="00862B0B" w:rsidP="00862B0B">
            <w:pPr>
              <w:pStyle w:val="Heading2"/>
              <w:keepLines w:val="0"/>
              <w:numPr>
                <w:ilvl w:val="1"/>
                <w:numId w:val="470"/>
              </w:numPr>
              <w:spacing w:before="60" w:after="60"/>
              <w:ind w:left="882" w:hanging="522"/>
              <w:jc w:val="both"/>
              <w:outlineLvl w:val="1"/>
              <w:rPr>
                <w:rFonts w:ascii="Arial" w:hAnsi="Arial" w:cs="Arial"/>
                <w:b/>
                <w:color w:val="auto"/>
                <w:sz w:val="21"/>
                <w:szCs w:val="21"/>
              </w:rPr>
            </w:pPr>
            <w:r w:rsidRPr="00A67277">
              <w:rPr>
                <w:rFonts w:ascii="Arial" w:hAnsi="Arial" w:cs="Arial"/>
                <w:b/>
                <w:color w:val="auto"/>
                <w:sz w:val="21"/>
                <w:szCs w:val="21"/>
              </w:rPr>
              <w:t xml:space="preserve">Kondisi Lokasi </w:t>
            </w:r>
          </w:p>
        </w:tc>
      </w:tr>
      <w:tr w:rsidR="00862B0B" w:rsidRPr="00A67277" w14:paraId="0B45966C" w14:textId="77777777" w:rsidTr="00862B0B">
        <w:tc>
          <w:tcPr>
            <w:tcW w:w="2270" w:type="pct"/>
          </w:tcPr>
          <w:p w14:paraId="08F22F5C" w14:textId="34411142" w:rsidR="00862B0B" w:rsidRPr="00A67277" w:rsidRDefault="00862B0B" w:rsidP="00862B0B">
            <w:pPr>
              <w:pStyle w:val="Level3"/>
              <w:spacing w:before="60" w:after="60"/>
              <w:ind w:left="851"/>
              <w:rPr>
                <w:rFonts w:cs="Arial"/>
              </w:rPr>
            </w:pPr>
            <w:bookmarkStart w:id="227" w:name="_Ref400031881"/>
            <w:bookmarkStart w:id="228" w:name="_Toc501178021"/>
            <w:r w:rsidRPr="00A67277">
              <w:rPr>
                <w:rFonts w:cs="Arial"/>
              </w:rPr>
              <w:t>The IBE takes and accepts the Site on an “</w:t>
            </w:r>
            <w:r w:rsidRPr="00A67277">
              <w:rPr>
                <w:rFonts w:cs="Arial"/>
                <w:i/>
              </w:rPr>
              <w:t>as-is where-is</w:t>
            </w:r>
            <w:r w:rsidRPr="00A67277">
              <w:rPr>
                <w:rFonts w:cs="Arial"/>
              </w:rPr>
              <w:t>” basis, and at all times from the Site Hand-Over Date, the condition of the Site shall be the sole responsibility of the IBE.</w:t>
            </w:r>
            <w:bookmarkEnd w:id="227"/>
            <w:bookmarkEnd w:id="228"/>
          </w:p>
        </w:tc>
        <w:tc>
          <w:tcPr>
            <w:tcW w:w="169" w:type="pct"/>
          </w:tcPr>
          <w:p w14:paraId="4E0F9C43" w14:textId="77777777" w:rsidR="00862B0B" w:rsidRPr="00A67277" w:rsidRDefault="00862B0B" w:rsidP="00862B0B">
            <w:pPr>
              <w:spacing w:before="60" w:after="60"/>
              <w:rPr>
                <w:rFonts w:ascii="Arial" w:hAnsi="Arial" w:cs="Arial"/>
                <w:sz w:val="21"/>
                <w:szCs w:val="21"/>
              </w:rPr>
            </w:pPr>
          </w:p>
        </w:tc>
        <w:tc>
          <w:tcPr>
            <w:tcW w:w="2561" w:type="pct"/>
            <w:gridSpan w:val="2"/>
          </w:tcPr>
          <w:p w14:paraId="47EA86E3" w14:textId="77777777" w:rsidR="00862B0B" w:rsidRPr="00A67277" w:rsidRDefault="00862B0B" w:rsidP="00862B0B">
            <w:pPr>
              <w:pStyle w:val="Level3"/>
              <w:spacing w:before="60" w:after="60"/>
              <w:ind w:left="882"/>
              <w:rPr>
                <w:rFonts w:cs="Arial"/>
              </w:rPr>
            </w:pPr>
            <w:r w:rsidRPr="00A67277">
              <w:rPr>
                <w:rFonts w:cs="Arial"/>
              </w:rPr>
              <w:t>BUP mengambil dan menerima Lokasi dengan dasar “</w:t>
            </w:r>
            <w:r w:rsidRPr="00A67277">
              <w:rPr>
                <w:rFonts w:cs="Arial"/>
                <w:i/>
              </w:rPr>
              <w:t>as is where is</w:t>
            </w:r>
            <w:r w:rsidRPr="00A67277">
              <w:rPr>
                <w:rFonts w:cs="Arial"/>
              </w:rPr>
              <w:t>” atau sebagaimana adanya di tempatnya berada</w:t>
            </w:r>
            <w:r w:rsidRPr="00A67277">
              <w:rPr>
                <w:rFonts w:cs="Arial"/>
                <w:i/>
              </w:rPr>
              <w:t xml:space="preserve"> </w:t>
            </w:r>
            <w:r w:rsidRPr="00A67277">
              <w:rPr>
                <w:rFonts w:cs="Arial"/>
              </w:rPr>
              <w:t>dan setiap saat sejak Tanggal Serah Terima Lokasi, kondisi Lokasi merupakan tanggung jawab penuh dari BUP.</w:t>
            </w:r>
          </w:p>
        </w:tc>
      </w:tr>
      <w:tr w:rsidR="00862B0B" w:rsidRPr="00A67277" w14:paraId="4F20CF31" w14:textId="77777777" w:rsidTr="00862B0B">
        <w:tc>
          <w:tcPr>
            <w:tcW w:w="2270" w:type="pct"/>
          </w:tcPr>
          <w:p w14:paraId="07A86C8D" w14:textId="54539C35" w:rsidR="00862B0B" w:rsidRPr="00A67277" w:rsidRDefault="00862B0B" w:rsidP="00862B0B">
            <w:pPr>
              <w:pStyle w:val="Heading2"/>
              <w:keepLines w:val="0"/>
              <w:numPr>
                <w:ilvl w:val="1"/>
                <w:numId w:val="415"/>
              </w:numPr>
              <w:spacing w:before="60" w:after="60"/>
              <w:ind w:left="873" w:hanging="426"/>
              <w:outlineLvl w:val="1"/>
              <w:rPr>
                <w:rFonts w:ascii="Arial" w:hAnsi="Arial" w:cs="Arial"/>
                <w:b/>
                <w:color w:val="auto"/>
                <w:sz w:val="21"/>
                <w:szCs w:val="21"/>
              </w:rPr>
            </w:pPr>
            <w:bookmarkStart w:id="229" w:name="_Toc501178025"/>
            <w:r w:rsidRPr="00A67277">
              <w:rPr>
                <w:rFonts w:ascii="Arial" w:hAnsi="Arial" w:cs="Arial"/>
                <w:b/>
                <w:color w:val="auto"/>
                <w:sz w:val="21"/>
                <w:szCs w:val="21"/>
              </w:rPr>
              <w:t>Site Inspection</w:t>
            </w:r>
            <w:bookmarkEnd w:id="229"/>
          </w:p>
        </w:tc>
        <w:tc>
          <w:tcPr>
            <w:tcW w:w="169" w:type="pct"/>
          </w:tcPr>
          <w:p w14:paraId="6359235B" w14:textId="77777777" w:rsidR="00862B0B" w:rsidRPr="00A67277" w:rsidRDefault="00862B0B" w:rsidP="00862B0B">
            <w:pPr>
              <w:spacing w:before="60" w:after="60"/>
              <w:rPr>
                <w:rFonts w:ascii="Arial" w:hAnsi="Arial" w:cs="Arial"/>
                <w:sz w:val="21"/>
                <w:szCs w:val="21"/>
              </w:rPr>
            </w:pPr>
          </w:p>
        </w:tc>
        <w:tc>
          <w:tcPr>
            <w:tcW w:w="2561" w:type="pct"/>
            <w:gridSpan w:val="2"/>
          </w:tcPr>
          <w:p w14:paraId="6DAE347F" w14:textId="77777777" w:rsidR="00862B0B" w:rsidRPr="00A67277" w:rsidRDefault="00862B0B" w:rsidP="00862B0B">
            <w:pPr>
              <w:pStyle w:val="Heading2"/>
              <w:keepLines w:val="0"/>
              <w:numPr>
                <w:ilvl w:val="1"/>
                <w:numId w:val="470"/>
              </w:numPr>
              <w:spacing w:before="60" w:after="60"/>
              <w:ind w:left="882" w:hanging="522"/>
              <w:jc w:val="both"/>
              <w:outlineLvl w:val="1"/>
              <w:rPr>
                <w:rFonts w:ascii="Arial" w:hAnsi="Arial" w:cs="Arial"/>
                <w:b/>
                <w:color w:val="auto"/>
                <w:sz w:val="21"/>
                <w:szCs w:val="21"/>
              </w:rPr>
            </w:pPr>
            <w:r w:rsidRPr="00A67277">
              <w:rPr>
                <w:rFonts w:ascii="Arial" w:hAnsi="Arial" w:cs="Arial"/>
                <w:b/>
                <w:color w:val="auto"/>
                <w:sz w:val="21"/>
                <w:szCs w:val="21"/>
              </w:rPr>
              <w:t xml:space="preserve">Inspeksi Lokasi </w:t>
            </w:r>
          </w:p>
        </w:tc>
      </w:tr>
      <w:tr w:rsidR="00862B0B" w:rsidRPr="00A67277" w14:paraId="4BDDA097" w14:textId="77777777" w:rsidTr="00862B0B">
        <w:tc>
          <w:tcPr>
            <w:tcW w:w="2270" w:type="pct"/>
          </w:tcPr>
          <w:p w14:paraId="38B969BC" w14:textId="13CE44E8" w:rsidR="00862B0B" w:rsidRPr="00A67277" w:rsidRDefault="00862B0B" w:rsidP="00862B0B">
            <w:pPr>
              <w:pStyle w:val="Level3"/>
              <w:tabs>
                <w:tab w:val="left" w:pos="873"/>
              </w:tabs>
              <w:spacing w:before="60" w:after="60"/>
              <w:ind w:left="873"/>
              <w:rPr>
                <w:rFonts w:cs="Arial"/>
              </w:rPr>
            </w:pPr>
            <w:bookmarkStart w:id="230" w:name="_Toc501178026"/>
            <w:r w:rsidRPr="00A67277">
              <w:rPr>
                <w:rFonts w:cs="Arial"/>
              </w:rPr>
              <w:t>Before beginning the Works in any part of the Site, in respect of that part of the Site, the IBE shall:</w:t>
            </w:r>
            <w:bookmarkEnd w:id="230"/>
          </w:p>
        </w:tc>
        <w:tc>
          <w:tcPr>
            <w:tcW w:w="169" w:type="pct"/>
          </w:tcPr>
          <w:p w14:paraId="3C1A3075" w14:textId="77777777" w:rsidR="00862B0B" w:rsidRPr="00A67277" w:rsidRDefault="00862B0B" w:rsidP="00862B0B">
            <w:pPr>
              <w:spacing w:before="60" w:after="60"/>
              <w:rPr>
                <w:rFonts w:ascii="Arial" w:hAnsi="Arial" w:cs="Arial"/>
                <w:sz w:val="21"/>
                <w:szCs w:val="21"/>
              </w:rPr>
            </w:pPr>
          </w:p>
        </w:tc>
        <w:tc>
          <w:tcPr>
            <w:tcW w:w="2561" w:type="pct"/>
            <w:gridSpan w:val="2"/>
          </w:tcPr>
          <w:p w14:paraId="53C1C634" w14:textId="77777777" w:rsidR="00862B0B" w:rsidRPr="00A67277" w:rsidRDefault="00862B0B" w:rsidP="00862B0B">
            <w:pPr>
              <w:pStyle w:val="Level1"/>
              <w:tabs>
                <w:tab w:val="clear" w:pos="889"/>
                <w:tab w:val="left" w:pos="952"/>
              </w:tabs>
              <w:spacing w:before="60" w:after="60"/>
              <w:ind w:left="882" w:hanging="16"/>
              <w:rPr>
                <w:rFonts w:cs="Arial"/>
              </w:rPr>
            </w:pPr>
            <w:r w:rsidRPr="00A67277">
              <w:rPr>
                <w:rFonts w:cs="Arial"/>
              </w:rPr>
              <w:t>Sebelum dimulainya Pekerjaan di setiap bagian dari Lokasi, sehubungan dengan bagian dari Lokasi tersebut, BUP harus:</w:t>
            </w:r>
          </w:p>
        </w:tc>
      </w:tr>
      <w:tr w:rsidR="00862B0B" w:rsidRPr="00A67277" w14:paraId="3D5DF9A1" w14:textId="77777777" w:rsidTr="00862B0B">
        <w:tc>
          <w:tcPr>
            <w:tcW w:w="2270" w:type="pct"/>
          </w:tcPr>
          <w:p w14:paraId="1066A9AF" w14:textId="18B5C110" w:rsidR="00862B0B" w:rsidRPr="00A67277" w:rsidRDefault="00862B0B" w:rsidP="00862B0B">
            <w:pPr>
              <w:pStyle w:val="Level3"/>
              <w:numPr>
                <w:ilvl w:val="2"/>
                <w:numId w:val="352"/>
              </w:numPr>
              <w:tabs>
                <w:tab w:val="clear" w:pos="1417"/>
              </w:tabs>
              <w:spacing w:before="60" w:after="60"/>
              <w:ind w:left="1298" w:hanging="425"/>
              <w:rPr>
                <w:rFonts w:cs="Arial"/>
              </w:rPr>
            </w:pPr>
            <w:bookmarkStart w:id="231" w:name="_Toc501178027"/>
            <w:r w:rsidRPr="00A67277">
              <w:rPr>
                <w:rFonts w:cs="Arial"/>
              </w:rPr>
              <w:t>arrange and carry out inspections of all land and structures on and adjacent to the Site;</w:t>
            </w:r>
            <w:bookmarkEnd w:id="231"/>
          </w:p>
        </w:tc>
        <w:tc>
          <w:tcPr>
            <w:tcW w:w="169" w:type="pct"/>
          </w:tcPr>
          <w:p w14:paraId="4D885678" w14:textId="77777777" w:rsidR="00862B0B" w:rsidRPr="00A67277" w:rsidRDefault="00862B0B" w:rsidP="00862B0B">
            <w:pPr>
              <w:spacing w:before="60" w:after="60"/>
              <w:rPr>
                <w:rFonts w:ascii="Arial" w:hAnsi="Arial" w:cs="Arial"/>
                <w:sz w:val="21"/>
                <w:szCs w:val="21"/>
              </w:rPr>
            </w:pPr>
          </w:p>
        </w:tc>
        <w:tc>
          <w:tcPr>
            <w:tcW w:w="2561" w:type="pct"/>
            <w:gridSpan w:val="2"/>
          </w:tcPr>
          <w:p w14:paraId="026A26C5" w14:textId="77777777" w:rsidR="00862B0B" w:rsidRPr="00A67277" w:rsidRDefault="00862B0B" w:rsidP="00862B0B">
            <w:pPr>
              <w:pStyle w:val="Level3"/>
              <w:numPr>
                <w:ilvl w:val="2"/>
                <w:numId w:val="354"/>
              </w:numPr>
              <w:tabs>
                <w:tab w:val="clear" w:pos="1417"/>
                <w:tab w:val="num" w:pos="1333"/>
              </w:tabs>
              <w:spacing w:before="60" w:after="60"/>
              <w:ind w:left="1333" w:hanging="425"/>
              <w:rPr>
                <w:rFonts w:cs="Arial"/>
                <w:lang w:val="en-US" w:eastAsia="en-US"/>
              </w:rPr>
            </w:pPr>
            <w:r w:rsidRPr="00A67277">
              <w:rPr>
                <w:rFonts w:cs="Arial"/>
                <w:lang w:val="en-US" w:eastAsia="en-US"/>
              </w:rPr>
              <w:t xml:space="preserve">mengatur </w:t>
            </w:r>
            <w:r w:rsidRPr="00A67277">
              <w:rPr>
                <w:rFonts w:cs="Arial"/>
                <w:lang w:val="id-ID" w:eastAsia="en-US"/>
              </w:rPr>
              <w:t xml:space="preserve">dan </w:t>
            </w:r>
            <w:r w:rsidRPr="00A67277">
              <w:rPr>
                <w:rFonts w:cs="Arial"/>
              </w:rPr>
              <w:t>melaksanakan</w:t>
            </w:r>
            <w:r w:rsidRPr="00A67277">
              <w:rPr>
                <w:rFonts w:cs="Arial"/>
                <w:lang w:val="id-ID" w:eastAsia="en-US"/>
              </w:rPr>
              <w:t xml:space="preserve"> inspeksi semua tanah dan bangunan yang terletak pada dan yang bersebelahan dengan</w:t>
            </w:r>
            <w:r w:rsidRPr="00A67277">
              <w:rPr>
                <w:rFonts w:cs="Arial"/>
                <w:lang w:val="en-US" w:eastAsia="en-US"/>
              </w:rPr>
              <w:t xml:space="preserve"> Lokasi;</w:t>
            </w:r>
          </w:p>
        </w:tc>
      </w:tr>
      <w:tr w:rsidR="00862B0B" w:rsidRPr="00A67277" w14:paraId="19C7E110" w14:textId="77777777" w:rsidTr="00862B0B">
        <w:tc>
          <w:tcPr>
            <w:tcW w:w="2270" w:type="pct"/>
          </w:tcPr>
          <w:p w14:paraId="593E79D2" w14:textId="39D4C77F" w:rsidR="00862B0B" w:rsidRPr="00A67277" w:rsidRDefault="00862B0B" w:rsidP="00862B0B">
            <w:pPr>
              <w:pStyle w:val="Level3"/>
              <w:numPr>
                <w:ilvl w:val="2"/>
                <w:numId w:val="352"/>
              </w:numPr>
              <w:tabs>
                <w:tab w:val="clear" w:pos="1417"/>
              </w:tabs>
              <w:spacing w:before="60" w:after="60"/>
              <w:ind w:left="1298" w:hanging="425"/>
              <w:rPr>
                <w:rFonts w:cs="Arial"/>
              </w:rPr>
            </w:pPr>
            <w:bookmarkStart w:id="232" w:name="_Toc501178028"/>
            <w:r w:rsidRPr="00A67277">
              <w:rPr>
                <w:rFonts w:cs="Arial"/>
              </w:rPr>
              <w:t>make a written record by survey of all conditions which might later be claimed to have been caused or contributed to by the Project Operations and shall provide a certified copy of such record to GCA as soon as reasonably practicable; and</w:t>
            </w:r>
            <w:bookmarkEnd w:id="232"/>
          </w:p>
        </w:tc>
        <w:tc>
          <w:tcPr>
            <w:tcW w:w="169" w:type="pct"/>
          </w:tcPr>
          <w:p w14:paraId="4CD44016" w14:textId="77777777" w:rsidR="00862B0B" w:rsidRPr="00A67277" w:rsidRDefault="00862B0B" w:rsidP="00862B0B">
            <w:pPr>
              <w:spacing w:before="60" w:after="60"/>
              <w:rPr>
                <w:rFonts w:ascii="Arial" w:hAnsi="Arial" w:cs="Arial"/>
                <w:sz w:val="21"/>
                <w:szCs w:val="21"/>
              </w:rPr>
            </w:pPr>
          </w:p>
        </w:tc>
        <w:tc>
          <w:tcPr>
            <w:tcW w:w="2561" w:type="pct"/>
            <w:gridSpan w:val="2"/>
          </w:tcPr>
          <w:p w14:paraId="05AB5AD2" w14:textId="0ACC49DB" w:rsidR="00862B0B" w:rsidRPr="00A67277" w:rsidRDefault="00862B0B" w:rsidP="00862B0B">
            <w:pPr>
              <w:pStyle w:val="Level3"/>
              <w:numPr>
                <w:ilvl w:val="2"/>
                <w:numId w:val="353"/>
              </w:numPr>
              <w:tabs>
                <w:tab w:val="clear" w:pos="1417"/>
                <w:tab w:val="num" w:pos="1333"/>
              </w:tabs>
              <w:spacing w:before="60" w:after="60"/>
              <w:ind w:left="1333" w:hanging="425"/>
              <w:rPr>
                <w:rFonts w:cs="Arial"/>
              </w:rPr>
            </w:pPr>
            <w:r w:rsidRPr="00A67277">
              <w:rPr>
                <w:rFonts w:cs="Arial"/>
              </w:rPr>
              <w:t xml:space="preserve">membuat catatan tertulis melalui survey terhadap semua kondisi yang nantinya mungkin dapat diklaim telah disebabkan atau dikontribusikan oleh </w:t>
            </w:r>
            <w:r>
              <w:rPr>
                <w:rFonts w:cs="Arial"/>
              </w:rPr>
              <w:t>Pengoperasian</w:t>
            </w:r>
            <w:r w:rsidRPr="00A67277">
              <w:rPr>
                <w:rFonts w:cs="Arial"/>
              </w:rPr>
              <w:t xml:space="preserve"> Proyek dan harus memberikan salinan resmi dari catatan tersebut kepada PJPK sesegera mungkin; dan</w:t>
            </w:r>
          </w:p>
        </w:tc>
      </w:tr>
      <w:tr w:rsidR="00862B0B" w:rsidRPr="00A67277" w14:paraId="34DF3BF3" w14:textId="77777777" w:rsidTr="00862B0B">
        <w:tc>
          <w:tcPr>
            <w:tcW w:w="2270" w:type="pct"/>
          </w:tcPr>
          <w:p w14:paraId="2411F430" w14:textId="77777777" w:rsidR="00862B0B" w:rsidRPr="00A67277" w:rsidRDefault="00862B0B" w:rsidP="00862B0B">
            <w:pPr>
              <w:pStyle w:val="Level3"/>
              <w:numPr>
                <w:ilvl w:val="2"/>
                <w:numId w:val="352"/>
              </w:numPr>
              <w:tabs>
                <w:tab w:val="clear" w:pos="1417"/>
              </w:tabs>
              <w:spacing w:before="60" w:after="60"/>
              <w:ind w:left="1298" w:hanging="425"/>
              <w:rPr>
                <w:rFonts w:cs="Arial"/>
              </w:rPr>
            </w:pPr>
            <w:r w:rsidRPr="00A67277">
              <w:rPr>
                <w:rFonts w:cs="Arial"/>
              </w:rPr>
              <w:t>arrange and carry out such other inspections and make and provide copies of such other records as GCA’s Representatives may from time to time reasonably request.</w:t>
            </w:r>
          </w:p>
        </w:tc>
        <w:tc>
          <w:tcPr>
            <w:tcW w:w="169" w:type="pct"/>
          </w:tcPr>
          <w:p w14:paraId="5FD192F4" w14:textId="77777777" w:rsidR="00862B0B" w:rsidRPr="00A67277" w:rsidRDefault="00862B0B" w:rsidP="00862B0B">
            <w:pPr>
              <w:spacing w:before="60" w:after="60"/>
              <w:rPr>
                <w:rFonts w:ascii="Arial" w:hAnsi="Arial" w:cs="Arial"/>
                <w:sz w:val="21"/>
                <w:szCs w:val="21"/>
              </w:rPr>
            </w:pPr>
          </w:p>
        </w:tc>
        <w:tc>
          <w:tcPr>
            <w:tcW w:w="2561" w:type="pct"/>
            <w:gridSpan w:val="2"/>
          </w:tcPr>
          <w:p w14:paraId="05FF795B" w14:textId="52372BD5" w:rsidR="00862B0B" w:rsidRPr="00A67277" w:rsidRDefault="00862B0B" w:rsidP="00862B0B">
            <w:pPr>
              <w:pStyle w:val="Level3"/>
              <w:numPr>
                <w:ilvl w:val="2"/>
                <w:numId w:val="355"/>
              </w:numPr>
              <w:tabs>
                <w:tab w:val="clear" w:pos="1417"/>
                <w:tab w:val="num" w:pos="1333"/>
              </w:tabs>
              <w:spacing w:before="60" w:after="60"/>
              <w:ind w:left="1333" w:hanging="425"/>
              <w:rPr>
                <w:rFonts w:cs="Arial"/>
              </w:rPr>
            </w:pPr>
            <w:r w:rsidRPr="00A67277">
              <w:rPr>
                <w:rFonts w:cs="Arial"/>
              </w:rPr>
              <w:t>mengatur dan melaksanakan inspeksi lainnya dan membuat dan memberikan salinan catatan catatan lainnya yang mungkin diminta secara wajar dari waktu ke waktu oleh Perwakilan PJPK.</w:t>
            </w:r>
          </w:p>
        </w:tc>
      </w:tr>
      <w:tr w:rsidR="00862B0B" w:rsidRPr="00A67277" w14:paraId="4CF8FBAA" w14:textId="77777777" w:rsidTr="00862B0B">
        <w:tc>
          <w:tcPr>
            <w:tcW w:w="2270" w:type="pct"/>
          </w:tcPr>
          <w:p w14:paraId="730BB357" w14:textId="4058C300" w:rsidR="00862B0B" w:rsidRPr="00A67277" w:rsidRDefault="00862B0B" w:rsidP="00862B0B">
            <w:pPr>
              <w:pStyle w:val="Heading2"/>
              <w:keepLines w:val="0"/>
              <w:numPr>
                <w:ilvl w:val="1"/>
                <w:numId w:val="415"/>
              </w:numPr>
              <w:spacing w:before="60" w:after="60"/>
              <w:ind w:left="873" w:hanging="426"/>
              <w:jc w:val="both"/>
              <w:outlineLvl w:val="1"/>
              <w:rPr>
                <w:rFonts w:ascii="Arial" w:hAnsi="Arial" w:cs="Arial"/>
                <w:b/>
                <w:color w:val="auto"/>
                <w:sz w:val="21"/>
                <w:szCs w:val="21"/>
              </w:rPr>
            </w:pPr>
            <w:bookmarkStart w:id="233" w:name="_Toc501178043"/>
            <w:r w:rsidRPr="00A67277">
              <w:rPr>
                <w:rFonts w:ascii="Arial" w:hAnsi="Arial" w:cs="Arial"/>
                <w:b/>
                <w:color w:val="auto"/>
                <w:sz w:val="21"/>
                <w:szCs w:val="21"/>
              </w:rPr>
              <w:t xml:space="preserve">Access Rights to GCA </w:t>
            </w:r>
            <w:bookmarkEnd w:id="233"/>
          </w:p>
        </w:tc>
        <w:tc>
          <w:tcPr>
            <w:tcW w:w="169" w:type="pct"/>
          </w:tcPr>
          <w:p w14:paraId="22EBF72F" w14:textId="77777777" w:rsidR="00862B0B" w:rsidRPr="00A67277" w:rsidRDefault="00862B0B" w:rsidP="00862B0B">
            <w:pPr>
              <w:spacing w:before="60" w:after="60"/>
              <w:rPr>
                <w:rFonts w:ascii="Arial" w:hAnsi="Arial" w:cs="Arial"/>
                <w:sz w:val="21"/>
                <w:szCs w:val="21"/>
              </w:rPr>
            </w:pPr>
          </w:p>
        </w:tc>
        <w:tc>
          <w:tcPr>
            <w:tcW w:w="2561" w:type="pct"/>
            <w:gridSpan w:val="2"/>
          </w:tcPr>
          <w:p w14:paraId="5176932D" w14:textId="77777777" w:rsidR="00862B0B" w:rsidRPr="00A67277" w:rsidRDefault="00862B0B" w:rsidP="00862B0B">
            <w:pPr>
              <w:pStyle w:val="Heading2"/>
              <w:keepLines w:val="0"/>
              <w:numPr>
                <w:ilvl w:val="1"/>
                <w:numId w:val="470"/>
              </w:numPr>
              <w:spacing w:before="60" w:after="60"/>
              <w:ind w:left="882" w:hanging="522"/>
              <w:jc w:val="both"/>
              <w:outlineLvl w:val="1"/>
              <w:rPr>
                <w:rFonts w:ascii="Arial" w:hAnsi="Arial" w:cs="Arial"/>
                <w:b/>
                <w:color w:val="auto"/>
                <w:sz w:val="21"/>
                <w:szCs w:val="21"/>
              </w:rPr>
            </w:pPr>
            <w:bookmarkStart w:id="234" w:name="_Ref397426509"/>
            <w:r w:rsidRPr="00A67277">
              <w:rPr>
                <w:rFonts w:ascii="Arial" w:hAnsi="Arial" w:cs="Arial"/>
                <w:b/>
                <w:color w:val="auto"/>
                <w:sz w:val="21"/>
                <w:szCs w:val="21"/>
              </w:rPr>
              <w:t xml:space="preserve">Hak Akses </w:t>
            </w:r>
            <w:bookmarkStart w:id="235" w:name="_cp_text_1_1517"/>
            <w:bookmarkEnd w:id="234"/>
            <w:r w:rsidRPr="00A67277">
              <w:rPr>
                <w:rFonts w:ascii="Arial" w:hAnsi="Arial" w:cs="Arial"/>
                <w:b/>
                <w:color w:val="auto"/>
                <w:sz w:val="21"/>
                <w:szCs w:val="21"/>
              </w:rPr>
              <w:t xml:space="preserve">PJPK </w:t>
            </w:r>
            <w:bookmarkEnd w:id="235"/>
          </w:p>
        </w:tc>
      </w:tr>
      <w:tr w:rsidR="00862B0B" w:rsidRPr="00A67277" w14:paraId="6CC16A8A" w14:textId="77777777" w:rsidTr="00862B0B">
        <w:tc>
          <w:tcPr>
            <w:tcW w:w="2270" w:type="pct"/>
          </w:tcPr>
          <w:p w14:paraId="06DB8C31" w14:textId="3C62B05F" w:rsidR="00862B0B" w:rsidRPr="00A67277" w:rsidRDefault="00862B0B" w:rsidP="00862B0B">
            <w:pPr>
              <w:pStyle w:val="Level3"/>
              <w:numPr>
                <w:ilvl w:val="2"/>
                <w:numId w:val="562"/>
              </w:numPr>
              <w:spacing w:before="60" w:after="60"/>
              <w:ind w:hanging="566"/>
              <w:rPr>
                <w:rFonts w:cs="Arial"/>
              </w:rPr>
            </w:pPr>
            <w:bookmarkStart w:id="236" w:name="_cp_text_1_1521"/>
            <w:r w:rsidRPr="00A67277">
              <w:rPr>
                <w:rFonts w:cs="Arial"/>
              </w:rPr>
              <w:t xml:space="preserve">The </w:t>
            </w:r>
            <w:bookmarkEnd w:id="236"/>
            <w:r w:rsidRPr="00A67277">
              <w:rPr>
                <w:rFonts w:cs="Arial"/>
              </w:rPr>
              <w:t>IBE shall give access to GCA to the Site as may be required by GCA</w:t>
            </w:r>
            <w:bookmarkStart w:id="237" w:name="_cp_text_1_1524"/>
            <w:r w:rsidRPr="00A67277">
              <w:rPr>
                <w:rFonts w:cs="Arial"/>
              </w:rPr>
              <w:t xml:space="preserve">. </w:t>
            </w:r>
            <w:bookmarkEnd w:id="237"/>
          </w:p>
        </w:tc>
        <w:tc>
          <w:tcPr>
            <w:tcW w:w="169" w:type="pct"/>
          </w:tcPr>
          <w:p w14:paraId="2F9DE8B4" w14:textId="77777777" w:rsidR="00862B0B" w:rsidRPr="00A67277" w:rsidRDefault="00862B0B" w:rsidP="00862B0B">
            <w:pPr>
              <w:spacing w:before="60" w:after="60"/>
              <w:rPr>
                <w:rFonts w:ascii="Arial" w:hAnsi="Arial" w:cs="Arial"/>
                <w:sz w:val="21"/>
                <w:szCs w:val="21"/>
              </w:rPr>
            </w:pPr>
          </w:p>
        </w:tc>
        <w:tc>
          <w:tcPr>
            <w:tcW w:w="2561" w:type="pct"/>
            <w:gridSpan w:val="2"/>
          </w:tcPr>
          <w:p w14:paraId="57F4FE02" w14:textId="437B4EC8" w:rsidR="00862B0B" w:rsidRPr="00A67277" w:rsidRDefault="00862B0B" w:rsidP="00862B0B">
            <w:pPr>
              <w:pStyle w:val="Level3"/>
              <w:numPr>
                <w:ilvl w:val="2"/>
                <w:numId w:val="563"/>
              </w:numPr>
              <w:spacing w:before="60" w:after="60"/>
              <w:ind w:hanging="535"/>
              <w:rPr>
                <w:rFonts w:cs="Arial"/>
              </w:rPr>
            </w:pPr>
            <w:r w:rsidRPr="00A67277">
              <w:rPr>
                <w:rFonts w:cs="Arial"/>
              </w:rPr>
              <w:t>BUP harus memberikan akses kepada PJPK terhadap Lokasi apabila diperlukan oleh PJPK.</w:t>
            </w:r>
          </w:p>
        </w:tc>
      </w:tr>
      <w:tr w:rsidR="00862B0B" w:rsidRPr="00A67277" w14:paraId="6ADBFB01" w14:textId="77777777" w:rsidTr="00862B0B">
        <w:tc>
          <w:tcPr>
            <w:tcW w:w="2270" w:type="pct"/>
          </w:tcPr>
          <w:p w14:paraId="53212BD7" w14:textId="50CF433C" w:rsidR="00862B0B" w:rsidRPr="00A67277" w:rsidRDefault="00862B0B" w:rsidP="00862B0B">
            <w:pPr>
              <w:pStyle w:val="Level3"/>
              <w:numPr>
                <w:ilvl w:val="2"/>
                <w:numId w:val="562"/>
              </w:numPr>
              <w:spacing w:before="60" w:after="60"/>
              <w:ind w:hanging="566"/>
              <w:rPr>
                <w:rFonts w:cs="Arial"/>
              </w:rPr>
            </w:pPr>
            <w:bookmarkStart w:id="238" w:name="_cp_text_1_1525"/>
            <w:r w:rsidRPr="00A67277">
              <w:rPr>
                <w:rFonts w:cs="Arial"/>
              </w:rPr>
              <w:t xml:space="preserve">Unless otherwise provided in this Agreement, such access rights shall be subject to </w:t>
            </w:r>
            <w:r>
              <w:rPr>
                <w:rFonts w:cs="Arial"/>
              </w:rPr>
              <w:t xml:space="preserve">8 (eight) Days prior written notice </w:t>
            </w:r>
            <w:r w:rsidRPr="00A67277">
              <w:rPr>
                <w:rFonts w:cs="Arial"/>
              </w:rPr>
              <w:t>having been given to the IBE</w:t>
            </w:r>
            <w:r>
              <w:rPr>
                <w:rFonts w:cs="Arial"/>
              </w:rPr>
              <w:t xml:space="preserve"> by GCA</w:t>
            </w:r>
            <w:r w:rsidRPr="00A67277">
              <w:rPr>
                <w:rFonts w:cs="Arial"/>
              </w:rPr>
              <w:t>.</w:t>
            </w:r>
            <w:bookmarkEnd w:id="238"/>
          </w:p>
        </w:tc>
        <w:tc>
          <w:tcPr>
            <w:tcW w:w="169" w:type="pct"/>
          </w:tcPr>
          <w:p w14:paraId="3A9BACC0" w14:textId="77777777" w:rsidR="00862B0B" w:rsidRPr="00A67277" w:rsidRDefault="00862B0B" w:rsidP="00862B0B">
            <w:pPr>
              <w:spacing w:before="60" w:after="60"/>
              <w:rPr>
                <w:rFonts w:ascii="Arial" w:hAnsi="Arial" w:cs="Arial"/>
                <w:sz w:val="21"/>
                <w:szCs w:val="21"/>
              </w:rPr>
            </w:pPr>
          </w:p>
        </w:tc>
        <w:tc>
          <w:tcPr>
            <w:tcW w:w="2561" w:type="pct"/>
            <w:gridSpan w:val="2"/>
          </w:tcPr>
          <w:p w14:paraId="319BB08C" w14:textId="7DDC813E" w:rsidR="00862B0B" w:rsidRDefault="00862B0B" w:rsidP="00862B0B">
            <w:pPr>
              <w:pStyle w:val="Level3"/>
              <w:numPr>
                <w:ilvl w:val="2"/>
                <w:numId w:val="563"/>
              </w:numPr>
              <w:spacing w:before="60" w:after="60"/>
              <w:ind w:hanging="535"/>
              <w:rPr>
                <w:rFonts w:cs="Arial"/>
              </w:rPr>
            </w:pPr>
            <w:r w:rsidRPr="00A67277">
              <w:rPr>
                <w:rFonts w:cs="Arial"/>
              </w:rPr>
              <w:t xml:space="preserve">Kecuali ditentukan lain dalam Perjanjian ini, hak akses tersebut harus tunduk kepada pemberitahuan </w:t>
            </w:r>
            <w:r>
              <w:rPr>
                <w:rFonts w:cs="Arial"/>
              </w:rPr>
              <w:t xml:space="preserve"> tertulis 8 (delapan) Hari sebelumnya </w:t>
            </w:r>
            <w:r w:rsidRPr="00A67277">
              <w:rPr>
                <w:rFonts w:cs="Arial"/>
              </w:rPr>
              <w:t>diberikan kepada BUP</w:t>
            </w:r>
            <w:r>
              <w:rPr>
                <w:rFonts w:cs="Arial"/>
              </w:rPr>
              <w:t xml:space="preserve"> oleh PJPK</w:t>
            </w:r>
            <w:r w:rsidRPr="00A67277">
              <w:rPr>
                <w:rFonts w:cs="Arial"/>
              </w:rPr>
              <w:t>.</w:t>
            </w:r>
          </w:p>
          <w:p w14:paraId="013F0CD5" w14:textId="29FAD469" w:rsidR="00862B0B" w:rsidRPr="00212A1D" w:rsidRDefault="00862B0B" w:rsidP="00862B0B">
            <w:pPr>
              <w:pStyle w:val="Level3"/>
              <w:spacing w:before="60" w:after="60"/>
              <w:ind w:left="1417"/>
            </w:pPr>
          </w:p>
        </w:tc>
      </w:tr>
      <w:tr w:rsidR="00862B0B" w:rsidRPr="00A67277" w14:paraId="2E414251" w14:textId="77777777" w:rsidTr="00862B0B">
        <w:tc>
          <w:tcPr>
            <w:tcW w:w="2270" w:type="pct"/>
          </w:tcPr>
          <w:p w14:paraId="6E9FB0B7" w14:textId="38DCD307" w:rsidR="00862B0B" w:rsidRPr="00A67277" w:rsidRDefault="00862B0B" w:rsidP="00862B0B">
            <w:pPr>
              <w:pStyle w:val="Level3"/>
              <w:numPr>
                <w:ilvl w:val="2"/>
                <w:numId w:val="562"/>
              </w:numPr>
              <w:spacing w:before="60" w:after="60"/>
              <w:ind w:hanging="566"/>
              <w:rPr>
                <w:rFonts w:cs="Arial"/>
              </w:rPr>
            </w:pPr>
            <w:r>
              <w:rPr>
                <w:rFonts w:cs="Arial"/>
              </w:rPr>
              <w:t>IBE may deny access to GCA if the  prior written notice as mentioned in paragraph (b) has not been given to the IBE.</w:t>
            </w:r>
          </w:p>
        </w:tc>
        <w:tc>
          <w:tcPr>
            <w:tcW w:w="169" w:type="pct"/>
          </w:tcPr>
          <w:p w14:paraId="7F4B5BEE" w14:textId="77777777" w:rsidR="00862B0B" w:rsidRPr="00A67277" w:rsidRDefault="00862B0B" w:rsidP="00862B0B">
            <w:pPr>
              <w:spacing w:before="60" w:after="60"/>
              <w:rPr>
                <w:rFonts w:ascii="Arial" w:hAnsi="Arial" w:cs="Arial"/>
                <w:sz w:val="21"/>
                <w:szCs w:val="21"/>
              </w:rPr>
            </w:pPr>
          </w:p>
        </w:tc>
        <w:tc>
          <w:tcPr>
            <w:tcW w:w="2561" w:type="pct"/>
            <w:gridSpan w:val="2"/>
          </w:tcPr>
          <w:p w14:paraId="0912B89E" w14:textId="482ABDD3" w:rsidR="00862B0B" w:rsidRPr="00A67277" w:rsidRDefault="00862B0B" w:rsidP="00862B0B">
            <w:pPr>
              <w:pStyle w:val="Level3"/>
              <w:numPr>
                <w:ilvl w:val="2"/>
                <w:numId w:val="563"/>
              </w:numPr>
              <w:spacing w:before="60" w:after="60"/>
              <w:ind w:hanging="535"/>
              <w:rPr>
                <w:rFonts w:cs="Arial"/>
              </w:rPr>
            </w:pPr>
            <w:r w:rsidRPr="00212A1D">
              <w:rPr>
                <w:rFonts w:cs="Arial"/>
              </w:rPr>
              <w:t xml:space="preserve">BUP dapat menolak pemberian akses kepada PJPK </w:t>
            </w:r>
            <w:r>
              <w:rPr>
                <w:rFonts w:cs="Arial"/>
              </w:rPr>
              <w:t>apabila pemberitahuan tertulis sebelumnya sebagaimana dimaksud pada paragraf (b) belum diberikan kepada BUP</w:t>
            </w:r>
            <w:r w:rsidRPr="00212A1D">
              <w:rPr>
                <w:rFonts w:cs="Arial"/>
              </w:rPr>
              <w:t>.</w:t>
            </w:r>
          </w:p>
        </w:tc>
      </w:tr>
      <w:tr w:rsidR="00862B0B" w:rsidRPr="00A67277" w14:paraId="14579A65" w14:textId="77777777" w:rsidTr="00862B0B">
        <w:tc>
          <w:tcPr>
            <w:tcW w:w="2270" w:type="pct"/>
          </w:tcPr>
          <w:p w14:paraId="143934FA" w14:textId="00433FB1" w:rsidR="00862B0B" w:rsidRPr="00A67277" w:rsidRDefault="00862B0B" w:rsidP="00862B0B">
            <w:pPr>
              <w:pStyle w:val="Heading2"/>
              <w:keepLines w:val="0"/>
              <w:numPr>
                <w:ilvl w:val="1"/>
                <w:numId w:val="415"/>
              </w:numPr>
              <w:spacing w:before="60" w:after="60"/>
              <w:ind w:left="873" w:hanging="426"/>
              <w:outlineLvl w:val="1"/>
              <w:rPr>
                <w:rFonts w:ascii="Arial" w:hAnsi="Arial" w:cs="Arial"/>
                <w:b/>
                <w:color w:val="auto"/>
                <w:sz w:val="21"/>
                <w:szCs w:val="21"/>
              </w:rPr>
            </w:pPr>
            <w:bookmarkStart w:id="239" w:name="_Toc501178050"/>
            <w:r w:rsidRPr="00A67277">
              <w:rPr>
                <w:rFonts w:ascii="Arial" w:hAnsi="Arial" w:cs="Arial"/>
                <w:b/>
                <w:color w:val="auto"/>
                <w:sz w:val="21"/>
                <w:szCs w:val="21"/>
              </w:rPr>
              <w:t xml:space="preserve">Safety and Security Measures </w:t>
            </w:r>
            <w:bookmarkEnd w:id="239"/>
          </w:p>
        </w:tc>
        <w:tc>
          <w:tcPr>
            <w:tcW w:w="169" w:type="pct"/>
          </w:tcPr>
          <w:p w14:paraId="71B21124" w14:textId="77777777" w:rsidR="00862B0B" w:rsidRPr="00A67277" w:rsidRDefault="00862B0B" w:rsidP="00862B0B">
            <w:pPr>
              <w:spacing w:before="60" w:after="60"/>
              <w:rPr>
                <w:rFonts w:ascii="Arial" w:hAnsi="Arial" w:cs="Arial"/>
                <w:sz w:val="21"/>
                <w:szCs w:val="21"/>
              </w:rPr>
            </w:pPr>
          </w:p>
        </w:tc>
        <w:tc>
          <w:tcPr>
            <w:tcW w:w="2561" w:type="pct"/>
            <w:gridSpan w:val="2"/>
          </w:tcPr>
          <w:p w14:paraId="5748865E" w14:textId="77777777" w:rsidR="00862B0B" w:rsidRPr="00A67277" w:rsidRDefault="00862B0B" w:rsidP="00862B0B">
            <w:pPr>
              <w:pStyle w:val="Heading2"/>
              <w:keepLines w:val="0"/>
              <w:numPr>
                <w:ilvl w:val="1"/>
                <w:numId w:val="470"/>
              </w:numPr>
              <w:spacing w:before="60" w:after="60"/>
              <w:ind w:left="882" w:hanging="522"/>
              <w:jc w:val="both"/>
              <w:outlineLvl w:val="1"/>
              <w:rPr>
                <w:rFonts w:ascii="Arial" w:hAnsi="Arial" w:cs="Arial"/>
                <w:b/>
                <w:color w:val="auto"/>
                <w:sz w:val="21"/>
                <w:szCs w:val="21"/>
              </w:rPr>
            </w:pPr>
            <w:bookmarkStart w:id="240" w:name="_Ref397432751"/>
            <w:r w:rsidRPr="00A67277">
              <w:rPr>
                <w:rFonts w:ascii="Arial" w:hAnsi="Arial" w:cs="Arial"/>
                <w:b/>
                <w:color w:val="auto"/>
                <w:sz w:val="21"/>
                <w:szCs w:val="21"/>
              </w:rPr>
              <w:t>Upaya Keamanan dan Keselamatan</w:t>
            </w:r>
            <w:bookmarkEnd w:id="240"/>
            <w:r w:rsidRPr="00A67277">
              <w:rPr>
                <w:rFonts w:ascii="Arial" w:hAnsi="Arial" w:cs="Arial"/>
                <w:b/>
                <w:color w:val="auto"/>
                <w:sz w:val="21"/>
                <w:szCs w:val="21"/>
              </w:rPr>
              <w:t xml:space="preserve"> </w:t>
            </w:r>
          </w:p>
        </w:tc>
      </w:tr>
      <w:tr w:rsidR="00862B0B" w:rsidRPr="00A67277" w14:paraId="34679369" w14:textId="77777777" w:rsidTr="00862B0B">
        <w:tc>
          <w:tcPr>
            <w:tcW w:w="2270" w:type="pct"/>
          </w:tcPr>
          <w:p w14:paraId="7FCACAC9" w14:textId="34C70B0A" w:rsidR="00862B0B" w:rsidRPr="00A67277" w:rsidRDefault="00862B0B" w:rsidP="00862B0B">
            <w:pPr>
              <w:pStyle w:val="Level3"/>
              <w:spacing w:before="60" w:after="60"/>
              <w:ind w:left="851"/>
              <w:rPr>
                <w:rFonts w:cs="Arial"/>
              </w:rPr>
            </w:pPr>
            <w:bookmarkStart w:id="241" w:name="_Toc501178051"/>
            <w:bookmarkStart w:id="242" w:name="_Ref397432753"/>
            <w:r w:rsidRPr="00A67277">
              <w:rPr>
                <w:rFonts w:cs="Arial"/>
              </w:rPr>
              <w:t>The IBE shall, throughout the Term, adequately secure Facility on the Site from all unauthorised access.</w:t>
            </w:r>
            <w:bookmarkEnd w:id="241"/>
            <w:bookmarkEnd w:id="242"/>
          </w:p>
        </w:tc>
        <w:tc>
          <w:tcPr>
            <w:tcW w:w="169" w:type="pct"/>
          </w:tcPr>
          <w:p w14:paraId="21D286C5" w14:textId="77777777" w:rsidR="00862B0B" w:rsidRPr="00A67277" w:rsidRDefault="00862B0B" w:rsidP="00862B0B">
            <w:pPr>
              <w:spacing w:before="60" w:after="60"/>
              <w:rPr>
                <w:rFonts w:ascii="Arial" w:hAnsi="Arial" w:cs="Arial"/>
                <w:sz w:val="21"/>
                <w:szCs w:val="21"/>
              </w:rPr>
            </w:pPr>
          </w:p>
        </w:tc>
        <w:tc>
          <w:tcPr>
            <w:tcW w:w="2561" w:type="pct"/>
            <w:gridSpan w:val="2"/>
          </w:tcPr>
          <w:p w14:paraId="2488EFE3" w14:textId="77777777" w:rsidR="00862B0B" w:rsidRPr="00A67277" w:rsidRDefault="00862B0B" w:rsidP="00862B0B">
            <w:pPr>
              <w:pStyle w:val="Level3"/>
              <w:spacing w:before="60" w:after="60"/>
              <w:ind w:left="882"/>
              <w:rPr>
                <w:rFonts w:cs="Arial"/>
              </w:rPr>
            </w:pPr>
            <w:r w:rsidRPr="00A67277">
              <w:rPr>
                <w:rFonts w:cs="Arial"/>
              </w:rPr>
              <w:t>BUP harus, selama Jangka Waktu, mengamankan Fasilitas yang berada di Lokasi dari semua akses yang tidak sah.</w:t>
            </w:r>
          </w:p>
        </w:tc>
      </w:tr>
      <w:tr w:rsidR="00862B0B" w:rsidRPr="00A67277" w14:paraId="6D62C539" w14:textId="77777777" w:rsidTr="00862B0B">
        <w:tc>
          <w:tcPr>
            <w:tcW w:w="2270" w:type="pct"/>
          </w:tcPr>
          <w:p w14:paraId="048EE29D" w14:textId="40689F1E" w:rsidR="00862B0B" w:rsidRPr="00A67277" w:rsidRDefault="00862B0B" w:rsidP="00862B0B">
            <w:pPr>
              <w:pStyle w:val="Heading2"/>
              <w:keepLines w:val="0"/>
              <w:numPr>
                <w:ilvl w:val="1"/>
                <w:numId w:val="415"/>
              </w:numPr>
              <w:spacing w:before="60" w:after="60"/>
              <w:ind w:left="1014" w:hanging="567"/>
              <w:jc w:val="both"/>
              <w:outlineLvl w:val="1"/>
              <w:rPr>
                <w:rFonts w:ascii="Arial" w:hAnsi="Arial" w:cs="Arial"/>
                <w:b/>
                <w:color w:val="auto"/>
                <w:sz w:val="21"/>
                <w:szCs w:val="21"/>
              </w:rPr>
            </w:pPr>
            <w:bookmarkStart w:id="243" w:name="_Toc501178062"/>
            <w:r w:rsidRPr="00A67277">
              <w:rPr>
                <w:rFonts w:ascii="Arial" w:hAnsi="Arial" w:cs="Arial"/>
                <w:b/>
                <w:color w:val="auto"/>
                <w:sz w:val="21"/>
                <w:szCs w:val="21"/>
              </w:rPr>
              <w:t xml:space="preserve">Utilities at the Site </w:t>
            </w:r>
            <w:bookmarkEnd w:id="243"/>
          </w:p>
        </w:tc>
        <w:tc>
          <w:tcPr>
            <w:tcW w:w="169" w:type="pct"/>
          </w:tcPr>
          <w:p w14:paraId="78984EBD" w14:textId="77777777" w:rsidR="00862B0B" w:rsidRPr="00A67277" w:rsidRDefault="00862B0B" w:rsidP="00862B0B">
            <w:pPr>
              <w:spacing w:before="60" w:after="60"/>
              <w:rPr>
                <w:rFonts w:ascii="Arial" w:hAnsi="Arial" w:cs="Arial"/>
                <w:sz w:val="21"/>
                <w:szCs w:val="21"/>
              </w:rPr>
            </w:pPr>
          </w:p>
        </w:tc>
        <w:tc>
          <w:tcPr>
            <w:tcW w:w="2561" w:type="pct"/>
            <w:gridSpan w:val="2"/>
          </w:tcPr>
          <w:p w14:paraId="0611A139" w14:textId="77777777" w:rsidR="00862B0B" w:rsidRPr="00A67277" w:rsidRDefault="00862B0B" w:rsidP="00862B0B">
            <w:pPr>
              <w:pStyle w:val="Heading2"/>
              <w:keepLines w:val="0"/>
              <w:numPr>
                <w:ilvl w:val="1"/>
                <w:numId w:val="470"/>
              </w:numPr>
              <w:spacing w:before="60" w:after="60"/>
              <w:ind w:hanging="488"/>
              <w:jc w:val="both"/>
              <w:outlineLvl w:val="1"/>
              <w:rPr>
                <w:rFonts w:ascii="Arial" w:hAnsi="Arial" w:cs="Arial"/>
                <w:b/>
                <w:color w:val="auto"/>
                <w:sz w:val="21"/>
                <w:szCs w:val="21"/>
              </w:rPr>
            </w:pPr>
            <w:bookmarkStart w:id="244" w:name="_cp_text_1_1564"/>
            <w:r w:rsidRPr="00A67277">
              <w:rPr>
                <w:rFonts w:ascii="Arial" w:hAnsi="Arial" w:cs="Arial"/>
                <w:b/>
                <w:color w:val="auto"/>
                <w:sz w:val="21"/>
                <w:szCs w:val="21"/>
              </w:rPr>
              <w:t xml:space="preserve">Jaringan Utilitas di Lokasi </w:t>
            </w:r>
            <w:bookmarkEnd w:id="244"/>
          </w:p>
        </w:tc>
      </w:tr>
      <w:tr w:rsidR="00862B0B" w:rsidRPr="00A67277" w14:paraId="04CFCFFB" w14:textId="77777777" w:rsidTr="00862B0B">
        <w:tc>
          <w:tcPr>
            <w:tcW w:w="2270" w:type="pct"/>
          </w:tcPr>
          <w:p w14:paraId="0134FA6C" w14:textId="5258507D" w:rsidR="00862B0B" w:rsidRPr="00A67277" w:rsidRDefault="00862B0B" w:rsidP="00862B0B">
            <w:pPr>
              <w:pStyle w:val="Level3"/>
              <w:numPr>
                <w:ilvl w:val="2"/>
                <w:numId w:val="356"/>
              </w:numPr>
              <w:spacing w:before="60" w:after="60"/>
              <w:ind w:hanging="403"/>
              <w:rPr>
                <w:rFonts w:cs="Arial"/>
              </w:rPr>
            </w:pPr>
            <w:bookmarkStart w:id="245" w:name="_Toc501178063"/>
            <w:bookmarkStart w:id="246" w:name="_cp_text_1_1565"/>
            <w:r w:rsidRPr="00A67277">
              <w:rPr>
                <w:rFonts w:cs="Arial"/>
              </w:rPr>
              <w:t>The IBE:</w:t>
            </w:r>
            <w:bookmarkEnd w:id="245"/>
            <w:bookmarkEnd w:id="246"/>
          </w:p>
        </w:tc>
        <w:tc>
          <w:tcPr>
            <w:tcW w:w="169" w:type="pct"/>
          </w:tcPr>
          <w:p w14:paraId="6877A51F" w14:textId="77777777" w:rsidR="00862B0B" w:rsidRPr="00A67277" w:rsidRDefault="00862B0B" w:rsidP="00862B0B">
            <w:pPr>
              <w:spacing w:before="60" w:after="60"/>
              <w:rPr>
                <w:rFonts w:ascii="Arial" w:hAnsi="Arial" w:cs="Arial"/>
                <w:sz w:val="21"/>
                <w:szCs w:val="21"/>
              </w:rPr>
            </w:pPr>
          </w:p>
        </w:tc>
        <w:tc>
          <w:tcPr>
            <w:tcW w:w="2561" w:type="pct"/>
            <w:gridSpan w:val="2"/>
          </w:tcPr>
          <w:p w14:paraId="510696B0" w14:textId="77777777" w:rsidR="00862B0B" w:rsidRPr="00A67277" w:rsidRDefault="00862B0B" w:rsidP="00862B0B">
            <w:pPr>
              <w:pStyle w:val="Level3"/>
              <w:numPr>
                <w:ilvl w:val="2"/>
                <w:numId w:val="359"/>
              </w:numPr>
              <w:tabs>
                <w:tab w:val="clear" w:pos="1417"/>
              </w:tabs>
              <w:spacing w:before="60" w:after="60"/>
              <w:ind w:left="1152" w:hanging="367"/>
              <w:rPr>
                <w:rFonts w:cs="Arial"/>
              </w:rPr>
            </w:pPr>
            <w:r w:rsidRPr="00A67277">
              <w:rPr>
                <w:rFonts w:cs="Arial"/>
              </w:rPr>
              <w:t>BUP:</w:t>
            </w:r>
          </w:p>
        </w:tc>
      </w:tr>
      <w:tr w:rsidR="00862B0B" w:rsidRPr="00A67277" w14:paraId="022A255A" w14:textId="77777777" w:rsidTr="00862B0B">
        <w:tc>
          <w:tcPr>
            <w:tcW w:w="2270" w:type="pct"/>
          </w:tcPr>
          <w:p w14:paraId="336A9532" w14:textId="109A24EF" w:rsidR="00862B0B" w:rsidRPr="00A67277" w:rsidRDefault="00862B0B" w:rsidP="00862B0B">
            <w:pPr>
              <w:pStyle w:val="Level4"/>
              <w:numPr>
                <w:ilvl w:val="3"/>
                <w:numId w:val="2"/>
              </w:numPr>
              <w:spacing w:before="60" w:after="60"/>
              <w:ind w:left="2007" w:hanging="426"/>
              <w:rPr>
                <w:rFonts w:cs="Arial"/>
              </w:rPr>
            </w:pPr>
            <w:bookmarkStart w:id="247" w:name="_cp_text_1_1566"/>
            <w:r w:rsidRPr="00A67277">
              <w:rPr>
                <w:rFonts w:cs="Arial"/>
              </w:rPr>
              <w:t>must obtain, pay for, contract for the provision of, acquire or otherwise procure or provide any Utilities and all connections for all Utilities it needs to perform its obligations under this Agreement;</w:t>
            </w:r>
            <w:bookmarkEnd w:id="247"/>
          </w:p>
        </w:tc>
        <w:tc>
          <w:tcPr>
            <w:tcW w:w="169" w:type="pct"/>
          </w:tcPr>
          <w:p w14:paraId="1AEA5DCF" w14:textId="77777777" w:rsidR="00862B0B" w:rsidRPr="00A67277" w:rsidRDefault="00862B0B" w:rsidP="00862B0B">
            <w:pPr>
              <w:spacing w:before="60" w:after="60"/>
              <w:rPr>
                <w:rFonts w:ascii="Arial" w:hAnsi="Arial" w:cs="Arial"/>
                <w:sz w:val="21"/>
                <w:szCs w:val="21"/>
              </w:rPr>
            </w:pPr>
          </w:p>
        </w:tc>
        <w:tc>
          <w:tcPr>
            <w:tcW w:w="2561" w:type="pct"/>
            <w:gridSpan w:val="2"/>
          </w:tcPr>
          <w:p w14:paraId="2C1D7BFB" w14:textId="77777777" w:rsidR="00862B0B" w:rsidRPr="00A67277" w:rsidRDefault="00862B0B" w:rsidP="00862B0B">
            <w:pPr>
              <w:pStyle w:val="Level4"/>
              <w:numPr>
                <w:ilvl w:val="0"/>
                <w:numId w:val="357"/>
              </w:numPr>
              <w:spacing w:before="60" w:after="60"/>
              <w:ind w:left="1782" w:hanging="425"/>
              <w:rPr>
                <w:rFonts w:cs="Arial"/>
              </w:rPr>
            </w:pPr>
            <w:r w:rsidRPr="00A67277">
              <w:rPr>
                <w:rFonts w:cs="Arial"/>
              </w:rPr>
              <w:t>harus memperoleh, membayar, kontrak untuk penyediaan, perolehan atau pengadaan Jaringan Utilitas dan semua koneksi untuk semua Jaringan Utilitas untuk menjalankan kewajibannya berdasarkan kewajibannya berdasarkan Perjanjian ini;</w:t>
            </w:r>
          </w:p>
        </w:tc>
      </w:tr>
      <w:tr w:rsidR="00862B0B" w:rsidRPr="00A67277" w14:paraId="7594A992" w14:textId="77777777" w:rsidTr="00862B0B">
        <w:tc>
          <w:tcPr>
            <w:tcW w:w="2270" w:type="pct"/>
          </w:tcPr>
          <w:p w14:paraId="25E7A704" w14:textId="05907F7D" w:rsidR="00862B0B" w:rsidRPr="00A67277" w:rsidRDefault="00862B0B" w:rsidP="00862B0B">
            <w:pPr>
              <w:pStyle w:val="Level4"/>
              <w:numPr>
                <w:ilvl w:val="3"/>
                <w:numId w:val="2"/>
              </w:numPr>
              <w:spacing w:before="60" w:after="60"/>
              <w:ind w:left="2007" w:hanging="426"/>
              <w:rPr>
                <w:rFonts w:cs="Arial"/>
              </w:rPr>
            </w:pPr>
            <w:bookmarkStart w:id="248" w:name="_cp_text_1_1567"/>
            <w:r w:rsidRPr="00A67277">
              <w:rPr>
                <w:rFonts w:cs="Arial"/>
              </w:rPr>
              <w:t xml:space="preserve">must investigate, protect, relocate, modify and provide for all Utilities necessary for it </w:t>
            </w:r>
            <w:bookmarkStart w:id="249" w:name="_cp_text_4_1568"/>
            <w:bookmarkEnd w:id="248"/>
            <w:r w:rsidRPr="00A67277">
              <w:rPr>
                <w:rFonts w:cs="Arial"/>
              </w:rPr>
              <w:t>to comply with its obligations under this Agreement;</w:t>
            </w:r>
            <w:bookmarkStart w:id="250" w:name="_cp_text_1_1569"/>
            <w:bookmarkEnd w:id="249"/>
            <w:bookmarkEnd w:id="250"/>
          </w:p>
        </w:tc>
        <w:tc>
          <w:tcPr>
            <w:tcW w:w="169" w:type="pct"/>
          </w:tcPr>
          <w:p w14:paraId="42FF1C92" w14:textId="77777777" w:rsidR="00862B0B" w:rsidRPr="00A67277" w:rsidRDefault="00862B0B" w:rsidP="00862B0B">
            <w:pPr>
              <w:spacing w:before="60" w:after="60"/>
              <w:rPr>
                <w:rFonts w:ascii="Arial" w:hAnsi="Arial" w:cs="Arial"/>
                <w:sz w:val="21"/>
                <w:szCs w:val="21"/>
              </w:rPr>
            </w:pPr>
          </w:p>
        </w:tc>
        <w:tc>
          <w:tcPr>
            <w:tcW w:w="2561" w:type="pct"/>
            <w:gridSpan w:val="2"/>
          </w:tcPr>
          <w:p w14:paraId="4FF7EEE5" w14:textId="77777777" w:rsidR="00862B0B" w:rsidRPr="00A67277" w:rsidRDefault="00862B0B" w:rsidP="00862B0B">
            <w:pPr>
              <w:pStyle w:val="Level4"/>
              <w:numPr>
                <w:ilvl w:val="0"/>
                <w:numId w:val="357"/>
              </w:numPr>
              <w:spacing w:before="60" w:after="60"/>
              <w:ind w:left="1782" w:hanging="425"/>
              <w:rPr>
                <w:rFonts w:cs="Arial"/>
              </w:rPr>
            </w:pPr>
            <w:r w:rsidRPr="00A67277">
              <w:rPr>
                <w:rFonts w:cs="Arial"/>
              </w:rPr>
              <w:t>harus menyelidiki, melindungi, memindahkan, memodifikasi, dan menyediakan seluruh Jaringan Utilitas yang diperlukan untuk memenuhi kewajibannya berdasarkan Perjanjian ini;</w:t>
            </w:r>
          </w:p>
        </w:tc>
      </w:tr>
      <w:tr w:rsidR="00862B0B" w:rsidRPr="00A67277" w14:paraId="4415E64B" w14:textId="77777777" w:rsidTr="00862B0B">
        <w:tc>
          <w:tcPr>
            <w:tcW w:w="2270" w:type="pct"/>
          </w:tcPr>
          <w:p w14:paraId="633A32D5" w14:textId="1A2CAFDA" w:rsidR="00862B0B" w:rsidRPr="00A67277" w:rsidRDefault="00862B0B" w:rsidP="00862B0B">
            <w:pPr>
              <w:pStyle w:val="Level4"/>
              <w:numPr>
                <w:ilvl w:val="3"/>
                <w:numId w:val="2"/>
              </w:numPr>
              <w:spacing w:before="60" w:after="60"/>
              <w:ind w:left="2007" w:hanging="426"/>
              <w:rPr>
                <w:rFonts w:cs="Arial"/>
              </w:rPr>
            </w:pPr>
            <w:bookmarkStart w:id="251" w:name="_cp_text_1_1570"/>
            <w:r w:rsidRPr="00A67277">
              <w:rPr>
                <w:rFonts w:cs="Arial"/>
              </w:rPr>
              <w:t>must consult with and keep GCA fully informed as to the ’BE's material dealings with the Government Instrumentalities and/or any state-owned enterprise or region-owned enterprise providing Utilities;</w:t>
            </w:r>
            <w:bookmarkEnd w:id="251"/>
          </w:p>
        </w:tc>
        <w:tc>
          <w:tcPr>
            <w:tcW w:w="169" w:type="pct"/>
          </w:tcPr>
          <w:p w14:paraId="4ABD0BB1" w14:textId="77777777" w:rsidR="00862B0B" w:rsidRPr="00A67277" w:rsidRDefault="00862B0B" w:rsidP="00862B0B">
            <w:pPr>
              <w:spacing w:before="60" w:after="60"/>
              <w:rPr>
                <w:rFonts w:ascii="Arial" w:hAnsi="Arial" w:cs="Arial"/>
                <w:sz w:val="21"/>
                <w:szCs w:val="21"/>
              </w:rPr>
            </w:pPr>
          </w:p>
        </w:tc>
        <w:tc>
          <w:tcPr>
            <w:tcW w:w="2561" w:type="pct"/>
            <w:gridSpan w:val="2"/>
          </w:tcPr>
          <w:p w14:paraId="517657DF" w14:textId="77777777" w:rsidR="00862B0B" w:rsidRPr="00A67277" w:rsidRDefault="00862B0B" w:rsidP="00862B0B">
            <w:pPr>
              <w:pStyle w:val="Level4"/>
              <w:numPr>
                <w:ilvl w:val="0"/>
                <w:numId w:val="357"/>
              </w:numPr>
              <w:spacing w:before="60" w:after="60"/>
              <w:ind w:left="1782" w:hanging="425"/>
              <w:rPr>
                <w:rFonts w:cs="Arial"/>
              </w:rPr>
            </w:pPr>
            <w:r w:rsidRPr="00A67277">
              <w:rPr>
                <w:rFonts w:cs="Arial"/>
              </w:rPr>
              <w:t>harus berkonsultasi dengan dan memastikan PJPK mendapatkan informasi lengkap mengenai urusan-urusan penting BUP dengan Lembaga Pemerintahan dan/atau badan usaha milik negara atau badan usaha mIlik daerah yang meyediakan Jaringan Utilitas;</w:t>
            </w:r>
          </w:p>
        </w:tc>
      </w:tr>
      <w:tr w:rsidR="00862B0B" w:rsidRPr="00A67277" w14:paraId="15891F69" w14:textId="77777777" w:rsidTr="00862B0B">
        <w:tc>
          <w:tcPr>
            <w:tcW w:w="2270" w:type="pct"/>
          </w:tcPr>
          <w:p w14:paraId="1730B4BF" w14:textId="222F4832" w:rsidR="00862B0B" w:rsidRPr="00A67277" w:rsidRDefault="00862B0B" w:rsidP="00862B0B">
            <w:pPr>
              <w:pStyle w:val="Level4"/>
              <w:numPr>
                <w:ilvl w:val="3"/>
                <w:numId w:val="2"/>
              </w:numPr>
              <w:spacing w:before="60" w:after="60"/>
              <w:ind w:left="2007" w:hanging="426"/>
              <w:rPr>
                <w:rFonts w:cs="Arial"/>
              </w:rPr>
            </w:pPr>
            <w:bookmarkStart w:id="252" w:name="_cp_text_1_1571"/>
            <w:r w:rsidRPr="00A67277">
              <w:rPr>
                <w:rFonts w:cs="Arial"/>
              </w:rPr>
              <w:t>assumes the risk of the existence, location, condition and availability of Utilities;</w:t>
            </w:r>
            <w:bookmarkEnd w:id="252"/>
          </w:p>
        </w:tc>
        <w:tc>
          <w:tcPr>
            <w:tcW w:w="169" w:type="pct"/>
          </w:tcPr>
          <w:p w14:paraId="4292D3A3" w14:textId="77777777" w:rsidR="00862B0B" w:rsidRPr="00A67277" w:rsidRDefault="00862B0B" w:rsidP="00862B0B">
            <w:pPr>
              <w:spacing w:before="60" w:after="60"/>
              <w:rPr>
                <w:rFonts w:ascii="Arial" w:hAnsi="Arial" w:cs="Arial"/>
                <w:sz w:val="21"/>
                <w:szCs w:val="21"/>
              </w:rPr>
            </w:pPr>
          </w:p>
        </w:tc>
        <w:tc>
          <w:tcPr>
            <w:tcW w:w="2561" w:type="pct"/>
            <w:gridSpan w:val="2"/>
          </w:tcPr>
          <w:p w14:paraId="15CDDC4C" w14:textId="77777777" w:rsidR="00862B0B" w:rsidRPr="00A67277" w:rsidRDefault="00862B0B" w:rsidP="00862B0B">
            <w:pPr>
              <w:pStyle w:val="Level4"/>
              <w:numPr>
                <w:ilvl w:val="0"/>
                <w:numId w:val="357"/>
              </w:numPr>
              <w:spacing w:before="60" w:after="60"/>
              <w:ind w:left="1782" w:hanging="425"/>
              <w:rPr>
                <w:rFonts w:cs="Arial"/>
              </w:rPr>
            </w:pPr>
            <w:r w:rsidRPr="00A67277">
              <w:rPr>
                <w:rFonts w:cs="Arial"/>
              </w:rPr>
              <w:t>menanggung risiko keberadaan, lokasi, kondisi dan ketersediaan dari Jaringan Utilitas;</w:t>
            </w:r>
          </w:p>
        </w:tc>
      </w:tr>
      <w:tr w:rsidR="00862B0B" w:rsidRPr="00A67277" w14:paraId="1CABAF4B" w14:textId="77777777" w:rsidTr="00862B0B">
        <w:tc>
          <w:tcPr>
            <w:tcW w:w="2270" w:type="pct"/>
          </w:tcPr>
          <w:p w14:paraId="4886C3C7" w14:textId="2A7BAA2A" w:rsidR="00862B0B" w:rsidRPr="00A67277" w:rsidRDefault="00862B0B" w:rsidP="00862B0B">
            <w:pPr>
              <w:pStyle w:val="Level3"/>
              <w:numPr>
                <w:ilvl w:val="2"/>
                <w:numId w:val="356"/>
              </w:numPr>
              <w:spacing w:before="60" w:after="60"/>
              <w:ind w:hanging="403"/>
              <w:rPr>
                <w:rFonts w:cs="Arial"/>
              </w:rPr>
            </w:pPr>
            <w:bookmarkStart w:id="253" w:name="_Toc501178064"/>
            <w:bookmarkStart w:id="254" w:name="_cp_text_1_1579"/>
            <w:r w:rsidRPr="00A67277">
              <w:rPr>
                <w:rFonts w:cs="Arial"/>
              </w:rPr>
              <w:t>GCA will not be liable under this Agreement or otherwise in relation to any Utilities required or used for the Project, except for the fiber optic cable connection along the Toll Roads</w:t>
            </w:r>
            <w:r w:rsidRPr="00A67277">
              <w:rPr>
                <w:rFonts w:cs="Arial"/>
                <w:b/>
              </w:rPr>
              <w:t>.</w:t>
            </w:r>
            <w:bookmarkEnd w:id="253"/>
            <w:bookmarkEnd w:id="254"/>
          </w:p>
        </w:tc>
        <w:tc>
          <w:tcPr>
            <w:tcW w:w="169" w:type="pct"/>
          </w:tcPr>
          <w:p w14:paraId="751191D1" w14:textId="77777777" w:rsidR="00862B0B" w:rsidRPr="00A67277" w:rsidRDefault="00862B0B" w:rsidP="00862B0B">
            <w:pPr>
              <w:spacing w:before="60" w:after="60"/>
              <w:rPr>
                <w:rFonts w:ascii="Arial" w:hAnsi="Arial" w:cs="Arial"/>
                <w:sz w:val="21"/>
                <w:szCs w:val="21"/>
              </w:rPr>
            </w:pPr>
          </w:p>
        </w:tc>
        <w:tc>
          <w:tcPr>
            <w:tcW w:w="2561" w:type="pct"/>
            <w:gridSpan w:val="2"/>
          </w:tcPr>
          <w:p w14:paraId="3E13E7AD" w14:textId="2AC12C6F" w:rsidR="00862B0B" w:rsidRPr="00A67277" w:rsidRDefault="00862B0B" w:rsidP="00862B0B">
            <w:pPr>
              <w:pStyle w:val="Level3"/>
              <w:numPr>
                <w:ilvl w:val="2"/>
                <w:numId w:val="358"/>
              </w:numPr>
              <w:tabs>
                <w:tab w:val="clear" w:pos="1417"/>
              </w:tabs>
              <w:spacing w:before="60" w:after="60"/>
              <w:ind w:left="1152" w:hanging="367"/>
              <w:rPr>
                <w:rFonts w:cs="Arial"/>
              </w:rPr>
            </w:pPr>
            <w:r w:rsidRPr="00A67277">
              <w:rPr>
                <w:rFonts w:cs="Arial"/>
                <w:lang w:val="id-ID"/>
              </w:rPr>
              <w:t xml:space="preserve">PJPK tidak bertanggung jawab berdasarkan Perjanjian ini atau dengan cara apapun sehubungan dengan </w:t>
            </w:r>
            <w:r w:rsidRPr="00A67277">
              <w:rPr>
                <w:rFonts w:cs="Arial"/>
                <w:lang w:val="en-US"/>
              </w:rPr>
              <w:t>Jaringan Utilitas</w:t>
            </w:r>
            <w:r w:rsidRPr="00A67277">
              <w:rPr>
                <w:rFonts w:cs="Arial"/>
                <w:lang w:val="id-ID"/>
              </w:rPr>
              <w:t xml:space="preserve"> yang dibutuhkan atau digunakan untuk Proyek</w:t>
            </w:r>
            <w:r w:rsidRPr="00A67277">
              <w:rPr>
                <w:rFonts w:cs="Arial"/>
                <w:lang w:val="en-US"/>
              </w:rPr>
              <w:t>, kecuali untuk kabel serat opti</w:t>
            </w:r>
            <w:r>
              <w:rPr>
                <w:rFonts w:cs="Arial"/>
                <w:lang w:val="en-US"/>
              </w:rPr>
              <w:t>k</w:t>
            </w:r>
            <w:r w:rsidRPr="00A67277">
              <w:rPr>
                <w:rFonts w:cs="Arial"/>
                <w:lang w:val="en-US"/>
              </w:rPr>
              <w:t xml:space="preserve"> yang tersambung sepanjang Jalan Tol</w:t>
            </w:r>
            <w:r w:rsidRPr="00A67277">
              <w:rPr>
                <w:rFonts w:cs="Arial"/>
                <w:lang w:val="id-ID"/>
              </w:rPr>
              <w:t>.</w:t>
            </w:r>
          </w:p>
        </w:tc>
      </w:tr>
      <w:tr w:rsidR="00862B0B" w:rsidRPr="00A67277" w14:paraId="56E34F0A" w14:textId="77777777" w:rsidTr="00862B0B">
        <w:tc>
          <w:tcPr>
            <w:tcW w:w="2270" w:type="pct"/>
          </w:tcPr>
          <w:p w14:paraId="017082C0" w14:textId="0377E417" w:rsidR="00862B0B" w:rsidRPr="00A67277" w:rsidRDefault="00862B0B" w:rsidP="00862B0B">
            <w:pPr>
              <w:pStyle w:val="CentredHeading"/>
              <w:numPr>
                <w:ilvl w:val="0"/>
                <w:numId w:val="470"/>
              </w:numPr>
              <w:spacing w:before="60" w:after="60"/>
              <w:ind w:left="460" w:hanging="460"/>
              <w:jc w:val="left"/>
              <w:rPr>
                <w:rFonts w:cs="Arial"/>
              </w:rPr>
            </w:pPr>
            <w:bookmarkStart w:id="255" w:name="_Toc501178077"/>
            <w:r w:rsidRPr="00A67277">
              <w:rPr>
                <w:rFonts w:cs="Arial"/>
                <w:lang w:val="en-US" w:eastAsia="en-US"/>
              </w:rPr>
              <w:t xml:space="preserve">Development and Construction of the </w:t>
            </w:r>
            <w:bookmarkEnd w:id="255"/>
            <w:r w:rsidRPr="00A67277">
              <w:rPr>
                <w:rFonts w:cs="Arial"/>
                <w:lang w:val="en-US" w:eastAsia="en-US"/>
              </w:rPr>
              <w:t>Facility</w:t>
            </w:r>
          </w:p>
        </w:tc>
        <w:tc>
          <w:tcPr>
            <w:tcW w:w="169" w:type="pct"/>
          </w:tcPr>
          <w:p w14:paraId="5454C38F" w14:textId="77777777" w:rsidR="00862B0B" w:rsidRPr="00A67277" w:rsidRDefault="00862B0B" w:rsidP="00862B0B">
            <w:pPr>
              <w:spacing w:before="60" w:after="60"/>
              <w:rPr>
                <w:rFonts w:ascii="Arial" w:hAnsi="Arial" w:cs="Arial"/>
                <w:sz w:val="21"/>
                <w:szCs w:val="21"/>
              </w:rPr>
            </w:pPr>
          </w:p>
        </w:tc>
        <w:tc>
          <w:tcPr>
            <w:tcW w:w="2561" w:type="pct"/>
            <w:gridSpan w:val="2"/>
          </w:tcPr>
          <w:p w14:paraId="52DF2D8D" w14:textId="77777777" w:rsidR="00862B0B" w:rsidRPr="00A67277" w:rsidRDefault="00862B0B" w:rsidP="00862B0B">
            <w:pPr>
              <w:pStyle w:val="CentredHeading"/>
              <w:numPr>
                <w:ilvl w:val="0"/>
                <w:numId w:val="348"/>
              </w:numPr>
              <w:spacing w:before="60" w:after="60"/>
              <w:ind w:left="453" w:hanging="453"/>
              <w:jc w:val="both"/>
              <w:rPr>
                <w:rFonts w:cs="Arial"/>
                <w:lang w:val="en-US" w:eastAsia="en-US"/>
              </w:rPr>
            </w:pPr>
            <w:r w:rsidRPr="00A67277">
              <w:rPr>
                <w:rFonts w:cs="Arial"/>
                <w:lang w:val="en-US" w:eastAsia="en-US"/>
              </w:rPr>
              <w:t>Pembangunan dan Konstruksi Fasilitas</w:t>
            </w:r>
          </w:p>
        </w:tc>
      </w:tr>
      <w:tr w:rsidR="00862B0B" w:rsidRPr="00A67277" w14:paraId="54A60209" w14:textId="77777777" w:rsidTr="00862B0B">
        <w:tc>
          <w:tcPr>
            <w:tcW w:w="2270" w:type="pct"/>
          </w:tcPr>
          <w:p w14:paraId="695C2426" w14:textId="77777777" w:rsidR="00862B0B" w:rsidRPr="00A67277" w:rsidRDefault="00862B0B" w:rsidP="00862B0B">
            <w:pPr>
              <w:pStyle w:val="Heading2"/>
              <w:keepLines w:val="0"/>
              <w:numPr>
                <w:ilvl w:val="1"/>
                <w:numId w:val="416"/>
              </w:numPr>
              <w:spacing w:before="60" w:after="60"/>
              <w:outlineLvl w:val="1"/>
              <w:rPr>
                <w:rFonts w:ascii="Arial" w:hAnsi="Arial" w:cs="Arial"/>
                <w:b/>
                <w:color w:val="auto"/>
                <w:sz w:val="21"/>
                <w:szCs w:val="21"/>
              </w:rPr>
            </w:pPr>
            <w:r w:rsidRPr="00A67277">
              <w:rPr>
                <w:rFonts w:ascii="Arial" w:hAnsi="Arial" w:cs="Arial"/>
                <w:b/>
                <w:color w:val="auto"/>
                <w:sz w:val="21"/>
                <w:szCs w:val="21"/>
              </w:rPr>
              <w:t>Stage II Performance Bond</w:t>
            </w:r>
          </w:p>
        </w:tc>
        <w:tc>
          <w:tcPr>
            <w:tcW w:w="169" w:type="pct"/>
          </w:tcPr>
          <w:p w14:paraId="0EE3A6C4" w14:textId="77777777" w:rsidR="00862B0B" w:rsidRPr="00A67277" w:rsidRDefault="00862B0B" w:rsidP="00862B0B">
            <w:pPr>
              <w:spacing w:before="60" w:after="60"/>
              <w:rPr>
                <w:rFonts w:ascii="Arial" w:hAnsi="Arial" w:cs="Arial"/>
                <w:sz w:val="21"/>
                <w:szCs w:val="21"/>
              </w:rPr>
            </w:pPr>
          </w:p>
        </w:tc>
        <w:tc>
          <w:tcPr>
            <w:tcW w:w="2561" w:type="pct"/>
            <w:gridSpan w:val="2"/>
          </w:tcPr>
          <w:p w14:paraId="4E816254" w14:textId="77777777" w:rsidR="00862B0B" w:rsidRPr="00A67277" w:rsidRDefault="00862B0B" w:rsidP="00862B0B">
            <w:pPr>
              <w:pStyle w:val="Heading2"/>
              <w:keepLines w:val="0"/>
              <w:numPr>
                <w:ilvl w:val="1"/>
                <w:numId w:val="360"/>
              </w:numPr>
              <w:spacing w:before="60" w:after="60"/>
              <w:ind w:left="882" w:hanging="162"/>
              <w:outlineLvl w:val="1"/>
              <w:rPr>
                <w:rFonts w:cs="Arial"/>
                <w:b/>
                <w:color w:val="auto"/>
                <w:shd w:val="clear" w:color="auto" w:fill="FFFFFF"/>
              </w:rPr>
            </w:pPr>
            <w:r w:rsidRPr="00A67277">
              <w:rPr>
                <w:rFonts w:ascii="Arial" w:hAnsi="Arial" w:cs="Arial"/>
                <w:b/>
                <w:color w:val="auto"/>
                <w:sz w:val="21"/>
                <w:szCs w:val="21"/>
              </w:rPr>
              <w:t>Jaminan Pelaksanaan Tahap II</w:t>
            </w:r>
          </w:p>
        </w:tc>
      </w:tr>
      <w:tr w:rsidR="00862B0B" w:rsidRPr="00A67277" w14:paraId="2B35BDC6" w14:textId="77777777" w:rsidTr="00862B0B">
        <w:tc>
          <w:tcPr>
            <w:tcW w:w="2270" w:type="pct"/>
          </w:tcPr>
          <w:p w14:paraId="7FA90515" w14:textId="6D1CE4E0" w:rsidR="00862B0B" w:rsidRPr="00A67277" w:rsidRDefault="00862B0B" w:rsidP="00862B0B">
            <w:pPr>
              <w:pStyle w:val="ListParagraph"/>
              <w:numPr>
                <w:ilvl w:val="0"/>
                <w:numId w:val="417"/>
              </w:numPr>
              <w:spacing w:before="60" w:after="60" w:line="240" w:lineRule="auto"/>
              <w:ind w:left="1316" w:hanging="540"/>
              <w:rPr>
                <w:rFonts w:cs="Arial"/>
              </w:rPr>
            </w:pPr>
            <w:r w:rsidRPr="00A67277">
              <w:rPr>
                <w:rFonts w:cs="Arial"/>
              </w:rPr>
              <w:t>As security for performance by the IBE of its obligations with respect to development and construction of the Facility under this Agreement, on or before the Effective Date, the IBE must deliver to GCA an irrevocable and unconditional first demand bank guarantee in favour of GCA.</w:t>
            </w:r>
          </w:p>
        </w:tc>
        <w:tc>
          <w:tcPr>
            <w:tcW w:w="169" w:type="pct"/>
          </w:tcPr>
          <w:p w14:paraId="1234F376" w14:textId="77777777" w:rsidR="00862B0B" w:rsidRPr="00A67277" w:rsidRDefault="00862B0B" w:rsidP="00862B0B">
            <w:pPr>
              <w:spacing w:before="60" w:after="60"/>
              <w:rPr>
                <w:rFonts w:ascii="Arial" w:hAnsi="Arial" w:cs="Arial"/>
                <w:sz w:val="21"/>
                <w:szCs w:val="21"/>
              </w:rPr>
            </w:pPr>
          </w:p>
        </w:tc>
        <w:tc>
          <w:tcPr>
            <w:tcW w:w="2561" w:type="pct"/>
            <w:gridSpan w:val="2"/>
          </w:tcPr>
          <w:p w14:paraId="146CC106" w14:textId="06FE2ADE" w:rsidR="00862B0B" w:rsidRPr="00A67277" w:rsidRDefault="00862B0B" w:rsidP="00862B0B">
            <w:pPr>
              <w:pStyle w:val="Level3"/>
              <w:spacing w:before="60" w:after="60"/>
              <w:ind w:left="1512" w:hanging="540"/>
              <w:rPr>
                <w:rFonts w:cs="Arial"/>
                <w:shd w:val="clear" w:color="auto" w:fill="FFFFFF"/>
              </w:rPr>
            </w:pPr>
            <w:r w:rsidRPr="00A67277">
              <w:rPr>
                <w:rFonts w:cs="Arial"/>
                <w:shd w:val="clear" w:color="auto" w:fill="FFFFFF"/>
              </w:rPr>
              <w:t>(a)</w:t>
            </w:r>
            <w:r w:rsidRPr="00A67277">
              <w:rPr>
                <w:rFonts w:cs="Arial"/>
                <w:shd w:val="clear" w:color="auto" w:fill="FFFFFF"/>
              </w:rPr>
              <w:tab/>
              <w:t>S</w:t>
            </w:r>
            <w:r w:rsidRPr="00A67277">
              <w:rPr>
                <w:lang w:val="en-US" w:eastAsia="en-US"/>
              </w:rPr>
              <w:t xml:space="preserve">ebagai jaminan kepada PJPK </w:t>
            </w:r>
            <w:r w:rsidRPr="00A67277">
              <w:t xml:space="preserve">terhadap pelaksanaan oleh BUP atas kewajibannya sehubungan dengan pengembangan dan konstruksi Fasilitas berdasarkan Perjanjian ini, pada saat atau sebelum Tanggal Efektif, BUP harus menyerahkan kepada PJPK suatu bank garansi permintaan pertama </w:t>
            </w:r>
            <w:r w:rsidRPr="00A67277">
              <w:rPr>
                <w:lang w:val="id-ID" w:eastAsia="en-US"/>
              </w:rPr>
              <w:t xml:space="preserve">yang tidak dapat dibatalkan dan tidak </w:t>
            </w:r>
            <w:r w:rsidRPr="00A67277">
              <w:rPr>
                <w:lang w:val="en-US" w:eastAsia="en-US"/>
              </w:rPr>
              <w:t>bersyarat</w:t>
            </w:r>
            <w:r w:rsidRPr="00A67277">
              <w:t>.</w:t>
            </w:r>
          </w:p>
        </w:tc>
      </w:tr>
      <w:tr w:rsidR="00862B0B" w:rsidRPr="00A67277" w14:paraId="625BF1E8" w14:textId="77777777" w:rsidTr="00862B0B">
        <w:tc>
          <w:tcPr>
            <w:tcW w:w="2270" w:type="pct"/>
          </w:tcPr>
          <w:p w14:paraId="47BE306B"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rPr>
                <w:rFonts w:cs="Arial"/>
              </w:rPr>
              <w:t>The Stage II Performance Bond must be:</w:t>
            </w:r>
          </w:p>
        </w:tc>
        <w:tc>
          <w:tcPr>
            <w:tcW w:w="169" w:type="pct"/>
          </w:tcPr>
          <w:p w14:paraId="66544A64" w14:textId="77777777" w:rsidR="00862B0B" w:rsidRPr="00A67277" w:rsidRDefault="00862B0B" w:rsidP="00862B0B">
            <w:pPr>
              <w:spacing w:before="60" w:after="60"/>
              <w:rPr>
                <w:rFonts w:ascii="Arial" w:hAnsi="Arial" w:cs="Arial"/>
                <w:sz w:val="21"/>
                <w:szCs w:val="21"/>
              </w:rPr>
            </w:pPr>
          </w:p>
        </w:tc>
        <w:tc>
          <w:tcPr>
            <w:tcW w:w="2561" w:type="pct"/>
            <w:gridSpan w:val="2"/>
          </w:tcPr>
          <w:p w14:paraId="4AB6D025" w14:textId="77777777" w:rsidR="00862B0B" w:rsidRPr="00A67277" w:rsidRDefault="00862B0B" w:rsidP="00862B0B">
            <w:pPr>
              <w:pStyle w:val="Level3"/>
              <w:spacing w:before="60" w:after="60"/>
              <w:ind w:left="1512" w:hanging="540"/>
              <w:rPr>
                <w:rFonts w:cs="Arial"/>
                <w:shd w:val="clear" w:color="auto" w:fill="FFFFFF"/>
              </w:rPr>
            </w:pPr>
            <w:r w:rsidRPr="00A67277">
              <w:rPr>
                <w:rFonts w:cs="Arial"/>
                <w:shd w:val="clear" w:color="auto" w:fill="FFFFFF"/>
              </w:rPr>
              <w:t>(b)</w:t>
            </w:r>
            <w:r w:rsidRPr="00A67277">
              <w:rPr>
                <w:rFonts w:cs="Arial"/>
                <w:shd w:val="clear" w:color="auto" w:fill="FFFFFF"/>
              </w:rPr>
              <w:tab/>
            </w:r>
            <w:bookmarkStart w:id="256" w:name="_Toc503185718"/>
            <w:r w:rsidRPr="00A67277">
              <w:t>Jaminan Pelaksanaan Tahap II harus:</w:t>
            </w:r>
            <w:bookmarkEnd w:id="256"/>
          </w:p>
        </w:tc>
      </w:tr>
      <w:tr w:rsidR="00862B0B" w:rsidRPr="00A67277" w14:paraId="4FD1AAF3" w14:textId="77777777" w:rsidTr="00862B0B">
        <w:tc>
          <w:tcPr>
            <w:tcW w:w="2270" w:type="pct"/>
          </w:tcPr>
          <w:p w14:paraId="7C5C42A5" w14:textId="54B0BFD6" w:rsidR="00862B0B" w:rsidRPr="00A67277" w:rsidRDefault="00862B0B" w:rsidP="00862B0B">
            <w:pPr>
              <w:pStyle w:val="ListParagraph"/>
              <w:numPr>
                <w:ilvl w:val="0"/>
                <w:numId w:val="418"/>
              </w:numPr>
              <w:spacing w:before="60" w:after="60" w:line="240" w:lineRule="auto"/>
              <w:ind w:left="1676" w:hanging="214"/>
              <w:rPr>
                <w:rFonts w:cs="Arial"/>
              </w:rPr>
            </w:pPr>
            <w:r w:rsidRPr="00A67277">
              <w:t>issued by</w:t>
            </w:r>
            <w:r w:rsidRPr="00A67277">
              <w:rPr>
                <w:rFonts w:cs="Arial"/>
              </w:rPr>
              <w:t xml:space="preserve"> a national general bank or a foreign bank having a branch office in Indonesia</w:t>
            </w:r>
            <w:r w:rsidRPr="00A67277">
              <w:t>, which:</w:t>
            </w:r>
          </w:p>
        </w:tc>
        <w:tc>
          <w:tcPr>
            <w:tcW w:w="169" w:type="pct"/>
          </w:tcPr>
          <w:p w14:paraId="7A75AD52" w14:textId="77777777" w:rsidR="00862B0B" w:rsidRPr="00A67277" w:rsidRDefault="00862B0B" w:rsidP="00862B0B">
            <w:pPr>
              <w:spacing w:before="60" w:after="60"/>
              <w:rPr>
                <w:rFonts w:ascii="Arial" w:hAnsi="Arial" w:cs="Arial"/>
                <w:sz w:val="21"/>
                <w:szCs w:val="21"/>
              </w:rPr>
            </w:pPr>
          </w:p>
        </w:tc>
        <w:tc>
          <w:tcPr>
            <w:tcW w:w="2561" w:type="pct"/>
            <w:gridSpan w:val="2"/>
          </w:tcPr>
          <w:p w14:paraId="0F872CE3" w14:textId="1F9820F4" w:rsidR="00862B0B" w:rsidRPr="00A67277" w:rsidRDefault="00862B0B" w:rsidP="00862B0B">
            <w:pPr>
              <w:pStyle w:val="Level3"/>
              <w:spacing w:before="60" w:after="60"/>
              <w:ind w:left="1872" w:hanging="432"/>
              <w:rPr>
                <w:rFonts w:cs="Arial"/>
                <w:shd w:val="clear" w:color="auto" w:fill="FFFFFF"/>
              </w:rPr>
            </w:pPr>
            <w:r w:rsidRPr="00A67277">
              <w:rPr>
                <w:rFonts w:cs="Arial"/>
                <w:shd w:val="clear" w:color="auto" w:fill="FFFFFF"/>
              </w:rPr>
              <w:t>(i)</w:t>
            </w:r>
            <w:r w:rsidRPr="00A67277">
              <w:rPr>
                <w:rFonts w:cs="Arial"/>
                <w:shd w:val="clear" w:color="auto" w:fill="FFFFFF"/>
              </w:rPr>
              <w:tab/>
            </w:r>
            <w:r w:rsidRPr="00A67277">
              <w:rPr>
                <w:lang w:val="id-ID"/>
              </w:rPr>
              <w:t xml:space="preserve"> diterbitkan oleh bank </w:t>
            </w:r>
            <w:r w:rsidRPr="00A67277">
              <w:rPr>
                <w:rFonts w:cs="Arial"/>
                <w:lang w:val="en-US"/>
              </w:rPr>
              <w:t xml:space="preserve"> umum nasional atau bank asing yang memiliki kantor cabang di Indonesia</w:t>
            </w:r>
            <w:r w:rsidRPr="00A67277">
              <w:rPr>
                <w:lang w:val="id-ID"/>
              </w:rPr>
              <w:t>, yang</w:t>
            </w:r>
          </w:p>
        </w:tc>
      </w:tr>
      <w:tr w:rsidR="00862B0B" w:rsidRPr="00A67277" w14:paraId="1D29392D" w14:textId="77777777" w:rsidTr="00862B0B">
        <w:tc>
          <w:tcPr>
            <w:tcW w:w="2270" w:type="pct"/>
          </w:tcPr>
          <w:p w14:paraId="399805BE" w14:textId="77777777" w:rsidR="00862B0B" w:rsidRPr="00A67277" w:rsidRDefault="00862B0B" w:rsidP="00862B0B">
            <w:pPr>
              <w:pStyle w:val="ListParagraph"/>
              <w:numPr>
                <w:ilvl w:val="0"/>
                <w:numId w:val="419"/>
              </w:numPr>
              <w:spacing w:before="60" w:after="60" w:line="240" w:lineRule="auto"/>
              <w:ind w:left="2216" w:hanging="540"/>
              <w:rPr>
                <w:rFonts w:cs="Arial"/>
              </w:rPr>
            </w:pPr>
            <w:r w:rsidRPr="00A67277">
              <w:t xml:space="preserve">having a rating of at least </w:t>
            </w:r>
            <w:r w:rsidRPr="00A67277">
              <w:rPr>
                <w:rFonts w:cs="Arial"/>
              </w:rPr>
              <w:t xml:space="preserve"> BBB- </w:t>
            </w:r>
            <w:r w:rsidRPr="00A67277">
              <w:rPr>
                <w:rFonts w:cs="Arial"/>
                <w:lang w:val="en-SG"/>
              </w:rPr>
              <w:t xml:space="preserve">credit </w:t>
            </w:r>
            <w:r w:rsidRPr="00A67277">
              <w:rPr>
                <w:rFonts w:cs="Arial"/>
              </w:rPr>
              <w:t>rating by any of FITCH or Standard &amp; Poor’s or minimum Baa3 by Moody’s Investors Service</w:t>
            </w:r>
            <w:r w:rsidRPr="00A67277">
              <w:t xml:space="preserve"> ; or</w:t>
            </w:r>
          </w:p>
        </w:tc>
        <w:tc>
          <w:tcPr>
            <w:tcW w:w="169" w:type="pct"/>
          </w:tcPr>
          <w:p w14:paraId="18211F38" w14:textId="77777777" w:rsidR="00862B0B" w:rsidRPr="00A67277" w:rsidRDefault="00862B0B" w:rsidP="00862B0B">
            <w:pPr>
              <w:spacing w:before="60" w:after="60"/>
              <w:rPr>
                <w:rFonts w:ascii="Arial" w:hAnsi="Arial" w:cs="Arial"/>
                <w:sz w:val="21"/>
                <w:szCs w:val="21"/>
              </w:rPr>
            </w:pPr>
          </w:p>
        </w:tc>
        <w:tc>
          <w:tcPr>
            <w:tcW w:w="2561" w:type="pct"/>
            <w:gridSpan w:val="2"/>
          </w:tcPr>
          <w:p w14:paraId="49B76EFA" w14:textId="77777777" w:rsidR="00862B0B" w:rsidRPr="00A67277" w:rsidRDefault="00862B0B" w:rsidP="00862B0B">
            <w:pPr>
              <w:pStyle w:val="Level3"/>
              <w:spacing w:before="60" w:after="60"/>
              <w:ind w:left="2412" w:hanging="522"/>
              <w:rPr>
                <w:rFonts w:cs="Arial"/>
                <w:shd w:val="clear" w:color="auto" w:fill="FFFFFF"/>
              </w:rPr>
            </w:pPr>
            <w:bookmarkStart w:id="257" w:name="_Hlk500631925"/>
            <w:r w:rsidRPr="00A67277">
              <w:rPr>
                <w:lang w:val="en-US"/>
              </w:rPr>
              <w:t>(1)</w:t>
            </w:r>
            <w:r w:rsidRPr="00A67277">
              <w:rPr>
                <w:lang w:val="en-US"/>
              </w:rPr>
              <w:tab/>
            </w:r>
            <w:r w:rsidRPr="00A67277">
              <w:rPr>
                <w:lang w:val="id-ID"/>
              </w:rPr>
              <w:t xml:space="preserve">memiliki peringkat sekurang-kurangnya </w:t>
            </w:r>
            <w:r w:rsidRPr="00A67277">
              <w:rPr>
                <w:rFonts w:cs="Arial"/>
                <w:lang w:val="id-ID"/>
              </w:rPr>
              <w:t xml:space="preserve"> peringkat BBB- oleh salah satu lembaga pemeringkat kredit FITCH</w:t>
            </w:r>
            <w:r w:rsidRPr="00A67277">
              <w:rPr>
                <w:rFonts w:cs="Arial"/>
              </w:rPr>
              <w:t xml:space="preserve"> </w:t>
            </w:r>
            <w:r w:rsidRPr="00A67277">
              <w:rPr>
                <w:rFonts w:cs="Arial"/>
                <w:lang w:val="id-ID"/>
              </w:rPr>
              <w:t>atau</w:t>
            </w:r>
            <w:r w:rsidRPr="00A67277">
              <w:rPr>
                <w:rFonts w:cs="Arial"/>
              </w:rPr>
              <w:t xml:space="preserve"> </w:t>
            </w:r>
            <w:r w:rsidRPr="00A67277">
              <w:t>Standard &amp; Poor’s</w:t>
            </w:r>
            <w:r w:rsidRPr="00A67277">
              <w:rPr>
                <w:rFonts w:cs="Arial"/>
                <w:lang w:val="id-ID"/>
              </w:rPr>
              <w:t xml:space="preserve"> atau dengan minimum peringkat Baa3 oleh </w:t>
            </w:r>
            <w:r w:rsidRPr="00A67277">
              <w:t xml:space="preserve">Moody’s </w:t>
            </w:r>
            <w:r w:rsidRPr="00A67277">
              <w:rPr>
                <w:lang w:val="id-ID"/>
              </w:rPr>
              <w:t>Investor Service;</w:t>
            </w:r>
            <w:r w:rsidRPr="00A67277">
              <w:t xml:space="preserve"> </w:t>
            </w:r>
            <w:r w:rsidRPr="00A67277">
              <w:rPr>
                <w:lang w:val="id-ID"/>
              </w:rPr>
              <w:t xml:space="preserve"> atau</w:t>
            </w:r>
            <w:bookmarkEnd w:id="257"/>
          </w:p>
        </w:tc>
      </w:tr>
      <w:tr w:rsidR="00862B0B" w:rsidRPr="00A67277" w14:paraId="62FD8F40" w14:textId="77777777" w:rsidTr="00862B0B">
        <w:tc>
          <w:tcPr>
            <w:tcW w:w="2270" w:type="pct"/>
          </w:tcPr>
          <w:p w14:paraId="51832A58" w14:textId="77777777" w:rsidR="00862B0B" w:rsidRPr="00A67277" w:rsidRDefault="00862B0B" w:rsidP="00862B0B">
            <w:pPr>
              <w:pStyle w:val="ListParagraph"/>
              <w:numPr>
                <w:ilvl w:val="0"/>
                <w:numId w:val="419"/>
              </w:numPr>
              <w:spacing w:before="60" w:after="60" w:line="240" w:lineRule="auto"/>
              <w:ind w:left="2216" w:hanging="540"/>
              <w:rPr>
                <w:rFonts w:cs="Arial"/>
              </w:rPr>
            </w:pPr>
            <w:r w:rsidRPr="00A67277">
              <w:t>otherwise approved by GCA in its sole discretion.</w:t>
            </w:r>
          </w:p>
        </w:tc>
        <w:tc>
          <w:tcPr>
            <w:tcW w:w="169" w:type="pct"/>
          </w:tcPr>
          <w:p w14:paraId="2FFC583F" w14:textId="77777777" w:rsidR="00862B0B" w:rsidRPr="00A67277" w:rsidRDefault="00862B0B" w:rsidP="00862B0B">
            <w:pPr>
              <w:spacing w:before="60" w:after="60"/>
              <w:rPr>
                <w:rFonts w:ascii="Arial" w:hAnsi="Arial" w:cs="Arial"/>
                <w:sz w:val="21"/>
                <w:szCs w:val="21"/>
              </w:rPr>
            </w:pPr>
          </w:p>
        </w:tc>
        <w:tc>
          <w:tcPr>
            <w:tcW w:w="2561" w:type="pct"/>
            <w:gridSpan w:val="2"/>
          </w:tcPr>
          <w:p w14:paraId="7ED24066" w14:textId="77777777" w:rsidR="00862B0B" w:rsidRPr="00A67277" w:rsidRDefault="00862B0B" w:rsidP="00862B0B">
            <w:pPr>
              <w:pStyle w:val="Level3"/>
              <w:spacing w:before="60" w:after="60"/>
              <w:ind w:left="2412" w:hanging="731"/>
              <w:rPr>
                <w:rFonts w:cs="Arial"/>
                <w:shd w:val="clear" w:color="auto" w:fill="FFFFFF"/>
              </w:rPr>
            </w:pPr>
            <w:bookmarkStart w:id="258" w:name="_Hlk500631942"/>
            <w:r w:rsidRPr="00A67277">
              <w:rPr>
                <w:lang w:val="en-US"/>
              </w:rPr>
              <w:t>(2)</w:t>
            </w:r>
            <w:r w:rsidRPr="00A67277">
              <w:rPr>
                <w:lang w:val="en-US"/>
              </w:rPr>
              <w:tab/>
              <w:t>disepakati lain</w:t>
            </w:r>
            <w:r w:rsidRPr="00A67277">
              <w:rPr>
                <w:lang w:val="id-ID"/>
              </w:rPr>
              <w:t xml:space="preserve"> oleh PJPK </w:t>
            </w:r>
            <w:bookmarkEnd w:id="258"/>
            <w:r w:rsidRPr="00A67277">
              <w:rPr>
                <w:lang w:val="en-ID"/>
              </w:rPr>
              <w:t>atas kebijakannya sendiri</w:t>
            </w:r>
            <w:r w:rsidRPr="00A67277">
              <w:rPr>
                <w:lang w:val="en-US"/>
              </w:rPr>
              <w:t>.</w:t>
            </w:r>
          </w:p>
        </w:tc>
      </w:tr>
      <w:tr w:rsidR="00862B0B" w:rsidRPr="00A67277" w14:paraId="025A894F" w14:textId="77777777" w:rsidTr="00862B0B">
        <w:tc>
          <w:tcPr>
            <w:tcW w:w="2270" w:type="pct"/>
          </w:tcPr>
          <w:p w14:paraId="346D7061" w14:textId="2A34FBCC" w:rsidR="00862B0B" w:rsidRPr="00A67277" w:rsidRDefault="00862B0B" w:rsidP="00862B0B">
            <w:pPr>
              <w:pStyle w:val="ListParagraph"/>
              <w:numPr>
                <w:ilvl w:val="0"/>
                <w:numId w:val="418"/>
              </w:numPr>
              <w:spacing w:before="60" w:after="60" w:line="240" w:lineRule="auto"/>
              <w:ind w:left="1676" w:hanging="214"/>
              <w:rPr>
                <w:rFonts w:cs="Arial"/>
              </w:rPr>
            </w:pPr>
            <w:r w:rsidRPr="00A67277">
              <w:t xml:space="preserve">in the form set out in Appendix 18 (Format of Performance Bond);  </w:t>
            </w:r>
          </w:p>
        </w:tc>
        <w:tc>
          <w:tcPr>
            <w:tcW w:w="169" w:type="pct"/>
          </w:tcPr>
          <w:p w14:paraId="657D02D1" w14:textId="77777777" w:rsidR="00862B0B" w:rsidRPr="00A67277" w:rsidRDefault="00862B0B" w:rsidP="00862B0B">
            <w:pPr>
              <w:spacing w:before="60" w:after="60"/>
              <w:rPr>
                <w:rFonts w:ascii="Arial" w:hAnsi="Arial" w:cs="Arial"/>
                <w:sz w:val="21"/>
                <w:szCs w:val="21"/>
              </w:rPr>
            </w:pPr>
          </w:p>
        </w:tc>
        <w:tc>
          <w:tcPr>
            <w:tcW w:w="2561" w:type="pct"/>
            <w:gridSpan w:val="2"/>
          </w:tcPr>
          <w:p w14:paraId="07E1F401" w14:textId="4DAC7BB4" w:rsidR="00862B0B" w:rsidRPr="00A67277" w:rsidRDefault="00862B0B" w:rsidP="00862B0B">
            <w:pPr>
              <w:pStyle w:val="Level3"/>
              <w:spacing w:before="60" w:after="60"/>
              <w:ind w:left="1872" w:hanging="450"/>
              <w:rPr>
                <w:rFonts w:cs="Arial"/>
                <w:shd w:val="clear" w:color="auto" w:fill="FFFFFF"/>
              </w:rPr>
            </w:pPr>
            <w:bookmarkStart w:id="259" w:name="_Hlk500631952"/>
            <w:r w:rsidRPr="00A67277">
              <w:rPr>
                <w:lang w:val="en-US"/>
              </w:rPr>
              <w:t>(ii)</w:t>
            </w:r>
            <w:r w:rsidRPr="00A67277">
              <w:rPr>
                <w:lang w:val="en-US"/>
              </w:rPr>
              <w:tab/>
            </w:r>
            <w:r w:rsidRPr="00A67277">
              <w:rPr>
                <w:lang w:val="id-ID"/>
              </w:rPr>
              <w:t xml:space="preserve">dalam bentuk yang ditetapkan dalam Lampiran </w:t>
            </w:r>
            <w:r w:rsidRPr="00A67277">
              <w:rPr>
                <w:lang w:val="en-US"/>
              </w:rPr>
              <w:t xml:space="preserve">18 </w:t>
            </w:r>
            <w:r w:rsidRPr="00A67277">
              <w:rPr>
                <w:lang w:val="id-ID"/>
              </w:rPr>
              <w:t>(</w:t>
            </w:r>
            <w:r w:rsidRPr="00A67277">
              <w:rPr>
                <w:i/>
                <w:lang w:val="en-ID"/>
              </w:rPr>
              <w:t>Bentuk</w:t>
            </w:r>
            <w:r w:rsidRPr="00A67277">
              <w:rPr>
                <w:lang w:val="en-ID"/>
              </w:rPr>
              <w:t xml:space="preserve"> </w:t>
            </w:r>
            <w:r w:rsidRPr="00A67277">
              <w:rPr>
                <w:i/>
                <w:lang w:val="en-US"/>
              </w:rPr>
              <w:t xml:space="preserve">Jaminan </w:t>
            </w:r>
            <w:r w:rsidRPr="00A67277">
              <w:rPr>
                <w:i/>
                <w:lang w:val="id-ID"/>
              </w:rPr>
              <w:t>Pelaksanaan</w:t>
            </w:r>
            <w:r w:rsidRPr="00A67277">
              <w:rPr>
                <w:lang w:val="id-ID"/>
              </w:rPr>
              <w:t>)</w:t>
            </w:r>
            <w:r w:rsidRPr="00A67277">
              <w:rPr>
                <w:lang w:val="en-US"/>
              </w:rPr>
              <w:t>;</w:t>
            </w:r>
            <w:bookmarkEnd w:id="259"/>
          </w:p>
        </w:tc>
      </w:tr>
      <w:tr w:rsidR="00862B0B" w:rsidRPr="00A67277" w14:paraId="3CC9BBFB" w14:textId="77777777" w:rsidTr="00862B0B">
        <w:tc>
          <w:tcPr>
            <w:tcW w:w="2270" w:type="pct"/>
          </w:tcPr>
          <w:p w14:paraId="66523EFD" w14:textId="7A5A2042" w:rsidR="00862B0B" w:rsidRPr="00A67277" w:rsidRDefault="00862B0B" w:rsidP="00862B0B">
            <w:pPr>
              <w:pStyle w:val="ListParagraph"/>
              <w:numPr>
                <w:ilvl w:val="0"/>
                <w:numId w:val="418"/>
              </w:numPr>
              <w:spacing w:before="60" w:after="60" w:line="240" w:lineRule="auto"/>
              <w:ind w:left="1676" w:hanging="214"/>
              <w:rPr>
                <w:rFonts w:cs="Arial"/>
              </w:rPr>
            </w:pPr>
            <w:r w:rsidRPr="00A67277">
              <w:t xml:space="preserve">in the aggregate amount of the </w:t>
            </w:r>
            <w:r w:rsidRPr="00A67277">
              <w:rPr>
                <w:rFonts w:cs="Arial"/>
              </w:rPr>
              <w:t>[</w:t>
            </w:r>
            <w:r w:rsidRPr="00A67277">
              <w:t>1% of the construction cost</w:t>
            </w:r>
            <w:r w:rsidRPr="00A67277">
              <w:rPr>
                <w:rFonts w:cs="Arial"/>
              </w:rPr>
              <w:t>]</w:t>
            </w:r>
            <w:r w:rsidRPr="00A67277">
              <w:t xml:space="preserve"> Indonesian Rupiah (IDR </w:t>
            </w:r>
            <w:r w:rsidRPr="00A67277">
              <w:rPr>
                <w:rFonts w:cs="Arial"/>
              </w:rPr>
              <w:t>[●]</w:t>
            </w:r>
            <w:r w:rsidRPr="00A67277">
              <w:t>); and</w:t>
            </w:r>
          </w:p>
        </w:tc>
        <w:tc>
          <w:tcPr>
            <w:tcW w:w="169" w:type="pct"/>
          </w:tcPr>
          <w:p w14:paraId="7C475EF4" w14:textId="77777777" w:rsidR="00862B0B" w:rsidRPr="00A67277" w:rsidRDefault="00862B0B" w:rsidP="00862B0B">
            <w:pPr>
              <w:spacing w:before="60" w:after="60"/>
              <w:rPr>
                <w:rFonts w:ascii="Arial" w:hAnsi="Arial" w:cs="Arial"/>
                <w:sz w:val="21"/>
                <w:szCs w:val="21"/>
              </w:rPr>
            </w:pPr>
          </w:p>
        </w:tc>
        <w:tc>
          <w:tcPr>
            <w:tcW w:w="2561" w:type="pct"/>
            <w:gridSpan w:val="2"/>
          </w:tcPr>
          <w:p w14:paraId="5912AED3" w14:textId="77777777" w:rsidR="00862B0B" w:rsidRPr="00A67277" w:rsidRDefault="00862B0B" w:rsidP="00862B0B">
            <w:pPr>
              <w:pStyle w:val="Level3"/>
              <w:spacing w:before="60" w:after="60"/>
              <w:ind w:left="1872" w:hanging="450"/>
              <w:rPr>
                <w:rFonts w:cs="Arial"/>
                <w:shd w:val="clear" w:color="auto" w:fill="FFFFFF"/>
              </w:rPr>
            </w:pPr>
            <w:r w:rsidRPr="00A67277">
              <w:t>(iii)</w:t>
            </w:r>
            <w:r w:rsidRPr="00A67277">
              <w:tab/>
              <w:t>dalam jumlah keseluruhan</w:t>
            </w:r>
            <w:r w:rsidRPr="00A67277">
              <w:rPr>
                <w:rFonts w:cs="Arial"/>
              </w:rPr>
              <w:t xml:space="preserve"> [</w:t>
            </w:r>
            <w:r w:rsidRPr="00A67277">
              <w:rPr>
                <w:rFonts w:cs="Arial"/>
                <w:i/>
              </w:rPr>
              <w:t>1% dari Biaya Pekerjaan</w:t>
            </w:r>
            <w:r w:rsidRPr="00A67277">
              <w:rPr>
                <w:rFonts w:cs="Arial"/>
              </w:rPr>
              <w:t>] rupiah (Rp [</w:t>
            </w:r>
            <w:r w:rsidRPr="00A67277">
              <w:rPr>
                <w:rFonts w:cs="Arial"/>
              </w:rPr>
              <w:sym w:font="Symbol" w:char="F0B7"/>
            </w:r>
            <w:r w:rsidRPr="00A67277">
              <w:rPr>
                <w:rFonts w:cs="Arial"/>
              </w:rPr>
              <w:t>]) []</w:t>
            </w:r>
          </w:p>
        </w:tc>
      </w:tr>
      <w:tr w:rsidR="00862B0B" w:rsidRPr="00A67277" w14:paraId="6E07E3FB" w14:textId="77777777" w:rsidTr="00862B0B">
        <w:tc>
          <w:tcPr>
            <w:tcW w:w="2270" w:type="pct"/>
          </w:tcPr>
          <w:p w14:paraId="223D522B" w14:textId="4CDFA53B" w:rsidR="00862B0B" w:rsidRPr="00A67277" w:rsidRDefault="00862B0B" w:rsidP="00862B0B">
            <w:pPr>
              <w:pStyle w:val="ListParagraph"/>
              <w:numPr>
                <w:ilvl w:val="0"/>
                <w:numId w:val="418"/>
              </w:numPr>
              <w:spacing w:before="60" w:after="60" w:line="240" w:lineRule="auto"/>
              <w:ind w:left="1676" w:hanging="214"/>
              <w:rPr>
                <w:rFonts w:cs="Arial"/>
              </w:rPr>
            </w:pPr>
            <w:r w:rsidRPr="00A67277">
              <w:t xml:space="preserve">valid for the period from the Effective Date until the   </w:t>
            </w:r>
            <w:r>
              <w:t>Commercial Operation Date</w:t>
            </w:r>
            <w:r w:rsidRPr="00A67277">
              <w:t xml:space="preserve"> or as that date may be extended in accordance with the terms of the Stage II Performance Bond or as otherwise agreed between the Parties (“</w:t>
            </w:r>
            <w:r w:rsidRPr="00A67277">
              <w:rPr>
                <w:b/>
              </w:rPr>
              <w:t>Stage II Performance Bond Validity Period</w:t>
            </w:r>
            <w:r w:rsidRPr="00A67277">
              <w:t>”).</w:t>
            </w:r>
          </w:p>
        </w:tc>
        <w:tc>
          <w:tcPr>
            <w:tcW w:w="169" w:type="pct"/>
          </w:tcPr>
          <w:p w14:paraId="25860820" w14:textId="77777777" w:rsidR="00862B0B" w:rsidRPr="00A67277" w:rsidRDefault="00862B0B" w:rsidP="00862B0B">
            <w:pPr>
              <w:spacing w:before="60" w:after="60"/>
              <w:rPr>
                <w:rFonts w:ascii="Arial" w:hAnsi="Arial" w:cs="Arial"/>
                <w:sz w:val="21"/>
                <w:szCs w:val="21"/>
              </w:rPr>
            </w:pPr>
          </w:p>
        </w:tc>
        <w:tc>
          <w:tcPr>
            <w:tcW w:w="2561" w:type="pct"/>
            <w:gridSpan w:val="2"/>
          </w:tcPr>
          <w:p w14:paraId="21F27890" w14:textId="1CF50B71" w:rsidR="00862B0B" w:rsidRPr="00A67277" w:rsidRDefault="00862B0B" w:rsidP="00862B0B">
            <w:pPr>
              <w:pStyle w:val="Level3"/>
              <w:spacing w:before="60" w:after="60"/>
              <w:ind w:left="1872" w:hanging="432"/>
              <w:rPr>
                <w:rFonts w:cs="Arial"/>
                <w:shd w:val="clear" w:color="auto" w:fill="FFFFFF"/>
              </w:rPr>
            </w:pPr>
            <w:r w:rsidRPr="00A67277">
              <w:t>(iv)</w:t>
            </w:r>
            <w:r w:rsidRPr="00A67277">
              <w:tab/>
              <w:t xml:space="preserve">berlaku untuk periode dari Tanggal Efektif sampai  Tanggal </w:t>
            </w:r>
            <w:r>
              <w:t>Operasi Komersial</w:t>
            </w:r>
            <w:r w:rsidRPr="00A67277">
              <w:t xml:space="preserve">  atau tanggal tersebut dapat diperpanjang dengan persyaratan Jaminan Pelaksanaan Tahap II atau disepakati lain oleh Para Pihak (“ </w:t>
            </w:r>
            <w:r w:rsidRPr="00A67277">
              <w:rPr>
                <w:b/>
              </w:rPr>
              <w:t>Jangka Waktu Keberlakuan Jaminan Pelaksanaan Tahap II</w:t>
            </w:r>
            <w:r w:rsidRPr="00A67277">
              <w:t>”)</w:t>
            </w:r>
          </w:p>
        </w:tc>
      </w:tr>
      <w:tr w:rsidR="00862B0B" w:rsidRPr="00A67277" w14:paraId="3DC8390F" w14:textId="77777777" w:rsidTr="00862B0B">
        <w:tc>
          <w:tcPr>
            <w:tcW w:w="2270" w:type="pct"/>
          </w:tcPr>
          <w:p w14:paraId="3FC212D0"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rPr>
                <w:rFonts w:cs="Arial"/>
              </w:rPr>
              <w:t>If there is at any time a change in the status or financial position of the issuer of the Stage II Performance Bond, the IBE shall, upon becoming aware of this, notify GCA without delay, or GCA may notify the IBE, thereupon the IBE shall promptly replace the relevant Stage II Performance Bond with another first demand bank guarantee issued in identical terms by another bank that satisfies the criteria set out in paragraph (b).</w:t>
            </w:r>
          </w:p>
        </w:tc>
        <w:tc>
          <w:tcPr>
            <w:tcW w:w="169" w:type="pct"/>
          </w:tcPr>
          <w:p w14:paraId="13588E81" w14:textId="77777777" w:rsidR="00862B0B" w:rsidRPr="00A67277" w:rsidRDefault="00862B0B" w:rsidP="00862B0B">
            <w:pPr>
              <w:spacing w:before="60" w:after="60"/>
              <w:rPr>
                <w:rFonts w:ascii="Arial" w:hAnsi="Arial" w:cs="Arial"/>
                <w:sz w:val="21"/>
                <w:szCs w:val="21"/>
              </w:rPr>
            </w:pPr>
          </w:p>
        </w:tc>
        <w:tc>
          <w:tcPr>
            <w:tcW w:w="2561" w:type="pct"/>
            <w:gridSpan w:val="2"/>
          </w:tcPr>
          <w:p w14:paraId="475FB5A4" w14:textId="77777777" w:rsidR="00862B0B" w:rsidRPr="00A67277" w:rsidRDefault="00862B0B" w:rsidP="00862B0B">
            <w:pPr>
              <w:pStyle w:val="Level3"/>
              <w:spacing w:before="60" w:after="60"/>
              <w:ind w:left="1512" w:hanging="540"/>
              <w:rPr>
                <w:rFonts w:cs="Arial"/>
                <w:shd w:val="clear" w:color="auto" w:fill="FFFFFF"/>
              </w:rPr>
            </w:pPr>
            <w:bookmarkStart w:id="260" w:name="_Hlk500632368"/>
            <w:bookmarkStart w:id="261" w:name="_Toc503185719"/>
            <w:r w:rsidRPr="00A67277">
              <w:t>(c)</w:t>
            </w:r>
            <w:r w:rsidRPr="00A67277">
              <w:tab/>
              <w:t>Apabila sewaktu-waktu terjadi perubahan terhadap status kondisi keuangan dari penerbit Jaminan Pelaksanaan Tahap II, BUP harus, setelah mengetahui kejadian tersebut, memberitahukan tanpa penundaan kepada PJPK, atau PJPK dapat memberitahu kepada BUP, setelah itu BUP harus segera mengganti Jaminan Pelaksanaan Tahap II dengan bank garansi permintaan pertama yang dikeluarkan oleh bank lain dengan ketentuan yang sama yang memenuhi kriteria sebagaimana ditetapkan dalam paragraf (b).</w:t>
            </w:r>
            <w:bookmarkEnd w:id="260"/>
            <w:bookmarkEnd w:id="261"/>
          </w:p>
        </w:tc>
      </w:tr>
      <w:tr w:rsidR="00862B0B" w:rsidRPr="00A67277" w14:paraId="5386B773" w14:textId="77777777" w:rsidTr="00862B0B">
        <w:tc>
          <w:tcPr>
            <w:tcW w:w="2270" w:type="pct"/>
          </w:tcPr>
          <w:p w14:paraId="4541BE2E"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rPr>
                <w:rFonts w:cs="Arial"/>
              </w:rPr>
              <w:t>The IBE shall ensure that, throughout the Stage II Performance Bond Validity Period, the Stage II Performance Bond is maintained in the amount set out in this Clause 5.1 (Stage II Performance Bond Terms) and is otherwise kept in full force and effect until it is permitted to be returned in accordance with the terms of this Agreement.</w:t>
            </w:r>
          </w:p>
        </w:tc>
        <w:tc>
          <w:tcPr>
            <w:tcW w:w="169" w:type="pct"/>
          </w:tcPr>
          <w:p w14:paraId="0629BA5D" w14:textId="77777777" w:rsidR="00862B0B" w:rsidRPr="00A67277" w:rsidRDefault="00862B0B" w:rsidP="00862B0B">
            <w:pPr>
              <w:spacing w:before="60" w:after="60"/>
              <w:rPr>
                <w:rFonts w:ascii="Arial" w:hAnsi="Arial" w:cs="Arial"/>
                <w:sz w:val="21"/>
                <w:szCs w:val="21"/>
              </w:rPr>
            </w:pPr>
          </w:p>
        </w:tc>
        <w:tc>
          <w:tcPr>
            <w:tcW w:w="2561" w:type="pct"/>
            <w:gridSpan w:val="2"/>
          </w:tcPr>
          <w:p w14:paraId="09DF387D" w14:textId="77777777" w:rsidR="00862B0B" w:rsidRPr="00A67277" w:rsidRDefault="00862B0B" w:rsidP="00862B0B">
            <w:pPr>
              <w:pStyle w:val="Level3"/>
              <w:spacing w:before="60" w:after="60"/>
              <w:ind w:left="1440" w:hanging="468"/>
              <w:rPr>
                <w:rFonts w:cs="Arial"/>
                <w:shd w:val="clear" w:color="auto" w:fill="FFFFFF"/>
              </w:rPr>
            </w:pPr>
            <w:bookmarkStart w:id="262" w:name="_Hlk500632430"/>
            <w:bookmarkStart w:id="263" w:name="_Toc503185720"/>
            <w:r w:rsidRPr="00A67277">
              <w:t>(d)</w:t>
            </w:r>
            <w:r w:rsidRPr="00A67277">
              <w:tab/>
              <w:t>BUP harus memastikan selama Jangka Waktu Keberlakuan Jaminan Pelaksanaan Tahap II, Jaminan Pelaksanaan Tahap II harus dipertahankan dalam jumlah yang tercantum dalam Pasal 5.1 (</w:t>
            </w:r>
            <w:r w:rsidRPr="00A67277">
              <w:rPr>
                <w:i/>
              </w:rPr>
              <w:t>Ketentuan Jaminan Pelaksanaan Tahap II</w:t>
            </w:r>
            <w:r w:rsidRPr="00A67277">
              <w:t>) dan harus tetap berlaku penuh dan efektif sampai diizinkan untuk dikembalikan sesuai dengan persyaratan dalam Perjanjian ini.</w:t>
            </w:r>
            <w:bookmarkEnd w:id="262"/>
            <w:bookmarkEnd w:id="263"/>
          </w:p>
        </w:tc>
      </w:tr>
      <w:tr w:rsidR="00862B0B" w:rsidRPr="00A67277" w14:paraId="4BD794E1" w14:textId="77777777" w:rsidTr="00862B0B">
        <w:tc>
          <w:tcPr>
            <w:tcW w:w="2270" w:type="pct"/>
          </w:tcPr>
          <w:p w14:paraId="72389EC6"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t xml:space="preserve">GCA shall have the right to forfeit the whole or part, as applicable, of the Stage II Performance </w:t>
            </w:r>
            <w:r w:rsidRPr="00A67277">
              <w:rPr>
                <w:rFonts w:cs="Arial"/>
              </w:rPr>
              <w:t xml:space="preserve"> Bond</w:t>
            </w:r>
            <w:r w:rsidRPr="00A67277">
              <w:t xml:space="preserve"> when:</w:t>
            </w:r>
          </w:p>
        </w:tc>
        <w:tc>
          <w:tcPr>
            <w:tcW w:w="169" w:type="pct"/>
          </w:tcPr>
          <w:p w14:paraId="013016A2" w14:textId="77777777" w:rsidR="00862B0B" w:rsidRPr="00A67277" w:rsidRDefault="00862B0B" w:rsidP="00862B0B">
            <w:pPr>
              <w:spacing w:before="60" w:after="60"/>
              <w:rPr>
                <w:rFonts w:ascii="Arial" w:hAnsi="Arial" w:cs="Arial"/>
                <w:sz w:val="21"/>
                <w:szCs w:val="21"/>
              </w:rPr>
            </w:pPr>
          </w:p>
        </w:tc>
        <w:tc>
          <w:tcPr>
            <w:tcW w:w="2561" w:type="pct"/>
            <w:gridSpan w:val="2"/>
          </w:tcPr>
          <w:p w14:paraId="2CE0EC57" w14:textId="77777777" w:rsidR="00862B0B" w:rsidRPr="00A67277" w:rsidRDefault="00862B0B" w:rsidP="00862B0B">
            <w:pPr>
              <w:pStyle w:val="Level3"/>
              <w:spacing w:before="60" w:after="60"/>
              <w:ind w:left="1440" w:hanging="468"/>
              <w:rPr>
                <w:rFonts w:cs="Arial"/>
                <w:shd w:val="clear" w:color="auto" w:fill="FFFFFF"/>
              </w:rPr>
            </w:pPr>
            <w:bookmarkStart w:id="264" w:name="_Toc503185724"/>
            <w:r w:rsidRPr="00A67277">
              <w:t>(e)</w:t>
            </w:r>
            <w:r w:rsidRPr="00A67277">
              <w:tab/>
              <w:t>PJPK memiliki hak untuk mencairkan keseluruhan atau sebagian, sebagaimana berlaku, Jaminan Pelaksanaan Tahap II pada saat:</w:t>
            </w:r>
            <w:bookmarkEnd w:id="264"/>
          </w:p>
        </w:tc>
      </w:tr>
      <w:tr w:rsidR="00862B0B" w:rsidRPr="00A67277" w14:paraId="6E9305CF" w14:textId="77777777" w:rsidTr="00862B0B">
        <w:tc>
          <w:tcPr>
            <w:tcW w:w="2270" w:type="pct"/>
          </w:tcPr>
          <w:p w14:paraId="287767D3" w14:textId="727D10AA"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 xml:space="preserve">the IBE has committed a Default and has not rectified the Default within the </w:t>
            </w:r>
            <w:r>
              <w:rPr>
                <w:rFonts w:cs="Arial"/>
              </w:rPr>
              <w:t>Applicable Cure Period</w:t>
            </w:r>
            <w:r w:rsidRPr="00A67277">
              <w:rPr>
                <w:rFonts w:cs="Arial"/>
              </w:rPr>
              <w:t>;</w:t>
            </w:r>
          </w:p>
        </w:tc>
        <w:tc>
          <w:tcPr>
            <w:tcW w:w="169" w:type="pct"/>
          </w:tcPr>
          <w:p w14:paraId="07D6D0FD" w14:textId="77777777" w:rsidR="00862B0B" w:rsidRPr="00A67277" w:rsidRDefault="00862B0B" w:rsidP="00862B0B">
            <w:pPr>
              <w:spacing w:before="60" w:after="60"/>
              <w:rPr>
                <w:rFonts w:ascii="Arial" w:hAnsi="Arial" w:cs="Arial"/>
                <w:sz w:val="21"/>
                <w:szCs w:val="21"/>
              </w:rPr>
            </w:pPr>
          </w:p>
        </w:tc>
        <w:tc>
          <w:tcPr>
            <w:tcW w:w="2561" w:type="pct"/>
            <w:gridSpan w:val="2"/>
          </w:tcPr>
          <w:p w14:paraId="571C2A63" w14:textId="14D8835B" w:rsidR="00862B0B" w:rsidRPr="00A67277" w:rsidRDefault="00862B0B" w:rsidP="00862B0B">
            <w:pPr>
              <w:pStyle w:val="Level3"/>
              <w:spacing w:before="60" w:after="60"/>
              <w:ind w:left="1872" w:hanging="432"/>
              <w:rPr>
                <w:rFonts w:cs="Arial"/>
                <w:shd w:val="clear" w:color="auto" w:fill="FFFFFF"/>
              </w:rPr>
            </w:pPr>
            <w:r w:rsidRPr="00A67277">
              <w:t>(i)</w:t>
            </w:r>
            <w:r w:rsidRPr="00A67277">
              <w:tab/>
              <w:t xml:space="preserve">BUP telah melakukan Cidera Janji dan belum memperbaiki Cidera Janji tersebut selama </w:t>
            </w:r>
            <w:r>
              <w:t>Jangka Waktu Pemulihan</w:t>
            </w:r>
            <w:r w:rsidRPr="00A67277">
              <w:t>;</w:t>
            </w:r>
          </w:p>
        </w:tc>
      </w:tr>
      <w:tr w:rsidR="00862B0B" w:rsidRPr="00A67277" w14:paraId="4E5CA34A" w14:textId="77777777" w:rsidTr="00862B0B">
        <w:tc>
          <w:tcPr>
            <w:tcW w:w="2270" w:type="pct"/>
          </w:tcPr>
          <w:p w14:paraId="1952BAFB" w14:textId="77777777"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the IBE breaches any of the warranties, representations or covenants given under this Agreement and does not rectify that breach within a reasonable time;</w:t>
            </w:r>
          </w:p>
        </w:tc>
        <w:tc>
          <w:tcPr>
            <w:tcW w:w="169" w:type="pct"/>
          </w:tcPr>
          <w:p w14:paraId="15DBEE80" w14:textId="77777777" w:rsidR="00862B0B" w:rsidRPr="00A67277" w:rsidRDefault="00862B0B" w:rsidP="00862B0B">
            <w:pPr>
              <w:spacing w:before="60" w:after="60"/>
              <w:rPr>
                <w:rFonts w:ascii="Arial" w:hAnsi="Arial" w:cs="Arial"/>
                <w:sz w:val="21"/>
                <w:szCs w:val="21"/>
              </w:rPr>
            </w:pPr>
          </w:p>
        </w:tc>
        <w:tc>
          <w:tcPr>
            <w:tcW w:w="2561" w:type="pct"/>
            <w:gridSpan w:val="2"/>
          </w:tcPr>
          <w:p w14:paraId="31596AA2" w14:textId="77777777" w:rsidR="00862B0B" w:rsidRPr="00A67277" w:rsidRDefault="00862B0B" w:rsidP="00862B0B">
            <w:pPr>
              <w:pStyle w:val="Level3"/>
              <w:spacing w:before="60" w:after="60"/>
              <w:ind w:left="1872" w:hanging="432"/>
              <w:rPr>
                <w:rFonts w:cs="Arial"/>
                <w:shd w:val="clear" w:color="auto" w:fill="FFFFFF"/>
              </w:rPr>
            </w:pPr>
            <w:r w:rsidRPr="00A67277">
              <w:rPr>
                <w:rFonts w:cs="Arial"/>
                <w:shd w:val="clear" w:color="auto" w:fill="FFFFFF"/>
              </w:rPr>
              <w:t>(ii)</w:t>
            </w:r>
            <w:r w:rsidRPr="00A67277">
              <w:rPr>
                <w:rFonts w:cs="Arial"/>
                <w:shd w:val="clear" w:color="auto" w:fill="FFFFFF"/>
              </w:rPr>
              <w:tab/>
              <w:t>BUP melanggar jaminan, pernyataan atau perjanjian yang diberikan berdasarkan Perjanjian ini dan tidak memperbaiki pelanggaran tersebut dalam waktu yang wajar;</w:t>
            </w:r>
          </w:p>
        </w:tc>
      </w:tr>
      <w:tr w:rsidR="00862B0B" w:rsidRPr="00A67277" w14:paraId="5B111327" w14:textId="77777777" w:rsidTr="00862B0B">
        <w:tc>
          <w:tcPr>
            <w:tcW w:w="2270" w:type="pct"/>
          </w:tcPr>
          <w:p w14:paraId="52F130F0" w14:textId="77777777"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provided under Clause 9.5 (Payment of Penalties);</w:t>
            </w:r>
          </w:p>
        </w:tc>
        <w:tc>
          <w:tcPr>
            <w:tcW w:w="169" w:type="pct"/>
          </w:tcPr>
          <w:p w14:paraId="09EF45FA" w14:textId="77777777" w:rsidR="00862B0B" w:rsidRPr="00A67277" w:rsidRDefault="00862B0B" w:rsidP="00862B0B">
            <w:pPr>
              <w:spacing w:before="60" w:after="60"/>
              <w:rPr>
                <w:rFonts w:ascii="Arial" w:hAnsi="Arial" w:cs="Arial"/>
                <w:sz w:val="21"/>
                <w:szCs w:val="21"/>
              </w:rPr>
            </w:pPr>
          </w:p>
        </w:tc>
        <w:tc>
          <w:tcPr>
            <w:tcW w:w="2561" w:type="pct"/>
            <w:gridSpan w:val="2"/>
          </w:tcPr>
          <w:p w14:paraId="3B5C32AE" w14:textId="77777777" w:rsidR="00862B0B" w:rsidRPr="00A67277" w:rsidRDefault="00862B0B" w:rsidP="00862B0B">
            <w:pPr>
              <w:pStyle w:val="Level3"/>
              <w:spacing w:before="60" w:after="60"/>
              <w:ind w:left="1872" w:hanging="432"/>
              <w:rPr>
                <w:rFonts w:cs="Arial"/>
                <w:shd w:val="clear" w:color="auto" w:fill="FFFFFF"/>
              </w:rPr>
            </w:pPr>
            <w:r w:rsidRPr="00A67277">
              <w:t>(iii)</w:t>
            </w:r>
            <w:r w:rsidRPr="00A67277">
              <w:tab/>
              <w:t xml:space="preserve">sebagaimana diatur dalam Pasal </w:t>
            </w:r>
            <w:r w:rsidRPr="00A67277">
              <w:rPr>
                <w:lang w:val="en-US"/>
              </w:rPr>
              <w:t>9.5</w:t>
            </w:r>
            <w:r w:rsidRPr="00A67277">
              <w:t xml:space="preserve"> (</w:t>
            </w:r>
            <w:r w:rsidRPr="00A67277">
              <w:rPr>
                <w:i/>
              </w:rPr>
              <w:t>Pembayaran Denda</w:t>
            </w:r>
            <w:r w:rsidRPr="00A67277">
              <w:t>);</w:t>
            </w:r>
          </w:p>
        </w:tc>
      </w:tr>
      <w:tr w:rsidR="00862B0B" w:rsidRPr="00A67277" w14:paraId="21029C20" w14:textId="77777777" w:rsidTr="00862B0B">
        <w:tc>
          <w:tcPr>
            <w:tcW w:w="2270" w:type="pct"/>
          </w:tcPr>
          <w:p w14:paraId="3918A61F" w14:textId="77777777"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provided under Clause 17.9 (Evidence of Insurances);</w:t>
            </w:r>
          </w:p>
        </w:tc>
        <w:tc>
          <w:tcPr>
            <w:tcW w:w="169" w:type="pct"/>
          </w:tcPr>
          <w:p w14:paraId="01A9BCC5" w14:textId="77777777" w:rsidR="00862B0B" w:rsidRPr="00A67277" w:rsidRDefault="00862B0B" w:rsidP="00862B0B">
            <w:pPr>
              <w:spacing w:before="60" w:after="60"/>
              <w:rPr>
                <w:rFonts w:ascii="Arial" w:hAnsi="Arial" w:cs="Arial"/>
                <w:sz w:val="21"/>
                <w:szCs w:val="21"/>
              </w:rPr>
            </w:pPr>
          </w:p>
        </w:tc>
        <w:tc>
          <w:tcPr>
            <w:tcW w:w="2561" w:type="pct"/>
            <w:gridSpan w:val="2"/>
          </w:tcPr>
          <w:p w14:paraId="67BB8C4F" w14:textId="77777777" w:rsidR="00862B0B" w:rsidRPr="00A67277" w:rsidRDefault="00862B0B" w:rsidP="00862B0B">
            <w:pPr>
              <w:pStyle w:val="Level3"/>
              <w:spacing w:before="60" w:after="60"/>
              <w:ind w:left="1872" w:hanging="432"/>
              <w:rPr>
                <w:rFonts w:cs="Arial"/>
                <w:shd w:val="clear" w:color="auto" w:fill="FFFFFF"/>
              </w:rPr>
            </w:pPr>
            <w:r w:rsidRPr="00A67277">
              <w:t>(iv)</w:t>
            </w:r>
            <w:r w:rsidRPr="00A67277">
              <w:tab/>
              <w:t>sebagaimana diatur dalam Pasal 17.9 (</w:t>
            </w:r>
            <w:r w:rsidRPr="00A67277">
              <w:rPr>
                <w:i/>
              </w:rPr>
              <w:t>Bukti Asuransi</w:t>
            </w:r>
            <w:r w:rsidRPr="00A67277">
              <w:t>);</w:t>
            </w:r>
          </w:p>
        </w:tc>
      </w:tr>
      <w:tr w:rsidR="00862B0B" w:rsidRPr="00A67277" w14:paraId="3B853CE1" w14:textId="77777777" w:rsidTr="00862B0B">
        <w:tc>
          <w:tcPr>
            <w:tcW w:w="2270" w:type="pct"/>
          </w:tcPr>
          <w:p w14:paraId="7C2C4C5E" w14:textId="77777777"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GCA makes a bona fide Claim that any amount is owed by the IBE to the GCA under this Agreement, or any document contemplated by this Agreement, and that amount has not been paid by the IBE within thirty (30) Days thereof; or</w:t>
            </w:r>
          </w:p>
        </w:tc>
        <w:tc>
          <w:tcPr>
            <w:tcW w:w="169" w:type="pct"/>
          </w:tcPr>
          <w:p w14:paraId="4A7A9CB2" w14:textId="77777777" w:rsidR="00862B0B" w:rsidRPr="00A67277" w:rsidRDefault="00862B0B" w:rsidP="00862B0B">
            <w:pPr>
              <w:spacing w:before="60" w:after="60"/>
              <w:rPr>
                <w:rFonts w:ascii="Arial" w:hAnsi="Arial" w:cs="Arial"/>
                <w:sz w:val="21"/>
                <w:szCs w:val="21"/>
              </w:rPr>
            </w:pPr>
          </w:p>
        </w:tc>
        <w:tc>
          <w:tcPr>
            <w:tcW w:w="2561" w:type="pct"/>
            <w:gridSpan w:val="2"/>
          </w:tcPr>
          <w:p w14:paraId="5CDA3DE4" w14:textId="77777777" w:rsidR="00862B0B" w:rsidRPr="00A67277" w:rsidRDefault="00862B0B" w:rsidP="00862B0B">
            <w:pPr>
              <w:pStyle w:val="Level3"/>
              <w:spacing w:before="60" w:after="60"/>
              <w:ind w:left="1872" w:hanging="432"/>
              <w:rPr>
                <w:rFonts w:cs="Arial"/>
                <w:shd w:val="clear" w:color="auto" w:fill="FFFFFF"/>
              </w:rPr>
            </w:pPr>
            <w:r w:rsidRPr="00A67277">
              <w:rPr>
                <w:lang w:val="en-US"/>
              </w:rPr>
              <w:t>(v)</w:t>
            </w:r>
            <w:r w:rsidRPr="00A67277">
              <w:rPr>
                <w:lang w:val="en-US"/>
              </w:rPr>
              <w:tab/>
            </w:r>
            <w:r w:rsidRPr="00A67277">
              <w:rPr>
                <w:lang w:val="id-ID"/>
              </w:rPr>
              <w:t xml:space="preserve">PJPK membuat </w:t>
            </w:r>
            <w:r w:rsidRPr="00A67277">
              <w:rPr>
                <w:lang w:val="en-US"/>
              </w:rPr>
              <w:t xml:space="preserve">Klaim dengan itikad baik </w:t>
            </w:r>
            <w:r w:rsidRPr="00A67277">
              <w:rPr>
                <w:rFonts w:cs="Arial"/>
                <w:shd w:val="clear" w:color="auto" w:fill="FFFFFF"/>
              </w:rPr>
              <w:t>bahwa terdapat jumlah yang terhutang oleh BUP kepada PJPK berdasarkan Perjanjian ini</w:t>
            </w:r>
            <w:r w:rsidRPr="00A67277">
              <w:rPr>
                <w:lang w:val="id-ID"/>
              </w:rPr>
              <w:t xml:space="preserve">, </w:t>
            </w:r>
            <w:r w:rsidRPr="00A67277">
              <w:t>atau</w:t>
            </w:r>
            <w:r w:rsidRPr="00A67277">
              <w:rPr>
                <w:lang w:val="id-ID"/>
              </w:rPr>
              <w:t xml:space="preserve"> dokumen apa pun sebagai pelaksanaan dari Perjanjian ini, dan jumlah tersebut belum dibayar </w:t>
            </w:r>
            <w:r w:rsidRPr="00A67277">
              <w:rPr>
                <w:lang w:val="en-US"/>
              </w:rPr>
              <w:t>oleh</w:t>
            </w:r>
            <w:r w:rsidRPr="00A67277">
              <w:rPr>
                <w:lang w:val="id-ID"/>
              </w:rPr>
              <w:t xml:space="preserve"> BUP dalam waktu tiga puluh (30) hari setelah Klaim tersebut dibuat; atau</w:t>
            </w:r>
          </w:p>
        </w:tc>
      </w:tr>
      <w:tr w:rsidR="00862B0B" w:rsidRPr="00A67277" w14:paraId="21D937AD" w14:textId="77777777" w:rsidTr="00862B0B">
        <w:tc>
          <w:tcPr>
            <w:tcW w:w="2270" w:type="pct"/>
          </w:tcPr>
          <w:p w14:paraId="017D508B" w14:textId="77777777" w:rsidR="00862B0B" w:rsidRPr="00A67277" w:rsidRDefault="00862B0B" w:rsidP="00862B0B">
            <w:pPr>
              <w:pStyle w:val="ListParagraph"/>
              <w:numPr>
                <w:ilvl w:val="0"/>
                <w:numId w:val="420"/>
              </w:numPr>
              <w:spacing w:before="60" w:after="60" w:line="240" w:lineRule="auto"/>
              <w:ind w:left="1766"/>
              <w:rPr>
                <w:rFonts w:cs="Arial"/>
              </w:rPr>
            </w:pPr>
            <w:r w:rsidRPr="00A67277">
              <w:rPr>
                <w:rFonts w:cs="Arial"/>
              </w:rPr>
              <w:t>GCA is otherwise authorised to do so under this Agreement.</w:t>
            </w:r>
          </w:p>
        </w:tc>
        <w:tc>
          <w:tcPr>
            <w:tcW w:w="169" w:type="pct"/>
          </w:tcPr>
          <w:p w14:paraId="3F879EF1" w14:textId="77777777" w:rsidR="00862B0B" w:rsidRPr="00A67277" w:rsidRDefault="00862B0B" w:rsidP="00862B0B">
            <w:pPr>
              <w:spacing w:before="60" w:after="60"/>
              <w:rPr>
                <w:rFonts w:ascii="Arial" w:hAnsi="Arial" w:cs="Arial"/>
                <w:sz w:val="21"/>
                <w:szCs w:val="21"/>
              </w:rPr>
            </w:pPr>
          </w:p>
        </w:tc>
        <w:tc>
          <w:tcPr>
            <w:tcW w:w="2561" w:type="pct"/>
            <w:gridSpan w:val="2"/>
          </w:tcPr>
          <w:p w14:paraId="50E9511A" w14:textId="77777777" w:rsidR="00862B0B" w:rsidRPr="00A67277" w:rsidRDefault="00862B0B" w:rsidP="00862B0B">
            <w:pPr>
              <w:pStyle w:val="Level3"/>
              <w:spacing w:before="60" w:after="60"/>
              <w:ind w:left="1872" w:hanging="432"/>
              <w:rPr>
                <w:rFonts w:cs="Arial"/>
                <w:shd w:val="clear" w:color="auto" w:fill="FFFFFF"/>
              </w:rPr>
            </w:pPr>
            <w:r w:rsidRPr="00A67277">
              <w:rPr>
                <w:rFonts w:cs="Arial"/>
                <w:shd w:val="clear" w:color="auto" w:fill="FFFFFF"/>
              </w:rPr>
              <w:t>(vi)</w:t>
            </w:r>
            <w:r w:rsidRPr="00A67277">
              <w:rPr>
                <w:rFonts w:cs="Arial"/>
                <w:shd w:val="clear" w:color="auto" w:fill="FFFFFF"/>
              </w:rPr>
              <w:tab/>
              <w:t>terjadinya hal lain dimana PJPK dinyatakan berwenang melakukannya berdasarkan Perjanjian ini.</w:t>
            </w:r>
          </w:p>
        </w:tc>
      </w:tr>
      <w:tr w:rsidR="00862B0B" w:rsidRPr="00A67277" w14:paraId="1892B563" w14:textId="77777777" w:rsidTr="00862B0B">
        <w:tc>
          <w:tcPr>
            <w:tcW w:w="2270" w:type="pct"/>
          </w:tcPr>
          <w:p w14:paraId="2539AA89"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t xml:space="preserve">The amount called under the Stage II Performance </w:t>
            </w:r>
            <w:r w:rsidRPr="00A67277">
              <w:rPr>
                <w:rFonts w:cs="Arial"/>
              </w:rPr>
              <w:t xml:space="preserve"> Bond</w:t>
            </w:r>
            <w:r w:rsidRPr="00A67277">
              <w:t xml:space="preserve"> by GCA in any of the circumstances described in paragraph (a) will be an amount provided for in this Agreement or otherwise determined by GCA based on applicable Laws as necessary to compensate GCA for all Losses suffered or to be suffered by GCA as a consequence of the relevant circumstance. The moneys received from the provider of the Stage II Performance</w:t>
            </w:r>
            <w:r w:rsidRPr="00A67277">
              <w:rPr>
                <w:rFonts w:cs="Arial"/>
              </w:rPr>
              <w:t xml:space="preserve"> Bond</w:t>
            </w:r>
            <w:r w:rsidRPr="00A67277">
              <w:t xml:space="preserve"> will be applied in settlement of GCA’s Loss.</w:t>
            </w:r>
          </w:p>
        </w:tc>
        <w:tc>
          <w:tcPr>
            <w:tcW w:w="169" w:type="pct"/>
          </w:tcPr>
          <w:p w14:paraId="30501693" w14:textId="77777777" w:rsidR="00862B0B" w:rsidRPr="00A67277" w:rsidRDefault="00862B0B" w:rsidP="00862B0B">
            <w:pPr>
              <w:spacing w:before="60" w:after="60"/>
              <w:rPr>
                <w:rFonts w:ascii="Arial" w:hAnsi="Arial" w:cs="Arial"/>
                <w:sz w:val="21"/>
                <w:szCs w:val="21"/>
              </w:rPr>
            </w:pPr>
          </w:p>
        </w:tc>
        <w:tc>
          <w:tcPr>
            <w:tcW w:w="2561" w:type="pct"/>
            <w:gridSpan w:val="2"/>
          </w:tcPr>
          <w:p w14:paraId="0B7EBFDA" w14:textId="77777777" w:rsidR="00862B0B" w:rsidRPr="00A67277" w:rsidRDefault="00862B0B" w:rsidP="00862B0B">
            <w:pPr>
              <w:pStyle w:val="Level3"/>
              <w:spacing w:before="60" w:after="60"/>
              <w:ind w:left="1440" w:hanging="468"/>
              <w:rPr>
                <w:rFonts w:cs="Arial"/>
                <w:shd w:val="clear" w:color="auto" w:fill="FFFFFF"/>
              </w:rPr>
            </w:pPr>
            <w:bookmarkStart w:id="265" w:name="_Toc503185725"/>
            <w:r w:rsidRPr="00A67277">
              <w:t>(f)</w:t>
            </w:r>
            <w:r w:rsidRPr="00A67277">
              <w:tab/>
              <w:t xml:space="preserve">Jumlah yang dimintakan oleh PJPK untuk dicairkan dari Jaminan Pelaksanaan Tahap II dalam situasi apa pun yang dijelaskan dalam paragraf (a) harus sesuai dengan jumlah yang diatur dalam Perjanjian ini atau ditentukan lain oleh PJPK beradasarkan Hukum yang berlaku sebagaimana diperlukan untuk memberikan kompensasi kepada PJPK atas seluruh Kerugian yang diderita atau yang akan diderita oleh PJPK sebagai konsekuensi dari keadaan yang relevan. </w:t>
            </w:r>
            <w:r w:rsidRPr="00A67277">
              <w:rPr>
                <w:lang w:val="id-ID"/>
              </w:rPr>
              <w:t xml:space="preserve">Uang yang diterima dari penyedia Jaminan Pelaksanaan Tahap II akan diterapkan </w:t>
            </w:r>
            <w:r w:rsidRPr="00A67277">
              <w:rPr>
                <w:lang w:val="en-ID"/>
              </w:rPr>
              <w:t>dalam</w:t>
            </w:r>
            <w:r w:rsidRPr="00A67277">
              <w:rPr>
                <w:lang w:val="id-ID"/>
              </w:rPr>
              <w:t xml:space="preserve"> </w:t>
            </w:r>
            <w:r w:rsidRPr="00A67277">
              <w:rPr>
                <w:lang w:val="en-US"/>
              </w:rPr>
              <w:t xml:space="preserve">penyelesaian </w:t>
            </w:r>
            <w:r w:rsidRPr="00A67277">
              <w:rPr>
                <w:lang w:val="id-ID"/>
              </w:rPr>
              <w:t>Kerugian PJPK</w:t>
            </w:r>
            <w:r w:rsidRPr="00A67277">
              <w:rPr>
                <w:lang w:val="en-US"/>
              </w:rPr>
              <w:t xml:space="preserve"> tersebut</w:t>
            </w:r>
            <w:r w:rsidRPr="00A67277">
              <w:rPr>
                <w:lang w:val="id-ID"/>
              </w:rPr>
              <w:t>.</w:t>
            </w:r>
            <w:bookmarkEnd w:id="265"/>
          </w:p>
        </w:tc>
      </w:tr>
      <w:tr w:rsidR="00862B0B" w:rsidRPr="00A67277" w14:paraId="2886A79B" w14:textId="77777777" w:rsidTr="00862B0B">
        <w:tc>
          <w:tcPr>
            <w:tcW w:w="2270" w:type="pct"/>
          </w:tcPr>
          <w:p w14:paraId="4F454A5D" w14:textId="77777777" w:rsidR="00862B0B" w:rsidRPr="00A67277" w:rsidRDefault="00862B0B" w:rsidP="00862B0B">
            <w:pPr>
              <w:pStyle w:val="ListParagraph"/>
              <w:numPr>
                <w:ilvl w:val="0"/>
                <w:numId w:val="417"/>
              </w:numPr>
              <w:spacing w:before="60" w:after="60" w:line="240" w:lineRule="auto"/>
              <w:ind w:left="1316" w:hanging="540"/>
              <w:rPr>
                <w:rFonts w:cs="Arial"/>
              </w:rPr>
            </w:pPr>
            <w:r w:rsidRPr="00A67277">
              <w:t>If it is determined that GCA is not entitled to the money received under the Stage II Performance</w:t>
            </w:r>
            <w:r w:rsidRPr="00A67277">
              <w:rPr>
                <w:rFonts w:cs="Arial"/>
              </w:rPr>
              <w:t xml:space="preserve"> Bond</w:t>
            </w:r>
            <w:r w:rsidRPr="00A67277">
              <w:t>, GCA shall repay the amount (excluding interest) called under the Stage II Performance</w:t>
            </w:r>
            <w:r w:rsidRPr="00A67277">
              <w:rPr>
                <w:rFonts w:cs="Arial"/>
              </w:rPr>
              <w:t xml:space="preserve"> Bond</w:t>
            </w:r>
            <w:r w:rsidRPr="00A67277">
              <w:t xml:space="preserve"> (less any amount to which it is entitled, if applicable) within fifteen (15) Days after the determination has been made.</w:t>
            </w:r>
          </w:p>
        </w:tc>
        <w:tc>
          <w:tcPr>
            <w:tcW w:w="169" w:type="pct"/>
          </w:tcPr>
          <w:p w14:paraId="3042C2DA" w14:textId="77777777" w:rsidR="00862B0B" w:rsidRPr="00A67277" w:rsidRDefault="00862B0B" w:rsidP="00862B0B">
            <w:pPr>
              <w:spacing w:before="60" w:after="60"/>
              <w:rPr>
                <w:rFonts w:ascii="Arial" w:hAnsi="Arial" w:cs="Arial"/>
                <w:sz w:val="21"/>
                <w:szCs w:val="21"/>
              </w:rPr>
            </w:pPr>
          </w:p>
        </w:tc>
        <w:tc>
          <w:tcPr>
            <w:tcW w:w="2561" w:type="pct"/>
            <w:gridSpan w:val="2"/>
          </w:tcPr>
          <w:p w14:paraId="0C3A02B6" w14:textId="77777777" w:rsidR="00862B0B" w:rsidRPr="00A67277" w:rsidRDefault="00862B0B" w:rsidP="00862B0B">
            <w:pPr>
              <w:pStyle w:val="Level3"/>
              <w:spacing w:before="60" w:after="60"/>
              <w:ind w:left="1440" w:hanging="468"/>
              <w:rPr>
                <w:rFonts w:cs="Arial"/>
                <w:shd w:val="clear" w:color="auto" w:fill="FFFFFF"/>
              </w:rPr>
            </w:pPr>
            <w:bookmarkStart w:id="266" w:name="_Toc503185726"/>
            <w:r w:rsidRPr="00A67277">
              <w:t>(g)</w:t>
            </w:r>
            <w:r w:rsidRPr="00A67277">
              <w:tab/>
              <w:t>Jika ditentukan bahwa PJPK tidak berhak atas uang yang diterima berdasarkan Jaminan Pelaksanaan Tahap II, PJPK harus mengembalikan jumlah (namun tidak termasuk bunga) yang disebut dalam Jaminan Pelaksanaan Tahap II (dikurangi dengan jumlah yang merupakan hak PJPK, jika berlaku) dalam jangka waktu lima belas hari (15) Hari setelah penetapan tersebut.</w:t>
            </w:r>
            <w:bookmarkEnd w:id="266"/>
          </w:p>
        </w:tc>
      </w:tr>
      <w:tr w:rsidR="00862B0B" w:rsidRPr="00A67277" w14:paraId="43087AC1" w14:textId="77777777" w:rsidTr="00862B0B">
        <w:tc>
          <w:tcPr>
            <w:tcW w:w="2270" w:type="pct"/>
          </w:tcPr>
          <w:p w14:paraId="50D8B495" w14:textId="77777777" w:rsidR="00862B0B" w:rsidRPr="00A67277" w:rsidRDefault="00862B0B" w:rsidP="00862B0B">
            <w:pPr>
              <w:pStyle w:val="Heading2"/>
              <w:keepLines w:val="0"/>
              <w:numPr>
                <w:ilvl w:val="1"/>
                <w:numId w:val="416"/>
              </w:numPr>
              <w:spacing w:before="60" w:after="60"/>
              <w:ind w:left="873" w:hanging="426"/>
              <w:outlineLvl w:val="1"/>
              <w:rPr>
                <w:rFonts w:ascii="Arial" w:hAnsi="Arial" w:cs="Arial"/>
                <w:b/>
                <w:color w:val="auto"/>
                <w:sz w:val="21"/>
                <w:szCs w:val="21"/>
              </w:rPr>
            </w:pPr>
            <w:r w:rsidRPr="00A67277">
              <w:rPr>
                <w:rFonts w:ascii="Arial" w:hAnsi="Arial" w:cs="Arial"/>
                <w:b/>
                <w:color w:val="auto"/>
                <w:sz w:val="21"/>
                <w:szCs w:val="21"/>
              </w:rPr>
              <w:t>Independent Supervisory Consultant</w:t>
            </w:r>
          </w:p>
        </w:tc>
        <w:tc>
          <w:tcPr>
            <w:tcW w:w="169" w:type="pct"/>
          </w:tcPr>
          <w:p w14:paraId="249498B7" w14:textId="77777777" w:rsidR="00862B0B" w:rsidRPr="00A67277" w:rsidRDefault="00862B0B" w:rsidP="00862B0B">
            <w:pPr>
              <w:spacing w:before="60" w:after="60"/>
              <w:rPr>
                <w:rFonts w:ascii="Arial" w:hAnsi="Arial" w:cs="Arial"/>
                <w:sz w:val="21"/>
                <w:szCs w:val="21"/>
              </w:rPr>
            </w:pPr>
          </w:p>
        </w:tc>
        <w:tc>
          <w:tcPr>
            <w:tcW w:w="2561" w:type="pct"/>
            <w:gridSpan w:val="2"/>
          </w:tcPr>
          <w:p w14:paraId="73B35D20" w14:textId="77777777" w:rsidR="00862B0B" w:rsidRPr="00A67277" w:rsidRDefault="00862B0B" w:rsidP="00862B0B">
            <w:pPr>
              <w:pStyle w:val="Heading2"/>
              <w:keepLines w:val="0"/>
              <w:numPr>
                <w:ilvl w:val="1"/>
                <w:numId w:val="360"/>
              </w:numPr>
              <w:spacing w:before="60" w:after="60"/>
              <w:ind w:left="882" w:hanging="162"/>
              <w:outlineLvl w:val="1"/>
              <w:rPr>
                <w:rFonts w:ascii="Arial" w:hAnsi="Arial" w:cs="Arial"/>
                <w:b/>
                <w:color w:val="auto"/>
                <w:sz w:val="21"/>
                <w:szCs w:val="21"/>
              </w:rPr>
            </w:pPr>
            <w:r w:rsidRPr="00A67277">
              <w:rPr>
                <w:rFonts w:ascii="Arial" w:hAnsi="Arial" w:cs="Arial"/>
                <w:b/>
                <w:color w:val="auto"/>
                <w:sz w:val="21"/>
                <w:szCs w:val="21"/>
              </w:rPr>
              <w:t>Konsultan Pengawas Independen</w:t>
            </w:r>
          </w:p>
        </w:tc>
      </w:tr>
      <w:tr w:rsidR="00862B0B" w:rsidRPr="00A67277" w14:paraId="335EA792" w14:textId="77777777" w:rsidTr="00862B0B">
        <w:tc>
          <w:tcPr>
            <w:tcW w:w="2270" w:type="pct"/>
          </w:tcPr>
          <w:p w14:paraId="375A07C5" w14:textId="482E79F3" w:rsidR="00862B0B" w:rsidRPr="00A67277" w:rsidRDefault="00862B0B" w:rsidP="00862B0B">
            <w:pPr>
              <w:pStyle w:val="Level3"/>
              <w:numPr>
                <w:ilvl w:val="2"/>
                <w:numId w:val="369"/>
              </w:numPr>
              <w:tabs>
                <w:tab w:val="clear" w:pos="1417"/>
              </w:tabs>
              <w:spacing w:before="60" w:after="60"/>
              <w:ind w:left="1298" w:hanging="425"/>
              <w:rPr>
                <w:rFonts w:cs="Arial"/>
              </w:rPr>
            </w:pPr>
            <w:bookmarkStart w:id="267" w:name="_Toc501178099"/>
            <w:r w:rsidRPr="00A67277">
              <w:rPr>
                <w:rFonts w:cs="Arial"/>
              </w:rPr>
              <w:t>The Parties shall within thirty (30) Days of the Signing Date, jointly appoint a suitably qualified and experienced consultant to act as the Independent Supervisory Consultant for the purposes of this Agreement upon the terms of the Independent Supervisory Consultant Contract. The Independent Supervisory Consultant shall be proposed by the IBE from the list of nominated Independent Supervisory Consultants in Appendix 4 (</w:t>
            </w:r>
            <w:r w:rsidRPr="00A67277">
              <w:rPr>
                <w:rFonts w:cs="Arial"/>
                <w:i/>
              </w:rPr>
              <w:t>List of Nominated Independent Supervisory Consultants</w:t>
            </w:r>
            <w:r w:rsidRPr="00A67277">
              <w:rPr>
                <w:rFonts w:cs="Arial"/>
              </w:rPr>
              <w:t>) for GCA’s consent (such consent shall not be unreasonably withheld).</w:t>
            </w:r>
            <w:bookmarkEnd w:id="267"/>
          </w:p>
        </w:tc>
        <w:tc>
          <w:tcPr>
            <w:tcW w:w="169" w:type="pct"/>
          </w:tcPr>
          <w:p w14:paraId="13E8D940" w14:textId="77777777" w:rsidR="00862B0B" w:rsidRPr="00A67277" w:rsidRDefault="00862B0B" w:rsidP="00862B0B">
            <w:pPr>
              <w:spacing w:before="60" w:after="60"/>
              <w:rPr>
                <w:rFonts w:ascii="Arial" w:hAnsi="Arial" w:cs="Arial"/>
                <w:sz w:val="21"/>
                <w:szCs w:val="21"/>
              </w:rPr>
            </w:pPr>
          </w:p>
        </w:tc>
        <w:tc>
          <w:tcPr>
            <w:tcW w:w="2561" w:type="pct"/>
            <w:gridSpan w:val="2"/>
          </w:tcPr>
          <w:p w14:paraId="66E32711" w14:textId="77777777" w:rsidR="00862B0B" w:rsidRPr="00A67277" w:rsidRDefault="00862B0B" w:rsidP="00862B0B">
            <w:pPr>
              <w:pStyle w:val="Level3"/>
              <w:numPr>
                <w:ilvl w:val="2"/>
                <w:numId w:val="370"/>
              </w:numPr>
              <w:tabs>
                <w:tab w:val="clear" w:pos="1417"/>
                <w:tab w:val="num" w:pos="1333"/>
              </w:tabs>
              <w:spacing w:before="60" w:after="60"/>
              <w:ind w:left="1333" w:hanging="425"/>
              <w:rPr>
                <w:rFonts w:cs="Arial"/>
              </w:rPr>
            </w:pPr>
            <w:r w:rsidRPr="00A67277">
              <w:rPr>
                <w:rFonts w:cs="Arial"/>
              </w:rPr>
              <w:t>Para Pihak harus, dalam waktu tiga puluh (30) Hari setelah Tanggal Penandatanganan, bersama-sama mununjuk konsultan yang berkualifikasi dan berpengalaman untuk bertindak sebagai Konsultan Pengawas Independen untuk tujuan Perjanjian ini dengan ketentuan-ketentuan sebagaimana diatur dalam Perjanjian Konsultan Pengawas Independen. Konsultan Pengawas Independen akan diajukan oleh BUP dari daftar nominasi Konsultan Pengawas Independen pada Lampiran 4 (</w:t>
            </w:r>
            <w:r w:rsidRPr="00A67277">
              <w:rPr>
                <w:rFonts w:cs="Arial"/>
                <w:i/>
              </w:rPr>
              <w:t>Daftar Nominasi Konsultan Pengawas Independen</w:t>
            </w:r>
            <w:r w:rsidRPr="00A67277">
              <w:rPr>
                <w:rFonts w:cs="Arial"/>
              </w:rPr>
              <w:t>) untuk kemudian disetujui oleh PJPK (persetujuan tersebut tidak dapat ditahan secara tidak wajar).</w:t>
            </w:r>
          </w:p>
        </w:tc>
      </w:tr>
      <w:tr w:rsidR="00862B0B" w:rsidRPr="00A67277" w14:paraId="6A7E891B" w14:textId="77777777" w:rsidTr="00862B0B">
        <w:tc>
          <w:tcPr>
            <w:tcW w:w="2270" w:type="pct"/>
          </w:tcPr>
          <w:p w14:paraId="514F5132" w14:textId="1195456D" w:rsidR="00862B0B" w:rsidRPr="00A67277" w:rsidRDefault="00862B0B" w:rsidP="00862B0B">
            <w:pPr>
              <w:pStyle w:val="Level3"/>
              <w:numPr>
                <w:ilvl w:val="2"/>
                <w:numId w:val="369"/>
              </w:numPr>
              <w:tabs>
                <w:tab w:val="clear" w:pos="1417"/>
              </w:tabs>
              <w:spacing w:before="60" w:after="60"/>
              <w:ind w:left="1298" w:hanging="425"/>
              <w:rPr>
                <w:rFonts w:cs="Arial"/>
              </w:rPr>
            </w:pPr>
            <w:bookmarkStart w:id="268" w:name="_Ref397433492"/>
            <w:bookmarkStart w:id="269" w:name="_Toc501178100"/>
            <w:r w:rsidRPr="00A67277">
              <w:rPr>
                <w:rFonts w:cs="Arial"/>
              </w:rPr>
              <w:t>In the event of the Independent Supervisory Consultant’s appointment being terminated, the Parties shall liaise and co-operate with each other in order to appoint, in accordance with this Clause, a replacement consultant to act as the Independent Supervisory Consultant as soon as reasonably practicable. The identity of any such replacement shall be as agreed by the Parties and the terms of his appointment shall, unless otherwise agreed, be substantially as set out in the Independent Supervisory Consultant Contract.</w:t>
            </w:r>
            <w:bookmarkEnd w:id="268"/>
            <w:bookmarkEnd w:id="269"/>
          </w:p>
        </w:tc>
        <w:tc>
          <w:tcPr>
            <w:tcW w:w="169" w:type="pct"/>
          </w:tcPr>
          <w:p w14:paraId="6AEADE1A" w14:textId="77777777" w:rsidR="00862B0B" w:rsidRPr="00A67277" w:rsidRDefault="00862B0B" w:rsidP="00862B0B">
            <w:pPr>
              <w:spacing w:before="60" w:after="60"/>
              <w:rPr>
                <w:rFonts w:ascii="Arial" w:hAnsi="Arial" w:cs="Arial"/>
                <w:sz w:val="21"/>
                <w:szCs w:val="21"/>
              </w:rPr>
            </w:pPr>
          </w:p>
        </w:tc>
        <w:tc>
          <w:tcPr>
            <w:tcW w:w="2561" w:type="pct"/>
            <w:gridSpan w:val="2"/>
          </w:tcPr>
          <w:p w14:paraId="4F577DB6" w14:textId="5C3BC8A8" w:rsidR="00862B0B" w:rsidRPr="00A67277" w:rsidRDefault="00862B0B" w:rsidP="00862B0B">
            <w:pPr>
              <w:pStyle w:val="Level3"/>
              <w:numPr>
                <w:ilvl w:val="2"/>
                <w:numId w:val="371"/>
              </w:numPr>
              <w:tabs>
                <w:tab w:val="clear" w:pos="1417"/>
                <w:tab w:val="num" w:pos="1333"/>
              </w:tabs>
              <w:spacing w:before="60" w:after="60"/>
              <w:ind w:left="1333" w:hanging="425"/>
              <w:rPr>
                <w:rFonts w:cs="Arial"/>
              </w:rPr>
            </w:pPr>
            <w:r w:rsidRPr="00A67277">
              <w:rPr>
                <w:rFonts w:cs="Arial"/>
              </w:rPr>
              <w:t xml:space="preserve">Dalam hal penunjukan Konsultan Pengawas Independen dihentikan, Para Pihak secara bersama-sama harus menunjuk konsultan pengganti, sebagaimana diatur dalam Pasal ini, untuk bertindak sebagai Konsultan Pengawas Independen sesegera mungkin.  Identitas dari konsultan pengganti tersebut harus sesuai dengan yang disepakati oleh Para Pihak dan persyaratan penunjukkan harus, kecuali jika disetujui lain, secara substansial sama dengan sebagaimana tercantum dalam Perjanjian </w:t>
            </w:r>
            <w:r>
              <w:rPr>
                <w:rFonts w:cs="Arial"/>
              </w:rPr>
              <w:t xml:space="preserve">Konsultan </w:t>
            </w:r>
            <w:r w:rsidRPr="00A67277">
              <w:rPr>
                <w:rFonts w:cs="Arial"/>
              </w:rPr>
              <w:t>Pengawas Independen.</w:t>
            </w:r>
          </w:p>
        </w:tc>
      </w:tr>
      <w:tr w:rsidR="00862B0B" w:rsidRPr="00A67277" w14:paraId="191E6075" w14:textId="77777777" w:rsidTr="00862B0B">
        <w:tc>
          <w:tcPr>
            <w:tcW w:w="2270" w:type="pct"/>
          </w:tcPr>
          <w:p w14:paraId="135EB06C" w14:textId="2C34D326" w:rsidR="00862B0B" w:rsidRPr="00A67277" w:rsidRDefault="00862B0B" w:rsidP="00862B0B">
            <w:pPr>
              <w:pStyle w:val="Level3"/>
              <w:numPr>
                <w:ilvl w:val="2"/>
                <w:numId w:val="369"/>
              </w:numPr>
              <w:tabs>
                <w:tab w:val="clear" w:pos="1417"/>
              </w:tabs>
              <w:spacing w:before="60" w:after="60"/>
              <w:ind w:left="1298" w:hanging="425"/>
              <w:rPr>
                <w:rFonts w:cs="Arial"/>
              </w:rPr>
            </w:pPr>
            <w:bookmarkStart w:id="270" w:name="_Toc501178101"/>
            <w:r w:rsidRPr="00A67277">
              <w:rPr>
                <w:rFonts w:cs="Arial"/>
              </w:rPr>
              <w:t>In the event the Parties fail to agree the identity and / or terms of a replacement Independent Supervisory Consultant in accordance with paragraph (b), within twenty (20) Business Days of the original Independent Supervisory Consultant’s appointment being terminated, then such disagreement shall be referred for determination in accordance with Clause 28 (Settlement of Disputes).</w:t>
            </w:r>
            <w:bookmarkEnd w:id="270"/>
          </w:p>
        </w:tc>
        <w:tc>
          <w:tcPr>
            <w:tcW w:w="169" w:type="pct"/>
          </w:tcPr>
          <w:p w14:paraId="32A2CA05" w14:textId="77777777" w:rsidR="00862B0B" w:rsidRPr="00A67277" w:rsidRDefault="00862B0B" w:rsidP="00862B0B">
            <w:pPr>
              <w:spacing w:before="60" w:after="60"/>
              <w:rPr>
                <w:rFonts w:ascii="Arial" w:hAnsi="Arial" w:cs="Arial"/>
                <w:sz w:val="21"/>
                <w:szCs w:val="21"/>
              </w:rPr>
            </w:pPr>
          </w:p>
        </w:tc>
        <w:tc>
          <w:tcPr>
            <w:tcW w:w="2561" w:type="pct"/>
            <w:gridSpan w:val="2"/>
          </w:tcPr>
          <w:p w14:paraId="2A2CF0CB" w14:textId="77777777" w:rsidR="00862B0B" w:rsidRPr="00A67277" w:rsidRDefault="00862B0B" w:rsidP="00862B0B">
            <w:pPr>
              <w:pStyle w:val="Level3"/>
              <w:numPr>
                <w:ilvl w:val="2"/>
                <w:numId w:val="372"/>
              </w:numPr>
              <w:tabs>
                <w:tab w:val="clear" w:pos="1417"/>
                <w:tab w:val="num" w:pos="1333"/>
              </w:tabs>
              <w:spacing w:before="60" w:after="60"/>
              <w:ind w:left="1333" w:hanging="425"/>
              <w:rPr>
                <w:rFonts w:cs="Arial"/>
              </w:rPr>
            </w:pPr>
            <w:r w:rsidRPr="00A67277">
              <w:rPr>
                <w:rFonts w:cs="Arial"/>
              </w:rPr>
              <w:t>Dalam hal Para Pihak gagal untuk menyetujui identitas dan/atau ketentuan dari penggantian Konsultan Pengawas Independen sesuai dengan ketentuan paragraf (b), dalam waktu dua puluh (20) Hari Kerja penunjukan Konsultan Pengawas Independen dihentikan, ketidaksepakatan tersebut dapat dirujuk untuk diselesaikan sesuai dengan ketentuan Pasal 28 (</w:t>
            </w:r>
            <w:r w:rsidRPr="00A67277">
              <w:rPr>
                <w:rFonts w:cs="Arial"/>
                <w:i/>
              </w:rPr>
              <w:t>Penyelesaian Sengketa</w:t>
            </w:r>
            <w:r w:rsidRPr="00A67277">
              <w:rPr>
                <w:rFonts w:cs="Arial"/>
              </w:rPr>
              <w:t>).</w:t>
            </w:r>
          </w:p>
        </w:tc>
      </w:tr>
      <w:tr w:rsidR="00862B0B" w:rsidRPr="00A67277" w14:paraId="24146A1B" w14:textId="77777777" w:rsidTr="00862B0B">
        <w:tc>
          <w:tcPr>
            <w:tcW w:w="2270" w:type="pct"/>
          </w:tcPr>
          <w:p w14:paraId="3D6731A2" w14:textId="4A2E71C5" w:rsidR="00862B0B" w:rsidRPr="00A67277" w:rsidRDefault="00862B0B" w:rsidP="00862B0B">
            <w:pPr>
              <w:pStyle w:val="Level3"/>
              <w:numPr>
                <w:ilvl w:val="2"/>
                <w:numId w:val="369"/>
              </w:numPr>
              <w:tabs>
                <w:tab w:val="clear" w:pos="1417"/>
              </w:tabs>
              <w:spacing w:before="60" w:after="60"/>
              <w:ind w:left="1298" w:hanging="425"/>
              <w:rPr>
                <w:rFonts w:cs="Arial"/>
              </w:rPr>
            </w:pPr>
            <w:bookmarkStart w:id="271" w:name="_Toc501178102"/>
            <w:r w:rsidRPr="00A67277">
              <w:rPr>
                <w:rFonts w:cs="Arial"/>
              </w:rPr>
              <w:t>For the avoidance of doubt, appointment of the Independent Supervisory Consultant is without prejudice to the rights of GCA to appoint, employ and/or retain other consultants to provide services to GCA in connection with this Agreement and the Project.</w:t>
            </w:r>
            <w:bookmarkEnd w:id="271"/>
          </w:p>
        </w:tc>
        <w:tc>
          <w:tcPr>
            <w:tcW w:w="169" w:type="pct"/>
          </w:tcPr>
          <w:p w14:paraId="3AE7F87B" w14:textId="77777777" w:rsidR="00862B0B" w:rsidRPr="00A67277" w:rsidRDefault="00862B0B" w:rsidP="00862B0B">
            <w:pPr>
              <w:spacing w:before="60" w:after="60"/>
              <w:rPr>
                <w:rFonts w:ascii="Arial" w:hAnsi="Arial" w:cs="Arial"/>
                <w:sz w:val="21"/>
                <w:szCs w:val="21"/>
              </w:rPr>
            </w:pPr>
          </w:p>
        </w:tc>
        <w:tc>
          <w:tcPr>
            <w:tcW w:w="2561" w:type="pct"/>
            <w:gridSpan w:val="2"/>
          </w:tcPr>
          <w:p w14:paraId="70345E59" w14:textId="77777777" w:rsidR="00862B0B" w:rsidRPr="00A67277" w:rsidRDefault="00862B0B" w:rsidP="00862B0B">
            <w:pPr>
              <w:pStyle w:val="Level3"/>
              <w:numPr>
                <w:ilvl w:val="2"/>
                <w:numId w:val="373"/>
              </w:numPr>
              <w:tabs>
                <w:tab w:val="clear" w:pos="1417"/>
                <w:tab w:val="num" w:pos="1333"/>
              </w:tabs>
              <w:spacing w:before="60" w:after="60"/>
              <w:ind w:left="1333" w:hanging="425"/>
              <w:rPr>
                <w:rFonts w:cs="Arial"/>
              </w:rPr>
            </w:pPr>
            <w:r w:rsidRPr="00A67277">
              <w:rPr>
                <w:rFonts w:cs="Arial"/>
              </w:rPr>
              <w:t xml:space="preserve">Untuk menghindari keragu-raguan, penunjukan Konsultan Pengawas Independen, adalah tanpa prasangka terhadap hak-hak PJPK untuk menunjuk, </w:t>
            </w:r>
            <w:r w:rsidRPr="00A67277">
              <w:rPr>
                <w:rFonts w:cs="Arial"/>
                <w:shd w:val="clear" w:color="auto" w:fill="FFFFFF"/>
              </w:rPr>
              <w:t>mempekerjakan dan/atau menyewa konsultan lain untuk memberikan layanan kepada PJPK sehubungan dengan Perjanjian ini dan Proyek.</w:t>
            </w:r>
          </w:p>
        </w:tc>
      </w:tr>
      <w:tr w:rsidR="00862B0B" w:rsidRPr="00A67277" w14:paraId="258674FA" w14:textId="77777777" w:rsidTr="00862B0B">
        <w:tc>
          <w:tcPr>
            <w:tcW w:w="2270" w:type="pct"/>
          </w:tcPr>
          <w:p w14:paraId="3E374555" w14:textId="343FAAC5" w:rsidR="00862B0B" w:rsidRPr="00A67277" w:rsidRDefault="00862B0B" w:rsidP="00862B0B">
            <w:pPr>
              <w:pStyle w:val="Level3"/>
              <w:numPr>
                <w:ilvl w:val="2"/>
                <w:numId w:val="369"/>
              </w:numPr>
              <w:tabs>
                <w:tab w:val="clear" w:pos="1417"/>
              </w:tabs>
              <w:spacing w:before="60" w:after="60"/>
              <w:ind w:left="1298" w:hanging="425"/>
              <w:rPr>
                <w:rFonts w:cs="Arial"/>
              </w:rPr>
            </w:pPr>
            <w:bookmarkStart w:id="272" w:name="_Toc501178103"/>
            <w:r w:rsidRPr="00A67277">
              <w:rPr>
                <w:rFonts w:cs="Arial"/>
              </w:rPr>
              <w:t>The duration of service of the Independent Supervisory Consultant shall be up to the Commercial Operation Date. If the Parties so decide, the duration of service of the Independent Supervisory Consultant could be extended during the Operation Period under the terms and conditions agreed by the Parties.</w:t>
            </w:r>
            <w:bookmarkEnd w:id="272"/>
          </w:p>
        </w:tc>
        <w:tc>
          <w:tcPr>
            <w:tcW w:w="169" w:type="pct"/>
          </w:tcPr>
          <w:p w14:paraId="696B9835" w14:textId="77777777" w:rsidR="00862B0B" w:rsidRPr="00A67277" w:rsidRDefault="00862B0B" w:rsidP="00862B0B">
            <w:pPr>
              <w:spacing w:before="60" w:after="60"/>
              <w:rPr>
                <w:rFonts w:ascii="Arial" w:hAnsi="Arial" w:cs="Arial"/>
                <w:sz w:val="21"/>
                <w:szCs w:val="21"/>
              </w:rPr>
            </w:pPr>
          </w:p>
        </w:tc>
        <w:tc>
          <w:tcPr>
            <w:tcW w:w="2561" w:type="pct"/>
            <w:gridSpan w:val="2"/>
          </w:tcPr>
          <w:p w14:paraId="5FBB0A49" w14:textId="77777777" w:rsidR="00862B0B" w:rsidRPr="00A67277" w:rsidRDefault="00862B0B" w:rsidP="00862B0B">
            <w:pPr>
              <w:pStyle w:val="Level3"/>
              <w:numPr>
                <w:ilvl w:val="2"/>
                <w:numId w:val="374"/>
              </w:numPr>
              <w:tabs>
                <w:tab w:val="clear" w:pos="1417"/>
                <w:tab w:val="num" w:pos="1333"/>
              </w:tabs>
              <w:spacing w:before="60" w:after="60"/>
              <w:ind w:left="1333" w:hanging="425"/>
              <w:rPr>
                <w:rFonts w:cs="Arial"/>
              </w:rPr>
            </w:pPr>
            <w:r w:rsidRPr="00A67277">
              <w:rPr>
                <w:rFonts w:cs="Arial"/>
              </w:rPr>
              <w:t xml:space="preserve">Jangka waktu jasa layanan Konsultan Pengawas Independen harus sampai dengan Tanggal Operasi Komersial. </w:t>
            </w:r>
            <w:r w:rsidRPr="00A67277">
              <w:rPr>
                <w:rFonts w:cs="Arial"/>
                <w:shd w:val="clear" w:color="auto" w:fill="FFFFFF"/>
              </w:rPr>
              <w:t xml:space="preserve">Jika disepakati oleh Para Pihak, durasi </w:t>
            </w:r>
            <w:r w:rsidRPr="00A67277">
              <w:rPr>
                <w:rFonts w:cs="Arial"/>
              </w:rPr>
              <w:t xml:space="preserve">jasa layanan </w:t>
            </w:r>
            <w:r w:rsidRPr="00A67277">
              <w:rPr>
                <w:rFonts w:cs="Arial"/>
                <w:shd w:val="clear" w:color="auto" w:fill="FFFFFF"/>
              </w:rPr>
              <w:t>Konsultan Pengawas Independen dapat diperpanjang selama Jangka Waktu Operasi dengan ketentuan dan persyaratan yang disepakati oleh Para Pihak.</w:t>
            </w:r>
          </w:p>
        </w:tc>
      </w:tr>
      <w:tr w:rsidR="00862B0B" w:rsidRPr="00A67277" w14:paraId="2C6C893E" w14:textId="77777777" w:rsidTr="00862B0B">
        <w:trPr>
          <w:trHeight w:val="3230"/>
        </w:trPr>
        <w:tc>
          <w:tcPr>
            <w:tcW w:w="2270" w:type="pct"/>
          </w:tcPr>
          <w:p w14:paraId="32426839" w14:textId="3953EFD6" w:rsidR="00862B0B" w:rsidRPr="00A67277" w:rsidRDefault="00862B0B" w:rsidP="00862B0B">
            <w:pPr>
              <w:pStyle w:val="Level3"/>
              <w:numPr>
                <w:ilvl w:val="2"/>
                <w:numId w:val="369"/>
              </w:numPr>
              <w:tabs>
                <w:tab w:val="clear" w:pos="1417"/>
              </w:tabs>
              <w:spacing w:before="60" w:after="60"/>
              <w:ind w:left="1298" w:hanging="425"/>
              <w:rPr>
                <w:rFonts w:cs="Arial"/>
              </w:rPr>
            </w:pPr>
            <w:bookmarkStart w:id="273" w:name="_Toc501178104"/>
            <w:r w:rsidRPr="00A67277">
              <w:rPr>
                <w:rFonts w:cs="Arial"/>
              </w:rPr>
              <w:t>The fees for the Independent Supervisory Consultant during it assignment up to the Commercial Operation Date shall be borne by the IBE. The payment of fees for the Independent Supervisory Consultant shall only be made upon approval from the GCA (such approval shall not be unreasonably withheld).</w:t>
            </w:r>
            <w:bookmarkEnd w:id="273"/>
          </w:p>
        </w:tc>
        <w:tc>
          <w:tcPr>
            <w:tcW w:w="169" w:type="pct"/>
          </w:tcPr>
          <w:p w14:paraId="38A51E89" w14:textId="77777777" w:rsidR="00862B0B" w:rsidRPr="00A67277" w:rsidRDefault="00862B0B" w:rsidP="00862B0B">
            <w:pPr>
              <w:spacing w:before="60" w:after="60"/>
              <w:rPr>
                <w:rFonts w:ascii="Arial" w:hAnsi="Arial" w:cs="Arial"/>
                <w:sz w:val="21"/>
                <w:szCs w:val="21"/>
              </w:rPr>
            </w:pPr>
          </w:p>
        </w:tc>
        <w:tc>
          <w:tcPr>
            <w:tcW w:w="2561" w:type="pct"/>
            <w:gridSpan w:val="2"/>
          </w:tcPr>
          <w:p w14:paraId="319140B7" w14:textId="77777777" w:rsidR="00862B0B" w:rsidRPr="00A67277" w:rsidRDefault="00862B0B" w:rsidP="00862B0B">
            <w:pPr>
              <w:pStyle w:val="Level3"/>
              <w:numPr>
                <w:ilvl w:val="2"/>
                <w:numId w:val="375"/>
              </w:numPr>
              <w:tabs>
                <w:tab w:val="clear" w:pos="1417"/>
                <w:tab w:val="num" w:pos="1333"/>
              </w:tabs>
              <w:spacing w:before="60" w:after="60"/>
              <w:ind w:left="1333" w:hanging="425"/>
              <w:rPr>
                <w:rFonts w:cs="Arial"/>
              </w:rPr>
            </w:pPr>
            <w:r w:rsidRPr="00A67277">
              <w:rPr>
                <w:rFonts w:cs="Arial"/>
                <w:shd w:val="clear" w:color="auto" w:fill="FFFFFF"/>
              </w:rPr>
              <w:t xml:space="preserve">Biaya </w:t>
            </w:r>
            <w:r w:rsidRPr="00A67277">
              <w:rPr>
                <w:rFonts w:cs="Arial"/>
              </w:rPr>
              <w:t xml:space="preserve">jasa layanan </w:t>
            </w:r>
            <w:r w:rsidRPr="00A67277">
              <w:rPr>
                <w:rFonts w:cs="Arial"/>
                <w:shd w:val="clear" w:color="auto" w:fill="FFFFFF"/>
              </w:rPr>
              <w:t xml:space="preserve">Konsultan Pengawas Independen selama periode penugasan sampai dengan Tanggal Operasi Komersial ditanggung oleh BUP. Pembayaraan biaya </w:t>
            </w:r>
            <w:r w:rsidRPr="00A67277">
              <w:rPr>
                <w:rFonts w:cs="Arial"/>
              </w:rPr>
              <w:t xml:space="preserve">jasa layanan </w:t>
            </w:r>
            <w:r w:rsidRPr="00A67277">
              <w:rPr>
                <w:rFonts w:cs="Arial"/>
                <w:shd w:val="clear" w:color="auto" w:fill="FFFFFF"/>
              </w:rPr>
              <w:t>Konsultan Pengawas Independen hanya dapat dilakukan setelah mendapat persetujuan PJPK (persetujuan mana tidak boleh ditahan secara tidak wajar)</w:t>
            </w:r>
            <w:bookmarkStart w:id="274" w:name="_cp_text_1_1736"/>
            <w:r w:rsidRPr="00A67277">
              <w:rPr>
                <w:rFonts w:cs="Arial"/>
              </w:rPr>
              <w:t>.</w:t>
            </w:r>
            <w:bookmarkEnd w:id="274"/>
          </w:p>
        </w:tc>
      </w:tr>
      <w:tr w:rsidR="00862B0B" w:rsidRPr="00A67277" w14:paraId="34B9C51C" w14:textId="77777777" w:rsidTr="00862B0B">
        <w:tc>
          <w:tcPr>
            <w:tcW w:w="2270" w:type="pct"/>
            <w:shd w:val="clear" w:color="auto" w:fill="auto"/>
          </w:tcPr>
          <w:p w14:paraId="5AD9E46A" w14:textId="77777777" w:rsidR="00862B0B" w:rsidRPr="00A67277" w:rsidRDefault="00862B0B" w:rsidP="00862B0B">
            <w:pPr>
              <w:pStyle w:val="Heading2"/>
              <w:keepLines w:val="0"/>
              <w:numPr>
                <w:ilvl w:val="1"/>
                <w:numId w:val="416"/>
              </w:numPr>
              <w:spacing w:before="60" w:after="60"/>
              <w:ind w:left="810" w:hanging="450"/>
              <w:jc w:val="both"/>
              <w:outlineLvl w:val="1"/>
              <w:rPr>
                <w:rFonts w:ascii="Arial" w:hAnsi="Arial" w:cs="Arial"/>
                <w:b/>
                <w:color w:val="auto"/>
                <w:sz w:val="21"/>
                <w:szCs w:val="21"/>
              </w:rPr>
            </w:pPr>
            <w:r w:rsidRPr="00A67277">
              <w:rPr>
                <w:rFonts w:ascii="Arial" w:hAnsi="Arial" w:cs="Arial"/>
                <w:b/>
                <w:color w:val="auto"/>
                <w:sz w:val="21"/>
                <w:szCs w:val="21"/>
              </w:rPr>
              <w:t xml:space="preserve">General Obligations of IBE with respect to Construction of the Facility </w:t>
            </w:r>
          </w:p>
        </w:tc>
        <w:tc>
          <w:tcPr>
            <w:tcW w:w="169" w:type="pct"/>
            <w:shd w:val="clear" w:color="auto" w:fill="auto"/>
          </w:tcPr>
          <w:p w14:paraId="741CAEFD"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0B72231D" w14:textId="77777777" w:rsidR="00862B0B" w:rsidRPr="00A67277" w:rsidRDefault="00862B0B" w:rsidP="00862B0B">
            <w:pPr>
              <w:pStyle w:val="Heading2"/>
              <w:keepLines w:val="0"/>
              <w:numPr>
                <w:ilvl w:val="1"/>
                <w:numId w:val="360"/>
              </w:numPr>
              <w:spacing w:before="60" w:after="60"/>
              <w:ind w:left="882" w:hanging="162"/>
              <w:jc w:val="both"/>
              <w:outlineLvl w:val="1"/>
              <w:rPr>
                <w:rFonts w:ascii="Arial" w:hAnsi="Arial" w:cs="Arial"/>
                <w:b/>
                <w:color w:val="auto"/>
                <w:sz w:val="21"/>
                <w:szCs w:val="21"/>
              </w:rPr>
            </w:pPr>
            <w:r w:rsidRPr="00A67277">
              <w:rPr>
                <w:rFonts w:ascii="Arial" w:hAnsi="Arial" w:cs="Arial"/>
                <w:b/>
                <w:color w:val="auto"/>
                <w:sz w:val="21"/>
                <w:szCs w:val="21"/>
              </w:rPr>
              <w:t xml:space="preserve">Kewajiban Umum BUP sehubungan dengan Pembangunan Fasilitas </w:t>
            </w:r>
          </w:p>
        </w:tc>
      </w:tr>
      <w:tr w:rsidR="00862B0B" w:rsidRPr="00A67277" w14:paraId="4CEA477A" w14:textId="77777777" w:rsidTr="00862B0B">
        <w:tc>
          <w:tcPr>
            <w:tcW w:w="2270" w:type="pct"/>
          </w:tcPr>
          <w:p w14:paraId="55CB9824" w14:textId="77777777" w:rsidR="00862B0B" w:rsidRPr="00A67277" w:rsidRDefault="00862B0B" w:rsidP="00862B0B">
            <w:pPr>
              <w:pStyle w:val="Level3"/>
              <w:numPr>
                <w:ilvl w:val="2"/>
                <w:numId w:val="361"/>
              </w:numPr>
              <w:tabs>
                <w:tab w:val="clear" w:pos="1417"/>
                <w:tab w:val="num" w:pos="1298"/>
              </w:tabs>
              <w:spacing w:before="60" w:after="60"/>
              <w:ind w:left="1298" w:hanging="425"/>
              <w:rPr>
                <w:rFonts w:cs="Arial"/>
              </w:rPr>
            </w:pPr>
            <w:r w:rsidRPr="00A67277">
              <w:rPr>
                <w:rFonts w:cs="Arial"/>
              </w:rPr>
              <w:t>The IBE must design, develop and construct the Facility:</w:t>
            </w:r>
          </w:p>
        </w:tc>
        <w:tc>
          <w:tcPr>
            <w:tcW w:w="169" w:type="pct"/>
          </w:tcPr>
          <w:p w14:paraId="7E98762A" w14:textId="77777777" w:rsidR="00862B0B" w:rsidRPr="00A67277" w:rsidRDefault="00862B0B" w:rsidP="00862B0B">
            <w:pPr>
              <w:spacing w:before="60" w:after="60"/>
              <w:rPr>
                <w:rFonts w:ascii="Arial" w:hAnsi="Arial" w:cs="Arial"/>
                <w:sz w:val="21"/>
                <w:szCs w:val="21"/>
              </w:rPr>
            </w:pPr>
          </w:p>
        </w:tc>
        <w:tc>
          <w:tcPr>
            <w:tcW w:w="2561" w:type="pct"/>
            <w:gridSpan w:val="2"/>
          </w:tcPr>
          <w:p w14:paraId="39FA2856" w14:textId="77777777" w:rsidR="00862B0B" w:rsidRPr="00A67277" w:rsidRDefault="00862B0B" w:rsidP="00862B0B">
            <w:pPr>
              <w:pStyle w:val="Level3"/>
              <w:numPr>
                <w:ilvl w:val="2"/>
                <w:numId w:val="364"/>
              </w:numPr>
              <w:tabs>
                <w:tab w:val="clear" w:pos="1417"/>
                <w:tab w:val="num" w:pos="1192"/>
              </w:tabs>
              <w:spacing w:before="60" w:after="60"/>
              <w:ind w:left="1192" w:hanging="426"/>
              <w:rPr>
                <w:rFonts w:cs="Arial"/>
              </w:rPr>
            </w:pPr>
            <w:bookmarkStart w:id="275" w:name="_Toc501178079"/>
            <w:bookmarkStart w:id="276" w:name="_Ref397426322"/>
            <w:r w:rsidRPr="00A67277">
              <w:rPr>
                <w:rFonts w:cs="Arial"/>
                <w:lang w:val="id-ID"/>
              </w:rPr>
              <w:t xml:space="preserve">BUP harus </w:t>
            </w:r>
            <w:r w:rsidRPr="00A67277">
              <w:rPr>
                <w:rFonts w:cs="Arial"/>
              </w:rPr>
              <w:t>merancang</w:t>
            </w:r>
            <w:r w:rsidRPr="00A67277">
              <w:rPr>
                <w:rFonts w:cs="Arial"/>
                <w:lang w:val="id-ID"/>
              </w:rPr>
              <w:t xml:space="preserve">, </w:t>
            </w:r>
            <w:r w:rsidRPr="00A67277">
              <w:rPr>
                <w:rFonts w:cs="Arial"/>
                <w:lang w:val="en-US"/>
              </w:rPr>
              <w:t xml:space="preserve">mengembangkan </w:t>
            </w:r>
            <w:r w:rsidRPr="00A67277">
              <w:rPr>
                <w:rFonts w:cs="Arial"/>
                <w:lang w:val="id-ID"/>
              </w:rPr>
              <w:t xml:space="preserve">dan membangun </w:t>
            </w:r>
            <w:r w:rsidRPr="00A67277">
              <w:rPr>
                <w:rFonts w:cs="Arial"/>
              </w:rPr>
              <w:t>Fasilitas:</w:t>
            </w:r>
            <w:bookmarkEnd w:id="275"/>
            <w:bookmarkEnd w:id="276"/>
          </w:p>
        </w:tc>
      </w:tr>
      <w:tr w:rsidR="00862B0B" w:rsidRPr="00A67277" w14:paraId="269D13A7" w14:textId="77777777" w:rsidTr="00862B0B">
        <w:tc>
          <w:tcPr>
            <w:tcW w:w="2270" w:type="pct"/>
          </w:tcPr>
          <w:p w14:paraId="52C50429" w14:textId="77777777" w:rsidR="00862B0B" w:rsidRPr="00A67277" w:rsidRDefault="00862B0B" w:rsidP="00862B0B">
            <w:pPr>
              <w:pStyle w:val="Level4"/>
              <w:numPr>
                <w:ilvl w:val="3"/>
                <w:numId w:val="421"/>
              </w:numPr>
              <w:tabs>
                <w:tab w:val="clear" w:pos="2126"/>
              </w:tabs>
              <w:spacing w:before="60" w:after="60"/>
              <w:ind w:left="1890" w:hanging="473"/>
              <w:rPr>
                <w:rFonts w:cs="Arial"/>
              </w:rPr>
            </w:pPr>
            <w:r w:rsidRPr="00A67277">
              <w:rPr>
                <w:rFonts w:cs="Arial"/>
              </w:rPr>
              <w:t>so that the design, development, construction, equipment and performance comply with the Design and Technical Specifications and  Key Performance Indicators;</w:t>
            </w:r>
          </w:p>
        </w:tc>
        <w:tc>
          <w:tcPr>
            <w:tcW w:w="169" w:type="pct"/>
          </w:tcPr>
          <w:p w14:paraId="6B3D87DC" w14:textId="77777777" w:rsidR="00862B0B" w:rsidRPr="00A67277" w:rsidRDefault="00862B0B" w:rsidP="00862B0B">
            <w:pPr>
              <w:spacing w:before="60" w:after="60"/>
              <w:rPr>
                <w:rFonts w:ascii="Arial" w:hAnsi="Arial" w:cs="Arial"/>
                <w:sz w:val="21"/>
                <w:szCs w:val="21"/>
              </w:rPr>
            </w:pPr>
          </w:p>
        </w:tc>
        <w:tc>
          <w:tcPr>
            <w:tcW w:w="2561" w:type="pct"/>
            <w:gridSpan w:val="2"/>
          </w:tcPr>
          <w:p w14:paraId="32920380" w14:textId="77777777" w:rsidR="00862B0B" w:rsidRPr="00A67277" w:rsidRDefault="00862B0B" w:rsidP="00862B0B">
            <w:pPr>
              <w:pStyle w:val="Level4"/>
              <w:numPr>
                <w:ilvl w:val="0"/>
                <w:numId w:val="362"/>
              </w:numPr>
              <w:spacing w:before="60" w:after="60"/>
              <w:ind w:left="1759" w:hanging="426"/>
              <w:rPr>
                <w:rFonts w:cs="Arial"/>
              </w:rPr>
            </w:pPr>
            <w:r w:rsidRPr="00A67277">
              <w:rPr>
                <w:rFonts w:cs="Arial"/>
                <w:shd w:val="clear" w:color="auto" w:fill="FFFFFF"/>
              </w:rPr>
              <w:t>sehingga desain, konstruksi, peralatan dan kinerjanya sesuai dengan Spesifikasi Desain dan Teknis, dan Indikator Kinerja Utama;</w:t>
            </w:r>
          </w:p>
        </w:tc>
      </w:tr>
      <w:tr w:rsidR="00862B0B" w:rsidRPr="00A67277" w14:paraId="12968809" w14:textId="77777777" w:rsidTr="00862B0B">
        <w:tc>
          <w:tcPr>
            <w:tcW w:w="2270" w:type="pct"/>
          </w:tcPr>
          <w:p w14:paraId="7307B273" w14:textId="77777777" w:rsidR="00862B0B" w:rsidRPr="00A67277" w:rsidRDefault="00862B0B" w:rsidP="00862B0B">
            <w:pPr>
              <w:pStyle w:val="Level4"/>
              <w:numPr>
                <w:ilvl w:val="3"/>
                <w:numId w:val="421"/>
              </w:numPr>
              <w:spacing w:before="60" w:after="60"/>
              <w:ind w:left="1865" w:hanging="448"/>
              <w:rPr>
                <w:rFonts w:cs="Arial"/>
              </w:rPr>
            </w:pPr>
            <w:r w:rsidRPr="00A67277">
              <w:rPr>
                <w:rFonts w:cs="Arial"/>
              </w:rPr>
              <w:t>in accordance with all relevant standards in Indonesia; and</w:t>
            </w:r>
          </w:p>
        </w:tc>
        <w:tc>
          <w:tcPr>
            <w:tcW w:w="169" w:type="pct"/>
          </w:tcPr>
          <w:p w14:paraId="0955DC3E" w14:textId="77777777" w:rsidR="00862B0B" w:rsidRPr="00A67277" w:rsidRDefault="00862B0B" w:rsidP="00862B0B">
            <w:pPr>
              <w:spacing w:before="60" w:after="60"/>
              <w:rPr>
                <w:rFonts w:ascii="Arial" w:hAnsi="Arial" w:cs="Arial"/>
                <w:sz w:val="21"/>
                <w:szCs w:val="21"/>
              </w:rPr>
            </w:pPr>
          </w:p>
        </w:tc>
        <w:tc>
          <w:tcPr>
            <w:tcW w:w="2561" w:type="pct"/>
            <w:gridSpan w:val="2"/>
          </w:tcPr>
          <w:p w14:paraId="3DEEF0BE" w14:textId="77777777" w:rsidR="00862B0B" w:rsidRPr="00A67277" w:rsidRDefault="00862B0B" w:rsidP="00862B0B">
            <w:pPr>
              <w:pStyle w:val="Level4"/>
              <w:numPr>
                <w:ilvl w:val="0"/>
                <w:numId w:val="362"/>
              </w:numPr>
              <w:spacing w:before="60" w:after="60"/>
              <w:ind w:left="1759" w:hanging="426"/>
              <w:rPr>
                <w:rFonts w:cs="Arial"/>
              </w:rPr>
            </w:pPr>
            <w:r w:rsidRPr="00A67277">
              <w:rPr>
                <w:rFonts w:cs="Arial"/>
                <w:lang w:val="id-ID"/>
              </w:rPr>
              <w:t>sesuai dengan semua standar di Indonesia; dan</w:t>
            </w:r>
          </w:p>
        </w:tc>
      </w:tr>
      <w:tr w:rsidR="00862B0B" w:rsidRPr="00A67277" w14:paraId="27561C96" w14:textId="77777777" w:rsidTr="00862B0B">
        <w:tc>
          <w:tcPr>
            <w:tcW w:w="2270" w:type="pct"/>
          </w:tcPr>
          <w:p w14:paraId="33ED8109" w14:textId="77777777" w:rsidR="00862B0B" w:rsidRPr="00A67277" w:rsidRDefault="00862B0B" w:rsidP="00862B0B">
            <w:pPr>
              <w:pStyle w:val="Level4"/>
              <w:numPr>
                <w:ilvl w:val="3"/>
                <w:numId w:val="421"/>
              </w:numPr>
              <w:spacing w:before="60" w:after="60"/>
              <w:ind w:left="1865" w:hanging="448"/>
              <w:rPr>
                <w:rFonts w:cs="Arial"/>
              </w:rPr>
            </w:pPr>
            <w:r w:rsidRPr="00A67277">
              <w:rPr>
                <w:rFonts w:cs="Arial"/>
              </w:rPr>
              <w:t>in accordance with the terms of all relevant Legal Requirements.</w:t>
            </w:r>
          </w:p>
        </w:tc>
        <w:tc>
          <w:tcPr>
            <w:tcW w:w="169" w:type="pct"/>
          </w:tcPr>
          <w:p w14:paraId="397BFFDA" w14:textId="77777777" w:rsidR="00862B0B" w:rsidRPr="00A67277" w:rsidRDefault="00862B0B" w:rsidP="00862B0B">
            <w:pPr>
              <w:spacing w:before="60" w:after="60"/>
              <w:rPr>
                <w:rFonts w:ascii="Arial" w:hAnsi="Arial" w:cs="Arial"/>
                <w:sz w:val="21"/>
                <w:szCs w:val="21"/>
              </w:rPr>
            </w:pPr>
          </w:p>
        </w:tc>
        <w:tc>
          <w:tcPr>
            <w:tcW w:w="2561" w:type="pct"/>
            <w:gridSpan w:val="2"/>
          </w:tcPr>
          <w:p w14:paraId="65130FE8" w14:textId="77777777" w:rsidR="00862B0B" w:rsidRPr="00A67277" w:rsidRDefault="00862B0B" w:rsidP="00862B0B">
            <w:pPr>
              <w:pStyle w:val="Level4"/>
              <w:numPr>
                <w:ilvl w:val="0"/>
                <w:numId w:val="362"/>
              </w:numPr>
              <w:spacing w:before="60" w:after="60"/>
              <w:ind w:left="1759" w:hanging="426"/>
              <w:rPr>
                <w:rFonts w:cs="Arial"/>
              </w:rPr>
            </w:pPr>
            <w:r w:rsidRPr="00A67277">
              <w:rPr>
                <w:rFonts w:cs="Arial"/>
                <w:lang w:val="id-ID"/>
              </w:rPr>
              <w:t xml:space="preserve">sesuai </w:t>
            </w:r>
            <w:r w:rsidRPr="00A67277">
              <w:rPr>
                <w:rFonts w:cs="Arial"/>
              </w:rPr>
              <w:t>ketentuan</w:t>
            </w:r>
            <w:r w:rsidRPr="00A67277">
              <w:rPr>
                <w:rFonts w:cs="Arial"/>
                <w:lang w:val="id-ID"/>
              </w:rPr>
              <w:t xml:space="preserve"> dengan se</w:t>
            </w:r>
            <w:r w:rsidRPr="00A67277">
              <w:rPr>
                <w:rFonts w:cs="Arial"/>
                <w:lang w:val="en-US"/>
              </w:rPr>
              <w:t xml:space="preserve">luruh </w:t>
            </w:r>
            <w:r w:rsidRPr="00A67277">
              <w:rPr>
                <w:rFonts w:cs="Arial"/>
              </w:rPr>
              <w:t>Persyaratan Hukum yang terkait.</w:t>
            </w:r>
          </w:p>
        </w:tc>
      </w:tr>
      <w:tr w:rsidR="00862B0B" w:rsidRPr="00A67277" w14:paraId="6FFC7976" w14:textId="77777777" w:rsidTr="00862B0B">
        <w:tc>
          <w:tcPr>
            <w:tcW w:w="2270" w:type="pct"/>
          </w:tcPr>
          <w:p w14:paraId="2D937026" w14:textId="5EDD0D04" w:rsidR="00862B0B" w:rsidRPr="00A67277" w:rsidRDefault="00862B0B" w:rsidP="00862B0B">
            <w:pPr>
              <w:pStyle w:val="Level3"/>
              <w:numPr>
                <w:ilvl w:val="2"/>
                <w:numId w:val="361"/>
              </w:numPr>
              <w:tabs>
                <w:tab w:val="clear" w:pos="1417"/>
                <w:tab w:val="num" w:pos="1298"/>
              </w:tabs>
              <w:spacing w:before="60" w:after="60"/>
              <w:ind w:left="1298" w:hanging="425"/>
              <w:rPr>
                <w:rFonts w:cs="Arial"/>
              </w:rPr>
            </w:pPr>
            <w:bookmarkStart w:id="277" w:name="_Toc501178080"/>
            <w:r w:rsidRPr="00A67277">
              <w:rPr>
                <w:rFonts w:cs="Arial"/>
              </w:rPr>
              <w:t>The IBE must develop and construct the Facility in accordance with the Implementation Schedule. The IBE shall promptly inform GCA of any material actual or anticipated deviations in progress against the dates set out in the Implementation Schedule.</w:t>
            </w:r>
            <w:bookmarkEnd w:id="277"/>
          </w:p>
        </w:tc>
        <w:tc>
          <w:tcPr>
            <w:tcW w:w="169" w:type="pct"/>
          </w:tcPr>
          <w:p w14:paraId="0C422A7D" w14:textId="77777777" w:rsidR="00862B0B" w:rsidRPr="00A67277" w:rsidRDefault="00862B0B" w:rsidP="00862B0B">
            <w:pPr>
              <w:spacing w:before="60" w:after="60"/>
              <w:rPr>
                <w:rFonts w:ascii="Arial" w:hAnsi="Arial" w:cs="Arial"/>
                <w:sz w:val="21"/>
                <w:szCs w:val="21"/>
              </w:rPr>
            </w:pPr>
          </w:p>
        </w:tc>
        <w:tc>
          <w:tcPr>
            <w:tcW w:w="2561" w:type="pct"/>
            <w:gridSpan w:val="2"/>
          </w:tcPr>
          <w:p w14:paraId="6164B83A" w14:textId="77777777" w:rsidR="00862B0B" w:rsidRPr="00A67277" w:rsidRDefault="00862B0B" w:rsidP="00862B0B">
            <w:pPr>
              <w:pStyle w:val="Level3"/>
              <w:numPr>
                <w:ilvl w:val="2"/>
                <w:numId w:val="363"/>
              </w:numPr>
              <w:tabs>
                <w:tab w:val="clear" w:pos="1417"/>
                <w:tab w:val="num" w:pos="1192"/>
              </w:tabs>
              <w:spacing w:before="60" w:after="60"/>
              <w:ind w:left="1192" w:hanging="426"/>
              <w:rPr>
                <w:rFonts w:cs="Arial"/>
              </w:rPr>
            </w:pPr>
            <w:bookmarkStart w:id="278" w:name="_Toc501178081"/>
            <w:r w:rsidRPr="00A67277">
              <w:rPr>
                <w:rFonts w:cs="Arial"/>
                <w:shd w:val="clear" w:color="auto" w:fill="FFFFFF"/>
              </w:rPr>
              <w:t xml:space="preserve">BUP harus mengembangkan dan membangun </w:t>
            </w:r>
            <w:r w:rsidRPr="00A67277">
              <w:rPr>
                <w:rFonts w:cs="Arial"/>
              </w:rPr>
              <w:t xml:space="preserve">Fasilitas </w:t>
            </w:r>
            <w:r w:rsidRPr="00A67277">
              <w:rPr>
                <w:rFonts w:cs="Arial"/>
                <w:shd w:val="clear" w:color="auto" w:fill="FFFFFF"/>
              </w:rPr>
              <w:t>sesuai dengan Jadwal Pelaksanaan. BUP segera menginformasikan PJPK tentang penyimpangan kemajuan pekerjaan material yang secara aktual terjadi atau yang diantisipasi akan terjadi sesuai dengan jadwal yang ditetapkan dalam Jadwal Pelaksanaan</w:t>
            </w:r>
            <w:r w:rsidRPr="00A67277">
              <w:rPr>
                <w:rFonts w:cs="Arial"/>
              </w:rPr>
              <w:t>.</w:t>
            </w:r>
            <w:bookmarkEnd w:id="278"/>
          </w:p>
        </w:tc>
      </w:tr>
      <w:tr w:rsidR="00862B0B" w:rsidRPr="00A67277" w14:paraId="7C3071E0" w14:textId="77777777" w:rsidTr="00862B0B">
        <w:tc>
          <w:tcPr>
            <w:tcW w:w="2270" w:type="pct"/>
          </w:tcPr>
          <w:p w14:paraId="43CC8F64" w14:textId="2DA28901" w:rsidR="00862B0B" w:rsidRPr="00A67277" w:rsidRDefault="00862B0B" w:rsidP="00862B0B">
            <w:pPr>
              <w:pStyle w:val="Level3"/>
              <w:numPr>
                <w:ilvl w:val="2"/>
                <w:numId w:val="361"/>
              </w:numPr>
              <w:tabs>
                <w:tab w:val="clear" w:pos="1417"/>
                <w:tab w:val="num" w:pos="1298"/>
              </w:tabs>
              <w:spacing w:before="60" w:after="60"/>
              <w:ind w:left="1298" w:hanging="425"/>
              <w:rPr>
                <w:rFonts w:cs="Arial"/>
              </w:rPr>
            </w:pPr>
            <w:r w:rsidRPr="00A67277">
              <w:rPr>
                <w:rFonts w:cs="Arial"/>
              </w:rPr>
              <w:t>The IBE must continuously monitor its compliance with paragraph (a) and must notify GCA immediately if it discovers that it is not in full compliance with paragraph (a) and otherwise in accordance with the terms set out in this Agreement.</w:t>
            </w:r>
          </w:p>
        </w:tc>
        <w:tc>
          <w:tcPr>
            <w:tcW w:w="169" w:type="pct"/>
          </w:tcPr>
          <w:p w14:paraId="19A5BBFC" w14:textId="77777777" w:rsidR="00862B0B" w:rsidRPr="00A67277" w:rsidRDefault="00862B0B" w:rsidP="00862B0B">
            <w:pPr>
              <w:spacing w:before="60" w:after="60"/>
              <w:rPr>
                <w:rFonts w:ascii="Arial" w:hAnsi="Arial" w:cs="Arial"/>
                <w:sz w:val="21"/>
                <w:szCs w:val="21"/>
              </w:rPr>
            </w:pPr>
          </w:p>
        </w:tc>
        <w:tc>
          <w:tcPr>
            <w:tcW w:w="2561" w:type="pct"/>
            <w:gridSpan w:val="2"/>
          </w:tcPr>
          <w:p w14:paraId="06295F0F" w14:textId="77777777" w:rsidR="00862B0B" w:rsidRPr="00A67277" w:rsidRDefault="00862B0B" w:rsidP="00862B0B">
            <w:pPr>
              <w:pStyle w:val="Level3"/>
              <w:numPr>
                <w:ilvl w:val="2"/>
                <w:numId w:val="365"/>
              </w:numPr>
              <w:tabs>
                <w:tab w:val="clear" w:pos="1417"/>
                <w:tab w:val="num" w:pos="1192"/>
              </w:tabs>
              <w:spacing w:before="60" w:after="60"/>
              <w:ind w:left="1192" w:hanging="426"/>
              <w:rPr>
                <w:rFonts w:cs="Arial"/>
              </w:rPr>
            </w:pPr>
            <w:r w:rsidRPr="00A67277">
              <w:rPr>
                <w:rFonts w:cs="Arial"/>
                <w:shd w:val="clear" w:color="auto" w:fill="FFFFFF"/>
              </w:rPr>
              <w:t>BUP harus terus memantau pemenuhan atas ketentuan paragraf (a) dan harus segera memberitahukan kepada PJPK jika menemukan hal-hal yang tidak sepenuhnya sesuai dengan paragraf (a) dan persyaratan lain yang ditetapkan dalam Perjanjian ini.</w:t>
            </w:r>
          </w:p>
        </w:tc>
      </w:tr>
      <w:tr w:rsidR="00862B0B" w:rsidRPr="00A67277" w14:paraId="0989826A" w14:textId="77777777" w:rsidTr="00862B0B">
        <w:tc>
          <w:tcPr>
            <w:tcW w:w="2270" w:type="pct"/>
          </w:tcPr>
          <w:p w14:paraId="698D9DC0" w14:textId="067A3C60" w:rsidR="00862B0B" w:rsidRPr="00A67277" w:rsidRDefault="00862B0B" w:rsidP="00862B0B">
            <w:pPr>
              <w:pStyle w:val="Level3"/>
              <w:numPr>
                <w:ilvl w:val="2"/>
                <w:numId w:val="361"/>
              </w:numPr>
              <w:tabs>
                <w:tab w:val="num" w:pos="1298"/>
              </w:tabs>
              <w:spacing w:before="60" w:after="60"/>
              <w:ind w:left="1298" w:hanging="425"/>
              <w:rPr>
                <w:rFonts w:cs="Arial"/>
              </w:rPr>
            </w:pPr>
            <w:bookmarkStart w:id="279" w:name="_Toc501178082"/>
            <w:r w:rsidRPr="00A67277">
              <w:rPr>
                <w:rFonts w:cs="Arial"/>
              </w:rPr>
              <w:t>Notwithstanding the provision of any design criteria or specifications, technical requirements or other information for the Facility by GCA to the IBE, or any review, approval (including any review or disapproval), recommendations or failure to make recommendations for changes by GCA:</w:t>
            </w:r>
            <w:bookmarkEnd w:id="279"/>
          </w:p>
        </w:tc>
        <w:tc>
          <w:tcPr>
            <w:tcW w:w="169" w:type="pct"/>
          </w:tcPr>
          <w:p w14:paraId="78E9C6DB" w14:textId="77777777" w:rsidR="00862B0B" w:rsidRPr="00A67277" w:rsidRDefault="00862B0B" w:rsidP="00862B0B">
            <w:pPr>
              <w:spacing w:before="60" w:after="60"/>
              <w:rPr>
                <w:rFonts w:ascii="Arial" w:hAnsi="Arial" w:cs="Arial"/>
                <w:sz w:val="21"/>
                <w:szCs w:val="21"/>
              </w:rPr>
            </w:pPr>
          </w:p>
        </w:tc>
        <w:tc>
          <w:tcPr>
            <w:tcW w:w="2561" w:type="pct"/>
            <w:gridSpan w:val="2"/>
          </w:tcPr>
          <w:p w14:paraId="3B7EC648" w14:textId="77777777" w:rsidR="00862B0B" w:rsidRPr="00A67277" w:rsidRDefault="00862B0B" w:rsidP="00862B0B">
            <w:pPr>
              <w:pStyle w:val="Level3"/>
              <w:numPr>
                <w:ilvl w:val="2"/>
                <w:numId w:val="366"/>
              </w:numPr>
              <w:tabs>
                <w:tab w:val="num" w:pos="1192"/>
              </w:tabs>
              <w:spacing w:before="60" w:after="60"/>
              <w:ind w:left="1192" w:hanging="426"/>
              <w:rPr>
                <w:rFonts w:cs="Arial"/>
              </w:rPr>
            </w:pPr>
            <w:r w:rsidRPr="00A67277">
              <w:rPr>
                <w:rFonts w:cs="Arial"/>
                <w:shd w:val="clear" w:color="auto" w:fill="FFFFFF"/>
              </w:rPr>
              <w:t xml:space="preserve">Walaupun telah disediakannya kriteria atau spesifikasi desain, persyaratan teknis atau informasi lainnya untuk </w:t>
            </w:r>
            <w:r w:rsidRPr="00A67277">
              <w:rPr>
                <w:rFonts w:cs="Arial"/>
              </w:rPr>
              <w:t xml:space="preserve">Fasilitas </w:t>
            </w:r>
            <w:r w:rsidRPr="00A67277">
              <w:rPr>
                <w:rFonts w:cs="Arial"/>
                <w:shd w:val="clear" w:color="auto" w:fill="FFFFFF"/>
              </w:rPr>
              <w:t>oleh PJPK kepada BUP, atau dilakukannya kajian, diberikannya persetujuan (termasuk tinjauan atau ketidaksetujuan), rekomendasi atau kegagalan untuk membuat rekomendasi untuk perubahan oleh PJPK:</w:t>
            </w:r>
          </w:p>
        </w:tc>
      </w:tr>
      <w:tr w:rsidR="00862B0B" w:rsidRPr="00A67277" w14:paraId="0815FC01" w14:textId="77777777" w:rsidTr="00862B0B">
        <w:tc>
          <w:tcPr>
            <w:tcW w:w="2270" w:type="pct"/>
          </w:tcPr>
          <w:p w14:paraId="7B5CD034" w14:textId="77777777" w:rsidR="00862B0B" w:rsidRPr="00A67277" w:rsidRDefault="00862B0B" w:rsidP="00862B0B">
            <w:pPr>
              <w:pStyle w:val="Level4"/>
              <w:numPr>
                <w:ilvl w:val="3"/>
                <w:numId w:val="396"/>
              </w:numPr>
              <w:spacing w:before="60" w:after="60"/>
              <w:ind w:left="1865" w:hanging="425"/>
              <w:rPr>
                <w:rFonts w:cs="Arial"/>
              </w:rPr>
            </w:pPr>
            <w:r w:rsidRPr="00A67277">
              <w:rPr>
                <w:rFonts w:cs="Arial"/>
              </w:rPr>
              <w:t>GCA will not be responsible for any such design specifications, technical requirements or other information that it provided to the IBE; and</w:t>
            </w:r>
          </w:p>
        </w:tc>
        <w:tc>
          <w:tcPr>
            <w:tcW w:w="169" w:type="pct"/>
          </w:tcPr>
          <w:p w14:paraId="32AC67D5" w14:textId="77777777" w:rsidR="00862B0B" w:rsidRPr="00A67277" w:rsidRDefault="00862B0B" w:rsidP="00862B0B">
            <w:pPr>
              <w:spacing w:before="60" w:after="60"/>
              <w:rPr>
                <w:rFonts w:ascii="Arial" w:hAnsi="Arial" w:cs="Arial"/>
                <w:sz w:val="21"/>
                <w:szCs w:val="21"/>
              </w:rPr>
            </w:pPr>
          </w:p>
        </w:tc>
        <w:tc>
          <w:tcPr>
            <w:tcW w:w="2561" w:type="pct"/>
            <w:gridSpan w:val="2"/>
          </w:tcPr>
          <w:p w14:paraId="1B18237C" w14:textId="77777777" w:rsidR="00862B0B" w:rsidRPr="00A67277" w:rsidRDefault="00862B0B" w:rsidP="00862B0B">
            <w:pPr>
              <w:pStyle w:val="Level4"/>
              <w:numPr>
                <w:ilvl w:val="0"/>
                <w:numId w:val="367"/>
              </w:numPr>
              <w:spacing w:before="60" w:after="60"/>
              <w:ind w:left="1759" w:hanging="426"/>
              <w:rPr>
                <w:rFonts w:cs="Arial"/>
              </w:rPr>
            </w:pPr>
            <w:r w:rsidRPr="00A67277">
              <w:rPr>
                <w:rFonts w:cs="Arial"/>
                <w:shd w:val="clear" w:color="auto" w:fill="FFFFFF"/>
              </w:rPr>
              <w:t>PJPK tidak bertanggung jawab atas spesifikasi desain, persyaratan teknis atau informasi lainnya yang diberikannya kepada BUP; dan</w:t>
            </w:r>
          </w:p>
        </w:tc>
      </w:tr>
      <w:tr w:rsidR="00862B0B" w:rsidRPr="00A67277" w14:paraId="20514AD5" w14:textId="77777777" w:rsidTr="00862B0B">
        <w:tc>
          <w:tcPr>
            <w:tcW w:w="2270" w:type="pct"/>
          </w:tcPr>
          <w:p w14:paraId="4E716F6E" w14:textId="77777777" w:rsidR="00862B0B" w:rsidRPr="00A67277" w:rsidRDefault="00862B0B" w:rsidP="00862B0B">
            <w:pPr>
              <w:pStyle w:val="Level4"/>
              <w:numPr>
                <w:ilvl w:val="3"/>
                <w:numId w:val="396"/>
              </w:numPr>
              <w:spacing w:before="60" w:after="60"/>
              <w:ind w:left="1865" w:hanging="425"/>
              <w:rPr>
                <w:rFonts w:cs="Arial"/>
              </w:rPr>
            </w:pPr>
            <w:r w:rsidRPr="00A67277">
              <w:rPr>
                <w:rFonts w:cs="Arial"/>
              </w:rPr>
              <w:t>without limiting the other provisions in this Agreement, the IBE remains liable for the design, development and construction of the Facility.</w:t>
            </w:r>
          </w:p>
        </w:tc>
        <w:tc>
          <w:tcPr>
            <w:tcW w:w="169" w:type="pct"/>
          </w:tcPr>
          <w:p w14:paraId="70CCAA39" w14:textId="77777777" w:rsidR="00862B0B" w:rsidRPr="00A67277" w:rsidRDefault="00862B0B" w:rsidP="00862B0B">
            <w:pPr>
              <w:spacing w:before="60" w:after="60"/>
              <w:rPr>
                <w:rFonts w:ascii="Arial" w:hAnsi="Arial" w:cs="Arial"/>
                <w:sz w:val="21"/>
                <w:szCs w:val="21"/>
              </w:rPr>
            </w:pPr>
          </w:p>
        </w:tc>
        <w:tc>
          <w:tcPr>
            <w:tcW w:w="2561" w:type="pct"/>
            <w:gridSpan w:val="2"/>
          </w:tcPr>
          <w:p w14:paraId="76AB2FAF" w14:textId="77777777" w:rsidR="00862B0B" w:rsidRPr="00A67277" w:rsidRDefault="00862B0B" w:rsidP="00862B0B">
            <w:pPr>
              <w:pStyle w:val="Level4"/>
              <w:numPr>
                <w:ilvl w:val="0"/>
                <w:numId w:val="367"/>
              </w:numPr>
              <w:spacing w:before="60" w:after="60"/>
              <w:ind w:left="1759" w:hanging="426"/>
              <w:rPr>
                <w:rFonts w:cs="Arial"/>
                <w:lang w:val="id-ID"/>
              </w:rPr>
            </w:pPr>
            <w:bookmarkStart w:id="280" w:name="_Toc501178083"/>
            <w:r w:rsidRPr="00A67277">
              <w:rPr>
                <w:rFonts w:cs="Arial"/>
                <w:lang w:val="en-US"/>
              </w:rPr>
              <w:t>t</w:t>
            </w:r>
            <w:r w:rsidRPr="00A67277">
              <w:rPr>
                <w:rFonts w:cs="Arial"/>
                <w:lang w:val="id-ID"/>
              </w:rPr>
              <w:t>anpa membatasi ketentuan lain dalam Perjanjian ini, BUP tetap bertanggung jawab atas disain</w:t>
            </w:r>
            <w:r w:rsidRPr="00A67277">
              <w:rPr>
                <w:rFonts w:cs="Arial"/>
                <w:lang w:val="en-US"/>
              </w:rPr>
              <w:t>, pengembangan</w:t>
            </w:r>
            <w:r w:rsidRPr="00A67277">
              <w:rPr>
                <w:rFonts w:cs="Arial"/>
                <w:lang w:val="id-ID"/>
              </w:rPr>
              <w:t xml:space="preserve"> dan konstruksi </w:t>
            </w:r>
            <w:r w:rsidRPr="00A67277">
              <w:rPr>
                <w:rFonts w:cs="Arial"/>
              </w:rPr>
              <w:t>Fasilitas</w:t>
            </w:r>
            <w:r w:rsidRPr="00A67277">
              <w:rPr>
                <w:rFonts w:cs="Arial"/>
                <w:lang w:val="id-ID"/>
              </w:rPr>
              <w:t>.</w:t>
            </w:r>
            <w:bookmarkEnd w:id="280"/>
          </w:p>
        </w:tc>
      </w:tr>
      <w:tr w:rsidR="00862B0B" w:rsidRPr="00A67277" w14:paraId="33EE7EC6" w14:textId="77777777" w:rsidTr="00862B0B">
        <w:tc>
          <w:tcPr>
            <w:tcW w:w="2270" w:type="pct"/>
            <w:shd w:val="clear" w:color="auto" w:fill="auto"/>
          </w:tcPr>
          <w:p w14:paraId="69B08366" w14:textId="03F9E4E0" w:rsidR="00862B0B" w:rsidRPr="00A67277" w:rsidRDefault="00862B0B" w:rsidP="00862B0B">
            <w:pPr>
              <w:pStyle w:val="Heading2"/>
              <w:keepLines w:val="0"/>
              <w:numPr>
                <w:ilvl w:val="1"/>
                <w:numId w:val="416"/>
              </w:numPr>
              <w:spacing w:before="60" w:after="60"/>
              <w:ind w:left="873" w:hanging="426"/>
              <w:outlineLvl w:val="1"/>
              <w:rPr>
                <w:rFonts w:ascii="Arial" w:hAnsi="Arial" w:cs="Arial"/>
                <w:b/>
                <w:color w:val="auto"/>
                <w:sz w:val="21"/>
                <w:szCs w:val="21"/>
              </w:rPr>
            </w:pPr>
            <w:bookmarkStart w:id="281" w:name="_Toc501178088"/>
            <w:r w:rsidRPr="00A67277">
              <w:rPr>
                <w:rFonts w:ascii="Arial" w:hAnsi="Arial" w:cs="Arial"/>
                <w:b/>
                <w:color w:val="auto"/>
                <w:sz w:val="21"/>
                <w:szCs w:val="21"/>
              </w:rPr>
              <w:t>Design</w:t>
            </w:r>
            <w:bookmarkEnd w:id="281"/>
            <w:r w:rsidRPr="00A67277">
              <w:rPr>
                <w:rFonts w:ascii="Arial" w:hAnsi="Arial" w:cs="Arial"/>
                <w:b/>
                <w:color w:val="auto"/>
                <w:sz w:val="21"/>
                <w:szCs w:val="21"/>
              </w:rPr>
              <w:t xml:space="preserve"> Document</w:t>
            </w:r>
          </w:p>
        </w:tc>
        <w:tc>
          <w:tcPr>
            <w:tcW w:w="169" w:type="pct"/>
            <w:shd w:val="clear" w:color="auto" w:fill="auto"/>
          </w:tcPr>
          <w:p w14:paraId="33ADDED6" w14:textId="77777777" w:rsidR="00862B0B" w:rsidRPr="00A67277" w:rsidRDefault="00862B0B" w:rsidP="00862B0B">
            <w:pPr>
              <w:spacing w:before="60" w:after="60"/>
              <w:rPr>
                <w:rFonts w:ascii="Arial" w:hAnsi="Arial" w:cs="Arial"/>
                <w:sz w:val="21"/>
                <w:szCs w:val="21"/>
              </w:rPr>
            </w:pPr>
          </w:p>
        </w:tc>
        <w:tc>
          <w:tcPr>
            <w:tcW w:w="2561" w:type="pct"/>
            <w:gridSpan w:val="2"/>
            <w:shd w:val="clear" w:color="auto" w:fill="auto"/>
          </w:tcPr>
          <w:p w14:paraId="304A781B" w14:textId="77777777" w:rsidR="00862B0B" w:rsidRPr="00A67277" w:rsidRDefault="00862B0B" w:rsidP="00862B0B">
            <w:pPr>
              <w:pStyle w:val="Heading2"/>
              <w:keepLines w:val="0"/>
              <w:numPr>
                <w:ilvl w:val="1"/>
                <w:numId w:val="360"/>
              </w:numPr>
              <w:spacing w:before="60" w:after="60"/>
              <w:ind w:left="882" w:hanging="162"/>
              <w:outlineLvl w:val="1"/>
              <w:rPr>
                <w:rFonts w:ascii="Arial" w:hAnsi="Arial" w:cs="Arial"/>
                <w:b/>
                <w:color w:val="auto"/>
                <w:sz w:val="21"/>
                <w:szCs w:val="21"/>
              </w:rPr>
            </w:pPr>
            <w:r w:rsidRPr="00A67277">
              <w:rPr>
                <w:rFonts w:ascii="Arial" w:hAnsi="Arial" w:cs="Arial"/>
                <w:b/>
                <w:color w:val="auto"/>
                <w:sz w:val="21"/>
                <w:szCs w:val="21"/>
              </w:rPr>
              <w:t>Dokumen Desain</w:t>
            </w:r>
          </w:p>
        </w:tc>
      </w:tr>
      <w:tr w:rsidR="00862B0B" w:rsidRPr="00A67277" w14:paraId="75C34BC1" w14:textId="77777777" w:rsidTr="00862B0B">
        <w:tc>
          <w:tcPr>
            <w:tcW w:w="2270" w:type="pct"/>
          </w:tcPr>
          <w:p w14:paraId="5F823909" w14:textId="6D935432"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bookmarkStart w:id="282" w:name="_Toc501178089"/>
            <w:r w:rsidRPr="00A67277">
              <w:rPr>
                <w:rFonts w:cs="Arial"/>
              </w:rPr>
              <w:t>The IBE shall commence the preparation of the final design of the Works (“</w:t>
            </w:r>
            <w:r w:rsidRPr="00A67277">
              <w:rPr>
                <w:rFonts w:cs="Arial"/>
                <w:b/>
              </w:rPr>
              <w:t>Design Document</w:t>
            </w:r>
            <w:r w:rsidRPr="00A67277">
              <w:rPr>
                <w:rFonts w:cs="Arial"/>
              </w:rPr>
              <w:t xml:space="preserve">”) immediately after the Signing Date. </w:t>
            </w:r>
            <w:bookmarkEnd w:id="282"/>
          </w:p>
        </w:tc>
        <w:tc>
          <w:tcPr>
            <w:tcW w:w="169" w:type="pct"/>
          </w:tcPr>
          <w:p w14:paraId="21D2F692" w14:textId="77777777" w:rsidR="00862B0B" w:rsidRPr="00A67277" w:rsidRDefault="00862B0B" w:rsidP="00862B0B">
            <w:pPr>
              <w:spacing w:before="60" w:after="60"/>
              <w:rPr>
                <w:rFonts w:ascii="Arial" w:hAnsi="Arial" w:cs="Arial"/>
                <w:sz w:val="21"/>
                <w:szCs w:val="21"/>
              </w:rPr>
            </w:pPr>
          </w:p>
        </w:tc>
        <w:tc>
          <w:tcPr>
            <w:tcW w:w="2561" w:type="pct"/>
            <w:gridSpan w:val="2"/>
          </w:tcPr>
          <w:p w14:paraId="354A12E3" w14:textId="77777777" w:rsidR="00862B0B" w:rsidRPr="00A67277" w:rsidRDefault="00862B0B" w:rsidP="00862B0B">
            <w:pPr>
              <w:pStyle w:val="Body2"/>
              <w:numPr>
                <w:ilvl w:val="0"/>
                <w:numId w:val="202"/>
              </w:numPr>
              <w:spacing w:before="60" w:after="60"/>
              <w:ind w:left="1260" w:hanging="425"/>
              <w:rPr>
                <w:rFonts w:cs="Arial"/>
              </w:rPr>
            </w:pPr>
            <w:r w:rsidRPr="00A67277">
              <w:rPr>
                <w:rFonts w:cs="Arial"/>
              </w:rPr>
              <w:t>BUP harus memulai persiapan rincian desain akhir dari Pekerjaan (“</w:t>
            </w:r>
            <w:r w:rsidRPr="00A67277">
              <w:rPr>
                <w:rFonts w:cs="Arial"/>
                <w:b/>
              </w:rPr>
              <w:t>Dokumen Desain”</w:t>
            </w:r>
            <w:r w:rsidRPr="00A67277">
              <w:rPr>
                <w:rFonts w:cs="Arial"/>
              </w:rPr>
              <w:t xml:space="preserve">) segera setelah Tanggal Penandatanganan. </w:t>
            </w:r>
          </w:p>
        </w:tc>
      </w:tr>
      <w:tr w:rsidR="00862B0B" w:rsidRPr="00A67277" w14:paraId="7579BAAE" w14:textId="77777777" w:rsidTr="00862B0B">
        <w:tc>
          <w:tcPr>
            <w:tcW w:w="2270" w:type="pct"/>
          </w:tcPr>
          <w:p w14:paraId="603E1B48" w14:textId="2AF78867"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r w:rsidRPr="00A67277">
              <w:rPr>
                <w:rFonts w:cs="Arial"/>
              </w:rPr>
              <w:t xml:space="preserve">The Design Document shall include: </w:t>
            </w:r>
          </w:p>
        </w:tc>
        <w:tc>
          <w:tcPr>
            <w:tcW w:w="169" w:type="pct"/>
          </w:tcPr>
          <w:p w14:paraId="49A96FD9" w14:textId="77777777" w:rsidR="00862B0B" w:rsidRPr="00A67277" w:rsidRDefault="00862B0B" w:rsidP="00862B0B">
            <w:pPr>
              <w:spacing w:before="60" w:after="60"/>
              <w:rPr>
                <w:rFonts w:ascii="Arial" w:hAnsi="Arial" w:cs="Arial"/>
                <w:sz w:val="21"/>
                <w:szCs w:val="21"/>
              </w:rPr>
            </w:pPr>
          </w:p>
        </w:tc>
        <w:tc>
          <w:tcPr>
            <w:tcW w:w="2561" w:type="pct"/>
            <w:gridSpan w:val="2"/>
          </w:tcPr>
          <w:p w14:paraId="0434B7BF" w14:textId="77777777" w:rsidR="00862B0B" w:rsidRPr="00A67277" w:rsidRDefault="00862B0B" w:rsidP="00862B0B">
            <w:pPr>
              <w:pStyle w:val="Body2"/>
              <w:numPr>
                <w:ilvl w:val="0"/>
                <w:numId w:val="202"/>
              </w:numPr>
              <w:spacing w:before="60" w:after="60"/>
              <w:ind w:left="1260" w:hanging="425"/>
              <w:rPr>
                <w:rFonts w:cs="Arial"/>
              </w:rPr>
            </w:pPr>
            <w:r w:rsidRPr="00A67277">
              <w:rPr>
                <w:rFonts w:cs="Arial"/>
              </w:rPr>
              <w:t>Dokumen Desain meliputi:</w:t>
            </w:r>
          </w:p>
        </w:tc>
      </w:tr>
      <w:tr w:rsidR="00862B0B" w:rsidRPr="00A67277" w14:paraId="286EC072" w14:textId="77777777" w:rsidTr="00862B0B">
        <w:tc>
          <w:tcPr>
            <w:tcW w:w="2270" w:type="pct"/>
          </w:tcPr>
          <w:p w14:paraId="59FB8A10"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any and all final technical specifications which will be attached to any procurement contract entered into by the IBE related to the delivery of equipment or systems that constitute elements of the Facility;</w:t>
            </w:r>
          </w:p>
        </w:tc>
        <w:tc>
          <w:tcPr>
            <w:tcW w:w="169" w:type="pct"/>
          </w:tcPr>
          <w:p w14:paraId="21EC7489" w14:textId="77777777" w:rsidR="00862B0B" w:rsidRPr="00A67277" w:rsidRDefault="00862B0B" w:rsidP="00862B0B">
            <w:pPr>
              <w:spacing w:before="60" w:after="60"/>
              <w:rPr>
                <w:rFonts w:ascii="Arial" w:hAnsi="Arial" w:cs="Arial"/>
                <w:sz w:val="21"/>
                <w:szCs w:val="21"/>
              </w:rPr>
            </w:pPr>
          </w:p>
        </w:tc>
        <w:tc>
          <w:tcPr>
            <w:tcW w:w="2561" w:type="pct"/>
            <w:gridSpan w:val="2"/>
          </w:tcPr>
          <w:p w14:paraId="073F74C1"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setiap dan semua spesifikasi teknis final yang akan dilampirkan pada setiap kontrak pengadaan yang ditandatangani oleh BUP terkait dengan penyediaan peralatan, sistem atau fasilitas yang merupakan elemen-elemen dari Fasilitas;</w:t>
            </w:r>
          </w:p>
        </w:tc>
      </w:tr>
      <w:tr w:rsidR="00862B0B" w:rsidRPr="00A67277" w14:paraId="0370687B" w14:textId="77777777" w:rsidTr="00862B0B">
        <w:tc>
          <w:tcPr>
            <w:tcW w:w="2270" w:type="pct"/>
          </w:tcPr>
          <w:p w14:paraId="3BD98EF6"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the detailed design data package and information on the Facility, including technical design, structure and civil and electrical work for the Facility;</w:t>
            </w:r>
          </w:p>
        </w:tc>
        <w:tc>
          <w:tcPr>
            <w:tcW w:w="169" w:type="pct"/>
          </w:tcPr>
          <w:p w14:paraId="244E3A07" w14:textId="77777777" w:rsidR="00862B0B" w:rsidRPr="00A67277" w:rsidRDefault="00862B0B" w:rsidP="00862B0B">
            <w:pPr>
              <w:spacing w:before="60" w:after="60"/>
              <w:rPr>
                <w:rFonts w:ascii="Arial" w:hAnsi="Arial" w:cs="Arial"/>
                <w:sz w:val="21"/>
                <w:szCs w:val="21"/>
              </w:rPr>
            </w:pPr>
          </w:p>
        </w:tc>
        <w:tc>
          <w:tcPr>
            <w:tcW w:w="2561" w:type="pct"/>
            <w:gridSpan w:val="2"/>
          </w:tcPr>
          <w:p w14:paraId="6814DD08"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paket data desain terperinci dan informasi tentang Fasilitas, termasuk desain teknis, struktur, dan pekerjaan sipil dan listrik untuk Fasilitas;</w:t>
            </w:r>
          </w:p>
        </w:tc>
      </w:tr>
      <w:tr w:rsidR="00862B0B" w:rsidRPr="00A67277" w14:paraId="599A3F6F" w14:textId="77777777" w:rsidTr="00862B0B">
        <w:tc>
          <w:tcPr>
            <w:tcW w:w="2270" w:type="pct"/>
          </w:tcPr>
          <w:p w14:paraId="0602F172"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 xml:space="preserve">The list of types, volume and distribution of materials at Facility locations including their reserves and storage locations; </w:t>
            </w:r>
          </w:p>
        </w:tc>
        <w:tc>
          <w:tcPr>
            <w:tcW w:w="169" w:type="pct"/>
          </w:tcPr>
          <w:p w14:paraId="39F55584" w14:textId="77777777" w:rsidR="00862B0B" w:rsidRPr="00A67277" w:rsidRDefault="00862B0B" w:rsidP="00862B0B">
            <w:pPr>
              <w:spacing w:before="60" w:after="60"/>
              <w:rPr>
                <w:rFonts w:ascii="Arial" w:hAnsi="Arial" w:cs="Arial"/>
                <w:sz w:val="21"/>
                <w:szCs w:val="21"/>
              </w:rPr>
            </w:pPr>
          </w:p>
        </w:tc>
        <w:tc>
          <w:tcPr>
            <w:tcW w:w="2561" w:type="pct"/>
            <w:gridSpan w:val="2"/>
          </w:tcPr>
          <w:p w14:paraId="13DE7E26"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 xml:space="preserve">daftar jenis, volume dan distribusi material di lokasi Fasilitas termasuk cadangan dan lokasi penyimpanannya; </w:t>
            </w:r>
          </w:p>
        </w:tc>
      </w:tr>
      <w:tr w:rsidR="00862B0B" w:rsidRPr="00A67277" w14:paraId="129DEABE" w14:textId="77777777" w:rsidTr="00862B0B">
        <w:tc>
          <w:tcPr>
            <w:tcW w:w="2270" w:type="pct"/>
          </w:tcPr>
          <w:p w14:paraId="0D80780B"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the extent of the surface of the Site which it is reasonably necessary for the IBE to occupy in connection with any part of the Works;</w:t>
            </w:r>
          </w:p>
        </w:tc>
        <w:tc>
          <w:tcPr>
            <w:tcW w:w="169" w:type="pct"/>
          </w:tcPr>
          <w:p w14:paraId="1489F4FF" w14:textId="77777777" w:rsidR="00862B0B" w:rsidRPr="00A67277" w:rsidRDefault="00862B0B" w:rsidP="00862B0B">
            <w:pPr>
              <w:spacing w:before="60" w:after="60"/>
              <w:rPr>
                <w:rFonts w:ascii="Arial" w:hAnsi="Arial" w:cs="Arial"/>
                <w:sz w:val="21"/>
                <w:szCs w:val="21"/>
              </w:rPr>
            </w:pPr>
          </w:p>
        </w:tc>
        <w:tc>
          <w:tcPr>
            <w:tcW w:w="2561" w:type="pct"/>
            <w:gridSpan w:val="2"/>
          </w:tcPr>
          <w:p w14:paraId="0B889A8E"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luasan permukaan Lokasi yang diperlukan oleh BUP untuk digunakan sehubungan dengan setiap bagian Pekerjaan;</w:t>
            </w:r>
          </w:p>
        </w:tc>
      </w:tr>
      <w:tr w:rsidR="00862B0B" w:rsidRPr="00A67277" w14:paraId="3A2A3452" w14:textId="77777777" w:rsidTr="00862B0B">
        <w:tc>
          <w:tcPr>
            <w:tcW w:w="2270" w:type="pct"/>
          </w:tcPr>
          <w:p w14:paraId="4F43347E"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the nature and time period of the interference which may be caused to traffic by the carrying out of each part of the Works, including reasonable measure to mitigate any of such interference;</w:t>
            </w:r>
          </w:p>
        </w:tc>
        <w:tc>
          <w:tcPr>
            <w:tcW w:w="169" w:type="pct"/>
          </w:tcPr>
          <w:p w14:paraId="6041ABD3" w14:textId="77777777" w:rsidR="00862B0B" w:rsidRPr="00A67277" w:rsidRDefault="00862B0B" w:rsidP="00862B0B">
            <w:pPr>
              <w:spacing w:before="60" w:after="60"/>
              <w:rPr>
                <w:rFonts w:ascii="Arial" w:hAnsi="Arial" w:cs="Arial"/>
                <w:sz w:val="21"/>
                <w:szCs w:val="21"/>
              </w:rPr>
            </w:pPr>
          </w:p>
        </w:tc>
        <w:tc>
          <w:tcPr>
            <w:tcW w:w="2561" w:type="pct"/>
            <w:gridSpan w:val="2"/>
          </w:tcPr>
          <w:p w14:paraId="5269A6A0"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sifat dan jangka waktu gangguan yang mungkin terjadi terhadap lalu lintas dalam melakukan setiap bagian Pekerjaan, termasuk langkah-langkah yang wajar untuk mengurangi gangguan tersebut;</w:t>
            </w:r>
          </w:p>
        </w:tc>
      </w:tr>
      <w:tr w:rsidR="00862B0B" w:rsidRPr="00A67277" w14:paraId="4AB29624" w14:textId="77777777" w:rsidTr="00862B0B">
        <w:tc>
          <w:tcPr>
            <w:tcW w:w="2270" w:type="pct"/>
          </w:tcPr>
          <w:p w14:paraId="002612B9" w14:textId="40C4B342"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the detailed sequence and timing of the Works;</w:t>
            </w:r>
          </w:p>
        </w:tc>
        <w:tc>
          <w:tcPr>
            <w:tcW w:w="169" w:type="pct"/>
          </w:tcPr>
          <w:p w14:paraId="4FA8EA05" w14:textId="77777777" w:rsidR="00862B0B" w:rsidRPr="00A67277" w:rsidRDefault="00862B0B" w:rsidP="00862B0B">
            <w:pPr>
              <w:spacing w:before="60" w:after="60"/>
              <w:rPr>
                <w:rFonts w:ascii="Arial" w:hAnsi="Arial" w:cs="Arial"/>
                <w:sz w:val="21"/>
                <w:szCs w:val="21"/>
              </w:rPr>
            </w:pPr>
          </w:p>
        </w:tc>
        <w:tc>
          <w:tcPr>
            <w:tcW w:w="2561" w:type="pct"/>
            <w:gridSpan w:val="2"/>
          </w:tcPr>
          <w:p w14:paraId="1E269F1B"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rangkaian rincian dan waktu dari Pekerjaan;</w:t>
            </w:r>
          </w:p>
        </w:tc>
      </w:tr>
      <w:tr w:rsidR="00862B0B" w:rsidRPr="00A67277" w14:paraId="67E1216E" w14:textId="77777777" w:rsidTr="00862B0B">
        <w:tc>
          <w:tcPr>
            <w:tcW w:w="2270" w:type="pct"/>
          </w:tcPr>
          <w:p w14:paraId="5A747B24" w14:textId="61179D18" w:rsidR="00862B0B" w:rsidRPr="00A67277" w:rsidRDefault="00862B0B" w:rsidP="00862B0B">
            <w:pPr>
              <w:pStyle w:val="Level3"/>
              <w:numPr>
                <w:ilvl w:val="3"/>
                <w:numId w:val="368"/>
              </w:numPr>
              <w:tabs>
                <w:tab w:val="clear" w:pos="2126"/>
              </w:tabs>
              <w:spacing w:before="60" w:after="60"/>
              <w:ind w:left="1843" w:hanging="567"/>
              <w:rPr>
                <w:rFonts w:cs="Arial"/>
              </w:rPr>
            </w:pPr>
            <w:r w:rsidRPr="00302474">
              <w:rPr>
                <w:rFonts w:cs="Arial"/>
              </w:rPr>
              <w:t>Schedule of Partial Trial plans during the Construction Period</w:t>
            </w:r>
            <w:r>
              <w:rPr>
                <w:rFonts w:cs="Arial"/>
              </w:rPr>
              <w:t>; and</w:t>
            </w:r>
          </w:p>
        </w:tc>
        <w:tc>
          <w:tcPr>
            <w:tcW w:w="169" w:type="pct"/>
          </w:tcPr>
          <w:p w14:paraId="41A50C0A" w14:textId="77777777" w:rsidR="00862B0B" w:rsidRPr="00A67277" w:rsidRDefault="00862B0B" w:rsidP="00862B0B">
            <w:pPr>
              <w:spacing w:before="60" w:after="60"/>
              <w:rPr>
                <w:rFonts w:ascii="Arial" w:hAnsi="Arial" w:cs="Arial"/>
                <w:sz w:val="21"/>
                <w:szCs w:val="21"/>
              </w:rPr>
            </w:pPr>
          </w:p>
        </w:tc>
        <w:tc>
          <w:tcPr>
            <w:tcW w:w="2561" w:type="pct"/>
            <w:gridSpan w:val="2"/>
          </w:tcPr>
          <w:p w14:paraId="73CBAE0D" w14:textId="21032141" w:rsidR="00862B0B" w:rsidRPr="00A67277" w:rsidRDefault="00862B0B" w:rsidP="00862B0B">
            <w:pPr>
              <w:pStyle w:val="Body2"/>
              <w:numPr>
                <w:ilvl w:val="1"/>
                <w:numId w:val="202"/>
              </w:numPr>
              <w:spacing w:before="60" w:after="60"/>
              <w:ind w:left="1733" w:hanging="502"/>
              <w:rPr>
                <w:rFonts w:cs="Arial"/>
              </w:rPr>
            </w:pPr>
            <w:r>
              <w:rPr>
                <w:rFonts w:cs="Arial"/>
              </w:rPr>
              <w:t>Rencana jadwal uji coba parsial selama Periode Konstruksi; dan</w:t>
            </w:r>
          </w:p>
        </w:tc>
      </w:tr>
      <w:tr w:rsidR="00862B0B" w:rsidRPr="00A67277" w14:paraId="109AFC15" w14:textId="77777777" w:rsidTr="00862B0B">
        <w:tc>
          <w:tcPr>
            <w:tcW w:w="2270" w:type="pct"/>
          </w:tcPr>
          <w:p w14:paraId="4036B9EC" w14:textId="77777777" w:rsidR="00862B0B" w:rsidRPr="00A67277" w:rsidRDefault="00862B0B" w:rsidP="00862B0B">
            <w:pPr>
              <w:pStyle w:val="Level3"/>
              <w:numPr>
                <w:ilvl w:val="3"/>
                <w:numId w:val="368"/>
              </w:numPr>
              <w:tabs>
                <w:tab w:val="clear" w:pos="2126"/>
              </w:tabs>
              <w:spacing w:before="60" w:after="60"/>
              <w:ind w:left="1843" w:hanging="567"/>
              <w:rPr>
                <w:rFonts w:cs="Arial"/>
              </w:rPr>
            </w:pPr>
            <w:r w:rsidRPr="00A67277">
              <w:rPr>
                <w:rFonts w:cs="Arial"/>
              </w:rPr>
              <w:t>the Implementation Schedule showing sequential and/or concurrent works and dependencies to achieve each of the Milestone Dates.</w:t>
            </w:r>
          </w:p>
        </w:tc>
        <w:tc>
          <w:tcPr>
            <w:tcW w:w="169" w:type="pct"/>
          </w:tcPr>
          <w:p w14:paraId="0E875A38" w14:textId="77777777" w:rsidR="00862B0B" w:rsidRPr="00A67277" w:rsidRDefault="00862B0B" w:rsidP="00862B0B">
            <w:pPr>
              <w:spacing w:before="60" w:after="60"/>
              <w:rPr>
                <w:rFonts w:ascii="Arial" w:hAnsi="Arial" w:cs="Arial"/>
                <w:sz w:val="21"/>
                <w:szCs w:val="21"/>
              </w:rPr>
            </w:pPr>
          </w:p>
        </w:tc>
        <w:tc>
          <w:tcPr>
            <w:tcW w:w="2561" w:type="pct"/>
            <w:gridSpan w:val="2"/>
          </w:tcPr>
          <w:p w14:paraId="799CD4C1" w14:textId="77777777" w:rsidR="00862B0B" w:rsidRPr="00A67277" w:rsidRDefault="00862B0B" w:rsidP="00862B0B">
            <w:pPr>
              <w:pStyle w:val="Body2"/>
              <w:numPr>
                <w:ilvl w:val="1"/>
                <w:numId w:val="202"/>
              </w:numPr>
              <w:spacing w:before="60" w:after="60"/>
              <w:ind w:left="1733" w:hanging="502"/>
              <w:rPr>
                <w:rFonts w:cs="Arial"/>
              </w:rPr>
            </w:pPr>
            <w:r w:rsidRPr="00A67277">
              <w:rPr>
                <w:rFonts w:cs="Arial"/>
              </w:rPr>
              <w:t>Jadwal Pelaksanaan yang menunjukan pekerjaan sekuensial dan/atau pekerjaan-pekerjaan yang bersamaan serta hal-hal yang bergantung terhadapnya untuk mencapai masing-masing Tanggal Pencapaian.</w:t>
            </w:r>
          </w:p>
        </w:tc>
      </w:tr>
      <w:tr w:rsidR="00862B0B" w:rsidRPr="00A67277" w14:paraId="60C72CC2" w14:textId="77777777" w:rsidTr="00862B0B">
        <w:tc>
          <w:tcPr>
            <w:tcW w:w="2270" w:type="pct"/>
          </w:tcPr>
          <w:p w14:paraId="24C570CC" w14:textId="5635E48A"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r w:rsidRPr="00A67277">
              <w:rPr>
                <w:rFonts w:cs="Arial"/>
              </w:rPr>
              <w:t xml:space="preserve">The Design Document must be completed and submitted to the GCA and to </w:t>
            </w:r>
            <w:r>
              <w:rPr>
                <w:rFonts w:cs="Arial"/>
              </w:rPr>
              <w:t xml:space="preserve">the </w:t>
            </w:r>
            <w:r w:rsidRPr="00A67277">
              <w:rPr>
                <w:rFonts w:cs="Arial"/>
              </w:rPr>
              <w:t>Independent Supervisory Consultant within [</w:t>
            </w:r>
            <w:r w:rsidRPr="00A67277">
              <w:rPr>
                <w:rFonts w:cs="Arial"/>
              </w:rPr>
              <w:fldChar w:fldCharType="begin"/>
            </w:r>
            <w:r w:rsidRPr="00A67277">
              <w:rPr>
                <w:rFonts w:cs="Arial"/>
              </w:rPr>
              <w:instrText xml:space="preserve"> SYMBOL 108\f wingdings \s11\h \* MERGEFORMAT </w:instrText>
            </w:r>
            <w:r w:rsidRPr="00A67277">
              <w:rPr>
                <w:rFonts w:cs="Arial"/>
              </w:rPr>
              <w:fldChar w:fldCharType="end"/>
            </w:r>
            <w:r w:rsidRPr="00A67277">
              <w:rPr>
                <w:rFonts w:cs="Arial"/>
              </w:rPr>
              <w:t>] after the Signing Date.</w:t>
            </w:r>
          </w:p>
        </w:tc>
        <w:tc>
          <w:tcPr>
            <w:tcW w:w="169" w:type="pct"/>
          </w:tcPr>
          <w:p w14:paraId="4584FA4E" w14:textId="77777777" w:rsidR="00862B0B" w:rsidRPr="00A67277" w:rsidRDefault="00862B0B" w:rsidP="00862B0B">
            <w:pPr>
              <w:spacing w:before="60" w:after="60"/>
              <w:rPr>
                <w:rFonts w:ascii="Arial" w:hAnsi="Arial" w:cs="Arial"/>
                <w:sz w:val="21"/>
                <w:szCs w:val="21"/>
              </w:rPr>
            </w:pPr>
          </w:p>
        </w:tc>
        <w:tc>
          <w:tcPr>
            <w:tcW w:w="2561" w:type="pct"/>
            <w:gridSpan w:val="2"/>
          </w:tcPr>
          <w:p w14:paraId="19836505" w14:textId="77777777" w:rsidR="00862B0B" w:rsidRPr="00A67277" w:rsidRDefault="00862B0B" w:rsidP="00862B0B">
            <w:pPr>
              <w:pStyle w:val="Body2"/>
              <w:numPr>
                <w:ilvl w:val="0"/>
                <w:numId w:val="202"/>
              </w:numPr>
              <w:spacing w:before="60" w:after="60"/>
              <w:ind w:left="1260" w:hanging="425"/>
              <w:rPr>
                <w:rFonts w:cs="Arial"/>
              </w:rPr>
            </w:pPr>
            <w:r w:rsidRPr="00A67277">
              <w:rPr>
                <w:rFonts w:cs="Arial"/>
              </w:rPr>
              <w:t>Dokumen Desain harus diselesaikan dan disampaikan kepada PJPK</w:t>
            </w:r>
            <w:r w:rsidRPr="00A67277">
              <w:rPr>
                <w:rFonts w:cs="Arial"/>
                <w:lang w:val="id-ID"/>
              </w:rPr>
              <w:t xml:space="preserve"> dan kepada Konsultan Pengawas Independen </w:t>
            </w:r>
            <w:r w:rsidRPr="00A67277">
              <w:rPr>
                <w:rFonts w:cs="Arial"/>
              </w:rPr>
              <w:t>dalam    [</w:t>
            </w:r>
            <w:r w:rsidRPr="00A67277">
              <w:rPr>
                <w:rFonts w:cs="Arial"/>
              </w:rPr>
              <w:fldChar w:fldCharType="begin"/>
            </w:r>
            <w:r w:rsidRPr="00A67277">
              <w:rPr>
                <w:rFonts w:cs="Arial"/>
              </w:rPr>
              <w:instrText xml:space="preserve"> SYMBOL 108\f wingdings \s11\h \* MERGEFORMAT </w:instrText>
            </w:r>
            <w:r w:rsidRPr="00A67277">
              <w:rPr>
                <w:rFonts w:cs="Arial"/>
              </w:rPr>
              <w:fldChar w:fldCharType="end"/>
            </w:r>
            <w:r w:rsidRPr="00A67277">
              <w:rPr>
                <w:rFonts w:cs="Arial"/>
              </w:rPr>
              <w:t>] setelah Tanggal Penandatanganan.</w:t>
            </w:r>
          </w:p>
        </w:tc>
      </w:tr>
      <w:tr w:rsidR="00862B0B" w:rsidRPr="00A67277" w14:paraId="66622D9F" w14:textId="77777777" w:rsidTr="00862B0B">
        <w:tc>
          <w:tcPr>
            <w:tcW w:w="2270" w:type="pct"/>
          </w:tcPr>
          <w:p w14:paraId="540CF44E" w14:textId="61D41CAC"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bookmarkStart w:id="283" w:name="_Toc501178090"/>
            <w:r w:rsidRPr="00A67277">
              <w:rPr>
                <w:rFonts w:cs="Arial"/>
              </w:rPr>
              <w:t xml:space="preserve">Independent Supervisory Consultant will have thirty (30) Days to review the Design Document after the relevant Design Document is received from the IBE. The IBE must provide explanation to </w:t>
            </w:r>
            <w:r>
              <w:rPr>
                <w:rFonts w:cs="Arial"/>
              </w:rPr>
              <w:t xml:space="preserve">the </w:t>
            </w:r>
            <w:r w:rsidRPr="00A67277">
              <w:rPr>
                <w:rFonts w:cs="Arial"/>
              </w:rPr>
              <w:t xml:space="preserve">Independent Supervisory Consultant on any queries, comments or responses from </w:t>
            </w:r>
            <w:r>
              <w:rPr>
                <w:rFonts w:cs="Arial"/>
              </w:rPr>
              <w:t xml:space="preserve">the </w:t>
            </w:r>
            <w:r w:rsidRPr="00A67277">
              <w:rPr>
                <w:rFonts w:cs="Arial"/>
              </w:rPr>
              <w:t xml:space="preserve">Independent Supervisory Consultant on the Desain Document. </w:t>
            </w:r>
            <w:bookmarkEnd w:id="283"/>
          </w:p>
        </w:tc>
        <w:tc>
          <w:tcPr>
            <w:tcW w:w="169" w:type="pct"/>
          </w:tcPr>
          <w:p w14:paraId="10052869" w14:textId="77777777" w:rsidR="00862B0B" w:rsidRPr="00A67277" w:rsidRDefault="00862B0B" w:rsidP="00862B0B">
            <w:pPr>
              <w:spacing w:before="60" w:after="60"/>
              <w:rPr>
                <w:rFonts w:ascii="Arial" w:hAnsi="Arial" w:cs="Arial"/>
                <w:sz w:val="21"/>
                <w:szCs w:val="21"/>
              </w:rPr>
            </w:pPr>
          </w:p>
        </w:tc>
        <w:tc>
          <w:tcPr>
            <w:tcW w:w="2561" w:type="pct"/>
            <w:gridSpan w:val="2"/>
          </w:tcPr>
          <w:p w14:paraId="30EBEFFB" w14:textId="77777777" w:rsidR="00862B0B" w:rsidRPr="00A67277" w:rsidRDefault="00862B0B" w:rsidP="00862B0B">
            <w:pPr>
              <w:pStyle w:val="Body2"/>
              <w:numPr>
                <w:ilvl w:val="0"/>
                <w:numId w:val="202"/>
              </w:numPr>
              <w:spacing w:before="60" w:after="60"/>
              <w:ind w:left="1260" w:hanging="425"/>
              <w:rPr>
                <w:rFonts w:cs="Arial"/>
              </w:rPr>
            </w:pPr>
            <w:r w:rsidRPr="00A67277">
              <w:rPr>
                <w:rFonts w:cs="Arial"/>
                <w:lang w:val="id-ID"/>
              </w:rPr>
              <w:t xml:space="preserve">Konsultan Pengawas Independen </w:t>
            </w:r>
            <w:r w:rsidRPr="00A67277">
              <w:rPr>
                <w:rFonts w:cs="Arial"/>
              </w:rPr>
              <w:t xml:space="preserve">memiliki jangka waktu tiga puluh (30) Hari untuk meninjau Dokumen Desain setelah Dokumen Desain diterima dari BUP. BUP harus memberikan penjelasan kepada </w:t>
            </w:r>
            <w:r w:rsidRPr="00A67277">
              <w:rPr>
                <w:rFonts w:cs="Arial"/>
                <w:lang w:val="id-ID"/>
              </w:rPr>
              <w:t xml:space="preserve">Konsultan Pengawas Independen </w:t>
            </w:r>
            <w:r w:rsidRPr="00A67277">
              <w:rPr>
                <w:rFonts w:cs="Arial"/>
              </w:rPr>
              <w:t xml:space="preserve">terkait segala pertanyaan, komentar atau tangapan dari </w:t>
            </w:r>
            <w:r w:rsidRPr="00A67277">
              <w:rPr>
                <w:rFonts w:cs="Arial"/>
                <w:lang w:val="id-ID"/>
              </w:rPr>
              <w:t xml:space="preserve">Konsultan Pengawas Independen </w:t>
            </w:r>
            <w:r w:rsidRPr="00A67277">
              <w:rPr>
                <w:rFonts w:cs="Arial"/>
              </w:rPr>
              <w:t xml:space="preserve"> terhadap Dokumen Desain. </w:t>
            </w:r>
          </w:p>
        </w:tc>
      </w:tr>
      <w:tr w:rsidR="00862B0B" w:rsidRPr="00A67277" w14:paraId="45FC4EBF" w14:textId="77777777" w:rsidTr="00862B0B">
        <w:tc>
          <w:tcPr>
            <w:tcW w:w="2270" w:type="pct"/>
          </w:tcPr>
          <w:p w14:paraId="5F7D2ADD" w14:textId="7F51A207"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bookmarkStart w:id="284" w:name="_Toc501178091"/>
            <w:r w:rsidRPr="00A67277">
              <w:rPr>
                <w:rFonts w:cs="Arial"/>
              </w:rPr>
              <w:t xml:space="preserve">If </w:t>
            </w:r>
            <w:r>
              <w:rPr>
                <w:rFonts w:cs="Arial"/>
              </w:rPr>
              <w:t xml:space="preserve">the </w:t>
            </w:r>
            <w:r w:rsidRPr="00A67277">
              <w:rPr>
                <w:rFonts w:cs="Arial"/>
              </w:rPr>
              <w:t xml:space="preserve">Independent Supervisory Consultant fails to provide any comments </w:t>
            </w:r>
            <w:r>
              <w:rPr>
                <w:rFonts w:cs="Arial"/>
              </w:rPr>
              <w:t>on</w:t>
            </w:r>
            <w:r w:rsidRPr="00A67277">
              <w:rPr>
                <w:rFonts w:cs="Arial"/>
              </w:rPr>
              <w:t xml:space="preserve"> the Design Document within the period referred to in paragraph (b), the Independent Supervisory Consultant is considered to have reviewed and has no objections on the Design Document submitted by the IBE.</w:t>
            </w:r>
            <w:bookmarkEnd w:id="284"/>
          </w:p>
        </w:tc>
        <w:tc>
          <w:tcPr>
            <w:tcW w:w="169" w:type="pct"/>
          </w:tcPr>
          <w:p w14:paraId="5FE25506" w14:textId="77777777" w:rsidR="00862B0B" w:rsidRPr="00A67277" w:rsidRDefault="00862B0B" w:rsidP="00862B0B">
            <w:pPr>
              <w:spacing w:before="60" w:after="60"/>
              <w:rPr>
                <w:rFonts w:ascii="Arial" w:hAnsi="Arial" w:cs="Arial"/>
                <w:sz w:val="21"/>
                <w:szCs w:val="21"/>
              </w:rPr>
            </w:pPr>
          </w:p>
        </w:tc>
        <w:tc>
          <w:tcPr>
            <w:tcW w:w="2561" w:type="pct"/>
            <w:gridSpan w:val="2"/>
          </w:tcPr>
          <w:p w14:paraId="08E4A0DF" w14:textId="77777777" w:rsidR="00862B0B" w:rsidRPr="00A67277" w:rsidRDefault="00862B0B" w:rsidP="00862B0B">
            <w:pPr>
              <w:pStyle w:val="Body2"/>
              <w:numPr>
                <w:ilvl w:val="0"/>
                <w:numId w:val="202"/>
              </w:numPr>
              <w:spacing w:before="60" w:after="60"/>
              <w:ind w:left="1260" w:hanging="425"/>
              <w:rPr>
                <w:rFonts w:cs="Arial"/>
              </w:rPr>
            </w:pPr>
            <w:r w:rsidRPr="00A67277">
              <w:rPr>
                <w:rFonts w:cs="Arial"/>
              </w:rPr>
              <w:t xml:space="preserve">Apabila </w:t>
            </w:r>
            <w:r w:rsidRPr="00A67277">
              <w:rPr>
                <w:rFonts w:cs="Arial"/>
                <w:lang w:val="id-ID"/>
              </w:rPr>
              <w:t xml:space="preserve">Konsultan Pengawas Independen </w:t>
            </w:r>
            <w:r w:rsidRPr="00A67277">
              <w:rPr>
                <w:rFonts w:cs="Arial"/>
              </w:rPr>
              <w:t xml:space="preserve"> gagal memberikan komentar terhadap Dokumen Desain dalam jangka waktu sesuai dalam paragraf (b), </w:t>
            </w:r>
            <w:r w:rsidRPr="00A67277">
              <w:rPr>
                <w:rFonts w:cs="Arial"/>
                <w:lang w:val="id-ID"/>
              </w:rPr>
              <w:t>Konsultan Pengawas Independen</w:t>
            </w:r>
            <w:r w:rsidRPr="00A67277">
              <w:rPr>
                <w:rFonts w:cs="Arial"/>
              </w:rPr>
              <w:t xml:space="preserve"> dianggap telah mengkaji dan tidak memiliki keberatan terkait Dokumen Desain yang diserahkan oleh BUP.</w:t>
            </w:r>
          </w:p>
        </w:tc>
      </w:tr>
      <w:tr w:rsidR="00862B0B" w:rsidRPr="00A67277" w14:paraId="24E3EC90" w14:textId="77777777" w:rsidTr="00862B0B">
        <w:tc>
          <w:tcPr>
            <w:tcW w:w="2270" w:type="pct"/>
          </w:tcPr>
          <w:p w14:paraId="7B65D704" w14:textId="42A4D318"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r w:rsidRPr="00A67277">
              <w:rPr>
                <w:rFonts w:cs="Arial"/>
              </w:rPr>
              <w:t>Independent Supervisor Consultant shall provide notice to the GCA and the IBE,  within the period referred to in paragraph (b), as to whether or not, in the Independent Supervisor Consultant’s opinion, the proposed Design Documents comply with this Agreement (and in particular, the Key Performance Indicators) and Good Industry Practice and the Independent Supervisor Consultant’s reasons for the opinion.</w:t>
            </w:r>
          </w:p>
        </w:tc>
        <w:tc>
          <w:tcPr>
            <w:tcW w:w="169" w:type="pct"/>
          </w:tcPr>
          <w:p w14:paraId="0CF6A84C" w14:textId="77777777" w:rsidR="00862B0B" w:rsidRPr="00A67277" w:rsidRDefault="00862B0B" w:rsidP="00862B0B">
            <w:pPr>
              <w:spacing w:before="60" w:after="60"/>
              <w:rPr>
                <w:rFonts w:ascii="Arial" w:hAnsi="Arial" w:cs="Arial"/>
                <w:sz w:val="21"/>
                <w:szCs w:val="21"/>
              </w:rPr>
            </w:pPr>
          </w:p>
        </w:tc>
        <w:tc>
          <w:tcPr>
            <w:tcW w:w="2561" w:type="pct"/>
            <w:gridSpan w:val="2"/>
          </w:tcPr>
          <w:p w14:paraId="6DA31830" w14:textId="77777777" w:rsidR="00862B0B" w:rsidRPr="00A67277" w:rsidRDefault="00862B0B" w:rsidP="00862B0B">
            <w:pPr>
              <w:pStyle w:val="Body2"/>
              <w:numPr>
                <w:ilvl w:val="0"/>
                <w:numId w:val="202"/>
              </w:numPr>
              <w:spacing w:before="60" w:after="60"/>
              <w:rPr>
                <w:rFonts w:cs="Arial"/>
              </w:rPr>
            </w:pPr>
            <w:r w:rsidRPr="00A67277">
              <w:rPr>
                <w:rFonts w:cs="Arial"/>
              </w:rPr>
              <w:t>Konsultan Pengawas Independen harus memberikan pemberitahuan kepada PJPK dan BUP, dalam jangka waktu sebagaimana disebutkan dalam paragraph (b), mengenai apakah, menurut pendapat dari Konsultan Pengawas Independen, Dokumen Desain yang diajukan sesuai dengan Perjanjian ini (dan pada khususnya, Indikator Kinerja Utama) dan Praktik Industri Yang Baik serta alasanalasan dari pendapat Konsultan Pengawas Independen tersebut.</w:t>
            </w:r>
          </w:p>
        </w:tc>
      </w:tr>
      <w:tr w:rsidR="00862B0B" w:rsidRPr="00A67277" w14:paraId="61007962" w14:textId="77777777" w:rsidTr="00862B0B">
        <w:tc>
          <w:tcPr>
            <w:tcW w:w="2270" w:type="pct"/>
          </w:tcPr>
          <w:p w14:paraId="56F7255B" w14:textId="77777777" w:rsidR="00862B0B" w:rsidRPr="00A67277" w:rsidRDefault="00862B0B" w:rsidP="00862B0B">
            <w:pPr>
              <w:pStyle w:val="Level3"/>
              <w:numPr>
                <w:ilvl w:val="2"/>
                <w:numId w:val="368"/>
              </w:numPr>
              <w:tabs>
                <w:tab w:val="clear" w:pos="1417"/>
                <w:tab w:val="num" w:pos="1298"/>
              </w:tabs>
              <w:spacing w:before="60" w:after="60"/>
              <w:ind w:left="1298" w:hanging="425"/>
              <w:rPr>
                <w:rFonts w:cs="Arial"/>
              </w:rPr>
            </w:pPr>
            <w:r w:rsidRPr="00A67277">
              <w:rPr>
                <w:rFonts w:cs="Arial"/>
              </w:rPr>
              <w:t>Within five (5) Business Days of receipt of an Independent Supervisor Consultant’s notice under paragraph (e) above, stating the Independent Supervisor Consultant’s opinion that the Design Documents do not comply with this Agreement (and in particular, the Key Performance Indicators), the IBE must:</w:t>
            </w:r>
          </w:p>
        </w:tc>
        <w:tc>
          <w:tcPr>
            <w:tcW w:w="169" w:type="pct"/>
          </w:tcPr>
          <w:p w14:paraId="6260F41D" w14:textId="77777777" w:rsidR="00862B0B" w:rsidRPr="00A67277" w:rsidRDefault="00862B0B" w:rsidP="00862B0B">
            <w:pPr>
              <w:spacing w:before="60" w:after="60"/>
              <w:rPr>
                <w:rFonts w:ascii="Arial" w:hAnsi="Arial" w:cs="Arial"/>
                <w:sz w:val="21"/>
                <w:szCs w:val="21"/>
              </w:rPr>
            </w:pPr>
          </w:p>
        </w:tc>
        <w:tc>
          <w:tcPr>
            <w:tcW w:w="2561" w:type="pct"/>
            <w:gridSpan w:val="2"/>
          </w:tcPr>
          <w:p w14:paraId="3C81F77E" w14:textId="77777777" w:rsidR="00862B0B" w:rsidRPr="00A67277" w:rsidRDefault="00862B0B" w:rsidP="00862B0B">
            <w:pPr>
              <w:pStyle w:val="Body2"/>
              <w:numPr>
                <w:ilvl w:val="0"/>
                <w:numId w:val="202"/>
              </w:numPr>
              <w:spacing w:before="60" w:after="60"/>
              <w:rPr>
                <w:rFonts w:cs="Arial"/>
              </w:rPr>
            </w:pPr>
            <w:r w:rsidRPr="00A67277">
              <w:rPr>
                <w:rFonts w:cs="Arial"/>
              </w:rPr>
              <w:t>Dalam 5 (lima) Hari Kerja setelah diterimanya pemberitahuan Konsultan Pengawas Independen berdasarkan paragraph (e) di atas, yang menyatakan bahwa pendapat Konsultan Pengawas Independen mengenai Dokumen Desain tidak memenuhi Perjanjian ini (dan khususnya, Indikator Kinerja Utama), maka BUP wajib</w:t>
            </w:r>
          </w:p>
        </w:tc>
      </w:tr>
      <w:tr w:rsidR="00862B0B" w:rsidRPr="00A67277" w14:paraId="50CD7087" w14:textId="77777777" w:rsidTr="00862B0B">
        <w:tc>
          <w:tcPr>
            <w:tcW w:w="2270" w:type="pct"/>
          </w:tcPr>
          <w:p w14:paraId="6A3D91EB" w14:textId="0EEDE4BF" w:rsidR="00862B0B" w:rsidRPr="00A67277" w:rsidRDefault="00862B0B" w:rsidP="00862B0B">
            <w:pPr>
              <w:pStyle w:val="Level3"/>
              <w:numPr>
                <w:ilvl w:val="3"/>
                <w:numId w:val="368"/>
              </w:numPr>
              <w:tabs>
                <w:tab w:val="clear" w:pos="2126"/>
              </w:tabs>
              <w:spacing w:before="60" w:after="60"/>
              <w:ind w:left="1843" w:hanging="426"/>
              <w:rPr>
                <w:rFonts w:cs="Arial"/>
              </w:rPr>
            </w:pPr>
            <w:r w:rsidRPr="00A67277">
              <w:rPr>
                <w:rFonts w:cs="Arial"/>
              </w:rPr>
              <w:t xml:space="preserve">Notify the GCA and the Independent Supervisor Consultant of any matters in respect of which it disagrees with the opinion of </w:t>
            </w:r>
            <w:r>
              <w:rPr>
                <w:rFonts w:cs="Arial"/>
              </w:rPr>
              <w:t xml:space="preserve">the </w:t>
            </w:r>
            <w:r w:rsidRPr="00A67277">
              <w:rPr>
                <w:rFonts w:cs="Arial"/>
              </w:rPr>
              <w:t>Independent Supervisor Consultant with its reasons for doing so (“</w:t>
            </w:r>
            <w:r w:rsidRPr="00A67277">
              <w:rPr>
                <w:rFonts w:cs="Arial"/>
                <w:b/>
              </w:rPr>
              <w:t>Design Explanation</w:t>
            </w:r>
            <w:r w:rsidRPr="00A67277">
              <w:rPr>
                <w:rFonts w:cs="Arial"/>
              </w:rPr>
              <w:t>”); or</w:t>
            </w:r>
          </w:p>
        </w:tc>
        <w:tc>
          <w:tcPr>
            <w:tcW w:w="169" w:type="pct"/>
          </w:tcPr>
          <w:p w14:paraId="5713E519" w14:textId="77777777" w:rsidR="00862B0B" w:rsidRPr="00A67277" w:rsidRDefault="00862B0B" w:rsidP="00862B0B">
            <w:pPr>
              <w:spacing w:before="60" w:after="60"/>
              <w:rPr>
                <w:rFonts w:ascii="Arial" w:hAnsi="Arial" w:cs="Arial"/>
                <w:sz w:val="21"/>
                <w:szCs w:val="21"/>
              </w:rPr>
            </w:pPr>
          </w:p>
        </w:tc>
        <w:tc>
          <w:tcPr>
            <w:tcW w:w="2561" w:type="pct"/>
            <w:gridSpan w:val="2"/>
          </w:tcPr>
          <w:p w14:paraId="3148CC2C" w14:textId="77777777" w:rsidR="00862B0B" w:rsidRPr="00A67277" w:rsidRDefault="00862B0B" w:rsidP="00862B0B">
            <w:pPr>
              <w:pStyle w:val="Body2"/>
              <w:numPr>
                <w:ilvl w:val="1"/>
                <w:numId w:val="202"/>
              </w:numPr>
              <w:spacing w:before="60" w:after="60"/>
              <w:ind w:left="1858"/>
              <w:rPr>
                <w:rFonts w:cs="Arial"/>
              </w:rPr>
            </w:pPr>
            <w:r w:rsidRPr="00A67277">
              <w:rPr>
                <w:rFonts w:cs="Arial"/>
              </w:rPr>
              <w:t>memberitahu PJPK dan Konsultan Pengawas Independen segala hal yang berhubungan dengan ketidaksetujuan pada pendapat Konsultan Pengawas Independen dengan alasannya (“</w:t>
            </w:r>
            <w:r w:rsidRPr="00A67277">
              <w:rPr>
                <w:rFonts w:cs="Arial"/>
                <w:b/>
              </w:rPr>
              <w:t>Penjelasan Desain</w:t>
            </w:r>
            <w:r w:rsidRPr="00A67277">
              <w:rPr>
                <w:rFonts w:cs="Arial"/>
              </w:rPr>
              <w:t>”); atau</w:t>
            </w:r>
          </w:p>
        </w:tc>
      </w:tr>
      <w:tr w:rsidR="00862B0B" w:rsidRPr="00A67277" w14:paraId="1871CB6D" w14:textId="77777777" w:rsidTr="00862B0B">
        <w:tc>
          <w:tcPr>
            <w:tcW w:w="2270" w:type="pct"/>
          </w:tcPr>
          <w:p w14:paraId="7462BBE3" w14:textId="77777777" w:rsidR="00862B0B" w:rsidRPr="00A67277" w:rsidRDefault="00862B0B" w:rsidP="00862B0B">
            <w:pPr>
              <w:pStyle w:val="Level3"/>
              <w:numPr>
                <w:ilvl w:val="3"/>
                <w:numId w:val="368"/>
              </w:numPr>
              <w:tabs>
                <w:tab w:val="clear" w:pos="2126"/>
              </w:tabs>
              <w:spacing w:before="60" w:after="60"/>
              <w:ind w:left="1843" w:hanging="426"/>
              <w:rPr>
                <w:rFonts w:cs="Arial"/>
              </w:rPr>
            </w:pPr>
            <w:r w:rsidRPr="00A67277">
              <w:rPr>
                <w:rFonts w:cs="Arial"/>
              </w:rPr>
              <w:t xml:space="preserve">proceed to amend the Design Documents to address the matters raised by the Independent Supervisor Consultant and resubmit that proposed Design Documents to the GCA and the Independent Supervisor Consultant in accordance with this Article 8.4 (Design Document). </w:t>
            </w:r>
          </w:p>
        </w:tc>
        <w:tc>
          <w:tcPr>
            <w:tcW w:w="169" w:type="pct"/>
          </w:tcPr>
          <w:p w14:paraId="0ACEF34C" w14:textId="77777777" w:rsidR="00862B0B" w:rsidRPr="00A67277" w:rsidRDefault="00862B0B" w:rsidP="00862B0B">
            <w:pPr>
              <w:spacing w:before="60" w:after="60"/>
              <w:rPr>
                <w:rFonts w:ascii="Arial" w:hAnsi="Arial" w:cs="Arial"/>
                <w:sz w:val="21"/>
                <w:szCs w:val="21"/>
              </w:rPr>
            </w:pPr>
          </w:p>
        </w:tc>
        <w:tc>
          <w:tcPr>
            <w:tcW w:w="2561" w:type="pct"/>
            <w:gridSpan w:val="2"/>
          </w:tcPr>
          <w:p w14:paraId="40585997" w14:textId="77777777" w:rsidR="00862B0B" w:rsidRPr="00A67277" w:rsidRDefault="00862B0B" w:rsidP="00862B0B">
            <w:pPr>
              <w:pStyle w:val="Body2"/>
              <w:numPr>
                <w:ilvl w:val="1"/>
                <w:numId w:val="202"/>
              </w:numPr>
              <w:spacing w:before="60" w:after="60"/>
              <w:ind w:left="1858"/>
              <w:rPr>
                <w:rFonts w:cs="Arial"/>
              </w:rPr>
            </w:pPr>
            <w:r w:rsidRPr="00A67277">
              <w:rPr>
                <w:rFonts w:cs="Arial"/>
              </w:rPr>
              <w:t>melakukan perubahan Dokumen Desain untuk menangani hal-hal yang dikemukakan oleh Konsultan Pengawas Independen dan menyerahkan kembali usulan Dokumen Desain kepada PJPK dan Konsultan Pengawas Independen berdasarkan Pasal 8.4 (Dokumen Desain) ini.</w:t>
            </w:r>
          </w:p>
        </w:tc>
      </w:tr>
      <w:tr w:rsidR="00862B0B" w:rsidRPr="00A67277" w14:paraId="653F890F" w14:textId="77777777" w:rsidTr="00862B0B">
        <w:tc>
          <w:tcPr>
            <w:tcW w:w="2270" w:type="pct"/>
          </w:tcPr>
          <w:p w14:paraId="6095D8B5" w14:textId="77777777" w:rsidR="00862B0B" w:rsidRPr="00A67277" w:rsidRDefault="00862B0B" w:rsidP="00862B0B">
            <w:pPr>
              <w:pStyle w:val="Level3"/>
              <w:numPr>
                <w:ilvl w:val="2"/>
                <w:numId w:val="368"/>
              </w:numPr>
              <w:tabs>
                <w:tab w:val="clear" w:pos="1417"/>
              </w:tabs>
              <w:spacing w:before="60" w:after="60"/>
              <w:ind w:left="1276" w:hanging="567"/>
              <w:rPr>
                <w:rFonts w:cs="Arial"/>
              </w:rPr>
            </w:pPr>
            <w:r w:rsidRPr="00A67277">
              <w:rPr>
                <w:rFonts w:cs="Arial"/>
              </w:rPr>
              <w:t>Within fifteen (15) Business Days of receipt of the Design Explanation, the Independent Supervisor Consultant must give notice to the GCA and the IBE of its opinion as to whether or not the Design Explanation satisfactorily addresses its concerns together with its reasons for forming that opinion.</w:t>
            </w:r>
          </w:p>
        </w:tc>
        <w:tc>
          <w:tcPr>
            <w:tcW w:w="169" w:type="pct"/>
          </w:tcPr>
          <w:p w14:paraId="6FA775DC" w14:textId="77777777" w:rsidR="00862B0B" w:rsidRPr="00A67277" w:rsidRDefault="00862B0B" w:rsidP="00862B0B">
            <w:pPr>
              <w:spacing w:before="60" w:after="60"/>
              <w:rPr>
                <w:rFonts w:ascii="Arial" w:hAnsi="Arial" w:cs="Arial"/>
                <w:sz w:val="21"/>
                <w:szCs w:val="21"/>
              </w:rPr>
            </w:pPr>
          </w:p>
        </w:tc>
        <w:tc>
          <w:tcPr>
            <w:tcW w:w="2561" w:type="pct"/>
            <w:gridSpan w:val="2"/>
          </w:tcPr>
          <w:p w14:paraId="06617E86" w14:textId="77777777" w:rsidR="00862B0B" w:rsidRPr="00A67277" w:rsidRDefault="00862B0B" w:rsidP="00862B0B">
            <w:pPr>
              <w:pStyle w:val="Body2"/>
              <w:numPr>
                <w:ilvl w:val="0"/>
                <w:numId w:val="202"/>
              </w:numPr>
              <w:spacing w:before="60" w:after="60"/>
              <w:rPr>
                <w:rFonts w:cs="Arial"/>
              </w:rPr>
            </w:pPr>
            <w:r w:rsidRPr="00A67277">
              <w:rPr>
                <w:rFonts w:cs="Arial"/>
              </w:rPr>
              <w:t>Dalam 15 (lima belas) Hari Kerja dari penerimaan Penjelasan Desain, Konsultan Pengawas Independen harus memberikan pemberitahuan kepada PJPK dan BUP mengenai pendapatnya apakah Penjelasan Desain telah dengan memuaskan menjawab permasalahan yang disampaikannya beserta alasan atas pendapatnya tersebut.</w:t>
            </w:r>
          </w:p>
        </w:tc>
      </w:tr>
      <w:tr w:rsidR="00862B0B" w:rsidRPr="00A67277" w14:paraId="37411953" w14:textId="77777777" w:rsidTr="00862B0B">
        <w:tc>
          <w:tcPr>
            <w:tcW w:w="2270" w:type="pct"/>
          </w:tcPr>
          <w:p w14:paraId="0E2FC837" w14:textId="2FE8D27B" w:rsidR="00862B0B" w:rsidRDefault="00862B0B" w:rsidP="00862B0B">
            <w:pPr>
              <w:pStyle w:val="Level3"/>
              <w:numPr>
                <w:ilvl w:val="2"/>
                <w:numId w:val="368"/>
              </w:numPr>
              <w:tabs>
                <w:tab w:val="clear" w:pos="1417"/>
              </w:tabs>
              <w:spacing w:before="60" w:after="60"/>
              <w:ind w:left="1276" w:hanging="567"/>
            </w:pPr>
            <w:r w:rsidRPr="00A67277">
              <w:rPr>
                <w:rFonts w:cs="Arial"/>
              </w:rPr>
              <w:t>If the IBE disagrees with the opinion of the Independent Supervisory Consultant</w:t>
            </w:r>
            <w:r>
              <w:rPr>
                <w:rFonts w:cs="Arial"/>
              </w:rPr>
              <w:t xml:space="preserve"> as referred to in this clause</w:t>
            </w:r>
            <w:r w:rsidRPr="003B75B9">
              <w:t xml:space="preserve">, the matter shall be resolved through mutual discussion involving the Parties and the </w:t>
            </w:r>
            <w:r>
              <w:t xml:space="preserve">Independent Supervisor </w:t>
            </w:r>
            <w:r w:rsidRPr="003B75B9">
              <w:t>Consultant; provided however that if the matter is not resolved by the date which is thirty</w:t>
            </w:r>
            <w:r>
              <w:t xml:space="preserve"> (30)</w:t>
            </w:r>
            <w:r w:rsidRPr="003B75B9">
              <w:t xml:space="preserve"> Days from the date that the </w:t>
            </w:r>
            <w:r>
              <w:t xml:space="preserve">Independent Supervisor </w:t>
            </w:r>
            <w:r w:rsidRPr="003B75B9">
              <w:t xml:space="preserve">Consultant submits its </w:t>
            </w:r>
            <w:r>
              <w:t>opinion</w:t>
            </w:r>
            <w:r w:rsidRPr="003B75B9">
              <w:t xml:space="preserve">, the matter shall be referred to the </w:t>
            </w:r>
            <w:r>
              <w:t xml:space="preserve">Third Party </w:t>
            </w:r>
            <w:r w:rsidRPr="003B75B9">
              <w:t xml:space="preserve">Expert for determination in accordance with </w:t>
            </w:r>
            <w:r w:rsidRPr="00A67277">
              <w:t xml:space="preserve"> Clause 28.2 (Referral to a Third Party Expert)</w:t>
            </w:r>
            <w:r w:rsidRPr="003B75B9">
              <w:t>.</w:t>
            </w:r>
            <w:r>
              <w:t xml:space="preserve"> </w:t>
            </w:r>
            <w:r w:rsidRPr="00A67277">
              <w:t xml:space="preserve"> The Parties shall use their best efforts to cause the Third Party Expert to render his determination not later than one (1) Month after being appointed.</w:t>
            </w:r>
          </w:p>
        </w:tc>
        <w:tc>
          <w:tcPr>
            <w:tcW w:w="169" w:type="pct"/>
          </w:tcPr>
          <w:p w14:paraId="5A208CB8" w14:textId="77777777" w:rsidR="00862B0B" w:rsidRPr="00A67277" w:rsidRDefault="00862B0B" w:rsidP="00862B0B">
            <w:pPr>
              <w:spacing w:before="60" w:after="60"/>
              <w:rPr>
                <w:rFonts w:ascii="Arial" w:hAnsi="Arial" w:cs="Arial"/>
                <w:sz w:val="21"/>
                <w:szCs w:val="21"/>
              </w:rPr>
            </w:pPr>
          </w:p>
        </w:tc>
        <w:tc>
          <w:tcPr>
            <w:tcW w:w="2561" w:type="pct"/>
            <w:gridSpan w:val="2"/>
          </w:tcPr>
          <w:p w14:paraId="2DC3452A" w14:textId="6D7AD112" w:rsidR="00862B0B" w:rsidRPr="00A67277" w:rsidRDefault="00862B0B" w:rsidP="00862B0B">
            <w:pPr>
              <w:pStyle w:val="Body2"/>
              <w:numPr>
                <w:ilvl w:val="0"/>
                <w:numId w:val="202"/>
              </w:numPr>
              <w:spacing w:before="60" w:after="60"/>
              <w:rPr>
                <w:rFonts w:cs="Arial"/>
              </w:rPr>
            </w:pPr>
            <w:r w:rsidRPr="00A67277">
              <w:rPr>
                <w:rFonts w:cs="Arial"/>
              </w:rPr>
              <w:t>Apabila BUP tidak menyetujui pendapat dari Konsultan Pengawas Independen</w:t>
            </w:r>
            <w:r>
              <w:rPr>
                <w:rFonts w:cs="Arial"/>
              </w:rPr>
              <w:t xml:space="preserve"> sebagaimana dimaksud dalam pasal ini</w:t>
            </w:r>
            <w:r w:rsidRPr="003B75B9">
              <w:rPr>
                <w:rFonts w:cs="Arial"/>
              </w:rPr>
              <w:t>, maka masalah tersebut akan diselesaikan melalui diskusi bersama yang melibatkan Para Pihak dan Konsultan Pengawas</w:t>
            </w:r>
            <w:r>
              <w:rPr>
                <w:rFonts w:cs="Arial"/>
              </w:rPr>
              <w:t xml:space="preserve"> Independen</w:t>
            </w:r>
            <w:r w:rsidRPr="003B75B9">
              <w:rPr>
                <w:rFonts w:cs="Arial"/>
              </w:rPr>
              <w:t xml:space="preserve">; jika hal tersebut tidak terselesaikan dalam jangka waktu 30 (tiga puluh) Hari sejak tanggal dimana Konsultan Pengawas </w:t>
            </w:r>
            <w:r>
              <w:rPr>
                <w:rFonts w:cs="Arial"/>
              </w:rPr>
              <w:t xml:space="preserve">Independen </w:t>
            </w:r>
            <w:r w:rsidRPr="003B75B9">
              <w:rPr>
                <w:rFonts w:cs="Arial"/>
              </w:rPr>
              <w:t xml:space="preserve">memberikan </w:t>
            </w:r>
            <w:r>
              <w:rPr>
                <w:rFonts w:cs="Arial"/>
              </w:rPr>
              <w:t>pendapatnya</w:t>
            </w:r>
            <w:r w:rsidRPr="003B75B9">
              <w:rPr>
                <w:rFonts w:cs="Arial"/>
              </w:rPr>
              <w:t xml:space="preserve">, </w:t>
            </w:r>
            <w:r>
              <w:rPr>
                <w:rFonts w:cs="Arial"/>
              </w:rPr>
              <w:t xml:space="preserve">masalah </w:t>
            </w:r>
            <w:r w:rsidRPr="003B75B9">
              <w:rPr>
                <w:rFonts w:cs="Arial"/>
              </w:rPr>
              <w:t xml:space="preserve">ini harus diserahkan kepada Ahli </w:t>
            </w:r>
            <w:r>
              <w:rPr>
                <w:rFonts w:cs="Arial"/>
              </w:rPr>
              <w:t xml:space="preserve">Independent </w:t>
            </w:r>
            <w:r w:rsidRPr="003B75B9">
              <w:rPr>
                <w:rFonts w:cs="Arial"/>
              </w:rPr>
              <w:t xml:space="preserve">untuk penetapan sesuai dengan Pasal </w:t>
            </w:r>
            <w:r>
              <w:rPr>
                <w:rFonts w:cs="Arial"/>
              </w:rPr>
              <w:t>28</w:t>
            </w:r>
            <w:r w:rsidRPr="003B75B9">
              <w:rPr>
                <w:rFonts w:cs="Arial"/>
              </w:rPr>
              <w:t>.2</w:t>
            </w:r>
            <w:r>
              <w:rPr>
                <w:rFonts w:cs="Arial"/>
              </w:rPr>
              <w:t xml:space="preserve"> (</w:t>
            </w:r>
            <w:r w:rsidRPr="00A67277">
              <w:rPr>
                <w:rFonts w:cs="Arial"/>
              </w:rPr>
              <w:t>(Rujukan Kepada Ahli Independen)</w:t>
            </w:r>
            <w:r w:rsidRPr="003B75B9">
              <w:rPr>
                <w:rFonts w:cs="Arial"/>
              </w:rPr>
              <w:t>.</w:t>
            </w:r>
            <w:r>
              <w:rPr>
                <w:rFonts w:cs="Arial"/>
              </w:rPr>
              <w:t xml:space="preserve"> </w:t>
            </w:r>
            <w:r>
              <w:t xml:space="preserve"> </w:t>
            </w:r>
            <w:r w:rsidRPr="008127D7">
              <w:rPr>
                <w:rFonts w:cs="Arial"/>
              </w:rPr>
              <w:t>Para Pihak harus menggunakan usaha terbaik mereka untuk menyebabkan Ahli Independen memberikan penetapan</w:t>
            </w:r>
            <w:r>
              <w:rPr>
                <w:rFonts w:cs="Arial"/>
              </w:rPr>
              <w:t>nya</w:t>
            </w:r>
            <w:r w:rsidRPr="008127D7">
              <w:rPr>
                <w:rFonts w:cs="Arial"/>
              </w:rPr>
              <w:t xml:space="preserve"> selambat-lambatnya satu (1) Bulan setelah ditunjuk.</w:t>
            </w:r>
          </w:p>
        </w:tc>
      </w:tr>
      <w:tr w:rsidR="00862B0B" w:rsidRPr="00A67277" w14:paraId="31B04043" w14:textId="77777777" w:rsidTr="00862B0B">
        <w:tc>
          <w:tcPr>
            <w:tcW w:w="2270" w:type="pct"/>
          </w:tcPr>
          <w:p w14:paraId="5179EEFF" w14:textId="47593BE1" w:rsidR="00862B0B" w:rsidRPr="00A67277" w:rsidRDefault="00862B0B" w:rsidP="00862B0B">
            <w:pPr>
              <w:pStyle w:val="Heading2"/>
              <w:keepLines w:val="0"/>
              <w:numPr>
                <w:ilvl w:val="1"/>
                <w:numId w:val="416"/>
              </w:numPr>
              <w:spacing w:before="60" w:after="60"/>
              <w:ind w:left="873" w:hanging="426"/>
              <w:jc w:val="both"/>
              <w:outlineLvl w:val="1"/>
              <w:rPr>
                <w:rFonts w:ascii="Arial" w:hAnsi="Arial" w:cs="Arial"/>
                <w:color w:val="auto"/>
                <w:sz w:val="21"/>
                <w:szCs w:val="21"/>
              </w:rPr>
            </w:pPr>
            <w:bookmarkStart w:id="285" w:name="_Ref397421187"/>
            <w:bookmarkStart w:id="286" w:name="_Toc501178108"/>
            <w:r w:rsidRPr="00A67277">
              <w:rPr>
                <w:rFonts w:ascii="Arial" w:hAnsi="Arial" w:cs="Arial"/>
                <w:b/>
                <w:color w:val="auto"/>
                <w:sz w:val="21"/>
                <w:szCs w:val="21"/>
              </w:rPr>
              <w:t>Operation and Maintenance Manual</w:t>
            </w:r>
            <w:bookmarkEnd w:id="285"/>
            <w:bookmarkEnd w:id="286"/>
          </w:p>
        </w:tc>
        <w:tc>
          <w:tcPr>
            <w:tcW w:w="169" w:type="pct"/>
          </w:tcPr>
          <w:p w14:paraId="4DD291B7" w14:textId="77777777" w:rsidR="00862B0B" w:rsidRPr="00A67277" w:rsidRDefault="00862B0B" w:rsidP="00862B0B">
            <w:pPr>
              <w:spacing w:before="60" w:after="60"/>
              <w:rPr>
                <w:rFonts w:ascii="Arial" w:hAnsi="Arial" w:cs="Arial"/>
                <w:sz w:val="21"/>
                <w:szCs w:val="21"/>
              </w:rPr>
            </w:pPr>
          </w:p>
        </w:tc>
        <w:tc>
          <w:tcPr>
            <w:tcW w:w="2561" w:type="pct"/>
            <w:gridSpan w:val="2"/>
          </w:tcPr>
          <w:p w14:paraId="222CF498" w14:textId="77777777" w:rsidR="00862B0B" w:rsidRPr="00A67277" w:rsidRDefault="00862B0B" w:rsidP="00862B0B">
            <w:pPr>
              <w:pStyle w:val="Heading2"/>
              <w:keepLines w:val="0"/>
              <w:numPr>
                <w:ilvl w:val="1"/>
                <w:numId w:val="360"/>
              </w:numPr>
              <w:spacing w:before="60" w:after="60"/>
              <w:ind w:left="882" w:hanging="162"/>
              <w:jc w:val="both"/>
              <w:outlineLvl w:val="1"/>
              <w:rPr>
                <w:rFonts w:ascii="Arial" w:hAnsi="Arial" w:cs="Arial"/>
                <w:b/>
                <w:color w:val="auto"/>
                <w:sz w:val="21"/>
                <w:szCs w:val="21"/>
              </w:rPr>
            </w:pPr>
            <w:r w:rsidRPr="00A67277">
              <w:rPr>
                <w:rFonts w:ascii="Arial" w:hAnsi="Arial" w:cs="Arial"/>
                <w:b/>
                <w:color w:val="auto"/>
                <w:sz w:val="21"/>
                <w:szCs w:val="21"/>
              </w:rPr>
              <w:t>Panduan Operasi dan Pemeliharaan</w:t>
            </w:r>
          </w:p>
        </w:tc>
      </w:tr>
      <w:tr w:rsidR="00862B0B" w:rsidRPr="00A67277" w14:paraId="062FE155" w14:textId="77777777" w:rsidTr="00862B0B">
        <w:tc>
          <w:tcPr>
            <w:tcW w:w="2270" w:type="pct"/>
          </w:tcPr>
          <w:p w14:paraId="519E2A66" w14:textId="354287BA" w:rsidR="00862B0B" w:rsidRPr="00A67277" w:rsidRDefault="00862B0B" w:rsidP="00862B0B">
            <w:pPr>
              <w:pStyle w:val="Level3"/>
              <w:numPr>
                <w:ilvl w:val="2"/>
                <w:numId w:val="376"/>
              </w:numPr>
              <w:tabs>
                <w:tab w:val="clear" w:pos="1417"/>
                <w:tab w:val="num" w:pos="1298"/>
              </w:tabs>
              <w:spacing w:before="60" w:after="60"/>
              <w:ind w:left="1298" w:hanging="425"/>
              <w:rPr>
                <w:rFonts w:cs="Arial"/>
              </w:rPr>
            </w:pPr>
            <w:bookmarkStart w:id="287" w:name="_Toc501178109"/>
            <w:r w:rsidRPr="00A67277">
              <w:rPr>
                <w:rFonts w:cs="Arial"/>
              </w:rPr>
              <w:t>The Operation and Maintenance Manual for the Facility shall be drawn up by the IBE before the Commercial Operation Date, shall comply with the relevant Design and Technical Specifications, Key Performance Indicators and Appendix 8 (</w:t>
            </w:r>
            <w:r w:rsidRPr="00A67277">
              <w:rPr>
                <w:rFonts w:cs="Arial"/>
                <w:i/>
              </w:rPr>
              <w:t>Operations and Asset Management</w:t>
            </w:r>
            <w:r w:rsidRPr="00A67277">
              <w:rPr>
                <w:rFonts w:cs="Arial"/>
              </w:rPr>
              <w:t>) and shall be submitted for approval to the Independent Supervisory Consultant and notified to GCA,  at least</w:t>
            </w:r>
            <w:r>
              <w:rPr>
                <w:rFonts w:cs="Arial"/>
              </w:rPr>
              <w:t xml:space="preserve"> forty five (45) Days </w:t>
            </w:r>
            <w:r w:rsidRPr="00A67277">
              <w:rPr>
                <w:rFonts w:cs="Arial"/>
              </w:rPr>
              <w:t>before the commencement of the Operation Period.</w:t>
            </w:r>
            <w:bookmarkEnd w:id="287"/>
          </w:p>
        </w:tc>
        <w:tc>
          <w:tcPr>
            <w:tcW w:w="169" w:type="pct"/>
          </w:tcPr>
          <w:p w14:paraId="3BCD5FA6" w14:textId="77777777" w:rsidR="00862B0B" w:rsidRPr="00A67277" w:rsidRDefault="00862B0B" w:rsidP="00862B0B">
            <w:pPr>
              <w:spacing w:before="60" w:after="60"/>
              <w:rPr>
                <w:rFonts w:ascii="Arial" w:hAnsi="Arial" w:cs="Arial"/>
                <w:sz w:val="21"/>
                <w:szCs w:val="21"/>
              </w:rPr>
            </w:pPr>
          </w:p>
        </w:tc>
        <w:tc>
          <w:tcPr>
            <w:tcW w:w="2561" w:type="pct"/>
            <w:gridSpan w:val="2"/>
          </w:tcPr>
          <w:p w14:paraId="50DB3FEA" w14:textId="710EFAD7" w:rsidR="00862B0B" w:rsidRPr="00A67277" w:rsidRDefault="00862B0B" w:rsidP="00862B0B">
            <w:pPr>
              <w:pStyle w:val="Level3"/>
              <w:numPr>
                <w:ilvl w:val="2"/>
                <w:numId w:val="378"/>
              </w:numPr>
              <w:tabs>
                <w:tab w:val="clear" w:pos="1417"/>
                <w:tab w:val="num" w:pos="1333"/>
              </w:tabs>
              <w:spacing w:before="60" w:after="60"/>
              <w:ind w:left="1333" w:hanging="425"/>
              <w:rPr>
                <w:rFonts w:cs="Arial"/>
              </w:rPr>
            </w:pPr>
            <w:r w:rsidRPr="00A67277">
              <w:rPr>
                <w:rFonts w:cs="Arial"/>
              </w:rPr>
              <w:t>Panduan Operasi dan Pemeliharaan untuk Fasilitas harus dibuat oleh BUP sebelum Tanggal Operasi Komersial, harus sesuai dengan Spesifikasi Desain dan Teknis, Indikator Kinerja Utama dan Lampiran 8  (</w:t>
            </w:r>
            <w:r w:rsidRPr="00A67277">
              <w:rPr>
                <w:rFonts w:cs="Arial"/>
                <w:i/>
              </w:rPr>
              <w:t>Manajemen Pengoperasian dan Aset</w:t>
            </w:r>
            <w:r w:rsidRPr="00A67277">
              <w:rPr>
                <w:rFonts w:cs="Arial"/>
              </w:rPr>
              <w:t xml:space="preserve">) dan harus diserahkan untuk mendapatkan persetujuan Konsultan Pengawas Independen dan diberitahukan kepada PJPK, selambat-lambatnya </w:t>
            </w:r>
            <w:r>
              <w:rPr>
                <w:rFonts w:cs="Arial"/>
              </w:rPr>
              <w:t xml:space="preserve">empat puluh lima (45) Hari </w:t>
            </w:r>
            <w:r w:rsidRPr="00A67277">
              <w:rPr>
                <w:rFonts w:cs="Arial"/>
              </w:rPr>
              <w:t>sebelum dimulainya Jangka Waktu Operasi.</w:t>
            </w:r>
          </w:p>
        </w:tc>
      </w:tr>
      <w:tr w:rsidR="00862B0B" w:rsidRPr="00A67277" w14:paraId="242B47AB" w14:textId="77777777" w:rsidTr="00862B0B">
        <w:tc>
          <w:tcPr>
            <w:tcW w:w="2270" w:type="pct"/>
          </w:tcPr>
          <w:p w14:paraId="75E42DE0" w14:textId="0AED0433" w:rsidR="00862B0B" w:rsidRPr="00A67277" w:rsidRDefault="00862B0B" w:rsidP="00862B0B">
            <w:pPr>
              <w:pStyle w:val="Level3"/>
              <w:numPr>
                <w:ilvl w:val="2"/>
                <w:numId w:val="376"/>
              </w:numPr>
              <w:tabs>
                <w:tab w:val="clear" w:pos="1417"/>
                <w:tab w:val="num" w:pos="1298"/>
              </w:tabs>
              <w:spacing w:before="60" w:after="60"/>
              <w:ind w:left="1298" w:hanging="425"/>
              <w:rPr>
                <w:rFonts w:cs="Arial"/>
              </w:rPr>
            </w:pPr>
            <w:bookmarkStart w:id="288" w:name="_Toc501178110"/>
            <w:r w:rsidRPr="00A67277">
              <w:rPr>
                <w:rFonts w:cs="Arial"/>
              </w:rPr>
              <w:t>Within</w:t>
            </w:r>
            <w:r>
              <w:rPr>
                <w:rFonts w:cs="Arial"/>
              </w:rPr>
              <w:t xml:space="preserve"> </w:t>
            </w:r>
            <w:r w:rsidRPr="00A67277">
              <w:rPr>
                <w:rFonts w:cs="Arial"/>
              </w:rPr>
              <w:t>one (1) Month from its submission, the Independent Supervisory Consultant shall approve the Operation and Maintenance Manual for the Facility, or send to the IBE its justified objections / remarks, if such manual does not comply with the relevant Design and Technical Specifications, Key Performance Indicators and Appendix 8 (</w:t>
            </w:r>
            <w:r w:rsidRPr="00A67277">
              <w:rPr>
                <w:rFonts w:cs="Arial"/>
                <w:i/>
              </w:rPr>
              <w:t>Operations and Asset Management</w:t>
            </w:r>
            <w:r w:rsidRPr="00A67277">
              <w:rPr>
                <w:rFonts w:cs="Arial"/>
              </w:rPr>
              <w:t xml:space="preserve">). In case of objections / remarks made by the Independent Supervisory Consultant according to the above, the IBE shall modify the Operation and Maintenance Manual for the Facility accordingly and resubmit it, in which case the Independent Supervisory Consultant shall approve it within </w:t>
            </w:r>
            <w:r>
              <w:rPr>
                <w:rFonts w:cs="Arial"/>
              </w:rPr>
              <w:t xml:space="preserve">seven (7) Days </w:t>
            </w:r>
            <w:r w:rsidRPr="00A67277">
              <w:rPr>
                <w:rFonts w:cs="Arial"/>
              </w:rPr>
              <w:t>from such re-submission.</w:t>
            </w:r>
            <w:bookmarkEnd w:id="288"/>
          </w:p>
        </w:tc>
        <w:tc>
          <w:tcPr>
            <w:tcW w:w="169" w:type="pct"/>
          </w:tcPr>
          <w:p w14:paraId="4DC0ECD3" w14:textId="77777777" w:rsidR="00862B0B" w:rsidRPr="00A67277" w:rsidRDefault="00862B0B" w:rsidP="00862B0B">
            <w:pPr>
              <w:spacing w:before="60" w:after="60"/>
              <w:rPr>
                <w:rFonts w:ascii="Arial" w:hAnsi="Arial" w:cs="Arial"/>
                <w:sz w:val="21"/>
                <w:szCs w:val="21"/>
              </w:rPr>
            </w:pPr>
          </w:p>
        </w:tc>
        <w:tc>
          <w:tcPr>
            <w:tcW w:w="2561" w:type="pct"/>
            <w:gridSpan w:val="2"/>
          </w:tcPr>
          <w:p w14:paraId="7D4A3DA1" w14:textId="2C547C2D" w:rsidR="00862B0B" w:rsidRPr="00A67277" w:rsidRDefault="00862B0B" w:rsidP="00862B0B">
            <w:pPr>
              <w:pStyle w:val="Level3"/>
              <w:numPr>
                <w:ilvl w:val="2"/>
                <w:numId w:val="377"/>
              </w:numPr>
              <w:tabs>
                <w:tab w:val="clear" w:pos="1417"/>
                <w:tab w:val="num" w:pos="1333"/>
              </w:tabs>
              <w:spacing w:before="60" w:after="60"/>
              <w:ind w:left="1333" w:hanging="425"/>
              <w:rPr>
                <w:rFonts w:cs="Arial"/>
              </w:rPr>
            </w:pPr>
            <w:r w:rsidRPr="00A67277">
              <w:rPr>
                <w:rFonts w:cs="Arial"/>
              </w:rPr>
              <w:t xml:space="preserve">Dalam waktu satu (1) Bulan dari pengajuannya, Konsultan Pengawas Independen harus menyetujui Panduan Operasi dan Pemeliharaan untuk Fasilitas tersebut, atau mengirimkan kepada BUP keberatan/ pendapatnya, apabila panduan tersebut tidak sesuai dengan Spesifikasi Desain dan Teknis, Indikator Kinerja Utama dan Lampiran 8 (Manajemen </w:t>
            </w:r>
            <w:r w:rsidRPr="00A67277">
              <w:rPr>
                <w:rFonts w:cs="Arial"/>
                <w:i/>
              </w:rPr>
              <w:t>Pengoperasian dan Aset</w:t>
            </w:r>
            <w:r w:rsidRPr="00A67277">
              <w:rPr>
                <w:rFonts w:cs="Arial"/>
              </w:rPr>
              <w:t xml:space="preserve">). Apabila keberatan tersebut dibuat oleh Konsultan Pengawas Independen sebagaimana disebutkan di atas, BUP harus mengubah Panduan Operasi dan Pemeliharaan untuk Fasilitas dan dikirimkan kembali, dimana Konsultan Pengawas Independen harus memberikan persetujuannya dalam waktu </w:t>
            </w:r>
            <w:r>
              <w:rPr>
                <w:rFonts w:cs="Arial"/>
              </w:rPr>
              <w:t xml:space="preserve">tujuh (7) Hari </w:t>
            </w:r>
            <w:r w:rsidRPr="00A67277">
              <w:rPr>
                <w:rFonts w:cs="Arial"/>
              </w:rPr>
              <w:t>sejak penyerahan kembali.</w:t>
            </w:r>
          </w:p>
        </w:tc>
      </w:tr>
      <w:tr w:rsidR="00862B0B" w:rsidRPr="00A67277" w14:paraId="05FAF851" w14:textId="77777777" w:rsidTr="00862B0B">
        <w:tc>
          <w:tcPr>
            <w:tcW w:w="2270" w:type="pct"/>
          </w:tcPr>
          <w:p w14:paraId="2B694077" w14:textId="7EC6141F" w:rsidR="00862B0B" w:rsidRPr="00A67277" w:rsidRDefault="00862B0B" w:rsidP="00862B0B">
            <w:pPr>
              <w:pStyle w:val="Level3"/>
              <w:numPr>
                <w:ilvl w:val="2"/>
                <w:numId w:val="376"/>
              </w:numPr>
              <w:tabs>
                <w:tab w:val="clear" w:pos="1417"/>
                <w:tab w:val="num" w:pos="1298"/>
              </w:tabs>
              <w:spacing w:before="60" w:after="60"/>
              <w:ind w:left="1298" w:hanging="425"/>
              <w:rPr>
                <w:rFonts w:cs="Arial"/>
              </w:rPr>
            </w:pPr>
            <w:bookmarkStart w:id="289" w:name="_Toc501178111"/>
            <w:r w:rsidRPr="00A67277">
              <w:rPr>
                <w:rFonts w:cs="Arial"/>
              </w:rPr>
              <w:t>If the IBE disagrees with the opinion of the Independent Supervisory Consultant</w:t>
            </w:r>
            <w:r>
              <w:rPr>
                <w:rFonts w:cs="Arial"/>
              </w:rPr>
              <w:t xml:space="preserve"> as referred to in this clause</w:t>
            </w:r>
            <w:r w:rsidRPr="003B75B9">
              <w:t xml:space="preserve">, the matter shall be resolved through mutual discussion involving the Parties and the </w:t>
            </w:r>
            <w:r>
              <w:t xml:space="preserve">Independent Supervisor </w:t>
            </w:r>
            <w:r w:rsidRPr="003B75B9">
              <w:t>Consultant; provided however that if the matter is not resolved by the date which is thirty</w:t>
            </w:r>
            <w:r>
              <w:t xml:space="preserve"> (30)</w:t>
            </w:r>
            <w:r w:rsidRPr="003B75B9">
              <w:t xml:space="preserve"> Days from the date that the </w:t>
            </w:r>
            <w:r>
              <w:t xml:space="preserve">Independent Supervisor </w:t>
            </w:r>
            <w:r w:rsidRPr="003B75B9">
              <w:t xml:space="preserve">Consultant submits its </w:t>
            </w:r>
            <w:r>
              <w:t>opinion</w:t>
            </w:r>
            <w:r w:rsidRPr="003B75B9">
              <w:t xml:space="preserve">, the matter shall be referred to the </w:t>
            </w:r>
            <w:r>
              <w:t xml:space="preserve">Third Party </w:t>
            </w:r>
            <w:r w:rsidRPr="003B75B9">
              <w:t xml:space="preserve">Expert for determination in accordance with </w:t>
            </w:r>
            <w:r w:rsidRPr="00A67277">
              <w:t xml:space="preserve"> Clause 28.2 (Referral to a Third Party Expert)</w:t>
            </w:r>
            <w:r w:rsidRPr="003B75B9">
              <w:t>.</w:t>
            </w:r>
            <w:r>
              <w:t xml:space="preserve"> </w:t>
            </w:r>
            <w:r w:rsidRPr="00A67277">
              <w:t xml:space="preserve"> The Parties shall use their best efforts to cause the Third Party Expert to render his determination not later than one (1) Month after being appointed.</w:t>
            </w:r>
            <w:r w:rsidRPr="00A67277">
              <w:rPr>
                <w:rFonts w:cs="Arial"/>
              </w:rPr>
              <w:t>.</w:t>
            </w:r>
            <w:bookmarkEnd w:id="289"/>
          </w:p>
        </w:tc>
        <w:tc>
          <w:tcPr>
            <w:tcW w:w="169" w:type="pct"/>
          </w:tcPr>
          <w:p w14:paraId="7FDAEACC" w14:textId="77777777" w:rsidR="00862B0B" w:rsidRPr="00A67277" w:rsidRDefault="00862B0B" w:rsidP="00862B0B">
            <w:pPr>
              <w:spacing w:before="60" w:after="60"/>
              <w:rPr>
                <w:rFonts w:ascii="Arial" w:hAnsi="Arial" w:cs="Arial"/>
                <w:sz w:val="21"/>
                <w:szCs w:val="21"/>
              </w:rPr>
            </w:pPr>
          </w:p>
        </w:tc>
        <w:tc>
          <w:tcPr>
            <w:tcW w:w="2561" w:type="pct"/>
            <w:gridSpan w:val="2"/>
          </w:tcPr>
          <w:p w14:paraId="0C6E7E96" w14:textId="7FF184FE" w:rsidR="00862B0B" w:rsidRPr="00A67277" w:rsidRDefault="00862B0B" w:rsidP="00862B0B">
            <w:pPr>
              <w:pStyle w:val="Level3"/>
              <w:numPr>
                <w:ilvl w:val="2"/>
                <w:numId w:val="379"/>
              </w:numPr>
              <w:tabs>
                <w:tab w:val="clear" w:pos="1417"/>
                <w:tab w:val="num" w:pos="1333"/>
              </w:tabs>
              <w:spacing w:before="60" w:after="60"/>
              <w:ind w:left="1333" w:hanging="425"/>
              <w:rPr>
                <w:rFonts w:cs="Arial"/>
              </w:rPr>
            </w:pPr>
            <w:r w:rsidRPr="00A67277">
              <w:rPr>
                <w:rFonts w:cs="Arial"/>
              </w:rPr>
              <w:t>Apabila BUP tidak menyetujui pendapat dari Konsultan Pengawas Independen</w:t>
            </w:r>
            <w:r>
              <w:rPr>
                <w:rFonts w:cs="Arial"/>
              </w:rPr>
              <w:t xml:space="preserve"> sebagaimana dimaksud dalam pasal ini</w:t>
            </w:r>
            <w:r w:rsidRPr="003B75B9">
              <w:rPr>
                <w:rFonts w:cs="Arial"/>
              </w:rPr>
              <w:t>, maka masalah tersebut akan diselesaikan melalui diskusi bersama yang melibatkan Para Pihak dan Konsultan Pengawas</w:t>
            </w:r>
            <w:r>
              <w:rPr>
                <w:rFonts w:cs="Arial"/>
              </w:rPr>
              <w:t xml:space="preserve"> Independen</w:t>
            </w:r>
            <w:r w:rsidRPr="003B75B9">
              <w:rPr>
                <w:rFonts w:cs="Arial"/>
              </w:rPr>
              <w:t xml:space="preserve">; jika hal tersebut tidak terselesaikan dalam jangka waktu 30 (tiga puluh) Hari sejak tanggal dimana Konsultan Pengawas </w:t>
            </w:r>
            <w:r>
              <w:rPr>
                <w:rFonts w:cs="Arial"/>
              </w:rPr>
              <w:t xml:space="preserve">Independen </w:t>
            </w:r>
            <w:r w:rsidRPr="003B75B9">
              <w:rPr>
                <w:rFonts w:cs="Arial"/>
              </w:rPr>
              <w:t xml:space="preserve">memberikan </w:t>
            </w:r>
            <w:r>
              <w:rPr>
                <w:rFonts w:cs="Arial"/>
              </w:rPr>
              <w:t>pendapatnya</w:t>
            </w:r>
            <w:r w:rsidRPr="003B75B9">
              <w:rPr>
                <w:rFonts w:cs="Arial"/>
              </w:rPr>
              <w:t xml:space="preserve">, </w:t>
            </w:r>
            <w:r>
              <w:rPr>
                <w:rFonts w:cs="Arial"/>
              </w:rPr>
              <w:t xml:space="preserve">masalah </w:t>
            </w:r>
            <w:r w:rsidRPr="003B75B9">
              <w:rPr>
                <w:rFonts w:cs="Arial"/>
              </w:rPr>
              <w:t xml:space="preserve">ini harus diserahkan kepada Ahli </w:t>
            </w:r>
            <w:r>
              <w:rPr>
                <w:rFonts w:cs="Arial"/>
              </w:rPr>
              <w:t xml:space="preserve">Independent </w:t>
            </w:r>
            <w:r w:rsidRPr="003B75B9">
              <w:rPr>
                <w:rFonts w:cs="Arial"/>
              </w:rPr>
              <w:t xml:space="preserve">untuk penetapan sesuai dengan Pasal </w:t>
            </w:r>
            <w:r>
              <w:rPr>
                <w:rFonts w:cs="Arial"/>
              </w:rPr>
              <w:t>28</w:t>
            </w:r>
            <w:r w:rsidRPr="003B75B9">
              <w:rPr>
                <w:rFonts w:cs="Arial"/>
              </w:rPr>
              <w:t>.2</w:t>
            </w:r>
            <w:r>
              <w:rPr>
                <w:rFonts w:cs="Arial"/>
              </w:rPr>
              <w:t xml:space="preserve"> (</w:t>
            </w:r>
            <w:r w:rsidRPr="00A67277">
              <w:rPr>
                <w:rFonts w:cs="Arial"/>
              </w:rPr>
              <w:t>(Rujukan Kepada Ahli Independen)</w:t>
            </w:r>
            <w:r w:rsidRPr="003B75B9">
              <w:rPr>
                <w:rFonts w:cs="Arial"/>
              </w:rPr>
              <w:t>.</w:t>
            </w:r>
            <w:r>
              <w:rPr>
                <w:rFonts w:cs="Arial"/>
              </w:rPr>
              <w:t xml:space="preserve"> </w:t>
            </w:r>
            <w:r>
              <w:t xml:space="preserve"> </w:t>
            </w:r>
            <w:r w:rsidRPr="008127D7">
              <w:rPr>
                <w:rFonts w:cs="Arial"/>
              </w:rPr>
              <w:t>Para Pihak harus menggunakan usaha terbaik mereka untuk menyebabkan Ahli Independen memberikan penetapan</w:t>
            </w:r>
            <w:r>
              <w:rPr>
                <w:rFonts w:cs="Arial"/>
              </w:rPr>
              <w:t>nya</w:t>
            </w:r>
            <w:r w:rsidRPr="008127D7">
              <w:rPr>
                <w:rFonts w:cs="Arial"/>
              </w:rPr>
              <w:t xml:space="preserve"> selambat-lambatnya satu (1) Bulan setelah ditunjuk.</w:t>
            </w:r>
          </w:p>
        </w:tc>
      </w:tr>
      <w:tr w:rsidR="00862B0B" w:rsidRPr="00A67277" w14:paraId="35CF0F92" w14:textId="77777777" w:rsidTr="00862B0B">
        <w:tc>
          <w:tcPr>
            <w:tcW w:w="2270" w:type="pct"/>
          </w:tcPr>
          <w:p w14:paraId="0814FB45" w14:textId="52E23466" w:rsidR="00862B0B" w:rsidRPr="00A67277" w:rsidRDefault="00862B0B" w:rsidP="00862B0B">
            <w:pPr>
              <w:pStyle w:val="Level3"/>
              <w:numPr>
                <w:ilvl w:val="2"/>
                <w:numId w:val="376"/>
              </w:numPr>
              <w:tabs>
                <w:tab w:val="clear" w:pos="1417"/>
                <w:tab w:val="num" w:pos="1298"/>
              </w:tabs>
              <w:spacing w:before="60" w:after="60"/>
              <w:ind w:left="1298" w:hanging="425"/>
              <w:rPr>
                <w:rFonts w:cs="Arial"/>
              </w:rPr>
            </w:pPr>
            <w:bookmarkStart w:id="290" w:name="_Toc501178112"/>
            <w:r w:rsidRPr="00A67277">
              <w:rPr>
                <w:rFonts w:cs="Arial"/>
              </w:rPr>
              <w:t>If the Independent Supervisory Consultant fails to respond within any of the deadlines defined in the Independent Supervisory Consultant Contract, the Operation and Maintenance Manual for the Facility shall be considered approved, upon the expiry of the said periods.</w:t>
            </w:r>
            <w:bookmarkEnd w:id="290"/>
          </w:p>
        </w:tc>
        <w:tc>
          <w:tcPr>
            <w:tcW w:w="169" w:type="pct"/>
          </w:tcPr>
          <w:p w14:paraId="27F83041" w14:textId="77777777" w:rsidR="00862B0B" w:rsidRPr="00A67277" w:rsidRDefault="00862B0B" w:rsidP="00862B0B">
            <w:pPr>
              <w:spacing w:before="60" w:after="60"/>
              <w:rPr>
                <w:rFonts w:ascii="Arial" w:hAnsi="Arial" w:cs="Arial"/>
                <w:sz w:val="21"/>
                <w:szCs w:val="21"/>
              </w:rPr>
            </w:pPr>
          </w:p>
        </w:tc>
        <w:tc>
          <w:tcPr>
            <w:tcW w:w="2561" w:type="pct"/>
            <w:gridSpan w:val="2"/>
          </w:tcPr>
          <w:p w14:paraId="775FEB34" w14:textId="77777777" w:rsidR="00862B0B" w:rsidRPr="00A67277" w:rsidRDefault="00862B0B" w:rsidP="00862B0B">
            <w:pPr>
              <w:pStyle w:val="Level3"/>
              <w:numPr>
                <w:ilvl w:val="2"/>
                <w:numId w:val="380"/>
              </w:numPr>
              <w:tabs>
                <w:tab w:val="clear" w:pos="1417"/>
                <w:tab w:val="num" w:pos="1333"/>
              </w:tabs>
              <w:spacing w:before="60" w:after="60"/>
              <w:ind w:left="1333" w:hanging="425"/>
              <w:rPr>
                <w:rFonts w:cs="Arial"/>
              </w:rPr>
            </w:pPr>
            <w:r w:rsidRPr="00A67277">
              <w:rPr>
                <w:rFonts w:cs="Arial"/>
              </w:rPr>
              <w:t>Apabila Konsultan Pengawas Independen gagal untuk memberikan tanggapan dalam waktu sebagaimana dimaksud dalam Perjanjian Konsultan Pengawas Independen, Panduan Operasi dan Pemeliharaan untuk Fasilitas akan dianggap telah disetujui pada saat berakhirnya periode tersebut.</w:t>
            </w:r>
          </w:p>
        </w:tc>
      </w:tr>
      <w:tr w:rsidR="00862B0B" w:rsidRPr="00A67277" w14:paraId="6E97DFDC" w14:textId="77777777" w:rsidTr="00862B0B">
        <w:tc>
          <w:tcPr>
            <w:tcW w:w="2270" w:type="pct"/>
          </w:tcPr>
          <w:p w14:paraId="63951A3F" w14:textId="05178C67" w:rsidR="00862B0B" w:rsidRPr="00A67277" w:rsidRDefault="00862B0B" w:rsidP="00862B0B">
            <w:pPr>
              <w:pStyle w:val="Level3"/>
              <w:numPr>
                <w:ilvl w:val="2"/>
                <w:numId w:val="376"/>
              </w:numPr>
              <w:tabs>
                <w:tab w:val="clear" w:pos="1417"/>
                <w:tab w:val="num" w:pos="1298"/>
              </w:tabs>
              <w:spacing w:before="60" w:after="60"/>
              <w:ind w:left="1298" w:hanging="425"/>
              <w:rPr>
                <w:rFonts w:cs="Arial"/>
              </w:rPr>
            </w:pPr>
            <w:bookmarkStart w:id="291" w:name="_Toc501178113"/>
            <w:r w:rsidRPr="00A67277">
              <w:rPr>
                <w:rFonts w:cs="Arial"/>
              </w:rPr>
              <w:t>The IBE shall upgrade and update, if required under the terms herein, the Operation and Maintenance Manual for the Facility during the Operation Period, under the same terms, manner, and procedure described above.</w:t>
            </w:r>
            <w:bookmarkEnd w:id="291"/>
          </w:p>
        </w:tc>
        <w:tc>
          <w:tcPr>
            <w:tcW w:w="169" w:type="pct"/>
          </w:tcPr>
          <w:p w14:paraId="6A1CC44B" w14:textId="77777777" w:rsidR="00862B0B" w:rsidRPr="00A67277" w:rsidRDefault="00862B0B" w:rsidP="00862B0B">
            <w:pPr>
              <w:spacing w:before="60" w:after="60"/>
              <w:rPr>
                <w:rFonts w:ascii="Arial" w:hAnsi="Arial" w:cs="Arial"/>
                <w:sz w:val="21"/>
                <w:szCs w:val="21"/>
              </w:rPr>
            </w:pPr>
          </w:p>
        </w:tc>
        <w:tc>
          <w:tcPr>
            <w:tcW w:w="2561" w:type="pct"/>
            <w:gridSpan w:val="2"/>
          </w:tcPr>
          <w:p w14:paraId="6CA3502E" w14:textId="77777777" w:rsidR="00862B0B" w:rsidRPr="00A67277" w:rsidRDefault="00862B0B" w:rsidP="00862B0B">
            <w:pPr>
              <w:pStyle w:val="Level3"/>
              <w:numPr>
                <w:ilvl w:val="2"/>
                <w:numId w:val="381"/>
              </w:numPr>
              <w:tabs>
                <w:tab w:val="clear" w:pos="1417"/>
                <w:tab w:val="num" w:pos="1333"/>
              </w:tabs>
              <w:spacing w:before="60" w:after="60"/>
              <w:ind w:left="1333" w:hanging="425"/>
              <w:rPr>
                <w:rFonts w:cs="Arial"/>
              </w:rPr>
            </w:pPr>
            <w:r w:rsidRPr="00A67277">
              <w:rPr>
                <w:rFonts w:cs="Arial"/>
              </w:rPr>
              <w:t>BUP harus meningkatkan dan memperbaharui, apabila diperlukan berdasarkan ketentuan Perjanjian ini, Panduan Operasi dan Pemeliharaan untuk Fasilitas selama Jangka Waktu Operasi, berdasarkan ketentuan, cara dan prosedur yang sama sebagaimana di jelaskan di atas.</w:t>
            </w:r>
          </w:p>
          <w:p w14:paraId="5047D3DF" w14:textId="77777777" w:rsidR="00862B0B" w:rsidRPr="00A67277" w:rsidRDefault="00862B0B" w:rsidP="00862B0B">
            <w:pPr>
              <w:rPr>
                <w:lang w:val="en-GB" w:eastAsia="en-GB"/>
              </w:rPr>
            </w:pPr>
          </w:p>
        </w:tc>
      </w:tr>
      <w:tr w:rsidR="00862B0B" w:rsidRPr="00A67277" w14:paraId="1A86CA6B" w14:textId="77777777" w:rsidTr="00862B0B">
        <w:tc>
          <w:tcPr>
            <w:tcW w:w="2270" w:type="pct"/>
          </w:tcPr>
          <w:p w14:paraId="5373F08F" w14:textId="6639DB9F" w:rsidR="00862B0B" w:rsidRPr="00A67277" w:rsidRDefault="00862B0B" w:rsidP="00862B0B">
            <w:pPr>
              <w:pStyle w:val="Heading2"/>
              <w:keepLines w:val="0"/>
              <w:numPr>
                <w:ilvl w:val="1"/>
                <w:numId w:val="416"/>
              </w:numPr>
              <w:spacing w:before="60" w:after="60"/>
              <w:ind w:left="1080" w:hanging="633"/>
              <w:jc w:val="both"/>
              <w:outlineLvl w:val="1"/>
              <w:rPr>
                <w:rFonts w:ascii="Arial" w:hAnsi="Arial" w:cs="Arial"/>
                <w:b/>
                <w:color w:val="auto"/>
                <w:sz w:val="21"/>
                <w:szCs w:val="21"/>
              </w:rPr>
            </w:pPr>
            <w:bookmarkStart w:id="292" w:name="_Toc501178115"/>
            <w:r w:rsidRPr="00A67277">
              <w:rPr>
                <w:rFonts w:ascii="Arial" w:hAnsi="Arial" w:cs="Arial"/>
                <w:b/>
                <w:color w:val="auto"/>
                <w:sz w:val="21"/>
                <w:szCs w:val="21"/>
              </w:rPr>
              <w:t>Asset Register</w:t>
            </w:r>
            <w:bookmarkEnd w:id="292"/>
          </w:p>
        </w:tc>
        <w:tc>
          <w:tcPr>
            <w:tcW w:w="169" w:type="pct"/>
          </w:tcPr>
          <w:p w14:paraId="21E07EAF" w14:textId="77777777" w:rsidR="00862B0B" w:rsidRPr="00A67277" w:rsidRDefault="00862B0B" w:rsidP="00862B0B">
            <w:pPr>
              <w:spacing w:before="60" w:after="60"/>
              <w:rPr>
                <w:rFonts w:ascii="Arial" w:hAnsi="Arial" w:cs="Arial"/>
                <w:sz w:val="21"/>
                <w:szCs w:val="21"/>
              </w:rPr>
            </w:pPr>
          </w:p>
        </w:tc>
        <w:tc>
          <w:tcPr>
            <w:tcW w:w="2561" w:type="pct"/>
            <w:gridSpan w:val="2"/>
          </w:tcPr>
          <w:p w14:paraId="3C68C628" w14:textId="77777777" w:rsidR="00862B0B" w:rsidRPr="00A67277" w:rsidRDefault="00862B0B" w:rsidP="00862B0B">
            <w:pPr>
              <w:pStyle w:val="Heading2"/>
              <w:keepLines w:val="0"/>
              <w:numPr>
                <w:ilvl w:val="1"/>
                <w:numId w:val="360"/>
              </w:numPr>
              <w:spacing w:before="60" w:after="60"/>
              <w:ind w:left="882" w:hanging="162"/>
              <w:outlineLvl w:val="1"/>
              <w:rPr>
                <w:rFonts w:ascii="Arial" w:hAnsi="Arial" w:cs="Arial"/>
                <w:b/>
                <w:color w:val="auto"/>
                <w:sz w:val="21"/>
                <w:szCs w:val="21"/>
              </w:rPr>
            </w:pPr>
            <w:r w:rsidRPr="00A67277">
              <w:rPr>
                <w:rFonts w:ascii="Arial" w:hAnsi="Arial" w:cs="Arial"/>
                <w:b/>
                <w:color w:val="auto"/>
                <w:sz w:val="21"/>
                <w:szCs w:val="21"/>
              </w:rPr>
              <w:t>Daftar Aset</w:t>
            </w:r>
          </w:p>
        </w:tc>
      </w:tr>
      <w:tr w:rsidR="00862B0B" w:rsidRPr="00A67277" w14:paraId="4B79E92F" w14:textId="77777777" w:rsidTr="00862B0B">
        <w:trPr>
          <w:trHeight w:val="3437"/>
        </w:trPr>
        <w:tc>
          <w:tcPr>
            <w:tcW w:w="2270" w:type="pct"/>
          </w:tcPr>
          <w:p w14:paraId="40103533" w14:textId="6DE52A58" w:rsidR="00862B0B" w:rsidRPr="00A67277" w:rsidRDefault="00862B0B" w:rsidP="00862B0B">
            <w:pPr>
              <w:pStyle w:val="Level3"/>
              <w:numPr>
                <w:ilvl w:val="2"/>
                <w:numId w:val="382"/>
              </w:numPr>
              <w:tabs>
                <w:tab w:val="clear" w:pos="1417"/>
              </w:tabs>
              <w:spacing w:before="60" w:after="60"/>
              <w:ind w:left="1298" w:hanging="425"/>
              <w:rPr>
                <w:rFonts w:cs="Arial"/>
              </w:rPr>
            </w:pPr>
            <w:bookmarkStart w:id="293" w:name="_Ref397422833"/>
            <w:bookmarkStart w:id="294" w:name="_Toc501178116"/>
            <w:r w:rsidRPr="00A67277">
              <w:rPr>
                <w:rFonts w:cs="Arial"/>
              </w:rPr>
              <w:t xml:space="preserve">From the date which is at least </w:t>
            </w:r>
            <w:r>
              <w:rPr>
                <w:rFonts w:cs="Arial"/>
              </w:rPr>
              <w:t>one</w:t>
            </w:r>
            <w:r w:rsidRPr="00A67277">
              <w:rPr>
                <w:rFonts w:cs="Arial"/>
              </w:rPr>
              <w:t xml:space="preserve"> (</w:t>
            </w:r>
            <w:r>
              <w:rPr>
                <w:rFonts w:cs="Arial"/>
              </w:rPr>
              <w:t>1</w:t>
            </w:r>
            <w:r w:rsidRPr="00A67277">
              <w:rPr>
                <w:rFonts w:cs="Arial"/>
              </w:rPr>
              <w:t>) Month before the Scheduled Commercial Operation Date, the IBE shall prepare and maintain a register of all Works and assets then in existence in connection with the design, construction, operation and/or maintenance of the Facility (the “</w:t>
            </w:r>
            <w:r w:rsidRPr="00A67277">
              <w:rPr>
                <w:rFonts w:cs="Arial"/>
                <w:b/>
              </w:rPr>
              <w:t>Asset Register”</w:t>
            </w:r>
            <w:r w:rsidRPr="00A67277">
              <w:rPr>
                <w:rFonts w:cs="Arial"/>
              </w:rPr>
              <w:t>).</w:t>
            </w:r>
            <w:bookmarkEnd w:id="293"/>
            <w:bookmarkEnd w:id="294"/>
          </w:p>
        </w:tc>
        <w:tc>
          <w:tcPr>
            <w:tcW w:w="169" w:type="pct"/>
          </w:tcPr>
          <w:p w14:paraId="48D5C68F" w14:textId="77777777" w:rsidR="00862B0B" w:rsidRPr="00A67277" w:rsidRDefault="00862B0B" w:rsidP="00862B0B">
            <w:pPr>
              <w:spacing w:before="60" w:after="60"/>
              <w:rPr>
                <w:rFonts w:ascii="Arial" w:hAnsi="Arial" w:cs="Arial"/>
                <w:sz w:val="21"/>
                <w:szCs w:val="21"/>
              </w:rPr>
            </w:pPr>
          </w:p>
        </w:tc>
        <w:tc>
          <w:tcPr>
            <w:tcW w:w="2561" w:type="pct"/>
            <w:gridSpan w:val="2"/>
          </w:tcPr>
          <w:p w14:paraId="4C2F3E68" w14:textId="007E07B4" w:rsidR="00862B0B" w:rsidRPr="00A67277" w:rsidRDefault="00862B0B" w:rsidP="00862B0B">
            <w:pPr>
              <w:pStyle w:val="Level3"/>
              <w:numPr>
                <w:ilvl w:val="2"/>
                <w:numId w:val="384"/>
              </w:numPr>
              <w:tabs>
                <w:tab w:val="clear" w:pos="1417"/>
                <w:tab w:val="num" w:pos="1333"/>
              </w:tabs>
              <w:spacing w:before="60" w:after="60"/>
              <w:ind w:left="1333" w:hanging="425"/>
              <w:rPr>
                <w:rFonts w:cs="Arial"/>
              </w:rPr>
            </w:pPr>
            <w:bookmarkStart w:id="295" w:name="_Toc501178117"/>
            <w:r w:rsidRPr="00A67277">
              <w:rPr>
                <w:rFonts w:cs="Arial"/>
              </w:rPr>
              <w:t xml:space="preserve">Mulai dari tanggal sekurang-kurangnya </w:t>
            </w:r>
            <w:r>
              <w:rPr>
                <w:rFonts w:cs="Arial"/>
              </w:rPr>
              <w:t xml:space="preserve">satu </w:t>
            </w:r>
            <w:r w:rsidRPr="00A67277">
              <w:rPr>
                <w:rFonts w:cs="Arial"/>
              </w:rPr>
              <w:t>(</w:t>
            </w:r>
            <w:r>
              <w:rPr>
                <w:rFonts w:cs="Arial"/>
              </w:rPr>
              <w:t>1</w:t>
            </w:r>
            <w:r w:rsidRPr="00A67277">
              <w:rPr>
                <w:rFonts w:cs="Arial"/>
              </w:rPr>
              <w:t>) Bulan sebelum Tanggal Operasi Operasi Komersial Yang Dijadwalkan, BUP harus menyiapkan dan memelihara daftar dari seluruh Pekerjaan dan aset yang ada sehubungan dengan desain, konstruksi, pengerjaan dan/atau pemeliharaan dari Fasilitas (“</w:t>
            </w:r>
            <w:r w:rsidRPr="00A67277">
              <w:rPr>
                <w:rFonts w:cs="Arial"/>
                <w:b/>
              </w:rPr>
              <w:t>Daftar Aset”</w:t>
            </w:r>
            <w:r w:rsidRPr="00A67277">
              <w:rPr>
                <w:rFonts w:cs="Arial"/>
              </w:rPr>
              <w:t>).</w:t>
            </w:r>
            <w:bookmarkEnd w:id="295"/>
          </w:p>
        </w:tc>
      </w:tr>
      <w:tr w:rsidR="00862B0B" w:rsidRPr="00A67277" w14:paraId="6FCD2767" w14:textId="77777777" w:rsidTr="00862B0B">
        <w:tc>
          <w:tcPr>
            <w:tcW w:w="2270" w:type="pct"/>
          </w:tcPr>
          <w:p w14:paraId="1EF37BE7" w14:textId="77777777" w:rsidR="00862B0B" w:rsidRPr="00A67277" w:rsidRDefault="00862B0B" w:rsidP="00862B0B">
            <w:pPr>
              <w:pStyle w:val="Level3"/>
              <w:numPr>
                <w:ilvl w:val="2"/>
                <w:numId w:val="382"/>
              </w:numPr>
              <w:tabs>
                <w:tab w:val="clear" w:pos="1417"/>
              </w:tabs>
              <w:spacing w:before="60" w:after="60"/>
              <w:ind w:left="1298" w:hanging="425"/>
              <w:rPr>
                <w:rFonts w:cs="Arial"/>
              </w:rPr>
            </w:pPr>
            <w:r w:rsidRPr="00A67277">
              <w:rPr>
                <w:rFonts w:cs="Arial"/>
              </w:rPr>
              <w:t xml:space="preserve">The IBE shall, on the Commercial Operation Date, complete the Asset Register in consultation with the Independent Supervisory Consultant and submit for approval to the Independent Supervisory Consultant both paper and unrestricted electronic versions of the Asset Register. </w:t>
            </w:r>
          </w:p>
        </w:tc>
        <w:tc>
          <w:tcPr>
            <w:tcW w:w="169" w:type="pct"/>
          </w:tcPr>
          <w:p w14:paraId="7DE51FDC" w14:textId="77777777" w:rsidR="00862B0B" w:rsidRPr="00A67277" w:rsidRDefault="00862B0B" w:rsidP="00862B0B">
            <w:pPr>
              <w:spacing w:before="60" w:after="60"/>
              <w:rPr>
                <w:rFonts w:ascii="Arial" w:hAnsi="Arial" w:cs="Arial"/>
                <w:sz w:val="21"/>
                <w:szCs w:val="21"/>
              </w:rPr>
            </w:pPr>
          </w:p>
        </w:tc>
        <w:tc>
          <w:tcPr>
            <w:tcW w:w="2561" w:type="pct"/>
            <w:gridSpan w:val="2"/>
          </w:tcPr>
          <w:p w14:paraId="5A043E0C" w14:textId="77777777" w:rsidR="00862B0B" w:rsidRPr="00A67277" w:rsidRDefault="00862B0B" w:rsidP="00862B0B">
            <w:pPr>
              <w:pStyle w:val="Level3"/>
              <w:numPr>
                <w:ilvl w:val="2"/>
                <w:numId w:val="383"/>
              </w:numPr>
              <w:tabs>
                <w:tab w:val="clear" w:pos="1417"/>
                <w:tab w:val="num" w:pos="1333"/>
              </w:tabs>
              <w:spacing w:before="60" w:after="60"/>
              <w:ind w:left="1333" w:hanging="425"/>
              <w:rPr>
                <w:rFonts w:cs="Arial"/>
              </w:rPr>
            </w:pPr>
            <w:bookmarkStart w:id="296" w:name="_Toc501178118"/>
            <w:r w:rsidRPr="00A67277">
              <w:rPr>
                <w:rFonts w:cs="Arial"/>
              </w:rPr>
              <w:t>BUP harus, pada Tanggal Operasi Komersial, menyelesaikan Daftar Aset dengan berkonsulatasi dengan Konsultan Pengawas Independen dan menyerahkannya untuk disetujui oleh Konsultan Pengawas Independen baik dalam bentuk salinan cetak atau versi elektronik yang tidak dikunci dari Daftar Aset.</w:t>
            </w:r>
            <w:bookmarkEnd w:id="296"/>
          </w:p>
        </w:tc>
      </w:tr>
      <w:tr w:rsidR="00862B0B" w:rsidRPr="00A67277" w14:paraId="0FD4E5A7" w14:textId="77777777" w:rsidTr="00862B0B">
        <w:tc>
          <w:tcPr>
            <w:tcW w:w="2270" w:type="pct"/>
          </w:tcPr>
          <w:p w14:paraId="2C6D7A7A" w14:textId="77777777" w:rsidR="00862B0B" w:rsidRPr="00A67277" w:rsidRDefault="00862B0B" w:rsidP="00862B0B">
            <w:pPr>
              <w:pStyle w:val="Level3"/>
              <w:numPr>
                <w:ilvl w:val="2"/>
                <w:numId w:val="382"/>
              </w:numPr>
              <w:tabs>
                <w:tab w:val="clear" w:pos="1417"/>
              </w:tabs>
              <w:spacing w:before="60" w:after="60"/>
              <w:ind w:left="1298" w:hanging="425"/>
              <w:rPr>
                <w:rFonts w:cs="Arial"/>
              </w:rPr>
            </w:pPr>
            <w:r w:rsidRPr="00A67277">
              <w:rPr>
                <w:rFonts w:cs="Arial"/>
              </w:rPr>
              <w:t>The IBE shall keep the Asset Register updated throughout the Term to take account of the work carried out on and other changes to the Facility, including assets used or acquired for use by the IBE in connection with the performance of its obligations under this Agreement.</w:t>
            </w:r>
          </w:p>
        </w:tc>
        <w:tc>
          <w:tcPr>
            <w:tcW w:w="169" w:type="pct"/>
          </w:tcPr>
          <w:p w14:paraId="7F006F10" w14:textId="77777777" w:rsidR="00862B0B" w:rsidRPr="00A67277" w:rsidRDefault="00862B0B" w:rsidP="00862B0B">
            <w:pPr>
              <w:spacing w:before="60" w:after="60"/>
              <w:rPr>
                <w:rFonts w:ascii="Arial" w:hAnsi="Arial" w:cs="Arial"/>
                <w:sz w:val="21"/>
                <w:szCs w:val="21"/>
              </w:rPr>
            </w:pPr>
          </w:p>
        </w:tc>
        <w:tc>
          <w:tcPr>
            <w:tcW w:w="2561" w:type="pct"/>
            <w:gridSpan w:val="2"/>
          </w:tcPr>
          <w:p w14:paraId="4EB1A35C" w14:textId="77777777" w:rsidR="00862B0B" w:rsidRPr="00A67277" w:rsidRDefault="00862B0B" w:rsidP="00862B0B">
            <w:pPr>
              <w:pStyle w:val="Level3"/>
              <w:numPr>
                <w:ilvl w:val="2"/>
                <w:numId w:val="385"/>
              </w:numPr>
              <w:tabs>
                <w:tab w:val="clear" w:pos="1417"/>
                <w:tab w:val="num" w:pos="1333"/>
              </w:tabs>
              <w:spacing w:before="60" w:after="60"/>
              <w:ind w:left="1333" w:hanging="425"/>
              <w:rPr>
                <w:rFonts w:cs="Arial"/>
              </w:rPr>
            </w:pPr>
            <w:r w:rsidRPr="00A67277">
              <w:rPr>
                <w:rFonts w:cs="Arial"/>
              </w:rPr>
              <w:t>BUP harus memperbaharui Daftar Aset selama Jangka Waktu untuk memperhitungkan pekerjaan yang dilakukan dan perubahan lainnya terhadap Fasilitas, termasuk aset yang dibeli atau digunakan oleh BUP sehubungan dengan pelaksanaan kewajibannya berdasarkan Perjanjian ini.</w:t>
            </w:r>
          </w:p>
        </w:tc>
      </w:tr>
      <w:tr w:rsidR="00862B0B" w:rsidRPr="00A67277" w14:paraId="524E345B" w14:textId="77777777" w:rsidTr="00862B0B">
        <w:tc>
          <w:tcPr>
            <w:tcW w:w="2270" w:type="pct"/>
          </w:tcPr>
          <w:p w14:paraId="757AFA5A" w14:textId="444E7784" w:rsidR="00862B0B" w:rsidRPr="00A67277" w:rsidRDefault="00862B0B" w:rsidP="00862B0B">
            <w:pPr>
              <w:pStyle w:val="Level3"/>
              <w:numPr>
                <w:ilvl w:val="2"/>
                <w:numId w:val="382"/>
              </w:numPr>
              <w:tabs>
                <w:tab w:val="clear" w:pos="1417"/>
              </w:tabs>
              <w:spacing w:before="60" w:after="60"/>
              <w:ind w:left="1298" w:hanging="425"/>
              <w:rPr>
                <w:rFonts w:cs="Arial"/>
              </w:rPr>
            </w:pPr>
            <w:bookmarkStart w:id="297" w:name="_Toc501178119"/>
            <w:r w:rsidRPr="00A67277">
              <w:rPr>
                <w:rFonts w:cs="Arial"/>
              </w:rPr>
              <w:t>GCA shall be entitled, by giving reasonable prior written notice to the IBE, to require the IBE to provide reports in a form and within a time period as agreed between the Parties (each acting reasonably) on any aspect of the Asset Register.</w:t>
            </w:r>
            <w:bookmarkEnd w:id="297"/>
          </w:p>
        </w:tc>
        <w:tc>
          <w:tcPr>
            <w:tcW w:w="169" w:type="pct"/>
          </w:tcPr>
          <w:p w14:paraId="09E341DD" w14:textId="77777777" w:rsidR="00862B0B" w:rsidRPr="00A67277" w:rsidRDefault="00862B0B" w:rsidP="00862B0B">
            <w:pPr>
              <w:spacing w:before="60" w:after="60"/>
              <w:rPr>
                <w:rFonts w:ascii="Arial" w:hAnsi="Arial" w:cs="Arial"/>
                <w:sz w:val="21"/>
                <w:szCs w:val="21"/>
              </w:rPr>
            </w:pPr>
          </w:p>
        </w:tc>
        <w:tc>
          <w:tcPr>
            <w:tcW w:w="2561" w:type="pct"/>
            <w:gridSpan w:val="2"/>
          </w:tcPr>
          <w:p w14:paraId="6E6275CD" w14:textId="77777777" w:rsidR="00862B0B" w:rsidRPr="00A67277" w:rsidRDefault="00862B0B" w:rsidP="00862B0B">
            <w:pPr>
              <w:pStyle w:val="Level3"/>
              <w:numPr>
                <w:ilvl w:val="2"/>
                <w:numId w:val="386"/>
              </w:numPr>
              <w:tabs>
                <w:tab w:val="clear" w:pos="1417"/>
                <w:tab w:val="num" w:pos="1333"/>
              </w:tabs>
              <w:spacing w:before="60" w:after="60"/>
              <w:ind w:left="1333" w:hanging="425"/>
              <w:rPr>
                <w:rFonts w:cs="Arial"/>
              </w:rPr>
            </w:pPr>
            <w:r w:rsidRPr="00A67277">
              <w:rPr>
                <w:rFonts w:cs="Arial"/>
              </w:rPr>
              <w:t>PJPK berhak, dengan memberikan pemberitahuan tertulis sebelumnya kepada BUP, untuk meminta BUP untuk memberikan laporan dalam bentuk dan dalam waktu yang disepakati antara Para Pihak (masing-masing bertindak secara wajar) mengenai segala aspek dari Daftar Aset.</w:t>
            </w:r>
          </w:p>
        </w:tc>
      </w:tr>
      <w:tr w:rsidR="00862B0B" w:rsidRPr="00A67277" w14:paraId="38EA44BD" w14:textId="77777777" w:rsidTr="00862B0B">
        <w:tc>
          <w:tcPr>
            <w:tcW w:w="2270" w:type="pct"/>
          </w:tcPr>
          <w:p w14:paraId="1D3B5CB4" w14:textId="2F0703E8" w:rsidR="00862B0B" w:rsidRPr="00A67277" w:rsidRDefault="00862B0B" w:rsidP="00862B0B">
            <w:pPr>
              <w:pStyle w:val="Level3"/>
              <w:numPr>
                <w:ilvl w:val="2"/>
                <w:numId w:val="382"/>
              </w:numPr>
              <w:tabs>
                <w:tab w:val="clear" w:pos="1417"/>
              </w:tabs>
              <w:spacing w:before="60" w:after="60"/>
              <w:ind w:left="1298" w:hanging="425"/>
              <w:rPr>
                <w:rFonts w:cs="Arial"/>
              </w:rPr>
            </w:pPr>
            <w:bookmarkStart w:id="298" w:name="_Toc501178120"/>
            <w:r w:rsidRPr="00A67277">
              <w:rPr>
                <w:rFonts w:cs="Arial"/>
              </w:rPr>
              <w:t xml:space="preserve">The IBE will have the right to use all Project assets for the purpose of performing its obligations under this Agreement, but not otherwise, coupled with an obligation to preserve, protect, maintain, insure and, where appropriate, repair or replace them. </w:t>
            </w:r>
            <w:bookmarkEnd w:id="298"/>
          </w:p>
        </w:tc>
        <w:tc>
          <w:tcPr>
            <w:tcW w:w="169" w:type="pct"/>
          </w:tcPr>
          <w:p w14:paraId="09603079" w14:textId="77777777" w:rsidR="00862B0B" w:rsidRPr="00A67277" w:rsidRDefault="00862B0B" w:rsidP="00862B0B">
            <w:pPr>
              <w:spacing w:before="60" w:after="60"/>
              <w:rPr>
                <w:rFonts w:ascii="Arial" w:hAnsi="Arial" w:cs="Arial"/>
                <w:sz w:val="21"/>
                <w:szCs w:val="21"/>
              </w:rPr>
            </w:pPr>
          </w:p>
        </w:tc>
        <w:tc>
          <w:tcPr>
            <w:tcW w:w="2561" w:type="pct"/>
            <w:gridSpan w:val="2"/>
          </w:tcPr>
          <w:p w14:paraId="4A304595" w14:textId="77777777" w:rsidR="00862B0B" w:rsidRPr="00A67277" w:rsidRDefault="00862B0B" w:rsidP="00862B0B">
            <w:pPr>
              <w:pStyle w:val="Level3"/>
              <w:numPr>
                <w:ilvl w:val="2"/>
                <w:numId w:val="387"/>
              </w:numPr>
              <w:tabs>
                <w:tab w:val="clear" w:pos="1417"/>
                <w:tab w:val="num" w:pos="1333"/>
              </w:tabs>
              <w:spacing w:before="60" w:after="60"/>
              <w:ind w:left="1333" w:hanging="425"/>
              <w:rPr>
                <w:rFonts w:cs="Arial"/>
              </w:rPr>
            </w:pPr>
            <w:bookmarkStart w:id="299" w:name="_Toc501178121"/>
            <w:r w:rsidRPr="00A67277">
              <w:rPr>
                <w:rFonts w:cs="Arial"/>
              </w:rPr>
              <w:t>BUP mempunyai hak untuk menggunakan seluruh aset Proyek untuk keperluannya untuk melaksanakan kewajiban-kewajibannya berdasarkan Perjanjian ini, dan bukan untuk maksud lain, yang disertai dengan kewajiban untuk mempertahankan, menjaga, memelihara, menjamin dan apabila diperlukan, memperbaiki dan mengganti aset-aset tersebut.</w:t>
            </w:r>
            <w:bookmarkEnd w:id="299"/>
          </w:p>
        </w:tc>
      </w:tr>
      <w:tr w:rsidR="00862B0B" w:rsidRPr="00A67277" w14:paraId="704846A7" w14:textId="77777777" w:rsidTr="00862B0B">
        <w:tc>
          <w:tcPr>
            <w:tcW w:w="2270" w:type="pct"/>
          </w:tcPr>
          <w:p w14:paraId="0E5BD7D0" w14:textId="77777777" w:rsidR="00862B0B" w:rsidRPr="00A67277" w:rsidRDefault="00862B0B" w:rsidP="00862B0B">
            <w:pPr>
              <w:pStyle w:val="Heading2"/>
              <w:keepLines w:val="0"/>
              <w:numPr>
                <w:ilvl w:val="1"/>
                <w:numId w:val="416"/>
              </w:numPr>
              <w:spacing w:before="60" w:after="60"/>
              <w:ind w:left="1170" w:hanging="723"/>
              <w:jc w:val="both"/>
              <w:outlineLvl w:val="1"/>
              <w:rPr>
                <w:color w:val="auto"/>
              </w:rPr>
            </w:pPr>
            <w:r w:rsidRPr="00A67277">
              <w:rPr>
                <w:rFonts w:ascii="Arial" w:hAnsi="Arial" w:cs="Arial"/>
                <w:b/>
                <w:color w:val="auto"/>
                <w:sz w:val="21"/>
                <w:szCs w:val="21"/>
              </w:rPr>
              <w:t>Disclaimer</w:t>
            </w:r>
          </w:p>
        </w:tc>
        <w:tc>
          <w:tcPr>
            <w:tcW w:w="169" w:type="pct"/>
          </w:tcPr>
          <w:p w14:paraId="7472EF2C" w14:textId="77777777" w:rsidR="00862B0B" w:rsidRPr="00A67277" w:rsidRDefault="00862B0B" w:rsidP="00862B0B">
            <w:pPr>
              <w:spacing w:before="60" w:after="60"/>
              <w:rPr>
                <w:rFonts w:ascii="Arial" w:hAnsi="Arial" w:cs="Arial"/>
                <w:sz w:val="21"/>
                <w:szCs w:val="21"/>
              </w:rPr>
            </w:pPr>
          </w:p>
        </w:tc>
        <w:tc>
          <w:tcPr>
            <w:tcW w:w="2561" w:type="pct"/>
            <w:gridSpan w:val="2"/>
          </w:tcPr>
          <w:p w14:paraId="784E560E" w14:textId="77777777" w:rsidR="00862B0B" w:rsidRPr="00A67277" w:rsidRDefault="00862B0B" w:rsidP="00862B0B">
            <w:pPr>
              <w:pStyle w:val="Heading2"/>
              <w:keepLines w:val="0"/>
              <w:numPr>
                <w:ilvl w:val="1"/>
                <w:numId w:val="360"/>
              </w:numPr>
              <w:spacing w:before="60" w:after="60"/>
              <w:ind w:left="882" w:hanging="162"/>
              <w:outlineLvl w:val="1"/>
              <w:rPr>
                <w:rFonts w:ascii="Arial" w:hAnsi="Arial" w:cs="Arial"/>
                <w:b/>
                <w:color w:val="auto"/>
                <w:sz w:val="21"/>
                <w:szCs w:val="21"/>
              </w:rPr>
            </w:pPr>
            <w:r w:rsidRPr="00A67277">
              <w:rPr>
                <w:rFonts w:ascii="Arial" w:hAnsi="Arial" w:cs="Arial"/>
                <w:b/>
                <w:color w:val="auto"/>
                <w:sz w:val="21"/>
                <w:szCs w:val="21"/>
              </w:rPr>
              <w:t>Penyangkalan</w:t>
            </w:r>
          </w:p>
        </w:tc>
      </w:tr>
      <w:tr w:rsidR="00862B0B" w:rsidRPr="00A67277" w14:paraId="4FFA3EDB" w14:textId="77777777" w:rsidTr="00862B0B">
        <w:tc>
          <w:tcPr>
            <w:tcW w:w="2270" w:type="pct"/>
          </w:tcPr>
          <w:p w14:paraId="583BC431" w14:textId="212F4EF1" w:rsidR="00862B0B" w:rsidRPr="00A67277" w:rsidRDefault="00862B0B" w:rsidP="00862B0B">
            <w:pPr>
              <w:pStyle w:val="Level3"/>
              <w:spacing w:before="60" w:after="60"/>
              <w:ind w:left="1298"/>
              <w:rPr>
                <w:rFonts w:cs="Arial"/>
              </w:rPr>
            </w:pPr>
            <w:r w:rsidRPr="00A67277">
              <w:t>No review or approval by GCA of the Project Agreements or any other agreement, document, instrument, drawing, specification or design proposed by the IBE concerning the Project shall relieve the IBE from any liability that it would otherwise have had in respect of or under such agreement, document, instrument, drawing, specification or design or failure to comply with applicable Laws with respect thereto nor shall GCA or any of its representatives or advisers be liable to the IBE or any other person by reason of its review or approval of an agreement, document, instrument, drawing, specification, or design.</w:t>
            </w:r>
          </w:p>
        </w:tc>
        <w:tc>
          <w:tcPr>
            <w:tcW w:w="169" w:type="pct"/>
          </w:tcPr>
          <w:p w14:paraId="07E27CCC" w14:textId="77777777" w:rsidR="00862B0B" w:rsidRPr="00A67277" w:rsidRDefault="00862B0B" w:rsidP="00862B0B">
            <w:pPr>
              <w:spacing w:before="60" w:after="60"/>
              <w:rPr>
                <w:rFonts w:ascii="Arial" w:hAnsi="Arial" w:cs="Arial"/>
                <w:sz w:val="21"/>
                <w:szCs w:val="21"/>
              </w:rPr>
            </w:pPr>
          </w:p>
        </w:tc>
        <w:tc>
          <w:tcPr>
            <w:tcW w:w="2561" w:type="pct"/>
            <w:gridSpan w:val="2"/>
          </w:tcPr>
          <w:p w14:paraId="16DA4E4B" w14:textId="77777777" w:rsidR="00862B0B" w:rsidRPr="00A67277" w:rsidRDefault="00862B0B" w:rsidP="00862B0B">
            <w:pPr>
              <w:pStyle w:val="Level3"/>
              <w:spacing w:before="60" w:after="60"/>
              <w:ind w:left="882"/>
              <w:rPr>
                <w:rFonts w:cs="Arial"/>
              </w:rPr>
            </w:pPr>
            <w:r w:rsidRPr="00A67277">
              <w:t>Tidak ada kajian atau persetujuan dari PJPK terhadap Perjanjian Proyek, atau perjanjian, dokumen, instrumen, gambar, spesifikasi atau desain lain yang diajukan oleh BUP mengenai Proyek yang membebaskan BUP dari segala kewajiban yang seharusnya dimiliki sehubungan dengan atau berdasarkan perjanjian, dokumen, instrumen, gambar, spesifikasi atau desain tersebut atau kegagalan untuk mematuhi Hukum yang berlaku sehubungan dengan hal tersebut, dan tidak pula PJPK atau perwakilan atau penasihatnya bertanggung jawab kepada BUP atau orang lain dengan alasan kajian atau persetujuannya terhadap suatu perjanjian, dokumen, instrumen, gambar, spesifikasi, atau desain.</w:t>
            </w:r>
          </w:p>
        </w:tc>
      </w:tr>
      <w:tr w:rsidR="00862B0B" w:rsidRPr="00A67277" w14:paraId="71C424FC" w14:textId="77777777" w:rsidTr="00862B0B">
        <w:tc>
          <w:tcPr>
            <w:tcW w:w="2270" w:type="pct"/>
          </w:tcPr>
          <w:p w14:paraId="4E4A2675" w14:textId="77777777" w:rsidR="00862B0B" w:rsidRPr="00A67277" w:rsidRDefault="00862B0B" w:rsidP="00862B0B">
            <w:pPr>
              <w:pStyle w:val="CentredHeading"/>
              <w:numPr>
                <w:ilvl w:val="0"/>
                <w:numId w:val="470"/>
              </w:numPr>
              <w:spacing w:before="60" w:after="60"/>
              <w:ind w:left="460" w:hanging="460"/>
              <w:jc w:val="both"/>
              <w:rPr>
                <w:rFonts w:cs="Arial"/>
              </w:rPr>
            </w:pPr>
            <w:r w:rsidRPr="00A67277">
              <w:rPr>
                <w:rFonts w:cs="Arial"/>
              </w:rPr>
              <w:t>Development and Construction and Commercial Operation Date</w:t>
            </w:r>
          </w:p>
        </w:tc>
        <w:tc>
          <w:tcPr>
            <w:tcW w:w="169" w:type="pct"/>
          </w:tcPr>
          <w:p w14:paraId="0DB23A9D" w14:textId="77777777" w:rsidR="00862B0B" w:rsidRPr="00A67277" w:rsidRDefault="00862B0B" w:rsidP="00862B0B">
            <w:pPr>
              <w:spacing w:before="60" w:after="60"/>
              <w:rPr>
                <w:rFonts w:ascii="Arial" w:hAnsi="Arial" w:cs="Arial"/>
                <w:sz w:val="21"/>
                <w:szCs w:val="21"/>
              </w:rPr>
            </w:pPr>
          </w:p>
        </w:tc>
        <w:tc>
          <w:tcPr>
            <w:tcW w:w="2561" w:type="pct"/>
            <w:gridSpan w:val="2"/>
          </w:tcPr>
          <w:p w14:paraId="097F3FED" w14:textId="77777777" w:rsidR="00862B0B" w:rsidRPr="00A67277" w:rsidRDefault="00862B0B" w:rsidP="00862B0B">
            <w:pPr>
              <w:pStyle w:val="CentredHeading"/>
              <w:numPr>
                <w:ilvl w:val="0"/>
                <w:numId w:val="423"/>
              </w:numPr>
              <w:spacing w:before="60" w:after="60"/>
              <w:ind w:left="432"/>
              <w:jc w:val="both"/>
              <w:rPr>
                <w:rFonts w:cs="Arial"/>
              </w:rPr>
            </w:pPr>
            <w:r w:rsidRPr="00A67277">
              <w:rPr>
                <w:rFonts w:cs="Arial"/>
              </w:rPr>
              <w:t>Pengembangan dan Konstruksi serta Tanggal Operasi Komersial</w:t>
            </w:r>
          </w:p>
        </w:tc>
      </w:tr>
      <w:tr w:rsidR="00862B0B" w:rsidRPr="00A67277" w14:paraId="539A7FE4" w14:textId="77777777" w:rsidTr="00862B0B">
        <w:tc>
          <w:tcPr>
            <w:tcW w:w="2270" w:type="pct"/>
          </w:tcPr>
          <w:p w14:paraId="0CCBD91A" w14:textId="387B0765" w:rsidR="00862B0B" w:rsidRPr="00A67277" w:rsidRDefault="00862B0B" w:rsidP="00862B0B">
            <w:pPr>
              <w:pStyle w:val="Heading2"/>
              <w:keepLines w:val="0"/>
              <w:numPr>
                <w:ilvl w:val="1"/>
                <w:numId w:val="422"/>
              </w:numPr>
              <w:spacing w:before="60" w:after="60"/>
              <w:jc w:val="both"/>
              <w:outlineLvl w:val="1"/>
              <w:rPr>
                <w:rFonts w:ascii="Arial" w:hAnsi="Arial" w:cs="Arial"/>
                <w:color w:val="auto"/>
                <w:sz w:val="21"/>
                <w:szCs w:val="21"/>
              </w:rPr>
            </w:pPr>
            <w:bookmarkStart w:id="300" w:name="_Toc501178122"/>
            <w:r w:rsidRPr="00A67277">
              <w:rPr>
                <w:rFonts w:ascii="Arial" w:hAnsi="Arial" w:cs="Arial"/>
                <w:b/>
                <w:color w:val="auto"/>
                <w:sz w:val="21"/>
                <w:szCs w:val="21"/>
              </w:rPr>
              <w:t xml:space="preserve">Development and Construction </w:t>
            </w:r>
            <w:bookmarkEnd w:id="300"/>
          </w:p>
        </w:tc>
        <w:tc>
          <w:tcPr>
            <w:tcW w:w="169" w:type="pct"/>
          </w:tcPr>
          <w:p w14:paraId="0354702C" w14:textId="77777777" w:rsidR="00862B0B" w:rsidRPr="00A67277" w:rsidRDefault="00862B0B" w:rsidP="00862B0B">
            <w:pPr>
              <w:spacing w:before="60" w:after="60"/>
              <w:rPr>
                <w:rFonts w:ascii="Arial" w:hAnsi="Arial" w:cs="Arial"/>
                <w:sz w:val="21"/>
                <w:szCs w:val="21"/>
              </w:rPr>
            </w:pPr>
          </w:p>
        </w:tc>
        <w:tc>
          <w:tcPr>
            <w:tcW w:w="2561" w:type="pct"/>
            <w:gridSpan w:val="2"/>
          </w:tcPr>
          <w:p w14:paraId="59600486" w14:textId="77777777" w:rsidR="00862B0B" w:rsidRPr="00A67277" w:rsidRDefault="00862B0B" w:rsidP="00862B0B">
            <w:pPr>
              <w:pStyle w:val="Level2"/>
              <w:numPr>
                <w:ilvl w:val="1"/>
                <w:numId w:val="388"/>
              </w:numPr>
              <w:spacing w:before="60" w:after="60"/>
              <w:rPr>
                <w:rFonts w:cs="Arial"/>
                <w:b/>
              </w:rPr>
            </w:pPr>
            <w:r w:rsidRPr="00A67277">
              <w:rPr>
                <w:rFonts w:cs="Arial"/>
                <w:b/>
              </w:rPr>
              <w:t>Pengembangan dan Konstruksi</w:t>
            </w:r>
          </w:p>
        </w:tc>
      </w:tr>
      <w:tr w:rsidR="00862B0B" w:rsidRPr="00A67277" w14:paraId="24F03741" w14:textId="77777777" w:rsidTr="00862B0B">
        <w:tc>
          <w:tcPr>
            <w:tcW w:w="2270" w:type="pct"/>
          </w:tcPr>
          <w:p w14:paraId="69293E4B" w14:textId="79ABBCA8" w:rsidR="00862B0B" w:rsidRPr="00A67277" w:rsidRDefault="00862B0B" w:rsidP="00862B0B">
            <w:pPr>
              <w:pStyle w:val="Level3"/>
              <w:numPr>
                <w:ilvl w:val="2"/>
                <w:numId w:val="548"/>
              </w:numPr>
              <w:spacing w:before="60" w:after="60"/>
              <w:ind w:hanging="566"/>
              <w:rPr>
                <w:rFonts w:cs="Arial"/>
              </w:rPr>
            </w:pPr>
            <w:bookmarkStart w:id="301" w:name="_Toc501178123"/>
            <w:r w:rsidRPr="00A67277">
              <w:rPr>
                <w:rFonts w:cs="Arial"/>
              </w:rPr>
              <w:t>The IBE shall be responsible for the development and construction of the Facility in accordance with Appendix 5 (</w:t>
            </w:r>
            <w:r w:rsidRPr="00A67277">
              <w:rPr>
                <w:rFonts w:cs="Arial"/>
                <w:i/>
              </w:rPr>
              <w:t>Design and Technical Specifications</w:t>
            </w:r>
            <w:r w:rsidRPr="00A67277">
              <w:rPr>
                <w:rFonts w:cs="Arial"/>
              </w:rPr>
              <w:t xml:space="preserve">). </w:t>
            </w:r>
            <w:bookmarkEnd w:id="301"/>
          </w:p>
        </w:tc>
        <w:tc>
          <w:tcPr>
            <w:tcW w:w="169" w:type="pct"/>
          </w:tcPr>
          <w:p w14:paraId="6E47B5BC" w14:textId="77777777" w:rsidR="00862B0B" w:rsidRPr="00A67277" w:rsidRDefault="00862B0B" w:rsidP="00862B0B">
            <w:pPr>
              <w:spacing w:before="60" w:after="60"/>
              <w:rPr>
                <w:rFonts w:ascii="Arial" w:hAnsi="Arial" w:cs="Arial"/>
                <w:sz w:val="21"/>
                <w:szCs w:val="21"/>
              </w:rPr>
            </w:pPr>
          </w:p>
        </w:tc>
        <w:tc>
          <w:tcPr>
            <w:tcW w:w="2561" w:type="pct"/>
            <w:gridSpan w:val="2"/>
          </w:tcPr>
          <w:p w14:paraId="5013DC1D" w14:textId="24E11E6F" w:rsidR="00862B0B" w:rsidRPr="00A67277" w:rsidRDefault="00862B0B" w:rsidP="00862B0B">
            <w:pPr>
              <w:pStyle w:val="Level3"/>
              <w:numPr>
                <w:ilvl w:val="2"/>
                <w:numId w:val="549"/>
              </w:numPr>
              <w:spacing w:before="60" w:after="60"/>
              <w:ind w:hanging="535"/>
              <w:rPr>
                <w:rFonts w:cs="Arial"/>
              </w:rPr>
            </w:pPr>
            <w:bookmarkStart w:id="302" w:name="_Toc501178124"/>
            <w:r w:rsidRPr="00A67277">
              <w:rPr>
                <w:rFonts w:cs="Arial"/>
              </w:rPr>
              <w:t>BUP bertanggung jawab terhadap pengembangan dan konstruksi Fasilitas sebagaimana diatur dalam Lampiran 5 (</w:t>
            </w:r>
            <w:r w:rsidRPr="00A67277">
              <w:rPr>
                <w:rFonts w:cs="Arial"/>
                <w:i/>
              </w:rPr>
              <w:t>Spesifikasi Desain dan Teknis</w:t>
            </w:r>
            <w:r w:rsidRPr="00A67277">
              <w:rPr>
                <w:rFonts w:cs="Arial"/>
              </w:rPr>
              <w:t>)</w:t>
            </w:r>
            <w:bookmarkEnd w:id="302"/>
            <w:r w:rsidRPr="00A67277">
              <w:rPr>
                <w:rFonts w:cs="Arial"/>
              </w:rPr>
              <w:t>.</w:t>
            </w:r>
          </w:p>
        </w:tc>
      </w:tr>
      <w:tr w:rsidR="00862B0B" w:rsidRPr="00A67277" w14:paraId="792D0994" w14:textId="77777777" w:rsidTr="00862B0B">
        <w:tc>
          <w:tcPr>
            <w:tcW w:w="2270" w:type="pct"/>
          </w:tcPr>
          <w:p w14:paraId="2E846F9D" w14:textId="7E9E5040" w:rsidR="00862B0B" w:rsidRPr="00A67277" w:rsidRDefault="00862B0B" w:rsidP="00862B0B">
            <w:pPr>
              <w:pStyle w:val="Level3"/>
              <w:numPr>
                <w:ilvl w:val="2"/>
                <w:numId w:val="548"/>
              </w:numPr>
              <w:spacing w:before="60" w:after="60"/>
              <w:rPr>
                <w:rFonts w:cs="Arial"/>
              </w:rPr>
            </w:pPr>
            <w:r w:rsidRPr="00A67277">
              <w:rPr>
                <w:rFonts w:cs="Arial"/>
              </w:rPr>
              <w:t xml:space="preserve">During the development and construction of </w:t>
            </w:r>
            <w:r>
              <w:rPr>
                <w:rFonts w:cs="Arial"/>
              </w:rPr>
              <w:t>Facility</w:t>
            </w:r>
            <w:r w:rsidRPr="00A67277">
              <w:rPr>
                <w:rFonts w:cs="Arial"/>
              </w:rPr>
              <w:t>, IBE  shall make available</w:t>
            </w:r>
            <w:r>
              <w:rPr>
                <w:rFonts w:cs="Arial"/>
              </w:rPr>
              <w:t xml:space="preserve"> </w:t>
            </w:r>
            <w:r w:rsidRPr="00A67277">
              <w:rPr>
                <w:rFonts w:cs="Arial"/>
              </w:rPr>
              <w:t>the User MLFF System Device for the Toll Road Users to use the system.</w:t>
            </w:r>
          </w:p>
        </w:tc>
        <w:tc>
          <w:tcPr>
            <w:tcW w:w="169" w:type="pct"/>
          </w:tcPr>
          <w:p w14:paraId="29BA99F3" w14:textId="77777777" w:rsidR="00862B0B" w:rsidRPr="00A67277" w:rsidRDefault="00862B0B" w:rsidP="00862B0B">
            <w:pPr>
              <w:spacing w:before="60" w:after="60"/>
              <w:rPr>
                <w:rFonts w:ascii="Arial" w:hAnsi="Arial" w:cs="Arial"/>
                <w:sz w:val="21"/>
                <w:szCs w:val="21"/>
              </w:rPr>
            </w:pPr>
          </w:p>
        </w:tc>
        <w:tc>
          <w:tcPr>
            <w:tcW w:w="2561" w:type="pct"/>
            <w:gridSpan w:val="2"/>
          </w:tcPr>
          <w:p w14:paraId="76B0D6CA" w14:textId="1A79B3BE" w:rsidR="00862B0B" w:rsidRPr="00A67277" w:rsidRDefault="00862B0B" w:rsidP="00862B0B">
            <w:pPr>
              <w:pStyle w:val="Level3"/>
              <w:numPr>
                <w:ilvl w:val="2"/>
                <w:numId w:val="549"/>
              </w:numPr>
              <w:spacing w:before="60" w:after="60"/>
              <w:ind w:hanging="535"/>
              <w:rPr>
                <w:rFonts w:cs="Arial"/>
              </w:rPr>
            </w:pPr>
            <w:r w:rsidRPr="00A67277">
              <w:rPr>
                <w:rFonts w:cs="Arial"/>
              </w:rPr>
              <w:t>Selama pengembangan dan konstruksi Sistem MLFF, BUP harus menyediakan Perangkat Sistem MLFF Pengguna untuk Pengguna Jalan Tol agar dapat menggunakan sistem</w:t>
            </w:r>
          </w:p>
        </w:tc>
      </w:tr>
      <w:tr w:rsidR="00862B0B" w:rsidRPr="00A67277" w14:paraId="341F27CB" w14:textId="77777777" w:rsidTr="00862B0B">
        <w:tc>
          <w:tcPr>
            <w:tcW w:w="2270" w:type="pct"/>
          </w:tcPr>
          <w:p w14:paraId="69489DAB" w14:textId="77777777" w:rsidR="00862B0B" w:rsidRPr="00A67277" w:rsidRDefault="00862B0B" w:rsidP="00862B0B">
            <w:pPr>
              <w:pStyle w:val="Level3"/>
              <w:numPr>
                <w:ilvl w:val="2"/>
                <w:numId w:val="548"/>
              </w:numPr>
              <w:spacing w:before="60" w:after="60"/>
              <w:rPr>
                <w:rFonts w:cs="Arial"/>
              </w:rPr>
            </w:pPr>
            <w:r w:rsidRPr="00A67277">
              <w:rPr>
                <w:rFonts w:cs="Arial"/>
              </w:rPr>
              <w:t>During the development and construction activities, the IBE shall;</w:t>
            </w:r>
          </w:p>
        </w:tc>
        <w:tc>
          <w:tcPr>
            <w:tcW w:w="169" w:type="pct"/>
          </w:tcPr>
          <w:p w14:paraId="21D5A820" w14:textId="77777777" w:rsidR="00862B0B" w:rsidRPr="00A67277" w:rsidRDefault="00862B0B" w:rsidP="00862B0B">
            <w:pPr>
              <w:spacing w:before="60" w:after="60"/>
              <w:rPr>
                <w:rFonts w:ascii="Arial" w:hAnsi="Arial" w:cs="Arial"/>
                <w:sz w:val="21"/>
                <w:szCs w:val="21"/>
              </w:rPr>
            </w:pPr>
          </w:p>
        </w:tc>
        <w:tc>
          <w:tcPr>
            <w:tcW w:w="2561" w:type="pct"/>
            <w:gridSpan w:val="2"/>
          </w:tcPr>
          <w:p w14:paraId="1C9FA8E5" w14:textId="77777777" w:rsidR="00862B0B" w:rsidRPr="00A67277" w:rsidRDefault="00862B0B" w:rsidP="00862B0B">
            <w:pPr>
              <w:pStyle w:val="Level3"/>
              <w:numPr>
                <w:ilvl w:val="2"/>
                <w:numId w:val="549"/>
              </w:numPr>
              <w:spacing w:before="60" w:after="60"/>
              <w:ind w:hanging="535"/>
              <w:rPr>
                <w:rFonts w:cs="Arial"/>
              </w:rPr>
            </w:pPr>
            <w:r w:rsidRPr="00A67277">
              <w:rPr>
                <w:rFonts w:cs="Arial"/>
              </w:rPr>
              <w:t xml:space="preserve">Selama kegiatan pengembangan dan konstruksi, BUP harus: </w:t>
            </w:r>
          </w:p>
        </w:tc>
      </w:tr>
      <w:tr w:rsidR="00862B0B" w:rsidRPr="00A67277" w14:paraId="7E16FEE0" w14:textId="77777777" w:rsidTr="00862B0B">
        <w:tc>
          <w:tcPr>
            <w:tcW w:w="2270" w:type="pct"/>
          </w:tcPr>
          <w:p w14:paraId="2A465EFB" w14:textId="77777777" w:rsidR="00862B0B" w:rsidRPr="00A67277" w:rsidRDefault="00862B0B" w:rsidP="00862B0B">
            <w:pPr>
              <w:pStyle w:val="Level3"/>
              <w:numPr>
                <w:ilvl w:val="0"/>
                <w:numId w:val="554"/>
              </w:numPr>
              <w:spacing w:before="60" w:after="60"/>
              <w:ind w:left="1800"/>
              <w:rPr>
                <w:rFonts w:cs="Arial"/>
              </w:rPr>
            </w:pPr>
            <w:r w:rsidRPr="00A67277">
              <w:rPr>
                <w:rFonts w:cs="Arial"/>
              </w:rPr>
              <w:t>ensure that the Works are carried out in accordance with the environmental, health and safety standards expected of prudent and diligent professionals carrying out such works;</w:t>
            </w:r>
          </w:p>
        </w:tc>
        <w:tc>
          <w:tcPr>
            <w:tcW w:w="169" w:type="pct"/>
          </w:tcPr>
          <w:p w14:paraId="68B67A8E" w14:textId="77777777" w:rsidR="00862B0B" w:rsidRPr="00A67277" w:rsidRDefault="00862B0B" w:rsidP="00862B0B">
            <w:pPr>
              <w:spacing w:before="60" w:after="60"/>
              <w:rPr>
                <w:rFonts w:ascii="Arial" w:hAnsi="Arial" w:cs="Arial"/>
                <w:sz w:val="21"/>
                <w:szCs w:val="21"/>
              </w:rPr>
            </w:pPr>
          </w:p>
        </w:tc>
        <w:tc>
          <w:tcPr>
            <w:tcW w:w="2561" w:type="pct"/>
            <w:gridSpan w:val="2"/>
          </w:tcPr>
          <w:p w14:paraId="3B887C58" w14:textId="77777777" w:rsidR="00862B0B" w:rsidRPr="00A67277" w:rsidRDefault="00862B0B" w:rsidP="00862B0B">
            <w:pPr>
              <w:pStyle w:val="Level3"/>
              <w:numPr>
                <w:ilvl w:val="0"/>
                <w:numId w:val="555"/>
              </w:numPr>
              <w:spacing w:before="60" w:after="60"/>
              <w:ind w:left="1800"/>
              <w:rPr>
                <w:rFonts w:cs="Arial"/>
              </w:rPr>
            </w:pPr>
            <w:r w:rsidRPr="00A67277">
              <w:rPr>
                <w:rFonts w:cs="Arial"/>
              </w:rPr>
              <w:t>memastikan bahwa Pekerjaan dilaksanakan sesuai dengan standar lingkungan, kesehatan dan keselamatan yang diharapkan dari para profesional yang hati-hati dan tekun melakukan pekerjaan semacam itu;</w:t>
            </w:r>
          </w:p>
        </w:tc>
      </w:tr>
      <w:tr w:rsidR="00862B0B" w:rsidRPr="00A67277" w14:paraId="7811F6C7" w14:textId="77777777" w:rsidTr="00862B0B">
        <w:tc>
          <w:tcPr>
            <w:tcW w:w="2270" w:type="pct"/>
          </w:tcPr>
          <w:p w14:paraId="533CDF72" w14:textId="77777777" w:rsidR="00862B0B" w:rsidRPr="00A67277" w:rsidRDefault="00862B0B" w:rsidP="00862B0B">
            <w:pPr>
              <w:pStyle w:val="Level3"/>
              <w:numPr>
                <w:ilvl w:val="0"/>
                <w:numId w:val="554"/>
              </w:numPr>
              <w:spacing w:before="60" w:after="60"/>
              <w:ind w:left="1800"/>
              <w:rPr>
                <w:rFonts w:cs="Arial"/>
              </w:rPr>
            </w:pPr>
            <w:r w:rsidRPr="00A67277">
              <w:rPr>
                <w:rFonts w:cs="Arial"/>
              </w:rPr>
              <w:t xml:space="preserve">ensure that all the Works, materials, equiment, and system (including software and information technology systems) are up-todate and not obsolete and in good condition and conform with the Key Peformance Indicators, Law, Authorisations, Good Industry Practice and the other requirements of this Agreemen; </w:t>
            </w:r>
          </w:p>
        </w:tc>
        <w:tc>
          <w:tcPr>
            <w:tcW w:w="169" w:type="pct"/>
          </w:tcPr>
          <w:p w14:paraId="6154ECDB" w14:textId="77777777" w:rsidR="00862B0B" w:rsidRPr="00A67277" w:rsidRDefault="00862B0B" w:rsidP="00862B0B">
            <w:pPr>
              <w:spacing w:before="60" w:after="60"/>
              <w:rPr>
                <w:rFonts w:ascii="Arial" w:hAnsi="Arial" w:cs="Arial"/>
                <w:sz w:val="21"/>
                <w:szCs w:val="21"/>
              </w:rPr>
            </w:pPr>
          </w:p>
        </w:tc>
        <w:tc>
          <w:tcPr>
            <w:tcW w:w="2561" w:type="pct"/>
            <w:gridSpan w:val="2"/>
          </w:tcPr>
          <w:p w14:paraId="120F829A" w14:textId="76169997" w:rsidR="00862B0B" w:rsidRPr="00A67277" w:rsidRDefault="00862B0B" w:rsidP="00862B0B">
            <w:pPr>
              <w:pStyle w:val="Level3"/>
              <w:numPr>
                <w:ilvl w:val="0"/>
                <w:numId w:val="555"/>
              </w:numPr>
              <w:spacing w:before="60" w:after="60"/>
              <w:ind w:left="1800"/>
              <w:rPr>
                <w:rFonts w:cs="Arial"/>
              </w:rPr>
            </w:pPr>
            <w:r w:rsidRPr="00A67277">
              <w:rPr>
                <w:rFonts w:cs="Arial"/>
              </w:rPr>
              <w:t>memastikan bahwa seluruh Pekerjaan, bahan material, peralatan, dan sistem (termasuk perangkat lunak dan sistem informasi teknologi) adalah yang terbaru dan tidak usang dan dalam keadaan yang baik serta sesuai dengan Indikator Kinerja Utama, Hukum, Persetujuan, Praktik Industri Yang Baik dan persyaratan lainnya dalam Perjanjian ini;</w:t>
            </w:r>
          </w:p>
        </w:tc>
      </w:tr>
      <w:tr w:rsidR="00862B0B" w:rsidRPr="00A67277" w14:paraId="3BE27579" w14:textId="77777777" w:rsidTr="00862B0B">
        <w:tc>
          <w:tcPr>
            <w:tcW w:w="2270" w:type="pct"/>
          </w:tcPr>
          <w:p w14:paraId="64353045" w14:textId="77777777" w:rsidR="00862B0B" w:rsidRPr="00A67277" w:rsidRDefault="00862B0B" w:rsidP="00862B0B">
            <w:pPr>
              <w:pStyle w:val="Level3"/>
              <w:numPr>
                <w:ilvl w:val="0"/>
                <w:numId w:val="554"/>
              </w:numPr>
              <w:spacing w:before="60" w:after="60"/>
              <w:ind w:left="1800"/>
              <w:rPr>
                <w:rFonts w:cs="Arial"/>
              </w:rPr>
            </w:pPr>
            <w:r w:rsidRPr="00A67277">
              <w:rPr>
                <w:rFonts w:cs="Arial"/>
              </w:rPr>
              <w:t>ensure that the Works do not adversely and materially interfere with the lawful activities of other persons; and</w:t>
            </w:r>
          </w:p>
        </w:tc>
        <w:tc>
          <w:tcPr>
            <w:tcW w:w="169" w:type="pct"/>
          </w:tcPr>
          <w:p w14:paraId="6789AA32" w14:textId="77777777" w:rsidR="00862B0B" w:rsidRPr="00A67277" w:rsidRDefault="00862B0B" w:rsidP="00862B0B">
            <w:pPr>
              <w:spacing w:before="60" w:after="60"/>
              <w:rPr>
                <w:rFonts w:ascii="Arial" w:hAnsi="Arial" w:cs="Arial"/>
                <w:sz w:val="21"/>
                <w:szCs w:val="21"/>
              </w:rPr>
            </w:pPr>
          </w:p>
        </w:tc>
        <w:tc>
          <w:tcPr>
            <w:tcW w:w="2561" w:type="pct"/>
            <w:gridSpan w:val="2"/>
          </w:tcPr>
          <w:p w14:paraId="275325EB" w14:textId="77777777" w:rsidR="00862B0B" w:rsidRPr="00A67277" w:rsidRDefault="00862B0B" w:rsidP="00862B0B">
            <w:pPr>
              <w:pStyle w:val="Level3"/>
              <w:numPr>
                <w:ilvl w:val="0"/>
                <w:numId w:val="555"/>
              </w:numPr>
              <w:spacing w:before="60" w:after="60"/>
              <w:ind w:left="1800"/>
              <w:rPr>
                <w:rFonts w:cs="Arial"/>
              </w:rPr>
            </w:pPr>
            <w:r w:rsidRPr="00A67277">
              <w:rPr>
                <w:rFonts w:cs="Arial"/>
              </w:rPr>
              <w:t>memastikan bahwa Pekerjaan tidak merugikan dan tidak secara material menganggu kegiatan yang sah dari individu-individu lainnya;</w:t>
            </w:r>
          </w:p>
        </w:tc>
      </w:tr>
      <w:tr w:rsidR="00862B0B" w:rsidRPr="00A67277" w14:paraId="319831ED" w14:textId="77777777" w:rsidTr="00862B0B">
        <w:tc>
          <w:tcPr>
            <w:tcW w:w="2270" w:type="pct"/>
          </w:tcPr>
          <w:p w14:paraId="79C17945" w14:textId="77777777" w:rsidR="00862B0B" w:rsidRPr="00A67277" w:rsidRDefault="00862B0B" w:rsidP="00862B0B">
            <w:pPr>
              <w:pStyle w:val="Level3"/>
              <w:numPr>
                <w:ilvl w:val="0"/>
                <w:numId w:val="554"/>
              </w:numPr>
              <w:spacing w:before="60" w:after="60"/>
              <w:ind w:left="1800"/>
              <w:rPr>
                <w:rFonts w:cs="Arial"/>
              </w:rPr>
            </w:pPr>
            <w:r w:rsidRPr="00A67277">
              <w:rPr>
                <w:rFonts w:cs="Arial"/>
              </w:rPr>
              <w:t>ensure that the Facility is designed, developed, dan built in accordance with the Design Document.</w:t>
            </w:r>
          </w:p>
        </w:tc>
        <w:tc>
          <w:tcPr>
            <w:tcW w:w="169" w:type="pct"/>
          </w:tcPr>
          <w:p w14:paraId="0E5655DD" w14:textId="77777777" w:rsidR="00862B0B" w:rsidRPr="00A67277" w:rsidRDefault="00862B0B" w:rsidP="00862B0B">
            <w:pPr>
              <w:spacing w:before="60" w:after="60"/>
              <w:rPr>
                <w:rFonts w:ascii="Arial" w:hAnsi="Arial" w:cs="Arial"/>
                <w:sz w:val="21"/>
                <w:szCs w:val="21"/>
              </w:rPr>
            </w:pPr>
          </w:p>
        </w:tc>
        <w:tc>
          <w:tcPr>
            <w:tcW w:w="2561" w:type="pct"/>
            <w:gridSpan w:val="2"/>
          </w:tcPr>
          <w:p w14:paraId="2128B443" w14:textId="77777777" w:rsidR="00862B0B" w:rsidRPr="00A67277" w:rsidRDefault="00862B0B" w:rsidP="00862B0B">
            <w:pPr>
              <w:pStyle w:val="Level3"/>
              <w:numPr>
                <w:ilvl w:val="0"/>
                <w:numId w:val="555"/>
              </w:numPr>
              <w:spacing w:before="60" w:after="60"/>
              <w:ind w:left="1800"/>
              <w:rPr>
                <w:rFonts w:cs="Arial"/>
              </w:rPr>
            </w:pPr>
            <w:r w:rsidRPr="00A67277">
              <w:rPr>
                <w:rFonts w:cs="Arial"/>
              </w:rPr>
              <w:t>memastikan bahwa Fasilitas didesain, dikembangkan, dan dibangun sesuai dengan Dokumen Desain.</w:t>
            </w:r>
          </w:p>
        </w:tc>
      </w:tr>
      <w:tr w:rsidR="00862B0B" w:rsidRPr="00A67277" w14:paraId="1ED7E1AA" w14:textId="77777777" w:rsidTr="00862B0B">
        <w:tc>
          <w:tcPr>
            <w:tcW w:w="2270" w:type="pct"/>
          </w:tcPr>
          <w:p w14:paraId="36C024CB" w14:textId="77777777" w:rsidR="00862B0B" w:rsidRPr="00A67277" w:rsidRDefault="00862B0B" w:rsidP="00862B0B">
            <w:pPr>
              <w:pStyle w:val="Level3"/>
              <w:numPr>
                <w:ilvl w:val="2"/>
                <w:numId w:val="548"/>
              </w:numPr>
              <w:spacing w:before="60" w:after="60"/>
              <w:rPr>
                <w:rFonts w:cs="Arial"/>
              </w:rPr>
            </w:pPr>
            <w:r w:rsidRPr="00A67277">
              <w:rPr>
                <w:rFonts w:cs="Arial"/>
              </w:rPr>
              <w:t xml:space="preserve">During the development and construction activities, the GCA shall make sure that IBE has a sufficient access to the Site. </w:t>
            </w:r>
          </w:p>
        </w:tc>
        <w:tc>
          <w:tcPr>
            <w:tcW w:w="169" w:type="pct"/>
          </w:tcPr>
          <w:p w14:paraId="04505578" w14:textId="77777777" w:rsidR="00862B0B" w:rsidRPr="00A67277" w:rsidRDefault="00862B0B" w:rsidP="00862B0B">
            <w:pPr>
              <w:spacing w:before="60" w:after="60"/>
              <w:rPr>
                <w:rFonts w:ascii="Arial" w:hAnsi="Arial" w:cs="Arial"/>
                <w:sz w:val="21"/>
                <w:szCs w:val="21"/>
              </w:rPr>
            </w:pPr>
          </w:p>
        </w:tc>
        <w:tc>
          <w:tcPr>
            <w:tcW w:w="2561" w:type="pct"/>
            <w:gridSpan w:val="2"/>
          </w:tcPr>
          <w:p w14:paraId="18EB8848" w14:textId="77777777" w:rsidR="00862B0B" w:rsidRPr="00A67277" w:rsidRDefault="00862B0B" w:rsidP="00862B0B">
            <w:pPr>
              <w:pStyle w:val="Level3"/>
              <w:numPr>
                <w:ilvl w:val="2"/>
                <w:numId w:val="549"/>
              </w:numPr>
              <w:spacing w:before="60" w:after="60"/>
              <w:ind w:hanging="535"/>
              <w:rPr>
                <w:rFonts w:cs="Arial"/>
              </w:rPr>
            </w:pPr>
            <w:r w:rsidRPr="00A67277">
              <w:rPr>
                <w:rFonts w:cs="Arial"/>
              </w:rPr>
              <w:t>Selama kegiatan pengembangan dan konstruksi, PJPK harus memastikan bahwa BUP memiliki akses yang cukup kepada Lokasi.</w:t>
            </w:r>
          </w:p>
        </w:tc>
      </w:tr>
      <w:tr w:rsidR="00862B0B" w:rsidRPr="00A67277" w14:paraId="7B0EC835" w14:textId="77777777" w:rsidTr="00862B0B">
        <w:tc>
          <w:tcPr>
            <w:tcW w:w="2270" w:type="pct"/>
          </w:tcPr>
          <w:p w14:paraId="4D5BC0DF" w14:textId="7D2DFE02" w:rsidR="00862B0B" w:rsidRPr="00A67277" w:rsidRDefault="00862B0B" w:rsidP="00862B0B">
            <w:pPr>
              <w:pStyle w:val="Level3"/>
              <w:numPr>
                <w:ilvl w:val="2"/>
                <w:numId w:val="548"/>
              </w:numPr>
              <w:spacing w:before="60" w:after="60"/>
              <w:rPr>
                <w:rFonts w:cs="Arial"/>
              </w:rPr>
            </w:pPr>
            <w:r w:rsidRPr="006A5B15">
              <w:rPr>
                <w:rFonts w:cs="Arial"/>
              </w:rPr>
              <w:t xml:space="preserve">During development and construction activities, </w:t>
            </w:r>
            <w:r>
              <w:rPr>
                <w:rFonts w:cs="Arial"/>
              </w:rPr>
              <w:t>IBE</w:t>
            </w:r>
            <w:r w:rsidRPr="006A5B15">
              <w:rPr>
                <w:rFonts w:cs="Arial"/>
              </w:rPr>
              <w:t xml:space="preserve"> is given the right to conduct partial trials in accordance with the plan proposed in the Design Document</w:t>
            </w:r>
            <w:r>
              <w:rPr>
                <w:rFonts w:cs="Arial"/>
              </w:rPr>
              <w:t>, with provision that</w:t>
            </w:r>
            <w:r w:rsidRPr="006A5B15">
              <w:rPr>
                <w:rFonts w:cs="Arial"/>
              </w:rPr>
              <w:t xml:space="preserve"> </w:t>
            </w:r>
            <w:r>
              <w:rPr>
                <w:rFonts w:cs="Arial"/>
              </w:rPr>
              <w:t>IBE</w:t>
            </w:r>
            <w:r w:rsidRPr="006A5B15">
              <w:rPr>
                <w:rFonts w:cs="Arial"/>
              </w:rPr>
              <w:t xml:space="preserve"> is required to notify the PJPK no later than [***] Days before each partial trial implementation.</w:t>
            </w:r>
          </w:p>
        </w:tc>
        <w:tc>
          <w:tcPr>
            <w:tcW w:w="169" w:type="pct"/>
          </w:tcPr>
          <w:p w14:paraId="54030779" w14:textId="77777777" w:rsidR="00862B0B" w:rsidRPr="00A67277" w:rsidRDefault="00862B0B" w:rsidP="00862B0B">
            <w:pPr>
              <w:spacing w:before="60" w:after="60"/>
              <w:rPr>
                <w:rFonts w:ascii="Arial" w:hAnsi="Arial" w:cs="Arial"/>
                <w:sz w:val="21"/>
                <w:szCs w:val="21"/>
              </w:rPr>
            </w:pPr>
          </w:p>
        </w:tc>
        <w:tc>
          <w:tcPr>
            <w:tcW w:w="2561" w:type="pct"/>
            <w:gridSpan w:val="2"/>
          </w:tcPr>
          <w:p w14:paraId="13428C58" w14:textId="19B53BE3" w:rsidR="00862B0B" w:rsidRPr="00A67277" w:rsidRDefault="00862B0B" w:rsidP="00862B0B">
            <w:pPr>
              <w:pStyle w:val="Level3"/>
              <w:numPr>
                <w:ilvl w:val="2"/>
                <w:numId w:val="549"/>
              </w:numPr>
              <w:spacing w:before="60" w:after="60"/>
              <w:ind w:hanging="535"/>
              <w:rPr>
                <w:rFonts w:cs="Arial"/>
              </w:rPr>
            </w:pPr>
            <w:r>
              <w:rPr>
                <w:rFonts w:cs="Arial"/>
              </w:rPr>
              <w:t>Selama kegiatan pengembangan dan konstruksi, BUP diberikan hak untuk melakukan uji coba parsial sesuai dengan rencana yang diusulkan pada Dokumen Desain dengan ketentuan bahwa BUP wajib memberitahukan kepada PJPK paling lambat [***] Hari sebelum setiap pelaksanaan uji coba parsial.</w:t>
            </w:r>
          </w:p>
        </w:tc>
      </w:tr>
      <w:tr w:rsidR="00862B0B" w:rsidRPr="00A67277" w14:paraId="01EE5F67" w14:textId="77777777" w:rsidTr="00862B0B">
        <w:tc>
          <w:tcPr>
            <w:tcW w:w="2270" w:type="pct"/>
          </w:tcPr>
          <w:p w14:paraId="5AF8F060" w14:textId="08F58F0A" w:rsidR="00862B0B" w:rsidRPr="00A67277" w:rsidRDefault="00862B0B" w:rsidP="00862B0B">
            <w:pPr>
              <w:pStyle w:val="Level3"/>
              <w:numPr>
                <w:ilvl w:val="2"/>
                <w:numId w:val="548"/>
              </w:numPr>
              <w:spacing w:before="60" w:after="60"/>
              <w:rPr>
                <w:rFonts w:cs="Arial"/>
              </w:rPr>
            </w:pPr>
            <w:r w:rsidRPr="00A67277">
              <w:rPr>
                <w:rFonts w:cs="Arial"/>
              </w:rPr>
              <w:t>The IBE shall be responsible for the implementation of the start-up and testing of the Facility in accordance with Appendix 7 (</w:t>
            </w:r>
            <w:r w:rsidRPr="00A67277">
              <w:rPr>
                <w:rFonts w:cs="Arial"/>
                <w:i/>
              </w:rPr>
              <w:t>Start-up and Testing Procedures</w:t>
            </w:r>
            <w:r w:rsidRPr="00A67277">
              <w:rPr>
                <w:rFonts w:cs="Arial"/>
              </w:rPr>
              <w:t>).</w:t>
            </w:r>
          </w:p>
        </w:tc>
        <w:tc>
          <w:tcPr>
            <w:tcW w:w="169" w:type="pct"/>
          </w:tcPr>
          <w:p w14:paraId="1B2A86DE" w14:textId="77777777" w:rsidR="00862B0B" w:rsidRPr="00A67277" w:rsidRDefault="00862B0B" w:rsidP="00862B0B">
            <w:pPr>
              <w:spacing w:before="60" w:after="60"/>
              <w:rPr>
                <w:rFonts w:ascii="Arial" w:hAnsi="Arial" w:cs="Arial"/>
                <w:sz w:val="21"/>
                <w:szCs w:val="21"/>
              </w:rPr>
            </w:pPr>
          </w:p>
        </w:tc>
        <w:tc>
          <w:tcPr>
            <w:tcW w:w="2561" w:type="pct"/>
            <w:gridSpan w:val="2"/>
          </w:tcPr>
          <w:p w14:paraId="4984AD04" w14:textId="4F7D2FC6" w:rsidR="00862B0B" w:rsidRPr="00A67277" w:rsidRDefault="00862B0B" w:rsidP="00862B0B">
            <w:pPr>
              <w:pStyle w:val="Level3"/>
              <w:numPr>
                <w:ilvl w:val="2"/>
                <w:numId w:val="549"/>
              </w:numPr>
              <w:spacing w:before="60" w:after="60"/>
              <w:ind w:hanging="535"/>
              <w:rPr>
                <w:rFonts w:cs="Arial"/>
              </w:rPr>
            </w:pPr>
            <w:r w:rsidRPr="00A67277">
              <w:rPr>
                <w:rFonts w:cs="Arial"/>
              </w:rPr>
              <w:t>BUP bertanggung jawab terhadap pelaksanaan dari permulaan dan pengujian Fasilitas sesuai dengan ketentuan Lampiran 7 (</w:t>
            </w:r>
            <w:r w:rsidRPr="00A67277">
              <w:rPr>
                <w:rFonts w:cs="Arial"/>
                <w:i/>
              </w:rPr>
              <w:t>Prosedur Permulaan dan Pengujian</w:t>
            </w:r>
            <w:r w:rsidRPr="00A67277">
              <w:rPr>
                <w:rFonts w:cs="Arial"/>
              </w:rPr>
              <w:t>).</w:t>
            </w:r>
          </w:p>
        </w:tc>
      </w:tr>
      <w:tr w:rsidR="00862B0B" w:rsidRPr="00A67277" w14:paraId="691BC451" w14:textId="77777777" w:rsidTr="00862B0B">
        <w:tc>
          <w:tcPr>
            <w:tcW w:w="2270" w:type="pct"/>
          </w:tcPr>
          <w:p w14:paraId="30CEA9F1" w14:textId="2AC5625F" w:rsidR="00862B0B" w:rsidRPr="00A67277" w:rsidRDefault="00862B0B" w:rsidP="00862B0B">
            <w:pPr>
              <w:pStyle w:val="Heading2"/>
              <w:keepLines w:val="0"/>
              <w:numPr>
                <w:ilvl w:val="1"/>
                <w:numId w:val="422"/>
              </w:numPr>
              <w:spacing w:before="60" w:after="60"/>
              <w:jc w:val="both"/>
              <w:outlineLvl w:val="1"/>
              <w:rPr>
                <w:rFonts w:ascii="Arial" w:hAnsi="Arial" w:cs="Arial"/>
                <w:b/>
                <w:color w:val="auto"/>
                <w:sz w:val="21"/>
                <w:szCs w:val="21"/>
              </w:rPr>
            </w:pPr>
            <w:bookmarkStart w:id="303" w:name="_Ref397418417"/>
            <w:bookmarkStart w:id="304" w:name="_Toc501178131"/>
            <w:r w:rsidRPr="00A67277">
              <w:rPr>
                <w:rFonts w:ascii="Arial" w:hAnsi="Arial" w:cs="Arial"/>
                <w:b/>
                <w:color w:val="auto"/>
                <w:sz w:val="21"/>
                <w:szCs w:val="21"/>
              </w:rPr>
              <w:t>Commercial Operation Date</w:t>
            </w:r>
            <w:bookmarkEnd w:id="303"/>
            <w:bookmarkEnd w:id="304"/>
          </w:p>
        </w:tc>
        <w:tc>
          <w:tcPr>
            <w:tcW w:w="169" w:type="pct"/>
          </w:tcPr>
          <w:p w14:paraId="035A4CE3" w14:textId="77777777" w:rsidR="00862B0B" w:rsidRPr="00A67277" w:rsidRDefault="00862B0B" w:rsidP="00862B0B">
            <w:pPr>
              <w:spacing w:before="60" w:after="60"/>
              <w:rPr>
                <w:rFonts w:ascii="Arial" w:hAnsi="Arial" w:cs="Arial"/>
                <w:sz w:val="21"/>
                <w:szCs w:val="21"/>
              </w:rPr>
            </w:pPr>
          </w:p>
        </w:tc>
        <w:tc>
          <w:tcPr>
            <w:tcW w:w="2561" w:type="pct"/>
            <w:gridSpan w:val="2"/>
          </w:tcPr>
          <w:p w14:paraId="3A444BC6" w14:textId="77777777" w:rsidR="00862B0B" w:rsidRPr="00A67277" w:rsidRDefault="00862B0B" w:rsidP="00862B0B">
            <w:pPr>
              <w:pStyle w:val="Level2"/>
              <w:numPr>
                <w:ilvl w:val="1"/>
                <w:numId w:val="388"/>
              </w:numPr>
              <w:spacing w:before="60" w:after="60"/>
              <w:rPr>
                <w:rFonts w:cs="Arial"/>
                <w:b/>
              </w:rPr>
            </w:pPr>
            <w:r w:rsidRPr="00A67277">
              <w:rPr>
                <w:rFonts w:cs="Arial"/>
                <w:b/>
              </w:rPr>
              <w:t>Tanggal Operasi Komersial</w:t>
            </w:r>
          </w:p>
        </w:tc>
      </w:tr>
      <w:tr w:rsidR="00862B0B" w:rsidRPr="00A67277" w14:paraId="67862A77" w14:textId="77777777" w:rsidTr="00862B0B">
        <w:tc>
          <w:tcPr>
            <w:tcW w:w="2270" w:type="pct"/>
          </w:tcPr>
          <w:p w14:paraId="69474C03" w14:textId="367D3C40" w:rsidR="00862B0B" w:rsidRPr="00A67277" w:rsidRDefault="00862B0B" w:rsidP="00862B0B">
            <w:pPr>
              <w:pStyle w:val="Level3"/>
              <w:numPr>
                <w:ilvl w:val="2"/>
                <w:numId w:val="550"/>
              </w:numPr>
              <w:spacing w:before="60" w:after="60"/>
              <w:ind w:hanging="566"/>
              <w:rPr>
                <w:rFonts w:cs="Arial"/>
              </w:rPr>
            </w:pPr>
            <w:r w:rsidRPr="00A67277">
              <w:rPr>
                <w:rFonts w:cs="Arial"/>
              </w:rPr>
              <w:t xml:space="preserve">The IBE shall, in respect of the Commercial Operation Date, notify the Independent Supervisory Consultant and GCA of the date when the IBE (acting reasonably) considers that the </w:t>
            </w:r>
            <w:r>
              <w:rPr>
                <w:rFonts w:cs="Arial"/>
              </w:rPr>
              <w:t>Facility</w:t>
            </w:r>
            <w:r w:rsidRPr="00A67277">
              <w:rPr>
                <w:rFonts w:cs="Arial"/>
              </w:rPr>
              <w:t xml:space="preserve"> will be complete in accordance with the Design and Technical Specifications and this Agreement not less than </w:t>
            </w:r>
            <w:r>
              <w:rPr>
                <w:rFonts w:cs="Arial"/>
              </w:rPr>
              <w:t xml:space="preserve">one </w:t>
            </w:r>
            <w:r w:rsidRPr="00A67277">
              <w:rPr>
                <w:rFonts w:cs="Arial"/>
              </w:rPr>
              <w:t>(</w:t>
            </w:r>
            <w:r>
              <w:rPr>
                <w:rFonts w:cs="Arial"/>
              </w:rPr>
              <w:t>1</w:t>
            </w:r>
            <w:r w:rsidRPr="00A67277">
              <w:rPr>
                <w:rFonts w:cs="Arial"/>
              </w:rPr>
              <w:t xml:space="preserve">) Month prior to such anticipated completion. </w:t>
            </w:r>
          </w:p>
        </w:tc>
        <w:tc>
          <w:tcPr>
            <w:tcW w:w="169" w:type="pct"/>
          </w:tcPr>
          <w:p w14:paraId="6F3C0134" w14:textId="77777777" w:rsidR="00862B0B" w:rsidRPr="00A67277" w:rsidRDefault="00862B0B" w:rsidP="00862B0B">
            <w:pPr>
              <w:spacing w:before="60" w:after="60"/>
              <w:rPr>
                <w:rFonts w:ascii="Arial" w:hAnsi="Arial" w:cs="Arial"/>
                <w:sz w:val="21"/>
                <w:szCs w:val="21"/>
              </w:rPr>
            </w:pPr>
          </w:p>
        </w:tc>
        <w:tc>
          <w:tcPr>
            <w:tcW w:w="2561" w:type="pct"/>
            <w:gridSpan w:val="2"/>
          </w:tcPr>
          <w:p w14:paraId="6C071A3B" w14:textId="45FA026C" w:rsidR="00862B0B" w:rsidRPr="00A67277" w:rsidRDefault="00862B0B" w:rsidP="00862B0B">
            <w:pPr>
              <w:pStyle w:val="Level3"/>
              <w:numPr>
                <w:ilvl w:val="2"/>
                <w:numId w:val="551"/>
              </w:numPr>
              <w:spacing w:before="60" w:after="60"/>
              <w:ind w:hanging="535"/>
              <w:rPr>
                <w:rFonts w:cs="Arial"/>
              </w:rPr>
            </w:pPr>
            <w:bookmarkStart w:id="305" w:name="_Toc501178125"/>
            <w:r w:rsidRPr="00A67277">
              <w:rPr>
                <w:rFonts w:cs="Arial"/>
              </w:rPr>
              <w:t xml:space="preserve">BUP harus, sehubungan dengan Tanggal Operasi Komersial, memberitahu Konsultan Pengawas Independen dan PJPK ketika BUP (bertindak sewajarnya) memandang bahwa </w:t>
            </w:r>
            <w:r>
              <w:rPr>
                <w:rFonts w:cs="Arial"/>
              </w:rPr>
              <w:t>Fasilitas</w:t>
            </w:r>
            <w:r w:rsidRPr="00A67277">
              <w:rPr>
                <w:rFonts w:cs="Arial"/>
              </w:rPr>
              <w:t xml:space="preserve"> akan selesai sesuai dengan Spesifikasi Desain dan Teknis dan Perjanjian ini tidak lebih dari </w:t>
            </w:r>
            <w:r>
              <w:rPr>
                <w:rFonts w:cs="Arial"/>
              </w:rPr>
              <w:t xml:space="preserve">satu </w:t>
            </w:r>
            <w:r w:rsidRPr="00A67277">
              <w:rPr>
                <w:rFonts w:cs="Arial"/>
              </w:rPr>
              <w:t>(</w:t>
            </w:r>
            <w:r>
              <w:rPr>
                <w:rFonts w:cs="Arial"/>
              </w:rPr>
              <w:t>1</w:t>
            </w:r>
            <w:r w:rsidRPr="00A67277">
              <w:rPr>
                <w:rFonts w:cs="Arial"/>
              </w:rPr>
              <w:t xml:space="preserve">) Bulan sebelum penyelesaian tersebut. </w:t>
            </w:r>
            <w:bookmarkEnd w:id="305"/>
          </w:p>
        </w:tc>
      </w:tr>
      <w:tr w:rsidR="00862B0B" w:rsidRPr="00A67277" w14:paraId="38655879" w14:textId="77777777" w:rsidTr="00862B0B">
        <w:tc>
          <w:tcPr>
            <w:tcW w:w="2270" w:type="pct"/>
          </w:tcPr>
          <w:p w14:paraId="2117F9C3" w14:textId="0BED444F" w:rsidR="00862B0B" w:rsidRPr="00A67277" w:rsidRDefault="00862B0B" w:rsidP="00862B0B">
            <w:pPr>
              <w:pStyle w:val="Level3"/>
              <w:numPr>
                <w:ilvl w:val="2"/>
                <w:numId w:val="550"/>
              </w:numPr>
              <w:spacing w:before="60" w:after="60"/>
              <w:ind w:hanging="566"/>
              <w:rPr>
                <w:rFonts w:cs="Arial"/>
              </w:rPr>
            </w:pPr>
            <w:r w:rsidRPr="00A67277">
              <w:rPr>
                <w:rFonts w:cs="Arial"/>
              </w:rPr>
              <w:t>The testing for the Commercial Operation Date shall be undertaken in accordance with the procedures set out in Appendix 7 (</w:t>
            </w:r>
            <w:r w:rsidRPr="00A67277">
              <w:rPr>
                <w:rFonts w:cs="Arial"/>
                <w:i/>
              </w:rPr>
              <w:t>Start-up and Testing Procedures</w:t>
            </w:r>
            <w:r w:rsidRPr="00A67277">
              <w:rPr>
                <w:rFonts w:cs="Arial"/>
              </w:rPr>
              <w:t xml:space="preserve">). </w:t>
            </w:r>
          </w:p>
        </w:tc>
        <w:tc>
          <w:tcPr>
            <w:tcW w:w="169" w:type="pct"/>
          </w:tcPr>
          <w:p w14:paraId="2FD58236" w14:textId="77777777" w:rsidR="00862B0B" w:rsidRPr="00A67277" w:rsidRDefault="00862B0B" w:rsidP="00862B0B">
            <w:pPr>
              <w:spacing w:before="60" w:after="60"/>
              <w:rPr>
                <w:rFonts w:ascii="Arial" w:hAnsi="Arial" w:cs="Arial"/>
                <w:sz w:val="21"/>
                <w:szCs w:val="21"/>
              </w:rPr>
            </w:pPr>
          </w:p>
        </w:tc>
        <w:tc>
          <w:tcPr>
            <w:tcW w:w="2561" w:type="pct"/>
            <w:gridSpan w:val="2"/>
          </w:tcPr>
          <w:p w14:paraId="2CF11953" w14:textId="28623629" w:rsidR="00862B0B" w:rsidRPr="00A67277" w:rsidRDefault="00862B0B" w:rsidP="00862B0B">
            <w:pPr>
              <w:pStyle w:val="Level3"/>
              <w:numPr>
                <w:ilvl w:val="2"/>
                <w:numId w:val="551"/>
              </w:numPr>
              <w:spacing w:before="60" w:after="60"/>
              <w:ind w:hanging="535"/>
              <w:rPr>
                <w:rFonts w:cs="Arial"/>
              </w:rPr>
            </w:pPr>
            <w:r w:rsidRPr="00A67277">
              <w:rPr>
                <w:rFonts w:cs="Arial"/>
              </w:rPr>
              <w:t>Pengujian untuk Tanggal Operasi Komersial harus dilakukan sesuai dengan prosedur yang diatur dalam Lampiran 7 (</w:t>
            </w:r>
            <w:r w:rsidRPr="00A67277">
              <w:rPr>
                <w:rFonts w:cs="Arial"/>
                <w:i/>
              </w:rPr>
              <w:t>Prosedur Permulaan dan Pengujian</w:t>
            </w:r>
            <w:r w:rsidRPr="00A67277">
              <w:rPr>
                <w:rFonts w:cs="Arial"/>
              </w:rPr>
              <w:t>).</w:t>
            </w:r>
          </w:p>
        </w:tc>
      </w:tr>
      <w:tr w:rsidR="00862B0B" w:rsidRPr="00A67277" w14:paraId="6265DCF6" w14:textId="77777777" w:rsidTr="00862B0B">
        <w:tc>
          <w:tcPr>
            <w:tcW w:w="2270" w:type="pct"/>
          </w:tcPr>
          <w:p w14:paraId="22FFF333" w14:textId="7E21DD58" w:rsidR="00862B0B" w:rsidRPr="00A67277" w:rsidRDefault="00862B0B" w:rsidP="00862B0B">
            <w:pPr>
              <w:pStyle w:val="Level3"/>
              <w:numPr>
                <w:ilvl w:val="2"/>
                <w:numId w:val="550"/>
              </w:numPr>
              <w:spacing w:before="60" w:after="60"/>
              <w:ind w:hanging="566"/>
              <w:rPr>
                <w:rFonts w:cs="Arial"/>
              </w:rPr>
            </w:pPr>
            <w:bookmarkStart w:id="306" w:name="_Toc501178126"/>
            <w:r w:rsidRPr="00A67277">
              <w:rPr>
                <w:rFonts w:cs="Arial"/>
              </w:rPr>
              <w:t>Prior to commencement of each testing, the IBE will give GCA and the Independent Supervisory Consultant at least ten (10) Business Days</w:t>
            </w:r>
            <w:bookmarkStart w:id="307" w:name="_cp_text_1_1879"/>
            <w:r w:rsidRPr="00A67277">
              <w:rPr>
                <w:rFonts w:cs="Arial"/>
              </w:rPr>
              <w:t xml:space="preserve">' </w:t>
            </w:r>
            <w:bookmarkEnd w:id="307"/>
            <w:r w:rsidRPr="00A67277">
              <w:rPr>
                <w:rFonts w:cs="Arial"/>
              </w:rPr>
              <w:t>prior written notice and shall ensure that the Independent Supervisory Consultant and GCA have appropriate access and are invited to witness all of, and are provided with all information they may reasonably require in relation to each such testing and that the Independent Supervisory Consultant is invited to comment on the relevant testing carried out.</w:t>
            </w:r>
            <w:bookmarkEnd w:id="306"/>
          </w:p>
        </w:tc>
        <w:tc>
          <w:tcPr>
            <w:tcW w:w="169" w:type="pct"/>
          </w:tcPr>
          <w:p w14:paraId="5021ABD1" w14:textId="77777777" w:rsidR="00862B0B" w:rsidRPr="00A67277" w:rsidRDefault="00862B0B" w:rsidP="00862B0B">
            <w:pPr>
              <w:spacing w:before="60" w:after="60"/>
              <w:rPr>
                <w:rFonts w:ascii="Arial" w:hAnsi="Arial" w:cs="Arial"/>
                <w:sz w:val="21"/>
                <w:szCs w:val="21"/>
              </w:rPr>
            </w:pPr>
          </w:p>
        </w:tc>
        <w:tc>
          <w:tcPr>
            <w:tcW w:w="2561" w:type="pct"/>
            <w:gridSpan w:val="2"/>
          </w:tcPr>
          <w:p w14:paraId="36C944EC" w14:textId="77777777" w:rsidR="00862B0B" w:rsidRPr="00A67277" w:rsidRDefault="00862B0B" w:rsidP="00862B0B">
            <w:pPr>
              <w:pStyle w:val="Level3"/>
              <w:numPr>
                <w:ilvl w:val="2"/>
                <w:numId w:val="551"/>
              </w:numPr>
              <w:spacing w:before="60" w:after="60"/>
              <w:ind w:hanging="535"/>
              <w:rPr>
                <w:rFonts w:cs="Arial"/>
              </w:rPr>
            </w:pPr>
            <w:r w:rsidRPr="00A67277">
              <w:rPr>
                <w:rFonts w:cs="Arial"/>
              </w:rPr>
              <w:t>Sebelum dimulainya setiap pengujian, BUP akan menyerahkan kepada PJPK dan Konsultan Pengawas Independen sekurang-kurangnya sepuluh (10) Hari Kerja pemberitahuan tertulis sebelumnya dan harus memastikan Konsultan Pengawas Independen dan PJPK mempunyai akses yang memadai dan diundang untuk menyaksikan, dan diberikan seluruh informasi yang diperlukan secara wajar sehubungan dengan masing-masing pengujian dan Konsultan Pengawas Independen dipersilahkan untuk memberikan tanggapan atas pengujian yang dilaksanakan.</w:t>
            </w:r>
          </w:p>
        </w:tc>
      </w:tr>
      <w:tr w:rsidR="00862B0B" w:rsidRPr="00A67277" w14:paraId="6EB37992" w14:textId="77777777" w:rsidTr="00862B0B">
        <w:tc>
          <w:tcPr>
            <w:tcW w:w="2270" w:type="pct"/>
          </w:tcPr>
          <w:p w14:paraId="78DAB14A" w14:textId="2E8835A6" w:rsidR="00862B0B" w:rsidRPr="00A67277" w:rsidRDefault="00862B0B" w:rsidP="00862B0B">
            <w:pPr>
              <w:pStyle w:val="Level3"/>
              <w:numPr>
                <w:ilvl w:val="2"/>
                <w:numId w:val="550"/>
              </w:numPr>
              <w:spacing w:before="60" w:after="60"/>
              <w:ind w:hanging="566"/>
              <w:rPr>
                <w:rFonts w:cs="Arial"/>
              </w:rPr>
            </w:pPr>
            <w:bookmarkStart w:id="308" w:name="_Toc501178127"/>
            <w:r w:rsidRPr="00A67277">
              <w:rPr>
                <w:rFonts w:cs="Arial"/>
              </w:rPr>
              <w:t>The IBE shall procure and bear the costs required for the testing.</w:t>
            </w:r>
            <w:bookmarkEnd w:id="308"/>
          </w:p>
        </w:tc>
        <w:tc>
          <w:tcPr>
            <w:tcW w:w="169" w:type="pct"/>
          </w:tcPr>
          <w:p w14:paraId="78D0619C" w14:textId="77777777" w:rsidR="00862B0B" w:rsidRPr="00A67277" w:rsidRDefault="00862B0B" w:rsidP="00862B0B">
            <w:pPr>
              <w:spacing w:before="60" w:after="60"/>
              <w:rPr>
                <w:rFonts w:ascii="Arial" w:hAnsi="Arial" w:cs="Arial"/>
                <w:sz w:val="21"/>
                <w:szCs w:val="21"/>
              </w:rPr>
            </w:pPr>
          </w:p>
        </w:tc>
        <w:tc>
          <w:tcPr>
            <w:tcW w:w="2561" w:type="pct"/>
            <w:gridSpan w:val="2"/>
          </w:tcPr>
          <w:p w14:paraId="6D3D9614" w14:textId="77777777" w:rsidR="00862B0B" w:rsidRPr="00A67277" w:rsidRDefault="00862B0B" w:rsidP="00862B0B">
            <w:pPr>
              <w:pStyle w:val="Level3"/>
              <w:numPr>
                <w:ilvl w:val="2"/>
                <w:numId w:val="551"/>
              </w:numPr>
              <w:spacing w:before="60" w:after="60"/>
              <w:ind w:hanging="535"/>
              <w:rPr>
                <w:rFonts w:cs="Arial"/>
              </w:rPr>
            </w:pPr>
            <w:r w:rsidRPr="00A67277">
              <w:rPr>
                <w:rFonts w:cs="Arial"/>
              </w:rPr>
              <w:t>BUP harus menyediakan dan menanggung biaya-biaya yang diperlukan untuk pengujian.</w:t>
            </w:r>
          </w:p>
        </w:tc>
      </w:tr>
      <w:tr w:rsidR="00862B0B" w:rsidRPr="00A67277" w14:paraId="7C42E071" w14:textId="77777777" w:rsidTr="00862B0B">
        <w:tc>
          <w:tcPr>
            <w:tcW w:w="2270" w:type="pct"/>
          </w:tcPr>
          <w:p w14:paraId="764BBD10" w14:textId="1FF34770" w:rsidR="00862B0B" w:rsidRPr="00A67277" w:rsidRDefault="00862B0B" w:rsidP="00862B0B">
            <w:pPr>
              <w:pStyle w:val="Level3"/>
              <w:numPr>
                <w:ilvl w:val="2"/>
                <w:numId w:val="550"/>
              </w:numPr>
              <w:spacing w:before="60" w:after="60"/>
              <w:ind w:hanging="566"/>
              <w:rPr>
                <w:rFonts w:cs="Arial"/>
              </w:rPr>
            </w:pPr>
            <w:bookmarkStart w:id="309" w:name="_cp_text_1_1880"/>
            <w:bookmarkStart w:id="310" w:name="_Toc501178128"/>
            <w:r w:rsidRPr="00A67277">
              <w:rPr>
                <w:rFonts w:cs="Arial"/>
              </w:rPr>
              <w:t xml:space="preserve">The </w:t>
            </w:r>
            <w:bookmarkEnd w:id="309"/>
            <w:r w:rsidRPr="00A67277">
              <w:rPr>
                <w:rFonts w:cs="Arial"/>
              </w:rPr>
              <w:t xml:space="preserve">testing shall be without prejudice to any testing or certification requirements associated with the </w:t>
            </w:r>
            <w:r>
              <w:rPr>
                <w:rFonts w:cs="Arial"/>
              </w:rPr>
              <w:t>Facility</w:t>
            </w:r>
            <w:r w:rsidRPr="00A67277">
              <w:rPr>
                <w:rFonts w:cs="Arial"/>
              </w:rPr>
              <w:t xml:space="preserve"> and any components thereof required in accordance with </w:t>
            </w:r>
            <w:bookmarkStart w:id="311" w:name="_cp_text_1_1881"/>
            <w:r w:rsidRPr="00A67277">
              <w:rPr>
                <w:rFonts w:cs="Arial"/>
              </w:rPr>
              <w:t xml:space="preserve">the </w:t>
            </w:r>
            <w:bookmarkEnd w:id="311"/>
            <w:r w:rsidRPr="00A67277">
              <w:rPr>
                <w:rFonts w:cs="Arial"/>
              </w:rPr>
              <w:t>Legal Requirements, which shall be the sole responsibility of the IBE.</w:t>
            </w:r>
            <w:bookmarkEnd w:id="310"/>
          </w:p>
        </w:tc>
        <w:tc>
          <w:tcPr>
            <w:tcW w:w="169" w:type="pct"/>
          </w:tcPr>
          <w:p w14:paraId="52A105B9" w14:textId="77777777" w:rsidR="00862B0B" w:rsidRPr="00A67277" w:rsidRDefault="00862B0B" w:rsidP="00862B0B">
            <w:pPr>
              <w:spacing w:before="60" w:after="60"/>
              <w:rPr>
                <w:rFonts w:ascii="Arial" w:hAnsi="Arial" w:cs="Arial"/>
                <w:sz w:val="21"/>
                <w:szCs w:val="21"/>
              </w:rPr>
            </w:pPr>
          </w:p>
        </w:tc>
        <w:tc>
          <w:tcPr>
            <w:tcW w:w="2561" w:type="pct"/>
            <w:gridSpan w:val="2"/>
          </w:tcPr>
          <w:p w14:paraId="06656E3D" w14:textId="46B1C1D5" w:rsidR="00862B0B" w:rsidRPr="00A67277" w:rsidRDefault="00862B0B" w:rsidP="00862B0B">
            <w:pPr>
              <w:pStyle w:val="Level3"/>
              <w:numPr>
                <w:ilvl w:val="2"/>
                <w:numId w:val="551"/>
              </w:numPr>
              <w:spacing w:before="60" w:after="60"/>
              <w:ind w:hanging="535"/>
              <w:rPr>
                <w:rFonts w:cs="Arial"/>
              </w:rPr>
            </w:pPr>
            <w:r w:rsidRPr="00A67277">
              <w:rPr>
                <w:rFonts w:cs="Arial"/>
              </w:rPr>
              <w:t xml:space="preserve">Pelaksanaan pengujian tidak mengurangi kewajiban untuk melaksanakan pengujian atau sertifikasi yang diperlukan terhadap </w:t>
            </w:r>
            <w:r>
              <w:rPr>
                <w:rFonts w:cs="Arial"/>
              </w:rPr>
              <w:t>Fasilitas</w:t>
            </w:r>
            <w:r w:rsidRPr="00A67277">
              <w:rPr>
                <w:rFonts w:cs="Arial"/>
              </w:rPr>
              <w:t xml:space="preserve"> dan komponen-komponennya yang diperlukan berdasarkan Persyaratan Hukum, yang menjadi tanggung jawab dari BUP.</w:t>
            </w:r>
          </w:p>
        </w:tc>
      </w:tr>
      <w:tr w:rsidR="00862B0B" w:rsidRPr="00A67277" w14:paraId="2F745948" w14:textId="77777777" w:rsidTr="00862B0B">
        <w:tc>
          <w:tcPr>
            <w:tcW w:w="2270" w:type="pct"/>
          </w:tcPr>
          <w:p w14:paraId="2CA9376D" w14:textId="6BA3A932" w:rsidR="00862B0B" w:rsidRPr="00A67277" w:rsidRDefault="00862B0B" w:rsidP="00862B0B">
            <w:pPr>
              <w:pStyle w:val="Level3"/>
              <w:numPr>
                <w:ilvl w:val="2"/>
                <w:numId w:val="550"/>
              </w:numPr>
              <w:spacing w:before="60" w:after="60"/>
              <w:ind w:hanging="566"/>
              <w:rPr>
                <w:rFonts w:cs="Arial"/>
              </w:rPr>
            </w:pPr>
            <w:bookmarkStart w:id="312" w:name="_Ref397358499"/>
            <w:bookmarkStart w:id="313" w:name="_Toc501178132"/>
            <w:r>
              <w:rPr>
                <w:rFonts w:cs="Arial"/>
              </w:rPr>
              <w:t xml:space="preserve">On </w:t>
            </w:r>
            <w:r w:rsidRPr="00A67277">
              <w:rPr>
                <w:rFonts w:cs="Arial"/>
              </w:rPr>
              <w:t xml:space="preserve">the date </w:t>
            </w:r>
            <w:r>
              <w:rPr>
                <w:rFonts w:cs="Arial"/>
              </w:rPr>
              <w:t>of</w:t>
            </w:r>
            <w:r w:rsidRPr="00A67277">
              <w:rPr>
                <w:rFonts w:cs="Arial"/>
              </w:rPr>
              <w:t xml:space="preserve"> which the </w:t>
            </w:r>
            <w:r>
              <w:rPr>
                <w:rFonts w:cs="Arial"/>
              </w:rPr>
              <w:t>Facility</w:t>
            </w:r>
            <w:r w:rsidRPr="00A67277">
              <w:rPr>
                <w:rFonts w:cs="Arial"/>
              </w:rPr>
              <w:t xml:space="preserve"> have passed the testing for the Commercial Operation Date, the Parties will procure that the Independent Supervisory Consultant shall, when he is satisfied that:</w:t>
            </w:r>
            <w:bookmarkEnd w:id="312"/>
            <w:bookmarkEnd w:id="313"/>
          </w:p>
        </w:tc>
        <w:tc>
          <w:tcPr>
            <w:tcW w:w="169" w:type="pct"/>
          </w:tcPr>
          <w:p w14:paraId="72C02B7C" w14:textId="77777777" w:rsidR="00862B0B" w:rsidRPr="00A67277" w:rsidRDefault="00862B0B" w:rsidP="00862B0B">
            <w:pPr>
              <w:spacing w:before="60" w:after="60"/>
              <w:rPr>
                <w:rFonts w:ascii="Arial" w:hAnsi="Arial" w:cs="Arial"/>
                <w:sz w:val="21"/>
                <w:szCs w:val="21"/>
              </w:rPr>
            </w:pPr>
          </w:p>
        </w:tc>
        <w:tc>
          <w:tcPr>
            <w:tcW w:w="2561" w:type="pct"/>
            <w:gridSpan w:val="2"/>
          </w:tcPr>
          <w:p w14:paraId="51511A8C" w14:textId="77777777" w:rsidR="00862B0B" w:rsidRPr="00A67277" w:rsidRDefault="00862B0B" w:rsidP="00862B0B">
            <w:pPr>
              <w:pStyle w:val="Level3"/>
              <w:numPr>
                <w:ilvl w:val="2"/>
                <w:numId w:val="551"/>
              </w:numPr>
              <w:spacing w:before="60" w:after="60"/>
              <w:ind w:hanging="535"/>
              <w:rPr>
                <w:rFonts w:cs="Arial"/>
              </w:rPr>
            </w:pPr>
            <w:r w:rsidRPr="00A67277">
              <w:rPr>
                <w:rFonts w:cs="Arial"/>
              </w:rPr>
              <w:t>Pada waktu tanggal dimana Fasilitas telah dinyatakan lulus Uji Komisioning untuk mencapai Tanggal Operasi Komersial, Para Pihak akan menyebabkan Konsultan Pengawas Independen untuk, ketika menurut pendapatnya:</w:t>
            </w:r>
          </w:p>
        </w:tc>
      </w:tr>
      <w:tr w:rsidR="00862B0B" w:rsidRPr="00A67277" w14:paraId="0A64AF5A" w14:textId="77777777" w:rsidTr="00862B0B">
        <w:tc>
          <w:tcPr>
            <w:tcW w:w="2270" w:type="pct"/>
          </w:tcPr>
          <w:p w14:paraId="1D91F2A1" w14:textId="169EEAF5" w:rsidR="00862B0B" w:rsidRPr="00A67277" w:rsidRDefault="00862B0B" w:rsidP="00862B0B">
            <w:pPr>
              <w:pStyle w:val="Level4"/>
              <w:numPr>
                <w:ilvl w:val="3"/>
                <w:numId w:val="424"/>
              </w:numPr>
              <w:tabs>
                <w:tab w:val="clear" w:pos="2126"/>
                <w:tab w:val="num" w:pos="1843"/>
              </w:tabs>
              <w:spacing w:before="60" w:after="60"/>
              <w:ind w:left="1843" w:hanging="425"/>
              <w:rPr>
                <w:rFonts w:cs="Arial"/>
              </w:rPr>
            </w:pPr>
            <w:bookmarkStart w:id="314" w:name="_Ref397418487"/>
            <w:r w:rsidRPr="00A67277">
              <w:rPr>
                <w:rFonts w:cs="Arial"/>
              </w:rPr>
              <w:t xml:space="preserve">the  </w:t>
            </w:r>
            <w:r>
              <w:rPr>
                <w:rFonts w:cs="Arial"/>
              </w:rPr>
              <w:t>Facility</w:t>
            </w:r>
            <w:r w:rsidRPr="00A67277">
              <w:rPr>
                <w:rFonts w:cs="Arial"/>
              </w:rPr>
              <w:t xml:space="preserve">  has been completed and meets the requirements of this Agreement; and</w:t>
            </w:r>
            <w:bookmarkEnd w:id="314"/>
          </w:p>
        </w:tc>
        <w:tc>
          <w:tcPr>
            <w:tcW w:w="169" w:type="pct"/>
          </w:tcPr>
          <w:p w14:paraId="0315CB4E" w14:textId="77777777" w:rsidR="00862B0B" w:rsidRPr="00A67277" w:rsidRDefault="00862B0B" w:rsidP="00862B0B">
            <w:pPr>
              <w:spacing w:before="60" w:after="60"/>
              <w:rPr>
                <w:rFonts w:ascii="Arial" w:hAnsi="Arial" w:cs="Arial"/>
                <w:sz w:val="21"/>
                <w:szCs w:val="21"/>
              </w:rPr>
            </w:pPr>
          </w:p>
        </w:tc>
        <w:tc>
          <w:tcPr>
            <w:tcW w:w="2561" w:type="pct"/>
            <w:gridSpan w:val="2"/>
          </w:tcPr>
          <w:p w14:paraId="76252761" w14:textId="212C8B7E" w:rsidR="00862B0B" w:rsidRPr="00A67277" w:rsidRDefault="00862B0B" w:rsidP="00862B0B">
            <w:pPr>
              <w:pStyle w:val="Level4"/>
              <w:numPr>
                <w:ilvl w:val="0"/>
                <w:numId w:val="389"/>
              </w:numPr>
              <w:spacing w:before="60" w:after="60"/>
              <w:ind w:left="2042" w:hanging="425"/>
              <w:rPr>
                <w:rFonts w:cs="Arial"/>
              </w:rPr>
            </w:pPr>
            <w:r>
              <w:rPr>
                <w:rFonts w:cs="Arial"/>
              </w:rPr>
              <w:t>Fasilitas</w:t>
            </w:r>
            <w:r w:rsidRPr="00A67277">
              <w:rPr>
                <w:rFonts w:cs="Arial"/>
              </w:rPr>
              <w:t xml:space="preserve">  telah selesai dan memenuhi seluruh persyaratan dalam Perjanjian ini; dan</w:t>
            </w:r>
          </w:p>
        </w:tc>
      </w:tr>
      <w:tr w:rsidR="00862B0B" w:rsidRPr="00A67277" w14:paraId="31900F1C" w14:textId="77777777" w:rsidTr="00862B0B">
        <w:tc>
          <w:tcPr>
            <w:tcW w:w="2270" w:type="pct"/>
          </w:tcPr>
          <w:p w14:paraId="53A7C485" w14:textId="1286CD76" w:rsidR="00862B0B" w:rsidRPr="00A67277" w:rsidRDefault="00862B0B" w:rsidP="00862B0B">
            <w:pPr>
              <w:pStyle w:val="Level4"/>
              <w:numPr>
                <w:ilvl w:val="3"/>
                <w:numId w:val="424"/>
              </w:numPr>
              <w:tabs>
                <w:tab w:val="clear" w:pos="2126"/>
                <w:tab w:val="num" w:pos="1843"/>
              </w:tabs>
              <w:spacing w:before="60" w:after="60"/>
              <w:ind w:left="1843" w:hanging="425"/>
              <w:rPr>
                <w:rFonts w:cs="Arial"/>
              </w:rPr>
            </w:pPr>
            <w:bookmarkStart w:id="315" w:name="_Ref397418491"/>
            <w:r w:rsidRPr="00A67277">
              <w:rPr>
                <w:rFonts w:cs="Arial"/>
              </w:rPr>
              <w:t>all necessary Authorisations required for the Operation Period have been obtained,</w:t>
            </w:r>
            <w:bookmarkEnd w:id="315"/>
          </w:p>
        </w:tc>
        <w:tc>
          <w:tcPr>
            <w:tcW w:w="169" w:type="pct"/>
          </w:tcPr>
          <w:p w14:paraId="662AFE54" w14:textId="77777777" w:rsidR="00862B0B" w:rsidRPr="00A67277" w:rsidRDefault="00862B0B" w:rsidP="00862B0B">
            <w:pPr>
              <w:spacing w:before="60" w:after="60"/>
              <w:rPr>
                <w:rFonts w:ascii="Arial" w:hAnsi="Arial" w:cs="Arial"/>
                <w:sz w:val="21"/>
                <w:szCs w:val="21"/>
              </w:rPr>
            </w:pPr>
          </w:p>
        </w:tc>
        <w:tc>
          <w:tcPr>
            <w:tcW w:w="2561" w:type="pct"/>
            <w:gridSpan w:val="2"/>
          </w:tcPr>
          <w:p w14:paraId="1A6BB875" w14:textId="77777777" w:rsidR="00862B0B" w:rsidRPr="00A67277" w:rsidRDefault="00862B0B" w:rsidP="00862B0B">
            <w:pPr>
              <w:pStyle w:val="Level4"/>
              <w:numPr>
                <w:ilvl w:val="0"/>
                <w:numId w:val="389"/>
              </w:numPr>
              <w:spacing w:before="60" w:after="60"/>
              <w:ind w:left="2042" w:hanging="425"/>
              <w:rPr>
                <w:rFonts w:cs="Arial"/>
              </w:rPr>
            </w:pPr>
            <w:r w:rsidRPr="00A67277">
              <w:rPr>
                <w:rFonts w:cs="Arial"/>
              </w:rPr>
              <w:t>seluruh Persetujuan-Persetujuan yang diperlukan terhadap Jangka Waktu Operasi telah diperoleh,</w:t>
            </w:r>
          </w:p>
        </w:tc>
      </w:tr>
      <w:tr w:rsidR="00862B0B" w:rsidRPr="00A67277" w14:paraId="6507ECB4" w14:textId="77777777" w:rsidTr="00862B0B">
        <w:tc>
          <w:tcPr>
            <w:tcW w:w="2270" w:type="pct"/>
          </w:tcPr>
          <w:p w14:paraId="7EA07E42" w14:textId="1D7CDCD1" w:rsidR="00862B0B" w:rsidRPr="00A67277" w:rsidRDefault="00862B0B" w:rsidP="00862B0B">
            <w:pPr>
              <w:pStyle w:val="Body3"/>
              <w:spacing w:before="60" w:after="60"/>
              <w:ind w:left="1581"/>
              <w:rPr>
                <w:rFonts w:cs="Arial"/>
              </w:rPr>
            </w:pPr>
            <w:r w:rsidRPr="00A67277">
              <w:rPr>
                <w:rFonts w:cs="Arial"/>
              </w:rPr>
              <w:t>sign and issue to the IBE a certificate to that effect, specifying the date on which, in his opinion, the IBE is ready to commence commercial operation (the “</w:t>
            </w:r>
            <w:r w:rsidRPr="00A67277">
              <w:rPr>
                <w:rFonts w:cs="Arial"/>
                <w:b/>
              </w:rPr>
              <w:t>Commercial Operation Date”</w:t>
            </w:r>
            <w:r w:rsidRPr="00A67277">
              <w:rPr>
                <w:rFonts w:cs="Arial"/>
              </w:rPr>
              <w:t>).</w:t>
            </w:r>
          </w:p>
        </w:tc>
        <w:tc>
          <w:tcPr>
            <w:tcW w:w="169" w:type="pct"/>
          </w:tcPr>
          <w:p w14:paraId="6E18A90D" w14:textId="77777777" w:rsidR="00862B0B" w:rsidRPr="00A67277" w:rsidRDefault="00862B0B" w:rsidP="00862B0B">
            <w:pPr>
              <w:spacing w:before="60" w:after="60"/>
              <w:rPr>
                <w:rFonts w:ascii="Arial" w:hAnsi="Arial" w:cs="Arial"/>
                <w:sz w:val="21"/>
                <w:szCs w:val="21"/>
              </w:rPr>
            </w:pPr>
          </w:p>
        </w:tc>
        <w:tc>
          <w:tcPr>
            <w:tcW w:w="2561" w:type="pct"/>
            <w:gridSpan w:val="2"/>
          </w:tcPr>
          <w:p w14:paraId="431A5A53" w14:textId="0A45C410" w:rsidR="00862B0B" w:rsidRPr="00A67277" w:rsidRDefault="00862B0B" w:rsidP="00862B0B">
            <w:pPr>
              <w:pStyle w:val="Body3"/>
              <w:spacing w:before="60" w:after="60"/>
              <w:rPr>
                <w:rFonts w:cs="Arial"/>
              </w:rPr>
            </w:pPr>
            <w:r w:rsidRPr="00A67277">
              <w:rPr>
                <w:rFonts w:cs="Arial"/>
              </w:rPr>
              <w:t>menandatangani dan menerbitkan sebuah sertifikat kepada BUP untuk maksud tersebut, dengan merinci bahwa, menurut pendapatnya, BUP telah siap untuk memulai pengoperasian secara komersial (“</w:t>
            </w:r>
            <w:r w:rsidRPr="00A67277">
              <w:rPr>
                <w:rFonts w:cs="Arial"/>
                <w:b/>
              </w:rPr>
              <w:t>Tanggal Operasi Komersial”</w:t>
            </w:r>
            <w:r w:rsidRPr="00A67277">
              <w:rPr>
                <w:rFonts w:cs="Arial"/>
              </w:rPr>
              <w:t>).</w:t>
            </w:r>
          </w:p>
        </w:tc>
      </w:tr>
      <w:tr w:rsidR="00862B0B" w:rsidRPr="00A67277" w14:paraId="58D37BA9" w14:textId="77777777" w:rsidTr="00862B0B">
        <w:tc>
          <w:tcPr>
            <w:tcW w:w="2270" w:type="pct"/>
          </w:tcPr>
          <w:p w14:paraId="7C10AB53" w14:textId="365F24E5" w:rsidR="00862B0B" w:rsidRPr="00A67277" w:rsidRDefault="00862B0B" w:rsidP="00862B0B">
            <w:pPr>
              <w:pStyle w:val="Level3"/>
              <w:numPr>
                <w:ilvl w:val="2"/>
                <w:numId w:val="550"/>
              </w:numPr>
              <w:spacing w:before="60" w:after="60"/>
              <w:ind w:hanging="566"/>
              <w:rPr>
                <w:rFonts w:cs="Arial"/>
              </w:rPr>
            </w:pPr>
            <w:bookmarkStart w:id="316" w:name="_Toc501178133"/>
            <w:r w:rsidRPr="00A67277">
              <w:rPr>
                <w:rFonts w:cs="Arial"/>
              </w:rPr>
              <w:t xml:space="preserve">For the avoidance of doubt, if the  </w:t>
            </w:r>
            <w:r>
              <w:rPr>
                <w:rFonts w:cs="Arial"/>
              </w:rPr>
              <w:t>Facility</w:t>
            </w:r>
            <w:r w:rsidRPr="00A67277">
              <w:rPr>
                <w:rFonts w:cs="Arial"/>
              </w:rPr>
              <w:t xml:space="preserve">   passes the testing for the Commercial Operation Date on a date that is earlier than the Scheduled Commercial Operation Date, GCA may, but is not obliged to, specify that earlier date as being the Commercial Operation Date notwithstanding that the date is earlier than the Scheduled Commercial Operation Date.</w:t>
            </w:r>
            <w:bookmarkEnd w:id="316"/>
          </w:p>
        </w:tc>
        <w:tc>
          <w:tcPr>
            <w:tcW w:w="169" w:type="pct"/>
          </w:tcPr>
          <w:p w14:paraId="26898B9C" w14:textId="77777777" w:rsidR="00862B0B" w:rsidRPr="00A67277" w:rsidRDefault="00862B0B" w:rsidP="00862B0B">
            <w:pPr>
              <w:spacing w:before="60" w:after="60"/>
              <w:rPr>
                <w:rFonts w:ascii="Arial" w:hAnsi="Arial" w:cs="Arial"/>
                <w:sz w:val="21"/>
                <w:szCs w:val="21"/>
              </w:rPr>
            </w:pPr>
          </w:p>
        </w:tc>
        <w:tc>
          <w:tcPr>
            <w:tcW w:w="2561" w:type="pct"/>
            <w:gridSpan w:val="2"/>
          </w:tcPr>
          <w:p w14:paraId="05BDAE47" w14:textId="3B88084F" w:rsidR="00862B0B" w:rsidRPr="00A67277" w:rsidRDefault="00862B0B" w:rsidP="00862B0B">
            <w:pPr>
              <w:pStyle w:val="Level3"/>
              <w:numPr>
                <w:ilvl w:val="2"/>
                <w:numId w:val="551"/>
              </w:numPr>
              <w:spacing w:before="60" w:after="60"/>
              <w:ind w:hanging="535"/>
              <w:rPr>
                <w:rFonts w:cs="Arial"/>
              </w:rPr>
            </w:pPr>
            <w:r w:rsidRPr="00A67277">
              <w:rPr>
                <w:rFonts w:cs="Arial"/>
              </w:rPr>
              <w:t xml:space="preserve">Untuk menghindari keragu-raguan, apabila  </w:t>
            </w:r>
            <w:r>
              <w:rPr>
                <w:rFonts w:cs="Arial"/>
              </w:rPr>
              <w:t>Fasilitas</w:t>
            </w:r>
            <w:r w:rsidRPr="00A67277">
              <w:rPr>
                <w:rFonts w:cs="Arial"/>
              </w:rPr>
              <w:t xml:space="preserve">   telah dinyatakan lulus pengujian untuk Tanggal Operasi Komersial pada tanggal sebelum Tanggal Operasi Komersial Yang Dijadwalkan, PJPK dapat, tetapi tidak berkewajiban untuk, menentukan tanggal tersebut menjadi Tanggal Operasi Komersial meskipun tanggal tersebut lebih awal dari Tanggal Operasi Komersial Yang Dijadwalkan.</w:t>
            </w:r>
          </w:p>
        </w:tc>
      </w:tr>
      <w:tr w:rsidR="00862B0B" w:rsidRPr="00A67277" w14:paraId="4C70B0B7" w14:textId="77777777" w:rsidTr="00862B0B">
        <w:tc>
          <w:tcPr>
            <w:tcW w:w="2270" w:type="pct"/>
          </w:tcPr>
          <w:p w14:paraId="68FB25C4" w14:textId="793AC54F" w:rsidR="00862B0B" w:rsidRPr="000375F7" w:rsidRDefault="00862B0B" w:rsidP="00862B0B">
            <w:pPr>
              <w:pStyle w:val="Level3"/>
              <w:numPr>
                <w:ilvl w:val="2"/>
                <w:numId w:val="550"/>
              </w:numPr>
              <w:spacing w:before="60" w:after="60"/>
              <w:rPr>
                <w:rFonts w:cs="Arial"/>
              </w:rPr>
            </w:pPr>
            <w:r w:rsidRPr="000375F7">
              <w:rPr>
                <w:rFonts w:cs="Arial"/>
              </w:rPr>
              <w:t>One (1) month prior to the Commercial Operation Date, the IBE shall submit to the GCA the data and schedule with respect to the  toll booths owned by the Toll Road Operators which need to be utilized temporarily by the IBE for the MLFF System (“</w:t>
            </w:r>
            <w:r w:rsidRPr="00291AD9">
              <w:rPr>
                <w:rFonts w:cs="Arial"/>
                <w:b/>
              </w:rPr>
              <w:t>Toll Booths</w:t>
            </w:r>
            <w:r w:rsidRPr="000375F7">
              <w:rPr>
                <w:rFonts w:cs="Arial"/>
              </w:rPr>
              <w:t xml:space="preserve">”). </w:t>
            </w:r>
          </w:p>
        </w:tc>
        <w:tc>
          <w:tcPr>
            <w:tcW w:w="169" w:type="pct"/>
          </w:tcPr>
          <w:p w14:paraId="05E4CEE9" w14:textId="77777777" w:rsidR="00862B0B" w:rsidRPr="000375F7" w:rsidRDefault="00862B0B" w:rsidP="00862B0B">
            <w:pPr>
              <w:spacing w:before="60" w:after="60"/>
              <w:rPr>
                <w:rFonts w:ascii="Arial" w:hAnsi="Arial" w:cs="Arial"/>
                <w:sz w:val="21"/>
                <w:szCs w:val="21"/>
              </w:rPr>
            </w:pPr>
          </w:p>
        </w:tc>
        <w:tc>
          <w:tcPr>
            <w:tcW w:w="2561" w:type="pct"/>
            <w:gridSpan w:val="2"/>
          </w:tcPr>
          <w:p w14:paraId="35E27A0A" w14:textId="6D3AE04B" w:rsidR="00862B0B" w:rsidRPr="000375F7" w:rsidRDefault="00862B0B" w:rsidP="00862B0B">
            <w:pPr>
              <w:pStyle w:val="Level3"/>
              <w:numPr>
                <w:ilvl w:val="2"/>
                <w:numId w:val="551"/>
              </w:numPr>
              <w:spacing w:before="60" w:after="60"/>
              <w:ind w:hanging="535"/>
              <w:rPr>
                <w:rFonts w:cs="Arial"/>
              </w:rPr>
            </w:pPr>
            <w:r w:rsidRPr="000375F7">
              <w:rPr>
                <w:rFonts w:cs="Arial"/>
              </w:rPr>
              <w:t>Satu (1) bulan sebelum Tanggal Operasi Komersial, BUP harus menyerahkan kepada PJPK data dan jadwal untuk pembongkaran gerbang tol milik  Badan Usaha Jalan Tol yang sementara perlu dioperasikan untuk Sistem MLFF (“</w:t>
            </w:r>
            <w:r w:rsidRPr="00291AD9">
              <w:rPr>
                <w:rFonts w:cs="Arial"/>
                <w:b/>
              </w:rPr>
              <w:t>Gerbang Tol</w:t>
            </w:r>
            <w:r w:rsidRPr="000375F7">
              <w:rPr>
                <w:rFonts w:cs="Arial"/>
              </w:rPr>
              <w:t xml:space="preserve">”). </w:t>
            </w:r>
          </w:p>
        </w:tc>
      </w:tr>
      <w:tr w:rsidR="00862B0B" w:rsidRPr="00A67277" w14:paraId="16BBEBF1" w14:textId="77777777" w:rsidTr="00862B0B">
        <w:tc>
          <w:tcPr>
            <w:tcW w:w="2270" w:type="pct"/>
          </w:tcPr>
          <w:p w14:paraId="73695E5F" w14:textId="5760E232" w:rsidR="00862B0B" w:rsidRPr="000375F7" w:rsidRDefault="00862B0B" w:rsidP="00862B0B">
            <w:pPr>
              <w:pStyle w:val="Level3"/>
              <w:numPr>
                <w:ilvl w:val="2"/>
                <w:numId w:val="550"/>
              </w:numPr>
              <w:spacing w:before="60" w:after="60"/>
              <w:rPr>
                <w:rFonts w:cs="Arial"/>
              </w:rPr>
            </w:pPr>
            <w:r w:rsidRPr="000375F7">
              <w:t xml:space="preserve">IBE shall submit the demolition schedule </w:t>
            </w:r>
            <w:r w:rsidRPr="000375F7">
              <w:rPr>
                <w:rFonts w:cs="Arial"/>
              </w:rPr>
              <w:t>of the Toll Booths at the latest one (1) month before the proposed date for demolation after the Commercial Operation Date.</w:t>
            </w:r>
          </w:p>
        </w:tc>
        <w:tc>
          <w:tcPr>
            <w:tcW w:w="169" w:type="pct"/>
          </w:tcPr>
          <w:p w14:paraId="2C565202" w14:textId="77777777" w:rsidR="00862B0B" w:rsidRPr="000375F7" w:rsidRDefault="00862B0B" w:rsidP="00862B0B">
            <w:pPr>
              <w:spacing w:before="60" w:after="60"/>
              <w:rPr>
                <w:rFonts w:ascii="Arial" w:hAnsi="Arial" w:cs="Arial"/>
                <w:sz w:val="21"/>
                <w:szCs w:val="21"/>
              </w:rPr>
            </w:pPr>
          </w:p>
        </w:tc>
        <w:tc>
          <w:tcPr>
            <w:tcW w:w="2561" w:type="pct"/>
            <w:gridSpan w:val="2"/>
          </w:tcPr>
          <w:p w14:paraId="0694D4FF" w14:textId="631B8E22" w:rsidR="00862B0B" w:rsidRPr="000375F7" w:rsidRDefault="00862B0B" w:rsidP="00862B0B">
            <w:pPr>
              <w:pStyle w:val="Level3"/>
              <w:numPr>
                <w:ilvl w:val="2"/>
                <w:numId w:val="551"/>
              </w:numPr>
              <w:spacing w:before="60" w:after="60"/>
              <w:ind w:hanging="535"/>
              <w:rPr>
                <w:rFonts w:cs="Arial"/>
              </w:rPr>
            </w:pPr>
            <w:r w:rsidRPr="000375F7">
              <w:rPr>
                <w:rFonts w:cs="Arial"/>
              </w:rPr>
              <w:t xml:space="preserve">BUP harus menyampaikan jadwal pembongkaran Gerbang Tol paling lambat satu (1) bulan sebelum tanggal pembongkaran yang diusulkan setelah Tanggal Operasi Komersial. </w:t>
            </w:r>
          </w:p>
        </w:tc>
      </w:tr>
      <w:tr w:rsidR="00862B0B" w:rsidRPr="00A67277" w14:paraId="7346F5B9" w14:textId="77777777" w:rsidTr="00862B0B">
        <w:tc>
          <w:tcPr>
            <w:tcW w:w="2270" w:type="pct"/>
          </w:tcPr>
          <w:p w14:paraId="08462464" w14:textId="2494587A" w:rsidR="00862B0B" w:rsidRPr="000375F7" w:rsidRDefault="00862B0B" w:rsidP="00862B0B">
            <w:pPr>
              <w:pStyle w:val="Level3"/>
              <w:numPr>
                <w:ilvl w:val="2"/>
                <w:numId w:val="550"/>
              </w:numPr>
              <w:spacing w:before="60" w:after="60"/>
              <w:rPr>
                <w:rFonts w:cs="Arial"/>
              </w:rPr>
            </w:pPr>
            <w:r w:rsidRPr="000375F7">
              <w:rPr>
                <w:rFonts w:cs="Arial"/>
              </w:rPr>
              <w:t>The GCA shall ensure that the Toll Road Operators will demolish its Toll Booths in accordance with the schedule as set out in paragraph (i). For the avoidance of doubt, the failure of the Toll Road Operators to demolish its Toll Booths shall not be considered as the failure of IBE in performing its obligations, including the fulfillment of the Key Performance Indicators.</w:t>
            </w:r>
          </w:p>
        </w:tc>
        <w:tc>
          <w:tcPr>
            <w:tcW w:w="169" w:type="pct"/>
          </w:tcPr>
          <w:p w14:paraId="05EEC3BC" w14:textId="77777777" w:rsidR="00862B0B" w:rsidRPr="000375F7" w:rsidRDefault="00862B0B" w:rsidP="00862B0B">
            <w:pPr>
              <w:spacing w:before="60" w:after="60"/>
              <w:rPr>
                <w:rFonts w:ascii="Arial" w:hAnsi="Arial" w:cs="Arial"/>
                <w:sz w:val="21"/>
                <w:szCs w:val="21"/>
              </w:rPr>
            </w:pPr>
          </w:p>
        </w:tc>
        <w:tc>
          <w:tcPr>
            <w:tcW w:w="2561" w:type="pct"/>
            <w:gridSpan w:val="2"/>
          </w:tcPr>
          <w:p w14:paraId="33D7A7A3" w14:textId="1ECCA4E1" w:rsidR="00862B0B" w:rsidRPr="000375F7" w:rsidRDefault="00862B0B" w:rsidP="00862B0B">
            <w:pPr>
              <w:pStyle w:val="Level3"/>
              <w:numPr>
                <w:ilvl w:val="2"/>
                <w:numId w:val="551"/>
              </w:numPr>
              <w:spacing w:before="60" w:after="60"/>
              <w:ind w:hanging="535"/>
              <w:rPr>
                <w:rFonts w:cs="Arial"/>
              </w:rPr>
            </w:pPr>
            <w:r w:rsidRPr="000375F7">
              <w:rPr>
                <w:rFonts w:cs="Arial"/>
              </w:rPr>
              <w:t>PJPK harus memastikan bahwa Badan Usaha Jalan Tol akan membongkar Gerbang Tol miliknya sesuai dengan jadwal sebagaimana disebutkan dalam paragraf (h). Untuk menghindari keragu-raguan, kegagalan dari Badan Usaha Jalan Tol untuk membongkar Gerbang Tol miliknya tidak dapat dianggap sebagai kegagalan dari BUP dalam memenuhi kewajibannya, termasuk pemenuhan Indikator Kinerja Utama.</w:t>
            </w:r>
          </w:p>
        </w:tc>
      </w:tr>
      <w:tr w:rsidR="00862B0B" w:rsidRPr="00A67277" w14:paraId="4058BD60" w14:textId="77777777" w:rsidTr="00862B0B">
        <w:tc>
          <w:tcPr>
            <w:tcW w:w="2270" w:type="pct"/>
          </w:tcPr>
          <w:p w14:paraId="09B8C5B9" w14:textId="5A45BC21" w:rsidR="00862B0B" w:rsidRDefault="00862B0B" w:rsidP="00862B0B">
            <w:pPr>
              <w:pStyle w:val="Level3"/>
              <w:numPr>
                <w:ilvl w:val="2"/>
                <w:numId w:val="550"/>
              </w:numPr>
              <w:spacing w:before="60" w:after="60"/>
              <w:rPr>
                <w:rFonts w:cs="Arial"/>
              </w:rPr>
            </w:pPr>
            <w:r>
              <w:rPr>
                <w:rFonts w:cs="Arial"/>
              </w:rPr>
              <w:t>IBE agrees to provide an incentive to the Toll Road Operators through the GCA in the amount of Rp [***] for the demolition of any Toll Booth as set out in paragraph (h). The incentive shall be paid at the latest within thirty (30) Days as of (i) the demolition of the respective Toll Booth  as certified by the Independent Supervisor Consultant has been carried out by the Toll Road Operators; and (ii) IBE has obtained the invoice from  GCA for the payment of the above incentive.</w:t>
            </w:r>
          </w:p>
        </w:tc>
        <w:tc>
          <w:tcPr>
            <w:tcW w:w="169" w:type="pct"/>
          </w:tcPr>
          <w:p w14:paraId="10860687" w14:textId="77777777" w:rsidR="00862B0B" w:rsidRPr="00A67277" w:rsidRDefault="00862B0B" w:rsidP="00862B0B">
            <w:pPr>
              <w:spacing w:before="60" w:after="60"/>
              <w:rPr>
                <w:rFonts w:ascii="Arial" w:hAnsi="Arial" w:cs="Arial"/>
                <w:sz w:val="21"/>
                <w:szCs w:val="21"/>
              </w:rPr>
            </w:pPr>
          </w:p>
        </w:tc>
        <w:tc>
          <w:tcPr>
            <w:tcW w:w="2561" w:type="pct"/>
            <w:gridSpan w:val="2"/>
          </w:tcPr>
          <w:p w14:paraId="00B524FD" w14:textId="620D7F79" w:rsidR="00862B0B" w:rsidRDefault="00862B0B" w:rsidP="00862B0B">
            <w:pPr>
              <w:pStyle w:val="Level3"/>
              <w:numPr>
                <w:ilvl w:val="2"/>
                <w:numId w:val="551"/>
              </w:numPr>
              <w:spacing w:before="60" w:after="60"/>
              <w:ind w:hanging="535"/>
              <w:rPr>
                <w:rFonts w:cs="Arial"/>
              </w:rPr>
            </w:pPr>
            <w:r>
              <w:rPr>
                <w:rFonts w:cs="Arial"/>
              </w:rPr>
              <w:t>BUP sepakat untuk memberikan insentif kepada Badan Usaha Jalan Tol melalui PJPK dengan jumlah sebesar Rp. [***] untuk setiap pembongkaran setiap Gerbang Tol sebagaimana disebutkan pada paragraf (h). Insentif tersebut harus dibayarkan dalam jangka waktu tiga puluh (30) Hari sejak (i) pembongkaran Gerbang Tol dimaksud telah dilakukan oleh Badan Usaha Jalan Tol sebagaimana disertifikasi oleh Konsultan Pengawas Independen; dan (ii) BUP telah menerima tagihan dari PJPK untuk pembayaran insentif tersebut.</w:t>
            </w:r>
          </w:p>
        </w:tc>
      </w:tr>
      <w:tr w:rsidR="00862B0B" w:rsidRPr="00A67277" w14:paraId="23348426" w14:textId="77777777" w:rsidTr="00862B0B">
        <w:tc>
          <w:tcPr>
            <w:tcW w:w="2270" w:type="pct"/>
          </w:tcPr>
          <w:p w14:paraId="0A0379A3" w14:textId="411EB589" w:rsidR="00862B0B" w:rsidRDefault="00862B0B" w:rsidP="00862B0B">
            <w:pPr>
              <w:pStyle w:val="Level3"/>
              <w:numPr>
                <w:ilvl w:val="2"/>
                <w:numId w:val="550"/>
              </w:numPr>
              <w:spacing w:before="60" w:after="60"/>
              <w:rPr>
                <w:rFonts w:cs="Arial"/>
              </w:rPr>
            </w:pPr>
            <w:r>
              <w:t>If the Toll Road Operators fail to demolish its Toll B</w:t>
            </w:r>
            <w:r w:rsidRPr="00771EF5">
              <w:t xml:space="preserve">ooths within the period as set out in paragraph (h) above, the GCA shall ensure that the IBE </w:t>
            </w:r>
            <w:r>
              <w:t>shall</w:t>
            </w:r>
            <w:r w:rsidRPr="00771EF5">
              <w:t xml:space="preserve"> </w:t>
            </w:r>
            <w:r w:rsidR="00761AF6">
              <w:t>be given</w:t>
            </w:r>
            <w:r w:rsidRPr="00771EF5">
              <w:t xml:space="preserve"> the ri</w:t>
            </w:r>
            <w:r>
              <w:t>ght to demolish the respective Toll B</w:t>
            </w:r>
            <w:r w:rsidRPr="00771EF5">
              <w:t xml:space="preserve">ooths at its </w:t>
            </w:r>
            <w:r>
              <w:t xml:space="preserve">own </w:t>
            </w:r>
            <w:r w:rsidRPr="00771EF5">
              <w:t xml:space="preserve">cost and </w:t>
            </w:r>
            <w:r>
              <w:t>at no</w:t>
            </w:r>
            <w:r w:rsidRPr="00771EF5">
              <w:t xml:space="preserve"> risk on IBE, including </w:t>
            </w:r>
            <w:r>
              <w:t xml:space="preserve">any </w:t>
            </w:r>
            <w:r w:rsidRPr="00771EF5">
              <w:t>legal claim</w:t>
            </w:r>
            <w:r>
              <w:t>s</w:t>
            </w:r>
            <w:r w:rsidRPr="00771EF5">
              <w:t xml:space="preserve"> from the Toll Road Operators</w:t>
            </w:r>
            <w:r>
              <w:rPr>
                <w:rFonts w:cs="Arial"/>
              </w:rPr>
              <w:t xml:space="preserve">.  </w:t>
            </w:r>
          </w:p>
        </w:tc>
        <w:tc>
          <w:tcPr>
            <w:tcW w:w="169" w:type="pct"/>
          </w:tcPr>
          <w:p w14:paraId="425E1DB5" w14:textId="77777777" w:rsidR="00862B0B" w:rsidRPr="00A67277" w:rsidRDefault="00862B0B" w:rsidP="00862B0B">
            <w:pPr>
              <w:spacing w:before="60" w:after="60"/>
              <w:rPr>
                <w:rFonts w:ascii="Arial" w:hAnsi="Arial" w:cs="Arial"/>
                <w:sz w:val="21"/>
                <w:szCs w:val="21"/>
              </w:rPr>
            </w:pPr>
          </w:p>
        </w:tc>
        <w:tc>
          <w:tcPr>
            <w:tcW w:w="2561" w:type="pct"/>
            <w:gridSpan w:val="2"/>
          </w:tcPr>
          <w:p w14:paraId="2FA68B23" w14:textId="0F80FC9D" w:rsidR="00862B0B" w:rsidRDefault="00862B0B" w:rsidP="00862B0B">
            <w:pPr>
              <w:pStyle w:val="Level3"/>
              <w:numPr>
                <w:ilvl w:val="2"/>
                <w:numId w:val="551"/>
              </w:numPr>
              <w:spacing w:before="60" w:after="60"/>
              <w:ind w:hanging="535"/>
              <w:rPr>
                <w:rFonts w:cs="Arial"/>
              </w:rPr>
            </w:pPr>
            <w:r>
              <w:rPr>
                <w:rFonts w:cs="Arial"/>
              </w:rPr>
              <w:t xml:space="preserve">Jika Badan Usaha Jalan Tol gagal untuk membongkar Gerbang Tol dalam jangka waktu sebagaimana disebutkan pada paragraf (h) di atas, maka PJPK harus memastikan bahwa BUP akan </w:t>
            </w:r>
            <w:r w:rsidR="00761AF6">
              <w:rPr>
                <w:rFonts w:cs="Arial"/>
              </w:rPr>
              <w:t>diberikan</w:t>
            </w:r>
            <w:r>
              <w:rPr>
                <w:rFonts w:cs="Arial"/>
              </w:rPr>
              <w:t xml:space="preserve"> hak untuk membongkar Gerbang Tol dimaksud atas biaya</w:t>
            </w:r>
            <w:r w:rsidR="00761AF6">
              <w:rPr>
                <w:rFonts w:cs="Arial"/>
              </w:rPr>
              <w:t xml:space="preserve"> BUP</w:t>
            </w:r>
            <w:r>
              <w:rPr>
                <w:rFonts w:cs="Arial"/>
              </w:rPr>
              <w:t xml:space="preserve"> dan tanpa risiko pada BUP, termasuk setiap gugatan hukum dari Badan Usaha Jalan Tol.</w:t>
            </w:r>
          </w:p>
        </w:tc>
      </w:tr>
      <w:tr w:rsidR="00862B0B" w:rsidRPr="00A67277" w14:paraId="705BB350" w14:textId="77777777" w:rsidTr="00862B0B">
        <w:tc>
          <w:tcPr>
            <w:tcW w:w="2270" w:type="pct"/>
          </w:tcPr>
          <w:p w14:paraId="443BE021" w14:textId="77777777" w:rsidR="00862B0B" w:rsidRPr="00A67277" w:rsidRDefault="00862B0B" w:rsidP="00862B0B">
            <w:pPr>
              <w:pStyle w:val="Heading2"/>
              <w:keepLines w:val="0"/>
              <w:numPr>
                <w:ilvl w:val="1"/>
                <w:numId w:val="422"/>
              </w:numPr>
              <w:spacing w:before="60" w:after="60"/>
              <w:ind w:left="1014" w:hanging="567"/>
              <w:outlineLvl w:val="1"/>
              <w:rPr>
                <w:rFonts w:ascii="Arial" w:hAnsi="Arial" w:cs="Arial"/>
                <w:b/>
                <w:color w:val="auto"/>
                <w:sz w:val="21"/>
                <w:szCs w:val="21"/>
              </w:rPr>
            </w:pPr>
            <w:r w:rsidRPr="00A67277">
              <w:rPr>
                <w:rFonts w:ascii="Arial" w:hAnsi="Arial" w:cs="Arial"/>
                <w:b/>
                <w:color w:val="auto"/>
                <w:sz w:val="21"/>
                <w:szCs w:val="21"/>
              </w:rPr>
              <w:t>Authorisations</w:t>
            </w:r>
          </w:p>
        </w:tc>
        <w:tc>
          <w:tcPr>
            <w:tcW w:w="169" w:type="pct"/>
          </w:tcPr>
          <w:p w14:paraId="481234BE" w14:textId="77777777" w:rsidR="00862B0B" w:rsidRPr="00A67277" w:rsidRDefault="00862B0B" w:rsidP="00862B0B">
            <w:pPr>
              <w:spacing w:before="60" w:after="60"/>
              <w:rPr>
                <w:rFonts w:ascii="Arial" w:hAnsi="Arial" w:cs="Arial"/>
                <w:sz w:val="21"/>
                <w:szCs w:val="21"/>
              </w:rPr>
            </w:pPr>
          </w:p>
        </w:tc>
        <w:tc>
          <w:tcPr>
            <w:tcW w:w="2561" w:type="pct"/>
            <w:gridSpan w:val="2"/>
          </w:tcPr>
          <w:p w14:paraId="7D7E464B" w14:textId="77777777" w:rsidR="00862B0B" w:rsidRPr="00A67277" w:rsidRDefault="00862B0B" w:rsidP="00862B0B">
            <w:pPr>
              <w:pStyle w:val="Level2"/>
              <w:numPr>
                <w:ilvl w:val="1"/>
                <w:numId w:val="388"/>
              </w:numPr>
              <w:spacing w:before="60" w:after="60"/>
              <w:ind w:left="976" w:hanging="567"/>
              <w:rPr>
                <w:rFonts w:cs="Arial"/>
                <w:b/>
              </w:rPr>
            </w:pPr>
            <w:r w:rsidRPr="00A67277">
              <w:rPr>
                <w:rFonts w:cs="Arial"/>
                <w:b/>
              </w:rPr>
              <w:t>Persetujuan</w:t>
            </w:r>
          </w:p>
        </w:tc>
      </w:tr>
      <w:tr w:rsidR="00862B0B" w:rsidRPr="00A67277" w14:paraId="53454C38" w14:textId="77777777" w:rsidTr="00862B0B">
        <w:tc>
          <w:tcPr>
            <w:tcW w:w="2270" w:type="pct"/>
          </w:tcPr>
          <w:p w14:paraId="08FAFEE0" w14:textId="6D03AF88" w:rsidR="00862B0B" w:rsidRPr="00A67277" w:rsidRDefault="00862B0B" w:rsidP="00862B0B">
            <w:pPr>
              <w:pStyle w:val="Level1"/>
              <w:spacing w:before="60" w:after="60"/>
              <w:ind w:left="1014" w:firstLine="32"/>
              <w:rPr>
                <w:rFonts w:cs="Arial"/>
              </w:rPr>
            </w:pPr>
            <w:bookmarkStart w:id="317" w:name="_Toc501178135"/>
            <w:r w:rsidRPr="00A67277">
              <w:rPr>
                <w:rFonts w:cs="Arial"/>
              </w:rPr>
              <w:t xml:space="preserve">The IBE shall, on or before the Commercial Operation Date and </w:t>
            </w:r>
            <w:r w:rsidRPr="00A67277">
              <w:t xml:space="preserve">MLFF </w:t>
            </w:r>
            <w:r w:rsidRPr="00A67277">
              <w:rPr>
                <w:rFonts w:cs="Arial"/>
              </w:rPr>
              <w:t>System Construction Completion Date (as applicable), deliver to GCA copies of all Authorisations that have been issued to the IBE prior to such dates and not previously delivered to GCA.</w:t>
            </w:r>
            <w:bookmarkEnd w:id="317"/>
          </w:p>
        </w:tc>
        <w:tc>
          <w:tcPr>
            <w:tcW w:w="169" w:type="pct"/>
          </w:tcPr>
          <w:p w14:paraId="20107FC3" w14:textId="77777777" w:rsidR="00862B0B" w:rsidRPr="00A67277" w:rsidRDefault="00862B0B" w:rsidP="00862B0B">
            <w:pPr>
              <w:spacing w:before="60" w:after="60"/>
              <w:rPr>
                <w:rFonts w:ascii="Arial" w:hAnsi="Arial" w:cs="Arial"/>
                <w:sz w:val="21"/>
                <w:szCs w:val="21"/>
              </w:rPr>
            </w:pPr>
          </w:p>
        </w:tc>
        <w:tc>
          <w:tcPr>
            <w:tcW w:w="2561" w:type="pct"/>
            <w:gridSpan w:val="2"/>
          </w:tcPr>
          <w:p w14:paraId="34023202" w14:textId="6FFFEB53" w:rsidR="00862B0B" w:rsidRPr="00A67277" w:rsidRDefault="00862B0B" w:rsidP="00862B0B">
            <w:pPr>
              <w:pStyle w:val="Level1"/>
              <w:spacing w:before="60" w:after="60"/>
              <w:ind w:left="976"/>
              <w:rPr>
                <w:rFonts w:cs="Arial"/>
              </w:rPr>
            </w:pPr>
            <w:r w:rsidRPr="00A67277">
              <w:rPr>
                <w:rFonts w:cs="Arial"/>
                <w:shd w:val="clear" w:color="auto" w:fill="FFFFFF"/>
              </w:rPr>
              <w:tab/>
            </w:r>
            <w:r w:rsidRPr="00A67277">
              <w:rPr>
                <w:rFonts w:cs="Arial"/>
                <w:shd w:val="clear" w:color="auto" w:fill="FFFFFF"/>
              </w:rPr>
              <w:tab/>
              <w:t xml:space="preserve">BUP, pada atau sebelum Tanggal Operasi Komersial dan </w:t>
            </w:r>
            <w:r w:rsidRPr="00A67277">
              <w:rPr>
                <w:rFonts w:cs="Arial"/>
              </w:rPr>
              <w:t>Tanggal Penyelesaian Pembangunan Sistem MLFF (sebagaimana berlaku)</w:t>
            </w:r>
            <w:r w:rsidRPr="00A67277">
              <w:rPr>
                <w:rFonts w:cs="Arial"/>
                <w:shd w:val="clear" w:color="auto" w:fill="FFFFFF"/>
              </w:rPr>
              <w:t>, menyerahkan kepada PJPK salinan Persetujuan-Persetujuan yang telah dikeluarkan kepada BUP sebelum tanggal tersebut dan sebelumnya belum diberikan kepada PJPK</w:t>
            </w:r>
            <w:r w:rsidRPr="00A67277">
              <w:rPr>
                <w:rFonts w:cs="Arial"/>
              </w:rPr>
              <w:t>.</w:t>
            </w:r>
          </w:p>
        </w:tc>
      </w:tr>
      <w:tr w:rsidR="00862B0B" w:rsidRPr="00A67277" w14:paraId="7184A0AC" w14:textId="77777777" w:rsidTr="00862B0B">
        <w:tc>
          <w:tcPr>
            <w:tcW w:w="2270" w:type="pct"/>
          </w:tcPr>
          <w:p w14:paraId="2489E3DA" w14:textId="509EE826" w:rsidR="00862B0B" w:rsidRPr="00A67277" w:rsidRDefault="00862B0B" w:rsidP="00862B0B">
            <w:pPr>
              <w:pStyle w:val="Heading2"/>
              <w:keepLines w:val="0"/>
              <w:numPr>
                <w:ilvl w:val="1"/>
                <w:numId w:val="422"/>
              </w:numPr>
              <w:spacing w:before="60" w:after="60"/>
              <w:ind w:left="1014" w:hanging="567"/>
              <w:jc w:val="both"/>
              <w:outlineLvl w:val="1"/>
              <w:rPr>
                <w:rFonts w:ascii="Arial" w:hAnsi="Arial" w:cs="Arial"/>
                <w:color w:val="auto"/>
                <w:sz w:val="21"/>
                <w:szCs w:val="21"/>
              </w:rPr>
            </w:pPr>
            <w:bookmarkStart w:id="318" w:name="_Toc501178136"/>
            <w:r w:rsidRPr="00A67277">
              <w:rPr>
                <w:rFonts w:ascii="Arial" w:hAnsi="Arial" w:cs="Arial"/>
                <w:b/>
                <w:color w:val="auto"/>
                <w:sz w:val="21"/>
                <w:szCs w:val="21"/>
              </w:rPr>
              <w:t>Delay of Commercial Operation Date Due to the IBE’s Default</w:t>
            </w:r>
            <w:bookmarkEnd w:id="318"/>
          </w:p>
        </w:tc>
        <w:tc>
          <w:tcPr>
            <w:tcW w:w="169" w:type="pct"/>
          </w:tcPr>
          <w:p w14:paraId="58F6DE10" w14:textId="77777777" w:rsidR="00862B0B" w:rsidRPr="00A67277" w:rsidRDefault="00862B0B" w:rsidP="00862B0B">
            <w:pPr>
              <w:spacing w:before="60" w:after="60"/>
              <w:rPr>
                <w:rFonts w:ascii="Arial" w:hAnsi="Arial" w:cs="Arial"/>
                <w:sz w:val="21"/>
                <w:szCs w:val="21"/>
              </w:rPr>
            </w:pPr>
          </w:p>
        </w:tc>
        <w:tc>
          <w:tcPr>
            <w:tcW w:w="2561" w:type="pct"/>
            <w:gridSpan w:val="2"/>
          </w:tcPr>
          <w:p w14:paraId="11B1EAAD" w14:textId="77777777" w:rsidR="00862B0B" w:rsidRPr="00A67277" w:rsidRDefault="00862B0B" w:rsidP="00862B0B">
            <w:pPr>
              <w:pStyle w:val="Level2"/>
              <w:numPr>
                <w:ilvl w:val="1"/>
                <w:numId w:val="388"/>
              </w:numPr>
              <w:spacing w:before="60" w:after="60"/>
              <w:ind w:left="976" w:hanging="567"/>
              <w:rPr>
                <w:rFonts w:cs="Arial"/>
                <w:b/>
              </w:rPr>
            </w:pPr>
            <w:bookmarkStart w:id="319" w:name="_Ref397433819"/>
            <w:r w:rsidRPr="00A67277">
              <w:rPr>
                <w:rFonts w:cs="Arial"/>
                <w:b/>
              </w:rPr>
              <w:t xml:space="preserve">Keterlambatan Tanggal Operasi Komersial karena </w:t>
            </w:r>
            <w:bookmarkEnd w:id="319"/>
            <w:r w:rsidRPr="00A67277">
              <w:rPr>
                <w:rFonts w:cs="Arial"/>
                <w:b/>
              </w:rPr>
              <w:t>Kelalaian BUP</w:t>
            </w:r>
          </w:p>
        </w:tc>
      </w:tr>
      <w:tr w:rsidR="00862B0B" w:rsidRPr="00A67277" w14:paraId="54F9B757" w14:textId="77777777" w:rsidTr="00862B0B">
        <w:tc>
          <w:tcPr>
            <w:tcW w:w="2270" w:type="pct"/>
          </w:tcPr>
          <w:p w14:paraId="0814DEAC" w14:textId="6C4E1CD1" w:rsidR="00862B0B" w:rsidRPr="00A67277" w:rsidRDefault="00862B0B" w:rsidP="00862B0B">
            <w:pPr>
              <w:pStyle w:val="Level3"/>
              <w:numPr>
                <w:ilvl w:val="2"/>
                <w:numId w:val="390"/>
              </w:numPr>
              <w:spacing w:before="60" w:after="60"/>
              <w:ind w:hanging="403"/>
              <w:rPr>
                <w:rFonts w:cs="Arial"/>
              </w:rPr>
            </w:pPr>
            <w:bookmarkStart w:id="320" w:name="_Ref397433821"/>
            <w:bookmarkStart w:id="321" w:name="_Toc501178137"/>
            <w:r w:rsidRPr="00A67277">
              <w:rPr>
                <w:rFonts w:cs="Arial"/>
              </w:rPr>
              <w:t xml:space="preserve">If the IBE fails to achieve the Commercial Operation Date by the Scheduled Commercial Operation Date, the IBE must pay penalties at a rate of </w:t>
            </w:r>
            <w:bookmarkStart w:id="322" w:name="_cp_text_1_1895"/>
            <w:r w:rsidRPr="00A67277">
              <w:rPr>
                <w:rFonts w:cs="Arial"/>
              </w:rPr>
              <w:t>[[●] (</w:t>
            </w:r>
            <w:bookmarkEnd w:id="322"/>
            <w:r w:rsidRPr="00A67277">
              <w:rPr>
                <w:rFonts w:cs="Arial"/>
              </w:rPr>
              <w:t>IDR</w:t>
            </w:r>
            <w:bookmarkStart w:id="323" w:name="_cp_text_1_1897"/>
            <w:r w:rsidRPr="00A67277">
              <w:rPr>
                <w:rFonts w:cs="Arial"/>
              </w:rPr>
              <w:t>[●])</w:t>
            </w:r>
            <w:bookmarkEnd w:id="323"/>
            <w:r w:rsidRPr="00A67277">
              <w:rPr>
                <w:rFonts w:cs="Arial"/>
              </w:rPr>
              <w:t>] per Day [**to be inserted the amount of Stage II Performance Bond devided by 180**] for each Day of delay until the earlier of:</w:t>
            </w:r>
            <w:bookmarkEnd w:id="320"/>
            <w:bookmarkEnd w:id="321"/>
          </w:p>
        </w:tc>
        <w:tc>
          <w:tcPr>
            <w:tcW w:w="169" w:type="pct"/>
          </w:tcPr>
          <w:p w14:paraId="23AF2D73" w14:textId="77777777" w:rsidR="00862B0B" w:rsidRPr="00A67277" w:rsidRDefault="00862B0B" w:rsidP="00862B0B">
            <w:pPr>
              <w:spacing w:before="60" w:after="60"/>
              <w:rPr>
                <w:rFonts w:ascii="Arial" w:hAnsi="Arial" w:cs="Arial"/>
                <w:sz w:val="21"/>
                <w:szCs w:val="21"/>
              </w:rPr>
            </w:pPr>
          </w:p>
        </w:tc>
        <w:tc>
          <w:tcPr>
            <w:tcW w:w="2561" w:type="pct"/>
            <w:gridSpan w:val="2"/>
          </w:tcPr>
          <w:p w14:paraId="126F5AC3" w14:textId="189D914B" w:rsidR="00862B0B" w:rsidRPr="00A67277" w:rsidRDefault="00862B0B" w:rsidP="00862B0B">
            <w:pPr>
              <w:pStyle w:val="Level3"/>
              <w:numPr>
                <w:ilvl w:val="2"/>
                <w:numId w:val="393"/>
              </w:numPr>
              <w:tabs>
                <w:tab w:val="clear" w:pos="1417"/>
                <w:tab w:val="num" w:pos="1333"/>
              </w:tabs>
              <w:spacing w:before="60" w:after="60"/>
              <w:ind w:left="1333" w:hanging="425"/>
              <w:rPr>
                <w:rFonts w:cs="Arial"/>
              </w:rPr>
            </w:pPr>
            <w:r w:rsidRPr="00A67277">
              <w:rPr>
                <w:rFonts w:cs="Arial"/>
              </w:rPr>
              <w:t xml:space="preserve">Apabila BUP gagal untuk mencapai Tanggal Operasi Komersial yang telah ditetapkan berdasarkan Tanggal Operasi Komersial Yang Dijadwakan, BUP akan dikenakan biaya denda sebesar [●] (Rp.[●]) per Hari [**akan dimasukan jumlah sebesar nilai Jaminan Pelaksanaan Tahap II dibagi dengan 180**] untuk setiap Hari keterlambatannya, hingga (mana yang lebih dahulu terjadi): </w:t>
            </w:r>
          </w:p>
        </w:tc>
      </w:tr>
      <w:tr w:rsidR="00862B0B" w:rsidRPr="00A67277" w14:paraId="1F4A2339" w14:textId="77777777" w:rsidTr="00862B0B">
        <w:tc>
          <w:tcPr>
            <w:tcW w:w="2270" w:type="pct"/>
          </w:tcPr>
          <w:p w14:paraId="0AFB6FE8" w14:textId="602BDA91" w:rsidR="00862B0B" w:rsidRPr="00A67277" w:rsidRDefault="00862B0B" w:rsidP="00862B0B">
            <w:pPr>
              <w:pStyle w:val="Level4"/>
              <w:numPr>
                <w:ilvl w:val="3"/>
                <w:numId w:val="425"/>
              </w:numPr>
              <w:tabs>
                <w:tab w:val="clear" w:pos="2126"/>
              </w:tabs>
              <w:spacing w:before="60" w:after="60"/>
              <w:ind w:left="1980" w:hanging="563"/>
              <w:rPr>
                <w:rFonts w:cs="Arial"/>
              </w:rPr>
            </w:pPr>
            <w:bookmarkStart w:id="324" w:name="_Ref397433823"/>
            <w:r w:rsidRPr="00A67277">
              <w:rPr>
                <w:rFonts w:cs="Arial"/>
              </w:rPr>
              <w:t>the occurrence of the Commercial Operation Date</w:t>
            </w:r>
            <w:bookmarkStart w:id="325" w:name="_cp_text_1_1898"/>
            <w:bookmarkEnd w:id="324"/>
            <w:r w:rsidRPr="00A67277">
              <w:rPr>
                <w:rFonts w:cs="Arial"/>
              </w:rPr>
              <w:t>;</w:t>
            </w:r>
            <w:bookmarkEnd w:id="325"/>
          </w:p>
        </w:tc>
        <w:tc>
          <w:tcPr>
            <w:tcW w:w="169" w:type="pct"/>
          </w:tcPr>
          <w:p w14:paraId="6B00CEF3" w14:textId="77777777" w:rsidR="00862B0B" w:rsidRPr="00A67277" w:rsidRDefault="00862B0B" w:rsidP="00862B0B">
            <w:pPr>
              <w:spacing w:before="60" w:after="60"/>
              <w:rPr>
                <w:rFonts w:ascii="Arial" w:hAnsi="Arial" w:cs="Arial"/>
                <w:sz w:val="21"/>
                <w:szCs w:val="21"/>
              </w:rPr>
            </w:pPr>
          </w:p>
        </w:tc>
        <w:tc>
          <w:tcPr>
            <w:tcW w:w="2561" w:type="pct"/>
            <w:gridSpan w:val="2"/>
          </w:tcPr>
          <w:p w14:paraId="19103EE9" w14:textId="77777777" w:rsidR="00862B0B" w:rsidRPr="00A67277" w:rsidRDefault="00862B0B" w:rsidP="00862B0B">
            <w:pPr>
              <w:pStyle w:val="Level4"/>
              <w:numPr>
                <w:ilvl w:val="0"/>
                <w:numId w:val="391"/>
              </w:numPr>
              <w:spacing w:before="60" w:after="60"/>
              <w:ind w:left="1872" w:hanging="255"/>
              <w:rPr>
                <w:rFonts w:cs="Arial"/>
              </w:rPr>
            </w:pPr>
            <w:r w:rsidRPr="00A67277">
              <w:rPr>
                <w:rFonts w:cs="Arial"/>
              </w:rPr>
              <w:t>terjadinya Tanggal Operasi Komersial;</w:t>
            </w:r>
          </w:p>
        </w:tc>
      </w:tr>
      <w:tr w:rsidR="00862B0B" w:rsidRPr="00A67277" w14:paraId="2C3D0C73" w14:textId="77777777" w:rsidTr="00862B0B">
        <w:tc>
          <w:tcPr>
            <w:tcW w:w="2270" w:type="pct"/>
          </w:tcPr>
          <w:p w14:paraId="7A360C7B" w14:textId="266B7A82" w:rsidR="00862B0B" w:rsidRPr="00A67277" w:rsidRDefault="00862B0B" w:rsidP="00862B0B">
            <w:pPr>
              <w:pStyle w:val="Level4"/>
              <w:numPr>
                <w:ilvl w:val="3"/>
                <w:numId w:val="425"/>
              </w:numPr>
              <w:tabs>
                <w:tab w:val="clear" w:pos="2126"/>
              </w:tabs>
              <w:spacing w:before="60" w:after="60"/>
              <w:ind w:left="1980" w:hanging="563"/>
              <w:rPr>
                <w:rFonts w:cs="Arial"/>
              </w:rPr>
            </w:pPr>
            <w:bookmarkStart w:id="326" w:name="_Ref397433899"/>
            <w:r w:rsidRPr="00A67277">
              <w:rPr>
                <w:rFonts w:cs="Arial"/>
              </w:rPr>
              <w:t>one hundred and eighty (180) Days following the Scheduled Commercial Operation Date; or</w:t>
            </w:r>
            <w:bookmarkEnd w:id="326"/>
          </w:p>
        </w:tc>
        <w:tc>
          <w:tcPr>
            <w:tcW w:w="169" w:type="pct"/>
          </w:tcPr>
          <w:p w14:paraId="0689D588" w14:textId="77777777" w:rsidR="00862B0B" w:rsidRPr="00A67277" w:rsidRDefault="00862B0B" w:rsidP="00862B0B">
            <w:pPr>
              <w:spacing w:before="60" w:after="60"/>
              <w:rPr>
                <w:rFonts w:ascii="Arial" w:hAnsi="Arial" w:cs="Arial"/>
                <w:sz w:val="21"/>
                <w:szCs w:val="21"/>
              </w:rPr>
            </w:pPr>
          </w:p>
        </w:tc>
        <w:tc>
          <w:tcPr>
            <w:tcW w:w="2561" w:type="pct"/>
            <w:gridSpan w:val="2"/>
          </w:tcPr>
          <w:p w14:paraId="70D165D8" w14:textId="50898C57" w:rsidR="00862B0B" w:rsidRPr="00A67277" w:rsidRDefault="00862B0B" w:rsidP="00862B0B">
            <w:pPr>
              <w:pStyle w:val="Level4"/>
              <w:numPr>
                <w:ilvl w:val="0"/>
                <w:numId w:val="391"/>
              </w:numPr>
              <w:spacing w:before="60" w:after="60"/>
              <w:ind w:left="1872" w:hanging="255"/>
              <w:rPr>
                <w:rFonts w:cs="Arial"/>
              </w:rPr>
            </w:pPr>
            <w:r w:rsidRPr="00A67277">
              <w:rPr>
                <w:rFonts w:cs="Arial"/>
              </w:rPr>
              <w:t>seratus delapan puluh (180) Hari setelah Tanggal Operasi Komersial Yang Dijadwalkan; atau</w:t>
            </w:r>
          </w:p>
        </w:tc>
      </w:tr>
      <w:tr w:rsidR="00862B0B" w:rsidRPr="00A67277" w14:paraId="1DF82141" w14:textId="77777777" w:rsidTr="00862B0B">
        <w:tc>
          <w:tcPr>
            <w:tcW w:w="2270" w:type="pct"/>
          </w:tcPr>
          <w:p w14:paraId="3D1370B8" w14:textId="77777777" w:rsidR="00862B0B" w:rsidRPr="00A67277" w:rsidRDefault="00862B0B" w:rsidP="00862B0B">
            <w:pPr>
              <w:pStyle w:val="Level4"/>
              <w:numPr>
                <w:ilvl w:val="3"/>
                <w:numId w:val="425"/>
              </w:numPr>
              <w:tabs>
                <w:tab w:val="clear" w:pos="2126"/>
              </w:tabs>
              <w:spacing w:before="60" w:after="60"/>
              <w:ind w:left="1980" w:hanging="563"/>
              <w:rPr>
                <w:rFonts w:cs="Arial"/>
              </w:rPr>
            </w:pPr>
            <w:r w:rsidRPr="00A67277">
              <w:rPr>
                <w:rFonts w:cs="Arial"/>
              </w:rPr>
              <w:t>the date this Agreement is terminated by GCA.</w:t>
            </w:r>
          </w:p>
        </w:tc>
        <w:tc>
          <w:tcPr>
            <w:tcW w:w="169" w:type="pct"/>
          </w:tcPr>
          <w:p w14:paraId="2DD80DA0" w14:textId="77777777" w:rsidR="00862B0B" w:rsidRPr="00A67277" w:rsidRDefault="00862B0B" w:rsidP="00862B0B">
            <w:pPr>
              <w:spacing w:before="60" w:after="60"/>
              <w:rPr>
                <w:rFonts w:ascii="Arial" w:hAnsi="Arial" w:cs="Arial"/>
                <w:sz w:val="21"/>
                <w:szCs w:val="21"/>
              </w:rPr>
            </w:pPr>
          </w:p>
        </w:tc>
        <w:tc>
          <w:tcPr>
            <w:tcW w:w="2561" w:type="pct"/>
            <w:gridSpan w:val="2"/>
          </w:tcPr>
          <w:p w14:paraId="548F713D" w14:textId="77777777" w:rsidR="00862B0B" w:rsidRPr="00A67277" w:rsidRDefault="00862B0B" w:rsidP="00862B0B">
            <w:pPr>
              <w:pStyle w:val="Level4"/>
              <w:numPr>
                <w:ilvl w:val="0"/>
                <w:numId w:val="391"/>
              </w:numPr>
              <w:spacing w:before="60" w:after="60"/>
              <w:ind w:left="1872" w:hanging="255"/>
              <w:rPr>
                <w:rFonts w:cs="Arial"/>
              </w:rPr>
            </w:pPr>
            <w:r w:rsidRPr="00A67277">
              <w:rPr>
                <w:rFonts w:cs="Arial"/>
              </w:rPr>
              <w:t>tanggal Perjanjian ini diakhiri oleh PJPK.</w:t>
            </w:r>
          </w:p>
        </w:tc>
      </w:tr>
      <w:tr w:rsidR="00862B0B" w:rsidRPr="00A67277" w14:paraId="240F0932" w14:textId="77777777" w:rsidTr="00862B0B">
        <w:tc>
          <w:tcPr>
            <w:tcW w:w="2270" w:type="pct"/>
          </w:tcPr>
          <w:p w14:paraId="53208A43" w14:textId="43E6500B" w:rsidR="00862B0B" w:rsidRPr="00A67277" w:rsidRDefault="00862B0B" w:rsidP="00862B0B">
            <w:pPr>
              <w:pStyle w:val="Level3"/>
              <w:numPr>
                <w:ilvl w:val="2"/>
                <w:numId w:val="390"/>
              </w:numPr>
              <w:spacing w:before="60" w:after="60"/>
              <w:ind w:hanging="403"/>
              <w:rPr>
                <w:rFonts w:cs="Arial"/>
              </w:rPr>
            </w:pPr>
            <w:bookmarkStart w:id="327" w:name="_Toc501178138"/>
            <w:r w:rsidRPr="00A67277">
              <w:rPr>
                <w:rFonts w:cs="Arial"/>
              </w:rPr>
              <w:t xml:space="preserve">The penalties defined in paragraph (a), shall not exceed in aggregate a percentage equal to one percent (1%) of the value of the Works, no other compensation being due in such case. </w:t>
            </w:r>
            <w:bookmarkEnd w:id="327"/>
          </w:p>
        </w:tc>
        <w:tc>
          <w:tcPr>
            <w:tcW w:w="169" w:type="pct"/>
          </w:tcPr>
          <w:p w14:paraId="22650967" w14:textId="77777777" w:rsidR="00862B0B" w:rsidRPr="00A67277" w:rsidRDefault="00862B0B" w:rsidP="00862B0B">
            <w:pPr>
              <w:spacing w:before="60" w:after="60"/>
              <w:rPr>
                <w:rFonts w:ascii="Arial" w:hAnsi="Arial" w:cs="Arial"/>
                <w:sz w:val="21"/>
                <w:szCs w:val="21"/>
              </w:rPr>
            </w:pPr>
          </w:p>
        </w:tc>
        <w:tc>
          <w:tcPr>
            <w:tcW w:w="2561" w:type="pct"/>
            <w:gridSpan w:val="2"/>
          </w:tcPr>
          <w:p w14:paraId="19267ED3" w14:textId="77777777" w:rsidR="00862B0B" w:rsidRPr="00A67277" w:rsidRDefault="00862B0B" w:rsidP="00862B0B">
            <w:pPr>
              <w:pStyle w:val="Level3"/>
              <w:numPr>
                <w:ilvl w:val="2"/>
                <w:numId w:val="392"/>
              </w:numPr>
              <w:tabs>
                <w:tab w:val="clear" w:pos="1417"/>
                <w:tab w:val="num" w:pos="1333"/>
              </w:tabs>
              <w:spacing w:before="60" w:after="60"/>
              <w:ind w:left="1333" w:hanging="425"/>
              <w:rPr>
                <w:rFonts w:cs="Arial"/>
              </w:rPr>
            </w:pPr>
            <w:r w:rsidRPr="00A67277">
              <w:rPr>
                <w:rFonts w:cs="Arial"/>
              </w:rPr>
              <w:t>Denda sebagaimana dimaksud dalam paragraf (a) tidak boleh melebihi jumlah yang setara dengan satu persen (1%) dari nilai Pekerjaan; tidak ada kompensasi lainnya yang harus dibayarkan dalam hal tersebut.</w:t>
            </w:r>
          </w:p>
          <w:p w14:paraId="74DC2649" w14:textId="77777777" w:rsidR="00862B0B" w:rsidRPr="00A67277" w:rsidRDefault="00862B0B" w:rsidP="00862B0B">
            <w:pPr>
              <w:rPr>
                <w:lang w:val="en-GB" w:eastAsia="en-GB"/>
              </w:rPr>
            </w:pPr>
          </w:p>
          <w:p w14:paraId="3CB5C338" w14:textId="77777777" w:rsidR="00862B0B" w:rsidRPr="00A67277" w:rsidRDefault="00862B0B" w:rsidP="00862B0B">
            <w:pPr>
              <w:rPr>
                <w:lang w:val="en-GB" w:eastAsia="en-GB"/>
              </w:rPr>
            </w:pPr>
          </w:p>
        </w:tc>
      </w:tr>
      <w:tr w:rsidR="00862B0B" w:rsidRPr="00A67277" w14:paraId="2306C7E7" w14:textId="77777777" w:rsidTr="00862B0B">
        <w:tc>
          <w:tcPr>
            <w:tcW w:w="2270" w:type="pct"/>
          </w:tcPr>
          <w:p w14:paraId="6FE09270" w14:textId="787108DA" w:rsidR="00862B0B" w:rsidRPr="00A67277" w:rsidRDefault="00862B0B" w:rsidP="00862B0B">
            <w:pPr>
              <w:pStyle w:val="Heading2"/>
              <w:keepLines w:val="0"/>
              <w:numPr>
                <w:ilvl w:val="1"/>
                <w:numId w:val="422"/>
              </w:numPr>
              <w:spacing w:before="60" w:after="60"/>
              <w:ind w:left="1014" w:hanging="567"/>
              <w:jc w:val="both"/>
              <w:outlineLvl w:val="1"/>
              <w:rPr>
                <w:rFonts w:ascii="Arial" w:hAnsi="Arial" w:cs="Arial"/>
                <w:b/>
                <w:color w:val="auto"/>
                <w:sz w:val="21"/>
                <w:szCs w:val="21"/>
              </w:rPr>
            </w:pPr>
            <w:bookmarkStart w:id="328" w:name="_Ref397432252"/>
            <w:bookmarkStart w:id="329" w:name="_Toc501178142"/>
            <w:r w:rsidRPr="00A67277">
              <w:rPr>
                <w:rFonts w:ascii="Arial" w:hAnsi="Arial" w:cs="Arial"/>
                <w:b/>
                <w:color w:val="auto"/>
                <w:sz w:val="21"/>
                <w:szCs w:val="21"/>
              </w:rPr>
              <w:t>Payment of Penalties</w:t>
            </w:r>
            <w:bookmarkEnd w:id="328"/>
            <w:bookmarkEnd w:id="329"/>
          </w:p>
        </w:tc>
        <w:tc>
          <w:tcPr>
            <w:tcW w:w="169" w:type="pct"/>
          </w:tcPr>
          <w:p w14:paraId="155EB346" w14:textId="77777777" w:rsidR="00862B0B" w:rsidRPr="00A67277" w:rsidRDefault="00862B0B" w:rsidP="00862B0B">
            <w:pPr>
              <w:spacing w:before="60" w:after="60"/>
              <w:rPr>
                <w:rFonts w:ascii="Arial" w:hAnsi="Arial" w:cs="Arial"/>
                <w:sz w:val="21"/>
                <w:szCs w:val="21"/>
              </w:rPr>
            </w:pPr>
          </w:p>
        </w:tc>
        <w:tc>
          <w:tcPr>
            <w:tcW w:w="2561" w:type="pct"/>
            <w:gridSpan w:val="2"/>
          </w:tcPr>
          <w:p w14:paraId="6D103D26" w14:textId="77777777" w:rsidR="00862B0B" w:rsidRPr="00A67277" w:rsidRDefault="00862B0B" w:rsidP="00862B0B">
            <w:pPr>
              <w:pStyle w:val="Level2"/>
              <w:numPr>
                <w:ilvl w:val="1"/>
                <w:numId w:val="388"/>
              </w:numPr>
              <w:spacing w:before="60" w:after="60"/>
              <w:ind w:left="1050" w:hanging="567"/>
              <w:rPr>
                <w:rFonts w:cs="Arial"/>
                <w:b/>
              </w:rPr>
            </w:pPr>
            <w:r w:rsidRPr="00A67277">
              <w:rPr>
                <w:rFonts w:cs="Arial"/>
                <w:b/>
              </w:rPr>
              <w:t>Pembayaran Denda</w:t>
            </w:r>
          </w:p>
        </w:tc>
      </w:tr>
      <w:tr w:rsidR="00862B0B" w:rsidRPr="00A67277" w14:paraId="7214624F" w14:textId="77777777" w:rsidTr="00862B0B">
        <w:tc>
          <w:tcPr>
            <w:tcW w:w="2270" w:type="pct"/>
          </w:tcPr>
          <w:p w14:paraId="562FAE60" w14:textId="708E040A" w:rsidR="00862B0B" w:rsidRPr="00A67277" w:rsidRDefault="00862B0B" w:rsidP="00862B0B">
            <w:pPr>
              <w:pStyle w:val="Level3"/>
              <w:numPr>
                <w:ilvl w:val="2"/>
                <w:numId w:val="394"/>
              </w:numPr>
              <w:spacing w:before="60" w:after="60"/>
              <w:ind w:hanging="403"/>
              <w:rPr>
                <w:rFonts w:cs="Arial"/>
              </w:rPr>
            </w:pPr>
            <w:bookmarkStart w:id="330" w:name="_Toc501178143"/>
            <w:r w:rsidRPr="00A67277">
              <w:rPr>
                <w:rFonts w:cs="Arial"/>
              </w:rPr>
              <w:t xml:space="preserve">The penalties amount set out in Clauses </w:t>
            </w:r>
            <w:bookmarkStart w:id="331" w:name="_cp_text_1_1933"/>
            <w:r w:rsidRPr="00A67277">
              <w:rPr>
                <w:rFonts w:cs="Arial"/>
              </w:rPr>
              <w:t>9.</w:t>
            </w:r>
            <w:r>
              <w:rPr>
                <w:rFonts w:cs="Arial"/>
              </w:rPr>
              <w:t>4</w:t>
            </w:r>
            <w:r w:rsidRPr="00A67277">
              <w:rPr>
                <w:rFonts w:cs="Arial"/>
              </w:rPr>
              <w:t xml:space="preserve"> </w:t>
            </w:r>
            <w:bookmarkEnd w:id="331"/>
            <w:r w:rsidRPr="00A67277">
              <w:rPr>
                <w:rFonts w:cs="Arial"/>
              </w:rPr>
              <w:t>(</w:t>
            </w:r>
            <w:r w:rsidRPr="00A67277">
              <w:rPr>
                <w:rFonts w:cs="Arial"/>
                <w:i/>
              </w:rPr>
              <w:t>Delay of Commercial Operation Date Due to the IBE’s Default</w:t>
            </w:r>
            <w:r w:rsidRPr="00A67277">
              <w:rPr>
                <w:rFonts w:cs="Arial"/>
              </w:rPr>
              <w:t xml:space="preserve">) must be paid by the IBE to GCA within ten (10) </w:t>
            </w:r>
            <w:bookmarkStart w:id="332" w:name="_cp_text_1_1937"/>
            <w:r w:rsidRPr="00A67277">
              <w:rPr>
                <w:rFonts w:cs="Arial"/>
              </w:rPr>
              <w:t xml:space="preserve">Business </w:t>
            </w:r>
            <w:bookmarkEnd w:id="332"/>
            <w:r w:rsidRPr="00A67277">
              <w:rPr>
                <w:rFonts w:cs="Arial"/>
              </w:rPr>
              <w:t>Days of the IBE’s receipt of a written notice from GCA demanding payment.</w:t>
            </w:r>
            <w:bookmarkEnd w:id="330"/>
          </w:p>
        </w:tc>
        <w:tc>
          <w:tcPr>
            <w:tcW w:w="169" w:type="pct"/>
          </w:tcPr>
          <w:p w14:paraId="7E418152" w14:textId="77777777" w:rsidR="00862B0B" w:rsidRPr="00A67277" w:rsidRDefault="00862B0B" w:rsidP="00862B0B">
            <w:pPr>
              <w:spacing w:before="60" w:after="60"/>
              <w:rPr>
                <w:rFonts w:ascii="Arial" w:hAnsi="Arial" w:cs="Arial"/>
                <w:sz w:val="21"/>
                <w:szCs w:val="21"/>
              </w:rPr>
            </w:pPr>
          </w:p>
        </w:tc>
        <w:tc>
          <w:tcPr>
            <w:tcW w:w="2561" w:type="pct"/>
            <w:gridSpan w:val="2"/>
          </w:tcPr>
          <w:p w14:paraId="320B2EEF" w14:textId="6F40B2AB" w:rsidR="00862B0B" w:rsidRPr="00A67277" w:rsidRDefault="00862B0B" w:rsidP="00862B0B">
            <w:pPr>
              <w:pStyle w:val="Level3"/>
              <w:numPr>
                <w:ilvl w:val="2"/>
                <w:numId w:val="395"/>
              </w:numPr>
              <w:spacing w:before="60" w:after="60"/>
              <w:ind w:hanging="367"/>
              <w:rPr>
                <w:rFonts w:cs="Arial"/>
              </w:rPr>
            </w:pPr>
            <w:r w:rsidRPr="00A67277">
              <w:rPr>
                <w:rFonts w:cs="Arial"/>
              </w:rPr>
              <w:t>Jumlah denda yang ditetapkan dalam Pasal 9.</w:t>
            </w:r>
            <w:r>
              <w:rPr>
                <w:rFonts w:cs="Arial"/>
              </w:rPr>
              <w:t>4</w:t>
            </w:r>
            <w:r w:rsidRPr="00A67277">
              <w:rPr>
                <w:rFonts w:cs="Arial"/>
              </w:rPr>
              <w:t xml:space="preserve"> (</w:t>
            </w:r>
            <w:r w:rsidRPr="00A67277">
              <w:rPr>
                <w:rFonts w:cs="Arial"/>
                <w:i/>
              </w:rPr>
              <w:t>Keterlambatan Tanggal Operasi Komersial karena Kelalaian BUP</w:t>
            </w:r>
            <w:r w:rsidRPr="00A67277">
              <w:rPr>
                <w:rFonts w:cs="Arial"/>
              </w:rPr>
              <w:t xml:space="preserve">) harus dibayarkan BUP kepada PJPK dalam waktu sepuluh (10) Hari Kerja setelah BUP menerima pemberitahuan tertulis dari PJPK </w:t>
            </w:r>
            <w:r w:rsidRPr="00A67277">
              <w:rPr>
                <w:rFonts w:cs="Arial"/>
                <w:shd w:val="clear" w:color="auto" w:fill="FFFFFF"/>
              </w:rPr>
              <w:t>yang meminta pembayaran.</w:t>
            </w:r>
          </w:p>
        </w:tc>
      </w:tr>
      <w:tr w:rsidR="00862B0B" w:rsidRPr="00A67277" w14:paraId="61EE219A" w14:textId="77777777" w:rsidTr="00862B0B">
        <w:tc>
          <w:tcPr>
            <w:tcW w:w="2270" w:type="pct"/>
          </w:tcPr>
          <w:p w14:paraId="130C6896" w14:textId="0A87C4B2" w:rsidR="00862B0B" w:rsidRPr="00A67277" w:rsidRDefault="00862B0B" w:rsidP="00862B0B">
            <w:pPr>
              <w:pStyle w:val="Level3"/>
              <w:numPr>
                <w:ilvl w:val="2"/>
                <w:numId w:val="394"/>
              </w:numPr>
              <w:spacing w:before="60" w:after="60"/>
              <w:ind w:hanging="403"/>
              <w:rPr>
                <w:rFonts w:cs="Arial"/>
              </w:rPr>
            </w:pPr>
            <w:bookmarkStart w:id="333" w:name="_Toc501178144"/>
            <w:r w:rsidRPr="00A67277">
              <w:rPr>
                <w:rFonts w:cs="Arial"/>
              </w:rPr>
              <w:t xml:space="preserve">If the IBE fails to pay these penalties when due, GCA is entitled to call the corresponding amount under the </w:t>
            </w:r>
            <w:bookmarkStart w:id="334" w:name="_cp_text_1_1939"/>
            <w:r w:rsidRPr="00A67277">
              <w:rPr>
                <w:rFonts w:cs="Arial"/>
              </w:rPr>
              <w:t xml:space="preserve">Stage II </w:t>
            </w:r>
            <w:bookmarkEnd w:id="334"/>
            <w:r w:rsidRPr="00A67277">
              <w:rPr>
                <w:rFonts w:cs="Arial"/>
              </w:rPr>
              <w:t>Performance Bond.</w:t>
            </w:r>
            <w:bookmarkEnd w:id="333"/>
          </w:p>
        </w:tc>
        <w:tc>
          <w:tcPr>
            <w:tcW w:w="169" w:type="pct"/>
          </w:tcPr>
          <w:p w14:paraId="5E150DF2" w14:textId="77777777" w:rsidR="00862B0B" w:rsidRPr="00A67277" w:rsidRDefault="00862B0B" w:rsidP="00862B0B">
            <w:pPr>
              <w:spacing w:before="60" w:after="60"/>
              <w:rPr>
                <w:rFonts w:ascii="Arial" w:hAnsi="Arial" w:cs="Arial"/>
                <w:sz w:val="21"/>
                <w:szCs w:val="21"/>
              </w:rPr>
            </w:pPr>
          </w:p>
        </w:tc>
        <w:tc>
          <w:tcPr>
            <w:tcW w:w="2561" w:type="pct"/>
            <w:gridSpan w:val="2"/>
          </w:tcPr>
          <w:p w14:paraId="68C4D361" w14:textId="74BB95C5" w:rsidR="00862B0B" w:rsidRPr="00A67277" w:rsidRDefault="00862B0B" w:rsidP="00862B0B">
            <w:pPr>
              <w:pStyle w:val="Level3"/>
              <w:numPr>
                <w:ilvl w:val="2"/>
                <w:numId w:val="545"/>
              </w:numPr>
              <w:spacing w:before="60" w:after="60"/>
              <w:ind w:hanging="393"/>
              <w:rPr>
                <w:rFonts w:cs="Arial"/>
              </w:rPr>
            </w:pPr>
            <w:r w:rsidRPr="00A67277">
              <w:rPr>
                <w:rFonts w:cs="Arial"/>
              </w:rPr>
              <w:t xml:space="preserve">Apabila BUP gagal untuk membayar denda pada saat jatuh tempo, PJPK berhak mendapatkan jumlah yang sama melalui pencairan Jaminan Pelaksanaan Tahap II. </w:t>
            </w:r>
          </w:p>
        </w:tc>
      </w:tr>
      <w:tr w:rsidR="00862B0B" w:rsidRPr="00A67277" w14:paraId="2780BEE4" w14:textId="77777777" w:rsidTr="00862B0B">
        <w:tc>
          <w:tcPr>
            <w:tcW w:w="2270" w:type="pct"/>
          </w:tcPr>
          <w:p w14:paraId="078C0A55" w14:textId="77777777" w:rsidR="00862B0B" w:rsidRPr="00A67277" w:rsidRDefault="00862B0B" w:rsidP="00862B0B">
            <w:pPr>
              <w:pStyle w:val="Heading2"/>
              <w:keepLines w:val="0"/>
              <w:numPr>
                <w:ilvl w:val="1"/>
                <w:numId w:val="422"/>
              </w:numPr>
              <w:spacing w:before="60" w:after="60"/>
              <w:ind w:left="1014" w:hanging="567"/>
              <w:jc w:val="both"/>
              <w:outlineLvl w:val="1"/>
              <w:rPr>
                <w:rFonts w:cs="Arial"/>
                <w:color w:val="auto"/>
              </w:rPr>
            </w:pPr>
            <w:r w:rsidRPr="00A67277">
              <w:rPr>
                <w:rFonts w:ascii="Arial" w:hAnsi="Arial" w:cs="Arial"/>
                <w:b/>
                <w:color w:val="auto"/>
                <w:sz w:val="21"/>
                <w:szCs w:val="21"/>
              </w:rPr>
              <w:t>Delays Caused by GCA</w:t>
            </w:r>
          </w:p>
        </w:tc>
        <w:tc>
          <w:tcPr>
            <w:tcW w:w="169" w:type="pct"/>
          </w:tcPr>
          <w:p w14:paraId="22751C3F" w14:textId="77777777" w:rsidR="00862B0B" w:rsidRPr="00A67277" w:rsidRDefault="00862B0B" w:rsidP="00862B0B">
            <w:pPr>
              <w:spacing w:before="60" w:after="60"/>
              <w:rPr>
                <w:rFonts w:ascii="Arial" w:hAnsi="Arial" w:cs="Arial"/>
                <w:sz w:val="21"/>
                <w:szCs w:val="21"/>
              </w:rPr>
            </w:pPr>
          </w:p>
        </w:tc>
        <w:tc>
          <w:tcPr>
            <w:tcW w:w="2561" w:type="pct"/>
            <w:gridSpan w:val="2"/>
          </w:tcPr>
          <w:p w14:paraId="01C96DAA" w14:textId="77777777" w:rsidR="00862B0B" w:rsidRPr="00A67277" w:rsidRDefault="00862B0B" w:rsidP="00862B0B">
            <w:pPr>
              <w:pStyle w:val="Level2"/>
              <w:numPr>
                <w:ilvl w:val="1"/>
                <w:numId w:val="388"/>
              </w:numPr>
              <w:spacing w:before="60" w:after="60"/>
              <w:ind w:left="1050" w:hanging="567"/>
              <w:rPr>
                <w:rFonts w:cs="Arial"/>
                <w:b/>
              </w:rPr>
            </w:pPr>
            <w:bookmarkStart w:id="335" w:name="_Toc503185711"/>
            <w:r w:rsidRPr="00A67277">
              <w:rPr>
                <w:rFonts w:cs="Arial"/>
                <w:b/>
              </w:rPr>
              <w:t>Keterlambatan Disebabkan oleh PJPK</w:t>
            </w:r>
            <w:bookmarkEnd w:id="335"/>
          </w:p>
        </w:tc>
      </w:tr>
      <w:tr w:rsidR="00862B0B" w:rsidRPr="00A67277" w14:paraId="6A96D3F4" w14:textId="77777777" w:rsidTr="00862B0B">
        <w:tc>
          <w:tcPr>
            <w:tcW w:w="2270" w:type="pct"/>
          </w:tcPr>
          <w:p w14:paraId="11280A26" w14:textId="77777777" w:rsidR="00862B0B" w:rsidRPr="00A67277" w:rsidRDefault="00862B0B" w:rsidP="00862B0B">
            <w:pPr>
              <w:pStyle w:val="Level3"/>
              <w:numPr>
                <w:ilvl w:val="0"/>
                <w:numId w:val="426"/>
              </w:numPr>
              <w:spacing w:before="60" w:after="60"/>
              <w:ind w:left="1513" w:hanging="450"/>
              <w:rPr>
                <w:rFonts w:cs="Arial"/>
              </w:rPr>
            </w:pPr>
            <w:r w:rsidRPr="00A67277">
              <w:t>If there is a delay in the IBE’s critical path schedule that will have the effect of delaying any Milestone beyond the relevant Milestone Date, in each case as a result of:</w:t>
            </w:r>
          </w:p>
        </w:tc>
        <w:tc>
          <w:tcPr>
            <w:tcW w:w="169" w:type="pct"/>
          </w:tcPr>
          <w:p w14:paraId="481A0BB3" w14:textId="77777777" w:rsidR="00862B0B" w:rsidRPr="00A67277" w:rsidRDefault="00862B0B" w:rsidP="00862B0B">
            <w:pPr>
              <w:spacing w:before="60" w:after="60"/>
              <w:rPr>
                <w:rFonts w:ascii="Arial" w:hAnsi="Arial" w:cs="Arial"/>
                <w:sz w:val="21"/>
                <w:szCs w:val="21"/>
              </w:rPr>
            </w:pPr>
          </w:p>
        </w:tc>
        <w:tc>
          <w:tcPr>
            <w:tcW w:w="2561" w:type="pct"/>
            <w:gridSpan w:val="2"/>
          </w:tcPr>
          <w:p w14:paraId="2A3FBF33" w14:textId="77777777" w:rsidR="00862B0B" w:rsidRPr="00A67277" w:rsidRDefault="00862B0B" w:rsidP="00862B0B">
            <w:pPr>
              <w:pStyle w:val="Level3"/>
              <w:numPr>
                <w:ilvl w:val="2"/>
                <w:numId w:val="462"/>
              </w:numPr>
              <w:spacing w:before="60" w:after="60"/>
              <w:ind w:hanging="355"/>
              <w:rPr>
                <w:rFonts w:cs="Arial"/>
              </w:rPr>
            </w:pPr>
            <w:r w:rsidRPr="00A67277">
              <w:t xml:space="preserve">Jika terjadi keterlambatan dalam </w:t>
            </w:r>
            <w:r w:rsidRPr="00A67277">
              <w:rPr>
                <w:rFonts w:cs="Arial"/>
              </w:rPr>
              <w:t>jadwal</w:t>
            </w:r>
            <w:r w:rsidRPr="00A67277">
              <w:t xml:space="preserve"> penting BUP yang akan berdampak pada tertundanya Pencapaian melebihi Tanggal Pencapaian yang relevan, dalam setiap kasus sebagai akibat dari:</w:t>
            </w:r>
          </w:p>
        </w:tc>
      </w:tr>
      <w:tr w:rsidR="00862B0B" w:rsidRPr="00A67277" w14:paraId="62788763" w14:textId="77777777" w:rsidTr="00862B0B">
        <w:tc>
          <w:tcPr>
            <w:tcW w:w="2270" w:type="pct"/>
          </w:tcPr>
          <w:p w14:paraId="374E1BF8" w14:textId="352AD8EB" w:rsidR="00862B0B" w:rsidRPr="00A67277" w:rsidRDefault="00862B0B" w:rsidP="00862B0B">
            <w:pPr>
              <w:pStyle w:val="Level3"/>
              <w:numPr>
                <w:ilvl w:val="0"/>
                <w:numId w:val="427"/>
              </w:numPr>
              <w:spacing w:before="60" w:after="60"/>
              <w:ind w:left="1963" w:hanging="270"/>
              <w:rPr>
                <w:rFonts w:cs="Arial"/>
              </w:rPr>
            </w:pPr>
            <w:r w:rsidRPr="00A67277">
              <w:t xml:space="preserve">failure by GCA </w:t>
            </w:r>
            <w:r>
              <w:t xml:space="preserve">in a timely manner </w:t>
            </w:r>
            <w:r w:rsidRPr="00A67277">
              <w:t xml:space="preserve">to </w:t>
            </w:r>
            <w:r>
              <w:t>r</w:t>
            </w:r>
            <w:r w:rsidRPr="00A67277">
              <w:t>eview any relevant drawing</w:t>
            </w:r>
            <w:r>
              <w:t>s</w:t>
            </w:r>
            <w:r w:rsidRPr="00A67277">
              <w:t>, specification, design data, document, proposal or other request submitted or proposed by the IBE concerning the Project;</w:t>
            </w:r>
          </w:p>
        </w:tc>
        <w:tc>
          <w:tcPr>
            <w:tcW w:w="169" w:type="pct"/>
          </w:tcPr>
          <w:p w14:paraId="4A93DB40" w14:textId="77777777" w:rsidR="00862B0B" w:rsidRPr="00A67277" w:rsidRDefault="00862B0B" w:rsidP="00862B0B">
            <w:pPr>
              <w:spacing w:before="60" w:after="60"/>
              <w:rPr>
                <w:rFonts w:ascii="Arial" w:hAnsi="Arial" w:cs="Arial"/>
                <w:sz w:val="21"/>
                <w:szCs w:val="21"/>
              </w:rPr>
            </w:pPr>
          </w:p>
        </w:tc>
        <w:tc>
          <w:tcPr>
            <w:tcW w:w="2561" w:type="pct"/>
            <w:gridSpan w:val="2"/>
          </w:tcPr>
          <w:p w14:paraId="254EFE25" w14:textId="77777777" w:rsidR="00862B0B" w:rsidRPr="00A67277" w:rsidRDefault="00862B0B" w:rsidP="00862B0B">
            <w:pPr>
              <w:pStyle w:val="Level4"/>
              <w:numPr>
                <w:ilvl w:val="0"/>
                <w:numId w:val="463"/>
              </w:numPr>
              <w:spacing w:before="60" w:after="60"/>
              <w:ind w:left="1800"/>
              <w:rPr>
                <w:rFonts w:cs="Arial"/>
              </w:rPr>
            </w:pPr>
            <w:r w:rsidRPr="00A67277">
              <w:t xml:space="preserve">kegagalan oleh PJPK untuk </w:t>
            </w:r>
            <w:r w:rsidRPr="00A67277">
              <w:rPr>
                <w:rFonts w:cs="Arial"/>
              </w:rPr>
              <w:t>meninjau</w:t>
            </w:r>
            <w:r w:rsidRPr="00A67277">
              <w:t xml:space="preserve"> secara tepat waktu atau menyetujui setiap gambar, spesifikasi, data desain, dokumen, proposal atau permintaan lain yang relevan yang diajukan atau diusulkan oleh BUP mengenai Proyek;</w:t>
            </w:r>
          </w:p>
        </w:tc>
      </w:tr>
      <w:tr w:rsidR="00862B0B" w:rsidRPr="00A67277" w14:paraId="77CF22BA" w14:textId="77777777" w:rsidTr="00862B0B">
        <w:tc>
          <w:tcPr>
            <w:tcW w:w="2270" w:type="pct"/>
          </w:tcPr>
          <w:p w14:paraId="44EED8C6" w14:textId="77777777" w:rsidR="00862B0B" w:rsidRPr="00A67277" w:rsidRDefault="00862B0B" w:rsidP="00862B0B">
            <w:pPr>
              <w:pStyle w:val="Level3"/>
              <w:numPr>
                <w:ilvl w:val="0"/>
                <w:numId w:val="427"/>
              </w:numPr>
              <w:spacing w:before="60" w:after="60"/>
              <w:ind w:left="1963" w:hanging="270"/>
              <w:rPr>
                <w:rFonts w:cs="Arial"/>
              </w:rPr>
            </w:pPr>
            <w:r w:rsidRPr="00A67277">
              <w:t>failure by GCA to provide IBE with the access to the Site without any  disruption;</w:t>
            </w:r>
          </w:p>
        </w:tc>
        <w:tc>
          <w:tcPr>
            <w:tcW w:w="169" w:type="pct"/>
          </w:tcPr>
          <w:p w14:paraId="19FF0EC8" w14:textId="77777777" w:rsidR="00862B0B" w:rsidRPr="00A67277" w:rsidRDefault="00862B0B" w:rsidP="00862B0B">
            <w:pPr>
              <w:spacing w:before="60" w:after="60"/>
              <w:rPr>
                <w:rFonts w:ascii="Arial" w:hAnsi="Arial" w:cs="Arial"/>
                <w:sz w:val="21"/>
                <w:szCs w:val="21"/>
              </w:rPr>
            </w:pPr>
          </w:p>
        </w:tc>
        <w:tc>
          <w:tcPr>
            <w:tcW w:w="2561" w:type="pct"/>
            <w:gridSpan w:val="2"/>
          </w:tcPr>
          <w:p w14:paraId="68E6C2E1" w14:textId="77777777" w:rsidR="00862B0B" w:rsidRPr="00A67277" w:rsidRDefault="00862B0B" w:rsidP="00862B0B">
            <w:pPr>
              <w:pStyle w:val="Level4"/>
              <w:numPr>
                <w:ilvl w:val="0"/>
                <w:numId w:val="463"/>
              </w:numPr>
              <w:spacing w:before="60" w:after="60"/>
              <w:ind w:left="1800"/>
              <w:rPr>
                <w:rFonts w:cs="Arial"/>
              </w:rPr>
            </w:pPr>
            <w:r w:rsidRPr="00A67277">
              <w:t>kegagalan PJPK untuk memberikan BUP akses terhadap Lokasi tanpa gangguan;</w:t>
            </w:r>
          </w:p>
        </w:tc>
      </w:tr>
      <w:tr w:rsidR="00862B0B" w:rsidRPr="00A67277" w14:paraId="48EFAD70" w14:textId="77777777" w:rsidTr="00862B0B">
        <w:tc>
          <w:tcPr>
            <w:tcW w:w="2270" w:type="pct"/>
          </w:tcPr>
          <w:p w14:paraId="60743679" w14:textId="77777777" w:rsidR="00862B0B" w:rsidRPr="00A67277" w:rsidRDefault="00862B0B" w:rsidP="00862B0B">
            <w:pPr>
              <w:pStyle w:val="Level3"/>
              <w:numPr>
                <w:ilvl w:val="0"/>
                <w:numId w:val="427"/>
              </w:numPr>
              <w:spacing w:before="60" w:after="60"/>
              <w:ind w:left="1963" w:hanging="270"/>
              <w:rPr>
                <w:rFonts w:cs="Arial"/>
              </w:rPr>
            </w:pPr>
            <w:r w:rsidRPr="00A67277">
              <w:t>any changes requested by GCA in the scope or specifications in accordance with Clause 22 (Modifications); or</w:t>
            </w:r>
          </w:p>
        </w:tc>
        <w:tc>
          <w:tcPr>
            <w:tcW w:w="169" w:type="pct"/>
          </w:tcPr>
          <w:p w14:paraId="655AB85D" w14:textId="77777777" w:rsidR="00862B0B" w:rsidRPr="00A67277" w:rsidRDefault="00862B0B" w:rsidP="00862B0B">
            <w:pPr>
              <w:spacing w:before="60" w:after="60"/>
              <w:rPr>
                <w:rFonts w:ascii="Arial" w:hAnsi="Arial" w:cs="Arial"/>
                <w:sz w:val="21"/>
                <w:szCs w:val="21"/>
              </w:rPr>
            </w:pPr>
          </w:p>
        </w:tc>
        <w:tc>
          <w:tcPr>
            <w:tcW w:w="2561" w:type="pct"/>
            <w:gridSpan w:val="2"/>
          </w:tcPr>
          <w:p w14:paraId="645FC404" w14:textId="77777777" w:rsidR="00862B0B" w:rsidRPr="00A67277" w:rsidRDefault="00862B0B" w:rsidP="00862B0B">
            <w:pPr>
              <w:pStyle w:val="Level4"/>
              <w:numPr>
                <w:ilvl w:val="0"/>
                <w:numId w:val="463"/>
              </w:numPr>
              <w:spacing w:before="60" w:after="60"/>
              <w:ind w:left="1800"/>
              <w:rPr>
                <w:rFonts w:cs="Arial"/>
              </w:rPr>
            </w:pPr>
            <w:r w:rsidRPr="00A67277">
              <w:t>setiap perubahan yang diminta oleh PJPK dalam lingkup atau spesifikasi sesuai dengan Pasal 22 (</w:t>
            </w:r>
            <w:r w:rsidRPr="00A67277">
              <w:rPr>
                <w:i/>
              </w:rPr>
              <w:t>Modifikasi</w:t>
            </w:r>
            <w:r w:rsidRPr="00A67277">
              <w:t>);</w:t>
            </w:r>
          </w:p>
        </w:tc>
      </w:tr>
      <w:tr w:rsidR="00862B0B" w:rsidRPr="00A67277" w14:paraId="4EB00C2F" w14:textId="77777777" w:rsidTr="00862B0B">
        <w:tc>
          <w:tcPr>
            <w:tcW w:w="2270" w:type="pct"/>
          </w:tcPr>
          <w:p w14:paraId="2DDD6F51" w14:textId="77777777" w:rsidR="00862B0B" w:rsidRPr="00A67277" w:rsidRDefault="00862B0B" w:rsidP="00862B0B">
            <w:pPr>
              <w:pStyle w:val="Level3"/>
              <w:spacing w:before="60" w:after="60"/>
              <w:ind w:left="1417"/>
              <w:rPr>
                <w:rFonts w:cs="Arial"/>
              </w:rPr>
            </w:pPr>
            <w:r w:rsidRPr="00A67277">
              <w:t xml:space="preserve">(each a </w:t>
            </w:r>
            <w:r w:rsidRPr="00A67277">
              <w:rPr>
                <w:b/>
              </w:rPr>
              <w:t>GCA Delay Event</w:t>
            </w:r>
            <w:r w:rsidRPr="00A67277">
              <w:t>) then the Parties shall confer as to the effect, if any, of such delay and the Implementation Schedule and the Milestone Dates shall be adjusted equitably, taking into account the effect of such GCA Delay Event on the IBE’s ability to achieve a Milestone by the corresponding Milestone Date which is properly attributable to such GCA Delay Event and the ability of the Parties to reschedule or change activities to minimise the overall delays resulting therefrom.</w:t>
            </w:r>
          </w:p>
        </w:tc>
        <w:tc>
          <w:tcPr>
            <w:tcW w:w="169" w:type="pct"/>
          </w:tcPr>
          <w:p w14:paraId="230430CC" w14:textId="77777777" w:rsidR="00862B0B" w:rsidRPr="00A67277" w:rsidRDefault="00862B0B" w:rsidP="00862B0B">
            <w:pPr>
              <w:spacing w:before="60" w:after="60"/>
              <w:rPr>
                <w:rFonts w:ascii="Arial" w:hAnsi="Arial" w:cs="Arial"/>
                <w:sz w:val="21"/>
                <w:szCs w:val="21"/>
              </w:rPr>
            </w:pPr>
          </w:p>
        </w:tc>
        <w:tc>
          <w:tcPr>
            <w:tcW w:w="2561" w:type="pct"/>
            <w:gridSpan w:val="2"/>
          </w:tcPr>
          <w:p w14:paraId="72D0C8B0" w14:textId="77777777" w:rsidR="00862B0B" w:rsidRPr="00A67277" w:rsidRDefault="00862B0B" w:rsidP="00862B0B">
            <w:pPr>
              <w:pStyle w:val="Level3"/>
              <w:spacing w:before="60" w:after="60"/>
              <w:ind w:left="1417"/>
              <w:rPr>
                <w:rFonts w:cs="Arial"/>
              </w:rPr>
            </w:pPr>
            <w:bookmarkStart w:id="336" w:name="_Toc503185713"/>
            <w:r w:rsidRPr="00A67277">
              <w:t xml:space="preserve">(masing-masing didefinisikan sebagai </w:t>
            </w:r>
            <w:r w:rsidRPr="00A67277">
              <w:rPr>
                <w:b/>
              </w:rPr>
              <w:t>Peristiwa Keterlambatan PJPK</w:t>
            </w:r>
            <w:r w:rsidRPr="00A67277">
              <w:t>) maka Para Pihak akan berunding mengenai dampaknya, jika ada, terhadap penundaan dan Jadwal Pelaksanaan dan Tanggal Pencapaian tersebut harus disesuaikan secara wajar, dengan mempertimbangkan dampak kejadian Keterlambatan PJPK tersebut terhadap kemampuan BUP untuk mencapai Pencapaian pada Tanggal Pencapaian yang relevan yang terkait dengan Peristiwa Keterlambatan PJPK tersebut dan kemampuan Para Pihak untuk menjadwal ulang atau mengganti kegiatan untuk meminimalkan keseluruhan penundaan yang diakibatkannya.</w:t>
            </w:r>
            <w:bookmarkEnd w:id="336"/>
          </w:p>
        </w:tc>
      </w:tr>
      <w:tr w:rsidR="00862B0B" w:rsidRPr="00A67277" w14:paraId="7FA13DC8" w14:textId="77777777" w:rsidTr="00862B0B">
        <w:tc>
          <w:tcPr>
            <w:tcW w:w="2270" w:type="pct"/>
          </w:tcPr>
          <w:p w14:paraId="2A554923" w14:textId="598E1804" w:rsidR="00862B0B" w:rsidRPr="00A67277" w:rsidRDefault="00862B0B" w:rsidP="00862B0B">
            <w:pPr>
              <w:pStyle w:val="Level3"/>
              <w:numPr>
                <w:ilvl w:val="0"/>
                <w:numId w:val="426"/>
              </w:numPr>
              <w:spacing w:before="60" w:after="60"/>
              <w:ind w:left="1513" w:hanging="450"/>
            </w:pPr>
            <w:r w:rsidRPr="00A67277">
              <w:t xml:space="preserve">In the event </w:t>
            </w:r>
            <w:r>
              <w:t xml:space="preserve">that the </w:t>
            </w:r>
            <w:r w:rsidRPr="00A67277">
              <w:t xml:space="preserve">GCA Delay Event </w:t>
            </w:r>
            <w:r>
              <w:t>causes a delay in</w:t>
            </w:r>
            <w:r w:rsidRPr="00A67277">
              <w:t xml:space="preserve"> the IBE’s ability to achieve a Milestone by the corresponding Milestone Date which is properly attributable to such GCA Delay Event </w:t>
            </w:r>
            <w:r>
              <w:t xml:space="preserve">by </w:t>
            </w:r>
            <w:r w:rsidRPr="00A67277">
              <w:t>more that [***] Days, IBE shall be entitled to the following compensation:</w:t>
            </w:r>
          </w:p>
        </w:tc>
        <w:tc>
          <w:tcPr>
            <w:tcW w:w="169" w:type="pct"/>
          </w:tcPr>
          <w:p w14:paraId="24E397C9" w14:textId="77777777" w:rsidR="00862B0B" w:rsidRPr="00A67277" w:rsidRDefault="00862B0B" w:rsidP="00862B0B">
            <w:pPr>
              <w:spacing w:before="60" w:after="60"/>
              <w:rPr>
                <w:rFonts w:ascii="Arial" w:hAnsi="Arial" w:cs="Arial"/>
                <w:sz w:val="21"/>
                <w:szCs w:val="21"/>
              </w:rPr>
            </w:pPr>
          </w:p>
        </w:tc>
        <w:tc>
          <w:tcPr>
            <w:tcW w:w="2561" w:type="pct"/>
            <w:gridSpan w:val="2"/>
          </w:tcPr>
          <w:p w14:paraId="4A42CC37" w14:textId="6267D8DE" w:rsidR="00862B0B" w:rsidRPr="00A67277" w:rsidRDefault="00862B0B" w:rsidP="00862B0B">
            <w:pPr>
              <w:pStyle w:val="Level3"/>
              <w:numPr>
                <w:ilvl w:val="2"/>
                <w:numId w:val="462"/>
              </w:numPr>
              <w:spacing w:before="60" w:after="60"/>
              <w:ind w:hanging="355"/>
            </w:pPr>
            <w:r w:rsidRPr="00A67277">
              <w:t>Dalam hal Peristiwa Keterlambatan PJPK menyebabkan keterlambatan BUP untuk mencapai  Tanggal Pencapaian yang relevan yang terkait dengan Peristiwa Keterlambatan PJPK lebih dari [***] Hari, BUP berhak atas kompensasi sebagai berikut:</w:t>
            </w:r>
          </w:p>
        </w:tc>
      </w:tr>
      <w:tr w:rsidR="00862B0B" w:rsidRPr="00A67277" w14:paraId="5B39985F" w14:textId="77777777" w:rsidTr="00862B0B">
        <w:tc>
          <w:tcPr>
            <w:tcW w:w="2270" w:type="pct"/>
          </w:tcPr>
          <w:p w14:paraId="14B0086C" w14:textId="3B3C2E5D" w:rsidR="00862B0B" w:rsidRPr="00A67277" w:rsidRDefault="00862B0B" w:rsidP="00862B0B">
            <w:pPr>
              <w:pStyle w:val="Level3"/>
              <w:numPr>
                <w:ilvl w:val="0"/>
                <w:numId w:val="700"/>
              </w:numPr>
              <w:spacing w:before="60" w:after="60"/>
            </w:pPr>
            <w:r w:rsidRPr="00A67277">
              <w:rPr>
                <w:rFonts w:cs="Arial"/>
              </w:rPr>
              <w:t xml:space="preserve">an adjustment in the </w:t>
            </w:r>
            <w:r>
              <w:rPr>
                <w:rFonts w:cs="Arial"/>
              </w:rPr>
              <w:t>Service Fee</w:t>
            </w:r>
            <w:r w:rsidRPr="00A67277">
              <w:rPr>
                <w:rFonts w:cs="Arial"/>
              </w:rPr>
              <w:t>;</w:t>
            </w:r>
          </w:p>
        </w:tc>
        <w:tc>
          <w:tcPr>
            <w:tcW w:w="169" w:type="pct"/>
          </w:tcPr>
          <w:p w14:paraId="403FDABF" w14:textId="77777777" w:rsidR="00862B0B" w:rsidRPr="00A67277" w:rsidRDefault="00862B0B" w:rsidP="00862B0B">
            <w:pPr>
              <w:spacing w:before="60" w:after="60"/>
              <w:rPr>
                <w:rFonts w:ascii="Arial" w:hAnsi="Arial" w:cs="Arial"/>
                <w:sz w:val="21"/>
                <w:szCs w:val="21"/>
              </w:rPr>
            </w:pPr>
          </w:p>
        </w:tc>
        <w:tc>
          <w:tcPr>
            <w:tcW w:w="2561" w:type="pct"/>
            <w:gridSpan w:val="2"/>
          </w:tcPr>
          <w:p w14:paraId="6CB79E1C" w14:textId="0ECB889E" w:rsidR="00862B0B" w:rsidRPr="00A67277" w:rsidRDefault="00862B0B" w:rsidP="00862B0B">
            <w:pPr>
              <w:pStyle w:val="Level3"/>
              <w:numPr>
                <w:ilvl w:val="0"/>
                <w:numId w:val="699"/>
              </w:numPr>
              <w:spacing w:before="60" w:after="60"/>
            </w:pPr>
            <w:r w:rsidRPr="00A67277">
              <w:rPr>
                <w:rFonts w:cs="Arial"/>
              </w:rPr>
              <w:t>penyesuaian Biaya Layanan;</w:t>
            </w:r>
          </w:p>
        </w:tc>
      </w:tr>
      <w:tr w:rsidR="00862B0B" w:rsidRPr="00A67277" w14:paraId="73019654" w14:textId="77777777" w:rsidTr="00862B0B">
        <w:tc>
          <w:tcPr>
            <w:tcW w:w="2270" w:type="pct"/>
          </w:tcPr>
          <w:p w14:paraId="5AF4A1DC" w14:textId="21939758" w:rsidR="00862B0B" w:rsidRPr="00A67277" w:rsidRDefault="00862B0B" w:rsidP="00862B0B">
            <w:pPr>
              <w:pStyle w:val="Level3"/>
              <w:numPr>
                <w:ilvl w:val="0"/>
                <w:numId w:val="700"/>
              </w:numPr>
              <w:spacing w:before="60" w:after="60"/>
            </w:pPr>
            <w:r w:rsidRPr="00A67277">
              <w:rPr>
                <w:rFonts w:cs="Arial"/>
              </w:rPr>
              <w:t>a change in the duration of the Term; or</w:t>
            </w:r>
          </w:p>
        </w:tc>
        <w:tc>
          <w:tcPr>
            <w:tcW w:w="169" w:type="pct"/>
          </w:tcPr>
          <w:p w14:paraId="75F263D0" w14:textId="77777777" w:rsidR="00862B0B" w:rsidRPr="00A67277" w:rsidRDefault="00862B0B" w:rsidP="00862B0B">
            <w:pPr>
              <w:spacing w:before="60" w:after="60"/>
              <w:rPr>
                <w:rFonts w:ascii="Arial" w:hAnsi="Arial" w:cs="Arial"/>
                <w:sz w:val="21"/>
                <w:szCs w:val="21"/>
              </w:rPr>
            </w:pPr>
          </w:p>
        </w:tc>
        <w:tc>
          <w:tcPr>
            <w:tcW w:w="2561" w:type="pct"/>
            <w:gridSpan w:val="2"/>
          </w:tcPr>
          <w:p w14:paraId="6EEC1C2B" w14:textId="3621D48D" w:rsidR="00862B0B" w:rsidRPr="00A67277" w:rsidRDefault="00862B0B" w:rsidP="00862B0B">
            <w:pPr>
              <w:pStyle w:val="Level3"/>
              <w:numPr>
                <w:ilvl w:val="0"/>
                <w:numId w:val="699"/>
              </w:numPr>
              <w:spacing w:before="60" w:after="60"/>
            </w:pPr>
            <w:r w:rsidRPr="00A67277">
              <w:rPr>
                <w:rFonts w:cs="Arial"/>
              </w:rPr>
              <w:t>perubahan dalam Jangka Waktu; atau</w:t>
            </w:r>
          </w:p>
        </w:tc>
      </w:tr>
      <w:tr w:rsidR="00862B0B" w:rsidRPr="00A67277" w14:paraId="5CEAFD3A" w14:textId="77777777" w:rsidTr="00862B0B">
        <w:tc>
          <w:tcPr>
            <w:tcW w:w="2270" w:type="pct"/>
          </w:tcPr>
          <w:p w14:paraId="71C4A627" w14:textId="6B0B5B33" w:rsidR="00862B0B" w:rsidRPr="00A67277" w:rsidRDefault="00862B0B" w:rsidP="00862B0B">
            <w:pPr>
              <w:pStyle w:val="Level3"/>
              <w:numPr>
                <w:ilvl w:val="0"/>
                <w:numId w:val="700"/>
              </w:numPr>
              <w:spacing w:before="60" w:after="60"/>
            </w:pPr>
            <w:r w:rsidRPr="00A67277">
              <w:rPr>
                <w:rFonts w:cs="Arial"/>
              </w:rPr>
              <w:t>a combination of any of sub-paragraphs (i) and (ii) above.</w:t>
            </w:r>
          </w:p>
        </w:tc>
        <w:tc>
          <w:tcPr>
            <w:tcW w:w="169" w:type="pct"/>
          </w:tcPr>
          <w:p w14:paraId="20270A59" w14:textId="77777777" w:rsidR="00862B0B" w:rsidRPr="00A67277" w:rsidRDefault="00862B0B" w:rsidP="00862B0B">
            <w:pPr>
              <w:spacing w:before="60" w:after="60"/>
              <w:rPr>
                <w:rFonts w:ascii="Arial" w:hAnsi="Arial" w:cs="Arial"/>
                <w:sz w:val="21"/>
                <w:szCs w:val="21"/>
              </w:rPr>
            </w:pPr>
          </w:p>
        </w:tc>
        <w:tc>
          <w:tcPr>
            <w:tcW w:w="2561" w:type="pct"/>
            <w:gridSpan w:val="2"/>
          </w:tcPr>
          <w:p w14:paraId="14C4CCA1" w14:textId="1B5CACA2" w:rsidR="00862B0B" w:rsidRPr="00A67277" w:rsidRDefault="00862B0B" w:rsidP="00862B0B">
            <w:pPr>
              <w:pStyle w:val="Level3"/>
              <w:numPr>
                <w:ilvl w:val="0"/>
                <w:numId w:val="699"/>
              </w:numPr>
              <w:spacing w:before="60" w:after="60"/>
            </w:pPr>
            <w:r w:rsidRPr="00A67277">
              <w:rPr>
                <w:rFonts w:cs="Arial"/>
              </w:rPr>
              <w:t>kombinasi dari setiap sub-paragraf (i) dan (ii) di atas.</w:t>
            </w:r>
          </w:p>
        </w:tc>
      </w:tr>
      <w:tr w:rsidR="00862B0B" w:rsidRPr="00A67277" w14:paraId="080ADD1C" w14:textId="77777777" w:rsidTr="00862B0B">
        <w:tc>
          <w:tcPr>
            <w:tcW w:w="2270" w:type="pct"/>
          </w:tcPr>
          <w:p w14:paraId="591FF89B" w14:textId="2DB69C94" w:rsidR="00862B0B" w:rsidRPr="00A67277" w:rsidRDefault="00862B0B" w:rsidP="00862B0B">
            <w:pPr>
              <w:pStyle w:val="Level3"/>
              <w:spacing w:before="60" w:after="60"/>
              <w:ind w:left="1417"/>
              <w:rPr>
                <w:rFonts w:cs="Arial"/>
              </w:rPr>
            </w:pPr>
            <w:r w:rsidRPr="00A67277">
              <w:t>to reflect the actual Estimated Change in Project Costs resulting from such GCA Delay Event</w:t>
            </w:r>
          </w:p>
        </w:tc>
        <w:tc>
          <w:tcPr>
            <w:tcW w:w="169" w:type="pct"/>
          </w:tcPr>
          <w:p w14:paraId="3A913836" w14:textId="77777777" w:rsidR="00862B0B" w:rsidRPr="00A67277" w:rsidRDefault="00862B0B" w:rsidP="00862B0B">
            <w:pPr>
              <w:spacing w:before="60" w:after="60"/>
              <w:rPr>
                <w:rFonts w:ascii="Arial" w:hAnsi="Arial" w:cs="Arial"/>
                <w:sz w:val="21"/>
                <w:szCs w:val="21"/>
              </w:rPr>
            </w:pPr>
          </w:p>
        </w:tc>
        <w:tc>
          <w:tcPr>
            <w:tcW w:w="2561" w:type="pct"/>
            <w:gridSpan w:val="2"/>
          </w:tcPr>
          <w:p w14:paraId="70264AA7" w14:textId="4018D59F" w:rsidR="00862B0B" w:rsidRPr="00A67277" w:rsidRDefault="00862B0B" w:rsidP="00862B0B">
            <w:pPr>
              <w:pStyle w:val="Level3"/>
              <w:spacing w:before="60" w:after="60"/>
              <w:ind w:left="1440" w:hanging="720"/>
              <w:rPr>
                <w:rFonts w:cs="Arial"/>
              </w:rPr>
            </w:pPr>
            <w:r w:rsidRPr="00A67277">
              <w:rPr>
                <w:rFonts w:cs="Arial"/>
              </w:rPr>
              <w:t>untuk mencerminkan aktual Perkiraan Perubahan Terhadap Biaya Proyek akibat Peristiwa Keterlambatan PJPK tersebut.</w:t>
            </w:r>
          </w:p>
        </w:tc>
      </w:tr>
      <w:tr w:rsidR="00862B0B" w:rsidRPr="00A67277" w14:paraId="157974A1" w14:textId="77777777" w:rsidTr="00862B0B">
        <w:tc>
          <w:tcPr>
            <w:tcW w:w="2270" w:type="pct"/>
          </w:tcPr>
          <w:p w14:paraId="08A2888F" w14:textId="773EEE9C" w:rsidR="00862B0B" w:rsidRPr="00A67277" w:rsidRDefault="00862B0B" w:rsidP="00862B0B">
            <w:pPr>
              <w:pStyle w:val="Level3"/>
              <w:numPr>
                <w:ilvl w:val="0"/>
                <w:numId w:val="426"/>
              </w:numPr>
              <w:spacing w:before="60" w:after="60"/>
              <w:ind w:left="1513" w:hanging="450"/>
            </w:pPr>
            <w:r w:rsidRPr="00A67277">
              <w:t>The compensation as referred in paragraph (b) shall be:</w:t>
            </w:r>
          </w:p>
        </w:tc>
        <w:tc>
          <w:tcPr>
            <w:tcW w:w="169" w:type="pct"/>
          </w:tcPr>
          <w:p w14:paraId="5E5D8275" w14:textId="77777777" w:rsidR="00862B0B" w:rsidRPr="00A67277" w:rsidRDefault="00862B0B" w:rsidP="00862B0B">
            <w:pPr>
              <w:spacing w:before="60" w:after="60"/>
              <w:rPr>
                <w:rFonts w:ascii="Arial" w:hAnsi="Arial" w:cs="Arial"/>
                <w:sz w:val="21"/>
                <w:szCs w:val="21"/>
              </w:rPr>
            </w:pPr>
          </w:p>
        </w:tc>
        <w:tc>
          <w:tcPr>
            <w:tcW w:w="2561" w:type="pct"/>
            <w:gridSpan w:val="2"/>
          </w:tcPr>
          <w:p w14:paraId="4462984C" w14:textId="74EAAC54" w:rsidR="00862B0B" w:rsidRPr="00A67277" w:rsidRDefault="00862B0B" w:rsidP="00862B0B">
            <w:pPr>
              <w:pStyle w:val="Level3"/>
              <w:numPr>
                <w:ilvl w:val="2"/>
                <w:numId w:val="462"/>
              </w:numPr>
              <w:spacing w:before="60" w:after="60"/>
              <w:ind w:hanging="355"/>
              <w:rPr>
                <w:rFonts w:cs="Arial"/>
              </w:rPr>
            </w:pPr>
            <w:r w:rsidRPr="00A67277">
              <w:rPr>
                <w:rFonts w:cs="Arial"/>
              </w:rPr>
              <w:t>Kompensasi sebagaimana dimaksud pada paragraf (a) akan:</w:t>
            </w:r>
          </w:p>
        </w:tc>
      </w:tr>
      <w:tr w:rsidR="00862B0B" w:rsidRPr="00A67277" w14:paraId="4F32CE22" w14:textId="77777777" w:rsidTr="00862B0B">
        <w:tc>
          <w:tcPr>
            <w:tcW w:w="2270" w:type="pct"/>
          </w:tcPr>
          <w:p w14:paraId="14514132" w14:textId="389BE3B8" w:rsidR="00862B0B" w:rsidRPr="00A67277" w:rsidRDefault="00862B0B" w:rsidP="00862B0B">
            <w:pPr>
              <w:pStyle w:val="Level3"/>
              <w:numPr>
                <w:ilvl w:val="0"/>
                <w:numId w:val="703"/>
              </w:numPr>
              <w:spacing w:before="60" w:after="60"/>
              <w:ind w:left="1800"/>
            </w:pPr>
            <w:r w:rsidRPr="00A67277">
              <w:t>calculated to ensure that:</w:t>
            </w:r>
          </w:p>
        </w:tc>
        <w:tc>
          <w:tcPr>
            <w:tcW w:w="169" w:type="pct"/>
          </w:tcPr>
          <w:p w14:paraId="0C3EDEC1" w14:textId="77777777" w:rsidR="00862B0B" w:rsidRPr="00A67277" w:rsidRDefault="00862B0B" w:rsidP="00862B0B">
            <w:pPr>
              <w:spacing w:before="60" w:after="60"/>
              <w:rPr>
                <w:rFonts w:ascii="Arial" w:hAnsi="Arial" w:cs="Arial"/>
                <w:sz w:val="21"/>
                <w:szCs w:val="21"/>
              </w:rPr>
            </w:pPr>
          </w:p>
        </w:tc>
        <w:tc>
          <w:tcPr>
            <w:tcW w:w="2561" w:type="pct"/>
            <w:gridSpan w:val="2"/>
          </w:tcPr>
          <w:p w14:paraId="62F43F71" w14:textId="00DA8E57" w:rsidR="00862B0B" w:rsidRPr="00A67277" w:rsidRDefault="00862B0B" w:rsidP="00862B0B">
            <w:pPr>
              <w:pStyle w:val="Level3"/>
              <w:numPr>
                <w:ilvl w:val="0"/>
                <w:numId w:val="705"/>
              </w:numPr>
              <w:spacing w:before="60" w:after="60"/>
              <w:rPr>
                <w:rFonts w:cs="Arial"/>
              </w:rPr>
            </w:pPr>
            <w:r w:rsidRPr="00A67277">
              <w:rPr>
                <w:rStyle w:val="shorttext"/>
                <w:rFonts w:cs="Arial"/>
                <w:lang w:val="id-ID"/>
              </w:rPr>
              <w:t>dihitung untuk memastikan bahwa :</w:t>
            </w:r>
          </w:p>
        </w:tc>
      </w:tr>
      <w:tr w:rsidR="00862B0B" w:rsidRPr="00A67277" w14:paraId="616C5973" w14:textId="77777777" w:rsidTr="00862B0B">
        <w:tc>
          <w:tcPr>
            <w:tcW w:w="2270" w:type="pct"/>
          </w:tcPr>
          <w:p w14:paraId="33E6E39B" w14:textId="1CE51EDF" w:rsidR="00862B0B" w:rsidRPr="00A67277" w:rsidRDefault="00862B0B" w:rsidP="00862B0B">
            <w:pPr>
              <w:pStyle w:val="Level3"/>
              <w:numPr>
                <w:ilvl w:val="0"/>
                <w:numId w:val="704"/>
              </w:numPr>
              <w:spacing w:before="60" w:after="60"/>
              <w:ind w:left="2127"/>
            </w:pPr>
            <w:r w:rsidRPr="00A67277">
              <w:t>the IBE has the same Base Case Equity IRR; and</w:t>
            </w:r>
          </w:p>
        </w:tc>
        <w:tc>
          <w:tcPr>
            <w:tcW w:w="169" w:type="pct"/>
          </w:tcPr>
          <w:p w14:paraId="3BB676C5" w14:textId="77777777" w:rsidR="00862B0B" w:rsidRPr="00A67277" w:rsidRDefault="00862B0B" w:rsidP="00862B0B">
            <w:pPr>
              <w:spacing w:before="60" w:after="60"/>
              <w:rPr>
                <w:rFonts w:ascii="Arial" w:hAnsi="Arial" w:cs="Arial"/>
                <w:sz w:val="21"/>
                <w:szCs w:val="21"/>
              </w:rPr>
            </w:pPr>
          </w:p>
        </w:tc>
        <w:tc>
          <w:tcPr>
            <w:tcW w:w="2561" w:type="pct"/>
            <w:gridSpan w:val="2"/>
          </w:tcPr>
          <w:p w14:paraId="61F725A7" w14:textId="0C48021F" w:rsidR="00862B0B" w:rsidRPr="00A67277" w:rsidRDefault="00862B0B" w:rsidP="00862B0B">
            <w:pPr>
              <w:pStyle w:val="Level3"/>
              <w:numPr>
                <w:ilvl w:val="0"/>
                <w:numId w:val="706"/>
              </w:numPr>
              <w:spacing w:before="60" w:after="60"/>
              <w:ind w:left="2158"/>
              <w:rPr>
                <w:rFonts w:cs="Arial"/>
              </w:rPr>
            </w:pPr>
            <w:r w:rsidRPr="00A67277">
              <w:rPr>
                <w:rFonts w:cs="Arial"/>
              </w:rPr>
              <w:t>BUP memiliki Posisi Dasar Ekuitas IRR tercapai; dan</w:t>
            </w:r>
          </w:p>
        </w:tc>
      </w:tr>
      <w:tr w:rsidR="00862B0B" w:rsidRPr="00A67277" w14:paraId="26A7A573" w14:textId="77777777" w:rsidTr="00862B0B">
        <w:tc>
          <w:tcPr>
            <w:tcW w:w="2270" w:type="pct"/>
          </w:tcPr>
          <w:p w14:paraId="783F1BAF" w14:textId="6A104954" w:rsidR="00862B0B" w:rsidRPr="00A67277" w:rsidRDefault="00862B0B" w:rsidP="00862B0B">
            <w:pPr>
              <w:pStyle w:val="Level3"/>
              <w:numPr>
                <w:ilvl w:val="0"/>
                <w:numId w:val="704"/>
              </w:numPr>
              <w:spacing w:before="60" w:after="60"/>
              <w:ind w:left="2127"/>
            </w:pPr>
            <w:r w:rsidRPr="00A67277">
              <w:t>the IBE is able to comply with the financial covenants stipulated in the Financing Documents to the extent that the IBE would be in compliance with such financial covenants if such Estimated Change in Project Cost had not been incurred or realised.</w:t>
            </w:r>
          </w:p>
        </w:tc>
        <w:tc>
          <w:tcPr>
            <w:tcW w:w="169" w:type="pct"/>
          </w:tcPr>
          <w:p w14:paraId="281603C2" w14:textId="77777777" w:rsidR="00862B0B" w:rsidRPr="00A67277" w:rsidRDefault="00862B0B" w:rsidP="00862B0B">
            <w:pPr>
              <w:spacing w:before="60" w:after="60"/>
              <w:rPr>
                <w:rFonts w:ascii="Arial" w:hAnsi="Arial" w:cs="Arial"/>
                <w:sz w:val="21"/>
                <w:szCs w:val="21"/>
              </w:rPr>
            </w:pPr>
          </w:p>
        </w:tc>
        <w:tc>
          <w:tcPr>
            <w:tcW w:w="2561" w:type="pct"/>
            <w:gridSpan w:val="2"/>
          </w:tcPr>
          <w:p w14:paraId="6F9AF4A1" w14:textId="49F05E89" w:rsidR="00862B0B" w:rsidRPr="00A67277" w:rsidRDefault="00862B0B" w:rsidP="00862B0B">
            <w:pPr>
              <w:pStyle w:val="Level3"/>
              <w:numPr>
                <w:ilvl w:val="0"/>
                <w:numId w:val="706"/>
              </w:numPr>
              <w:spacing w:before="60" w:after="60"/>
              <w:ind w:left="2158"/>
              <w:rPr>
                <w:rFonts w:cs="Arial"/>
              </w:rPr>
            </w:pPr>
            <w:r w:rsidRPr="00A67277">
              <w:rPr>
                <w:rFonts w:cs="Arial"/>
              </w:rPr>
              <w:t>BUP dapat mematuhi janji-janji keuangan yang diatur dalam Dokumen Pembiayaan sepanjang BUP akan mematuhi janji-janji keuangan jika Perkiraan Perubahan Terhadap Biaya Proyek tersebut tidak terjadi atau terealisasi.</w:t>
            </w:r>
          </w:p>
        </w:tc>
      </w:tr>
      <w:tr w:rsidR="00862B0B" w:rsidRPr="00A67277" w14:paraId="110B2E38" w14:textId="77777777" w:rsidTr="00862B0B">
        <w:tc>
          <w:tcPr>
            <w:tcW w:w="2270" w:type="pct"/>
          </w:tcPr>
          <w:p w14:paraId="52D057D7" w14:textId="77777777" w:rsidR="00862B0B" w:rsidRPr="00A67277" w:rsidRDefault="00862B0B" w:rsidP="00862B0B">
            <w:pPr>
              <w:pStyle w:val="Heading1"/>
              <w:numPr>
                <w:ilvl w:val="0"/>
                <w:numId w:val="429"/>
              </w:numPr>
              <w:spacing w:before="60" w:after="60"/>
              <w:ind w:left="450"/>
              <w:rPr>
                <w:rFonts w:cs="Arial"/>
                <w:lang w:val="en-US" w:eastAsia="en-US"/>
              </w:rPr>
            </w:pPr>
            <w:r w:rsidRPr="00A67277">
              <w:rPr>
                <w:rFonts w:cs="Arial"/>
                <w:lang w:val="en-US" w:eastAsia="en-US"/>
              </w:rPr>
              <w:t xml:space="preserve">Operation and Maintenance </w:t>
            </w:r>
          </w:p>
        </w:tc>
        <w:tc>
          <w:tcPr>
            <w:tcW w:w="169" w:type="pct"/>
          </w:tcPr>
          <w:p w14:paraId="1DC6BB1C" w14:textId="77777777" w:rsidR="00862B0B" w:rsidRPr="00A67277" w:rsidRDefault="00862B0B" w:rsidP="00862B0B">
            <w:pPr>
              <w:spacing w:before="60" w:after="60"/>
              <w:rPr>
                <w:rFonts w:ascii="Arial" w:hAnsi="Arial" w:cs="Arial"/>
                <w:sz w:val="21"/>
                <w:szCs w:val="21"/>
              </w:rPr>
            </w:pPr>
          </w:p>
        </w:tc>
        <w:tc>
          <w:tcPr>
            <w:tcW w:w="2561" w:type="pct"/>
            <w:gridSpan w:val="2"/>
          </w:tcPr>
          <w:p w14:paraId="6C04D924" w14:textId="77777777" w:rsidR="00862B0B" w:rsidRPr="00A67277" w:rsidRDefault="00862B0B" w:rsidP="00862B0B">
            <w:pPr>
              <w:pStyle w:val="CentredHeading"/>
              <w:numPr>
                <w:ilvl w:val="0"/>
                <w:numId w:val="4"/>
              </w:numPr>
              <w:spacing w:before="60" w:after="60"/>
              <w:ind w:left="342"/>
              <w:jc w:val="left"/>
              <w:rPr>
                <w:rFonts w:cs="Arial"/>
                <w:lang w:val="en-US" w:eastAsia="en-US"/>
              </w:rPr>
            </w:pPr>
            <w:r w:rsidRPr="00A67277">
              <w:rPr>
                <w:rFonts w:cs="Arial"/>
                <w:lang w:val="en-US" w:eastAsia="en-US"/>
              </w:rPr>
              <w:t>Operasi dan Pemeliharaan</w:t>
            </w:r>
          </w:p>
        </w:tc>
      </w:tr>
      <w:tr w:rsidR="00862B0B" w:rsidRPr="00A67277" w14:paraId="1768C938" w14:textId="77777777" w:rsidTr="00862B0B">
        <w:tc>
          <w:tcPr>
            <w:tcW w:w="2270" w:type="pct"/>
          </w:tcPr>
          <w:p w14:paraId="74F8E2CC" w14:textId="77777777" w:rsidR="00862B0B" w:rsidRPr="00A67277" w:rsidRDefault="00862B0B" w:rsidP="00862B0B">
            <w:pPr>
              <w:pStyle w:val="Level2"/>
              <w:numPr>
                <w:ilvl w:val="0"/>
                <w:numId w:val="173"/>
              </w:numPr>
              <w:spacing w:before="60" w:after="60"/>
              <w:ind w:left="968" w:hanging="540"/>
              <w:rPr>
                <w:rFonts w:cs="Arial"/>
                <w:b/>
              </w:rPr>
            </w:pPr>
            <w:r w:rsidRPr="00A67277">
              <w:rPr>
                <w:rFonts w:cs="Arial"/>
                <w:b/>
              </w:rPr>
              <w:t>General</w:t>
            </w:r>
          </w:p>
        </w:tc>
        <w:tc>
          <w:tcPr>
            <w:tcW w:w="169" w:type="pct"/>
          </w:tcPr>
          <w:p w14:paraId="0B219EC1" w14:textId="77777777" w:rsidR="00862B0B" w:rsidRPr="00A67277" w:rsidRDefault="00862B0B" w:rsidP="00862B0B">
            <w:pPr>
              <w:spacing w:before="60" w:after="60"/>
              <w:rPr>
                <w:rFonts w:ascii="Arial" w:hAnsi="Arial" w:cs="Arial"/>
                <w:sz w:val="21"/>
                <w:szCs w:val="21"/>
              </w:rPr>
            </w:pPr>
          </w:p>
        </w:tc>
        <w:tc>
          <w:tcPr>
            <w:tcW w:w="2561" w:type="pct"/>
            <w:gridSpan w:val="2"/>
          </w:tcPr>
          <w:p w14:paraId="23D4024B" w14:textId="7777777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Umum</w:t>
            </w:r>
          </w:p>
        </w:tc>
      </w:tr>
      <w:tr w:rsidR="00862B0B" w:rsidRPr="00A67277" w14:paraId="6ECE85E9" w14:textId="77777777" w:rsidTr="00862B0B">
        <w:tc>
          <w:tcPr>
            <w:tcW w:w="2270" w:type="pct"/>
          </w:tcPr>
          <w:p w14:paraId="29FC383F" w14:textId="77777777" w:rsidR="00862B0B" w:rsidRPr="00A67277" w:rsidRDefault="00862B0B" w:rsidP="00862B0B">
            <w:pPr>
              <w:pStyle w:val="Level1"/>
              <w:spacing w:before="60" w:after="60"/>
              <w:ind w:left="968" w:firstLine="5"/>
              <w:rPr>
                <w:rFonts w:cs="Arial"/>
              </w:rPr>
            </w:pPr>
            <w:r w:rsidRPr="00A67277">
              <w:rPr>
                <w:rFonts w:cs="Arial"/>
              </w:rPr>
              <w:t>During the Operation Period, the IBE must operate, maintain and repair the Facility:</w:t>
            </w:r>
          </w:p>
        </w:tc>
        <w:tc>
          <w:tcPr>
            <w:tcW w:w="169" w:type="pct"/>
          </w:tcPr>
          <w:p w14:paraId="4C0686A1" w14:textId="77777777" w:rsidR="00862B0B" w:rsidRPr="00A67277" w:rsidRDefault="00862B0B" w:rsidP="00862B0B">
            <w:pPr>
              <w:spacing w:before="60" w:after="60"/>
              <w:rPr>
                <w:rFonts w:ascii="Arial" w:hAnsi="Arial" w:cs="Arial"/>
                <w:sz w:val="21"/>
                <w:szCs w:val="21"/>
              </w:rPr>
            </w:pPr>
          </w:p>
        </w:tc>
        <w:tc>
          <w:tcPr>
            <w:tcW w:w="2561" w:type="pct"/>
            <w:gridSpan w:val="2"/>
          </w:tcPr>
          <w:p w14:paraId="31679BBE" w14:textId="77777777" w:rsidR="00862B0B" w:rsidRPr="00A67277" w:rsidRDefault="00862B0B" w:rsidP="00862B0B">
            <w:pPr>
              <w:pStyle w:val="Level1"/>
              <w:spacing w:before="60" w:after="60"/>
              <w:ind w:left="900" w:firstLine="0"/>
              <w:rPr>
                <w:rFonts w:cs="Arial"/>
              </w:rPr>
            </w:pPr>
            <w:r w:rsidRPr="00A67277">
              <w:rPr>
                <w:rFonts w:cs="Arial"/>
              </w:rPr>
              <w:t>Selama Jangka Waktu Operasi, BUP harus mengoperasikan, memelihara dan memperbaiki Fasilitas:</w:t>
            </w:r>
          </w:p>
        </w:tc>
      </w:tr>
      <w:tr w:rsidR="00862B0B" w:rsidRPr="00A67277" w14:paraId="5908EEB4" w14:textId="77777777" w:rsidTr="00862B0B">
        <w:tc>
          <w:tcPr>
            <w:tcW w:w="2270" w:type="pct"/>
          </w:tcPr>
          <w:p w14:paraId="03F43D33" w14:textId="77777777" w:rsidR="00862B0B" w:rsidRPr="00A67277" w:rsidRDefault="00862B0B" w:rsidP="00862B0B">
            <w:pPr>
              <w:pStyle w:val="Level3"/>
              <w:numPr>
                <w:ilvl w:val="0"/>
                <w:numId w:val="174"/>
              </w:numPr>
              <w:spacing w:before="60" w:after="60"/>
              <w:ind w:left="1500" w:hanging="540"/>
              <w:rPr>
                <w:rFonts w:cs="Arial"/>
              </w:rPr>
            </w:pPr>
            <w:r w:rsidRPr="00A67277">
              <w:rPr>
                <w:rFonts w:cs="Arial"/>
              </w:rPr>
              <w:t>in a manner consistent with, and as often as is required in accordance with all relevant equipment manufacturers’ instructions and Good  Industry Practice;</w:t>
            </w:r>
          </w:p>
        </w:tc>
        <w:tc>
          <w:tcPr>
            <w:tcW w:w="169" w:type="pct"/>
          </w:tcPr>
          <w:p w14:paraId="4BDC8340" w14:textId="77777777" w:rsidR="00862B0B" w:rsidRPr="00A67277" w:rsidRDefault="00862B0B" w:rsidP="00862B0B">
            <w:pPr>
              <w:spacing w:before="60" w:after="60"/>
              <w:rPr>
                <w:rFonts w:ascii="Arial" w:hAnsi="Arial" w:cs="Arial"/>
                <w:sz w:val="21"/>
                <w:szCs w:val="21"/>
              </w:rPr>
            </w:pPr>
          </w:p>
        </w:tc>
        <w:tc>
          <w:tcPr>
            <w:tcW w:w="2561" w:type="pct"/>
            <w:gridSpan w:val="2"/>
          </w:tcPr>
          <w:p w14:paraId="65A41127" w14:textId="77777777" w:rsidR="00862B0B" w:rsidRPr="00A67277" w:rsidRDefault="00862B0B" w:rsidP="00862B0B">
            <w:pPr>
              <w:pStyle w:val="Level3"/>
              <w:numPr>
                <w:ilvl w:val="2"/>
                <w:numId w:val="6"/>
              </w:numPr>
              <w:tabs>
                <w:tab w:val="clear" w:pos="1417"/>
                <w:tab w:val="num" w:pos="2160"/>
              </w:tabs>
              <w:spacing w:before="60" w:after="60"/>
              <w:ind w:hanging="517"/>
              <w:rPr>
                <w:rFonts w:cs="Arial"/>
              </w:rPr>
            </w:pPr>
            <w:r w:rsidRPr="00A67277">
              <w:rPr>
                <w:rFonts w:cs="Arial"/>
              </w:rPr>
              <w:t xml:space="preserve">dengan cara yang konsisten dengan, dan dalam frekuensi sebagaimana dipersyaratkan dalam instruksi pabrikan peralatan yang relevan dan Praktik Industri Yang Baik; </w:t>
            </w:r>
          </w:p>
          <w:p w14:paraId="6232FC61" w14:textId="77777777" w:rsidR="00862B0B" w:rsidRPr="00A67277" w:rsidRDefault="00862B0B" w:rsidP="00862B0B">
            <w:pPr>
              <w:spacing w:before="60" w:after="60"/>
              <w:rPr>
                <w:rFonts w:ascii="Arial" w:hAnsi="Arial" w:cs="Arial"/>
                <w:sz w:val="21"/>
                <w:szCs w:val="21"/>
              </w:rPr>
            </w:pPr>
          </w:p>
        </w:tc>
      </w:tr>
      <w:tr w:rsidR="00862B0B" w:rsidRPr="00A67277" w14:paraId="142C5542" w14:textId="77777777" w:rsidTr="00862B0B">
        <w:tc>
          <w:tcPr>
            <w:tcW w:w="2270" w:type="pct"/>
          </w:tcPr>
          <w:p w14:paraId="46BA4496" w14:textId="77777777" w:rsidR="00862B0B" w:rsidRPr="00A67277" w:rsidRDefault="00862B0B" w:rsidP="00862B0B">
            <w:pPr>
              <w:pStyle w:val="Level3"/>
              <w:numPr>
                <w:ilvl w:val="0"/>
                <w:numId w:val="174"/>
              </w:numPr>
              <w:spacing w:before="60" w:after="60"/>
              <w:ind w:left="1500" w:hanging="540"/>
              <w:rPr>
                <w:rFonts w:cs="Arial"/>
              </w:rPr>
            </w:pPr>
            <w:r w:rsidRPr="00A67277">
              <w:rPr>
                <w:rFonts w:cs="Arial"/>
              </w:rPr>
              <w:t>in accordance with</w:t>
            </w:r>
          </w:p>
        </w:tc>
        <w:tc>
          <w:tcPr>
            <w:tcW w:w="169" w:type="pct"/>
          </w:tcPr>
          <w:p w14:paraId="72E5F61F" w14:textId="77777777" w:rsidR="00862B0B" w:rsidRPr="00A67277" w:rsidRDefault="00862B0B" w:rsidP="00862B0B">
            <w:pPr>
              <w:spacing w:before="60" w:after="60"/>
              <w:rPr>
                <w:rFonts w:ascii="Arial" w:hAnsi="Arial" w:cs="Arial"/>
                <w:sz w:val="21"/>
                <w:szCs w:val="21"/>
              </w:rPr>
            </w:pPr>
          </w:p>
        </w:tc>
        <w:tc>
          <w:tcPr>
            <w:tcW w:w="2561" w:type="pct"/>
            <w:gridSpan w:val="2"/>
          </w:tcPr>
          <w:p w14:paraId="7B1FF5F9" w14:textId="77777777" w:rsidR="00862B0B" w:rsidRPr="00A67277" w:rsidRDefault="00862B0B" w:rsidP="00862B0B">
            <w:pPr>
              <w:pStyle w:val="Level3"/>
              <w:numPr>
                <w:ilvl w:val="2"/>
                <w:numId w:val="22"/>
              </w:numPr>
              <w:spacing w:before="60" w:after="60"/>
              <w:ind w:hanging="517"/>
              <w:rPr>
                <w:rFonts w:cs="Arial"/>
              </w:rPr>
            </w:pPr>
            <w:r w:rsidRPr="00A67277">
              <w:rPr>
                <w:rFonts w:cs="Arial"/>
              </w:rPr>
              <w:t>sesuai dengan:</w:t>
            </w:r>
          </w:p>
        </w:tc>
      </w:tr>
      <w:tr w:rsidR="00862B0B" w:rsidRPr="00A67277" w14:paraId="1072AA97" w14:textId="77777777" w:rsidTr="00862B0B">
        <w:tc>
          <w:tcPr>
            <w:tcW w:w="2270" w:type="pct"/>
          </w:tcPr>
          <w:p w14:paraId="03CF8BF0" w14:textId="77777777" w:rsidR="00862B0B" w:rsidRPr="00A67277" w:rsidRDefault="00862B0B" w:rsidP="00862B0B">
            <w:pPr>
              <w:pStyle w:val="Level4"/>
              <w:numPr>
                <w:ilvl w:val="3"/>
                <w:numId w:val="428"/>
              </w:numPr>
              <w:spacing w:before="60" w:after="60"/>
              <w:rPr>
                <w:rFonts w:cs="Arial"/>
              </w:rPr>
            </w:pPr>
            <w:r w:rsidRPr="00A67277">
              <w:rPr>
                <w:rFonts w:cs="Arial"/>
              </w:rPr>
              <w:t xml:space="preserve">the Operation and Maintenance Manual; </w:t>
            </w:r>
          </w:p>
        </w:tc>
        <w:tc>
          <w:tcPr>
            <w:tcW w:w="169" w:type="pct"/>
          </w:tcPr>
          <w:p w14:paraId="4C382A30" w14:textId="77777777" w:rsidR="00862B0B" w:rsidRPr="00A67277" w:rsidRDefault="00862B0B" w:rsidP="00862B0B">
            <w:pPr>
              <w:spacing w:before="60" w:after="60"/>
              <w:rPr>
                <w:rFonts w:ascii="Arial" w:hAnsi="Arial" w:cs="Arial"/>
                <w:sz w:val="21"/>
                <w:szCs w:val="21"/>
              </w:rPr>
            </w:pPr>
          </w:p>
        </w:tc>
        <w:tc>
          <w:tcPr>
            <w:tcW w:w="2561" w:type="pct"/>
            <w:gridSpan w:val="2"/>
          </w:tcPr>
          <w:p w14:paraId="21B74F87" w14:textId="77777777" w:rsidR="00862B0B" w:rsidRPr="00A67277" w:rsidRDefault="00862B0B" w:rsidP="00862B0B">
            <w:pPr>
              <w:pStyle w:val="Level4"/>
              <w:numPr>
                <w:ilvl w:val="3"/>
                <w:numId w:val="2"/>
              </w:numPr>
              <w:spacing w:before="60" w:after="60"/>
              <w:rPr>
                <w:rFonts w:cs="Arial"/>
              </w:rPr>
            </w:pPr>
            <w:r w:rsidRPr="00A67277">
              <w:rPr>
                <w:rFonts w:cs="Arial"/>
              </w:rPr>
              <w:t xml:space="preserve">Panduan Operasi dan Pemeliharaan; </w:t>
            </w:r>
          </w:p>
        </w:tc>
      </w:tr>
      <w:tr w:rsidR="00862B0B" w:rsidRPr="00A67277" w14:paraId="3A0C7AEE" w14:textId="77777777" w:rsidTr="00862B0B">
        <w:tc>
          <w:tcPr>
            <w:tcW w:w="2270" w:type="pct"/>
          </w:tcPr>
          <w:p w14:paraId="1A070D58" w14:textId="77777777" w:rsidR="00862B0B" w:rsidRPr="00A67277" w:rsidRDefault="00862B0B" w:rsidP="00862B0B">
            <w:pPr>
              <w:pStyle w:val="Level4"/>
              <w:numPr>
                <w:ilvl w:val="3"/>
                <w:numId w:val="428"/>
              </w:numPr>
              <w:spacing w:before="60" w:after="60"/>
              <w:rPr>
                <w:rFonts w:cs="Arial"/>
              </w:rPr>
            </w:pPr>
            <w:r w:rsidRPr="00A67277">
              <w:rPr>
                <w:rFonts w:cs="Arial"/>
              </w:rPr>
              <w:t xml:space="preserve">all Legal Requirements; </w:t>
            </w:r>
            <w:r w:rsidRPr="00A67277">
              <w:rPr>
                <w:rFonts w:cs="Arial"/>
              </w:rPr>
              <w:tab/>
            </w:r>
          </w:p>
        </w:tc>
        <w:tc>
          <w:tcPr>
            <w:tcW w:w="169" w:type="pct"/>
          </w:tcPr>
          <w:p w14:paraId="1B979C13" w14:textId="77777777" w:rsidR="00862B0B" w:rsidRPr="00A67277" w:rsidRDefault="00862B0B" w:rsidP="00862B0B">
            <w:pPr>
              <w:spacing w:before="60" w:after="60"/>
              <w:rPr>
                <w:rFonts w:ascii="Arial" w:hAnsi="Arial" w:cs="Arial"/>
                <w:sz w:val="21"/>
                <w:szCs w:val="21"/>
              </w:rPr>
            </w:pPr>
          </w:p>
        </w:tc>
        <w:tc>
          <w:tcPr>
            <w:tcW w:w="2561" w:type="pct"/>
            <w:gridSpan w:val="2"/>
          </w:tcPr>
          <w:p w14:paraId="224B33BC" w14:textId="77777777" w:rsidR="00862B0B" w:rsidRPr="00A67277" w:rsidRDefault="00862B0B" w:rsidP="00862B0B">
            <w:pPr>
              <w:pStyle w:val="Level4"/>
              <w:numPr>
                <w:ilvl w:val="3"/>
                <w:numId w:val="2"/>
              </w:numPr>
              <w:spacing w:before="60" w:after="60"/>
              <w:rPr>
                <w:rFonts w:cs="Arial"/>
              </w:rPr>
            </w:pPr>
            <w:r w:rsidRPr="00A67277">
              <w:rPr>
                <w:rFonts w:cs="Arial"/>
              </w:rPr>
              <w:t xml:space="preserve">Persyaratan Hukum; </w:t>
            </w:r>
          </w:p>
        </w:tc>
      </w:tr>
      <w:tr w:rsidR="00862B0B" w:rsidRPr="00A67277" w14:paraId="6A5BB003" w14:textId="77777777" w:rsidTr="00862B0B">
        <w:tc>
          <w:tcPr>
            <w:tcW w:w="2270" w:type="pct"/>
          </w:tcPr>
          <w:p w14:paraId="0BD4C8D1" w14:textId="5C0F3B74" w:rsidR="00862B0B" w:rsidRPr="00A67277" w:rsidRDefault="00862B0B" w:rsidP="00862B0B">
            <w:pPr>
              <w:pStyle w:val="Level4"/>
              <w:numPr>
                <w:ilvl w:val="3"/>
                <w:numId w:val="428"/>
              </w:numPr>
              <w:spacing w:before="60" w:after="60"/>
              <w:rPr>
                <w:rFonts w:cs="Arial"/>
              </w:rPr>
            </w:pPr>
            <w:r w:rsidRPr="00A67277">
              <w:rPr>
                <w:rFonts w:cs="Arial"/>
              </w:rPr>
              <w:t>the terms of this Agreement and, in particular, so that the requirements set out in the Key Performance Indicators are met.</w:t>
            </w:r>
          </w:p>
          <w:p w14:paraId="7D28B0EB" w14:textId="77777777" w:rsidR="00862B0B" w:rsidRPr="00A67277" w:rsidRDefault="00862B0B" w:rsidP="00862B0B">
            <w:pPr>
              <w:tabs>
                <w:tab w:val="left" w:pos="3067"/>
              </w:tabs>
              <w:spacing w:before="60" w:after="60"/>
              <w:rPr>
                <w:rFonts w:ascii="Arial" w:hAnsi="Arial" w:cs="Arial"/>
                <w:sz w:val="21"/>
                <w:szCs w:val="21"/>
              </w:rPr>
            </w:pPr>
            <w:r w:rsidRPr="00A67277">
              <w:rPr>
                <w:rFonts w:ascii="Arial" w:hAnsi="Arial" w:cs="Arial"/>
                <w:sz w:val="21"/>
                <w:szCs w:val="21"/>
              </w:rPr>
              <w:tab/>
            </w:r>
          </w:p>
        </w:tc>
        <w:tc>
          <w:tcPr>
            <w:tcW w:w="169" w:type="pct"/>
          </w:tcPr>
          <w:p w14:paraId="1D183404" w14:textId="77777777" w:rsidR="00862B0B" w:rsidRPr="00A67277" w:rsidRDefault="00862B0B" w:rsidP="00862B0B">
            <w:pPr>
              <w:spacing w:before="60" w:after="60"/>
              <w:rPr>
                <w:rFonts w:ascii="Arial" w:hAnsi="Arial" w:cs="Arial"/>
                <w:sz w:val="21"/>
                <w:szCs w:val="21"/>
              </w:rPr>
            </w:pPr>
          </w:p>
        </w:tc>
        <w:tc>
          <w:tcPr>
            <w:tcW w:w="2561" w:type="pct"/>
            <w:gridSpan w:val="2"/>
          </w:tcPr>
          <w:p w14:paraId="44902EAE" w14:textId="77777777" w:rsidR="00862B0B" w:rsidRPr="00A67277" w:rsidRDefault="00862B0B" w:rsidP="00862B0B">
            <w:pPr>
              <w:pStyle w:val="Level4"/>
              <w:numPr>
                <w:ilvl w:val="3"/>
                <w:numId w:val="2"/>
              </w:numPr>
              <w:spacing w:before="60" w:after="60"/>
              <w:rPr>
                <w:rFonts w:cs="Arial"/>
              </w:rPr>
            </w:pPr>
            <w:r w:rsidRPr="00A67277">
              <w:rPr>
                <w:rFonts w:cs="Arial"/>
              </w:rPr>
              <w:t xml:space="preserve">ketentuan dalam perjanjian ini dan, secara khusus, sehingga persyaratan sebagimana diatur dalam Indikator Kinerja Utama dapat dipenuhi. </w:t>
            </w:r>
          </w:p>
        </w:tc>
      </w:tr>
      <w:tr w:rsidR="00862B0B" w:rsidRPr="00A67277" w14:paraId="6E903238" w14:textId="77777777" w:rsidTr="00862B0B">
        <w:tc>
          <w:tcPr>
            <w:tcW w:w="2270" w:type="pct"/>
          </w:tcPr>
          <w:p w14:paraId="5A7C4505" w14:textId="77777777" w:rsidR="00862B0B" w:rsidRPr="00A67277" w:rsidRDefault="00862B0B" w:rsidP="00862B0B">
            <w:pPr>
              <w:pStyle w:val="Level2"/>
              <w:numPr>
                <w:ilvl w:val="0"/>
                <w:numId w:val="173"/>
              </w:numPr>
              <w:spacing w:before="60" w:after="60"/>
              <w:ind w:left="1140" w:hanging="540"/>
              <w:rPr>
                <w:rFonts w:cs="Arial"/>
                <w:b/>
              </w:rPr>
            </w:pPr>
            <w:r w:rsidRPr="00A67277">
              <w:rPr>
                <w:rFonts w:cs="Arial"/>
                <w:b/>
              </w:rPr>
              <w:t>Minimising Impact of Maintenance Works</w:t>
            </w:r>
          </w:p>
        </w:tc>
        <w:tc>
          <w:tcPr>
            <w:tcW w:w="169" w:type="pct"/>
          </w:tcPr>
          <w:p w14:paraId="6C70BA2A" w14:textId="77777777" w:rsidR="00862B0B" w:rsidRPr="00A67277" w:rsidRDefault="00862B0B" w:rsidP="00862B0B">
            <w:pPr>
              <w:spacing w:before="60" w:after="60"/>
              <w:rPr>
                <w:rFonts w:ascii="Arial" w:hAnsi="Arial" w:cs="Arial"/>
                <w:sz w:val="21"/>
                <w:szCs w:val="21"/>
              </w:rPr>
            </w:pPr>
          </w:p>
        </w:tc>
        <w:tc>
          <w:tcPr>
            <w:tcW w:w="2561" w:type="pct"/>
            <w:gridSpan w:val="2"/>
          </w:tcPr>
          <w:p w14:paraId="3BA2C5EF" w14:textId="7777777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Minimalisasi Dampak Pekerjaan Pemeliharaan</w:t>
            </w:r>
          </w:p>
        </w:tc>
      </w:tr>
      <w:tr w:rsidR="00862B0B" w:rsidRPr="00A67277" w14:paraId="632C69FE" w14:textId="77777777" w:rsidTr="00862B0B">
        <w:tc>
          <w:tcPr>
            <w:tcW w:w="2270" w:type="pct"/>
          </w:tcPr>
          <w:p w14:paraId="2CE38ABA" w14:textId="77777777" w:rsidR="00862B0B" w:rsidRPr="00A67277" w:rsidRDefault="00862B0B" w:rsidP="00862B0B">
            <w:pPr>
              <w:pStyle w:val="Level3"/>
              <w:numPr>
                <w:ilvl w:val="0"/>
                <w:numId w:val="175"/>
              </w:numPr>
              <w:spacing w:before="60" w:after="60"/>
              <w:ind w:left="1513"/>
              <w:rPr>
                <w:rFonts w:cs="Arial"/>
              </w:rPr>
            </w:pPr>
            <w:r w:rsidRPr="00A67277">
              <w:rPr>
                <w:rFonts w:cs="Arial"/>
              </w:rPr>
              <w:t>The IBE shall use all reasonable endeavours to minimise disruption to Services when carrying out its maintenance obligations under this Agreement.</w:t>
            </w:r>
          </w:p>
        </w:tc>
        <w:tc>
          <w:tcPr>
            <w:tcW w:w="169" w:type="pct"/>
          </w:tcPr>
          <w:p w14:paraId="304DC921" w14:textId="77777777" w:rsidR="00862B0B" w:rsidRPr="00A67277" w:rsidRDefault="00862B0B" w:rsidP="00862B0B">
            <w:pPr>
              <w:spacing w:before="60" w:after="60"/>
              <w:rPr>
                <w:rFonts w:ascii="Arial" w:hAnsi="Arial" w:cs="Arial"/>
                <w:sz w:val="21"/>
                <w:szCs w:val="21"/>
              </w:rPr>
            </w:pPr>
          </w:p>
        </w:tc>
        <w:tc>
          <w:tcPr>
            <w:tcW w:w="2561" w:type="pct"/>
            <w:gridSpan w:val="2"/>
          </w:tcPr>
          <w:p w14:paraId="3329BC5F" w14:textId="77777777" w:rsidR="00862B0B" w:rsidRPr="00A67277" w:rsidRDefault="00862B0B" w:rsidP="00862B0B">
            <w:pPr>
              <w:pStyle w:val="Level3"/>
              <w:numPr>
                <w:ilvl w:val="2"/>
                <w:numId w:val="487"/>
              </w:numPr>
              <w:tabs>
                <w:tab w:val="clear" w:pos="1417"/>
              </w:tabs>
              <w:spacing w:before="60" w:after="60"/>
              <w:ind w:left="1333" w:hanging="425"/>
              <w:rPr>
                <w:rFonts w:cs="Arial"/>
              </w:rPr>
            </w:pPr>
            <w:r w:rsidRPr="00A67277">
              <w:rPr>
                <w:rFonts w:cs="Arial"/>
              </w:rPr>
              <w:t>BUP harus melakukan semua upaya yang wajar untuk meminimalisir gangguan Layanan saat melakukan kewajiban pemeliharaan berdasarkan Perjanjian.</w:t>
            </w:r>
          </w:p>
        </w:tc>
      </w:tr>
      <w:tr w:rsidR="00862B0B" w:rsidRPr="00A67277" w14:paraId="7F789FCF" w14:textId="77777777" w:rsidTr="00862B0B">
        <w:tc>
          <w:tcPr>
            <w:tcW w:w="2270" w:type="pct"/>
          </w:tcPr>
          <w:p w14:paraId="39EB1B2D" w14:textId="77777777" w:rsidR="00862B0B" w:rsidRPr="00A67277" w:rsidRDefault="00862B0B" w:rsidP="00862B0B">
            <w:pPr>
              <w:pStyle w:val="Level3"/>
              <w:numPr>
                <w:ilvl w:val="0"/>
                <w:numId w:val="175"/>
              </w:numPr>
              <w:spacing w:before="60" w:after="60"/>
              <w:ind w:left="1513"/>
              <w:rPr>
                <w:rFonts w:cs="Arial"/>
              </w:rPr>
            </w:pPr>
            <w:r w:rsidRPr="00A67277">
              <w:rPr>
                <w:rFonts w:cs="Arial"/>
              </w:rPr>
              <w:t>The IBE shall notify GCA in writing of any maintenance works likely to disrupt Services.</w:t>
            </w:r>
          </w:p>
        </w:tc>
        <w:tc>
          <w:tcPr>
            <w:tcW w:w="169" w:type="pct"/>
          </w:tcPr>
          <w:p w14:paraId="0B7E6864" w14:textId="77777777" w:rsidR="00862B0B" w:rsidRPr="00A67277" w:rsidRDefault="00862B0B" w:rsidP="00862B0B">
            <w:pPr>
              <w:spacing w:before="60" w:after="60"/>
              <w:rPr>
                <w:rFonts w:ascii="Arial" w:hAnsi="Arial" w:cs="Arial"/>
                <w:sz w:val="21"/>
                <w:szCs w:val="21"/>
              </w:rPr>
            </w:pPr>
          </w:p>
        </w:tc>
        <w:tc>
          <w:tcPr>
            <w:tcW w:w="2561" w:type="pct"/>
            <w:gridSpan w:val="2"/>
          </w:tcPr>
          <w:p w14:paraId="0B776C0B" w14:textId="77777777" w:rsidR="00862B0B" w:rsidRPr="00A67277" w:rsidRDefault="00862B0B" w:rsidP="00862B0B">
            <w:pPr>
              <w:pStyle w:val="Level3"/>
              <w:numPr>
                <w:ilvl w:val="2"/>
                <w:numId w:val="23"/>
              </w:numPr>
              <w:spacing w:before="60" w:after="60"/>
              <w:ind w:hanging="410"/>
              <w:rPr>
                <w:rFonts w:cs="Arial"/>
              </w:rPr>
            </w:pPr>
            <w:r w:rsidRPr="00A67277">
              <w:rPr>
                <w:rFonts w:cs="Arial"/>
              </w:rPr>
              <w:t>BUP harus memberitahu PJPK secara tertulis atas setiap pekerjaan pemeliharaan yang sekiranya akan mengganggu Layanan.</w:t>
            </w:r>
          </w:p>
        </w:tc>
      </w:tr>
      <w:tr w:rsidR="00862B0B" w:rsidRPr="00A67277" w14:paraId="4621431D" w14:textId="77777777" w:rsidTr="00862B0B">
        <w:tc>
          <w:tcPr>
            <w:tcW w:w="2270" w:type="pct"/>
          </w:tcPr>
          <w:p w14:paraId="5197C2C8" w14:textId="77777777" w:rsidR="00862B0B" w:rsidRPr="00A67277" w:rsidRDefault="00862B0B" w:rsidP="00862B0B">
            <w:pPr>
              <w:pStyle w:val="Level3"/>
              <w:numPr>
                <w:ilvl w:val="0"/>
                <w:numId w:val="175"/>
              </w:numPr>
              <w:spacing w:before="60" w:after="60"/>
              <w:ind w:left="1513"/>
              <w:rPr>
                <w:rFonts w:cs="Arial"/>
              </w:rPr>
            </w:pPr>
            <w:r w:rsidRPr="00A67277">
              <w:rPr>
                <w:rFonts w:cs="Arial"/>
              </w:rPr>
              <w:t>Except in cases of emergency or where otherwise agreed in writing by GCA, the IBE shall inform GCA at least seven (7) Days in advance of any significant disruption of Services that is to be caused by maintenance works.</w:t>
            </w:r>
          </w:p>
          <w:p w14:paraId="461852CA" w14:textId="77777777" w:rsidR="00862B0B" w:rsidRPr="00A67277" w:rsidRDefault="00862B0B" w:rsidP="00862B0B">
            <w:pPr>
              <w:tabs>
                <w:tab w:val="left" w:pos="3404"/>
              </w:tabs>
              <w:spacing w:before="60" w:after="60"/>
              <w:rPr>
                <w:rFonts w:ascii="Arial" w:hAnsi="Arial" w:cs="Arial"/>
                <w:sz w:val="21"/>
                <w:szCs w:val="21"/>
              </w:rPr>
            </w:pPr>
            <w:r w:rsidRPr="00A67277">
              <w:rPr>
                <w:rFonts w:ascii="Arial" w:hAnsi="Arial" w:cs="Arial"/>
                <w:sz w:val="21"/>
                <w:szCs w:val="21"/>
              </w:rPr>
              <w:tab/>
            </w:r>
          </w:p>
        </w:tc>
        <w:tc>
          <w:tcPr>
            <w:tcW w:w="169" w:type="pct"/>
          </w:tcPr>
          <w:p w14:paraId="2E2CEAF2" w14:textId="77777777" w:rsidR="00862B0B" w:rsidRPr="00A67277" w:rsidRDefault="00862B0B" w:rsidP="00862B0B">
            <w:pPr>
              <w:spacing w:before="60" w:after="60"/>
              <w:rPr>
                <w:rFonts w:ascii="Arial" w:hAnsi="Arial" w:cs="Arial"/>
                <w:sz w:val="21"/>
                <w:szCs w:val="21"/>
              </w:rPr>
            </w:pPr>
          </w:p>
        </w:tc>
        <w:tc>
          <w:tcPr>
            <w:tcW w:w="2561" w:type="pct"/>
            <w:gridSpan w:val="2"/>
          </w:tcPr>
          <w:p w14:paraId="0C3E1E68" w14:textId="77777777" w:rsidR="00862B0B" w:rsidRPr="00A67277" w:rsidRDefault="00862B0B" w:rsidP="00862B0B">
            <w:pPr>
              <w:pStyle w:val="Level3"/>
              <w:numPr>
                <w:ilvl w:val="2"/>
                <w:numId w:val="24"/>
              </w:numPr>
              <w:spacing w:before="60" w:after="60"/>
              <w:ind w:hanging="410"/>
              <w:rPr>
                <w:rFonts w:cs="Arial"/>
              </w:rPr>
            </w:pPr>
            <w:r w:rsidRPr="00A67277">
              <w:rPr>
                <w:rFonts w:cs="Arial"/>
              </w:rPr>
              <w:t>Kecuali dalam keadaan darurat atau telah secara tertulis disetujui oleh PJPK, BUP harus menyampaikan kepada PJPK paling lambat tujuh (7) Hari sebelumnya terkait ganguan yang signifikan terhadap Layanan yang akan terjadi akibat pekerjaan pemeliharaan.</w:t>
            </w:r>
          </w:p>
        </w:tc>
      </w:tr>
      <w:tr w:rsidR="00862B0B" w:rsidRPr="00A67277" w14:paraId="512E625D" w14:textId="77777777" w:rsidTr="00862B0B">
        <w:tc>
          <w:tcPr>
            <w:tcW w:w="2270" w:type="pct"/>
          </w:tcPr>
          <w:p w14:paraId="05188662" w14:textId="77777777" w:rsidR="00862B0B" w:rsidRPr="00A67277" w:rsidRDefault="00862B0B" w:rsidP="00862B0B">
            <w:pPr>
              <w:pStyle w:val="Level2"/>
              <w:numPr>
                <w:ilvl w:val="0"/>
                <w:numId w:val="173"/>
              </w:numPr>
              <w:spacing w:before="60" w:after="60"/>
              <w:ind w:left="1140" w:hanging="540"/>
              <w:rPr>
                <w:rFonts w:cs="Arial"/>
                <w:b/>
              </w:rPr>
            </w:pPr>
            <w:r w:rsidRPr="00A67277">
              <w:rPr>
                <w:rFonts w:cs="Arial"/>
                <w:b/>
              </w:rPr>
              <w:t xml:space="preserve">Personnel on Duty </w:t>
            </w:r>
          </w:p>
        </w:tc>
        <w:tc>
          <w:tcPr>
            <w:tcW w:w="169" w:type="pct"/>
          </w:tcPr>
          <w:p w14:paraId="18E7FEB9" w14:textId="77777777" w:rsidR="00862B0B" w:rsidRPr="00A67277" w:rsidRDefault="00862B0B" w:rsidP="00862B0B">
            <w:pPr>
              <w:spacing w:before="60" w:after="60"/>
              <w:rPr>
                <w:rFonts w:ascii="Arial" w:hAnsi="Arial" w:cs="Arial"/>
                <w:sz w:val="21"/>
                <w:szCs w:val="21"/>
              </w:rPr>
            </w:pPr>
          </w:p>
        </w:tc>
        <w:tc>
          <w:tcPr>
            <w:tcW w:w="2561" w:type="pct"/>
            <w:gridSpan w:val="2"/>
          </w:tcPr>
          <w:p w14:paraId="1723BDA0" w14:textId="7777777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 xml:space="preserve">Personil Yang Bertugas </w:t>
            </w:r>
          </w:p>
        </w:tc>
      </w:tr>
      <w:tr w:rsidR="00862B0B" w:rsidRPr="00A67277" w14:paraId="2CEACD19" w14:textId="77777777" w:rsidTr="00862B0B">
        <w:tc>
          <w:tcPr>
            <w:tcW w:w="2270" w:type="pct"/>
          </w:tcPr>
          <w:p w14:paraId="7B806F4F" w14:textId="4F68BCD0" w:rsidR="00862B0B" w:rsidRPr="00A67277" w:rsidRDefault="00862B0B" w:rsidP="00862B0B">
            <w:pPr>
              <w:pStyle w:val="Body2"/>
              <w:spacing w:before="60" w:after="60"/>
              <w:ind w:left="1148"/>
              <w:rPr>
                <w:rFonts w:cs="Arial"/>
              </w:rPr>
            </w:pPr>
            <w:r w:rsidRPr="00A67277">
              <w:t>The IBE shall ensure that there is always a sufficient number of competent staff assigned to the Project (and to enable it to properly carry out the Services) during the Term in accordance with</w:t>
            </w:r>
            <w:r w:rsidRPr="00A67277">
              <w:rPr>
                <w:rFonts w:cs="Arial"/>
              </w:rPr>
              <w:t xml:space="preserve"> Appendix 5 (</w:t>
            </w:r>
            <w:r w:rsidRPr="00A67277">
              <w:rPr>
                <w:rFonts w:cs="Arial"/>
                <w:i/>
              </w:rPr>
              <w:t>Design and Technical Specifications</w:t>
            </w:r>
            <w:r w:rsidRPr="00A67277">
              <w:rPr>
                <w:rFonts w:cs="Arial"/>
              </w:rPr>
              <w:t xml:space="preserve">), </w:t>
            </w:r>
            <w:r w:rsidRPr="00A67277">
              <w:t>Good Industry Practice and Law.</w:t>
            </w:r>
          </w:p>
        </w:tc>
        <w:tc>
          <w:tcPr>
            <w:tcW w:w="169" w:type="pct"/>
          </w:tcPr>
          <w:p w14:paraId="093B2EA0" w14:textId="77777777" w:rsidR="00862B0B" w:rsidRPr="00A67277" w:rsidRDefault="00862B0B" w:rsidP="00862B0B">
            <w:pPr>
              <w:spacing w:before="60" w:after="60"/>
              <w:rPr>
                <w:rFonts w:ascii="Arial" w:hAnsi="Arial" w:cs="Arial"/>
                <w:sz w:val="21"/>
                <w:szCs w:val="21"/>
              </w:rPr>
            </w:pPr>
          </w:p>
        </w:tc>
        <w:tc>
          <w:tcPr>
            <w:tcW w:w="2561" w:type="pct"/>
            <w:gridSpan w:val="2"/>
          </w:tcPr>
          <w:p w14:paraId="3E786C98" w14:textId="00205215" w:rsidR="00862B0B" w:rsidRPr="00A67277" w:rsidRDefault="00862B0B" w:rsidP="00862B0B">
            <w:pPr>
              <w:pStyle w:val="Level1"/>
              <w:spacing w:before="60" w:after="60"/>
              <w:ind w:left="1006" w:firstLine="25"/>
              <w:rPr>
                <w:rFonts w:cs="Arial"/>
              </w:rPr>
            </w:pPr>
            <w:r w:rsidRPr="00A67277">
              <w:rPr>
                <w:rFonts w:cs="Arial"/>
              </w:rPr>
              <w:t>BUP wajib memastikan bahwa senantiasa terdapat staf yang kompeten dalam jumlah yang cukup yang bertugas pada Proyek (dan memastikan bahwa mereka dapat memberikan Pelayanan) selama Jangka Waktu sesuai dengan Lampiran 5 (</w:t>
            </w:r>
            <w:r w:rsidRPr="00A67277">
              <w:rPr>
                <w:rFonts w:cs="Arial"/>
                <w:i/>
              </w:rPr>
              <w:t>Spesifikasi Desain dan Teknis</w:t>
            </w:r>
            <w:r w:rsidRPr="00A67277">
              <w:rPr>
                <w:rFonts w:cs="Arial"/>
              </w:rPr>
              <w:t>), dan Praktek Industri Yang Baik.</w:t>
            </w:r>
          </w:p>
        </w:tc>
      </w:tr>
      <w:tr w:rsidR="00862B0B" w:rsidRPr="00A67277" w14:paraId="58909F6C" w14:textId="77777777" w:rsidTr="00862B0B">
        <w:tc>
          <w:tcPr>
            <w:tcW w:w="2270" w:type="pct"/>
          </w:tcPr>
          <w:p w14:paraId="46CB15AB" w14:textId="77777777" w:rsidR="00862B0B" w:rsidRPr="00A67277" w:rsidRDefault="00862B0B" w:rsidP="00862B0B">
            <w:pPr>
              <w:pStyle w:val="Level2"/>
              <w:numPr>
                <w:ilvl w:val="0"/>
                <w:numId w:val="173"/>
              </w:numPr>
              <w:spacing w:before="60" w:after="60"/>
              <w:ind w:left="1140" w:hanging="540"/>
              <w:rPr>
                <w:rFonts w:cs="Arial"/>
                <w:b/>
              </w:rPr>
            </w:pPr>
            <w:r w:rsidRPr="00A67277">
              <w:rPr>
                <w:rFonts w:cs="Arial"/>
                <w:b/>
              </w:rPr>
              <w:t>Security of the Facility</w:t>
            </w:r>
          </w:p>
        </w:tc>
        <w:tc>
          <w:tcPr>
            <w:tcW w:w="169" w:type="pct"/>
          </w:tcPr>
          <w:p w14:paraId="780B15F0" w14:textId="77777777" w:rsidR="00862B0B" w:rsidRPr="00A67277" w:rsidRDefault="00862B0B" w:rsidP="00862B0B">
            <w:pPr>
              <w:spacing w:before="60" w:after="60"/>
              <w:rPr>
                <w:rFonts w:ascii="Arial" w:hAnsi="Arial" w:cs="Arial"/>
                <w:sz w:val="21"/>
                <w:szCs w:val="21"/>
              </w:rPr>
            </w:pPr>
          </w:p>
        </w:tc>
        <w:tc>
          <w:tcPr>
            <w:tcW w:w="2561" w:type="pct"/>
            <w:gridSpan w:val="2"/>
          </w:tcPr>
          <w:p w14:paraId="5C5589B4" w14:textId="7777777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Keamanan Fasilitas</w:t>
            </w:r>
          </w:p>
        </w:tc>
      </w:tr>
      <w:tr w:rsidR="00862B0B" w:rsidRPr="00A67277" w14:paraId="44D1174A" w14:textId="77777777" w:rsidTr="00862B0B">
        <w:tc>
          <w:tcPr>
            <w:tcW w:w="2270" w:type="pct"/>
          </w:tcPr>
          <w:p w14:paraId="3F40D4B1" w14:textId="3144DF47" w:rsidR="00862B0B" w:rsidRPr="00A67277" w:rsidRDefault="00862B0B" w:rsidP="00862B0B">
            <w:pPr>
              <w:pStyle w:val="Body2"/>
              <w:spacing w:before="60" w:after="60"/>
              <w:ind w:left="1136"/>
              <w:rPr>
                <w:rFonts w:cs="Arial"/>
              </w:rPr>
            </w:pPr>
            <w:r w:rsidRPr="00A67277">
              <w:rPr>
                <w:rFonts w:cs="Arial"/>
              </w:rPr>
              <w:t xml:space="preserve">The IBE shall take all reasonable measures to ensure that the network of the Facility is protected against the risk of interference, interception and interruption of network traffic by a foreign actor or other person. For the avoidance of doubt, this provision shall not require the design, implementation or use of any special networking equipment (such as low-probability of intercept, low-probability of detection or antijamming protection), but does oblige the IBE to take all reasonable and proper measures and precautions to prevent any such foreign </w:t>
            </w:r>
            <w:r>
              <w:rPr>
                <w:rFonts w:cs="Arial"/>
              </w:rPr>
              <w:t>parties</w:t>
            </w:r>
            <w:r w:rsidRPr="00A67277">
              <w:rPr>
                <w:rFonts w:cs="Arial"/>
              </w:rPr>
              <w:t xml:space="preserve"> or </w:t>
            </w:r>
            <w:r>
              <w:rPr>
                <w:rFonts w:cs="Arial"/>
              </w:rPr>
              <w:t xml:space="preserve">other </w:t>
            </w:r>
            <w:r w:rsidRPr="00A67277">
              <w:rPr>
                <w:rFonts w:cs="Arial"/>
              </w:rPr>
              <w:t>person</w:t>
            </w:r>
            <w:r>
              <w:rPr>
                <w:rFonts w:cs="Arial"/>
              </w:rPr>
              <w:t>s</w:t>
            </w:r>
            <w:r w:rsidRPr="00A67277">
              <w:rPr>
                <w:rFonts w:cs="Arial"/>
              </w:rPr>
              <w:t xml:space="preserve"> from installing any illegal or unauthorized surveillance or jamming (or similar) equipment at any time within the network of the Facility. The IBE shall immediately notify the GCA if it suspects any such equipment has been installed or any surveillance or jamming is occurring.</w:t>
            </w:r>
          </w:p>
        </w:tc>
        <w:tc>
          <w:tcPr>
            <w:tcW w:w="169" w:type="pct"/>
          </w:tcPr>
          <w:p w14:paraId="352C57B4" w14:textId="77777777" w:rsidR="00862B0B" w:rsidRPr="00A67277" w:rsidRDefault="00862B0B" w:rsidP="00862B0B">
            <w:pPr>
              <w:pStyle w:val="Body2"/>
              <w:spacing w:before="60" w:after="60"/>
              <w:ind w:left="1136"/>
              <w:rPr>
                <w:rFonts w:cs="Arial"/>
              </w:rPr>
            </w:pPr>
          </w:p>
        </w:tc>
        <w:tc>
          <w:tcPr>
            <w:tcW w:w="2561" w:type="pct"/>
            <w:gridSpan w:val="2"/>
          </w:tcPr>
          <w:p w14:paraId="012D6039" w14:textId="44F7A194" w:rsidR="00862B0B" w:rsidRPr="00A67277" w:rsidRDefault="00862B0B" w:rsidP="00862B0B">
            <w:pPr>
              <w:pStyle w:val="Body2"/>
              <w:spacing w:before="60" w:after="60"/>
              <w:ind w:left="882"/>
              <w:rPr>
                <w:rFonts w:cs="Arial"/>
              </w:rPr>
            </w:pPr>
            <w:r w:rsidRPr="00A67277">
              <w:rPr>
                <w:rFonts w:cs="Arial"/>
              </w:rPr>
              <w:t xml:space="preserve">BUP harus mengambil semua langkah yang wajar untuk memastikan bahwa </w:t>
            </w:r>
            <w:r>
              <w:rPr>
                <w:rFonts w:cs="Arial"/>
              </w:rPr>
              <w:t>j</w:t>
            </w:r>
            <w:r w:rsidRPr="00A67277">
              <w:rPr>
                <w:rFonts w:cs="Arial"/>
              </w:rPr>
              <w:t xml:space="preserve">aringan Fasilitas terlindungi dari risiko gangguan, pencegatan dan terganggunya </w:t>
            </w:r>
            <w:r w:rsidR="002A291F">
              <w:rPr>
                <w:rFonts w:cs="Arial"/>
              </w:rPr>
              <w:t>lalu lintas</w:t>
            </w:r>
            <w:r w:rsidR="002A291F" w:rsidRPr="00A67277">
              <w:rPr>
                <w:rFonts w:cs="Arial"/>
              </w:rPr>
              <w:t xml:space="preserve"> </w:t>
            </w:r>
            <w:r w:rsidRPr="00A67277">
              <w:rPr>
                <w:rFonts w:cs="Arial"/>
              </w:rPr>
              <w:t>jaringan oleh pihak asing atau pihak lainnya. Untuk menghindari keraguan, ketentuan ini tidak mewajibkan desain, pelaksanaan atau penggunaan peralatan jaringan khusus (</w:t>
            </w:r>
            <w:r w:rsidRPr="00A67277">
              <w:rPr>
                <w:rFonts w:cs="Arial"/>
                <w:i/>
              </w:rPr>
              <w:t>seperti low-probability of intercept, low-probability of detection</w:t>
            </w:r>
            <w:r w:rsidRPr="00A67277">
              <w:rPr>
                <w:rFonts w:cs="Arial"/>
              </w:rPr>
              <w:t xml:space="preserve">, atau </w:t>
            </w:r>
            <w:r w:rsidRPr="00A67277">
              <w:rPr>
                <w:rFonts w:cs="Arial"/>
                <w:i/>
              </w:rPr>
              <w:t>anti-jamming protection</w:t>
            </w:r>
            <w:r w:rsidRPr="00A67277">
              <w:rPr>
                <w:rFonts w:cs="Arial"/>
              </w:rPr>
              <w:t xml:space="preserve">), tetapi mewajibkan BUP untuk mengambil semua langkah yang wajar dan layak dan tindakan pencegahan untuk mencegah pihak asing atau pihak lain melakukan instalasi setiap peralatan </w:t>
            </w:r>
            <w:r w:rsidRPr="002A291F">
              <w:rPr>
                <w:rFonts w:cs="Arial"/>
                <w:i/>
                <w:iCs/>
              </w:rPr>
              <w:t>surveillance</w:t>
            </w:r>
            <w:r w:rsidRPr="00A67277">
              <w:rPr>
                <w:rFonts w:cs="Arial"/>
              </w:rPr>
              <w:t xml:space="preserve"> atau </w:t>
            </w:r>
            <w:r w:rsidRPr="002A291F">
              <w:rPr>
                <w:rFonts w:cs="Arial"/>
                <w:i/>
                <w:iCs/>
              </w:rPr>
              <w:t>jamming</w:t>
            </w:r>
            <w:r w:rsidRPr="00A67277">
              <w:rPr>
                <w:rFonts w:cs="Arial"/>
              </w:rPr>
              <w:t xml:space="preserve"> (atau yang serupa) yang ilegal atau tidak sah pada setiap waktu pada jaringan Fasilitas. BUP harus segera memberitahu PJPK jika ia mencurigai adanya peralatan tersebut telah dipasang atau terjadinya </w:t>
            </w:r>
            <w:r w:rsidRPr="002A291F">
              <w:rPr>
                <w:rFonts w:cs="Arial"/>
                <w:i/>
                <w:iCs/>
              </w:rPr>
              <w:t>surveillance</w:t>
            </w:r>
            <w:r w:rsidRPr="00A67277">
              <w:rPr>
                <w:rFonts w:cs="Arial"/>
              </w:rPr>
              <w:t xml:space="preserve"> atau </w:t>
            </w:r>
            <w:r w:rsidRPr="002A291F">
              <w:rPr>
                <w:rFonts w:cs="Arial"/>
                <w:i/>
                <w:iCs/>
              </w:rPr>
              <w:t>jamming</w:t>
            </w:r>
            <w:r w:rsidRPr="00A67277">
              <w:rPr>
                <w:rFonts w:cs="Arial"/>
              </w:rPr>
              <w:t xml:space="preserve"> semacam itu.</w:t>
            </w:r>
          </w:p>
        </w:tc>
      </w:tr>
      <w:tr w:rsidR="00862B0B" w:rsidRPr="00A67277" w14:paraId="4562409D" w14:textId="77777777" w:rsidTr="00862B0B">
        <w:tc>
          <w:tcPr>
            <w:tcW w:w="2270" w:type="pct"/>
          </w:tcPr>
          <w:p w14:paraId="28395CA7" w14:textId="0C4094C4" w:rsidR="00862B0B" w:rsidRPr="00A67277" w:rsidRDefault="00862B0B" w:rsidP="00862B0B">
            <w:pPr>
              <w:pStyle w:val="Level2"/>
              <w:numPr>
                <w:ilvl w:val="0"/>
                <w:numId w:val="173"/>
              </w:numPr>
              <w:spacing w:before="60" w:after="60"/>
              <w:ind w:left="1140" w:hanging="540"/>
              <w:rPr>
                <w:rFonts w:cs="Arial"/>
                <w:b/>
              </w:rPr>
            </w:pPr>
            <w:r w:rsidRPr="00A67277">
              <w:rPr>
                <w:rFonts w:cs="Arial"/>
                <w:b/>
              </w:rPr>
              <w:t>Service Center</w:t>
            </w:r>
          </w:p>
        </w:tc>
        <w:tc>
          <w:tcPr>
            <w:tcW w:w="169" w:type="pct"/>
          </w:tcPr>
          <w:p w14:paraId="3BA42BD7" w14:textId="77777777" w:rsidR="00862B0B" w:rsidRPr="00A67277" w:rsidRDefault="00862B0B" w:rsidP="00862B0B">
            <w:pPr>
              <w:spacing w:before="60" w:after="60"/>
              <w:rPr>
                <w:rFonts w:ascii="Arial" w:hAnsi="Arial" w:cs="Arial"/>
                <w:sz w:val="21"/>
                <w:szCs w:val="21"/>
              </w:rPr>
            </w:pPr>
          </w:p>
        </w:tc>
        <w:tc>
          <w:tcPr>
            <w:tcW w:w="2561" w:type="pct"/>
            <w:gridSpan w:val="2"/>
          </w:tcPr>
          <w:p w14:paraId="2432A149" w14:textId="6D29738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Pusat Layanan</w:t>
            </w:r>
          </w:p>
        </w:tc>
      </w:tr>
      <w:tr w:rsidR="00862B0B" w:rsidRPr="00A67277" w14:paraId="66C8C12D" w14:textId="77777777" w:rsidTr="00862B0B">
        <w:tc>
          <w:tcPr>
            <w:tcW w:w="2270" w:type="pct"/>
          </w:tcPr>
          <w:p w14:paraId="69EA1232" w14:textId="0FDEBD38" w:rsidR="00862B0B" w:rsidRPr="00A67277" w:rsidRDefault="00862B0B" w:rsidP="00862B0B">
            <w:pPr>
              <w:pStyle w:val="Level3"/>
              <w:numPr>
                <w:ilvl w:val="0"/>
                <w:numId w:val="721"/>
              </w:numPr>
              <w:spacing w:before="60" w:after="60"/>
              <w:ind w:left="1560" w:hanging="426"/>
              <w:rPr>
                <w:rFonts w:cs="Arial"/>
              </w:rPr>
            </w:pPr>
            <w:r w:rsidRPr="00A67277">
              <w:rPr>
                <w:rFonts w:cs="Arial"/>
              </w:rPr>
              <w:t>As of the Commercial Operation Date, the IBE must provide a service center in accordance with  Appendix 5 (</w:t>
            </w:r>
            <w:r w:rsidRPr="00A67277">
              <w:rPr>
                <w:rFonts w:cs="Arial"/>
                <w:i/>
              </w:rPr>
              <w:t>Design and Technical Spesification)</w:t>
            </w:r>
            <w:r w:rsidRPr="00A67277">
              <w:rPr>
                <w:rFonts w:cs="Arial"/>
              </w:rPr>
              <w:t>.</w:t>
            </w:r>
          </w:p>
        </w:tc>
        <w:tc>
          <w:tcPr>
            <w:tcW w:w="169" w:type="pct"/>
          </w:tcPr>
          <w:p w14:paraId="53C90AC3" w14:textId="77777777" w:rsidR="00862B0B" w:rsidRPr="00A67277" w:rsidRDefault="00862B0B" w:rsidP="00862B0B">
            <w:pPr>
              <w:spacing w:before="60" w:after="60"/>
              <w:rPr>
                <w:rFonts w:ascii="Arial" w:hAnsi="Arial" w:cs="Arial"/>
                <w:sz w:val="21"/>
                <w:szCs w:val="21"/>
              </w:rPr>
            </w:pPr>
          </w:p>
        </w:tc>
        <w:tc>
          <w:tcPr>
            <w:tcW w:w="2561" w:type="pct"/>
            <w:gridSpan w:val="2"/>
          </w:tcPr>
          <w:p w14:paraId="62AECBAE" w14:textId="608683D9" w:rsidR="00862B0B" w:rsidRPr="00A67277" w:rsidRDefault="00862B0B" w:rsidP="00862B0B">
            <w:pPr>
              <w:pStyle w:val="Level3"/>
              <w:numPr>
                <w:ilvl w:val="2"/>
                <w:numId w:val="719"/>
              </w:numPr>
              <w:tabs>
                <w:tab w:val="clear" w:pos="1417"/>
              </w:tabs>
              <w:spacing w:before="60" w:after="60"/>
              <w:ind w:left="1308" w:hanging="426"/>
              <w:rPr>
                <w:rFonts w:cs="Arial"/>
              </w:rPr>
            </w:pPr>
            <w:r w:rsidRPr="00A67277">
              <w:rPr>
                <w:rFonts w:cs="Arial"/>
              </w:rPr>
              <w:t>Sejak Tanggal Operasi Komersial, BUP wajib menyediakan pusat layanan sesuai dengan  Lampiran 5 (</w:t>
            </w:r>
            <w:r w:rsidRPr="00A67277">
              <w:rPr>
                <w:rFonts w:cs="Arial"/>
                <w:i/>
              </w:rPr>
              <w:t>Spesifikasi Desain dan Teknis</w:t>
            </w:r>
            <w:r w:rsidRPr="00A67277">
              <w:rPr>
                <w:rFonts w:cs="Arial"/>
              </w:rPr>
              <w:t>).</w:t>
            </w:r>
          </w:p>
        </w:tc>
      </w:tr>
      <w:tr w:rsidR="00862B0B" w:rsidRPr="00A67277" w14:paraId="3754E6D1" w14:textId="77777777" w:rsidTr="00862B0B">
        <w:tc>
          <w:tcPr>
            <w:tcW w:w="2270" w:type="pct"/>
          </w:tcPr>
          <w:p w14:paraId="72DC697B" w14:textId="7435D499" w:rsidR="00862B0B" w:rsidRPr="00A67277" w:rsidRDefault="00862B0B" w:rsidP="00862B0B">
            <w:pPr>
              <w:pStyle w:val="Level3"/>
              <w:numPr>
                <w:ilvl w:val="0"/>
                <w:numId w:val="721"/>
              </w:numPr>
              <w:spacing w:before="60" w:after="60"/>
              <w:ind w:left="1513"/>
              <w:rPr>
                <w:rFonts w:cs="Arial"/>
              </w:rPr>
            </w:pPr>
            <w:r w:rsidRPr="00A67277">
              <w:rPr>
                <w:rFonts w:cs="Arial"/>
              </w:rPr>
              <w:t>The IBE must provide a dedicated call center number  and ensure that the call center operates 24 hours per Day to provide any necessary information relating to the User MLFF System Device.</w:t>
            </w:r>
          </w:p>
        </w:tc>
        <w:tc>
          <w:tcPr>
            <w:tcW w:w="169" w:type="pct"/>
          </w:tcPr>
          <w:p w14:paraId="0CC78D25" w14:textId="77777777" w:rsidR="00862B0B" w:rsidRPr="00A67277" w:rsidRDefault="00862B0B" w:rsidP="00862B0B">
            <w:pPr>
              <w:spacing w:before="60" w:after="60"/>
              <w:rPr>
                <w:rFonts w:ascii="Arial" w:hAnsi="Arial" w:cs="Arial"/>
                <w:sz w:val="21"/>
                <w:szCs w:val="21"/>
              </w:rPr>
            </w:pPr>
          </w:p>
        </w:tc>
        <w:tc>
          <w:tcPr>
            <w:tcW w:w="2561" w:type="pct"/>
            <w:gridSpan w:val="2"/>
          </w:tcPr>
          <w:p w14:paraId="5E7E88D9" w14:textId="753E918D" w:rsidR="00862B0B" w:rsidRPr="00A67277" w:rsidRDefault="00862B0B" w:rsidP="00862B0B">
            <w:pPr>
              <w:pStyle w:val="Level3"/>
              <w:numPr>
                <w:ilvl w:val="2"/>
                <w:numId w:val="719"/>
              </w:numPr>
              <w:tabs>
                <w:tab w:val="clear" w:pos="1417"/>
              </w:tabs>
              <w:spacing w:before="60" w:after="60"/>
              <w:ind w:left="1333" w:hanging="425"/>
              <w:rPr>
                <w:rFonts w:cs="Arial"/>
              </w:rPr>
            </w:pPr>
            <w:r w:rsidRPr="00A67277">
              <w:rPr>
                <w:rFonts w:cs="Arial"/>
              </w:rPr>
              <w:t xml:space="preserve">BUP harus menyediakan nomor </w:t>
            </w:r>
            <w:r w:rsidRPr="00A67277">
              <w:rPr>
                <w:rFonts w:cs="Arial"/>
                <w:i/>
              </w:rPr>
              <w:t>call center</w:t>
            </w:r>
            <w:r w:rsidRPr="00A67277">
              <w:rPr>
                <w:rFonts w:cs="Arial"/>
              </w:rPr>
              <w:t xml:space="preserve"> khusus dan memastikan bahwa </w:t>
            </w:r>
            <w:r w:rsidRPr="00A67277">
              <w:rPr>
                <w:rFonts w:cs="Arial"/>
                <w:i/>
              </w:rPr>
              <w:t>call center</w:t>
            </w:r>
            <w:r w:rsidRPr="00A67277">
              <w:rPr>
                <w:rFonts w:cs="Arial"/>
              </w:rPr>
              <w:t xml:space="preserve"> beroperasi selama 24 jam per Hari untuk memberikan informasi yang diperlukan sehubungan dengan Perangkat Sistem MLFF Pengguna.</w:t>
            </w:r>
          </w:p>
        </w:tc>
      </w:tr>
      <w:tr w:rsidR="00862B0B" w:rsidRPr="00A67277" w14:paraId="3DDABF65" w14:textId="77777777" w:rsidTr="00862B0B">
        <w:tc>
          <w:tcPr>
            <w:tcW w:w="2270" w:type="pct"/>
          </w:tcPr>
          <w:p w14:paraId="24774EA6" w14:textId="77777777" w:rsidR="00862B0B" w:rsidRPr="00A67277" w:rsidRDefault="00862B0B" w:rsidP="00862B0B">
            <w:pPr>
              <w:pStyle w:val="Level2"/>
              <w:numPr>
                <w:ilvl w:val="0"/>
                <w:numId w:val="173"/>
              </w:numPr>
              <w:spacing w:before="60" w:after="60"/>
              <w:ind w:left="1140" w:hanging="540"/>
              <w:rPr>
                <w:rFonts w:cs="Arial"/>
                <w:b/>
              </w:rPr>
            </w:pPr>
            <w:r w:rsidRPr="00A67277">
              <w:rPr>
                <w:rFonts w:cs="Arial"/>
                <w:b/>
              </w:rPr>
              <w:t>IBE to Bear Costs</w:t>
            </w:r>
          </w:p>
        </w:tc>
        <w:tc>
          <w:tcPr>
            <w:tcW w:w="169" w:type="pct"/>
          </w:tcPr>
          <w:p w14:paraId="1010F04D" w14:textId="77777777" w:rsidR="00862B0B" w:rsidRPr="00A67277" w:rsidRDefault="00862B0B" w:rsidP="00862B0B">
            <w:pPr>
              <w:spacing w:before="60" w:after="60"/>
              <w:rPr>
                <w:rFonts w:ascii="Arial" w:hAnsi="Arial" w:cs="Arial"/>
                <w:sz w:val="21"/>
                <w:szCs w:val="21"/>
              </w:rPr>
            </w:pPr>
          </w:p>
        </w:tc>
        <w:tc>
          <w:tcPr>
            <w:tcW w:w="2561" w:type="pct"/>
            <w:gridSpan w:val="2"/>
          </w:tcPr>
          <w:p w14:paraId="74DF8413" w14:textId="77777777"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BUP Menanggung Biaya</w:t>
            </w:r>
          </w:p>
        </w:tc>
      </w:tr>
      <w:tr w:rsidR="00862B0B" w:rsidRPr="00A67277" w14:paraId="2461AA37" w14:textId="77777777" w:rsidTr="00862B0B">
        <w:tc>
          <w:tcPr>
            <w:tcW w:w="2270" w:type="pct"/>
          </w:tcPr>
          <w:p w14:paraId="0BED4E27" w14:textId="77777777" w:rsidR="00862B0B" w:rsidRPr="00A67277" w:rsidRDefault="00862B0B" w:rsidP="00862B0B">
            <w:pPr>
              <w:pStyle w:val="Body2"/>
              <w:spacing w:before="60" w:after="60"/>
              <w:ind w:left="1136"/>
              <w:rPr>
                <w:rFonts w:cs="Arial"/>
              </w:rPr>
            </w:pPr>
            <w:r w:rsidRPr="00A67277">
              <w:rPr>
                <w:rFonts w:cs="Arial"/>
              </w:rPr>
              <w:t>The IBE shall be responsible for all costs incurred in connection with the operation and maintenance of the Facility throughout the Term, subject to all remedies available to the IBE in accordance with the provisions of this Agreement.</w:t>
            </w:r>
          </w:p>
        </w:tc>
        <w:tc>
          <w:tcPr>
            <w:tcW w:w="169" w:type="pct"/>
          </w:tcPr>
          <w:p w14:paraId="29DBD415" w14:textId="77777777" w:rsidR="00862B0B" w:rsidRPr="00A67277" w:rsidRDefault="00862B0B" w:rsidP="00862B0B">
            <w:pPr>
              <w:spacing w:before="60" w:after="60"/>
              <w:rPr>
                <w:rFonts w:ascii="Arial" w:hAnsi="Arial" w:cs="Arial"/>
                <w:sz w:val="21"/>
                <w:szCs w:val="21"/>
              </w:rPr>
            </w:pPr>
          </w:p>
        </w:tc>
        <w:tc>
          <w:tcPr>
            <w:tcW w:w="2561" w:type="pct"/>
            <w:gridSpan w:val="2"/>
          </w:tcPr>
          <w:p w14:paraId="71640005" w14:textId="77777777" w:rsidR="00862B0B" w:rsidRPr="00A67277" w:rsidRDefault="00862B0B" w:rsidP="00862B0B">
            <w:pPr>
              <w:pStyle w:val="Level3"/>
              <w:spacing w:before="60" w:after="60"/>
              <w:ind w:left="882"/>
              <w:rPr>
                <w:rFonts w:cs="Arial"/>
              </w:rPr>
            </w:pPr>
            <w:r w:rsidRPr="00A67277">
              <w:rPr>
                <w:rFonts w:cs="Arial"/>
              </w:rPr>
              <w:t>BUP harus bertanggung jawab terhadap biaya yang dikeluarkan sehubungan dengan pengoperasian dan pemeliharaan Fasilitas selama Jangka Waktu, tunduk kepada setiap pemulihan-pemulihan yang dapat diberikan kepada BUP berdasarkan ketentuan Perjanjian ini.</w:t>
            </w:r>
          </w:p>
        </w:tc>
      </w:tr>
      <w:tr w:rsidR="00862B0B" w:rsidRPr="00A67277" w14:paraId="582D8A9D" w14:textId="77777777" w:rsidTr="00862B0B">
        <w:tc>
          <w:tcPr>
            <w:tcW w:w="2270" w:type="pct"/>
          </w:tcPr>
          <w:p w14:paraId="3AC43E17" w14:textId="2C8C8E22" w:rsidR="00862B0B" w:rsidRPr="00A67277" w:rsidRDefault="00862B0B" w:rsidP="00862B0B">
            <w:pPr>
              <w:pStyle w:val="Level2"/>
              <w:numPr>
                <w:ilvl w:val="0"/>
                <w:numId w:val="173"/>
              </w:numPr>
              <w:spacing w:before="60" w:after="60"/>
              <w:ind w:left="1140" w:hanging="540"/>
              <w:rPr>
                <w:rFonts w:cs="Arial"/>
                <w:b/>
              </w:rPr>
            </w:pPr>
            <w:r w:rsidRPr="00A67277">
              <w:rPr>
                <w:rFonts w:cs="Arial"/>
                <w:b/>
              </w:rPr>
              <w:t>Energy Supply</w:t>
            </w:r>
          </w:p>
        </w:tc>
        <w:tc>
          <w:tcPr>
            <w:tcW w:w="169" w:type="pct"/>
          </w:tcPr>
          <w:p w14:paraId="158ECF20" w14:textId="77777777" w:rsidR="00862B0B" w:rsidRPr="00A67277" w:rsidRDefault="00862B0B" w:rsidP="00862B0B">
            <w:pPr>
              <w:spacing w:before="60" w:after="60"/>
              <w:rPr>
                <w:rFonts w:ascii="Arial" w:hAnsi="Arial" w:cs="Arial"/>
                <w:sz w:val="21"/>
                <w:szCs w:val="21"/>
              </w:rPr>
            </w:pPr>
          </w:p>
        </w:tc>
        <w:tc>
          <w:tcPr>
            <w:tcW w:w="2561" w:type="pct"/>
            <w:gridSpan w:val="2"/>
          </w:tcPr>
          <w:p w14:paraId="22ACBF24" w14:textId="38B85829" w:rsidR="00862B0B" w:rsidRPr="00A67277" w:rsidRDefault="00862B0B" w:rsidP="00862B0B">
            <w:pPr>
              <w:pStyle w:val="Level2"/>
              <w:numPr>
                <w:ilvl w:val="1"/>
                <w:numId w:val="430"/>
              </w:numPr>
              <w:tabs>
                <w:tab w:val="clear" w:pos="889"/>
              </w:tabs>
              <w:spacing w:before="60" w:after="60"/>
              <w:ind w:hanging="547"/>
              <w:rPr>
                <w:rFonts w:cs="Arial"/>
                <w:b/>
              </w:rPr>
            </w:pPr>
            <w:r w:rsidRPr="00A67277">
              <w:rPr>
                <w:rFonts w:cs="Arial"/>
                <w:b/>
              </w:rPr>
              <w:t>Pasokan Energi</w:t>
            </w:r>
          </w:p>
        </w:tc>
      </w:tr>
      <w:tr w:rsidR="00862B0B" w:rsidRPr="00A67277" w14:paraId="533A4167" w14:textId="77777777" w:rsidTr="00862B0B">
        <w:tc>
          <w:tcPr>
            <w:tcW w:w="2270" w:type="pct"/>
          </w:tcPr>
          <w:p w14:paraId="6681A115" w14:textId="77777777" w:rsidR="00862B0B" w:rsidRPr="00A67277" w:rsidRDefault="00862B0B" w:rsidP="00862B0B">
            <w:pPr>
              <w:pStyle w:val="Level3"/>
              <w:numPr>
                <w:ilvl w:val="2"/>
                <w:numId w:val="431"/>
              </w:numPr>
              <w:tabs>
                <w:tab w:val="clear" w:pos="1417"/>
              </w:tabs>
              <w:spacing w:before="60" w:after="60"/>
              <w:ind w:left="1560" w:hanging="399"/>
              <w:rPr>
                <w:rFonts w:cs="Arial"/>
              </w:rPr>
            </w:pPr>
            <w:r w:rsidRPr="00A67277">
              <w:rPr>
                <w:rFonts w:cs="Arial"/>
              </w:rPr>
              <w:t xml:space="preserve">At all times during the Operation Period, the IBE must procure or produce at its own risk and cost sufficient energy to enable the </w:t>
            </w:r>
            <w:r w:rsidRPr="00A67277">
              <w:rPr>
                <w:rFonts w:cs="Arial"/>
                <w:lang w:val="en-US" w:eastAsia="en-US"/>
              </w:rPr>
              <w:t>Facility</w:t>
            </w:r>
            <w:r w:rsidRPr="00A67277">
              <w:rPr>
                <w:rFonts w:cs="Arial"/>
              </w:rPr>
              <w:t xml:space="preserve"> to be operated so as to comply with its obligations under this Agreement. </w:t>
            </w:r>
          </w:p>
          <w:p w14:paraId="160D81DE" w14:textId="77777777" w:rsidR="00862B0B" w:rsidRPr="00A67277" w:rsidRDefault="00862B0B" w:rsidP="00862B0B">
            <w:pPr>
              <w:spacing w:before="60" w:after="60"/>
              <w:rPr>
                <w:rFonts w:ascii="Arial" w:hAnsi="Arial" w:cs="Arial"/>
                <w:sz w:val="21"/>
                <w:szCs w:val="21"/>
              </w:rPr>
            </w:pPr>
          </w:p>
          <w:p w14:paraId="5933A450" w14:textId="77777777" w:rsidR="00862B0B" w:rsidRPr="00A67277" w:rsidRDefault="00862B0B" w:rsidP="00862B0B">
            <w:pPr>
              <w:pStyle w:val="Level2"/>
              <w:spacing w:before="60" w:after="60"/>
              <w:ind w:left="1140" w:firstLine="0"/>
              <w:rPr>
                <w:rFonts w:cs="Arial"/>
                <w:b/>
              </w:rPr>
            </w:pPr>
          </w:p>
        </w:tc>
        <w:tc>
          <w:tcPr>
            <w:tcW w:w="169" w:type="pct"/>
          </w:tcPr>
          <w:p w14:paraId="2D3371A6" w14:textId="77777777" w:rsidR="00862B0B" w:rsidRPr="00A67277" w:rsidRDefault="00862B0B" w:rsidP="00862B0B">
            <w:pPr>
              <w:spacing w:before="60" w:after="60"/>
              <w:rPr>
                <w:rFonts w:ascii="Arial" w:hAnsi="Arial" w:cs="Arial"/>
                <w:sz w:val="21"/>
                <w:szCs w:val="21"/>
              </w:rPr>
            </w:pPr>
          </w:p>
        </w:tc>
        <w:tc>
          <w:tcPr>
            <w:tcW w:w="2561" w:type="pct"/>
            <w:gridSpan w:val="2"/>
          </w:tcPr>
          <w:p w14:paraId="299BA5F4" w14:textId="7B15D990" w:rsidR="00862B0B" w:rsidRPr="00A67277" w:rsidRDefault="00862B0B" w:rsidP="00862B0B">
            <w:pPr>
              <w:pStyle w:val="Level3"/>
              <w:numPr>
                <w:ilvl w:val="0"/>
                <w:numId w:val="5"/>
              </w:numPr>
              <w:spacing w:before="60" w:after="60"/>
              <w:ind w:left="1449" w:hanging="540"/>
              <w:rPr>
                <w:rFonts w:cs="Arial"/>
              </w:rPr>
            </w:pPr>
            <w:r w:rsidRPr="00A67277">
              <w:rPr>
                <w:rFonts w:cs="Arial"/>
              </w:rPr>
              <w:t xml:space="preserve">Dalam setiap waktu selama Jangka Waktu Operasi, BUP harus mengadakan atau menyediakan sumber daya energi secukupnya dengan risiko dan biaya sendiri untuk menyebabkan Fasilitas dapat dioperasikan beroperasi sesuai dengan kewajibannya berdasarkan Perjanjian. </w:t>
            </w:r>
          </w:p>
        </w:tc>
      </w:tr>
      <w:tr w:rsidR="00862B0B" w:rsidRPr="00A67277" w14:paraId="4542FEBC" w14:textId="77777777" w:rsidTr="00862B0B">
        <w:tc>
          <w:tcPr>
            <w:tcW w:w="2270" w:type="pct"/>
          </w:tcPr>
          <w:p w14:paraId="7C637EC2" w14:textId="673BED10" w:rsidR="00862B0B" w:rsidRPr="00A67277" w:rsidRDefault="00862B0B" w:rsidP="00862B0B">
            <w:pPr>
              <w:pStyle w:val="Level3"/>
              <w:numPr>
                <w:ilvl w:val="2"/>
                <w:numId w:val="431"/>
              </w:numPr>
              <w:tabs>
                <w:tab w:val="clear" w:pos="1417"/>
              </w:tabs>
              <w:spacing w:before="60" w:after="60"/>
              <w:ind w:left="1560" w:hanging="399"/>
              <w:rPr>
                <w:rFonts w:cs="Arial"/>
              </w:rPr>
            </w:pPr>
            <w:r w:rsidRPr="00A67277">
              <w:rPr>
                <w:rFonts w:cs="Arial"/>
              </w:rPr>
              <w:t>Save as expressly provided in Clause 20 (Force Majeure), the IBE is not entitled to make any Claims against GCA on account of, nor are the IBE’s obligations in accordance with this Agreement diminished or affected by, the interruption or cessation of the supply of energy.</w:t>
            </w:r>
          </w:p>
        </w:tc>
        <w:tc>
          <w:tcPr>
            <w:tcW w:w="169" w:type="pct"/>
          </w:tcPr>
          <w:p w14:paraId="1002D0E4" w14:textId="77777777" w:rsidR="00862B0B" w:rsidRPr="00A67277" w:rsidRDefault="00862B0B" w:rsidP="00862B0B">
            <w:pPr>
              <w:spacing w:before="60" w:after="60"/>
              <w:rPr>
                <w:rFonts w:ascii="Arial" w:hAnsi="Arial" w:cs="Arial"/>
                <w:sz w:val="21"/>
                <w:szCs w:val="21"/>
              </w:rPr>
            </w:pPr>
          </w:p>
        </w:tc>
        <w:tc>
          <w:tcPr>
            <w:tcW w:w="2561" w:type="pct"/>
            <w:gridSpan w:val="2"/>
          </w:tcPr>
          <w:p w14:paraId="57146A68" w14:textId="27FFCEFC" w:rsidR="00862B0B" w:rsidRPr="00A67277" w:rsidRDefault="00862B0B" w:rsidP="00862B0B">
            <w:pPr>
              <w:pStyle w:val="Level3"/>
              <w:numPr>
                <w:ilvl w:val="0"/>
                <w:numId w:val="5"/>
              </w:numPr>
              <w:spacing w:before="60" w:after="60"/>
              <w:ind w:left="1449" w:hanging="540"/>
              <w:rPr>
                <w:rFonts w:cs="Arial"/>
              </w:rPr>
            </w:pPr>
            <w:r w:rsidRPr="00A67277">
              <w:rPr>
                <w:rFonts w:cs="Arial"/>
              </w:rPr>
              <w:t xml:space="preserve">Kecuali secara tegas dinyatakan lain dalam Pasal 20 (Keadaan Kahar), BUP tidak berhak untuk mengajukan klaim terhadap PJPK, dan kewajiban BUP berdasarkan Perjanjian ini tidak akan dibebaskan atau terpengaruh, karena adanya gangguan atau penghentian pasokan energi. </w:t>
            </w:r>
          </w:p>
        </w:tc>
      </w:tr>
      <w:tr w:rsidR="00862B0B" w:rsidRPr="00A67277" w14:paraId="1AAF4568" w14:textId="77777777" w:rsidTr="00862B0B">
        <w:tc>
          <w:tcPr>
            <w:tcW w:w="2270" w:type="pct"/>
          </w:tcPr>
          <w:p w14:paraId="51CBD71F" w14:textId="17EE8D63" w:rsidR="00862B0B" w:rsidRPr="00A67277" w:rsidRDefault="00862B0B" w:rsidP="00862B0B">
            <w:pPr>
              <w:pStyle w:val="Heading1"/>
              <w:numPr>
                <w:ilvl w:val="0"/>
                <w:numId w:val="429"/>
              </w:numPr>
              <w:spacing w:before="60" w:after="60"/>
              <w:ind w:left="360"/>
              <w:rPr>
                <w:rFonts w:cs="Arial"/>
              </w:rPr>
            </w:pPr>
            <w:r w:rsidRPr="00A67277">
              <w:t xml:space="preserve"> </w:t>
            </w:r>
            <w:r w:rsidRPr="00A67277">
              <w:rPr>
                <w:rFonts w:cs="Arial"/>
              </w:rPr>
              <w:t>Collection, Settlement and Enforcement</w:t>
            </w:r>
          </w:p>
        </w:tc>
        <w:tc>
          <w:tcPr>
            <w:tcW w:w="169" w:type="pct"/>
          </w:tcPr>
          <w:p w14:paraId="1408A39F" w14:textId="77777777" w:rsidR="00862B0B" w:rsidRPr="00A67277" w:rsidRDefault="00862B0B" w:rsidP="00862B0B">
            <w:pPr>
              <w:spacing w:before="60" w:after="60"/>
              <w:rPr>
                <w:rFonts w:ascii="Arial" w:hAnsi="Arial" w:cs="Arial"/>
                <w:sz w:val="21"/>
                <w:szCs w:val="21"/>
              </w:rPr>
            </w:pPr>
          </w:p>
        </w:tc>
        <w:tc>
          <w:tcPr>
            <w:tcW w:w="2561" w:type="pct"/>
            <w:gridSpan w:val="2"/>
          </w:tcPr>
          <w:p w14:paraId="2A79B8B2" w14:textId="35B2DF70"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Pengumpulan, pembayaran akhir dan penegakan hukum</w:t>
            </w:r>
          </w:p>
        </w:tc>
      </w:tr>
      <w:tr w:rsidR="00862B0B" w:rsidRPr="00A67277" w14:paraId="637A6977" w14:textId="77777777" w:rsidTr="00862B0B">
        <w:tc>
          <w:tcPr>
            <w:tcW w:w="2270" w:type="pct"/>
          </w:tcPr>
          <w:p w14:paraId="796D7D9D" w14:textId="77777777" w:rsidR="00862B0B" w:rsidRPr="00A67277" w:rsidRDefault="00862B0B" w:rsidP="00862B0B">
            <w:pPr>
              <w:pStyle w:val="Level3"/>
              <w:numPr>
                <w:ilvl w:val="0"/>
                <w:numId w:val="711"/>
              </w:numPr>
              <w:spacing w:before="60" w:after="60"/>
              <w:ind w:left="993" w:hanging="644"/>
              <w:rPr>
                <w:rFonts w:cs="Arial"/>
                <w:b/>
              </w:rPr>
            </w:pPr>
            <w:r w:rsidRPr="00A67277">
              <w:rPr>
                <w:rFonts w:cs="Arial"/>
                <w:b/>
              </w:rPr>
              <w:t>Collection</w:t>
            </w:r>
          </w:p>
        </w:tc>
        <w:tc>
          <w:tcPr>
            <w:tcW w:w="169" w:type="pct"/>
          </w:tcPr>
          <w:p w14:paraId="7878F8A0" w14:textId="77777777" w:rsidR="00862B0B" w:rsidRPr="00A67277" w:rsidRDefault="00862B0B" w:rsidP="00862B0B">
            <w:pPr>
              <w:spacing w:before="60" w:after="60"/>
              <w:rPr>
                <w:rFonts w:ascii="Arial" w:hAnsi="Arial" w:cs="Arial"/>
                <w:sz w:val="21"/>
                <w:szCs w:val="21"/>
              </w:rPr>
            </w:pPr>
          </w:p>
        </w:tc>
        <w:tc>
          <w:tcPr>
            <w:tcW w:w="2561" w:type="pct"/>
            <w:gridSpan w:val="2"/>
          </w:tcPr>
          <w:p w14:paraId="53E7176C" w14:textId="77777777" w:rsidR="00862B0B" w:rsidRPr="00A67277" w:rsidRDefault="00862B0B" w:rsidP="00862B0B">
            <w:pPr>
              <w:pStyle w:val="Level3"/>
              <w:numPr>
                <w:ilvl w:val="0"/>
                <w:numId w:val="712"/>
              </w:numPr>
              <w:spacing w:before="60" w:after="60"/>
              <w:ind w:left="1024" w:hanging="643"/>
              <w:rPr>
                <w:rFonts w:cs="Arial"/>
                <w:b/>
              </w:rPr>
            </w:pPr>
            <w:r w:rsidRPr="00A67277">
              <w:rPr>
                <w:rFonts w:cs="Arial"/>
                <w:b/>
              </w:rPr>
              <w:t>Pengumpulan</w:t>
            </w:r>
          </w:p>
        </w:tc>
      </w:tr>
      <w:tr w:rsidR="00862B0B" w:rsidRPr="00A67277" w14:paraId="46A039C7" w14:textId="77777777" w:rsidTr="00862B0B">
        <w:tc>
          <w:tcPr>
            <w:tcW w:w="2270" w:type="pct"/>
          </w:tcPr>
          <w:p w14:paraId="6A2CF543" w14:textId="77777777" w:rsidR="00862B0B" w:rsidRPr="00A67277" w:rsidRDefault="00862B0B" w:rsidP="00862B0B">
            <w:pPr>
              <w:pStyle w:val="Level3"/>
              <w:numPr>
                <w:ilvl w:val="2"/>
                <w:numId w:val="713"/>
              </w:numPr>
              <w:spacing w:before="60" w:after="60"/>
              <w:ind w:left="1428" w:hanging="435"/>
              <w:rPr>
                <w:rFonts w:cs="Arial"/>
              </w:rPr>
            </w:pPr>
            <w:r w:rsidRPr="00A67277">
              <w:rPr>
                <w:rFonts w:cs="Arial"/>
              </w:rPr>
              <w:t>As of the Commercial Operation Date, IBE shall operate the Facility for securing electronic toll collection at the Toll Roads in accordance with the Key Performance Indicators.</w:t>
            </w:r>
          </w:p>
        </w:tc>
        <w:tc>
          <w:tcPr>
            <w:tcW w:w="169" w:type="pct"/>
          </w:tcPr>
          <w:p w14:paraId="59C9EEEB" w14:textId="77777777" w:rsidR="00862B0B" w:rsidRPr="00A67277" w:rsidRDefault="00862B0B" w:rsidP="00862B0B">
            <w:pPr>
              <w:spacing w:before="60" w:after="60"/>
              <w:rPr>
                <w:rFonts w:ascii="Arial" w:hAnsi="Arial" w:cs="Arial"/>
                <w:sz w:val="21"/>
                <w:szCs w:val="21"/>
              </w:rPr>
            </w:pPr>
          </w:p>
        </w:tc>
        <w:tc>
          <w:tcPr>
            <w:tcW w:w="2561" w:type="pct"/>
            <w:gridSpan w:val="2"/>
          </w:tcPr>
          <w:p w14:paraId="32DF9692" w14:textId="64F56624" w:rsidR="00862B0B" w:rsidRPr="00A67277" w:rsidRDefault="00862B0B" w:rsidP="00862B0B">
            <w:pPr>
              <w:pStyle w:val="Level3"/>
              <w:numPr>
                <w:ilvl w:val="0"/>
                <w:numId w:val="714"/>
              </w:numPr>
              <w:spacing w:before="60" w:after="60"/>
              <w:ind w:left="1449" w:hanging="425"/>
              <w:rPr>
                <w:rFonts w:cs="Arial"/>
              </w:rPr>
            </w:pPr>
            <w:r w:rsidRPr="00A67277">
              <w:rPr>
                <w:rFonts w:cs="Arial"/>
              </w:rPr>
              <w:t xml:space="preserve">Sejak Tanggal Operasi Komersial, BUP harus mengoperasikan Fasilitas untuk memastikan pengumpulan tol secara elektronik </w:t>
            </w:r>
            <w:r>
              <w:rPr>
                <w:rFonts w:cs="Arial"/>
              </w:rPr>
              <w:t>p</w:t>
            </w:r>
            <w:r w:rsidRPr="00A67277">
              <w:rPr>
                <w:rFonts w:cs="Arial"/>
              </w:rPr>
              <w:t>ada Jalan Tol sesuai dengan Indikator Kinerja Utama.</w:t>
            </w:r>
          </w:p>
        </w:tc>
      </w:tr>
      <w:tr w:rsidR="00862B0B" w:rsidRPr="00A67277" w14:paraId="342F5DD1" w14:textId="77777777" w:rsidTr="00862B0B">
        <w:tc>
          <w:tcPr>
            <w:tcW w:w="2270" w:type="pct"/>
          </w:tcPr>
          <w:p w14:paraId="0BD55FDD" w14:textId="47365147" w:rsidR="00862B0B" w:rsidRPr="00A67277" w:rsidRDefault="00862B0B" w:rsidP="00862B0B">
            <w:pPr>
              <w:pStyle w:val="Level3"/>
              <w:numPr>
                <w:ilvl w:val="2"/>
                <w:numId w:val="713"/>
              </w:numPr>
              <w:spacing w:before="60" w:after="60"/>
              <w:ind w:left="1428" w:hanging="435"/>
              <w:rPr>
                <w:rFonts w:cs="Arial"/>
              </w:rPr>
            </w:pPr>
            <w:r w:rsidRPr="00A67277">
              <w:rPr>
                <w:rFonts w:cs="Arial"/>
              </w:rPr>
              <w:t xml:space="preserve">Any toll collected shall be automatically transferred to the Toll Road </w:t>
            </w:r>
            <w:r>
              <w:rPr>
                <w:rFonts w:cs="Arial"/>
              </w:rPr>
              <w:t xml:space="preserve">Operators </w:t>
            </w:r>
            <w:r w:rsidRPr="00A67277">
              <w:rPr>
                <w:rFonts w:cs="Arial"/>
              </w:rPr>
              <w:t xml:space="preserve">and </w:t>
            </w:r>
            <w:r>
              <w:rPr>
                <w:rFonts w:cs="Arial"/>
              </w:rPr>
              <w:t xml:space="preserve">the </w:t>
            </w:r>
            <w:r w:rsidRPr="00A67277">
              <w:rPr>
                <w:rFonts w:cs="Arial"/>
              </w:rPr>
              <w:t>GCA designated bank accounts</w:t>
            </w:r>
            <w:r>
              <w:rPr>
                <w:rFonts w:cs="Arial"/>
              </w:rPr>
              <w:t>.</w:t>
            </w:r>
            <w:r w:rsidRPr="00A67277">
              <w:rPr>
                <w:rFonts w:cs="Arial"/>
              </w:rPr>
              <w:t xml:space="preserve">  </w:t>
            </w:r>
            <w:r>
              <w:rPr>
                <w:rFonts w:cs="Arial"/>
              </w:rPr>
              <w:t>T</w:t>
            </w:r>
            <w:r w:rsidRPr="00A67277">
              <w:rPr>
                <w:rFonts w:cs="Arial"/>
              </w:rPr>
              <w:t xml:space="preserve">he </w:t>
            </w:r>
            <w:r>
              <w:rPr>
                <w:rFonts w:cs="Arial"/>
              </w:rPr>
              <w:t xml:space="preserve">GCA shall inform the IBE the designated bank account of </w:t>
            </w:r>
            <w:r w:rsidRPr="00A67277">
              <w:rPr>
                <w:rFonts w:cs="Arial"/>
              </w:rPr>
              <w:t xml:space="preserve">the GCA </w:t>
            </w:r>
            <w:r>
              <w:rPr>
                <w:rFonts w:cs="Arial"/>
              </w:rPr>
              <w:t xml:space="preserve">and the Toll road operators in writing no later than </w:t>
            </w:r>
            <w:r w:rsidRPr="00A67277">
              <w:rPr>
                <w:rFonts w:cs="Arial"/>
              </w:rPr>
              <w:t xml:space="preserve">[***] Business Days before the </w:t>
            </w:r>
            <w:r>
              <w:rPr>
                <w:rFonts w:cs="Arial"/>
              </w:rPr>
              <w:t>Commercial Operation Date</w:t>
            </w:r>
            <w:r w:rsidRPr="00A67277">
              <w:rPr>
                <w:rFonts w:cs="Arial"/>
              </w:rPr>
              <w:t>.</w:t>
            </w:r>
          </w:p>
        </w:tc>
        <w:tc>
          <w:tcPr>
            <w:tcW w:w="169" w:type="pct"/>
          </w:tcPr>
          <w:p w14:paraId="13CB493A" w14:textId="77777777" w:rsidR="00862B0B" w:rsidRPr="00A67277" w:rsidRDefault="00862B0B" w:rsidP="00862B0B">
            <w:pPr>
              <w:spacing w:before="60" w:after="60"/>
              <w:rPr>
                <w:rFonts w:ascii="Arial" w:hAnsi="Arial" w:cs="Arial"/>
                <w:sz w:val="21"/>
                <w:szCs w:val="21"/>
              </w:rPr>
            </w:pPr>
          </w:p>
        </w:tc>
        <w:tc>
          <w:tcPr>
            <w:tcW w:w="2561" w:type="pct"/>
            <w:gridSpan w:val="2"/>
          </w:tcPr>
          <w:p w14:paraId="78C4E26D" w14:textId="1BE7C665" w:rsidR="00862B0B" w:rsidRPr="00A67277" w:rsidRDefault="00862B0B" w:rsidP="00862B0B">
            <w:pPr>
              <w:pStyle w:val="Level3"/>
              <w:numPr>
                <w:ilvl w:val="0"/>
                <w:numId w:val="714"/>
              </w:numPr>
              <w:spacing w:before="60" w:after="60"/>
              <w:ind w:left="1449" w:hanging="425"/>
              <w:rPr>
                <w:rFonts w:cs="Arial"/>
              </w:rPr>
            </w:pPr>
            <w:r w:rsidRPr="00A67277">
              <w:rPr>
                <w:rFonts w:cs="Arial"/>
              </w:rPr>
              <w:t xml:space="preserve">Setiap pembayaran tol yang </w:t>
            </w:r>
            <w:r>
              <w:rPr>
                <w:rFonts w:cs="Arial"/>
              </w:rPr>
              <w:t>dikumpulkan</w:t>
            </w:r>
            <w:r w:rsidRPr="00A67277">
              <w:rPr>
                <w:rFonts w:cs="Arial"/>
              </w:rPr>
              <w:t xml:space="preserve"> harus secara otomatis ditransfer kepada rekening bank yang ditentukan oleh Badan Usaha Jalan Tol dan PJPK</w:t>
            </w:r>
            <w:r>
              <w:rPr>
                <w:rFonts w:cs="Arial"/>
              </w:rPr>
              <w:t>.</w:t>
            </w:r>
            <w:r w:rsidRPr="00A67277">
              <w:rPr>
                <w:rFonts w:cs="Arial"/>
              </w:rPr>
              <w:t xml:space="preserve"> </w:t>
            </w:r>
            <w:r>
              <w:rPr>
                <w:rFonts w:cs="Arial"/>
              </w:rPr>
              <w:t xml:space="preserve">PJPK harus menginformasikan kepada BUP mengenai rekening bank yang ditentukan oleh </w:t>
            </w:r>
            <w:r w:rsidRPr="00A67277">
              <w:rPr>
                <w:rFonts w:cs="Arial"/>
              </w:rPr>
              <w:t>PJPK dan Badan Usaha Jalan Tol</w:t>
            </w:r>
            <w:r>
              <w:rPr>
                <w:rFonts w:cs="Arial"/>
              </w:rPr>
              <w:t xml:space="preserve"> secara tertulis </w:t>
            </w:r>
            <w:r w:rsidRPr="00A67277">
              <w:rPr>
                <w:rFonts w:cs="Arial"/>
              </w:rPr>
              <w:t xml:space="preserve">paling lambat [***] Hari Kerja sebelum Tanggal </w:t>
            </w:r>
            <w:r>
              <w:rPr>
                <w:rFonts w:cs="Arial"/>
              </w:rPr>
              <w:t>Operasi Komersial</w:t>
            </w:r>
            <w:r w:rsidRPr="00A67277">
              <w:rPr>
                <w:rFonts w:cs="Arial"/>
              </w:rPr>
              <w:t>.</w:t>
            </w:r>
          </w:p>
        </w:tc>
      </w:tr>
      <w:tr w:rsidR="00862B0B" w:rsidRPr="00A67277" w14:paraId="35AC77B5" w14:textId="77777777" w:rsidTr="00862B0B">
        <w:tc>
          <w:tcPr>
            <w:tcW w:w="2270" w:type="pct"/>
          </w:tcPr>
          <w:p w14:paraId="182EFC43" w14:textId="326E7EBE" w:rsidR="00862B0B" w:rsidRPr="00B64AA0" w:rsidRDefault="00862B0B" w:rsidP="00862B0B">
            <w:pPr>
              <w:pStyle w:val="Level3"/>
              <w:numPr>
                <w:ilvl w:val="2"/>
                <w:numId w:val="713"/>
              </w:numPr>
              <w:spacing w:before="60" w:after="60"/>
              <w:ind w:left="1428" w:hanging="435"/>
              <w:rPr>
                <w:rFonts w:cs="Arial"/>
              </w:rPr>
            </w:pPr>
            <w:r w:rsidRPr="00B64AA0">
              <w:rPr>
                <w:rFonts w:cs="Arial"/>
              </w:rPr>
              <w:t>The GCA shall inform the IBE the distribution of toll revenues between the GCA and the Toll Road Operators  in writing no later than [***] Business Days before the Commercial Operation Date.</w:t>
            </w:r>
          </w:p>
        </w:tc>
        <w:tc>
          <w:tcPr>
            <w:tcW w:w="169" w:type="pct"/>
          </w:tcPr>
          <w:p w14:paraId="5D9047F1" w14:textId="77777777" w:rsidR="00862B0B" w:rsidRPr="00B64AA0" w:rsidRDefault="00862B0B" w:rsidP="00862B0B">
            <w:pPr>
              <w:spacing w:before="60" w:after="60"/>
              <w:rPr>
                <w:rFonts w:ascii="Arial" w:hAnsi="Arial" w:cs="Arial"/>
                <w:sz w:val="21"/>
                <w:szCs w:val="21"/>
              </w:rPr>
            </w:pPr>
          </w:p>
        </w:tc>
        <w:tc>
          <w:tcPr>
            <w:tcW w:w="2561" w:type="pct"/>
            <w:gridSpan w:val="2"/>
          </w:tcPr>
          <w:p w14:paraId="0324CBD6" w14:textId="4915489A" w:rsidR="00862B0B" w:rsidRPr="00A67277" w:rsidRDefault="00862B0B" w:rsidP="00862B0B">
            <w:pPr>
              <w:pStyle w:val="Level3"/>
              <w:numPr>
                <w:ilvl w:val="0"/>
                <w:numId w:val="714"/>
              </w:numPr>
              <w:spacing w:before="60" w:after="60"/>
              <w:ind w:left="1449" w:hanging="425"/>
              <w:rPr>
                <w:rFonts w:cs="Arial"/>
              </w:rPr>
            </w:pPr>
            <w:r w:rsidRPr="00A67277">
              <w:rPr>
                <w:rFonts w:cs="Arial"/>
              </w:rPr>
              <w:t xml:space="preserve">PJPK harus menginformasikan kepada BUP mengenai pembagian pendapatan tol antara PJPK dan Badan Usaha Jalan Tol  secara tertulis paling lambat [***] Hari Kerja sebelum Tanggal </w:t>
            </w:r>
            <w:r>
              <w:rPr>
                <w:rFonts w:cs="Arial"/>
              </w:rPr>
              <w:t>Operasi Komersial</w:t>
            </w:r>
            <w:r w:rsidRPr="00A67277">
              <w:rPr>
                <w:rFonts w:cs="Arial"/>
              </w:rPr>
              <w:t>.</w:t>
            </w:r>
          </w:p>
        </w:tc>
      </w:tr>
      <w:tr w:rsidR="00862B0B" w:rsidRPr="00A67277" w14:paraId="29E3463B" w14:textId="77777777" w:rsidTr="00862B0B">
        <w:tc>
          <w:tcPr>
            <w:tcW w:w="2270" w:type="pct"/>
          </w:tcPr>
          <w:p w14:paraId="34791F9E" w14:textId="77777777" w:rsidR="00862B0B" w:rsidRPr="00A67277" w:rsidRDefault="00862B0B" w:rsidP="00862B0B">
            <w:pPr>
              <w:pStyle w:val="Level3"/>
              <w:numPr>
                <w:ilvl w:val="0"/>
                <w:numId w:val="711"/>
              </w:numPr>
              <w:spacing w:before="60" w:after="60"/>
              <w:ind w:left="993" w:hanging="644"/>
              <w:rPr>
                <w:rFonts w:cs="Arial"/>
                <w:b/>
              </w:rPr>
            </w:pPr>
            <w:r w:rsidRPr="00A67277">
              <w:rPr>
                <w:rFonts w:cs="Arial"/>
                <w:b/>
              </w:rPr>
              <w:t>Settlement</w:t>
            </w:r>
          </w:p>
        </w:tc>
        <w:tc>
          <w:tcPr>
            <w:tcW w:w="169" w:type="pct"/>
          </w:tcPr>
          <w:p w14:paraId="25BEB81B" w14:textId="77777777" w:rsidR="00862B0B" w:rsidRPr="00A67277" w:rsidRDefault="00862B0B" w:rsidP="00862B0B">
            <w:pPr>
              <w:spacing w:before="60" w:after="60"/>
              <w:rPr>
                <w:rFonts w:ascii="Arial" w:hAnsi="Arial" w:cs="Arial"/>
                <w:sz w:val="21"/>
                <w:szCs w:val="21"/>
              </w:rPr>
            </w:pPr>
          </w:p>
        </w:tc>
        <w:tc>
          <w:tcPr>
            <w:tcW w:w="2561" w:type="pct"/>
            <w:gridSpan w:val="2"/>
          </w:tcPr>
          <w:p w14:paraId="20A9B722" w14:textId="77777777" w:rsidR="00862B0B" w:rsidRPr="00493072" w:rsidRDefault="00862B0B" w:rsidP="00862B0B">
            <w:pPr>
              <w:pStyle w:val="Level3"/>
              <w:numPr>
                <w:ilvl w:val="0"/>
                <w:numId w:val="712"/>
              </w:numPr>
              <w:spacing w:before="60" w:after="60"/>
              <w:ind w:left="1024" w:hanging="643"/>
              <w:rPr>
                <w:rFonts w:cs="Arial"/>
                <w:b/>
                <w:i/>
                <w:iCs/>
              </w:rPr>
            </w:pPr>
            <w:r w:rsidRPr="00493072">
              <w:rPr>
                <w:rFonts w:cs="Arial"/>
                <w:b/>
                <w:i/>
                <w:iCs/>
              </w:rPr>
              <w:t>Settlement</w:t>
            </w:r>
          </w:p>
        </w:tc>
      </w:tr>
      <w:tr w:rsidR="00862B0B" w:rsidRPr="00A67277" w14:paraId="33D9B2D3" w14:textId="77777777" w:rsidTr="00862B0B">
        <w:tc>
          <w:tcPr>
            <w:tcW w:w="2270" w:type="pct"/>
          </w:tcPr>
          <w:p w14:paraId="0F0A05BA" w14:textId="545494C9" w:rsidR="00862B0B" w:rsidRPr="00A67277" w:rsidRDefault="00862B0B" w:rsidP="00862B0B">
            <w:pPr>
              <w:pStyle w:val="Level3"/>
              <w:numPr>
                <w:ilvl w:val="2"/>
                <w:numId w:val="716"/>
              </w:numPr>
              <w:spacing w:before="60" w:after="60"/>
              <w:ind w:hanging="424"/>
              <w:rPr>
                <w:rFonts w:cs="Arial"/>
              </w:rPr>
            </w:pPr>
            <w:r w:rsidRPr="00A67277">
              <w:rPr>
                <w:rFonts w:cs="Arial"/>
              </w:rPr>
              <w:t xml:space="preserve">The IBE must ensure that the settlement process for the collected tolls can be completed in accordance with the Key Performance Indicators. </w:t>
            </w:r>
          </w:p>
        </w:tc>
        <w:tc>
          <w:tcPr>
            <w:tcW w:w="169" w:type="pct"/>
          </w:tcPr>
          <w:p w14:paraId="0E8A5E34" w14:textId="77777777" w:rsidR="00862B0B" w:rsidRPr="00A67277" w:rsidRDefault="00862B0B" w:rsidP="00862B0B">
            <w:pPr>
              <w:spacing w:before="60" w:after="60"/>
              <w:rPr>
                <w:rFonts w:ascii="Arial" w:hAnsi="Arial" w:cs="Arial"/>
                <w:sz w:val="21"/>
                <w:szCs w:val="21"/>
              </w:rPr>
            </w:pPr>
          </w:p>
        </w:tc>
        <w:tc>
          <w:tcPr>
            <w:tcW w:w="2561" w:type="pct"/>
            <w:gridSpan w:val="2"/>
          </w:tcPr>
          <w:p w14:paraId="6D4CBC1E" w14:textId="77777777" w:rsidR="00862B0B" w:rsidRPr="00A67277" w:rsidRDefault="00862B0B" w:rsidP="00862B0B">
            <w:pPr>
              <w:pStyle w:val="Level3"/>
              <w:numPr>
                <w:ilvl w:val="0"/>
                <w:numId w:val="715"/>
              </w:numPr>
              <w:spacing w:before="60" w:after="60"/>
              <w:ind w:left="1449"/>
              <w:rPr>
                <w:rFonts w:cs="Arial"/>
              </w:rPr>
            </w:pPr>
            <w:r w:rsidRPr="00A67277">
              <w:rPr>
                <w:rFonts w:cs="Arial"/>
              </w:rPr>
              <w:t xml:space="preserve">BUP harus memastikan bahwa proses pembayaran akhir atas tol yang dikumpulkan dapat diselesaikan sesuai dengan Indikator Kinerja Utama. </w:t>
            </w:r>
          </w:p>
        </w:tc>
      </w:tr>
      <w:tr w:rsidR="00862B0B" w:rsidRPr="00A67277" w14:paraId="15D65193" w14:textId="77777777" w:rsidTr="00862B0B">
        <w:tc>
          <w:tcPr>
            <w:tcW w:w="2270" w:type="pct"/>
          </w:tcPr>
          <w:p w14:paraId="41AE2018" w14:textId="6E05DB2C" w:rsidR="00862B0B" w:rsidRPr="00A67277" w:rsidRDefault="00862B0B" w:rsidP="00862B0B">
            <w:pPr>
              <w:pStyle w:val="Level3"/>
              <w:numPr>
                <w:ilvl w:val="2"/>
                <w:numId w:val="716"/>
              </w:numPr>
              <w:spacing w:before="60" w:after="60"/>
              <w:ind w:left="1428" w:hanging="435"/>
              <w:rPr>
                <w:rFonts w:cs="Arial"/>
              </w:rPr>
            </w:pPr>
            <w:r w:rsidRPr="00A67277">
              <w:rPr>
                <w:rFonts w:cs="Arial"/>
              </w:rPr>
              <w:t>The IBE must provide data relating to the settlement, including data on the number of vehicles, types of vehicles, the amount of tolls collected and the distribution of tolls that have been made in electronic basis every Month no later than [****] Business Days in the following Month.</w:t>
            </w:r>
          </w:p>
        </w:tc>
        <w:tc>
          <w:tcPr>
            <w:tcW w:w="169" w:type="pct"/>
          </w:tcPr>
          <w:p w14:paraId="50121195" w14:textId="77777777" w:rsidR="00862B0B" w:rsidRPr="00A67277" w:rsidRDefault="00862B0B" w:rsidP="00862B0B">
            <w:pPr>
              <w:spacing w:before="60" w:after="60"/>
              <w:rPr>
                <w:rFonts w:ascii="Arial" w:hAnsi="Arial" w:cs="Arial"/>
                <w:sz w:val="21"/>
                <w:szCs w:val="21"/>
              </w:rPr>
            </w:pPr>
          </w:p>
        </w:tc>
        <w:tc>
          <w:tcPr>
            <w:tcW w:w="2561" w:type="pct"/>
            <w:gridSpan w:val="2"/>
          </w:tcPr>
          <w:p w14:paraId="60396B4D" w14:textId="77777777" w:rsidR="00862B0B" w:rsidRPr="00A67277" w:rsidRDefault="00862B0B" w:rsidP="00862B0B">
            <w:pPr>
              <w:pStyle w:val="Level3"/>
              <w:numPr>
                <w:ilvl w:val="0"/>
                <w:numId w:val="715"/>
              </w:numPr>
              <w:spacing w:before="60" w:after="60"/>
              <w:ind w:left="1449" w:hanging="425"/>
              <w:rPr>
                <w:rFonts w:cs="Arial"/>
              </w:rPr>
            </w:pPr>
            <w:r w:rsidRPr="00A67277">
              <w:rPr>
                <w:rFonts w:cs="Arial"/>
              </w:rPr>
              <w:t>BUP harus menyediakan data sehubungan dengan pembayaran akhir yang telah dilakukan, termasuk data mengenai jumlah kendaraan, jenis kendaraan, jumlah tol yang dikumpulkan dan pembagian tol yang telah dilakukan secara elekronik setiap bulan paling lambat [****] Hari Kerja pada bulan berikutnya.</w:t>
            </w:r>
          </w:p>
        </w:tc>
      </w:tr>
      <w:tr w:rsidR="00862B0B" w:rsidRPr="00A67277" w14:paraId="04E84648" w14:textId="77777777" w:rsidTr="00862B0B">
        <w:tc>
          <w:tcPr>
            <w:tcW w:w="2270" w:type="pct"/>
          </w:tcPr>
          <w:p w14:paraId="5A043DC2" w14:textId="77777777" w:rsidR="00862B0B" w:rsidRPr="00A67277" w:rsidRDefault="00862B0B" w:rsidP="00862B0B">
            <w:pPr>
              <w:pStyle w:val="Level3"/>
              <w:numPr>
                <w:ilvl w:val="0"/>
                <w:numId w:val="711"/>
              </w:numPr>
              <w:spacing w:before="60" w:after="60"/>
              <w:ind w:left="993" w:hanging="644"/>
              <w:rPr>
                <w:rFonts w:cs="Arial"/>
              </w:rPr>
            </w:pPr>
            <w:r w:rsidRPr="00A67277">
              <w:rPr>
                <w:rFonts w:cs="Arial"/>
                <w:b/>
              </w:rPr>
              <w:t>Enforcement</w:t>
            </w:r>
          </w:p>
        </w:tc>
        <w:tc>
          <w:tcPr>
            <w:tcW w:w="169" w:type="pct"/>
          </w:tcPr>
          <w:p w14:paraId="6FC20EA5" w14:textId="77777777" w:rsidR="00862B0B" w:rsidRPr="00A67277" w:rsidRDefault="00862B0B" w:rsidP="00862B0B">
            <w:pPr>
              <w:spacing w:before="60" w:after="60"/>
              <w:rPr>
                <w:rFonts w:ascii="Arial" w:hAnsi="Arial" w:cs="Arial"/>
                <w:sz w:val="21"/>
                <w:szCs w:val="21"/>
              </w:rPr>
            </w:pPr>
          </w:p>
        </w:tc>
        <w:tc>
          <w:tcPr>
            <w:tcW w:w="2561" w:type="pct"/>
            <w:gridSpan w:val="2"/>
          </w:tcPr>
          <w:p w14:paraId="02B8C19D" w14:textId="1FBB31F1" w:rsidR="00862B0B" w:rsidRPr="00A67277" w:rsidRDefault="00862B0B" w:rsidP="00862B0B">
            <w:pPr>
              <w:pStyle w:val="Level3"/>
              <w:numPr>
                <w:ilvl w:val="0"/>
                <w:numId w:val="712"/>
              </w:numPr>
              <w:spacing w:before="60" w:after="60"/>
              <w:ind w:left="1024" w:hanging="643"/>
              <w:rPr>
                <w:b/>
              </w:rPr>
            </w:pPr>
            <w:r w:rsidRPr="00A67277">
              <w:rPr>
                <w:b/>
              </w:rPr>
              <w:t>Penegakan Hukum</w:t>
            </w:r>
          </w:p>
        </w:tc>
      </w:tr>
      <w:tr w:rsidR="00862B0B" w:rsidRPr="00A67277" w14:paraId="5A2402B1" w14:textId="77777777" w:rsidTr="00862B0B">
        <w:tc>
          <w:tcPr>
            <w:tcW w:w="2270" w:type="pct"/>
          </w:tcPr>
          <w:p w14:paraId="5DDCEC02" w14:textId="638B450E" w:rsidR="00862B0B" w:rsidRPr="00A67277" w:rsidRDefault="00862B0B" w:rsidP="00862B0B">
            <w:pPr>
              <w:pStyle w:val="Level3"/>
              <w:numPr>
                <w:ilvl w:val="2"/>
                <w:numId w:val="717"/>
              </w:numPr>
              <w:spacing w:before="60" w:after="60"/>
              <w:ind w:hanging="424"/>
              <w:rPr>
                <w:rFonts w:cs="Arial"/>
              </w:rPr>
            </w:pPr>
            <w:r w:rsidRPr="00A67277">
              <w:rPr>
                <w:rFonts w:cs="Arial"/>
              </w:rPr>
              <w:t xml:space="preserve">BUP shall ensure that the Facility is able to capture </w:t>
            </w:r>
            <w:r>
              <w:rPr>
                <w:rFonts w:cs="Arial"/>
              </w:rPr>
              <w:t xml:space="preserve">unauthorized </w:t>
            </w:r>
            <w:r w:rsidRPr="00A67277">
              <w:rPr>
                <w:rFonts w:cs="Arial"/>
              </w:rPr>
              <w:t xml:space="preserve">toll road usage by the Toll Road Users. </w:t>
            </w:r>
          </w:p>
        </w:tc>
        <w:tc>
          <w:tcPr>
            <w:tcW w:w="169" w:type="pct"/>
          </w:tcPr>
          <w:p w14:paraId="7F56EDDF" w14:textId="77777777" w:rsidR="00862B0B" w:rsidRPr="00A67277" w:rsidRDefault="00862B0B" w:rsidP="00862B0B">
            <w:pPr>
              <w:spacing w:before="60" w:after="60"/>
              <w:rPr>
                <w:rFonts w:ascii="Arial" w:hAnsi="Arial" w:cs="Arial"/>
                <w:sz w:val="21"/>
                <w:szCs w:val="21"/>
              </w:rPr>
            </w:pPr>
          </w:p>
        </w:tc>
        <w:tc>
          <w:tcPr>
            <w:tcW w:w="2561" w:type="pct"/>
            <w:gridSpan w:val="2"/>
          </w:tcPr>
          <w:p w14:paraId="44F084D0" w14:textId="1DBA626D" w:rsidR="00862B0B" w:rsidRPr="00A67277" w:rsidRDefault="00862B0B" w:rsidP="00862B0B">
            <w:pPr>
              <w:pStyle w:val="Level3"/>
              <w:numPr>
                <w:ilvl w:val="0"/>
                <w:numId w:val="718"/>
              </w:numPr>
              <w:spacing w:before="60" w:after="60"/>
              <w:ind w:left="1449" w:hanging="425"/>
              <w:rPr>
                <w:rFonts w:cs="Arial"/>
              </w:rPr>
            </w:pPr>
            <w:r w:rsidRPr="00A67277">
              <w:rPr>
                <w:rFonts w:cs="Arial"/>
              </w:rPr>
              <w:t xml:space="preserve">BUP harus memastikan bahwa Fasilitas dapat </w:t>
            </w:r>
            <w:r>
              <w:rPr>
                <w:rFonts w:cs="Arial"/>
              </w:rPr>
              <w:t>mencatat</w:t>
            </w:r>
            <w:r w:rsidRPr="00A67277">
              <w:rPr>
                <w:rFonts w:cs="Arial"/>
              </w:rPr>
              <w:t xml:space="preserve"> penggunaan </w:t>
            </w:r>
            <w:r>
              <w:rPr>
                <w:rFonts w:cs="Arial"/>
              </w:rPr>
              <w:t xml:space="preserve">tanpa hak </w:t>
            </w:r>
            <w:r w:rsidRPr="00A67277">
              <w:rPr>
                <w:rFonts w:cs="Arial"/>
              </w:rPr>
              <w:t xml:space="preserve">jalan tol oleh Pengguna Jalan Tol. </w:t>
            </w:r>
          </w:p>
        </w:tc>
      </w:tr>
      <w:tr w:rsidR="00862B0B" w:rsidRPr="00A67277" w14:paraId="6F53AE8A" w14:textId="77777777" w:rsidTr="00862B0B">
        <w:tc>
          <w:tcPr>
            <w:tcW w:w="2270" w:type="pct"/>
          </w:tcPr>
          <w:p w14:paraId="3288260E" w14:textId="5B1C5D99" w:rsidR="00862B0B" w:rsidRPr="00A67277" w:rsidRDefault="00862B0B" w:rsidP="00862B0B">
            <w:pPr>
              <w:pStyle w:val="Level3"/>
              <w:numPr>
                <w:ilvl w:val="2"/>
                <w:numId w:val="717"/>
              </w:numPr>
              <w:spacing w:before="60" w:after="60"/>
              <w:ind w:hanging="424"/>
              <w:rPr>
                <w:rFonts w:cs="Arial"/>
              </w:rPr>
            </w:pPr>
            <w:r w:rsidRPr="00A67277">
              <w:rPr>
                <w:rFonts w:cs="Arial"/>
              </w:rPr>
              <w:t xml:space="preserve">The Facility must be able to provide sufficient data </w:t>
            </w:r>
            <w:r>
              <w:rPr>
                <w:rFonts w:cs="Arial"/>
              </w:rPr>
              <w:t xml:space="preserve">in relation to paragraph (a) as </w:t>
            </w:r>
            <w:r w:rsidRPr="00A67277">
              <w:rPr>
                <w:rFonts w:cs="Arial"/>
              </w:rPr>
              <w:t xml:space="preserve">required by the Indonesian National Police or other authority to enable law enforcement. </w:t>
            </w:r>
          </w:p>
        </w:tc>
        <w:tc>
          <w:tcPr>
            <w:tcW w:w="169" w:type="pct"/>
          </w:tcPr>
          <w:p w14:paraId="2C28B430" w14:textId="77777777" w:rsidR="00862B0B" w:rsidRPr="00A67277" w:rsidRDefault="00862B0B" w:rsidP="00862B0B">
            <w:pPr>
              <w:spacing w:before="60" w:after="60"/>
              <w:rPr>
                <w:rFonts w:ascii="Arial" w:hAnsi="Arial" w:cs="Arial"/>
                <w:sz w:val="21"/>
                <w:szCs w:val="21"/>
              </w:rPr>
            </w:pPr>
          </w:p>
        </w:tc>
        <w:tc>
          <w:tcPr>
            <w:tcW w:w="2561" w:type="pct"/>
            <w:gridSpan w:val="2"/>
          </w:tcPr>
          <w:p w14:paraId="30956BC2" w14:textId="75002EE1" w:rsidR="00862B0B" w:rsidRPr="00A67277" w:rsidRDefault="00862B0B" w:rsidP="00862B0B">
            <w:pPr>
              <w:pStyle w:val="Level3"/>
              <w:numPr>
                <w:ilvl w:val="0"/>
                <w:numId w:val="718"/>
              </w:numPr>
              <w:spacing w:before="60" w:after="60"/>
              <w:ind w:left="1449" w:hanging="425"/>
              <w:rPr>
                <w:rFonts w:cs="Arial"/>
              </w:rPr>
            </w:pPr>
            <w:r w:rsidRPr="00A67277">
              <w:rPr>
                <w:rFonts w:cs="Arial"/>
              </w:rPr>
              <w:t>Fasilitas harus dapat menyediakan data yang mencukupi</w:t>
            </w:r>
            <w:r>
              <w:rPr>
                <w:rFonts w:cs="Arial"/>
              </w:rPr>
              <w:t xml:space="preserve"> sehubungan dengan paragraf (a)</w:t>
            </w:r>
            <w:r w:rsidRPr="00A67277">
              <w:rPr>
                <w:rFonts w:cs="Arial"/>
              </w:rPr>
              <w:t xml:space="preserve"> yang diperlukan oleh Kepolisian Republik Indonesia atau otoritas lainnya untuk pelaksanaan penegakan hukum. </w:t>
            </w:r>
          </w:p>
        </w:tc>
      </w:tr>
      <w:tr w:rsidR="00862B0B" w:rsidRPr="00A67277" w14:paraId="73EAB513" w14:textId="77777777" w:rsidTr="00862B0B">
        <w:tc>
          <w:tcPr>
            <w:tcW w:w="2270" w:type="pct"/>
            <w:shd w:val="clear" w:color="auto" w:fill="auto"/>
          </w:tcPr>
          <w:p w14:paraId="785BE5C1" w14:textId="55E78773" w:rsidR="00862B0B" w:rsidRPr="00A67277" w:rsidRDefault="00862B0B" w:rsidP="00862B0B">
            <w:pPr>
              <w:pStyle w:val="Level3"/>
              <w:numPr>
                <w:ilvl w:val="2"/>
                <w:numId w:val="717"/>
              </w:numPr>
              <w:spacing w:before="60" w:after="60"/>
              <w:ind w:hanging="424"/>
              <w:rPr>
                <w:rFonts w:cs="Arial"/>
              </w:rPr>
            </w:pPr>
            <w:r w:rsidRPr="00A67277">
              <w:rPr>
                <w:rFonts w:cs="Arial"/>
              </w:rPr>
              <w:t>The terms and conditions for interfacing between the Facility and the system in the Indonesian National Police or other enforcement authority must be agreed between the GCA, the Indonesian National Police or other enforcement authority</w:t>
            </w:r>
            <w:r>
              <w:rPr>
                <w:rFonts w:cs="Arial"/>
              </w:rPr>
              <w:t xml:space="preserve"> </w:t>
            </w:r>
            <w:r w:rsidRPr="00A67277">
              <w:rPr>
                <w:rFonts w:cs="Arial"/>
              </w:rPr>
              <w:t>and the IBE</w:t>
            </w:r>
            <w:r>
              <w:rPr>
                <w:rFonts w:cs="Arial"/>
              </w:rPr>
              <w:t xml:space="preserve"> under the Law Enforcement Agreement</w:t>
            </w:r>
            <w:r w:rsidRPr="00A67277">
              <w:rPr>
                <w:rFonts w:cs="Arial"/>
              </w:rPr>
              <w:t xml:space="preserve"> before the Effective Date. </w:t>
            </w:r>
          </w:p>
        </w:tc>
        <w:tc>
          <w:tcPr>
            <w:tcW w:w="169" w:type="pct"/>
          </w:tcPr>
          <w:p w14:paraId="788A2674" w14:textId="77777777" w:rsidR="00862B0B" w:rsidRPr="00A67277" w:rsidRDefault="00862B0B" w:rsidP="00862B0B">
            <w:pPr>
              <w:spacing w:before="60" w:after="60"/>
              <w:rPr>
                <w:rFonts w:ascii="Arial" w:hAnsi="Arial" w:cs="Arial"/>
                <w:sz w:val="21"/>
                <w:szCs w:val="21"/>
              </w:rPr>
            </w:pPr>
          </w:p>
        </w:tc>
        <w:tc>
          <w:tcPr>
            <w:tcW w:w="2561" w:type="pct"/>
            <w:gridSpan w:val="2"/>
          </w:tcPr>
          <w:p w14:paraId="66F22E65" w14:textId="28C0EFCA" w:rsidR="00862B0B" w:rsidRPr="00A67277" w:rsidRDefault="00862B0B" w:rsidP="00862B0B">
            <w:pPr>
              <w:pStyle w:val="Level3"/>
              <w:numPr>
                <w:ilvl w:val="0"/>
                <w:numId w:val="718"/>
              </w:numPr>
              <w:spacing w:before="60" w:after="60"/>
              <w:ind w:left="1449" w:hanging="425"/>
            </w:pPr>
            <w:r w:rsidRPr="00A67277">
              <w:rPr>
                <w:rFonts w:cs="Arial"/>
              </w:rPr>
              <w:t xml:space="preserve">Persyaratan dan ketentuan untuk </w:t>
            </w:r>
            <w:r w:rsidRPr="00A67277">
              <w:rPr>
                <w:rFonts w:cs="Arial"/>
                <w:i/>
              </w:rPr>
              <w:t>interface</w:t>
            </w:r>
            <w:r w:rsidRPr="00A67277">
              <w:rPr>
                <w:rFonts w:cs="Arial"/>
              </w:rPr>
              <w:t xml:space="preserve"> antara Fasilitas dengan sistem yang terdapat pada Kepolisian Republik Indonesia atau otoritas penegak hukum lainnya harus disepakati antara PJPK, Kepolisian Republik Indonesia atau otoritas penegak hukum lainnya dan BUP </w:t>
            </w:r>
            <w:r>
              <w:rPr>
                <w:rFonts w:cs="Arial"/>
              </w:rPr>
              <w:t xml:space="preserve"> berdasarkan Perjanjian Penegakan Hukum </w:t>
            </w:r>
            <w:r w:rsidRPr="00A67277">
              <w:rPr>
                <w:rFonts w:cs="Arial"/>
              </w:rPr>
              <w:t>sebelum Tanggal Efektif.</w:t>
            </w:r>
          </w:p>
        </w:tc>
      </w:tr>
      <w:tr w:rsidR="00862B0B" w:rsidRPr="00A67277" w14:paraId="7D637E5C" w14:textId="77777777" w:rsidTr="00862B0B">
        <w:tc>
          <w:tcPr>
            <w:tcW w:w="2270" w:type="pct"/>
            <w:shd w:val="clear" w:color="auto" w:fill="auto"/>
          </w:tcPr>
          <w:p w14:paraId="5CA61E90" w14:textId="5728C10F" w:rsidR="00862B0B" w:rsidRPr="00A67277" w:rsidRDefault="00862B0B" w:rsidP="00862B0B">
            <w:pPr>
              <w:pStyle w:val="Level3"/>
              <w:numPr>
                <w:ilvl w:val="2"/>
                <w:numId w:val="717"/>
              </w:numPr>
              <w:spacing w:before="60" w:after="60"/>
              <w:ind w:hanging="424"/>
              <w:rPr>
                <w:rFonts w:cs="Arial"/>
              </w:rPr>
            </w:pPr>
            <w:r>
              <w:rPr>
                <w:rFonts w:cs="Arial"/>
              </w:rPr>
              <w:t xml:space="preserve">The GCA shall ensure that </w:t>
            </w:r>
            <w:r w:rsidRPr="00A67277">
              <w:rPr>
                <w:rFonts w:cs="Arial"/>
              </w:rPr>
              <w:t>the Indonesian National Police or other enforcement authority</w:t>
            </w:r>
            <w:r>
              <w:rPr>
                <w:rFonts w:cs="Arial"/>
              </w:rPr>
              <w:t xml:space="preserve"> will execute the Law Enforcement Agreement and cooperate with IBE for the interfacing of the Facility as provided in paragraph (c) above.</w:t>
            </w:r>
          </w:p>
        </w:tc>
        <w:tc>
          <w:tcPr>
            <w:tcW w:w="169" w:type="pct"/>
          </w:tcPr>
          <w:p w14:paraId="6BEF502E" w14:textId="77777777" w:rsidR="00862B0B" w:rsidRPr="00A67277" w:rsidRDefault="00862B0B" w:rsidP="00862B0B">
            <w:pPr>
              <w:spacing w:before="60" w:after="60"/>
              <w:rPr>
                <w:rFonts w:ascii="Arial" w:hAnsi="Arial" w:cs="Arial"/>
                <w:sz w:val="21"/>
                <w:szCs w:val="21"/>
              </w:rPr>
            </w:pPr>
          </w:p>
        </w:tc>
        <w:tc>
          <w:tcPr>
            <w:tcW w:w="2561" w:type="pct"/>
            <w:gridSpan w:val="2"/>
          </w:tcPr>
          <w:p w14:paraId="56E3D4B1" w14:textId="7825F66F" w:rsidR="00862B0B" w:rsidRPr="00A67277" w:rsidRDefault="00862B0B" w:rsidP="00862B0B">
            <w:pPr>
              <w:pStyle w:val="Level3"/>
              <w:numPr>
                <w:ilvl w:val="0"/>
                <w:numId w:val="718"/>
              </w:numPr>
              <w:spacing w:before="60" w:after="60"/>
              <w:ind w:left="1449" w:hanging="425"/>
              <w:rPr>
                <w:rFonts w:cs="Arial"/>
              </w:rPr>
            </w:pPr>
            <w:r>
              <w:rPr>
                <w:rFonts w:cs="Arial"/>
              </w:rPr>
              <w:t xml:space="preserve">PJPK harus memastikan bahwa </w:t>
            </w:r>
            <w:r w:rsidRPr="00A67277">
              <w:rPr>
                <w:rFonts w:cs="Arial"/>
              </w:rPr>
              <w:t xml:space="preserve"> Kepolisian Republik Indonesia atau otoritas penegak hukum lainnya</w:t>
            </w:r>
            <w:r>
              <w:rPr>
                <w:rFonts w:cs="Arial"/>
              </w:rPr>
              <w:t xml:space="preserve"> akan menandatangani Perjanjian Penegakan Hukum dan bekerja sama dengan BUP dalam rangka </w:t>
            </w:r>
            <w:r w:rsidRPr="00493072">
              <w:rPr>
                <w:rFonts w:cs="Arial"/>
                <w:i/>
              </w:rPr>
              <w:t>interface</w:t>
            </w:r>
            <w:r>
              <w:rPr>
                <w:rFonts w:cs="Arial"/>
              </w:rPr>
              <w:t xml:space="preserve"> Fasilitas sebagaimana dimaksud pada  paragraf (c) di atas.</w:t>
            </w:r>
          </w:p>
        </w:tc>
      </w:tr>
      <w:tr w:rsidR="00862B0B" w:rsidRPr="00A67277" w14:paraId="4B24AF53" w14:textId="77777777" w:rsidTr="00862B0B">
        <w:tc>
          <w:tcPr>
            <w:tcW w:w="2270" w:type="pct"/>
          </w:tcPr>
          <w:p w14:paraId="6C4ADE5A" w14:textId="7C62D40B" w:rsidR="00862B0B" w:rsidRPr="00A67277" w:rsidRDefault="00862B0B" w:rsidP="00862B0B">
            <w:pPr>
              <w:pStyle w:val="Heading1"/>
              <w:numPr>
                <w:ilvl w:val="0"/>
                <w:numId w:val="429"/>
              </w:numPr>
              <w:spacing w:before="60" w:after="60"/>
              <w:ind w:left="338"/>
              <w:rPr>
                <w:rFonts w:cs="Arial"/>
                <w:b w:val="0"/>
                <w:smallCaps w:val="0"/>
              </w:rPr>
            </w:pPr>
            <w:r w:rsidRPr="00A67277">
              <w:rPr>
                <w:rFonts w:cs="Arial"/>
                <w:lang w:val="en-US" w:eastAsia="en-US"/>
              </w:rPr>
              <w:t>Socialization for Toll Road Users and distribution of User MLFF System device</w:t>
            </w:r>
          </w:p>
        </w:tc>
        <w:tc>
          <w:tcPr>
            <w:tcW w:w="169" w:type="pct"/>
          </w:tcPr>
          <w:p w14:paraId="0F41194F" w14:textId="77777777" w:rsidR="00862B0B" w:rsidRPr="00A67277" w:rsidRDefault="00862B0B" w:rsidP="00862B0B">
            <w:pPr>
              <w:spacing w:before="60" w:after="60"/>
              <w:rPr>
                <w:rFonts w:ascii="Arial" w:hAnsi="Arial" w:cs="Arial"/>
                <w:sz w:val="21"/>
                <w:szCs w:val="21"/>
              </w:rPr>
            </w:pPr>
          </w:p>
        </w:tc>
        <w:tc>
          <w:tcPr>
            <w:tcW w:w="2561" w:type="pct"/>
            <w:gridSpan w:val="2"/>
          </w:tcPr>
          <w:p w14:paraId="4F74B3DB" w14:textId="084D8BEF" w:rsidR="00862B0B" w:rsidRPr="00A67277" w:rsidRDefault="00862B0B" w:rsidP="00862B0B">
            <w:pPr>
              <w:pStyle w:val="CentredHeading"/>
              <w:numPr>
                <w:ilvl w:val="0"/>
                <w:numId w:val="4"/>
              </w:numPr>
              <w:spacing w:before="60" w:after="60"/>
              <w:ind w:left="466" w:hanging="450"/>
              <w:jc w:val="both"/>
              <w:rPr>
                <w:rFonts w:cs="Arial"/>
                <w:lang w:val="en-US" w:eastAsia="en-US"/>
              </w:rPr>
            </w:pPr>
            <w:r w:rsidRPr="00A67277">
              <w:rPr>
                <w:rFonts w:cs="Arial"/>
                <w:lang w:val="en-US" w:eastAsia="en-US"/>
              </w:rPr>
              <w:t xml:space="preserve">Sosialisasi untuk Pengguna jalan Tol dan distribusi Perangkat sistem Mlff Pengguna  </w:t>
            </w:r>
          </w:p>
        </w:tc>
      </w:tr>
      <w:tr w:rsidR="00862B0B" w:rsidRPr="00A67277" w14:paraId="3D0E7FD8" w14:textId="77777777" w:rsidTr="00862B0B">
        <w:tc>
          <w:tcPr>
            <w:tcW w:w="2270" w:type="pct"/>
          </w:tcPr>
          <w:p w14:paraId="5966EA07" w14:textId="61F25988" w:rsidR="00862B0B" w:rsidRPr="00A67277" w:rsidRDefault="00862B0B" w:rsidP="00862B0B">
            <w:pPr>
              <w:pStyle w:val="Level3"/>
              <w:numPr>
                <w:ilvl w:val="2"/>
                <w:numId w:val="558"/>
              </w:numPr>
              <w:tabs>
                <w:tab w:val="clear" w:pos="1417"/>
                <w:tab w:val="num" w:pos="900"/>
              </w:tabs>
              <w:spacing w:before="60" w:after="60"/>
              <w:ind w:left="900" w:hanging="540"/>
              <w:rPr>
                <w:rFonts w:cs="Arial"/>
              </w:rPr>
            </w:pPr>
            <w:r w:rsidRPr="00A67277">
              <w:rPr>
                <w:rFonts w:cs="Arial"/>
              </w:rPr>
              <w:t>IBE shall carry out a nationwide communicational and educational program in accordance with Appendix 5 (</w:t>
            </w:r>
            <w:r w:rsidRPr="00A67277">
              <w:rPr>
                <w:rFonts w:cs="Arial"/>
                <w:i/>
              </w:rPr>
              <w:t>Design and Technical Specifications</w:t>
            </w:r>
            <w:r w:rsidRPr="00A67277">
              <w:rPr>
                <w:rFonts w:cs="Arial"/>
              </w:rPr>
              <w:t>) to make sure that all of the stakeholders (including Toll Road Users) are aware of their rights and duties regarding toll declaration and toll road services.</w:t>
            </w:r>
          </w:p>
        </w:tc>
        <w:tc>
          <w:tcPr>
            <w:tcW w:w="169" w:type="pct"/>
          </w:tcPr>
          <w:p w14:paraId="5C2CF771" w14:textId="77777777" w:rsidR="00862B0B" w:rsidRPr="00A67277" w:rsidRDefault="00862B0B" w:rsidP="00862B0B">
            <w:pPr>
              <w:pStyle w:val="Level3"/>
              <w:numPr>
                <w:ilvl w:val="2"/>
                <w:numId w:val="709"/>
              </w:numPr>
              <w:spacing w:before="60" w:after="60"/>
              <w:ind w:left="900" w:hanging="540"/>
              <w:rPr>
                <w:rFonts w:cs="Arial"/>
              </w:rPr>
            </w:pPr>
          </w:p>
        </w:tc>
        <w:tc>
          <w:tcPr>
            <w:tcW w:w="2561" w:type="pct"/>
            <w:gridSpan w:val="2"/>
          </w:tcPr>
          <w:p w14:paraId="441D8F47" w14:textId="29619558" w:rsidR="00862B0B" w:rsidRPr="00A67277" w:rsidRDefault="00862B0B" w:rsidP="00862B0B">
            <w:pPr>
              <w:pStyle w:val="Level3"/>
              <w:numPr>
                <w:ilvl w:val="0"/>
                <w:numId w:val="559"/>
              </w:numPr>
              <w:spacing w:before="60" w:after="60"/>
              <w:ind w:left="1024" w:hanging="567"/>
              <w:rPr>
                <w:rFonts w:cs="Arial"/>
              </w:rPr>
            </w:pPr>
            <w:r w:rsidRPr="00A67277">
              <w:rPr>
                <w:rFonts w:cs="Arial"/>
              </w:rPr>
              <w:t>BUP harus melaksanakan program komunikasi dan pendidikan secara nasional sesuai dengan Lampiran 5 (</w:t>
            </w:r>
            <w:r w:rsidRPr="00A67277">
              <w:rPr>
                <w:rFonts w:cs="Arial"/>
                <w:i/>
              </w:rPr>
              <w:t>Spesifikasi Desain dan Teknis</w:t>
            </w:r>
            <w:r w:rsidRPr="00A67277">
              <w:rPr>
                <w:rFonts w:cs="Arial"/>
              </w:rPr>
              <w:t xml:space="preserve">) untuk memastikan bahwa seluruh pemangku kepentingan (termasuk Pengguna Jalan Tol) sadar akan hak dan tugasnya mengenai </w:t>
            </w:r>
            <w:r w:rsidRPr="00A67277">
              <w:rPr>
                <w:rFonts w:cs="Arial"/>
                <w:i/>
              </w:rPr>
              <w:t>toll declaration</w:t>
            </w:r>
            <w:r w:rsidRPr="00A67277">
              <w:rPr>
                <w:rFonts w:cs="Arial"/>
              </w:rPr>
              <w:t xml:space="preserve"> dan layanan jalan tol.</w:t>
            </w:r>
          </w:p>
        </w:tc>
      </w:tr>
      <w:tr w:rsidR="00862B0B" w:rsidRPr="00A67277" w14:paraId="1F3A38DD" w14:textId="77777777" w:rsidTr="00862B0B">
        <w:tc>
          <w:tcPr>
            <w:tcW w:w="2270" w:type="pct"/>
          </w:tcPr>
          <w:p w14:paraId="704B4E45" w14:textId="5EE4DD6E" w:rsidR="00862B0B" w:rsidRPr="00A67277" w:rsidRDefault="00862B0B" w:rsidP="00862B0B">
            <w:pPr>
              <w:pStyle w:val="Level3"/>
              <w:numPr>
                <w:ilvl w:val="2"/>
                <w:numId w:val="558"/>
              </w:numPr>
              <w:tabs>
                <w:tab w:val="clear" w:pos="1417"/>
                <w:tab w:val="num" w:pos="900"/>
              </w:tabs>
              <w:spacing w:before="60" w:after="60"/>
              <w:ind w:left="900" w:hanging="540"/>
              <w:rPr>
                <w:rFonts w:cs="Arial"/>
              </w:rPr>
            </w:pPr>
            <w:r w:rsidRPr="00A67277">
              <w:rPr>
                <w:rFonts w:cs="Arial"/>
              </w:rPr>
              <w:t xml:space="preserve">In connection with the registration processes of vehicles, IBE shall make sure that </w:t>
            </w:r>
            <w:r w:rsidRPr="00A67277">
              <w:rPr>
                <w:rFonts w:cs="Arial"/>
                <w:lang w:val="en-US" w:eastAsia="en-US"/>
              </w:rPr>
              <w:t xml:space="preserve">User MLFF System </w:t>
            </w:r>
            <w:r>
              <w:rPr>
                <w:rFonts w:cs="Arial"/>
                <w:lang w:val="en-US" w:eastAsia="en-US"/>
              </w:rPr>
              <w:t>D</w:t>
            </w:r>
            <w:r w:rsidRPr="00A67277">
              <w:rPr>
                <w:rFonts w:cs="Arial"/>
                <w:lang w:val="en-US" w:eastAsia="en-US"/>
              </w:rPr>
              <w:t>evice</w:t>
            </w:r>
            <w:r w:rsidRPr="00A67277">
              <w:rPr>
                <w:rFonts w:cs="Arial"/>
              </w:rPr>
              <w:t xml:space="preserve">  are available in all customer contact points, where registration can take place.  IBE shall also cooperate with banks or other organizations to make sure that the </w:t>
            </w:r>
            <w:r w:rsidRPr="00A67277">
              <w:rPr>
                <w:rFonts w:cs="Arial"/>
                <w:lang w:val="en-US" w:eastAsia="en-US"/>
              </w:rPr>
              <w:t xml:space="preserve">User MLFF System </w:t>
            </w:r>
            <w:r>
              <w:rPr>
                <w:rFonts w:cs="Arial"/>
                <w:lang w:val="en-US" w:eastAsia="en-US"/>
              </w:rPr>
              <w:t>D</w:t>
            </w:r>
            <w:r w:rsidRPr="00A67277">
              <w:rPr>
                <w:rFonts w:cs="Arial"/>
                <w:lang w:val="en-US" w:eastAsia="en-US"/>
              </w:rPr>
              <w:t>evice</w:t>
            </w:r>
            <w:r w:rsidRPr="00A67277">
              <w:rPr>
                <w:rFonts w:cs="Arial"/>
              </w:rPr>
              <w:t xml:space="preserve"> are available on the respective parties.</w:t>
            </w:r>
          </w:p>
        </w:tc>
        <w:tc>
          <w:tcPr>
            <w:tcW w:w="169" w:type="pct"/>
          </w:tcPr>
          <w:p w14:paraId="14068DE0" w14:textId="77777777" w:rsidR="00862B0B" w:rsidRPr="00A67277" w:rsidRDefault="00862B0B" w:rsidP="00862B0B">
            <w:pPr>
              <w:pStyle w:val="Level3"/>
              <w:numPr>
                <w:ilvl w:val="2"/>
                <w:numId w:val="709"/>
              </w:numPr>
              <w:spacing w:before="60" w:after="60"/>
              <w:ind w:left="900" w:hanging="540"/>
              <w:rPr>
                <w:rFonts w:cs="Arial"/>
              </w:rPr>
            </w:pPr>
          </w:p>
        </w:tc>
        <w:tc>
          <w:tcPr>
            <w:tcW w:w="2561" w:type="pct"/>
            <w:gridSpan w:val="2"/>
          </w:tcPr>
          <w:p w14:paraId="5A7D97ED" w14:textId="2DA794FD" w:rsidR="00862B0B" w:rsidRPr="00A67277" w:rsidRDefault="00862B0B" w:rsidP="00862B0B">
            <w:pPr>
              <w:pStyle w:val="Level3"/>
              <w:numPr>
                <w:ilvl w:val="0"/>
                <w:numId w:val="559"/>
              </w:numPr>
              <w:spacing w:before="60" w:after="60"/>
              <w:ind w:left="1024" w:hanging="567"/>
              <w:rPr>
                <w:rFonts w:cs="Arial"/>
              </w:rPr>
            </w:pPr>
            <w:r w:rsidRPr="00A67277">
              <w:rPr>
                <w:rFonts w:cs="Arial"/>
              </w:rPr>
              <w:t xml:space="preserve">Sehubungan dengan proses pendaftaran kendaraan, BUP harus memastikan bahwa </w:t>
            </w:r>
            <w:r w:rsidRPr="00A67277">
              <w:rPr>
                <w:rFonts w:cs="Arial"/>
                <w:lang w:val="en-US" w:eastAsia="en-US"/>
              </w:rPr>
              <w:t xml:space="preserve">Perangkat Sistem MLFF Pengguna </w:t>
            </w:r>
            <w:r w:rsidRPr="00A67277">
              <w:rPr>
                <w:rFonts w:cs="Arial"/>
              </w:rPr>
              <w:t xml:space="preserve"> tersedia di seluruh titik kontak pelanggan, dimana pendaftaran dapat dilakukan. BUP harus bekerjasama dengan bank atau organisasi lain untuk memastikan bahwa </w:t>
            </w:r>
            <w:r w:rsidRPr="00A67277">
              <w:rPr>
                <w:rFonts w:cs="Arial"/>
                <w:lang w:val="en-US" w:eastAsia="en-US"/>
              </w:rPr>
              <w:t>Perangkat Sistem MLFF Pengguna</w:t>
            </w:r>
            <w:r w:rsidRPr="00A67277">
              <w:rPr>
                <w:rFonts w:cs="Arial"/>
              </w:rPr>
              <w:t xml:space="preserve">, tersedia pada pihak tersebut. </w:t>
            </w:r>
          </w:p>
        </w:tc>
      </w:tr>
      <w:tr w:rsidR="00862B0B" w:rsidRPr="00A67277" w14:paraId="1B248345" w14:textId="77777777" w:rsidTr="00862B0B">
        <w:tc>
          <w:tcPr>
            <w:tcW w:w="2270" w:type="pct"/>
          </w:tcPr>
          <w:p w14:paraId="17A440FE" w14:textId="77777777" w:rsidR="00862B0B" w:rsidRPr="00A67277" w:rsidRDefault="00862B0B" w:rsidP="00862B0B">
            <w:pPr>
              <w:pStyle w:val="Heading1"/>
              <w:numPr>
                <w:ilvl w:val="0"/>
                <w:numId w:val="429"/>
              </w:numPr>
              <w:spacing w:before="60" w:after="60"/>
              <w:ind w:left="338"/>
              <w:rPr>
                <w:rFonts w:cs="Arial"/>
              </w:rPr>
            </w:pPr>
            <w:r w:rsidRPr="00A67277">
              <w:rPr>
                <w:rFonts w:cs="Arial"/>
                <w:lang w:val="en-US" w:eastAsia="en-US"/>
              </w:rPr>
              <w:t>Additional Lane</w:t>
            </w:r>
          </w:p>
        </w:tc>
        <w:tc>
          <w:tcPr>
            <w:tcW w:w="169" w:type="pct"/>
          </w:tcPr>
          <w:p w14:paraId="135E076C" w14:textId="77777777" w:rsidR="00862B0B" w:rsidRPr="00A67277" w:rsidRDefault="00862B0B" w:rsidP="00862B0B">
            <w:pPr>
              <w:spacing w:before="60" w:after="60"/>
              <w:rPr>
                <w:rFonts w:ascii="Arial" w:hAnsi="Arial" w:cs="Arial"/>
                <w:sz w:val="21"/>
                <w:szCs w:val="21"/>
              </w:rPr>
            </w:pPr>
          </w:p>
        </w:tc>
        <w:tc>
          <w:tcPr>
            <w:tcW w:w="2561" w:type="pct"/>
            <w:gridSpan w:val="2"/>
          </w:tcPr>
          <w:p w14:paraId="194F8816" w14:textId="77777777"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Jalur Tambahan</w:t>
            </w:r>
          </w:p>
        </w:tc>
      </w:tr>
      <w:tr w:rsidR="00862B0B" w:rsidRPr="00A67277" w14:paraId="74C62D90" w14:textId="77777777" w:rsidTr="00862B0B">
        <w:tc>
          <w:tcPr>
            <w:tcW w:w="2270" w:type="pct"/>
          </w:tcPr>
          <w:p w14:paraId="62CCA849" w14:textId="77777777" w:rsidR="00862B0B" w:rsidRPr="00A67277" w:rsidRDefault="00862B0B" w:rsidP="00862B0B">
            <w:pPr>
              <w:pStyle w:val="Level3"/>
              <w:numPr>
                <w:ilvl w:val="2"/>
                <w:numId w:val="560"/>
              </w:numPr>
              <w:spacing w:before="60" w:after="60"/>
              <w:ind w:left="900" w:hanging="540"/>
              <w:rPr>
                <w:rFonts w:cs="Arial"/>
              </w:rPr>
            </w:pPr>
            <w:r w:rsidRPr="00A67277">
              <w:rPr>
                <w:rFonts w:cs="Arial"/>
              </w:rPr>
              <w:t>The IBE acknowledges that it is the GCA’s intention, during the Term, to procure the Service for any Additional Lane.</w:t>
            </w:r>
          </w:p>
        </w:tc>
        <w:tc>
          <w:tcPr>
            <w:tcW w:w="169" w:type="pct"/>
          </w:tcPr>
          <w:p w14:paraId="6060D787" w14:textId="77777777" w:rsidR="00862B0B" w:rsidRPr="00A67277" w:rsidRDefault="00862B0B" w:rsidP="00862B0B">
            <w:pPr>
              <w:spacing w:before="60" w:after="60"/>
              <w:rPr>
                <w:rFonts w:ascii="Arial" w:hAnsi="Arial" w:cs="Arial"/>
                <w:b/>
                <w:sz w:val="21"/>
                <w:szCs w:val="21"/>
              </w:rPr>
            </w:pPr>
          </w:p>
        </w:tc>
        <w:tc>
          <w:tcPr>
            <w:tcW w:w="2561" w:type="pct"/>
            <w:gridSpan w:val="2"/>
          </w:tcPr>
          <w:p w14:paraId="7E393C2B" w14:textId="77777777" w:rsidR="00862B0B" w:rsidRPr="00A67277" w:rsidRDefault="00862B0B" w:rsidP="00862B0B">
            <w:pPr>
              <w:pStyle w:val="Level3"/>
              <w:numPr>
                <w:ilvl w:val="0"/>
                <w:numId w:val="561"/>
              </w:numPr>
              <w:spacing w:before="60" w:after="60"/>
              <w:ind w:left="1024" w:hanging="567"/>
              <w:rPr>
                <w:rFonts w:cs="Arial"/>
              </w:rPr>
            </w:pPr>
            <w:r w:rsidRPr="00A67277">
              <w:rPr>
                <w:rFonts w:cs="Arial"/>
              </w:rPr>
              <w:t xml:space="preserve">BUP mengakui bahwa PJPK memiliki tujuan, selama Jangka Waktu, memberikan Layanan untuk setiap Jalur Tambahan. </w:t>
            </w:r>
          </w:p>
        </w:tc>
      </w:tr>
      <w:tr w:rsidR="00862B0B" w:rsidRPr="00A67277" w14:paraId="7B78080D" w14:textId="77777777" w:rsidTr="00862B0B">
        <w:tc>
          <w:tcPr>
            <w:tcW w:w="2270" w:type="pct"/>
          </w:tcPr>
          <w:p w14:paraId="71CED589" w14:textId="3EF91B08" w:rsidR="00862B0B" w:rsidRPr="00A67277" w:rsidRDefault="00862B0B" w:rsidP="00862B0B">
            <w:pPr>
              <w:pStyle w:val="Level3"/>
              <w:numPr>
                <w:ilvl w:val="2"/>
                <w:numId w:val="560"/>
              </w:numPr>
              <w:spacing w:before="60" w:after="60"/>
              <w:ind w:left="900" w:hanging="540"/>
              <w:rPr>
                <w:rFonts w:cs="Arial"/>
              </w:rPr>
            </w:pPr>
            <w:r w:rsidRPr="00A67277">
              <w:rPr>
                <w:rFonts w:cs="Arial"/>
              </w:rPr>
              <w:t xml:space="preserve">The Service for the Additional Lane shall (i) utilize GNSS system; (ii) has the same technical specifications with the existing Facility; (iii) be connected to the existing Facility; and (iv) be subject to the Key Performance Indicators. </w:t>
            </w:r>
          </w:p>
        </w:tc>
        <w:tc>
          <w:tcPr>
            <w:tcW w:w="169" w:type="pct"/>
          </w:tcPr>
          <w:p w14:paraId="26E2DC16" w14:textId="77777777" w:rsidR="00862B0B" w:rsidRPr="00A67277" w:rsidRDefault="00862B0B" w:rsidP="00862B0B">
            <w:pPr>
              <w:spacing w:before="60" w:after="60"/>
              <w:rPr>
                <w:rFonts w:ascii="Arial" w:hAnsi="Arial" w:cs="Arial"/>
                <w:b/>
                <w:sz w:val="21"/>
                <w:szCs w:val="21"/>
              </w:rPr>
            </w:pPr>
          </w:p>
        </w:tc>
        <w:tc>
          <w:tcPr>
            <w:tcW w:w="2561" w:type="pct"/>
            <w:gridSpan w:val="2"/>
          </w:tcPr>
          <w:p w14:paraId="68220072" w14:textId="77777777" w:rsidR="00862B0B" w:rsidRPr="00A67277" w:rsidRDefault="00862B0B" w:rsidP="00862B0B">
            <w:pPr>
              <w:pStyle w:val="Level3"/>
              <w:numPr>
                <w:ilvl w:val="0"/>
                <w:numId w:val="561"/>
              </w:numPr>
              <w:spacing w:before="60" w:after="60"/>
              <w:ind w:left="1024" w:hanging="567"/>
              <w:rPr>
                <w:rFonts w:cs="Arial"/>
              </w:rPr>
            </w:pPr>
            <w:r w:rsidRPr="00A67277">
              <w:rPr>
                <w:rFonts w:cs="Arial"/>
              </w:rPr>
              <w:t>Layanan untuk Jalur Tambahan harus (i) menggunakan sistem GNSS; (ii) memiliki spesifikasi teknis yang sama dengan Fasilitas eksisting; (iii) tersambung ke Fasilitas eksisting; dan (iv) tunduk pada Indikator Kinerja Utama.</w:t>
            </w:r>
          </w:p>
        </w:tc>
      </w:tr>
      <w:tr w:rsidR="00862B0B" w:rsidRPr="00A67277" w14:paraId="4F5EAACB" w14:textId="77777777" w:rsidTr="00862B0B">
        <w:tc>
          <w:tcPr>
            <w:tcW w:w="2270" w:type="pct"/>
          </w:tcPr>
          <w:p w14:paraId="46D9D77A" w14:textId="2398A4B9" w:rsidR="00862B0B" w:rsidRPr="00A67277" w:rsidRDefault="00862B0B" w:rsidP="00862B0B">
            <w:pPr>
              <w:pStyle w:val="Level3"/>
              <w:numPr>
                <w:ilvl w:val="2"/>
                <w:numId w:val="560"/>
              </w:numPr>
              <w:spacing w:before="60" w:after="60"/>
              <w:ind w:left="900" w:hanging="540"/>
              <w:rPr>
                <w:rFonts w:cs="Arial"/>
              </w:rPr>
            </w:pPr>
            <w:r w:rsidRPr="00A67277">
              <w:rPr>
                <w:rFonts w:cs="Arial"/>
              </w:rPr>
              <w:t>IBE shall be entitled for Additional AP for any Additional Lane as provided in Clause 15 (</w:t>
            </w:r>
            <w:r>
              <w:rPr>
                <w:rFonts w:cs="Arial"/>
              </w:rPr>
              <w:t>Service Fee</w:t>
            </w:r>
            <w:r w:rsidRPr="00A67277">
              <w:rPr>
                <w:rFonts w:cs="Arial"/>
              </w:rPr>
              <w:t xml:space="preserve"> and Deduction).</w:t>
            </w:r>
          </w:p>
        </w:tc>
        <w:tc>
          <w:tcPr>
            <w:tcW w:w="169" w:type="pct"/>
          </w:tcPr>
          <w:p w14:paraId="2E2C4DCB" w14:textId="77777777" w:rsidR="00862B0B" w:rsidRPr="00A67277" w:rsidRDefault="00862B0B" w:rsidP="00862B0B">
            <w:pPr>
              <w:spacing w:before="60" w:after="60"/>
              <w:rPr>
                <w:rFonts w:ascii="Arial" w:hAnsi="Arial" w:cs="Arial"/>
                <w:b/>
                <w:sz w:val="21"/>
                <w:szCs w:val="21"/>
              </w:rPr>
            </w:pPr>
          </w:p>
        </w:tc>
        <w:tc>
          <w:tcPr>
            <w:tcW w:w="2561" w:type="pct"/>
            <w:gridSpan w:val="2"/>
          </w:tcPr>
          <w:p w14:paraId="74B142DA" w14:textId="7BB0A9E0" w:rsidR="00862B0B" w:rsidRPr="00A67277" w:rsidRDefault="00862B0B" w:rsidP="00862B0B">
            <w:pPr>
              <w:pStyle w:val="Level3"/>
              <w:numPr>
                <w:ilvl w:val="0"/>
                <w:numId w:val="561"/>
              </w:numPr>
              <w:spacing w:before="60" w:after="60"/>
              <w:ind w:left="1024" w:hanging="567"/>
              <w:rPr>
                <w:rFonts w:cs="Arial"/>
              </w:rPr>
            </w:pPr>
            <w:r w:rsidRPr="00A67277">
              <w:rPr>
                <w:rFonts w:cs="Arial"/>
              </w:rPr>
              <w:t xml:space="preserve">BUP berhak atas </w:t>
            </w:r>
            <w:r>
              <w:rPr>
                <w:rFonts w:cs="Arial"/>
              </w:rPr>
              <w:t>Biaya Layanan Tambahan</w:t>
            </w:r>
            <w:r w:rsidRPr="00A67277">
              <w:rPr>
                <w:rFonts w:cs="Arial"/>
              </w:rPr>
              <w:t xml:space="preserve"> sebagaimana diatur dalam Pasal 15 (Biaya Ketersediaan Layanan dan Pengurangan). </w:t>
            </w:r>
          </w:p>
        </w:tc>
      </w:tr>
      <w:tr w:rsidR="00862B0B" w:rsidRPr="00A67277" w14:paraId="5174038F" w14:textId="77777777" w:rsidTr="00862B0B">
        <w:tc>
          <w:tcPr>
            <w:tcW w:w="2270" w:type="pct"/>
          </w:tcPr>
          <w:p w14:paraId="7DCB027D" w14:textId="77777777" w:rsidR="00862B0B" w:rsidRPr="00A67277" w:rsidRDefault="00862B0B" w:rsidP="00862B0B">
            <w:pPr>
              <w:pStyle w:val="Level3"/>
              <w:numPr>
                <w:ilvl w:val="2"/>
                <w:numId w:val="560"/>
              </w:numPr>
              <w:spacing w:before="60" w:after="60"/>
              <w:ind w:left="900" w:hanging="540"/>
              <w:rPr>
                <w:rFonts w:cs="Arial"/>
              </w:rPr>
            </w:pPr>
            <w:r w:rsidRPr="00A67277">
              <w:rPr>
                <w:rFonts w:cs="Arial"/>
              </w:rPr>
              <w:t>IBE acknowledges and agrees that the GCA shall be entitled to issue a request during the Term in respect of such Additional Lane (“</w:t>
            </w:r>
            <w:r w:rsidRPr="00A67277">
              <w:rPr>
                <w:rFonts w:cs="Arial"/>
                <w:b/>
              </w:rPr>
              <w:t>Request</w:t>
            </w:r>
            <w:r w:rsidRPr="00A67277">
              <w:rPr>
                <w:rFonts w:cs="Arial"/>
              </w:rPr>
              <w:t xml:space="preserve">”). </w:t>
            </w:r>
          </w:p>
        </w:tc>
        <w:tc>
          <w:tcPr>
            <w:tcW w:w="169" w:type="pct"/>
          </w:tcPr>
          <w:p w14:paraId="702B5FF5" w14:textId="77777777" w:rsidR="00862B0B" w:rsidRPr="00A67277" w:rsidRDefault="00862B0B" w:rsidP="00862B0B">
            <w:pPr>
              <w:spacing w:before="60" w:after="60"/>
              <w:rPr>
                <w:rFonts w:ascii="Arial" w:hAnsi="Arial" w:cs="Arial"/>
                <w:b/>
                <w:sz w:val="21"/>
                <w:szCs w:val="21"/>
              </w:rPr>
            </w:pPr>
          </w:p>
        </w:tc>
        <w:tc>
          <w:tcPr>
            <w:tcW w:w="2561" w:type="pct"/>
            <w:gridSpan w:val="2"/>
          </w:tcPr>
          <w:p w14:paraId="4B0D1F3B" w14:textId="77777777" w:rsidR="00862B0B" w:rsidRPr="00A67277" w:rsidRDefault="00862B0B" w:rsidP="00862B0B">
            <w:pPr>
              <w:pStyle w:val="Level3"/>
              <w:numPr>
                <w:ilvl w:val="0"/>
                <w:numId w:val="561"/>
              </w:numPr>
              <w:spacing w:before="60" w:after="60"/>
              <w:ind w:left="1024" w:hanging="567"/>
              <w:rPr>
                <w:rFonts w:cs="Arial"/>
              </w:rPr>
            </w:pPr>
            <w:r w:rsidRPr="00A67277">
              <w:rPr>
                <w:rFonts w:cs="Arial"/>
              </w:rPr>
              <w:t>BUP mengakui dan sepakat bahwa PJPK berhak untuk menerbitkan permintaan selama Jangka Waktu sehubungan dengan Jalur Tambahan tersebut (“</w:t>
            </w:r>
            <w:r w:rsidRPr="00A67277">
              <w:rPr>
                <w:rFonts w:cs="Arial"/>
                <w:b/>
                <w:bCs/>
              </w:rPr>
              <w:t>Permintaan</w:t>
            </w:r>
            <w:r w:rsidRPr="00A67277">
              <w:rPr>
                <w:rFonts w:cs="Arial"/>
              </w:rPr>
              <w:t>”).</w:t>
            </w:r>
          </w:p>
        </w:tc>
      </w:tr>
      <w:tr w:rsidR="00862B0B" w:rsidRPr="00A67277" w14:paraId="4B32851F" w14:textId="77777777" w:rsidTr="00862B0B">
        <w:tc>
          <w:tcPr>
            <w:tcW w:w="2270" w:type="pct"/>
          </w:tcPr>
          <w:p w14:paraId="6AB958B7" w14:textId="110B71E0" w:rsidR="00862B0B" w:rsidRPr="00A67277" w:rsidRDefault="00862B0B" w:rsidP="00862B0B">
            <w:pPr>
              <w:pStyle w:val="Level3"/>
              <w:numPr>
                <w:ilvl w:val="2"/>
                <w:numId w:val="560"/>
              </w:numPr>
              <w:spacing w:before="60" w:after="60"/>
              <w:ind w:left="900" w:hanging="540"/>
              <w:rPr>
                <w:rFonts w:cs="Arial"/>
              </w:rPr>
            </w:pPr>
            <w:r w:rsidRPr="00A67277">
              <w:rPr>
                <w:rFonts w:cs="Arial"/>
              </w:rPr>
              <w:t xml:space="preserve">The IBE agrees that it shall within </w:t>
            </w:r>
            <w:r>
              <w:rPr>
                <w:rFonts w:cs="Arial"/>
              </w:rPr>
              <w:t xml:space="preserve">five (5) </w:t>
            </w:r>
            <w:r w:rsidRPr="00A67277">
              <w:rPr>
                <w:rFonts w:cs="Arial"/>
              </w:rPr>
              <w:t>Days respond and support any such Request in respect of such Additional Lane.</w:t>
            </w:r>
          </w:p>
        </w:tc>
        <w:tc>
          <w:tcPr>
            <w:tcW w:w="169" w:type="pct"/>
          </w:tcPr>
          <w:p w14:paraId="638D6787" w14:textId="77777777" w:rsidR="00862B0B" w:rsidRPr="00A67277" w:rsidRDefault="00862B0B" w:rsidP="00862B0B">
            <w:pPr>
              <w:spacing w:before="60" w:after="60"/>
              <w:rPr>
                <w:rFonts w:ascii="Arial" w:hAnsi="Arial" w:cs="Arial"/>
                <w:b/>
                <w:sz w:val="21"/>
                <w:szCs w:val="21"/>
              </w:rPr>
            </w:pPr>
          </w:p>
        </w:tc>
        <w:tc>
          <w:tcPr>
            <w:tcW w:w="2561" w:type="pct"/>
            <w:gridSpan w:val="2"/>
          </w:tcPr>
          <w:p w14:paraId="42C99A55" w14:textId="7F1C482E" w:rsidR="00862B0B" w:rsidRPr="00A67277" w:rsidRDefault="00862B0B" w:rsidP="00862B0B">
            <w:pPr>
              <w:pStyle w:val="Level3"/>
              <w:numPr>
                <w:ilvl w:val="0"/>
                <w:numId w:val="561"/>
              </w:numPr>
              <w:spacing w:before="60" w:after="60"/>
              <w:ind w:left="1024" w:hanging="567"/>
              <w:rPr>
                <w:rFonts w:cs="Arial"/>
              </w:rPr>
            </w:pPr>
            <w:r w:rsidRPr="00A67277">
              <w:rPr>
                <w:rFonts w:cs="Arial"/>
              </w:rPr>
              <w:t xml:space="preserve">BUP sepakat bahwa BUP harus dalam jangka waktu </w:t>
            </w:r>
            <w:r>
              <w:rPr>
                <w:rFonts w:cs="Arial"/>
              </w:rPr>
              <w:t xml:space="preserve">lima (5) </w:t>
            </w:r>
            <w:r w:rsidRPr="00A67277">
              <w:rPr>
                <w:rFonts w:cs="Arial"/>
              </w:rPr>
              <w:t>Hari menanggapi dan mendukung setiap Permintaan sehubungan dengan Jalur Tambahan tersebut.</w:t>
            </w:r>
          </w:p>
        </w:tc>
      </w:tr>
      <w:tr w:rsidR="00862B0B" w:rsidRPr="00A67277" w14:paraId="4E727313" w14:textId="77777777" w:rsidTr="00862B0B">
        <w:tc>
          <w:tcPr>
            <w:tcW w:w="2270" w:type="pct"/>
          </w:tcPr>
          <w:p w14:paraId="6C29D2B9" w14:textId="77777777" w:rsidR="00862B0B" w:rsidRPr="00A67277" w:rsidRDefault="00862B0B" w:rsidP="00862B0B">
            <w:pPr>
              <w:pStyle w:val="Level3"/>
              <w:numPr>
                <w:ilvl w:val="2"/>
                <w:numId w:val="560"/>
              </w:numPr>
              <w:spacing w:before="60" w:after="60"/>
              <w:ind w:left="900" w:hanging="540"/>
              <w:rPr>
                <w:rFonts w:cs="Arial"/>
              </w:rPr>
            </w:pPr>
            <w:r w:rsidRPr="00A67277">
              <w:rPr>
                <w:rFonts w:cs="Arial"/>
              </w:rPr>
              <w:t xml:space="preserve">Upon the GCA receipt the respond from the IBE, the Parties  shall discuss and agree on (i) the schedule and staging for the installation of the additional facility on the Additional Lane; and (ii) access and additional Site required by the IBE to install the additional facility. </w:t>
            </w:r>
          </w:p>
        </w:tc>
        <w:tc>
          <w:tcPr>
            <w:tcW w:w="169" w:type="pct"/>
          </w:tcPr>
          <w:p w14:paraId="1B85E298" w14:textId="77777777" w:rsidR="00862B0B" w:rsidRPr="00A67277" w:rsidRDefault="00862B0B" w:rsidP="00862B0B">
            <w:pPr>
              <w:spacing w:before="60" w:after="60"/>
              <w:rPr>
                <w:rFonts w:ascii="Arial" w:hAnsi="Arial" w:cs="Arial"/>
                <w:b/>
                <w:sz w:val="21"/>
                <w:szCs w:val="21"/>
              </w:rPr>
            </w:pPr>
          </w:p>
        </w:tc>
        <w:tc>
          <w:tcPr>
            <w:tcW w:w="2561" w:type="pct"/>
            <w:gridSpan w:val="2"/>
          </w:tcPr>
          <w:p w14:paraId="7A529D88" w14:textId="77777777" w:rsidR="00862B0B" w:rsidRPr="00A67277" w:rsidRDefault="00862B0B" w:rsidP="00862B0B">
            <w:pPr>
              <w:pStyle w:val="Level3"/>
              <w:numPr>
                <w:ilvl w:val="0"/>
                <w:numId w:val="561"/>
              </w:numPr>
              <w:spacing w:before="60" w:after="60"/>
              <w:ind w:left="1024" w:hanging="567"/>
              <w:rPr>
                <w:rFonts w:cs="Arial"/>
              </w:rPr>
            </w:pPr>
            <w:r w:rsidRPr="00A67277">
              <w:rPr>
                <w:rFonts w:cs="Arial"/>
              </w:rPr>
              <w:t>Setelah PJPK menerima tanggapan dari BUP tersebut, Para Pihak harus berdiskusi untuk menyepakati (i) jadwal dan tahapan pemasangan fasilitas tambahan pada Jalur Tambahan; dan (ii) akses serta Lahan tambahan yang diperlukan oleh BUP untuk memasang fasilitas tambahan.</w:t>
            </w:r>
          </w:p>
        </w:tc>
      </w:tr>
      <w:tr w:rsidR="00862B0B" w:rsidRPr="00A67277" w14:paraId="63212CC0" w14:textId="77777777" w:rsidTr="00862B0B">
        <w:tc>
          <w:tcPr>
            <w:tcW w:w="2270" w:type="pct"/>
          </w:tcPr>
          <w:p w14:paraId="17B585BC" w14:textId="77777777" w:rsidR="00862B0B" w:rsidRPr="00A67277" w:rsidRDefault="00862B0B" w:rsidP="00862B0B">
            <w:pPr>
              <w:pStyle w:val="Level3"/>
              <w:numPr>
                <w:ilvl w:val="2"/>
                <w:numId w:val="560"/>
              </w:numPr>
              <w:spacing w:before="60" w:after="60"/>
              <w:ind w:left="900" w:hanging="540"/>
              <w:rPr>
                <w:rFonts w:cs="Arial"/>
              </w:rPr>
            </w:pPr>
            <w:r w:rsidRPr="00A67277">
              <w:t>Subject to the availability of the free access to the required Site for the installation of the additional facility on the Additional Lane, IBE agree that the installation of the additional facility on the Additional Lane shall be completed within the schedule agreed by the Parties and the additional facility can be used to deliver the Services under this Agreement</w:t>
            </w:r>
            <w:r w:rsidRPr="00A67277">
              <w:rPr>
                <w:rFonts w:cs="Arial"/>
              </w:rPr>
              <w:t>.</w:t>
            </w:r>
          </w:p>
        </w:tc>
        <w:tc>
          <w:tcPr>
            <w:tcW w:w="169" w:type="pct"/>
          </w:tcPr>
          <w:p w14:paraId="29D82B01" w14:textId="77777777" w:rsidR="00862B0B" w:rsidRPr="00A67277" w:rsidRDefault="00862B0B" w:rsidP="00862B0B">
            <w:pPr>
              <w:spacing w:before="60" w:after="60"/>
              <w:rPr>
                <w:rFonts w:ascii="Arial" w:hAnsi="Arial" w:cs="Arial"/>
                <w:b/>
                <w:sz w:val="21"/>
                <w:szCs w:val="21"/>
              </w:rPr>
            </w:pPr>
          </w:p>
        </w:tc>
        <w:tc>
          <w:tcPr>
            <w:tcW w:w="2561" w:type="pct"/>
            <w:gridSpan w:val="2"/>
          </w:tcPr>
          <w:p w14:paraId="64F6978F" w14:textId="7B0A1A8C" w:rsidR="00862B0B" w:rsidRPr="00A67277" w:rsidRDefault="00862B0B" w:rsidP="00862B0B">
            <w:pPr>
              <w:pStyle w:val="Level3"/>
              <w:numPr>
                <w:ilvl w:val="0"/>
                <w:numId w:val="561"/>
              </w:numPr>
              <w:spacing w:before="60" w:after="60"/>
              <w:ind w:left="1024" w:hanging="567"/>
              <w:rPr>
                <w:rFonts w:cs="Arial"/>
              </w:rPr>
            </w:pPr>
            <w:r w:rsidRPr="00A67277">
              <w:rPr>
                <w:rFonts w:cs="Arial"/>
              </w:rPr>
              <w:t>Tunduk pada ketersediaan akses yang bebas terhadap Lokasi yang diperlukan untuk instalasi fasilitas tambahan pada Jalur Tambahan, BUP sepakat bahwa instalasi fasilitas tambahan pada Jalur Tambahan tersebut diselesaikan dalam jangka waktu yang disepakati oleh Para Pihak dan fasilitas tambahan dapat digunakan untuk memberikan Layanan sesuai dengan Perjanjian ini.</w:t>
            </w:r>
          </w:p>
        </w:tc>
      </w:tr>
      <w:tr w:rsidR="00862B0B" w:rsidRPr="00A67277" w14:paraId="0330DFB1" w14:textId="77777777" w:rsidTr="00862B0B">
        <w:tc>
          <w:tcPr>
            <w:tcW w:w="2270" w:type="pct"/>
          </w:tcPr>
          <w:p w14:paraId="0ABEBFDC" w14:textId="77777777" w:rsidR="00862B0B" w:rsidRPr="00A67277" w:rsidRDefault="00862B0B" w:rsidP="00862B0B">
            <w:pPr>
              <w:pStyle w:val="Heading1"/>
              <w:numPr>
                <w:ilvl w:val="0"/>
                <w:numId w:val="429"/>
              </w:numPr>
              <w:spacing w:before="60" w:after="60"/>
              <w:ind w:left="338"/>
            </w:pPr>
            <w:r w:rsidRPr="00A67277">
              <w:rPr>
                <w:rFonts w:cs="Arial"/>
                <w:lang w:val="en-US" w:eastAsia="en-US"/>
              </w:rPr>
              <w:t>Measurement</w:t>
            </w:r>
            <w:r w:rsidRPr="00A67277">
              <w:t xml:space="preserve"> </w:t>
            </w:r>
          </w:p>
        </w:tc>
        <w:tc>
          <w:tcPr>
            <w:tcW w:w="169" w:type="pct"/>
          </w:tcPr>
          <w:p w14:paraId="52D302EF" w14:textId="77777777" w:rsidR="00862B0B" w:rsidRPr="00A67277" w:rsidRDefault="00862B0B" w:rsidP="00862B0B">
            <w:pPr>
              <w:spacing w:before="60" w:after="60"/>
              <w:rPr>
                <w:rFonts w:ascii="Arial" w:hAnsi="Arial" w:cs="Arial"/>
                <w:sz w:val="21"/>
                <w:szCs w:val="21"/>
              </w:rPr>
            </w:pPr>
          </w:p>
        </w:tc>
        <w:tc>
          <w:tcPr>
            <w:tcW w:w="2561" w:type="pct"/>
            <w:gridSpan w:val="2"/>
          </w:tcPr>
          <w:p w14:paraId="04246484" w14:textId="77777777" w:rsidR="00862B0B" w:rsidRPr="00A67277" w:rsidRDefault="00862B0B" w:rsidP="00862B0B">
            <w:pPr>
              <w:pStyle w:val="CentredHeading"/>
              <w:numPr>
                <w:ilvl w:val="0"/>
                <w:numId w:val="4"/>
              </w:numPr>
              <w:spacing w:before="60" w:after="60"/>
              <w:ind w:left="466" w:hanging="450"/>
              <w:jc w:val="both"/>
              <w:rPr>
                <w:rFonts w:cs="Arial"/>
                <w:lang w:val="en-US" w:eastAsia="en-US"/>
              </w:rPr>
            </w:pPr>
            <w:r w:rsidRPr="00A67277">
              <w:rPr>
                <w:rFonts w:cs="Arial"/>
                <w:lang w:val="en-US" w:eastAsia="en-US"/>
              </w:rPr>
              <w:t xml:space="preserve">Pengukuran </w:t>
            </w:r>
          </w:p>
        </w:tc>
      </w:tr>
      <w:tr w:rsidR="00862B0B" w:rsidRPr="00A67277" w14:paraId="752B94DB" w14:textId="77777777" w:rsidTr="00862B0B">
        <w:tc>
          <w:tcPr>
            <w:tcW w:w="2270" w:type="pct"/>
          </w:tcPr>
          <w:p w14:paraId="05024493" w14:textId="77777777" w:rsidR="00862B0B" w:rsidRPr="00A67277" w:rsidRDefault="00862B0B" w:rsidP="00862B0B">
            <w:pPr>
              <w:pStyle w:val="Level3"/>
              <w:spacing w:before="60" w:after="60"/>
              <w:ind w:left="426"/>
            </w:pPr>
            <w:r w:rsidRPr="00A67277">
              <w:t xml:space="preserve">The IBE shall install a system to monitor the Services during the Operation Period and provide a written report to the GCA on the achievement of the Key Performance Indicators at the latest on [***]. </w:t>
            </w:r>
          </w:p>
        </w:tc>
        <w:tc>
          <w:tcPr>
            <w:tcW w:w="169" w:type="pct"/>
          </w:tcPr>
          <w:p w14:paraId="430D6284" w14:textId="77777777" w:rsidR="00862B0B" w:rsidRPr="00A67277" w:rsidRDefault="00862B0B" w:rsidP="00862B0B">
            <w:pPr>
              <w:spacing w:before="60" w:after="60"/>
              <w:rPr>
                <w:rFonts w:ascii="Arial" w:hAnsi="Arial" w:cs="Arial"/>
                <w:sz w:val="21"/>
                <w:szCs w:val="21"/>
              </w:rPr>
            </w:pPr>
          </w:p>
        </w:tc>
        <w:tc>
          <w:tcPr>
            <w:tcW w:w="2561" w:type="pct"/>
            <w:gridSpan w:val="2"/>
          </w:tcPr>
          <w:p w14:paraId="73894BBD" w14:textId="77777777" w:rsidR="00862B0B" w:rsidRPr="00A67277" w:rsidRDefault="00862B0B" w:rsidP="00862B0B">
            <w:pPr>
              <w:pStyle w:val="Level3"/>
              <w:spacing w:before="60" w:after="60"/>
              <w:ind w:left="457"/>
              <w:rPr>
                <w:rFonts w:cs="Arial"/>
              </w:rPr>
            </w:pPr>
            <w:r w:rsidRPr="00A67277">
              <w:rPr>
                <w:rFonts w:cs="Arial"/>
              </w:rPr>
              <w:t>BUP harus memasang suatu sistem untuk memonitor kinerja Layanan selama Jangka Waktu Operasi dan menyampaikan laporan tertulis kepada PJPK mengenai pencapaian Indikator Kinerja Utama paling lambat [**].</w:t>
            </w:r>
          </w:p>
        </w:tc>
      </w:tr>
      <w:tr w:rsidR="00862B0B" w:rsidRPr="00A67277" w14:paraId="2D6AAFFA" w14:textId="77777777" w:rsidTr="00862B0B">
        <w:tc>
          <w:tcPr>
            <w:tcW w:w="2270" w:type="pct"/>
          </w:tcPr>
          <w:p w14:paraId="23FA97DC" w14:textId="43720111" w:rsidR="00862B0B" w:rsidRPr="00A67277" w:rsidRDefault="00862B0B" w:rsidP="00862B0B">
            <w:pPr>
              <w:pStyle w:val="Heading1"/>
              <w:numPr>
                <w:ilvl w:val="0"/>
                <w:numId w:val="432"/>
              </w:numPr>
              <w:spacing w:before="60" w:after="60"/>
              <w:ind w:left="450" w:hanging="450"/>
            </w:pPr>
            <w:r>
              <w:t>Service Fee</w:t>
            </w:r>
            <w:r w:rsidRPr="00A67277">
              <w:t xml:space="preserve"> and Deduction</w:t>
            </w:r>
          </w:p>
        </w:tc>
        <w:tc>
          <w:tcPr>
            <w:tcW w:w="169" w:type="pct"/>
          </w:tcPr>
          <w:p w14:paraId="5FA0A7F7" w14:textId="77777777" w:rsidR="00862B0B" w:rsidRPr="00A67277" w:rsidRDefault="00862B0B" w:rsidP="00862B0B">
            <w:pPr>
              <w:spacing w:before="60" w:after="60"/>
              <w:rPr>
                <w:rFonts w:ascii="Arial" w:hAnsi="Arial" w:cs="Arial"/>
                <w:sz w:val="21"/>
                <w:szCs w:val="21"/>
              </w:rPr>
            </w:pPr>
          </w:p>
        </w:tc>
        <w:tc>
          <w:tcPr>
            <w:tcW w:w="2561" w:type="pct"/>
            <w:gridSpan w:val="2"/>
          </w:tcPr>
          <w:p w14:paraId="31588ECA" w14:textId="079FCB69" w:rsidR="00862B0B" w:rsidRPr="00A67277" w:rsidRDefault="00862B0B" w:rsidP="00862B0B">
            <w:pPr>
              <w:pStyle w:val="CentredHeading"/>
              <w:numPr>
                <w:ilvl w:val="0"/>
                <w:numId w:val="4"/>
              </w:numPr>
              <w:spacing w:before="60" w:after="60"/>
              <w:ind w:left="466" w:hanging="450"/>
              <w:jc w:val="left"/>
              <w:rPr>
                <w:rFonts w:cs="Arial"/>
              </w:rPr>
            </w:pPr>
            <w:r w:rsidRPr="00A67277">
              <w:rPr>
                <w:rFonts w:cs="Arial"/>
                <w:lang w:val="en-US" w:eastAsia="en-US"/>
              </w:rPr>
              <w:t>Biaya Layanan dan Pengurangan</w:t>
            </w:r>
          </w:p>
        </w:tc>
      </w:tr>
      <w:tr w:rsidR="00862B0B" w:rsidRPr="00A67277" w14:paraId="6F042D59" w14:textId="77777777" w:rsidTr="00862B0B">
        <w:tc>
          <w:tcPr>
            <w:tcW w:w="2270" w:type="pct"/>
          </w:tcPr>
          <w:p w14:paraId="70EDE66E" w14:textId="184B33A5" w:rsidR="00862B0B" w:rsidRPr="00A67277" w:rsidRDefault="00862B0B" w:rsidP="00862B0B">
            <w:pPr>
              <w:pStyle w:val="Heading2"/>
              <w:numPr>
                <w:ilvl w:val="0"/>
                <w:numId w:val="25"/>
              </w:numPr>
              <w:spacing w:before="60" w:after="60"/>
              <w:ind w:left="1046" w:hanging="180"/>
              <w:outlineLvl w:val="1"/>
              <w:rPr>
                <w:rFonts w:ascii="Arial" w:hAnsi="Arial" w:cs="Arial"/>
                <w:b/>
                <w:color w:val="auto"/>
                <w:sz w:val="21"/>
                <w:szCs w:val="21"/>
              </w:rPr>
            </w:pPr>
            <w:r>
              <w:rPr>
                <w:rFonts w:ascii="Arial" w:hAnsi="Arial" w:cs="Arial"/>
                <w:b/>
                <w:color w:val="auto"/>
                <w:sz w:val="21"/>
                <w:szCs w:val="21"/>
              </w:rPr>
              <w:t>Service Fee</w:t>
            </w:r>
          </w:p>
        </w:tc>
        <w:tc>
          <w:tcPr>
            <w:tcW w:w="169" w:type="pct"/>
          </w:tcPr>
          <w:p w14:paraId="71ADF747" w14:textId="77777777" w:rsidR="00862B0B" w:rsidRPr="00A67277" w:rsidRDefault="00862B0B" w:rsidP="00862B0B">
            <w:pPr>
              <w:spacing w:before="60" w:after="60"/>
              <w:rPr>
                <w:rFonts w:ascii="Arial" w:hAnsi="Arial" w:cs="Arial"/>
                <w:b/>
                <w:sz w:val="21"/>
                <w:szCs w:val="21"/>
              </w:rPr>
            </w:pPr>
          </w:p>
        </w:tc>
        <w:tc>
          <w:tcPr>
            <w:tcW w:w="2561" w:type="pct"/>
            <w:gridSpan w:val="2"/>
          </w:tcPr>
          <w:p w14:paraId="39F45F98" w14:textId="1808F2C6" w:rsidR="00862B0B" w:rsidRPr="00A67277" w:rsidRDefault="00862B0B" w:rsidP="00862B0B">
            <w:pPr>
              <w:pStyle w:val="Heading2"/>
              <w:numPr>
                <w:ilvl w:val="0"/>
                <w:numId w:val="7"/>
              </w:numPr>
              <w:spacing w:before="60" w:after="60"/>
              <w:ind w:left="1381"/>
              <w:jc w:val="both"/>
              <w:outlineLvl w:val="1"/>
              <w:rPr>
                <w:rFonts w:ascii="Arial" w:hAnsi="Arial" w:cs="Arial"/>
                <w:b/>
                <w:color w:val="auto"/>
                <w:sz w:val="21"/>
                <w:szCs w:val="21"/>
              </w:rPr>
            </w:pPr>
            <w:r w:rsidRPr="00A67277">
              <w:rPr>
                <w:rFonts w:ascii="Arial" w:hAnsi="Arial" w:cs="Arial"/>
                <w:b/>
                <w:color w:val="auto"/>
                <w:sz w:val="21"/>
                <w:szCs w:val="21"/>
              </w:rPr>
              <w:t>Biaya Layanan</w:t>
            </w:r>
          </w:p>
        </w:tc>
      </w:tr>
      <w:tr w:rsidR="00862B0B" w:rsidRPr="00A67277" w14:paraId="710CED7A" w14:textId="77777777" w:rsidTr="00862B0B">
        <w:tc>
          <w:tcPr>
            <w:tcW w:w="2270" w:type="pct"/>
          </w:tcPr>
          <w:p w14:paraId="0E4C9517" w14:textId="2A564164" w:rsidR="00862B0B" w:rsidRPr="00A67277" w:rsidRDefault="00862B0B" w:rsidP="00862B0B">
            <w:pPr>
              <w:pStyle w:val="Level3"/>
              <w:numPr>
                <w:ilvl w:val="2"/>
                <w:numId w:val="488"/>
              </w:numPr>
              <w:tabs>
                <w:tab w:val="clear" w:pos="1417"/>
              </w:tabs>
              <w:spacing w:before="60" w:after="60"/>
              <w:ind w:left="1676" w:hanging="551"/>
            </w:pPr>
            <w:r w:rsidRPr="00A67277">
              <w:t xml:space="preserve">As of the Commercial Operation Date, GCA must pay the IBE the Lump Sum </w:t>
            </w:r>
            <w:r>
              <w:t>Service Fee</w:t>
            </w:r>
            <w:r w:rsidRPr="00A67277">
              <w:t xml:space="preserve"> for each Billing Period. </w:t>
            </w:r>
          </w:p>
        </w:tc>
        <w:tc>
          <w:tcPr>
            <w:tcW w:w="169" w:type="pct"/>
          </w:tcPr>
          <w:p w14:paraId="2B003A3F" w14:textId="77777777" w:rsidR="00862B0B" w:rsidRPr="00A67277" w:rsidRDefault="00862B0B" w:rsidP="00862B0B">
            <w:pPr>
              <w:spacing w:before="60" w:after="60"/>
              <w:rPr>
                <w:rFonts w:ascii="Arial" w:hAnsi="Arial" w:cs="Arial"/>
                <w:sz w:val="21"/>
                <w:szCs w:val="21"/>
              </w:rPr>
            </w:pPr>
          </w:p>
        </w:tc>
        <w:tc>
          <w:tcPr>
            <w:tcW w:w="2561" w:type="pct"/>
            <w:gridSpan w:val="2"/>
          </w:tcPr>
          <w:p w14:paraId="42C740C7" w14:textId="4A175A4A" w:rsidR="00862B0B" w:rsidRPr="00A67277" w:rsidRDefault="00862B0B" w:rsidP="00862B0B">
            <w:pPr>
              <w:pStyle w:val="Level3"/>
              <w:numPr>
                <w:ilvl w:val="0"/>
                <w:numId w:val="8"/>
              </w:numPr>
              <w:spacing w:before="60" w:after="60"/>
              <w:ind w:left="1831" w:hanging="450"/>
              <w:rPr>
                <w:rFonts w:cs="Arial"/>
              </w:rPr>
            </w:pPr>
            <w:r w:rsidRPr="00A67277">
              <w:rPr>
                <w:rFonts w:cs="Arial"/>
              </w:rPr>
              <w:t xml:space="preserve">Sejak Tanggal Operasi Komersial, PJPK harus membayar BUP Biaya </w:t>
            </w:r>
            <w:r>
              <w:rPr>
                <w:rFonts w:cs="Arial"/>
              </w:rPr>
              <w:t>Biaya Layanan Lump Sum</w:t>
            </w:r>
            <w:r w:rsidRPr="00A67277">
              <w:rPr>
                <w:rFonts w:cs="Arial"/>
              </w:rPr>
              <w:t xml:space="preserve"> untuk setiap Periode Penagihan.</w:t>
            </w:r>
          </w:p>
        </w:tc>
      </w:tr>
      <w:tr w:rsidR="00862B0B" w:rsidRPr="00A67277" w14:paraId="5B71E919" w14:textId="77777777" w:rsidTr="00862B0B">
        <w:tc>
          <w:tcPr>
            <w:tcW w:w="2270" w:type="pct"/>
          </w:tcPr>
          <w:p w14:paraId="17FF63B3" w14:textId="76E99AA5" w:rsidR="00862B0B" w:rsidRPr="00A67277" w:rsidRDefault="00862B0B" w:rsidP="00862B0B">
            <w:pPr>
              <w:pStyle w:val="Level3"/>
              <w:numPr>
                <w:ilvl w:val="2"/>
                <w:numId w:val="488"/>
              </w:numPr>
              <w:tabs>
                <w:tab w:val="clear" w:pos="1417"/>
              </w:tabs>
              <w:spacing w:before="60" w:after="60"/>
              <w:ind w:left="1676" w:hanging="551"/>
            </w:pPr>
            <w:r w:rsidRPr="00A67277">
              <w:t xml:space="preserve">Throughout the Operation Period, GCA must pay the IBE the </w:t>
            </w:r>
            <w:r w:rsidRPr="002C5282">
              <w:t>Tolled Lane Based Service Fee</w:t>
            </w:r>
            <w:r w:rsidRPr="00A67277">
              <w:t xml:space="preserve"> with respect to each Additional Lane for each Billing Period.</w:t>
            </w:r>
          </w:p>
        </w:tc>
        <w:tc>
          <w:tcPr>
            <w:tcW w:w="169" w:type="pct"/>
          </w:tcPr>
          <w:p w14:paraId="3BA07F9A" w14:textId="77777777" w:rsidR="00862B0B" w:rsidRPr="00A67277" w:rsidRDefault="00862B0B" w:rsidP="00862B0B">
            <w:pPr>
              <w:spacing w:before="60" w:after="60"/>
              <w:rPr>
                <w:rFonts w:ascii="Arial" w:hAnsi="Arial" w:cs="Arial"/>
                <w:sz w:val="21"/>
                <w:szCs w:val="21"/>
              </w:rPr>
            </w:pPr>
          </w:p>
        </w:tc>
        <w:tc>
          <w:tcPr>
            <w:tcW w:w="2561" w:type="pct"/>
            <w:gridSpan w:val="2"/>
          </w:tcPr>
          <w:p w14:paraId="174C0BEB" w14:textId="7ADE9AD5" w:rsidR="00862B0B" w:rsidRPr="00A67277" w:rsidRDefault="00862B0B" w:rsidP="00862B0B">
            <w:pPr>
              <w:pStyle w:val="Level3"/>
              <w:numPr>
                <w:ilvl w:val="0"/>
                <w:numId w:val="8"/>
              </w:numPr>
              <w:spacing w:before="60" w:after="60"/>
              <w:ind w:left="1831" w:hanging="450"/>
              <w:rPr>
                <w:rFonts w:cs="Arial"/>
              </w:rPr>
            </w:pPr>
            <w:r w:rsidRPr="00A67277">
              <w:rPr>
                <w:rFonts w:cs="Arial"/>
              </w:rPr>
              <w:t xml:space="preserve">Sepanjang Jangka Waktu Operasi, PJPK harus membayar BUP </w:t>
            </w:r>
            <w:r w:rsidRPr="002C5282">
              <w:rPr>
                <w:rFonts w:cs="Arial"/>
              </w:rPr>
              <w:t xml:space="preserve">Biaya Layanan Berdasarkan Jalur Tol </w:t>
            </w:r>
            <w:r w:rsidRPr="00A67277">
              <w:rPr>
                <w:rFonts w:cs="Arial"/>
              </w:rPr>
              <w:t>sehubungan dengan setiap Jalur Tambahan untuk setiap Periode Penagihan.</w:t>
            </w:r>
          </w:p>
        </w:tc>
      </w:tr>
      <w:tr w:rsidR="00862B0B" w:rsidRPr="00A67277" w14:paraId="5AC21E2B" w14:textId="77777777" w:rsidTr="00862B0B">
        <w:tc>
          <w:tcPr>
            <w:tcW w:w="2270" w:type="pct"/>
          </w:tcPr>
          <w:p w14:paraId="3C083CCC" w14:textId="48E6D6FD" w:rsidR="00862B0B" w:rsidRPr="00A67277" w:rsidRDefault="00862B0B" w:rsidP="00862B0B">
            <w:pPr>
              <w:pStyle w:val="Level3"/>
              <w:numPr>
                <w:ilvl w:val="2"/>
                <w:numId w:val="488"/>
              </w:numPr>
              <w:tabs>
                <w:tab w:val="clear" w:pos="1417"/>
              </w:tabs>
              <w:spacing w:before="60" w:after="60"/>
              <w:ind w:left="1676" w:hanging="551"/>
            </w:pPr>
            <w:r w:rsidRPr="00A67277">
              <w:t xml:space="preserve">The calculation of the </w:t>
            </w:r>
            <w:r>
              <w:t>Service Fee</w:t>
            </w:r>
            <w:r w:rsidRPr="00A67277">
              <w:t xml:space="preserve">, including the applicable tariff, indexation and </w:t>
            </w:r>
            <w:r>
              <w:t xml:space="preserve">other </w:t>
            </w:r>
            <w:r w:rsidRPr="00A67277">
              <w:t>pricing conditions, are further outlined in the Appendix 12 (</w:t>
            </w:r>
            <w:r>
              <w:t>Service Fee</w:t>
            </w:r>
            <w:r w:rsidRPr="00A67277">
              <w:t>).</w:t>
            </w:r>
          </w:p>
        </w:tc>
        <w:tc>
          <w:tcPr>
            <w:tcW w:w="169" w:type="pct"/>
          </w:tcPr>
          <w:p w14:paraId="23113A59" w14:textId="77777777" w:rsidR="00862B0B" w:rsidRPr="00A67277" w:rsidRDefault="00862B0B" w:rsidP="00862B0B">
            <w:pPr>
              <w:spacing w:before="60" w:after="60"/>
              <w:rPr>
                <w:rFonts w:ascii="Arial" w:hAnsi="Arial" w:cs="Arial"/>
                <w:sz w:val="21"/>
                <w:szCs w:val="21"/>
              </w:rPr>
            </w:pPr>
          </w:p>
        </w:tc>
        <w:tc>
          <w:tcPr>
            <w:tcW w:w="2561" w:type="pct"/>
            <w:gridSpan w:val="2"/>
          </w:tcPr>
          <w:p w14:paraId="66F832CF" w14:textId="57A9015A" w:rsidR="00862B0B" w:rsidRPr="00A67277" w:rsidRDefault="00862B0B" w:rsidP="00862B0B">
            <w:pPr>
              <w:pStyle w:val="Level3"/>
              <w:numPr>
                <w:ilvl w:val="0"/>
                <w:numId w:val="8"/>
              </w:numPr>
              <w:spacing w:before="60" w:after="60"/>
              <w:ind w:left="1831" w:hanging="450"/>
              <w:rPr>
                <w:rFonts w:cs="Arial"/>
              </w:rPr>
            </w:pPr>
            <w:r w:rsidRPr="00A67277">
              <w:rPr>
                <w:rFonts w:cs="Arial"/>
              </w:rPr>
              <w:t>Perhitungan Biaya Layanan, termasuk tarif yang berlaku, indeksasi dan kondisi lainnya, selanjutnya diuraikan pada Lampiran 12 (</w:t>
            </w:r>
            <w:r>
              <w:rPr>
                <w:rFonts w:cs="Arial"/>
              </w:rPr>
              <w:t>Biaya</w:t>
            </w:r>
            <w:r w:rsidRPr="00A67277">
              <w:rPr>
                <w:rFonts w:cs="Arial"/>
              </w:rPr>
              <w:t xml:space="preserve"> Layanan).</w:t>
            </w:r>
          </w:p>
        </w:tc>
      </w:tr>
      <w:tr w:rsidR="00862B0B" w:rsidRPr="00A67277" w14:paraId="2DCDF3EC" w14:textId="77777777" w:rsidTr="00862B0B">
        <w:tc>
          <w:tcPr>
            <w:tcW w:w="2270" w:type="pct"/>
          </w:tcPr>
          <w:p w14:paraId="640C31D5" w14:textId="77777777" w:rsidR="00862B0B" w:rsidRPr="00A67277" w:rsidRDefault="00862B0B" w:rsidP="00862B0B">
            <w:pPr>
              <w:pStyle w:val="Heading2"/>
              <w:numPr>
                <w:ilvl w:val="0"/>
                <w:numId w:val="25"/>
              </w:numPr>
              <w:spacing w:before="60" w:after="60"/>
              <w:ind w:left="1046" w:hanging="180"/>
              <w:outlineLvl w:val="1"/>
              <w:rPr>
                <w:b/>
                <w:color w:val="auto"/>
              </w:rPr>
            </w:pPr>
            <w:r w:rsidRPr="00A67277">
              <w:rPr>
                <w:rFonts w:ascii="Arial" w:hAnsi="Arial" w:cs="Arial"/>
                <w:b/>
                <w:color w:val="auto"/>
                <w:sz w:val="21"/>
                <w:szCs w:val="21"/>
              </w:rPr>
              <w:t>Deduction for Performance Failure</w:t>
            </w:r>
          </w:p>
        </w:tc>
        <w:tc>
          <w:tcPr>
            <w:tcW w:w="169" w:type="pct"/>
          </w:tcPr>
          <w:p w14:paraId="42E0ACE4" w14:textId="77777777" w:rsidR="00862B0B" w:rsidRPr="00A67277" w:rsidRDefault="00862B0B" w:rsidP="00862B0B">
            <w:pPr>
              <w:spacing w:before="60" w:after="60"/>
              <w:rPr>
                <w:rFonts w:ascii="Arial" w:hAnsi="Arial" w:cs="Arial"/>
                <w:b/>
                <w:sz w:val="21"/>
                <w:szCs w:val="21"/>
              </w:rPr>
            </w:pPr>
          </w:p>
        </w:tc>
        <w:tc>
          <w:tcPr>
            <w:tcW w:w="2561" w:type="pct"/>
            <w:gridSpan w:val="2"/>
          </w:tcPr>
          <w:p w14:paraId="405591FA" w14:textId="77777777" w:rsidR="00862B0B" w:rsidRPr="00A67277" w:rsidRDefault="00862B0B" w:rsidP="00862B0B">
            <w:pPr>
              <w:pStyle w:val="Heading2"/>
              <w:numPr>
                <w:ilvl w:val="0"/>
                <w:numId w:val="7"/>
              </w:numPr>
              <w:spacing w:before="60" w:after="60"/>
              <w:ind w:left="1381"/>
              <w:outlineLvl w:val="1"/>
              <w:rPr>
                <w:rFonts w:ascii="Arial" w:hAnsi="Arial" w:cs="Arial"/>
                <w:b/>
                <w:color w:val="auto"/>
                <w:sz w:val="21"/>
                <w:szCs w:val="21"/>
              </w:rPr>
            </w:pPr>
            <w:r w:rsidRPr="00A67277">
              <w:rPr>
                <w:rFonts w:ascii="Arial" w:hAnsi="Arial" w:cs="Arial"/>
                <w:b/>
                <w:color w:val="auto"/>
                <w:sz w:val="21"/>
                <w:szCs w:val="21"/>
              </w:rPr>
              <w:t>Pengurangan untuk Kegagalan Kinerja</w:t>
            </w:r>
          </w:p>
        </w:tc>
      </w:tr>
      <w:tr w:rsidR="00862B0B" w:rsidRPr="00A67277" w14:paraId="6A8206D9" w14:textId="77777777" w:rsidTr="00862B0B">
        <w:tc>
          <w:tcPr>
            <w:tcW w:w="2270" w:type="pct"/>
          </w:tcPr>
          <w:p w14:paraId="51135EE1" w14:textId="78C14281" w:rsidR="00862B0B" w:rsidRPr="00A67277" w:rsidRDefault="00862B0B" w:rsidP="00862B0B">
            <w:pPr>
              <w:pStyle w:val="Level3"/>
              <w:numPr>
                <w:ilvl w:val="2"/>
                <w:numId w:val="433"/>
              </w:numPr>
              <w:tabs>
                <w:tab w:val="clear" w:pos="1417"/>
              </w:tabs>
              <w:spacing w:before="60" w:after="60"/>
              <w:ind w:left="1701" w:hanging="621"/>
            </w:pPr>
            <w:r w:rsidRPr="00A67277">
              <w:t xml:space="preserve">Save as excused by a Legitimate Circumstance and subject to any other provisions in this Agreement, as of the Commercial Operation Date, the </w:t>
            </w:r>
            <w:r>
              <w:rPr>
                <w:rFonts w:cs="Arial"/>
              </w:rPr>
              <w:t>Service Fee</w:t>
            </w:r>
            <w:r w:rsidRPr="00A67277">
              <w:t xml:space="preserve"> is subject to deduction for failure to meet the Key Performance Indicators in any Billing Period. </w:t>
            </w:r>
          </w:p>
        </w:tc>
        <w:tc>
          <w:tcPr>
            <w:tcW w:w="169" w:type="pct"/>
          </w:tcPr>
          <w:p w14:paraId="6F2BB5C7" w14:textId="77777777" w:rsidR="00862B0B" w:rsidRPr="00A67277" w:rsidRDefault="00862B0B" w:rsidP="00862B0B">
            <w:pPr>
              <w:spacing w:before="60" w:after="60"/>
              <w:rPr>
                <w:rFonts w:ascii="Arial" w:hAnsi="Arial" w:cs="Arial"/>
                <w:sz w:val="21"/>
                <w:szCs w:val="21"/>
              </w:rPr>
            </w:pPr>
          </w:p>
        </w:tc>
        <w:tc>
          <w:tcPr>
            <w:tcW w:w="2561" w:type="pct"/>
            <w:gridSpan w:val="2"/>
          </w:tcPr>
          <w:p w14:paraId="7AE97D8A" w14:textId="29214D58" w:rsidR="00862B0B" w:rsidRPr="00A67277" w:rsidRDefault="00862B0B" w:rsidP="00862B0B">
            <w:pPr>
              <w:pStyle w:val="Level3"/>
              <w:numPr>
                <w:ilvl w:val="0"/>
                <w:numId w:val="9"/>
              </w:numPr>
              <w:spacing w:before="60" w:after="60"/>
              <w:ind w:left="1831" w:hanging="450"/>
              <w:rPr>
                <w:rFonts w:cs="Arial"/>
              </w:rPr>
            </w:pPr>
            <w:r w:rsidRPr="00A67277">
              <w:rPr>
                <w:rFonts w:cs="Arial"/>
              </w:rPr>
              <w:t xml:space="preserve">Kecuali dikarena Keadaan Yang Memaafkan dan tunduk pada ketentuan lain dalam Perjanjian ini, terhitung sejak Tanggal Operasi Komersial, Biaya Layanan tunduk pada pengurangan karena kegagalan memenuhi Indikator Kinerja Utama pada setiap Periode Penagihan. </w:t>
            </w:r>
          </w:p>
        </w:tc>
      </w:tr>
      <w:tr w:rsidR="00862B0B" w:rsidRPr="00A67277" w14:paraId="62C030EE" w14:textId="77777777" w:rsidTr="00862B0B">
        <w:tc>
          <w:tcPr>
            <w:tcW w:w="2270" w:type="pct"/>
          </w:tcPr>
          <w:p w14:paraId="194DAC71" w14:textId="09A5CF90" w:rsidR="00862B0B" w:rsidRPr="00A67277" w:rsidRDefault="00862B0B" w:rsidP="00862B0B">
            <w:pPr>
              <w:pStyle w:val="Level3"/>
              <w:numPr>
                <w:ilvl w:val="2"/>
                <w:numId w:val="433"/>
              </w:numPr>
              <w:tabs>
                <w:tab w:val="clear" w:pos="1417"/>
              </w:tabs>
              <w:spacing w:before="60" w:after="60"/>
              <w:ind w:left="1710" w:hanging="630"/>
            </w:pPr>
            <w:r w:rsidRPr="00A67277">
              <w:t>The amount of performance failure deduction as referred in paragraph (a) shall be calculated based on formula stipulated in Appendix 12 (</w:t>
            </w:r>
            <w:r>
              <w:t>Service Fee</w:t>
            </w:r>
            <w:r w:rsidRPr="00A67277">
              <w:t>).</w:t>
            </w:r>
          </w:p>
        </w:tc>
        <w:tc>
          <w:tcPr>
            <w:tcW w:w="169" w:type="pct"/>
          </w:tcPr>
          <w:p w14:paraId="53DD3D52" w14:textId="77777777" w:rsidR="00862B0B" w:rsidRPr="00A67277" w:rsidRDefault="00862B0B" w:rsidP="00862B0B">
            <w:pPr>
              <w:spacing w:before="60" w:after="60"/>
              <w:rPr>
                <w:rFonts w:ascii="Arial" w:hAnsi="Arial" w:cs="Arial"/>
                <w:sz w:val="21"/>
                <w:szCs w:val="21"/>
              </w:rPr>
            </w:pPr>
          </w:p>
        </w:tc>
        <w:tc>
          <w:tcPr>
            <w:tcW w:w="2561" w:type="pct"/>
            <w:gridSpan w:val="2"/>
          </w:tcPr>
          <w:p w14:paraId="69865D8F" w14:textId="39187013" w:rsidR="00862B0B" w:rsidRPr="00A67277" w:rsidRDefault="00862B0B" w:rsidP="00862B0B">
            <w:pPr>
              <w:pStyle w:val="Level3"/>
              <w:numPr>
                <w:ilvl w:val="0"/>
                <w:numId w:val="9"/>
              </w:numPr>
              <w:spacing w:before="60" w:after="60"/>
              <w:ind w:left="1831" w:hanging="450"/>
              <w:rPr>
                <w:rFonts w:cs="Arial"/>
              </w:rPr>
            </w:pPr>
            <w:r w:rsidRPr="00A67277">
              <w:rPr>
                <w:rFonts w:cs="Arial"/>
              </w:rPr>
              <w:t>Jumlah pengurangan untuk kegagalan kinerja sebagaimana dimaksud dalam paragraf (a) dihitung berdasarkan rumus yang diatur dalam Lampiran 12 (</w:t>
            </w:r>
            <w:r>
              <w:rPr>
                <w:rFonts w:cs="Arial"/>
              </w:rPr>
              <w:t>Biaya</w:t>
            </w:r>
            <w:r w:rsidRPr="00A67277">
              <w:rPr>
                <w:rFonts w:cs="Arial"/>
              </w:rPr>
              <w:t xml:space="preserve"> Layanan).</w:t>
            </w:r>
          </w:p>
        </w:tc>
      </w:tr>
      <w:tr w:rsidR="00862B0B" w:rsidRPr="00A67277" w14:paraId="0FAC49EB" w14:textId="77777777" w:rsidTr="00862B0B">
        <w:tc>
          <w:tcPr>
            <w:tcW w:w="2270" w:type="pct"/>
          </w:tcPr>
          <w:p w14:paraId="02220F94" w14:textId="111F85D9" w:rsidR="00862B0B" w:rsidRPr="00A67277" w:rsidRDefault="00862B0B" w:rsidP="00862B0B">
            <w:pPr>
              <w:pStyle w:val="Heading1"/>
              <w:numPr>
                <w:ilvl w:val="0"/>
                <w:numId w:val="432"/>
              </w:numPr>
              <w:spacing w:before="60" w:after="60"/>
              <w:ind w:left="416" w:hanging="416"/>
            </w:pPr>
            <w:r w:rsidRPr="00A67277">
              <w:t>Invoicing and Payments</w:t>
            </w:r>
          </w:p>
        </w:tc>
        <w:tc>
          <w:tcPr>
            <w:tcW w:w="169" w:type="pct"/>
          </w:tcPr>
          <w:p w14:paraId="6FBC5091" w14:textId="77777777" w:rsidR="00862B0B" w:rsidRPr="00A67277" w:rsidRDefault="00862B0B" w:rsidP="00862B0B">
            <w:pPr>
              <w:spacing w:before="60" w:after="60"/>
              <w:rPr>
                <w:rFonts w:ascii="Arial" w:hAnsi="Arial" w:cs="Arial"/>
                <w:sz w:val="21"/>
                <w:szCs w:val="21"/>
              </w:rPr>
            </w:pPr>
          </w:p>
        </w:tc>
        <w:tc>
          <w:tcPr>
            <w:tcW w:w="2561" w:type="pct"/>
            <w:gridSpan w:val="2"/>
          </w:tcPr>
          <w:p w14:paraId="266BC689" w14:textId="77777777"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Penagihan dan Pembayaran</w:t>
            </w:r>
          </w:p>
        </w:tc>
      </w:tr>
      <w:tr w:rsidR="00862B0B" w:rsidRPr="00A67277" w14:paraId="29C92104" w14:textId="77777777" w:rsidTr="00862B0B">
        <w:tc>
          <w:tcPr>
            <w:tcW w:w="2270" w:type="pct"/>
          </w:tcPr>
          <w:p w14:paraId="5F9C6F2C" w14:textId="77777777" w:rsidR="00862B0B" w:rsidRPr="00A67277" w:rsidRDefault="00862B0B" w:rsidP="00862B0B">
            <w:pPr>
              <w:pStyle w:val="Heading2"/>
              <w:numPr>
                <w:ilvl w:val="0"/>
                <w:numId w:val="27"/>
              </w:numPr>
              <w:spacing w:before="60" w:after="60"/>
              <w:ind w:left="990" w:hanging="540"/>
              <w:outlineLvl w:val="1"/>
              <w:rPr>
                <w:rFonts w:ascii="Arial" w:hAnsi="Arial" w:cs="Arial"/>
                <w:b/>
                <w:color w:val="auto"/>
                <w:sz w:val="21"/>
                <w:szCs w:val="21"/>
              </w:rPr>
            </w:pPr>
            <w:r w:rsidRPr="00A67277">
              <w:rPr>
                <w:rFonts w:ascii="Arial" w:hAnsi="Arial" w:cs="Arial"/>
                <w:b/>
                <w:color w:val="auto"/>
                <w:sz w:val="21"/>
                <w:szCs w:val="21"/>
              </w:rPr>
              <w:t>Invoices, Taxes, etc.</w:t>
            </w:r>
          </w:p>
        </w:tc>
        <w:tc>
          <w:tcPr>
            <w:tcW w:w="169" w:type="pct"/>
          </w:tcPr>
          <w:p w14:paraId="0F61CAAC" w14:textId="77777777" w:rsidR="00862B0B" w:rsidRPr="00A67277" w:rsidRDefault="00862B0B" w:rsidP="00862B0B">
            <w:pPr>
              <w:spacing w:before="60" w:after="60"/>
              <w:rPr>
                <w:rFonts w:ascii="Arial" w:hAnsi="Arial" w:cs="Arial"/>
                <w:sz w:val="21"/>
                <w:szCs w:val="21"/>
              </w:rPr>
            </w:pPr>
          </w:p>
        </w:tc>
        <w:tc>
          <w:tcPr>
            <w:tcW w:w="2561" w:type="pct"/>
            <w:gridSpan w:val="2"/>
          </w:tcPr>
          <w:p w14:paraId="35A8DA3D" w14:textId="77777777" w:rsidR="00862B0B" w:rsidRPr="00A67277" w:rsidRDefault="00862B0B" w:rsidP="00862B0B">
            <w:pPr>
              <w:pStyle w:val="Heading2"/>
              <w:numPr>
                <w:ilvl w:val="0"/>
                <w:numId w:val="10"/>
              </w:numPr>
              <w:spacing w:before="60" w:after="60"/>
              <w:ind w:left="1111" w:hanging="630"/>
              <w:jc w:val="both"/>
              <w:outlineLvl w:val="1"/>
              <w:rPr>
                <w:rFonts w:ascii="Arial" w:hAnsi="Arial" w:cs="Arial"/>
                <w:b/>
                <w:color w:val="auto"/>
                <w:sz w:val="21"/>
                <w:szCs w:val="21"/>
              </w:rPr>
            </w:pPr>
            <w:r w:rsidRPr="00A67277">
              <w:rPr>
                <w:rFonts w:ascii="Arial" w:hAnsi="Arial" w:cs="Arial"/>
                <w:b/>
                <w:color w:val="auto"/>
                <w:sz w:val="21"/>
                <w:szCs w:val="21"/>
              </w:rPr>
              <w:t>Tagihan, Pajak-Pajak, dll.</w:t>
            </w:r>
          </w:p>
        </w:tc>
      </w:tr>
      <w:tr w:rsidR="00862B0B" w:rsidRPr="00A67277" w14:paraId="023C3CE7" w14:textId="77777777" w:rsidTr="00862B0B">
        <w:tc>
          <w:tcPr>
            <w:tcW w:w="2270" w:type="pct"/>
          </w:tcPr>
          <w:p w14:paraId="24045B8A" w14:textId="02F43685" w:rsidR="00862B0B" w:rsidRPr="00A67277" w:rsidRDefault="00862B0B" w:rsidP="00862B0B">
            <w:pPr>
              <w:pStyle w:val="Level3"/>
              <w:numPr>
                <w:ilvl w:val="2"/>
                <w:numId w:val="26"/>
              </w:numPr>
              <w:tabs>
                <w:tab w:val="clear" w:pos="1417"/>
              </w:tabs>
              <w:spacing w:before="60" w:after="60"/>
              <w:ind w:left="1406" w:hanging="450"/>
            </w:pPr>
            <w:r w:rsidRPr="00A67277">
              <w:t xml:space="preserve">As of the Commercial Operation Date, the IBE must render itemised invoices for the payment of the </w:t>
            </w:r>
            <w:r>
              <w:t>Service Fee</w:t>
            </w:r>
            <w:r w:rsidRPr="00A67277">
              <w:t xml:space="preserve"> (</w:t>
            </w:r>
            <w:r w:rsidRPr="00A67277">
              <w:rPr>
                <w:b/>
              </w:rPr>
              <w:t>Invoice</w:t>
            </w:r>
            <w:r w:rsidRPr="00A67277">
              <w:t>) to GCA for each Billing Period in accordance with the requirements set out in Appendix 10 (</w:t>
            </w:r>
            <w:r w:rsidRPr="00A67277">
              <w:rPr>
                <w:i/>
              </w:rPr>
              <w:t>Invoicing</w:t>
            </w:r>
            <w:r w:rsidRPr="00A67277">
              <w:t>). The Invoice shall also provide statement of the performance failure deduction (if any).</w:t>
            </w:r>
          </w:p>
        </w:tc>
        <w:tc>
          <w:tcPr>
            <w:tcW w:w="169" w:type="pct"/>
          </w:tcPr>
          <w:p w14:paraId="563882BD" w14:textId="77777777" w:rsidR="00862B0B" w:rsidRPr="00A67277" w:rsidRDefault="00862B0B" w:rsidP="00862B0B">
            <w:pPr>
              <w:spacing w:before="60" w:after="60"/>
              <w:rPr>
                <w:rFonts w:ascii="Arial" w:hAnsi="Arial" w:cs="Arial"/>
                <w:sz w:val="21"/>
                <w:szCs w:val="21"/>
              </w:rPr>
            </w:pPr>
          </w:p>
        </w:tc>
        <w:tc>
          <w:tcPr>
            <w:tcW w:w="2561" w:type="pct"/>
            <w:gridSpan w:val="2"/>
          </w:tcPr>
          <w:p w14:paraId="50FC830C" w14:textId="6DDC311B" w:rsidR="00862B0B" w:rsidRPr="00A67277" w:rsidRDefault="00862B0B" w:rsidP="00862B0B">
            <w:pPr>
              <w:pStyle w:val="Level3"/>
              <w:numPr>
                <w:ilvl w:val="0"/>
                <w:numId w:val="30"/>
              </w:numPr>
              <w:spacing w:before="60" w:after="60"/>
              <w:ind w:left="1732" w:hanging="540"/>
              <w:rPr>
                <w:rFonts w:cs="Arial"/>
              </w:rPr>
            </w:pPr>
            <w:r w:rsidRPr="00A67277">
              <w:rPr>
                <w:rFonts w:cs="Arial"/>
              </w:rPr>
              <w:t>Sejak Tanggal Operasi Komersial, BUP harus membuat Tagihan yang rinci untuk pembayaran Biaya Layanan (</w:t>
            </w:r>
            <w:r w:rsidRPr="00A67277">
              <w:rPr>
                <w:rFonts w:cs="Arial"/>
                <w:b/>
              </w:rPr>
              <w:t>Tagihan</w:t>
            </w:r>
            <w:r w:rsidRPr="00A67277">
              <w:rPr>
                <w:rFonts w:cs="Arial"/>
              </w:rPr>
              <w:t>) kepada PJPK untuk setiap Periode Penagihan sesuai dengan persyaratan yang ditetapkan pada Lampiran 10 (</w:t>
            </w:r>
            <w:r w:rsidRPr="00A67277">
              <w:rPr>
                <w:rFonts w:cs="Arial"/>
                <w:i/>
              </w:rPr>
              <w:t>Tagihan</w:t>
            </w:r>
            <w:r w:rsidRPr="00A67277">
              <w:rPr>
                <w:rFonts w:cs="Arial"/>
              </w:rPr>
              <w:t xml:space="preserve">). Tagihan juga harus memberikan pernyataan tentang pengurangan kegagalan kinerja (jika ada). </w:t>
            </w:r>
          </w:p>
        </w:tc>
      </w:tr>
      <w:tr w:rsidR="00862B0B" w:rsidRPr="00A67277" w14:paraId="20F0E53C" w14:textId="77777777" w:rsidTr="00862B0B">
        <w:tc>
          <w:tcPr>
            <w:tcW w:w="2270" w:type="pct"/>
          </w:tcPr>
          <w:p w14:paraId="5BF91FB7" w14:textId="77777777" w:rsidR="00862B0B" w:rsidRPr="00A67277" w:rsidRDefault="00862B0B" w:rsidP="00862B0B">
            <w:pPr>
              <w:pStyle w:val="Level3"/>
              <w:numPr>
                <w:ilvl w:val="2"/>
                <w:numId w:val="434"/>
              </w:numPr>
              <w:spacing w:before="60" w:after="60"/>
              <w:ind w:hanging="403"/>
            </w:pPr>
            <w:r w:rsidRPr="00A67277">
              <w:t>Amounts payable under the Invoice shall be payable within thirty (30) Days of the date the Invoice (“</w:t>
            </w:r>
            <w:r w:rsidRPr="00A67277">
              <w:rPr>
                <w:b/>
              </w:rPr>
              <w:t>Invoice Payment Date”</w:t>
            </w:r>
            <w:r w:rsidRPr="00A67277">
              <w:t>).</w:t>
            </w:r>
          </w:p>
        </w:tc>
        <w:tc>
          <w:tcPr>
            <w:tcW w:w="169" w:type="pct"/>
          </w:tcPr>
          <w:p w14:paraId="7F42995A" w14:textId="77777777" w:rsidR="00862B0B" w:rsidRPr="00A67277" w:rsidRDefault="00862B0B" w:rsidP="00862B0B">
            <w:pPr>
              <w:spacing w:before="60" w:after="60"/>
              <w:rPr>
                <w:rFonts w:ascii="Arial" w:hAnsi="Arial" w:cs="Arial"/>
                <w:sz w:val="21"/>
                <w:szCs w:val="21"/>
              </w:rPr>
            </w:pPr>
          </w:p>
        </w:tc>
        <w:tc>
          <w:tcPr>
            <w:tcW w:w="2561" w:type="pct"/>
            <w:gridSpan w:val="2"/>
          </w:tcPr>
          <w:p w14:paraId="39021BCA" w14:textId="77777777" w:rsidR="00862B0B" w:rsidRPr="00A67277" w:rsidRDefault="00862B0B" w:rsidP="00862B0B">
            <w:pPr>
              <w:pStyle w:val="Level3"/>
              <w:numPr>
                <w:ilvl w:val="0"/>
                <w:numId w:val="30"/>
              </w:numPr>
              <w:spacing w:before="60" w:after="60"/>
              <w:ind w:left="1732" w:hanging="540"/>
              <w:rPr>
                <w:rFonts w:cs="Arial"/>
              </w:rPr>
            </w:pPr>
            <w:r w:rsidRPr="00A67277">
              <w:rPr>
                <w:rFonts w:cs="Arial"/>
              </w:rPr>
              <w:t>Jumlah yang harus dibayar berdasarkan Tagihan akan dibayarkan dalam waktu tiga puluh (30) Hari dari tanggal Tagihan (“</w:t>
            </w:r>
            <w:r w:rsidRPr="00A67277">
              <w:rPr>
                <w:rFonts w:cs="Arial"/>
                <w:b/>
              </w:rPr>
              <w:t>Tanggal Pembayaran Tagihan</w:t>
            </w:r>
            <w:r w:rsidRPr="00A67277">
              <w:rPr>
                <w:rFonts w:cs="Arial"/>
              </w:rPr>
              <w:t>”).</w:t>
            </w:r>
          </w:p>
        </w:tc>
      </w:tr>
      <w:tr w:rsidR="00862B0B" w:rsidRPr="00A67277" w14:paraId="151AC5F5" w14:textId="77777777" w:rsidTr="00862B0B">
        <w:tc>
          <w:tcPr>
            <w:tcW w:w="2270" w:type="pct"/>
          </w:tcPr>
          <w:p w14:paraId="5496E1E6" w14:textId="77777777" w:rsidR="00862B0B" w:rsidRPr="00A67277" w:rsidRDefault="00862B0B" w:rsidP="00862B0B">
            <w:pPr>
              <w:pStyle w:val="Level3"/>
              <w:numPr>
                <w:ilvl w:val="2"/>
                <w:numId w:val="434"/>
              </w:numPr>
              <w:spacing w:before="60" w:after="60"/>
              <w:ind w:hanging="403"/>
            </w:pPr>
            <w:r w:rsidRPr="00A67277">
              <w:t>All payments to be paid by the GCA under this Agreement shall be paid:</w:t>
            </w:r>
          </w:p>
        </w:tc>
        <w:tc>
          <w:tcPr>
            <w:tcW w:w="169" w:type="pct"/>
          </w:tcPr>
          <w:p w14:paraId="3B6509C0" w14:textId="77777777" w:rsidR="00862B0B" w:rsidRPr="00A67277" w:rsidRDefault="00862B0B" w:rsidP="00862B0B">
            <w:pPr>
              <w:spacing w:before="60" w:after="60"/>
              <w:rPr>
                <w:rFonts w:ascii="Arial" w:hAnsi="Arial" w:cs="Arial"/>
                <w:sz w:val="21"/>
                <w:szCs w:val="21"/>
              </w:rPr>
            </w:pPr>
          </w:p>
        </w:tc>
        <w:tc>
          <w:tcPr>
            <w:tcW w:w="2561" w:type="pct"/>
            <w:gridSpan w:val="2"/>
          </w:tcPr>
          <w:p w14:paraId="2E33D262" w14:textId="77777777" w:rsidR="00862B0B" w:rsidRPr="00A67277" w:rsidRDefault="00862B0B" w:rsidP="00862B0B">
            <w:pPr>
              <w:pStyle w:val="Level3"/>
              <w:numPr>
                <w:ilvl w:val="0"/>
                <w:numId w:val="30"/>
              </w:numPr>
              <w:spacing w:before="60" w:after="60"/>
              <w:ind w:left="1732" w:hanging="540"/>
              <w:rPr>
                <w:rFonts w:cs="Arial"/>
              </w:rPr>
            </w:pPr>
            <w:r w:rsidRPr="00A67277">
              <w:rPr>
                <w:rFonts w:cs="Arial"/>
              </w:rPr>
              <w:t>Semua pembayaran yang harus dibayar oleh PJPK berdasarkan Perjanjian ini harus dibayar dengan syarat:</w:t>
            </w:r>
          </w:p>
        </w:tc>
      </w:tr>
      <w:tr w:rsidR="00862B0B" w:rsidRPr="00A67277" w14:paraId="1A5FA589" w14:textId="77777777" w:rsidTr="00862B0B">
        <w:tc>
          <w:tcPr>
            <w:tcW w:w="2270" w:type="pct"/>
          </w:tcPr>
          <w:p w14:paraId="3F28FF00" w14:textId="77777777" w:rsidR="00862B0B" w:rsidRPr="00A67277" w:rsidRDefault="00862B0B" w:rsidP="00862B0B">
            <w:pPr>
              <w:pStyle w:val="Level4"/>
              <w:numPr>
                <w:ilvl w:val="0"/>
                <w:numId w:val="28"/>
              </w:numPr>
              <w:spacing w:before="60" w:after="60"/>
              <w:ind w:left="1953"/>
            </w:pPr>
            <w:r w:rsidRPr="00A67277">
              <w:t xml:space="preserve">in Indonesian Rupiah currency (IDR); </w:t>
            </w:r>
          </w:p>
          <w:p w14:paraId="22CB8947" w14:textId="77777777" w:rsidR="00862B0B" w:rsidRPr="00A67277" w:rsidRDefault="00862B0B" w:rsidP="00862B0B">
            <w:pPr>
              <w:spacing w:before="60" w:after="60"/>
              <w:rPr>
                <w:rFonts w:ascii="Arial" w:hAnsi="Arial" w:cs="Arial"/>
                <w:sz w:val="21"/>
                <w:szCs w:val="21"/>
              </w:rPr>
            </w:pPr>
          </w:p>
        </w:tc>
        <w:tc>
          <w:tcPr>
            <w:tcW w:w="169" w:type="pct"/>
          </w:tcPr>
          <w:p w14:paraId="755E404E" w14:textId="77777777" w:rsidR="00862B0B" w:rsidRPr="00A67277" w:rsidRDefault="00862B0B" w:rsidP="00862B0B">
            <w:pPr>
              <w:spacing w:before="60" w:after="60"/>
              <w:rPr>
                <w:rFonts w:ascii="Arial" w:hAnsi="Arial" w:cs="Arial"/>
                <w:sz w:val="21"/>
                <w:szCs w:val="21"/>
              </w:rPr>
            </w:pPr>
          </w:p>
        </w:tc>
        <w:tc>
          <w:tcPr>
            <w:tcW w:w="2561" w:type="pct"/>
            <w:gridSpan w:val="2"/>
          </w:tcPr>
          <w:p w14:paraId="3BD5F688" w14:textId="77777777" w:rsidR="00862B0B" w:rsidRPr="00A67277" w:rsidRDefault="00862B0B" w:rsidP="00862B0B">
            <w:pPr>
              <w:pStyle w:val="Level4"/>
              <w:numPr>
                <w:ilvl w:val="0"/>
                <w:numId w:val="29"/>
              </w:numPr>
              <w:spacing w:before="60" w:after="60"/>
              <w:ind w:left="2126"/>
              <w:rPr>
                <w:rFonts w:cs="Arial"/>
              </w:rPr>
            </w:pPr>
            <w:r w:rsidRPr="00A67277">
              <w:rPr>
                <w:rFonts w:cs="Arial"/>
              </w:rPr>
              <w:t xml:space="preserve">dalam mata uang Rupiah (Rp.); </w:t>
            </w:r>
          </w:p>
        </w:tc>
      </w:tr>
      <w:tr w:rsidR="00862B0B" w:rsidRPr="00A67277" w14:paraId="05BBF4FD" w14:textId="77777777" w:rsidTr="00862B0B">
        <w:tc>
          <w:tcPr>
            <w:tcW w:w="2270" w:type="pct"/>
          </w:tcPr>
          <w:p w14:paraId="0FC5AC63" w14:textId="77777777" w:rsidR="00862B0B" w:rsidRPr="00A67277" w:rsidRDefault="00862B0B" w:rsidP="00862B0B">
            <w:pPr>
              <w:pStyle w:val="Level4"/>
              <w:numPr>
                <w:ilvl w:val="0"/>
                <w:numId w:val="690"/>
              </w:numPr>
              <w:spacing w:before="60" w:after="60"/>
              <w:ind w:left="1953"/>
            </w:pPr>
            <w:r w:rsidRPr="00A67277">
              <w:t>the funds shall be readily available within three (3) days after payment;</w:t>
            </w:r>
          </w:p>
          <w:p w14:paraId="55243868" w14:textId="77777777" w:rsidR="00862B0B" w:rsidRPr="00A67277" w:rsidRDefault="00862B0B" w:rsidP="00862B0B">
            <w:pPr>
              <w:spacing w:before="60" w:after="60"/>
              <w:rPr>
                <w:rFonts w:ascii="Arial" w:hAnsi="Arial" w:cs="Arial"/>
                <w:sz w:val="21"/>
                <w:szCs w:val="21"/>
              </w:rPr>
            </w:pPr>
          </w:p>
        </w:tc>
        <w:tc>
          <w:tcPr>
            <w:tcW w:w="169" w:type="pct"/>
          </w:tcPr>
          <w:p w14:paraId="6994D315" w14:textId="77777777" w:rsidR="00862B0B" w:rsidRPr="00A67277" w:rsidRDefault="00862B0B" w:rsidP="00862B0B">
            <w:pPr>
              <w:spacing w:before="60" w:after="60"/>
              <w:rPr>
                <w:rFonts w:ascii="Arial" w:hAnsi="Arial" w:cs="Arial"/>
                <w:sz w:val="21"/>
                <w:szCs w:val="21"/>
              </w:rPr>
            </w:pPr>
          </w:p>
        </w:tc>
        <w:tc>
          <w:tcPr>
            <w:tcW w:w="2561" w:type="pct"/>
            <w:gridSpan w:val="2"/>
          </w:tcPr>
          <w:p w14:paraId="0D72BCA6" w14:textId="77777777" w:rsidR="00862B0B" w:rsidRPr="00A67277" w:rsidRDefault="00862B0B" w:rsidP="00862B0B">
            <w:pPr>
              <w:pStyle w:val="Level4"/>
              <w:numPr>
                <w:ilvl w:val="0"/>
                <w:numId w:val="29"/>
              </w:numPr>
              <w:spacing w:before="60" w:after="60"/>
              <w:ind w:left="2126"/>
              <w:rPr>
                <w:rFonts w:cs="Arial"/>
              </w:rPr>
            </w:pPr>
            <w:r w:rsidRPr="00A67277">
              <w:rPr>
                <w:rFonts w:cs="Arial"/>
              </w:rPr>
              <w:t>dana harus segera tersedia dalam waktu tiga (3) Hari setelah pembayaran;</w:t>
            </w:r>
          </w:p>
        </w:tc>
      </w:tr>
      <w:tr w:rsidR="00862B0B" w:rsidRPr="00A67277" w14:paraId="568D8E67" w14:textId="77777777" w:rsidTr="00862B0B">
        <w:tc>
          <w:tcPr>
            <w:tcW w:w="2270" w:type="pct"/>
          </w:tcPr>
          <w:p w14:paraId="16B248BB" w14:textId="77777777" w:rsidR="00862B0B" w:rsidRPr="00A67277" w:rsidRDefault="00862B0B" w:rsidP="00862B0B">
            <w:pPr>
              <w:pStyle w:val="Level4"/>
              <w:numPr>
                <w:ilvl w:val="0"/>
                <w:numId w:val="690"/>
              </w:numPr>
              <w:spacing w:before="60" w:after="60"/>
              <w:ind w:left="1953"/>
            </w:pPr>
            <w:r w:rsidRPr="00A67277">
              <w:t>addressed to the bank account notified in writing by the IBE or where applicable by the Financing Parties in accordance with the GCA Consent Letter.</w:t>
            </w:r>
          </w:p>
        </w:tc>
        <w:tc>
          <w:tcPr>
            <w:tcW w:w="169" w:type="pct"/>
          </w:tcPr>
          <w:p w14:paraId="509CF7F6" w14:textId="77777777" w:rsidR="00862B0B" w:rsidRPr="00A67277" w:rsidRDefault="00862B0B" w:rsidP="00862B0B">
            <w:pPr>
              <w:spacing w:before="60" w:after="60"/>
              <w:rPr>
                <w:rFonts w:ascii="Arial" w:hAnsi="Arial" w:cs="Arial"/>
                <w:sz w:val="21"/>
                <w:szCs w:val="21"/>
              </w:rPr>
            </w:pPr>
          </w:p>
        </w:tc>
        <w:tc>
          <w:tcPr>
            <w:tcW w:w="2561" w:type="pct"/>
            <w:gridSpan w:val="2"/>
          </w:tcPr>
          <w:p w14:paraId="30E183E4" w14:textId="77777777" w:rsidR="00862B0B" w:rsidRPr="00A67277" w:rsidRDefault="00862B0B" w:rsidP="00862B0B">
            <w:pPr>
              <w:pStyle w:val="Level4"/>
              <w:numPr>
                <w:ilvl w:val="0"/>
                <w:numId w:val="29"/>
              </w:numPr>
              <w:spacing w:before="60" w:after="60"/>
              <w:ind w:left="2126"/>
              <w:rPr>
                <w:rFonts w:cs="Arial"/>
              </w:rPr>
            </w:pPr>
            <w:r w:rsidRPr="00A67277">
              <w:rPr>
                <w:rFonts w:cs="Arial"/>
              </w:rPr>
              <w:t>ditujukan ke rekening bank yang diberitahukan secara tertulis oleh BUP atau bila dimungkinkan oleh Pihak Pembiaya sesuai dengan Surat Persetujuan PJPK</w:t>
            </w:r>
          </w:p>
        </w:tc>
      </w:tr>
      <w:tr w:rsidR="00862B0B" w:rsidRPr="00A67277" w14:paraId="274C63E0" w14:textId="77777777" w:rsidTr="00862B0B">
        <w:tc>
          <w:tcPr>
            <w:tcW w:w="2270" w:type="pct"/>
          </w:tcPr>
          <w:p w14:paraId="0F9CF7B0" w14:textId="77777777" w:rsidR="00862B0B" w:rsidRPr="00A67277" w:rsidRDefault="00862B0B" w:rsidP="00862B0B">
            <w:pPr>
              <w:pStyle w:val="Level3"/>
              <w:numPr>
                <w:ilvl w:val="2"/>
                <w:numId w:val="434"/>
              </w:numPr>
              <w:tabs>
                <w:tab w:val="clear" w:pos="1417"/>
              </w:tabs>
              <w:spacing w:before="60" w:after="60"/>
              <w:ind w:left="1723" w:hanging="709"/>
            </w:pPr>
            <w:r w:rsidRPr="00A67277">
              <w:t xml:space="preserve">Unless stipulated otherwise in this Agreement, all Taxes imposed, including income tax (including withholding tax) shall be borne by each Party in accordance with the prevailing Law. </w:t>
            </w:r>
          </w:p>
          <w:p w14:paraId="13D6CE7E" w14:textId="77777777" w:rsidR="00862B0B" w:rsidRPr="00A67277" w:rsidRDefault="00862B0B" w:rsidP="00862B0B">
            <w:pPr>
              <w:spacing w:before="60" w:after="60"/>
              <w:rPr>
                <w:rFonts w:ascii="Arial" w:hAnsi="Arial" w:cs="Arial"/>
                <w:sz w:val="21"/>
                <w:szCs w:val="21"/>
              </w:rPr>
            </w:pPr>
          </w:p>
        </w:tc>
        <w:tc>
          <w:tcPr>
            <w:tcW w:w="169" w:type="pct"/>
          </w:tcPr>
          <w:p w14:paraId="32BC6A0D" w14:textId="77777777" w:rsidR="00862B0B" w:rsidRPr="00A67277" w:rsidRDefault="00862B0B" w:rsidP="00862B0B">
            <w:pPr>
              <w:spacing w:before="60" w:after="60"/>
              <w:rPr>
                <w:rFonts w:ascii="Arial" w:hAnsi="Arial" w:cs="Arial"/>
                <w:sz w:val="21"/>
                <w:szCs w:val="21"/>
              </w:rPr>
            </w:pPr>
          </w:p>
        </w:tc>
        <w:tc>
          <w:tcPr>
            <w:tcW w:w="2561" w:type="pct"/>
            <w:gridSpan w:val="2"/>
          </w:tcPr>
          <w:p w14:paraId="013D49FF" w14:textId="015E9A65" w:rsidR="00862B0B" w:rsidRPr="00A67277" w:rsidRDefault="00862B0B" w:rsidP="00862B0B">
            <w:pPr>
              <w:pStyle w:val="Level3"/>
              <w:numPr>
                <w:ilvl w:val="0"/>
                <w:numId w:val="30"/>
              </w:numPr>
              <w:spacing w:before="60" w:after="60"/>
              <w:ind w:left="1732" w:hanging="540"/>
              <w:rPr>
                <w:rFonts w:cs="Arial"/>
              </w:rPr>
            </w:pPr>
            <w:r w:rsidRPr="00A67277">
              <w:rPr>
                <w:rFonts w:cs="Arial"/>
              </w:rPr>
              <w:t xml:space="preserve">Kecuali diatur lain dalam Perjanjian ini, semua Pajak-Pajak yang dikenakan, termasuk pajak penghasilan (termasuk potongan pajak penghasilan) dibebankan kepada masing-masing Pihak sesuai dengan Hukum yang berlaku. </w:t>
            </w:r>
          </w:p>
        </w:tc>
      </w:tr>
      <w:tr w:rsidR="00862B0B" w:rsidRPr="00A67277" w14:paraId="5D8B6D53" w14:textId="77777777" w:rsidTr="00862B0B">
        <w:tc>
          <w:tcPr>
            <w:tcW w:w="2270" w:type="pct"/>
          </w:tcPr>
          <w:p w14:paraId="38A0509C" w14:textId="77777777" w:rsidR="00862B0B" w:rsidRPr="00A67277" w:rsidRDefault="00862B0B" w:rsidP="00862B0B">
            <w:pPr>
              <w:pStyle w:val="Heading2"/>
              <w:numPr>
                <w:ilvl w:val="0"/>
                <w:numId w:val="27"/>
              </w:numPr>
              <w:spacing w:before="60" w:after="60"/>
              <w:ind w:left="990" w:hanging="540"/>
              <w:outlineLvl w:val="1"/>
              <w:rPr>
                <w:color w:val="auto"/>
              </w:rPr>
            </w:pPr>
            <w:r w:rsidRPr="00A67277">
              <w:rPr>
                <w:rFonts w:ascii="Arial" w:hAnsi="Arial" w:cs="Arial"/>
                <w:b/>
                <w:color w:val="auto"/>
                <w:sz w:val="21"/>
                <w:szCs w:val="21"/>
              </w:rPr>
              <w:t>Disputed Invoices</w:t>
            </w:r>
          </w:p>
        </w:tc>
        <w:tc>
          <w:tcPr>
            <w:tcW w:w="169" w:type="pct"/>
          </w:tcPr>
          <w:p w14:paraId="7941338B" w14:textId="77777777" w:rsidR="00862B0B" w:rsidRPr="00A67277" w:rsidRDefault="00862B0B" w:rsidP="00862B0B">
            <w:pPr>
              <w:spacing w:before="60" w:after="60"/>
              <w:rPr>
                <w:rFonts w:ascii="Arial" w:hAnsi="Arial" w:cs="Arial"/>
                <w:sz w:val="21"/>
                <w:szCs w:val="21"/>
              </w:rPr>
            </w:pPr>
          </w:p>
        </w:tc>
        <w:tc>
          <w:tcPr>
            <w:tcW w:w="2561" w:type="pct"/>
            <w:gridSpan w:val="2"/>
          </w:tcPr>
          <w:p w14:paraId="55634CF0" w14:textId="77777777" w:rsidR="00862B0B" w:rsidRPr="00A67277" w:rsidRDefault="00862B0B" w:rsidP="00862B0B">
            <w:pPr>
              <w:pStyle w:val="Heading2"/>
              <w:numPr>
                <w:ilvl w:val="0"/>
                <w:numId w:val="10"/>
              </w:numPr>
              <w:spacing w:before="60" w:after="60"/>
              <w:ind w:left="1111" w:hanging="630"/>
              <w:jc w:val="both"/>
              <w:outlineLvl w:val="1"/>
              <w:rPr>
                <w:rFonts w:ascii="Arial" w:hAnsi="Arial" w:cs="Arial"/>
                <w:b/>
                <w:color w:val="auto"/>
                <w:sz w:val="21"/>
                <w:szCs w:val="21"/>
              </w:rPr>
            </w:pPr>
            <w:r w:rsidRPr="00A67277">
              <w:rPr>
                <w:rFonts w:ascii="Arial" w:hAnsi="Arial" w:cs="Arial"/>
                <w:b/>
                <w:color w:val="auto"/>
                <w:sz w:val="21"/>
                <w:szCs w:val="21"/>
              </w:rPr>
              <w:t>Tagihan Yang Disengketakan</w:t>
            </w:r>
          </w:p>
        </w:tc>
      </w:tr>
      <w:tr w:rsidR="00862B0B" w:rsidRPr="00A67277" w14:paraId="7EE97FE3" w14:textId="77777777" w:rsidTr="00862B0B">
        <w:tc>
          <w:tcPr>
            <w:tcW w:w="2270" w:type="pct"/>
          </w:tcPr>
          <w:p w14:paraId="48EDF6B3" w14:textId="77777777" w:rsidR="00862B0B" w:rsidRPr="00A67277" w:rsidRDefault="00862B0B" w:rsidP="00862B0B">
            <w:pPr>
              <w:pStyle w:val="Level3"/>
              <w:numPr>
                <w:ilvl w:val="2"/>
                <w:numId w:val="489"/>
              </w:numPr>
              <w:tabs>
                <w:tab w:val="clear" w:pos="1417"/>
              </w:tabs>
              <w:spacing w:before="60" w:after="60"/>
              <w:ind w:hanging="403"/>
              <w:rPr>
                <w:rFonts w:cs="Arial"/>
              </w:rPr>
            </w:pPr>
            <w:r w:rsidRPr="00A67277">
              <w:t>In the event a Party disputes any portion of an Invoice:</w:t>
            </w:r>
          </w:p>
        </w:tc>
        <w:tc>
          <w:tcPr>
            <w:tcW w:w="169" w:type="pct"/>
          </w:tcPr>
          <w:p w14:paraId="6C1DF9EE" w14:textId="77777777" w:rsidR="00862B0B" w:rsidRPr="00A67277" w:rsidRDefault="00862B0B" w:rsidP="00862B0B">
            <w:pPr>
              <w:spacing w:before="60" w:after="60"/>
              <w:rPr>
                <w:rFonts w:ascii="Arial" w:hAnsi="Arial" w:cs="Arial"/>
                <w:sz w:val="21"/>
                <w:szCs w:val="21"/>
              </w:rPr>
            </w:pPr>
          </w:p>
        </w:tc>
        <w:tc>
          <w:tcPr>
            <w:tcW w:w="2561" w:type="pct"/>
            <w:gridSpan w:val="2"/>
          </w:tcPr>
          <w:p w14:paraId="550A158C" w14:textId="77777777" w:rsidR="00862B0B" w:rsidRPr="00A67277" w:rsidRDefault="00862B0B" w:rsidP="00862B0B">
            <w:pPr>
              <w:pStyle w:val="Level3"/>
              <w:numPr>
                <w:ilvl w:val="0"/>
                <w:numId w:val="32"/>
              </w:numPr>
              <w:spacing w:before="60" w:after="60"/>
              <w:ind w:left="1642" w:hanging="540"/>
              <w:rPr>
                <w:rFonts w:cs="Arial"/>
              </w:rPr>
            </w:pPr>
            <w:r w:rsidRPr="00A67277">
              <w:rPr>
                <w:rFonts w:cs="Arial"/>
              </w:rPr>
              <w:t>Dalam hal suatu Pihak mempersengketakan bagian Tagihan apapun:</w:t>
            </w:r>
          </w:p>
        </w:tc>
      </w:tr>
      <w:tr w:rsidR="00862B0B" w:rsidRPr="00A67277" w14:paraId="3D838B67" w14:textId="77777777" w:rsidTr="00862B0B">
        <w:tc>
          <w:tcPr>
            <w:tcW w:w="2270" w:type="pct"/>
          </w:tcPr>
          <w:p w14:paraId="5EDC141C" w14:textId="77777777" w:rsidR="00862B0B" w:rsidRPr="00A67277" w:rsidRDefault="00862B0B" w:rsidP="00862B0B">
            <w:pPr>
              <w:pStyle w:val="Level4"/>
              <w:numPr>
                <w:ilvl w:val="0"/>
                <w:numId w:val="31"/>
              </w:numPr>
              <w:spacing w:before="60" w:after="60"/>
              <w:ind w:left="2223"/>
            </w:pPr>
            <w:r w:rsidRPr="00A67277">
              <w:t>either GCA or the IBE may refer such Dispute for resolution in accordance with Clause 28 (</w:t>
            </w:r>
            <w:r w:rsidRPr="00A67277">
              <w:rPr>
                <w:i/>
              </w:rPr>
              <w:t>Settlement of Disputes</w:t>
            </w:r>
            <w:r w:rsidRPr="00A67277">
              <w:t>);</w:t>
            </w:r>
            <w:r w:rsidRPr="00A67277">
              <w:rPr>
                <w:rFonts w:eastAsia="Times New Roman"/>
              </w:rPr>
              <w:t xml:space="preserve"> and</w:t>
            </w:r>
          </w:p>
        </w:tc>
        <w:tc>
          <w:tcPr>
            <w:tcW w:w="169" w:type="pct"/>
          </w:tcPr>
          <w:p w14:paraId="3BFC5EB3" w14:textId="77777777" w:rsidR="00862B0B" w:rsidRPr="00A67277" w:rsidRDefault="00862B0B" w:rsidP="00862B0B">
            <w:pPr>
              <w:spacing w:before="60" w:after="60"/>
              <w:rPr>
                <w:rFonts w:ascii="Arial" w:hAnsi="Arial" w:cs="Arial"/>
                <w:sz w:val="21"/>
                <w:szCs w:val="21"/>
              </w:rPr>
            </w:pPr>
          </w:p>
        </w:tc>
        <w:tc>
          <w:tcPr>
            <w:tcW w:w="2561" w:type="pct"/>
            <w:gridSpan w:val="2"/>
          </w:tcPr>
          <w:p w14:paraId="5BC9BB6A" w14:textId="77777777" w:rsidR="00862B0B" w:rsidRPr="00A67277" w:rsidRDefault="00862B0B" w:rsidP="00862B0B">
            <w:pPr>
              <w:pStyle w:val="Level4"/>
              <w:numPr>
                <w:ilvl w:val="0"/>
                <w:numId w:val="33"/>
              </w:numPr>
              <w:spacing w:before="60" w:after="60"/>
              <w:ind w:left="2092"/>
              <w:rPr>
                <w:rFonts w:cs="Arial"/>
              </w:rPr>
            </w:pPr>
            <w:r w:rsidRPr="00A67277">
              <w:rPr>
                <w:rFonts w:cs="Arial"/>
              </w:rPr>
              <w:t>baik PJPK atau BUP dapat merujuk Sengketa tersebut untuk penyelesaian sesuai dengan Pasal 28 (</w:t>
            </w:r>
            <w:r w:rsidRPr="00A67277">
              <w:rPr>
                <w:rFonts w:cs="Arial"/>
                <w:i/>
              </w:rPr>
              <w:t>Penyelesaian Sengketa</w:t>
            </w:r>
            <w:r w:rsidRPr="00A67277">
              <w:rPr>
                <w:rFonts w:cs="Arial"/>
              </w:rPr>
              <w:t>); dan</w:t>
            </w:r>
          </w:p>
          <w:p w14:paraId="6527A8CC" w14:textId="77777777" w:rsidR="00862B0B" w:rsidRPr="00A67277" w:rsidRDefault="00862B0B" w:rsidP="00862B0B">
            <w:pPr>
              <w:pStyle w:val="Level5"/>
              <w:spacing w:before="60" w:after="60"/>
              <w:ind w:left="2368"/>
              <w:rPr>
                <w:rFonts w:cs="Arial"/>
              </w:rPr>
            </w:pPr>
          </w:p>
        </w:tc>
      </w:tr>
      <w:tr w:rsidR="00862B0B" w:rsidRPr="00A67277" w14:paraId="3CF36278" w14:textId="77777777" w:rsidTr="00862B0B">
        <w:tc>
          <w:tcPr>
            <w:tcW w:w="2270" w:type="pct"/>
          </w:tcPr>
          <w:p w14:paraId="7A87BA78" w14:textId="77777777" w:rsidR="00862B0B" w:rsidRPr="00A67277" w:rsidRDefault="00862B0B" w:rsidP="00862B0B">
            <w:pPr>
              <w:pStyle w:val="Level4"/>
              <w:numPr>
                <w:ilvl w:val="0"/>
                <w:numId w:val="31"/>
              </w:numPr>
              <w:spacing w:before="60" w:after="60"/>
              <w:ind w:left="2223"/>
            </w:pPr>
            <w:r w:rsidRPr="00A67277">
              <w:t>pending agreement between the Parties or resolution pursuant to Clause 28 (Settlement of Disputes), GCA shall pay:</w:t>
            </w:r>
          </w:p>
          <w:p w14:paraId="44097572" w14:textId="77777777" w:rsidR="00862B0B" w:rsidRPr="00A67277" w:rsidRDefault="00862B0B" w:rsidP="00862B0B">
            <w:pPr>
              <w:spacing w:before="60" w:after="60"/>
              <w:rPr>
                <w:rFonts w:ascii="Arial" w:hAnsi="Arial" w:cs="Arial"/>
                <w:sz w:val="21"/>
                <w:szCs w:val="21"/>
              </w:rPr>
            </w:pPr>
          </w:p>
        </w:tc>
        <w:tc>
          <w:tcPr>
            <w:tcW w:w="169" w:type="pct"/>
          </w:tcPr>
          <w:p w14:paraId="39EB66F6" w14:textId="77777777" w:rsidR="00862B0B" w:rsidRPr="00A67277" w:rsidRDefault="00862B0B" w:rsidP="00862B0B">
            <w:pPr>
              <w:spacing w:before="60" w:after="60"/>
              <w:rPr>
                <w:rFonts w:ascii="Arial" w:hAnsi="Arial" w:cs="Arial"/>
                <w:sz w:val="21"/>
                <w:szCs w:val="21"/>
              </w:rPr>
            </w:pPr>
          </w:p>
        </w:tc>
        <w:tc>
          <w:tcPr>
            <w:tcW w:w="2561" w:type="pct"/>
            <w:gridSpan w:val="2"/>
          </w:tcPr>
          <w:p w14:paraId="16D9CF53" w14:textId="77777777" w:rsidR="00862B0B" w:rsidRPr="00A67277" w:rsidRDefault="00862B0B" w:rsidP="00862B0B">
            <w:pPr>
              <w:pStyle w:val="Level4"/>
              <w:numPr>
                <w:ilvl w:val="0"/>
                <w:numId w:val="33"/>
              </w:numPr>
              <w:spacing w:before="60" w:after="60"/>
              <w:ind w:left="2092"/>
              <w:rPr>
                <w:rFonts w:cs="Arial"/>
              </w:rPr>
            </w:pPr>
            <w:r w:rsidRPr="00A67277">
              <w:rPr>
                <w:rFonts w:cs="Arial"/>
              </w:rPr>
              <w:t>sementara menunggu kesepakatan diantara Para Pihak atau resolusi sesuai dengan Pasal 28 (Penyelesaian Sengketa), PJPK harus membayar.</w:t>
            </w:r>
          </w:p>
        </w:tc>
      </w:tr>
      <w:tr w:rsidR="00862B0B" w:rsidRPr="00A67277" w14:paraId="1EBDBB71" w14:textId="77777777" w:rsidTr="00862B0B">
        <w:tc>
          <w:tcPr>
            <w:tcW w:w="2270" w:type="pct"/>
          </w:tcPr>
          <w:p w14:paraId="60155BBA" w14:textId="77777777" w:rsidR="00862B0B" w:rsidRPr="00A67277" w:rsidRDefault="00862B0B" w:rsidP="00862B0B">
            <w:pPr>
              <w:pStyle w:val="Level5"/>
              <w:numPr>
                <w:ilvl w:val="4"/>
                <w:numId w:val="434"/>
              </w:numPr>
              <w:spacing w:before="60" w:after="60"/>
              <w:ind w:left="2583" w:hanging="432"/>
            </w:pPr>
            <w:r w:rsidRPr="00A67277">
              <w:t>an amount equal to the undisputed portion of that Invoice to the IBE; and</w:t>
            </w:r>
          </w:p>
        </w:tc>
        <w:tc>
          <w:tcPr>
            <w:tcW w:w="169" w:type="pct"/>
          </w:tcPr>
          <w:p w14:paraId="2E6CC903" w14:textId="77777777" w:rsidR="00862B0B" w:rsidRPr="00A67277" w:rsidRDefault="00862B0B" w:rsidP="00862B0B">
            <w:pPr>
              <w:spacing w:before="60" w:after="60"/>
              <w:rPr>
                <w:rFonts w:ascii="Arial" w:hAnsi="Arial" w:cs="Arial"/>
                <w:sz w:val="21"/>
                <w:szCs w:val="21"/>
              </w:rPr>
            </w:pPr>
          </w:p>
        </w:tc>
        <w:tc>
          <w:tcPr>
            <w:tcW w:w="2561" w:type="pct"/>
            <w:gridSpan w:val="2"/>
          </w:tcPr>
          <w:p w14:paraId="1E6834C9" w14:textId="77777777" w:rsidR="00862B0B" w:rsidRPr="00A67277" w:rsidRDefault="00862B0B" w:rsidP="00862B0B">
            <w:pPr>
              <w:pStyle w:val="Level5"/>
              <w:numPr>
                <w:ilvl w:val="0"/>
                <w:numId w:val="34"/>
              </w:numPr>
              <w:spacing w:before="60" w:after="60"/>
              <w:ind w:left="2627" w:hanging="540"/>
              <w:rPr>
                <w:rFonts w:cs="Arial"/>
              </w:rPr>
            </w:pPr>
            <w:r w:rsidRPr="00A67277">
              <w:rPr>
                <w:rFonts w:cs="Arial"/>
              </w:rPr>
              <w:t>suatu jumlah yang sama dengan porsi yang tidak disengketakan dari Tagihan tersebut kepada BUP; dan</w:t>
            </w:r>
          </w:p>
        </w:tc>
      </w:tr>
      <w:tr w:rsidR="00862B0B" w:rsidRPr="00A67277" w14:paraId="06F8D64C" w14:textId="77777777" w:rsidTr="00862B0B">
        <w:tc>
          <w:tcPr>
            <w:tcW w:w="2270" w:type="pct"/>
          </w:tcPr>
          <w:p w14:paraId="6FCCAF45" w14:textId="77777777" w:rsidR="00862B0B" w:rsidRPr="00A67277" w:rsidRDefault="00862B0B" w:rsidP="00862B0B">
            <w:pPr>
              <w:pStyle w:val="Level5"/>
              <w:numPr>
                <w:ilvl w:val="4"/>
                <w:numId w:val="434"/>
              </w:numPr>
              <w:spacing w:before="60" w:after="60"/>
              <w:ind w:left="2583" w:hanging="432"/>
            </w:pPr>
            <w:r w:rsidRPr="00A67277">
              <w:t>any amount equal to the disputed amounts of the Invoice into a separate interest bearing account under the name of the IBE, subject to an escrow agreement with the bank appointed by GCA.</w:t>
            </w:r>
          </w:p>
          <w:p w14:paraId="1A6CE660" w14:textId="77777777" w:rsidR="00862B0B" w:rsidRPr="00A67277" w:rsidRDefault="00862B0B" w:rsidP="00862B0B">
            <w:pPr>
              <w:spacing w:before="60" w:after="60"/>
              <w:rPr>
                <w:rFonts w:ascii="Arial" w:hAnsi="Arial" w:cs="Arial"/>
                <w:sz w:val="21"/>
                <w:szCs w:val="21"/>
              </w:rPr>
            </w:pPr>
          </w:p>
        </w:tc>
        <w:tc>
          <w:tcPr>
            <w:tcW w:w="169" w:type="pct"/>
          </w:tcPr>
          <w:p w14:paraId="5ECEB189" w14:textId="77777777" w:rsidR="00862B0B" w:rsidRPr="00A67277" w:rsidRDefault="00862B0B" w:rsidP="00862B0B">
            <w:pPr>
              <w:spacing w:before="60" w:after="60"/>
              <w:rPr>
                <w:rFonts w:ascii="Arial" w:hAnsi="Arial" w:cs="Arial"/>
                <w:sz w:val="21"/>
                <w:szCs w:val="21"/>
              </w:rPr>
            </w:pPr>
          </w:p>
        </w:tc>
        <w:tc>
          <w:tcPr>
            <w:tcW w:w="2561" w:type="pct"/>
            <w:gridSpan w:val="2"/>
          </w:tcPr>
          <w:p w14:paraId="3A7DCB9B" w14:textId="77777777" w:rsidR="00862B0B" w:rsidRPr="00A67277" w:rsidRDefault="00862B0B" w:rsidP="00862B0B">
            <w:pPr>
              <w:pStyle w:val="Level5"/>
              <w:numPr>
                <w:ilvl w:val="0"/>
                <w:numId w:val="34"/>
              </w:numPr>
              <w:spacing w:before="60" w:after="60"/>
              <w:ind w:left="2627" w:hanging="540"/>
              <w:rPr>
                <w:rFonts w:cs="Arial"/>
              </w:rPr>
            </w:pPr>
            <w:r w:rsidRPr="00A67277">
              <w:rPr>
                <w:rFonts w:cs="Arial"/>
              </w:rPr>
              <w:t>suatu jumlah yang sama dengan jumlah yang disengketakan dari Tagihan ke rekening berbunga terpisah atas nama BUP, tunduk pada perjanjian pengelolaan rekening (escrow agreement) dengan bank yang ditunjuk oleh PJPK</w:t>
            </w:r>
          </w:p>
        </w:tc>
      </w:tr>
      <w:tr w:rsidR="00862B0B" w:rsidRPr="00A67277" w14:paraId="17625142" w14:textId="77777777" w:rsidTr="00862B0B">
        <w:tc>
          <w:tcPr>
            <w:tcW w:w="2270" w:type="pct"/>
          </w:tcPr>
          <w:p w14:paraId="1341E50C" w14:textId="77777777" w:rsidR="00862B0B" w:rsidRPr="00A67277" w:rsidRDefault="00862B0B" w:rsidP="00862B0B">
            <w:pPr>
              <w:pStyle w:val="Level3"/>
              <w:numPr>
                <w:ilvl w:val="2"/>
                <w:numId w:val="489"/>
              </w:numPr>
              <w:tabs>
                <w:tab w:val="clear" w:pos="1417"/>
                <w:tab w:val="num" w:pos="2673"/>
              </w:tabs>
              <w:spacing w:before="60" w:after="60"/>
              <w:ind w:left="1688" w:hanging="630"/>
            </w:pPr>
            <w:r w:rsidRPr="00A67277">
              <w:t>If a Dispute is referred for resolution under sub-paragraph (a)(i), and it is determined that GCA:</w:t>
            </w:r>
          </w:p>
          <w:p w14:paraId="61FCC31E" w14:textId="77777777" w:rsidR="00862B0B" w:rsidRPr="00A67277" w:rsidRDefault="00862B0B" w:rsidP="00862B0B">
            <w:pPr>
              <w:spacing w:before="60" w:after="60"/>
              <w:rPr>
                <w:rFonts w:ascii="Arial" w:hAnsi="Arial" w:cs="Arial"/>
                <w:sz w:val="21"/>
                <w:szCs w:val="21"/>
              </w:rPr>
            </w:pPr>
          </w:p>
        </w:tc>
        <w:tc>
          <w:tcPr>
            <w:tcW w:w="169" w:type="pct"/>
          </w:tcPr>
          <w:p w14:paraId="38D633DC" w14:textId="77777777" w:rsidR="00862B0B" w:rsidRPr="00A67277" w:rsidRDefault="00862B0B" w:rsidP="00862B0B">
            <w:pPr>
              <w:spacing w:before="60" w:after="60"/>
              <w:rPr>
                <w:rFonts w:ascii="Arial" w:hAnsi="Arial" w:cs="Arial"/>
                <w:sz w:val="21"/>
                <w:szCs w:val="21"/>
              </w:rPr>
            </w:pPr>
          </w:p>
        </w:tc>
        <w:tc>
          <w:tcPr>
            <w:tcW w:w="2561" w:type="pct"/>
            <w:gridSpan w:val="2"/>
          </w:tcPr>
          <w:p w14:paraId="0C905039" w14:textId="77777777" w:rsidR="00862B0B" w:rsidRPr="00A67277" w:rsidRDefault="00862B0B" w:rsidP="00862B0B">
            <w:pPr>
              <w:pStyle w:val="Level3"/>
              <w:numPr>
                <w:ilvl w:val="0"/>
                <w:numId w:val="32"/>
              </w:numPr>
              <w:spacing w:before="60" w:after="60"/>
              <w:ind w:left="1642" w:hanging="540"/>
              <w:rPr>
                <w:rFonts w:cs="Arial"/>
              </w:rPr>
            </w:pPr>
            <w:r w:rsidRPr="00A67277">
              <w:rPr>
                <w:rFonts w:cs="Arial"/>
              </w:rPr>
              <w:t>Jika Sengketa dirujuk untuk diselesaikan berdasarkan sub-paragraf (a)(i), dan ditentukan bahwa PJPK.</w:t>
            </w:r>
          </w:p>
        </w:tc>
      </w:tr>
      <w:tr w:rsidR="00862B0B" w:rsidRPr="00A67277" w14:paraId="601B91AE" w14:textId="77777777" w:rsidTr="00862B0B">
        <w:tc>
          <w:tcPr>
            <w:tcW w:w="2270" w:type="pct"/>
          </w:tcPr>
          <w:p w14:paraId="31D40D72" w14:textId="6A1A3D82" w:rsidR="00862B0B" w:rsidRPr="00A67277" w:rsidRDefault="00862B0B" w:rsidP="00862B0B">
            <w:pPr>
              <w:pStyle w:val="Level4"/>
              <w:numPr>
                <w:ilvl w:val="0"/>
                <w:numId w:val="35"/>
              </w:numPr>
              <w:spacing w:before="60" w:after="60"/>
              <w:ind w:left="2228"/>
            </w:pPr>
            <w:r w:rsidRPr="00A67277">
              <w:t xml:space="preserve">is entitled </w:t>
            </w:r>
            <w:r>
              <w:t xml:space="preserve"> to </w:t>
            </w:r>
            <w:r w:rsidRPr="00A67277">
              <w:t>the disputed amount,</w:t>
            </w:r>
            <w:r>
              <w:t xml:space="preserve"> thus</w:t>
            </w:r>
            <w:r w:rsidRPr="00A67277">
              <w:t xml:space="preserve"> the IBE must withdraw that portion of the Invoice which is the subject of the Dispute and issue a corrected Invoice to GCA;</w:t>
            </w:r>
          </w:p>
          <w:p w14:paraId="2F14984B" w14:textId="77777777" w:rsidR="00862B0B" w:rsidRPr="00A67277" w:rsidRDefault="00862B0B" w:rsidP="00862B0B">
            <w:pPr>
              <w:pStyle w:val="Level3"/>
              <w:spacing w:before="60" w:after="60"/>
              <w:ind w:left="1417"/>
              <w:rPr>
                <w:rFonts w:cs="Arial"/>
              </w:rPr>
            </w:pPr>
          </w:p>
        </w:tc>
        <w:tc>
          <w:tcPr>
            <w:tcW w:w="169" w:type="pct"/>
          </w:tcPr>
          <w:p w14:paraId="442352D5" w14:textId="77777777" w:rsidR="00862B0B" w:rsidRPr="00A67277" w:rsidRDefault="00862B0B" w:rsidP="00862B0B">
            <w:pPr>
              <w:spacing w:before="60" w:after="60"/>
              <w:rPr>
                <w:rFonts w:ascii="Arial" w:hAnsi="Arial" w:cs="Arial"/>
                <w:sz w:val="21"/>
                <w:szCs w:val="21"/>
              </w:rPr>
            </w:pPr>
          </w:p>
        </w:tc>
        <w:tc>
          <w:tcPr>
            <w:tcW w:w="2561" w:type="pct"/>
            <w:gridSpan w:val="2"/>
          </w:tcPr>
          <w:p w14:paraId="1A2D8A33" w14:textId="778A103E" w:rsidR="00862B0B" w:rsidRPr="00A67277" w:rsidRDefault="00862B0B" w:rsidP="00862B0B">
            <w:pPr>
              <w:pStyle w:val="Level4"/>
              <w:numPr>
                <w:ilvl w:val="0"/>
                <w:numId w:val="36"/>
              </w:numPr>
              <w:spacing w:before="60" w:after="60"/>
              <w:ind w:left="2177"/>
              <w:rPr>
                <w:rFonts w:cs="Arial"/>
              </w:rPr>
            </w:pPr>
            <w:r w:rsidRPr="00A67277">
              <w:rPr>
                <w:rFonts w:cs="Arial"/>
              </w:rPr>
              <w:t xml:space="preserve">berhak </w:t>
            </w:r>
            <w:r>
              <w:rPr>
                <w:rFonts w:cs="Arial"/>
              </w:rPr>
              <w:t>atas</w:t>
            </w:r>
            <w:r w:rsidRPr="00A67277">
              <w:rPr>
                <w:rFonts w:cs="Arial"/>
              </w:rPr>
              <w:t xml:space="preserve"> seluruh jumlah yang disengketakan, maka BUP harus menarik bagian Tagihan yang merupakan subjek sengketa dan mengeluarkan Tagihan yang telah dikoreksi kepada PJPK.</w:t>
            </w:r>
          </w:p>
        </w:tc>
      </w:tr>
      <w:tr w:rsidR="00862B0B" w:rsidRPr="00A67277" w14:paraId="104D3A5E" w14:textId="77777777" w:rsidTr="00862B0B">
        <w:tc>
          <w:tcPr>
            <w:tcW w:w="2270" w:type="pct"/>
          </w:tcPr>
          <w:p w14:paraId="1CB0A12C" w14:textId="7B2EFAD5" w:rsidR="00862B0B" w:rsidRPr="00A67277" w:rsidRDefault="00862B0B" w:rsidP="00862B0B">
            <w:pPr>
              <w:pStyle w:val="Level4"/>
              <w:numPr>
                <w:ilvl w:val="0"/>
                <w:numId w:val="35"/>
              </w:numPr>
              <w:spacing w:before="60" w:after="60"/>
              <w:ind w:left="2228"/>
            </w:pPr>
            <w:r w:rsidRPr="00A67277">
              <w:t xml:space="preserve">is not entitled to the disputed amount, </w:t>
            </w:r>
            <w:r>
              <w:t xml:space="preserve">thus </w:t>
            </w:r>
            <w:r w:rsidRPr="00A67277">
              <w:t>GCA must pay the disputed amount to the IBE and interest on the disputed amount at the Interest Rate from the date on which the disputed payment was originally due until the date that the disputed amount was paid; or</w:t>
            </w:r>
          </w:p>
          <w:p w14:paraId="3F23CA1C" w14:textId="77777777" w:rsidR="00862B0B" w:rsidRPr="00A67277" w:rsidRDefault="00862B0B" w:rsidP="00862B0B">
            <w:pPr>
              <w:spacing w:before="60" w:after="60"/>
              <w:rPr>
                <w:rFonts w:ascii="Arial" w:hAnsi="Arial" w:cs="Arial"/>
                <w:sz w:val="21"/>
                <w:szCs w:val="21"/>
              </w:rPr>
            </w:pPr>
          </w:p>
        </w:tc>
        <w:tc>
          <w:tcPr>
            <w:tcW w:w="169" w:type="pct"/>
          </w:tcPr>
          <w:p w14:paraId="5B0D65B1" w14:textId="77777777" w:rsidR="00862B0B" w:rsidRPr="00A67277" w:rsidRDefault="00862B0B" w:rsidP="00862B0B">
            <w:pPr>
              <w:spacing w:before="60" w:after="60"/>
              <w:rPr>
                <w:rFonts w:ascii="Arial" w:hAnsi="Arial" w:cs="Arial"/>
                <w:sz w:val="21"/>
                <w:szCs w:val="21"/>
              </w:rPr>
            </w:pPr>
          </w:p>
        </w:tc>
        <w:tc>
          <w:tcPr>
            <w:tcW w:w="2561" w:type="pct"/>
            <w:gridSpan w:val="2"/>
          </w:tcPr>
          <w:p w14:paraId="2C03291E" w14:textId="5459BDCE" w:rsidR="00862B0B" w:rsidRPr="00A67277" w:rsidRDefault="00862B0B" w:rsidP="00862B0B">
            <w:pPr>
              <w:pStyle w:val="Level4"/>
              <w:numPr>
                <w:ilvl w:val="0"/>
                <w:numId w:val="36"/>
              </w:numPr>
              <w:spacing w:before="60" w:after="60"/>
              <w:ind w:left="2177"/>
              <w:rPr>
                <w:rFonts w:cs="Arial"/>
              </w:rPr>
            </w:pPr>
            <w:r w:rsidRPr="00A67277">
              <w:rPr>
                <w:rFonts w:cs="Arial"/>
              </w:rPr>
              <w:t xml:space="preserve">tidak berhak </w:t>
            </w:r>
            <w:r>
              <w:rPr>
                <w:rFonts w:cs="Arial"/>
              </w:rPr>
              <w:t xml:space="preserve">atas </w:t>
            </w:r>
            <w:r w:rsidRPr="00A67277">
              <w:rPr>
                <w:rFonts w:cs="Arial"/>
              </w:rPr>
              <w:t>seluruh jumlah yang disengketakan, maka PJPK harus membayar jumlah yang disengketakan kepada BUP dan bunga atas jumlah yang disengketakan pada Tingkat Suku Bunga Keterlambatan Pembayaran sejak tanggal jatuh tempo awal pembayaran yang disengketakan seharusnya dibayarkan sampai tanggal bahwa jumlah yang disengketakan telah dibayar; atau</w:t>
            </w:r>
          </w:p>
        </w:tc>
      </w:tr>
      <w:tr w:rsidR="00862B0B" w:rsidRPr="00A67277" w14:paraId="2714E565" w14:textId="77777777" w:rsidTr="00862B0B">
        <w:tc>
          <w:tcPr>
            <w:tcW w:w="2270" w:type="pct"/>
          </w:tcPr>
          <w:p w14:paraId="7DC4F326" w14:textId="21E18E87" w:rsidR="00862B0B" w:rsidRPr="00A67277" w:rsidRDefault="00862B0B" w:rsidP="00862B0B">
            <w:pPr>
              <w:pStyle w:val="Level4"/>
              <w:numPr>
                <w:ilvl w:val="0"/>
                <w:numId w:val="35"/>
              </w:numPr>
              <w:spacing w:before="60" w:after="60"/>
              <w:ind w:left="2228"/>
            </w:pPr>
            <w:r w:rsidRPr="00A67277">
              <w:t xml:space="preserve">is entitled to some of the disputed amount, the IBE must follow the procedure described in sub-paragraph (i) with respect to the amount that GCA is not required to pay, and GCA must follow the procedure described in sub-paragraph (ii) with respect to the amount </w:t>
            </w:r>
            <w:r>
              <w:t>must be paid by the</w:t>
            </w:r>
            <w:r w:rsidRPr="00A67277">
              <w:t xml:space="preserve"> GCA.</w:t>
            </w:r>
          </w:p>
        </w:tc>
        <w:tc>
          <w:tcPr>
            <w:tcW w:w="169" w:type="pct"/>
          </w:tcPr>
          <w:p w14:paraId="07B0F231" w14:textId="77777777" w:rsidR="00862B0B" w:rsidRPr="00A67277" w:rsidRDefault="00862B0B" w:rsidP="00862B0B">
            <w:pPr>
              <w:spacing w:before="60" w:after="60"/>
              <w:rPr>
                <w:rFonts w:ascii="Arial" w:hAnsi="Arial" w:cs="Arial"/>
                <w:sz w:val="21"/>
                <w:szCs w:val="21"/>
              </w:rPr>
            </w:pPr>
          </w:p>
        </w:tc>
        <w:tc>
          <w:tcPr>
            <w:tcW w:w="2561" w:type="pct"/>
            <w:gridSpan w:val="2"/>
          </w:tcPr>
          <w:p w14:paraId="4E172578" w14:textId="65258C89" w:rsidR="00862B0B" w:rsidRDefault="00862B0B" w:rsidP="00862B0B">
            <w:pPr>
              <w:pStyle w:val="Level4"/>
              <w:numPr>
                <w:ilvl w:val="0"/>
                <w:numId w:val="36"/>
              </w:numPr>
              <w:spacing w:before="60" w:after="60"/>
              <w:ind w:left="2177"/>
              <w:rPr>
                <w:rFonts w:cs="Arial"/>
              </w:rPr>
            </w:pPr>
            <w:r w:rsidRPr="00A67277">
              <w:rPr>
                <w:rFonts w:cs="Arial"/>
              </w:rPr>
              <w:t xml:space="preserve">berhak </w:t>
            </w:r>
            <w:r>
              <w:rPr>
                <w:rFonts w:cs="Arial"/>
              </w:rPr>
              <w:t>atas</w:t>
            </w:r>
          </w:p>
          <w:p w14:paraId="2A47FF2B" w14:textId="33368849" w:rsidR="00862B0B" w:rsidRPr="00A67277" w:rsidRDefault="00862B0B" w:rsidP="00862B0B">
            <w:pPr>
              <w:pStyle w:val="Level4"/>
              <w:tabs>
                <w:tab w:val="clear" w:pos="2126"/>
              </w:tabs>
              <w:spacing w:before="60" w:after="60"/>
              <w:ind w:left="2177" w:firstLine="0"/>
              <w:rPr>
                <w:rFonts w:cs="Arial"/>
              </w:rPr>
            </w:pPr>
            <w:r w:rsidRPr="00A67277">
              <w:rPr>
                <w:rFonts w:cs="Arial"/>
              </w:rPr>
              <w:t xml:space="preserve"> sebagian jumlah yang disengketakan, BUP harus mengikuti prosedur yang dijelaskan di sub-paragraf (i) berkenaan dengan jumlah yang tidak harus dibayar PJPK, dan PJPK harus mengikuti prosedur yang dijelaskan di sub- paragraf (ii) sehubungan dengan jumlah yang harus dibayar PJPK.</w:t>
            </w:r>
          </w:p>
        </w:tc>
      </w:tr>
      <w:tr w:rsidR="00862B0B" w:rsidRPr="00A67277" w14:paraId="3CB9C0B8" w14:textId="77777777" w:rsidTr="00862B0B">
        <w:tc>
          <w:tcPr>
            <w:tcW w:w="2270" w:type="pct"/>
          </w:tcPr>
          <w:p w14:paraId="67B1262F" w14:textId="77777777" w:rsidR="00862B0B" w:rsidRPr="00A67277" w:rsidRDefault="00862B0B" w:rsidP="00862B0B">
            <w:pPr>
              <w:pStyle w:val="Level3"/>
              <w:numPr>
                <w:ilvl w:val="2"/>
                <w:numId w:val="435"/>
              </w:numPr>
              <w:spacing w:before="60" w:after="60"/>
            </w:pPr>
            <w:r w:rsidRPr="00A67277">
              <w:t>Any and all administrative costs and expenses incurred in relation to the opening and maintenance of account referred to in sub-paragraph (a)(ii)(2) shall be borne by the Party who has not been declared as the rightful owner of such disputed amount, or to be borne in proportionate if any split of such costs and expense are already determined.</w:t>
            </w:r>
          </w:p>
          <w:p w14:paraId="1212D8C1" w14:textId="77777777" w:rsidR="00862B0B" w:rsidRPr="00A67277" w:rsidRDefault="00862B0B" w:rsidP="00862B0B">
            <w:pPr>
              <w:spacing w:before="60" w:after="60"/>
              <w:rPr>
                <w:rFonts w:ascii="Arial" w:hAnsi="Arial" w:cs="Arial"/>
                <w:sz w:val="21"/>
                <w:szCs w:val="21"/>
              </w:rPr>
            </w:pPr>
          </w:p>
        </w:tc>
        <w:tc>
          <w:tcPr>
            <w:tcW w:w="169" w:type="pct"/>
          </w:tcPr>
          <w:p w14:paraId="78122B5E" w14:textId="77777777" w:rsidR="00862B0B" w:rsidRPr="00A67277" w:rsidRDefault="00862B0B" w:rsidP="00862B0B">
            <w:pPr>
              <w:spacing w:before="60" w:after="60"/>
              <w:rPr>
                <w:rFonts w:ascii="Arial" w:hAnsi="Arial" w:cs="Arial"/>
                <w:sz w:val="21"/>
                <w:szCs w:val="21"/>
              </w:rPr>
            </w:pPr>
          </w:p>
        </w:tc>
        <w:tc>
          <w:tcPr>
            <w:tcW w:w="2561" w:type="pct"/>
            <w:gridSpan w:val="2"/>
          </w:tcPr>
          <w:p w14:paraId="6C16AB62" w14:textId="77777777" w:rsidR="00862B0B" w:rsidRPr="00A67277" w:rsidRDefault="00862B0B" w:rsidP="00862B0B">
            <w:pPr>
              <w:pStyle w:val="Level3"/>
              <w:numPr>
                <w:ilvl w:val="0"/>
                <w:numId w:val="32"/>
              </w:numPr>
              <w:spacing w:before="60" w:after="60"/>
              <w:ind w:left="1642" w:hanging="540"/>
              <w:rPr>
                <w:rFonts w:cs="Arial"/>
              </w:rPr>
            </w:pPr>
            <w:r w:rsidRPr="00A67277">
              <w:rPr>
                <w:rFonts w:cs="Arial"/>
              </w:rPr>
              <w:t>Setiap dan semua pengeluaran dan biaya administrasi yang timbul sehubungan dengan pembukaan dan pemeliharaan rekening sebagaimana dimaksud dalam paragraph (a)(ii)(2) ditanggung oleh Pihak yang tidak dinyatakan sebagai pemilik sah dari jumlah yang disengketakan, atau untuk dibebankan sesuai proporsinya jika pemisahan biaya dan pengeluaran tersebut telah ditetapkan.</w:t>
            </w:r>
          </w:p>
        </w:tc>
      </w:tr>
      <w:tr w:rsidR="00862B0B" w:rsidRPr="00A67277" w14:paraId="2C292DB6" w14:textId="77777777" w:rsidTr="00862B0B">
        <w:tc>
          <w:tcPr>
            <w:tcW w:w="2270" w:type="pct"/>
          </w:tcPr>
          <w:p w14:paraId="3D231EE5" w14:textId="77777777" w:rsidR="00862B0B" w:rsidRPr="00A67277" w:rsidRDefault="00862B0B" w:rsidP="00862B0B">
            <w:pPr>
              <w:pStyle w:val="Heading2"/>
              <w:numPr>
                <w:ilvl w:val="0"/>
                <w:numId w:val="27"/>
              </w:numPr>
              <w:spacing w:before="60" w:after="60"/>
              <w:ind w:left="990" w:hanging="540"/>
              <w:outlineLvl w:val="1"/>
              <w:rPr>
                <w:rFonts w:ascii="Arial" w:hAnsi="Arial" w:cs="Arial"/>
                <w:b/>
                <w:color w:val="auto"/>
                <w:sz w:val="21"/>
                <w:szCs w:val="21"/>
              </w:rPr>
            </w:pPr>
            <w:r w:rsidRPr="00A67277">
              <w:rPr>
                <w:rFonts w:ascii="Arial" w:hAnsi="Arial" w:cs="Arial"/>
                <w:b/>
                <w:color w:val="auto"/>
                <w:sz w:val="21"/>
                <w:szCs w:val="21"/>
              </w:rPr>
              <w:t>Late Payment</w:t>
            </w:r>
          </w:p>
        </w:tc>
        <w:tc>
          <w:tcPr>
            <w:tcW w:w="169" w:type="pct"/>
          </w:tcPr>
          <w:p w14:paraId="07651F0C" w14:textId="77777777" w:rsidR="00862B0B" w:rsidRPr="00A67277" w:rsidRDefault="00862B0B" w:rsidP="00862B0B">
            <w:pPr>
              <w:spacing w:before="60" w:after="60"/>
              <w:rPr>
                <w:rFonts w:ascii="Arial" w:hAnsi="Arial" w:cs="Arial"/>
                <w:sz w:val="21"/>
                <w:szCs w:val="21"/>
              </w:rPr>
            </w:pPr>
          </w:p>
        </w:tc>
        <w:tc>
          <w:tcPr>
            <w:tcW w:w="2561" w:type="pct"/>
            <w:gridSpan w:val="2"/>
          </w:tcPr>
          <w:p w14:paraId="4D64B965" w14:textId="77777777" w:rsidR="00862B0B" w:rsidRPr="00A67277" w:rsidRDefault="00862B0B" w:rsidP="00862B0B">
            <w:pPr>
              <w:pStyle w:val="Heading2"/>
              <w:numPr>
                <w:ilvl w:val="0"/>
                <w:numId w:val="10"/>
              </w:numPr>
              <w:spacing w:before="60" w:after="60"/>
              <w:ind w:left="1111" w:hanging="630"/>
              <w:jc w:val="both"/>
              <w:outlineLvl w:val="1"/>
              <w:rPr>
                <w:rFonts w:ascii="Arial" w:hAnsi="Arial" w:cs="Arial"/>
                <w:b/>
                <w:color w:val="auto"/>
                <w:sz w:val="21"/>
                <w:szCs w:val="21"/>
              </w:rPr>
            </w:pPr>
            <w:r w:rsidRPr="00A67277">
              <w:rPr>
                <w:rFonts w:ascii="Arial" w:hAnsi="Arial" w:cs="Arial"/>
                <w:b/>
                <w:color w:val="auto"/>
                <w:sz w:val="21"/>
                <w:szCs w:val="21"/>
              </w:rPr>
              <w:t xml:space="preserve">Keterlambatan Pembayaran </w:t>
            </w:r>
          </w:p>
        </w:tc>
      </w:tr>
      <w:tr w:rsidR="00862B0B" w:rsidRPr="00A67277" w14:paraId="23D88EEA" w14:textId="77777777" w:rsidTr="00862B0B">
        <w:tc>
          <w:tcPr>
            <w:tcW w:w="2270" w:type="pct"/>
          </w:tcPr>
          <w:p w14:paraId="42CB66AD" w14:textId="77777777" w:rsidR="00862B0B" w:rsidRPr="00A67277" w:rsidRDefault="00862B0B" w:rsidP="00862B0B">
            <w:pPr>
              <w:pStyle w:val="Level3"/>
              <w:numPr>
                <w:ilvl w:val="2"/>
                <w:numId w:val="490"/>
              </w:numPr>
              <w:tabs>
                <w:tab w:val="clear" w:pos="1417"/>
              </w:tabs>
              <w:spacing w:before="60" w:after="60"/>
              <w:ind w:hanging="403"/>
            </w:pPr>
            <w:r w:rsidRPr="00A67277">
              <w:t>Late payments by either Party shall bear interest at the Late Payment Interest Rate from the date on which such payment was originally due until (but not including) the date that such payment was made.</w:t>
            </w:r>
          </w:p>
        </w:tc>
        <w:tc>
          <w:tcPr>
            <w:tcW w:w="169" w:type="pct"/>
          </w:tcPr>
          <w:p w14:paraId="102EC03C" w14:textId="77777777" w:rsidR="00862B0B" w:rsidRPr="00A67277" w:rsidRDefault="00862B0B" w:rsidP="00862B0B">
            <w:pPr>
              <w:spacing w:before="60" w:after="60"/>
              <w:rPr>
                <w:rFonts w:ascii="Arial" w:hAnsi="Arial" w:cs="Arial"/>
                <w:sz w:val="21"/>
                <w:szCs w:val="21"/>
              </w:rPr>
            </w:pPr>
          </w:p>
        </w:tc>
        <w:tc>
          <w:tcPr>
            <w:tcW w:w="2561" w:type="pct"/>
            <w:gridSpan w:val="2"/>
          </w:tcPr>
          <w:p w14:paraId="6C9178EA" w14:textId="77777777" w:rsidR="00862B0B" w:rsidRPr="00A67277" w:rsidRDefault="00862B0B" w:rsidP="00862B0B">
            <w:pPr>
              <w:pStyle w:val="Level3"/>
              <w:numPr>
                <w:ilvl w:val="0"/>
                <w:numId w:val="37"/>
              </w:numPr>
              <w:spacing w:before="60" w:after="60"/>
              <w:ind w:left="1637" w:hanging="551"/>
              <w:rPr>
                <w:rFonts w:cs="Arial"/>
              </w:rPr>
            </w:pPr>
            <w:r w:rsidRPr="00A67277">
              <w:rPr>
                <w:rFonts w:cs="Arial"/>
              </w:rPr>
              <w:t>Keterlambatan pembayaran oleh salah satu Pihak akan dikenakan bunga pada Tingkat Suku Bunga Keterlambatan Pembayaran sejak tanggal jatuh tempo awal pembayaran tersebut sampai dengan (namun tidak termasuk) tanggal pembayaran tersebut dilakukan.</w:t>
            </w:r>
          </w:p>
        </w:tc>
      </w:tr>
      <w:tr w:rsidR="00862B0B" w:rsidRPr="00A67277" w14:paraId="4B83E344" w14:textId="77777777" w:rsidTr="00862B0B">
        <w:tc>
          <w:tcPr>
            <w:tcW w:w="2270" w:type="pct"/>
          </w:tcPr>
          <w:p w14:paraId="45EF5BAF" w14:textId="72F98CEC" w:rsidR="00862B0B" w:rsidRPr="00A67277" w:rsidRDefault="00862B0B" w:rsidP="00862B0B">
            <w:pPr>
              <w:pStyle w:val="Level3"/>
              <w:numPr>
                <w:ilvl w:val="2"/>
                <w:numId w:val="490"/>
              </w:numPr>
              <w:tabs>
                <w:tab w:val="clear" w:pos="1417"/>
              </w:tabs>
              <w:spacing w:before="60" w:after="60"/>
              <w:ind w:hanging="403"/>
            </w:pPr>
            <w:r w:rsidRPr="00A67277">
              <w:t xml:space="preserve">GCA's delay in payment or failure to pay by reason of GCA disputing a portion of an Invoice in accordance with Clause 16.2(a) (Disputed Invoices) is not a late payment for the purposes of this Clause 16.3 (Late Payment), nor it is a Default by GCA. </w:t>
            </w:r>
          </w:p>
        </w:tc>
        <w:tc>
          <w:tcPr>
            <w:tcW w:w="169" w:type="pct"/>
          </w:tcPr>
          <w:p w14:paraId="0A9D16A7" w14:textId="77777777" w:rsidR="00862B0B" w:rsidRPr="00A67277" w:rsidRDefault="00862B0B" w:rsidP="00862B0B">
            <w:pPr>
              <w:spacing w:before="60" w:after="60"/>
              <w:rPr>
                <w:rFonts w:ascii="Arial" w:hAnsi="Arial" w:cs="Arial"/>
                <w:sz w:val="21"/>
                <w:szCs w:val="21"/>
              </w:rPr>
            </w:pPr>
          </w:p>
        </w:tc>
        <w:tc>
          <w:tcPr>
            <w:tcW w:w="2561" w:type="pct"/>
            <w:gridSpan w:val="2"/>
          </w:tcPr>
          <w:p w14:paraId="477AC27C" w14:textId="10668598" w:rsidR="00862B0B" w:rsidRPr="00A67277" w:rsidRDefault="00862B0B" w:rsidP="00862B0B">
            <w:pPr>
              <w:pStyle w:val="Level3"/>
              <w:numPr>
                <w:ilvl w:val="0"/>
                <w:numId w:val="37"/>
              </w:numPr>
              <w:spacing w:before="60" w:after="60"/>
              <w:ind w:left="1637" w:hanging="551"/>
              <w:rPr>
                <w:rFonts w:cs="Arial"/>
              </w:rPr>
            </w:pPr>
            <w:r w:rsidRPr="00A67277">
              <w:rPr>
                <w:rFonts w:cs="Arial"/>
              </w:rPr>
              <w:t xml:space="preserve">Keterlambatan PJPK dalam melakukan pembayaran atau kegagalan membayar dengan alasan PJPK mempermasalahkan sebagian Tagihan sesuai dengan Pasal 16.2(a) (Tagihan Yang Disengketakan) bukan merupakan keterlambatan pembayaran untuk keperluan Pasal 16.3 (Keterlambatan Pembayaran) ini, juga bukan </w:t>
            </w:r>
            <w:r>
              <w:rPr>
                <w:rFonts w:cs="Arial"/>
              </w:rPr>
              <w:t xml:space="preserve">merupakan </w:t>
            </w:r>
            <w:r w:rsidRPr="00A67277">
              <w:rPr>
                <w:rFonts w:cs="Arial"/>
              </w:rPr>
              <w:t xml:space="preserve">Cidera Janji oleh PJPK. </w:t>
            </w:r>
          </w:p>
        </w:tc>
      </w:tr>
      <w:tr w:rsidR="00862B0B" w:rsidRPr="00A67277" w14:paraId="3E79AC59" w14:textId="77777777" w:rsidTr="00862B0B">
        <w:tc>
          <w:tcPr>
            <w:tcW w:w="2270" w:type="pct"/>
          </w:tcPr>
          <w:p w14:paraId="1DB287D7" w14:textId="77777777" w:rsidR="00862B0B" w:rsidRPr="00A67277" w:rsidRDefault="00862B0B" w:rsidP="00862B0B">
            <w:pPr>
              <w:pStyle w:val="Heading1"/>
              <w:numPr>
                <w:ilvl w:val="0"/>
                <w:numId w:val="432"/>
              </w:numPr>
              <w:spacing w:before="60" w:after="60"/>
              <w:ind w:left="416" w:hanging="416"/>
            </w:pPr>
            <w:r w:rsidRPr="00A67277">
              <w:t>Insurances</w:t>
            </w:r>
          </w:p>
        </w:tc>
        <w:tc>
          <w:tcPr>
            <w:tcW w:w="169" w:type="pct"/>
          </w:tcPr>
          <w:p w14:paraId="6511F84D" w14:textId="77777777" w:rsidR="00862B0B" w:rsidRPr="00A67277" w:rsidRDefault="00862B0B" w:rsidP="00862B0B">
            <w:pPr>
              <w:spacing w:before="60" w:after="60"/>
              <w:rPr>
                <w:rFonts w:ascii="Arial" w:hAnsi="Arial" w:cs="Arial"/>
                <w:sz w:val="21"/>
                <w:szCs w:val="21"/>
              </w:rPr>
            </w:pPr>
          </w:p>
        </w:tc>
        <w:tc>
          <w:tcPr>
            <w:tcW w:w="2561" w:type="pct"/>
            <w:gridSpan w:val="2"/>
          </w:tcPr>
          <w:p w14:paraId="7D6FA0D3" w14:textId="77777777"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Asuransi</w:t>
            </w:r>
          </w:p>
        </w:tc>
      </w:tr>
      <w:tr w:rsidR="00862B0B" w:rsidRPr="00A67277" w14:paraId="0933705A" w14:textId="77777777" w:rsidTr="00862B0B">
        <w:tc>
          <w:tcPr>
            <w:tcW w:w="2270" w:type="pct"/>
          </w:tcPr>
          <w:p w14:paraId="5CD5A92C" w14:textId="77777777" w:rsidR="00862B0B" w:rsidRPr="00A67277" w:rsidRDefault="00862B0B" w:rsidP="00862B0B">
            <w:pPr>
              <w:pStyle w:val="Heading2"/>
              <w:numPr>
                <w:ilvl w:val="0"/>
                <w:numId w:val="38"/>
              </w:numPr>
              <w:spacing w:before="60" w:after="60"/>
              <w:ind w:left="990" w:hanging="540"/>
              <w:outlineLvl w:val="1"/>
              <w:rPr>
                <w:rFonts w:ascii="Arial" w:hAnsi="Arial" w:cs="Arial"/>
                <w:b/>
                <w:color w:val="auto"/>
                <w:sz w:val="21"/>
                <w:szCs w:val="21"/>
              </w:rPr>
            </w:pPr>
            <w:r w:rsidRPr="00A67277">
              <w:rPr>
                <w:rFonts w:ascii="Arial" w:hAnsi="Arial" w:cs="Arial"/>
                <w:b/>
                <w:color w:val="auto"/>
                <w:sz w:val="21"/>
                <w:szCs w:val="21"/>
              </w:rPr>
              <w:t>Insurance Policies</w:t>
            </w:r>
          </w:p>
        </w:tc>
        <w:tc>
          <w:tcPr>
            <w:tcW w:w="169" w:type="pct"/>
          </w:tcPr>
          <w:p w14:paraId="0BC7EAD5" w14:textId="77777777" w:rsidR="00862B0B" w:rsidRPr="00A67277" w:rsidRDefault="00862B0B" w:rsidP="00862B0B">
            <w:pPr>
              <w:spacing w:before="60" w:after="60"/>
              <w:rPr>
                <w:rFonts w:ascii="Arial" w:hAnsi="Arial" w:cs="Arial"/>
                <w:sz w:val="21"/>
                <w:szCs w:val="21"/>
              </w:rPr>
            </w:pPr>
          </w:p>
        </w:tc>
        <w:tc>
          <w:tcPr>
            <w:tcW w:w="2561" w:type="pct"/>
            <w:gridSpan w:val="2"/>
          </w:tcPr>
          <w:p w14:paraId="0F88ABCC" w14:textId="77777777" w:rsidR="00862B0B" w:rsidRPr="00A67277" w:rsidRDefault="00862B0B" w:rsidP="00862B0B">
            <w:pPr>
              <w:pStyle w:val="Heading2"/>
              <w:numPr>
                <w:ilvl w:val="0"/>
                <w:numId w:val="11"/>
              </w:numPr>
              <w:spacing w:before="60" w:after="60"/>
              <w:ind w:left="1152" w:hanging="630"/>
              <w:outlineLvl w:val="1"/>
              <w:rPr>
                <w:rFonts w:ascii="Arial" w:hAnsi="Arial" w:cs="Arial"/>
                <w:b/>
                <w:color w:val="auto"/>
                <w:sz w:val="21"/>
                <w:szCs w:val="21"/>
              </w:rPr>
            </w:pPr>
            <w:r w:rsidRPr="00A67277">
              <w:rPr>
                <w:rFonts w:ascii="Arial" w:hAnsi="Arial" w:cs="Arial"/>
                <w:b/>
                <w:color w:val="auto"/>
                <w:sz w:val="21"/>
                <w:szCs w:val="21"/>
              </w:rPr>
              <w:t>Polis Asuransi</w:t>
            </w:r>
          </w:p>
        </w:tc>
      </w:tr>
      <w:tr w:rsidR="00862B0B" w:rsidRPr="00A67277" w14:paraId="7A79442E" w14:textId="77777777" w:rsidTr="00862B0B">
        <w:tc>
          <w:tcPr>
            <w:tcW w:w="2270" w:type="pct"/>
          </w:tcPr>
          <w:p w14:paraId="1569EBDD" w14:textId="6D5FF21F" w:rsidR="00862B0B" w:rsidRPr="00A67277" w:rsidRDefault="00862B0B" w:rsidP="00862B0B">
            <w:pPr>
              <w:pStyle w:val="Level3"/>
              <w:numPr>
                <w:ilvl w:val="2"/>
                <w:numId w:val="491"/>
              </w:numPr>
              <w:tabs>
                <w:tab w:val="clear" w:pos="1417"/>
              </w:tabs>
              <w:spacing w:before="60" w:after="60"/>
              <w:ind w:hanging="403"/>
            </w:pPr>
            <w:r w:rsidRPr="00A67277">
              <w:t>The IBE, at its sole cost and expense, shall obtain and maintain in effect such insurance policies and coverage required by the Financing Documents and Appendix 15 (</w:t>
            </w:r>
            <w:r w:rsidRPr="00A67277">
              <w:rPr>
                <w:rFonts w:eastAsia="Times New Roman"/>
                <w:i/>
              </w:rPr>
              <w:t>Required Insurances</w:t>
            </w:r>
            <w:r w:rsidRPr="00A67277">
              <w:t>):</w:t>
            </w:r>
          </w:p>
          <w:p w14:paraId="1B8A357C" w14:textId="77777777" w:rsidR="00862B0B" w:rsidRPr="00A67277" w:rsidRDefault="00862B0B" w:rsidP="00862B0B">
            <w:pPr>
              <w:spacing w:before="60" w:after="60"/>
              <w:rPr>
                <w:rFonts w:ascii="Arial" w:hAnsi="Arial" w:cs="Arial"/>
                <w:sz w:val="21"/>
                <w:szCs w:val="21"/>
              </w:rPr>
            </w:pPr>
          </w:p>
        </w:tc>
        <w:tc>
          <w:tcPr>
            <w:tcW w:w="169" w:type="pct"/>
          </w:tcPr>
          <w:p w14:paraId="2032925E" w14:textId="77777777" w:rsidR="00862B0B" w:rsidRPr="00A67277" w:rsidRDefault="00862B0B" w:rsidP="00862B0B">
            <w:pPr>
              <w:spacing w:before="60" w:after="60"/>
              <w:rPr>
                <w:rFonts w:ascii="Arial" w:hAnsi="Arial" w:cs="Arial"/>
                <w:sz w:val="21"/>
                <w:szCs w:val="21"/>
              </w:rPr>
            </w:pPr>
          </w:p>
        </w:tc>
        <w:tc>
          <w:tcPr>
            <w:tcW w:w="2561" w:type="pct"/>
            <w:gridSpan w:val="2"/>
          </w:tcPr>
          <w:p w14:paraId="4F25DC17" w14:textId="14D88906" w:rsidR="00862B0B" w:rsidRPr="00A67277" w:rsidRDefault="00862B0B" w:rsidP="00862B0B">
            <w:pPr>
              <w:pStyle w:val="Level3"/>
              <w:numPr>
                <w:ilvl w:val="0"/>
                <w:numId w:val="39"/>
              </w:numPr>
              <w:spacing w:before="60" w:after="60"/>
              <w:ind w:left="1692" w:hanging="540"/>
              <w:rPr>
                <w:rFonts w:cs="Arial"/>
              </w:rPr>
            </w:pPr>
            <w:r w:rsidRPr="00A67277">
              <w:rPr>
                <w:rFonts w:cs="Arial"/>
              </w:rPr>
              <w:t>BUP, atas biaya dan pengeluarannya sendiri, harus mendapatkan dan memelihara keberlakukan polis asuransi dan pertanggungan yang dipersyaratkan berdasarkan Dokumen Pembiayaan dan Lampiran 15 (</w:t>
            </w:r>
            <w:r w:rsidRPr="00A67277">
              <w:rPr>
                <w:rFonts w:cs="Arial"/>
                <w:i/>
              </w:rPr>
              <w:t>Asuransi Yang Disyaratkan</w:t>
            </w:r>
            <w:r w:rsidRPr="00A67277">
              <w:rPr>
                <w:rFonts w:cs="Arial"/>
              </w:rPr>
              <w:t>):</w:t>
            </w:r>
          </w:p>
        </w:tc>
      </w:tr>
      <w:tr w:rsidR="00862B0B" w:rsidRPr="00A67277" w14:paraId="333ABC57" w14:textId="77777777" w:rsidTr="00862B0B">
        <w:tc>
          <w:tcPr>
            <w:tcW w:w="2270" w:type="pct"/>
          </w:tcPr>
          <w:p w14:paraId="19399325" w14:textId="77777777" w:rsidR="00862B0B" w:rsidRPr="00A67277" w:rsidRDefault="00862B0B" w:rsidP="00862B0B">
            <w:pPr>
              <w:pStyle w:val="Level4"/>
              <w:numPr>
                <w:ilvl w:val="0"/>
                <w:numId w:val="40"/>
              </w:numPr>
              <w:spacing w:before="60" w:after="60"/>
              <w:ind w:left="1958"/>
            </w:pPr>
            <w:r w:rsidRPr="00A67277">
              <w:t>in accordance with allapplicable Legal Requirements and Good Industry Practice;</w:t>
            </w:r>
          </w:p>
        </w:tc>
        <w:tc>
          <w:tcPr>
            <w:tcW w:w="169" w:type="pct"/>
          </w:tcPr>
          <w:p w14:paraId="50CEC4C9" w14:textId="77777777" w:rsidR="00862B0B" w:rsidRPr="00A67277" w:rsidRDefault="00862B0B" w:rsidP="00862B0B">
            <w:pPr>
              <w:spacing w:before="60" w:after="60"/>
              <w:rPr>
                <w:rFonts w:ascii="Arial" w:hAnsi="Arial" w:cs="Arial"/>
                <w:sz w:val="21"/>
                <w:szCs w:val="21"/>
              </w:rPr>
            </w:pPr>
          </w:p>
        </w:tc>
        <w:tc>
          <w:tcPr>
            <w:tcW w:w="2561" w:type="pct"/>
            <w:gridSpan w:val="2"/>
          </w:tcPr>
          <w:p w14:paraId="276044C3" w14:textId="77777777" w:rsidR="00862B0B" w:rsidRPr="00A67277" w:rsidRDefault="00862B0B" w:rsidP="00862B0B">
            <w:pPr>
              <w:pStyle w:val="Level4"/>
              <w:numPr>
                <w:ilvl w:val="0"/>
                <w:numId w:val="41"/>
              </w:numPr>
              <w:spacing w:before="60" w:after="60"/>
              <w:ind w:left="2087"/>
              <w:rPr>
                <w:rFonts w:cs="Arial"/>
              </w:rPr>
            </w:pPr>
            <w:r w:rsidRPr="00A67277">
              <w:rPr>
                <w:rFonts w:cs="Arial"/>
              </w:rPr>
              <w:t>sesuai dengan semua Persyaratan Hukum and Praktek Industri Yang Baik;</w:t>
            </w:r>
          </w:p>
        </w:tc>
      </w:tr>
      <w:tr w:rsidR="00862B0B" w:rsidRPr="00A67277" w14:paraId="141804E5" w14:textId="77777777" w:rsidTr="00862B0B">
        <w:tc>
          <w:tcPr>
            <w:tcW w:w="2270" w:type="pct"/>
          </w:tcPr>
          <w:p w14:paraId="6F5824BA" w14:textId="520D6519" w:rsidR="00862B0B" w:rsidRPr="00A67277" w:rsidRDefault="00862B0B" w:rsidP="00862B0B">
            <w:pPr>
              <w:pStyle w:val="Level4"/>
              <w:numPr>
                <w:ilvl w:val="0"/>
                <w:numId w:val="40"/>
              </w:numPr>
              <w:spacing w:before="60" w:after="60"/>
              <w:ind w:left="1958"/>
            </w:pPr>
            <w:r w:rsidRPr="00A67277">
              <w:t>in the amounts and on the terms set out and during the periods prescribed in this Agreement, and in particular in accordance with Appendix 15 (</w:t>
            </w:r>
            <w:r w:rsidRPr="00A67277">
              <w:rPr>
                <w:i/>
              </w:rPr>
              <w:t>Required Insurances</w:t>
            </w:r>
            <w:r w:rsidRPr="00A67277">
              <w:t>), provided, however, that such amounts and terms may be changed from time to time with the prior written consent of GCA, which shall not be unreasonably withheld; and</w:t>
            </w:r>
          </w:p>
          <w:p w14:paraId="2385EC95" w14:textId="77777777" w:rsidR="00862B0B" w:rsidRPr="00A67277" w:rsidRDefault="00862B0B" w:rsidP="00862B0B">
            <w:pPr>
              <w:spacing w:before="60" w:after="60"/>
              <w:rPr>
                <w:rFonts w:ascii="Arial" w:hAnsi="Arial" w:cs="Arial"/>
                <w:sz w:val="21"/>
                <w:szCs w:val="21"/>
              </w:rPr>
            </w:pPr>
          </w:p>
        </w:tc>
        <w:tc>
          <w:tcPr>
            <w:tcW w:w="169" w:type="pct"/>
          </w:tcPr>
          <w:p w14:paraId="63D1D117" w14:textId="77777777" w:rsidR="00862B0B" w:rsidRPr="00A67277" w:rsidRDefault="00862B0B" w:rsidP="00862B0B">
            <w:pPr>
              <w:spacing w:before="60" w:after="60"/>
              <w:rPr>
                <w:rFonts w:ascii="Arial" w:hAnsi="Arial" w:cs="Arial"/>
                <w:sz w:val="21"/>
                <w:szCs w:val="21"/>
              </w:rPr>
            </w:pPr>
          </w:p>
        </w:tc>
        <w:tc>
          <w:tcPr>
            <w:tcW w:w="2561" w:type="pct"/>
            <w:gridSpan w:val="2"/>
          </w:tcPr>
          <w:p w14:paraId="034F4BB5" w14:textId="66EC5994" w:rsidR="00862B0B" w:rsidRPr="00A67277" w:rsidRDefault="00862B0B" w:rsidP="00862B0B">
            <w:pPr>
              <w:pStyle w:val="Level4"/>
              <w:numPr>
                <w:ilvl w:val="0"/>
                <w:numId w:val="41"/>
              </w:numPr>
              <w:spacing w:before="60" w:after="60"/>
              <w:ind w:left="2087"/>
              <w:rPr>
                <w:rFonts w:cs="Arial"/>
              </w:rPr>
            </w:pPr>
            <w:r w:rsidRPr="00A67277">
              <w:rPr>
                <w:rFonts w:cs="Arial"/>
              </w:rPr>
              <w:t>dalam jumlah, dengan ketentuan dan untuk periode yang diatur dalam Perjanjian ini, dan khususnya sesuai dengan Lampiran 15 (</w:t>
            </w:r>
            <w:r w:rsidRPr="00A67277">
              <w:rPr>
                <w:rFonts w:cs="Arial"/>
                <w:i/>
              </w:rPr>
              <w:t>Asuransi Yang Disyaratkan</w:t>
            </w:r>
            <w:r w:rsidRPr="00A67277">
              <w:rPr>
                <w:rFonts w:cs="Arial"/>
              </w:rPr>
              <w:t>), dengan ketentuan, bahwa jumlah dan ketentuan tersebut dapat berubah dari waktu ke waktu dengan persetujuan tertulis sebelumnya dari PJPK, yang tidak dapat ditahan secara tidak wajar; dan</w:t>
            </w:r>
          </w:p>
        </w:tc>
      </w:tr>
      <w:tr w:rsidR="00862B0B" w:rsidRPr="00A67277" w14:paraId="7E1B862D" w14:textId="77777777" w:rsidTr="00862B0B">
        <w:tc>
          <w:tcPr>
            <w:tcW w:w="2270" w:type="pct"/>
          </w:tcPr>
          <w:p w14:paraId="78808A20" w14:textId="77777777" w:rsidR="00862B0B" w:rsidRPr="00A67277" w:rsidRDefault="00862B0B" w:rsidP="00862B0B">
            <w:pPr>
              <w:pStyle w:val="Level4"/>
              <w:numPr>
                <w:ilvl w:val="0"/>
                <w:numId w:val="40"/>
              </w:numPr>
              <w:spacing w:before="60" w:after="60"/>
              <w:ind w:left="1958"/>
            </w:pPr>
            <w:r w:rsidRPr="00A67277">
              <w:t>in the case of primary insurance, from appropriate reputable Indonesian insurance companies (which includes the joint venture insurance companies established under Indonesian law by reputable international insurance companies) licensed to operate in Indonesia, at internationally competitive terms.</w:t>
            </w:r>
          </w:p>
          <w:p w14:paraId="763FE2A9" w14:textId="77777777" w:rsidR="00862B0B" w:rsidRPr="00A67277" w:rsidRDefault="00862B0B" w:rsidP="00862B0B">
            <w:pPr>
              <w:spacing w:before="60" w:after="60"/>
              <w:rPr>
                <w:rFonts w:ascii="Arial" w:hAnsi="Arial" w:cs="Arial"/>
                <w:sz w:val="21"/>
                <w:szCs w:val="21"/>
              </w:rPr>
            </w:pPr>
          </w:p>
        </w:tc>
        <w:tc>
          <w:tcPr>
            <w:tcW w:w="169" w:type="pct"/>
          </w:tcPr>
          <w:p w14:paraId="0BE7631C" w14:textId="77777777" w:rsidR="00862B0B" w:rsidRPr="00A67277" w:rsidRDefault="00862B0B" w:rsidP="00862B0B">
            <w:pPr>
              <w:spacing w:before="60" w:after="60"/>
              <w:rPr>
                <w:rFonts w:ascii="Arial" w:hAnsi="Arial" w:cs="Arial"/>
                <w:sz w:val="21"/>
                <w:szCs w:val="21"/>
              </w:rPr>
            </w:pPr>
          </w:p>
        </w:tc>
        <w:tc>
          <w:tcPr>
            <w:tcW w:w="2561" w:type="pct"/>
            <w:gridSpan w:val="2"/>
          </w:tcPr>
          <w:p w14:paraId="46D1EA6F" w14:textId="77777777" w:rsidR="00862B0B" w:rsidRPr="00A67277" w:rsidRDefault="00862B0B" w:rsidP="00862B0B">
            <w:pPr>
              <w:pStyle w:val="Level4"/>
              <w:numPr>
                <w:ilvl w:val="0"/>
                <w:numId w:val="41"/>
              </w:numPr>
              <w:spacing w:before="60" w:after="60"/>
              <w:ind w:left="2087"/>
              <w:rPr>
                <w:rFonts w:cs="Arial"/>
              </w:rPr>
            </w:pPr>
            <w:r w:rsidRPr="00A67277">
              <w:rPr>
                <w:rFonts w:cs="Arial"/>
              </w:rPr>
              <w:t>sehubungan dengan asuransi utama, harus diterbitkan oleh perusahaan asuransi Indonesia dengan reputasi baik (termasuk perusahaan asuransi patungan (joint venture) yang didirikan berdasarkan hukum Indonesia oleh perusahaan asuransi internasional dengan reputasi baik) yang memiliki izin untuk beroperasi di Indonesia, dengan ketentuan-ketentuan yang kompetitif secara internasional.</w:t>
            </w:r>
          </w:p>
        </w:tc>
      </w:tr>
      <w:tr w:rsidR="00862B0B" w:rsidRPr="00A67277" w14:paraId="2249AEDD" w14:textId="77777777" w:rsidTr="00862B0B">
        <w:tc>
          <w:tcPr>
            <w:tcW w:w="2270" w:type="pct"/>
          </w:tcPr>
          <w:p w14:paraId="00F77519" w14:textId="77777777" w:rsidR="00862B0B" w:rsidRPr="00A67277" w:rsidRDefault="00862B0B" w:rsidP="00862B0B">
            <w:pPr>
              <w:pStyle w:val="Level3"/>
              <w:numPr>
                <w:ilvl w:val="2"/>
                <w:numId w:val="491"/>
              </w:numPr>
              <w:tabs>
                <w:tab w:val="clear" w:pos="1417"/>
              </w:tabs>
              <w:spacing w:before="60" w:after="60"/>
              <w:ind w:hanging="427"/>
            </w:pPr>
            <w:r w:rsidRPr="00A67277">
              <w:t>All reinsurance purchased beyond the capacity of such insurers described in paragraph (a) above must conform within the parameters of [Standard &amp; Poor’s’ and/or A. M. Best minimum A- rated]</w:t>
            </w:r>
            <w:r w:rsidRPr="00A67277">
              <w:rPr>
                <w:rStyle w:val="FootnoteReference"/>
              </w:rPr>
              <w:footnoteReference w:id="11"/>
            </w:r>
            <w:r w:rsidRPr="00A67277">
              <w:t xml:space="preserve"> security list or be otherwise acceptable to GCA and the Financing Parties.</w:t>
            </w:r>
          </w:p>
        </w:tc>
        <w:tc>
          <w:tcPr>
            <w:tcW w:w="169" w:type="pct"/>
          </w:tcPr>
          <w:p w14:paraId="3053E03A" w14:textId="77777777" w:rsidR="00862B0B" w:rsidRPr="00A67277" w:rsidRDefault="00862B0B" w:rsidP="00862B0B">
            <w:pPr>
              <w:spacing w:before="60" w:after="60"/>
              <w:rPr>
                <w:rFonts w:ascii="Arial" w:hAnsi="Arial" w:cs="Arial"/>
                <w:sz w:val="21"/>
                <w:szCs w:val="21"/>
              </w:rPr>
            </w:pPr>
          </w:p>
        </w:tc>
        <w:tc>
          <w:tcPr>
            <w:tcW w:w="2561" w:type="pct"/>
            <w:gridSpan w:val="2"/>
          </w:tcPr>
          <w:p w14:paraId="1CCDE7FE" w14:textId="77777777" w:rsidR="00862B0B" w:rsidRPr="00A67277" w:rsidRDefault="00862B0B" w:rsidP="00862B0B">
            <w:pPr>
              <w:pStyle w:val="Level3"/>
              <w:numPr>
                <w:ilvl w:val="0"/>
                <w:numId w:val="39"/>
              </w:numPr>
              <w:spacing w:before="60" w:after="60"/>
              <w:ind w:left="1547" w:hanging="540"/>
              <w:rPr>
                <w:rFonts w:cs="Arial"/>
              </w:rPr>
            </w:pPr>
            <w:r w:rsidRPr="00A67277">
              <w:rPr>
                <w:rFonts w:cs="Arial"/>
              </w:rPr>
              <w:t>Semua reasuransi yang diperlukan melebihi kapasitas perusahaan asuransi dijelaskan dalam paragraf (a) di atas harus sesuai dengan parameter keamanan [Standard &amp; Poors dan/atau A. M. Best dengan minimal peringkat A-]</w:t>
            </w:r>
            <w:r w:rsidRPr="00A67277">
              <w:rPr>
                <w:rStyle w:val="FootnoteReference"/>
                <w:rFonts w:cs="Arial"/>
              </w:rPr>
              <w:footnoteReference w:id="12"/>
            </w:r>
            <w:r w:rsidRPr="00A67277">
              <w:rPr>
                <w:rFonts w:cs="Arial"/>
                <w:vertAlign w:val="superscript"/>
              </w:rPr>
              <w:t xml:space="preserve"> </w:t>
            </w:r>
            <w:r w:rsidRPr="00A67277">
              <w:rPr>
                <w:rFonts w:cs="Arial"/>
              </w:rPr>
              <w:t>atau secara lain yang dapat diterima PJPK dan Pihak Pembiaya.</w:t>
            </w:r>
          </w:p>
        </w:tc>
      </w:tr>
      <w:tr w:rsidR="00862B0B" w:rsidRPr="00A67277" w14:paraId="506D9FD2" w14:textId="77777777" w:rsidTr="00862B0B">
        <w:tc>
          <w:tcPr>
            <w:tcW w:w="2270" w:type="pct"/>
          </w:tcPr>
          <w:p w14:paraId="7FC61D39" w14:textId="77777777" w:rsidR="00862B0B" w:rsidRPr="00A67277" w:rsidRDefault="00862B0B" w:rsidP="00862B0B">
            <w:pPr>
              <w:pStyle w:val="Level3"/>
              <w:numPr>
                <w:ilvl w:val="2"/>
                <w:numId w:val="491"/>
              </w:numPr>
              <w:tabs>
                <w:tab w:val="clear" w:pos="1417"/>
              </w:tabs>
              <w:spacing w:before="60" w:after="60"/>
              <w:ind w:hanging="427"/>
            </w:pPr>
            <w:r w:rsidRPr="00A67277">
              <w:t>Nothing in this Agreement shall prevent the IBE, at its sole cost and expense, from procuring insurance coverage in addition to that specified in this Agreement.</w:t>
            </w:r>
          </w:p>
          <w:p w14:paraId="6E5C2075" w14:textId="77777777" w:rsidR="00862B0B" w:rsidRPr="00A67277" w:rsidRDefault="00862B0B" w:rsidP="00862B0B">
            <w:pPr>
              <w:spacing w:before="60" w:after="60"/>
              <w:rPr>
                <w:rFonts w:ascii="Arial" w:hAnsi="Arial" w:cs="Arial"/>
                <w:sz w:val="21"/>
                <w:szCs w:val="21"/>
              </w:rPr>
            </w:pPr>
          </w:p>
        </w:tc>
        <w:tc>
          <w:tcPr>
            <w:tcW w:w="169" w:type="pct"/>
          </w:tcPr>
          <w:p w14:paraId="5F561DC4" w14:textId="77777777" w:rsidR="00862B0B" w:rsidRPr="00A67277" w:rsidRDefault="00862B0B" w:rsidP="00862B0B">
            <w:pPr>
              <w:spacing w:before="60" w:after="60"/>
              <w:rPr>
                <w:rFonts w:ascii="Arial" w:hAnsi="Arial" w:cs="Arial"/>
                <w:sz w:val="21"/>
                <w:szCs w:val="21"/>
              </w:rPr>
            </w:pPr>
          </w:p>
        </w:tc>
        <w:tc>
          <w:tcPr>
            <w:tcW w:w="2561" w:type="pct"/>
            <w:gridSpan w:val="2"/>
          </w:tcPr>
          <w:p w14:paraId="05C0CC63" w14:textId="77777777" w:rsidR="00862B0B" w:rsidRPr="00A67277" w:rsidRDefault="00862B0B" w:rsidP="00862B0B">
            <w:pPr>
              <w:pStyle w:val="Level3"/>
              <w:numPr>
                <w:ilvl w:val="0"/>
                <w:numId w:val="39"/>
              </w:numPr>
              <w:spacing w:before="60" w:after="60"/>
              <w:ind w:left="1547" w:hanging="540"/>
              <w:rPr>
                <w:rFonts w:cs="Arial"/>
              </w:rPr>
            </w:pPr>
            <w:r w:rsidRPr="00A67277">
              <w:rPr>
                <w:rFonts w:cs="Arial"/>
              </w:rPr>
              <w:t>Tidak ada satu ketentuan pun dalam Perjanjian yang dapat mencegah BUP, dengan biaya dan pengeluarannya sendiri, untuk mendapatkan pertanggungan asuransi selain yang ditentukan dalam Perjanjian ini.</w:t>
            </w:r>
          </w:p>
        </w:tc>
      </w:tr>
      <w:tr w:rsidR="00862B0B" w:rsidRPr="00A67277" w14:paraId="463580A3" w14:textId="77777777" w:rsidTr="00862B0B">
        <w:tc>
          <w:tcPr>
            <w:tcW w:w="2270" w:type="pct"/>
          </w:tcPr>
          <w:p w14:paraId="18991B6D" w14:textId="77777777" w:rsidR="00862B0B" w:rsidRPr="00A67277" w:rsidRDefault="00862B0B" w:rsidP="00862B0B">
            <w:pPr>
              <w:pStyle w:val="Level3"/>
              <w:numPr>
                <w:ilvl w:val="2"/>
                <w:numId w:val="491"/>
              </w:numPr>
              <w:tabs>
                <w:tab w:val="clear" w:pos="1417"/>
              </w:tabs>
              <w:spacing w:before="60" w:after="60"/>
              <w:ind w:hanging="427"/>
            </w:pPr>
            <w:r w:rsidRPr="00A67277">
              <w:t>If so required by the Financing Party providing Senior Debt for the Project financing, the IBE shall be allowed to Encumber the insurance proceeds as security for the repayment of the Senior Debt without requiring further approval from the GCA.</w:t>
            </w:r>
          </w:p>
          <w:p w14:paraId="44BDD9CC" w14:textId="77777777" w:rsidR="00862B0B" w:rsidRPr="00A67277" w:rsidRDefault="00862B0B" w:rsidP="00862B0B">
            <w:pPr>
              <w:spacing w:before="60" w:after="60"/>
              <w:rPr>
                <w:rFonts w:ascii="Arial" w:hAnsi="Arial" w:cs="Arial"/>
                <w:sz w:val="21"/>
                <w:szCs w:val="21"/>
              </w:rPr>
            </w:pPr>
          </w:p>
        </w:tc>
        <w:tc>
          <w:tcPr>
            <w:tcW w:w="169" w:type="pct"/>
          </w:tcPr>
          <w:p w14:paraId="42593F9A" w14:textId="77777777" w:rsidR="00862B0B" w:rsidRPr="00A67277" w:rsidRDefault="00862B0B" w:rsidP="00862B0B">
            <w:pPr>
              <w:spacing w:before="60" w:after="60"/>
              <w:rPr>
                <w:rFonts w:ascii="Arial" w:hAnsi="Arial" w:cs="Arial"/>
                <w:sz w:val="21"/>
                <w:szCs w:val="21"/>
              </w:rPr>
            </w:pPr>
          </w:p>
        </w:tc>
        <w:tc>
          <w:tcPr>
            <w:tcW w:w="2561" w:type="pct"/>
            <w:gridSpan w:val="2"/>
          </w:tcPr>
          <w:p w14:paraId="74E9BE46" w14:textId="77777777" w:rsidR="00862B0B" w:rsidRPr="00A67277" w:rsidRDefault="00862B0B" w:rsidP="00862B0B">
            <w:pPr>
              <w:pStyle w:val="Level3"/>
              <w:numPr>
                <w:ilvl w:val="0"/>
                <w:numId w:val="39"/>
              </w:numPr>
              <w:spacing w:before="60" w:after="60"/>
              <w:ind w:left="1547" w:hanging="540"/>
              <w:rPr>
                <w:rFonts w:cs="Arial"/>
              </w:rPr>
            </w:pPr>
            <w:r w:rsidRPr="00A67277">
              <w:rPr>
                <w:rFonts w:cs="Arial"/>
              </w:rPr>
              <w:t>Jika diminta oleh Pihak Pembiaya yang menyediakan Hutang Senior untuk pembiayaan Proyek, BUP diizinkan untuk menciptakan Pembebanan atas penerimaan asuransi sebagai jaminan pembayaran kembali Hutang Senior tanpa memerlukan persetujuan lebih lanjut dari PJPK.</w:t>
            </w:r>
          </w:p>
        </w:tc>
      </w:tr>
      <w:tr w:rsidR="00862B0B" w:rsidRPr="00A67277" w14:paraId="69659D65" w14:textId="77777777" w:rsidTr="00862B0B">
        <w:tc>
          <w:tcPr>
            <w:tcW w:w="2270" w:type="pct"/>
          </w:tcPr>
          <w:p w14:paraId="0D94B4C6" w14:textId="77777777" w:rsidR="00862B0B" w:rsidRPr="00A67277" w:rsidRDefault="00862B0B" w:rsidP="00862B0B">
            <w:pPr>
              <w:pStyle w:val="Heading2"/>
              <w:numPr>
                <w:ilvl w:val="0"/>
                <w:numId w:val="38"/>
              </w:numPr>
              <w:spacing w:before="60" w:after="60"/>
              <w:ind w:left="968" w:hanging="518"/>
              <w:outlineLvl w:val="1"/>
              <w:rPr>
                <w:rFonts w:ascii="Arial" w:hAnsi="Arial" w:cs="Arial"/>
                <w:b/>
                <w:color w:val="auto"/>
                <w:sz w:val="21"/>
                <w:szCs w:val="21"/>
              </w:rPr>
            </w:pPr>
            <w:r w:rsidRPr="00A67277">
              <w:rPr>
                <w:rFonts w:ascii="Arial" w:hAnsi="Arial" w:cs="Arial"/>
                <w:b/>
                <w:color w:val="auto"/>
                <w:sz w:val="21"/>
                <w:szCs w:val="21"/>
              </w:rPr>
              <w:t>Policy Endorsements</w:t>
            </w:r>
          </w:p>
        </w:tc>
        <w:tc>
          <w:tcPr>
            <w:tcW w:w="169" w:type="pct"/>
          </w:tcPr>
          <w:p w14:paraId="1CE7D551" w14:textId="77777777" w:rsidR="00862B0B" w:rsidRPr="00A67277" w:rsidRDefault="00862B0B" w:rsidP="00862B0B">
            <w:pPr>
              <w:spacing w:before="60" w:after="60"/>
              <w:rPr>
                <w:rFonts w:ascii="Arial" w:hAnsi="Arial" w:cs="Arial"/>
                <w:sz w:val="21"/>
                <w:szCs w:val="21"/>
              </w:rPr>
            </w:pPr>
          </w:p>
        </w:tc>
        <w:tc>
          <w:tcPr>
            <w:tcW w:w="2561" w:type="pct"/>
            <w:gridSpan w:val="2"/>
          </w:tcPr>
          <w:p w14:paraId="04EF3F8C" w14:textId="77777777" w:rsidR="00862B0B" w:rsidRPr="00A67277" w:rsidRDefault="00862B0B" w:rsidP="00862B0B">
            <w:pPr>
              <w:pStyle w:val="Heading2"/>
              <w:numPr>
                <w:ilvl w:val="0"/>
                <w:numId w:val="11"/>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Endosemen Polis</w:t>
            </w:r>
          </w:p>
        </w:tc>
      </w:tr>
      <w:tr w:rsidR="00862B0B" w:rsidRPr="00A67277" w14:paraId="1AA6C210" w14:textId="77777777" w:rsidTr="00862B0B">
        <w:tc>
          <w:tcPr>
            <w:tcW w:w="2270" w:type="pct"/>
          </w:tcPr>
          <w:p w14:paraId="7A542D17" w14:textId="14357961" w:rsidR="00862B0B" w:rsidRPr="00A67277" w:rsidRDefault="00862B0B" w:rsidP="00862B0B">
            <w:pPr>
              <w:pStyle w:val="Level1"/>
              <w:spacing w:before="60" w:after="60"/>
              <w:ind w:left="973" w:firstLine="0"/>
            </w:pPr>
            <w:r w:rsidRPr="00A67277">
              <w:t>The commercial/general liability insurance referred to in Appendix 15 (</w:t>
            </w:r>
            <w:r w:rsidRPr="00A67277">
              <w:rPr>
                <w:rFonts w:eastAsia="Times New Roman"/>
                <w:i/>
              </w:rPr>
              <w:t>Required Insurances</w:t>
            </w:r>
            <w:r w:rsidRPr="00A67277">
              <w:t>) shall contain the following endorsement items:</w:t>
            </w:r>
          </w:p>
        </w:tc>
        <w:tc>
          <w:tcPr>
            <w:tcW w:w="169" w:type="pct"/>
          </w:tcPr>
          <w:p w14:paraId="0A52BFCC" w14:textId="77777777" w:rsidR="00862B0B" w:rsidRPr="00A67277" w:rsidRDefault="00862B0B" w:rsidP="00862B0B">
            <w:pPr>
              <w:spacing w:before="60" w:after="60"/>
              <w:rPr>
                <w:rFonts w:ascii="Arial" w:hAnsi="Arial" w:cs="Arial"/>
                <w:sz w:val="21"/>
                <w:szCs w:val="21"/>
              </w:rPr>
            </w:pPr>
          </w:p>
        </w:tc>
        <w:tc>
          <w:tcPr>
            <w:tcW w:w="2561" w:type="pct"/>
            <w:gridSpan w:val="2"/>
          </w:tcPr>
          <w:p w14:paraId="2394B314" w14:textId="627E4651" w:rsidR="00862B0B" w:rsidRPr="00A67277" w:rsidRDefault="00862B0B" w:rsidP="00862B0B">
            <w:pPr>
              <w:pStyle w:val="Level1"/>
              <w:tabs>
                <w:tab w:val="clear" w:pos="889"/>
                <w:tab w:val="num" w:pos="1031"/>
              </w:tabs>
              <w:spacing w:before="60" w:after="60"/>
              <w:ind w:left="1022" w:firstLine="9"/>
              <w:rPr>
                <w:rFonts w:cs="Arial"/>
              </w:rPr>
            </w:pPr>
            <w:r w:rsidRPr="00A67277">
              <w:rPr>
                <w:rFonts w:cs="Arial"/>
              </w:rPr>
              <w:t>Asuransi pertanggungan komersial/ umum sebagaimana dimaksud pada Lampiran 15 (</w:t>
            </w:r>
            <w:r w:rsidRPr="00A67277">
              <w:rPr>
                <w:rFonts w:cs="Arial"/>
                <w:i/>
              </w:rPr>
              <w:t>Asuransi Yang Disyaratkan)</w:t>
            </w:r>
            <w:r w:rsidRPr="00A67277">
              <w:rPr>
                <w:rFonts w:cs="Arial"/>
              </w:rPr>
              <w:t xml:space="preserve"> wajib memuat beberapa ketentuan sebagai berikut:</w:t>
            </w:r>
          </w:p>
        </w:tc>
      </w:tr>
      <w:tr w:rsidR="00862B0B" w:rsidRPr="00A67277" w14:paraId="3DAAC6D9" w14:textId="77777777" w:rsidTr="00862B0B">
        <w:tc>
          <w:tcPr>
            <w:tcW w:w="2270" w:type="pct"/>
          </w:tcPr>
          <w:p w14:paraId="0A6F9158" w14:textId="77777777" w:rsidR="00862B0B" w:rsidRPr="00A67277" w:rsidRDefault="00862B0B" w:rsidP="00862B0B">
            <w:pPr>
              <w:pStyle w:val="Level3"/>
              <w:numPr>
                <w:ilvl w:val="2"/>
                <w:numId w:val="492"/>
              </w:numPr>
              <w:tabs>
                <w:tab w:val="clear" w:pos="1417"/>
              </w:tabs>
              <w:spacing w:before="60" w:after="60"/>
              <w:ind w:hanging="403"/>
            </w:pPr>
            <w:r w:rsidRPr="00A67277">
              <w:t>GCA, its directors, officers and employees shall be additional insured parties or co-beneficiary under all policies maintained by the IBE (for their respective rights and interests only);</w:t>
            </w:r>
          </w:p>
        </w:tc>
        <w:tc>
          <w:tcPr>
            <w:tcW w:w="169" w:type="pct"/>
          </w:tcPr>
          <w:p w14:paraId="752792EA" w14:textId="77777777" w:rsidR="00862B0B" w:rsidRPr="00A67277" w:rsidRDefault="00862B0B" w:rsidP="00862B0B">
            <w:pPr>
              <w:spacing w:before="60" w:after="60"/>
              <w:rPr>
                <w:rFonts w:ascii="Arial" w:hAnsi="Arial" w:cs="Arial"/>
                <w:sz w:val="21"/>
                <w:szCs w:val="21"/>
              </w:rPr>
            </w:pPr>
          </w:p>
        </w:tc>
        <w:tc>
          <w:tcPr>
            <w:tcW w:w="2561" w:type="pct"/>
            <w:gridSpan w:val="2"/>
          </w:tcPr>
          <w:p w14:paraId="0A3C12D2"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 xml:space="preserve">PJPK, direktur, pejabat dan </w:t>
            </w:r>
            <w:r w:rsidRPr="00A67277">
              <w:rPr>
                <w:rFonts w:cs="Arial"/>
                <w:lang w:val="id-ID"/>
              </w:rPr>
              <w:t>pekerja</w:t>
            </w:r>
            <w:r w:rsidRPr="00A67277">
              <w:rPr>
                <w:rFonts w:cs="Arial"/>
                <w:lang w:val="en-US"/>
              </w:rPr>
              <w:t>nya harus merupakan pihak tertanggung atau penerima manfaat tambahan berdasarkan seluruh polis yang dimiliki oleh BUP (sepanjang berkaitan dengan setiap hak dan kepentingannya);</w:t>
            </w:r>
          </w:p>
        </w:tc>
      </w:tr>
      <w:tr w:rsidR="00862B0B" w:rsidRPr="00A67277" w14:paraId="36FE94F4" w14:textId="77777777" w:rsidTr="00862B0B">
        <w:tc>
          <w:tcPr>
            <w:tcW w:w="2270" w:type="pct"/>
          </w:tcPr>
          <w:p w14:paraId="5B9B5463" w14:textId="77777777" w:rsidR="00862B0B" w:rsidRPr="00A67277" w:rsidRDefault="00862B0B" w:rsidP="00862B0B">
            <w:pPr>
              <w:pStyle w:val="Level3"/>
              <w:numPr>
                <w:ilvl w:val="2"/>
                <w:numId w:val="492"/>
              </w:numPr>
              <w:tabs>
                <w:tab w:val="clear" w:pos="1417"/>
                <w:tab w:val="num" w:pos="2053"/>
              </w:tabs>
              <w:spacing w:before="60" w:after="60"/>
              <w:ind w:hanging="444"/>
            </w:pPr>
            <w:r w:rsidRPr="00A67277">
              <w:t>the insurance shall be primary with respect to the interest of GCA, its directors, officers, and employees and any other insurance maintained by them is excess and not contributory with such policies;</w:t>
            </w:r>
          </w:p>
          <w:p w14:paraId="710146D5" w14:textId="77777777" w:rsidR="00862B0B" w:rsidRPr="00A67277" w:rsidRDefault="00862B0B" w:rsidP="00862B0B">
            <w:pPr>
              <w:spacing w:before="60" w:after="60"/>
              <w:rPr>
                <w:rFonts w:ascii="Arial" w:hAnsi="Arial" w:cs="Arial"/>
                <w:sz w:val="21"/>
                <w:szCs w:val="21"/>
              </w:rPr>
            </w:pPr>
          </w:p>
          <w:p w14:paraId="590756A8" w14:textId="77777777" w:rsidR="00862B0B" w:rsidRPr="00A67277" w:rsidRDefault="00862B0B" w:rsidP="00862B0B">
            <w:pPr>
              <w:spacing w:before="60" w:after="60"/>
              <w:rPr>
                <w:rFonts w:ascii="Arial" w:hAnsi="Arial" w:cs="Arial"/>
                <w:sz w:val="21"/>
                <w:szCs w:val="21"/>
              </w:rPr>
            </w:pPr>
          </w:p>
          <w:p w14:paraId="09945FD9" w14:textId="77777777" w:rsidR="00862B0B" w:rsidRPr="00A67277" w:rsidRDefault="00862B0B" w:rsidP="00862B0B">
            <w:pPr>
              <w:tabs>
                <w:tab w:val="left" w:pos="2901"/>
              </w:tabs>
              <w:spacing w:before="60" w:after="60"/>
              <w:rPr>
                <w:rFonts w:ascii="Arial" w:hAnsi="Arial" w:cs="Arial"/>
                <w:sz w:val="21"/>
                <w:szCs w:val="21"/>
              </w:rPr>
            </w:pPr>
            <w:r w:rsidRPr="00A67277">
              <w:rPr>
                <w:rFonts w:ascii="Arial" w:hAnsi="Arial" w:cs="Arial"/>
                <w:sz w:val="21"/>
                <w:szCs w:val="21"/>
              </w:rPr>
              <w:tab/>
            </w:r>
          </w:p>
        </w:tc>
        <w:tc>
          <w:tcPr>
            <w:tcW w:w="169" w:type="pct"/>
          </w:tcPr>
          <w:p w14:paraId="1C2DC221" w14:textId="77777777" w:rsidR="00862B0B" w:rsidRPr="00A67277" w:rsidRDefault="00862B0B" w:rsidP="00862B0B">
            <w:pPr>
              <w:spacing w:before="60" w:after="60"/>
              <w:rPr>
                <w:rFonts w:ascii="Arial" w:hAnsi="Arial" w:cs="Arial"/>
                <w:sz w:val="21"/>
                <w:szCs w:val="21"/>
              </w:rPr>
            </w:pPr>
          </w:p>
        </w:tc>
        <w:tc>
          <w:tcPr>
            <w:tcW w:w="2561" w:type="pct"/>
            <w:gridSpan w:val="2"/>
          </w:tcPr>
          <w:p w14:paraId="227D2B9B"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asuransi harus mengutamakan kepentingan PJPK, direktur, pejabat, dan pekerjanya dan asuransi lainnya yang dimiliki merepa mereka merupakan tambahan dan bukan merupakan kontribusi terhadap polis tersebut;</w:t>
            </w:r>
          </w:p>
        </w:tc>
      </w:tr>
      <w:tr w:rsidR="00862B0B" w:rsidRPr="00A67277" w14:paraId="1554E8B7" w14:textId="77777777" w:rsidTr="00862B0B">
        <w:tc>
          <w:tcPr>
            <w:tcW w:w="2270" w:type="pct"/>
          </w:tcPr>
          <w:p w14:paraId="5FA51E98" w14:textId="77777777" w:rsidR="00862B0B" w:rsidRPr="00A67277" w:rsidRDefault="00862B0B" w:rsidP="00862B0B">
            <w:pPr>
              <w:pStyle w:val="Level3"/>
              <w:numPr>
                <w:ilvl w:val="2"/>
                <w:numId w:val="492"/>
              </w:numPr>
              <w:tabs>
                <w:tab w:val="clear" w:pos="1417"/>
                <w:tab w:val="num" w:pos="2053"/>
              </w:tabs>
              <w:spacing w:before="60" w:after="60"/>
              <w:ind w:hanging="444"/>
            </w:pPr>
            <w:r w:rsidRPr="00A67277">
              <w:t>the insurance shall contain a cross liability clause;</w:t>
            </w:r>
          </w:p>
          <w:p w14:paraId="5C9391C5" w14:textId="77777777" w:rsidR="00862B0B" w:rsidRPr="00A67277" w:rsidRDefault="00862B0B" w:rsidP="00862B0B">
            <w:pPr>
              <w:spacing w:before="60" w:after="60"/>
              <w:rPr>
                <w:rFonts w:ascii="Arial" w:hAnsi="Arial" w:cs="Arial"/>
                <w:sz w:val="21"/>
                <w:szCs w:val="21"/>
              </w:rPr>
            </w:pPr>
          </w:p>
          <w:p w14:paraId="244C29A1" w14:textId="77777777" w:rsidR="00862B0B" w:rsidRPr="00A67277" w:rsidRDefault="00862B0B" w:rsidP="00862B0B">
            <w:pPr>
              <w:spacing w:before="60" w:after="60"/>
              <w:jc w:val="right"/>
              <w:rPr>
                <w:rFonts w:ascii="Arial" w:hAnsi="Arial" w:cs="Arial"/>
                <w:sz w:val="21"/>
                <w:szCs w:val="21"/>
              </w:rPr>
            </w:pPr>
          </w:p>
        </w:tc>
        <w:tc>
          <w:tcPr>
            <w:tcW w:w="169" w:type="pct"/>
          </w:tcPr>
          <w:p w14:paraId="18E5D105" w14:textId="77777777" w:rsidR="00862B0B" w:rsidRPr="00A67277" w:rsidRDefault="00862B0B" w:rsidP="00862B0B">
            <w:pPr>
              <w:spacing w:before="60" w:after="60"/>
              <w:rPr>
                <w:rFonts w:ascii="Arial" w:hAnsi="Arial" w:cs="Arial"/>
                <w:sz w:val="21"/>
                <w:szCs w:val="21"/>
              </w:rPr>
            </w:pPr>
          </w:p>
        </w:tc>
        <w:tc>
          <w:tcPr>
            <w:tcW w:w="2561" w:type="pct"/>
            <w:gridSpan w:val="2"/>
          </w:tcPr>
          <w:p w14:paraId="439063E4"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asuransi harus memuat suatu ketentuan lintas tanggung jawab (cross-liability);</w:t>
            </w:r>
          </w:p>
        </w:tc>
      </w:tr>
      <w:tr w:rsidR="00862B0B" w:rsidRPr="00A67277" w14:paraId="1C360EC3" w14:textId="77777777" w:rsidTr="00862B0B">
        <w:tc>
          <w:tcPr>
            <w:tcW w:w="2270" w:type="pct"/>
          </w:tcPr>
          <w:p w14:paraId="75706182" w14:textId="77777777" w:rsidR="00862B0B" w:rsidRPr="00A67277" w:rsidRDefault="00862B0B" w:rsidP="00862B0B">
            <w:pPr>
              <w:pStyle w:val="Level3"/>
              <w:numPr>
                <w:ilvl w:val="2"/>
                <w:numId w:val="492"/>
              </w:numPr>
              <w:tabs>
                <w:tab w:val="clear" w:pos="1417"/>
                <w:tab w:val="num" w:pos="2053"/>
              </w:tabs>
              <w:spacing w:before="60" w:after="60"/>
              <w:ind w:hanging="444"/>
            </w:pPr>
            <w:r w:rsidRPr="00A67277">
              <w:t xml:space="preserve">the insurers shall waive all rights of subrogation against the Parties, its officers, directors and employees (in respect of the claims arising under its insurance policies; </w:t>
            </w:r>
          </w:p>
          <w:p w14:paraId="7359BECC" w14:textId="77777777" w:rsidR="00862B0B" w:rsidRPr="00A67277" w:rsidRDefault="00862B0B" w:rsidP="00862B0B">
            <w:pPr>
              <w:spacing w:before="60" w:after="60"/>
              <w:rPr>
                <w:rFonts w:ascii="Arial" w:hAnsi="Arial" w:cs="Arial"/>
                <w:sz w:val="21"/>
                <w:szCs w:val="21"/>
              </w:rPr>
            </w:pPr>
          </w:p>
          <w:p w14:paraId="54F97AA4" w14:textId="77777777" w:rsidR="00862B0B" w:rsidRPr="00A67277" w:rsidRDefault="00862B0B" w:rsidP="00862B0B">
            <w:pPr>
              <w:spacing w:before="60" w:after="60"/>
              <w:jc w:val="right"/>
              <w:rPr>
                <w:rFonts w:ascii="Arial" w:hAnsi="Arial" w:cs="Arial"/>
                <w:sz w:val="21"/>
                <w:szCs w:val="21"/>
              </w:rPr>
            </w:pPr>
          </w:p>
        </w:tc>
        <w:tc>
          <w:tcPr>
            <w:tcW w:w="169" w:type="pct"/>
          </w:tcPr>
          <w:p w14:paraId="01E2BA07" w14:textId="77777777" w:rsidR="00862B0B" w:rsidRPr="00A67277" w:rsidRDefault="00862B0B" w:rsidP="00862B0B">
            <w:pPr>
              <w:spacing w:before="60" w:after="60"/>
              <w:rPr>
                <w:rFonts w:ascii="Arial" w:hAnsi="Arial" w:cs="Arial"/>
                <w:sz w:val="21"/>
                <w:szCs w:val="21"/>
              </w:rPr>
            </w:pPr>
          </w:p>
        </w:tc>
        <w:tc>
          <w:tcPr>
            <w:tcW w:w="2561" w:type="pct"/>
            <w:gridSpan w:val="2"/>
          </w:tcPr>
          <w:p w14:paraId="720746DA"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penanggung asuransi harus melepaskan semua hak subrograsi terhadap Para Pihak, pejabat, direktur dan pekerjanya (sehubungan dengan Klaim yang timbul berdasarkan poils asuransi tersebut);</w:t>
            </w:r>
          </w:p>
        </w:tc>
      </w:tr>
      <w:tr w:rsidR="00862B0B" w:rsidRPr="00A67277" w14:paraId="29958A01" w14:textId="77777777" w:rsidTr="00862B0B">
        <w:tc>
          <w:tcPr>
            <w:tcW w:w="2270" w:type="pct"/>
          </w:tcPr>
          <w:p w14:paraId="60E11918" w14:textId="77777777" w:rsidR="00862B0B" w:rsidRPr="00A67277" w:rsidRDefault="00862B0B" w:rsidP="00862B0B">
            <w:pPr>
              <w:pStyle w:val="Level3"/>
              <w:numPr>
                <w:ilvl w:val="2"/>
                <w:numId w:val="492"/>
              </w:numPr>
              <w:tabs>
                <w:tab w:val="clear" w:pos="1417"/>
                <w:tab w:val="num" w:pos="2053"/>
              </w:tabs>
              <w:spacing w:before="60" w:after="60"/>
              <w:ind w:hanging="444"/>
            </w:pPr>
            <w:r w:rsidRPr="00A67277">
              <w:t>the policy may not be cancelled, non-renewed or materially changed by the insurer without giving one (1) Month's prior written notice to GCA; and</w:t>
            </w:r>
          </w:p>
          <w:p w14:paraId="368C87C9" w14:textId="77777777" w:rsidR="00862B0B" w:rsidRPr="00A67277" w:rsidRDefault="00862B0B" w:rsidP="00862B0B">
            <w:pPr>
              <w:spacing w:before="60" w:after="60"/>
              <w:rPr>
                <w:rFonts w:ascii="Arial" w:hAnsi="Arial" w:cs="Arial"/>
                <w:sz w:val="21"/>
                <w:szCs w:val="21"/>
              </w:rPr>
            </w:pPr>
          </w:p>
        </w:tc>
        <w:tc>
          <w:tcPr>
            <w:tcW w:w="169" w:type="pct"/>
          </w:tcPr>
          <w:p w14:paraId="4841EA3C" w14:textId="77777777" w:rsidR="00862B0B" w:rsidRPr="00A67277" w:rsidRDefault="00862B0B" w:rsidP="00862B0B">
            <w:pPr>
              <w:spacing w:before="60" w:after="60"/>
              <w:rPr>
                <w:rFonts w:ascii="Arial" w:hAnsi="Arial" w:cs="Arial"/>
                <w:sz w:val="21"/>
                <w:szCs w:val="21"/>
              </w:rPr>
            </w:pPr>
          </w:p>
        </w:tc>
        <w:tc>
          <w:tcPr>
            <w:tcW w:w="2561" w:type="pct"/>
            <w:gridSpan w:val="2"/>
          </w:tcPr>
          <w:p w14:paraId="23C3CCD3"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polis tidak dapat dibatalkan, tidak dapat diperbaharui, atau diubah secara material oleh penanggung asuransi tanpa memberikan satu (1) Bulan pemberitahuan tertulis sebelumnya kepada PJPK.</w:t>
            </w:r>
          </w:p>
        </w:tc>
      </w:tr>
      <w:tr w:rsidR="00862B0B" w:rsidRPr="00A67277" w14:paraId="099A5EC2" w14:textId="77777777" w:rsidTr="00862B0B">
        <w:tc>
          <w:tcPr>
            <w:tcW w:w="2270" w:type="pct"/>
          </w:tcPr>
          <w:p w14:paraId="68DC098C" w14:textId="77777777" w:rsidR="00862B0B" w:rsidRPr="00A67277" w:rsidRDefault="00862B0B" w:rsidP="00862B0B">
            <w:pPr>
              <w:pStyle w:val="Level3"/>
              <w:numPr>
                <w:ilvl w:val="2"/>
                <w:numId w:val="492"/>
              </w:numPr>
              <w:tabs>
                <w:tab w:val="clear" w:pos="1417"/>
                <w:tab w:val="num" w:pos="2053"/>
              </w:tabs>
              <w:spacing w:before="60" w:after="60"/>
              <w:ind w:hanging="444"/>
            </w:pPr>
            <w:r w:rsidRPr="00A67277">
              <w:t>the insurers shall provide written notification to the GCA if the IBE fails to extend or renew the insurance policy.</w:t>
            </w:r>
          </w:p>
          <w:p w14:paraId="5C67411C" w14:textId="77777777" w:rsidR="00862B0B" w:rsidRPr="00A67277" w:rsidRDefault="00862B0B" w:rsidP="00862B0B">
            <w:pPr>
              <w:spacing w:before="60" w:after="60"/>
              <w:rPr>
                <w:rFonts w:ascii="Arial" w:hAnsi="Arial" w:cs="Arial"/>
                <w:sz w:val="21"/>
                <w:szCs w:val="21"/>
              </w:rPr>
            </w:pPr>
          </w:p>
        </w:tc>
        <w:tc>
          <w:tcPr>
            <w:tcW w:w="169" w:type="pct"/>
          </w:tcPr>
          <w:p w14:paraId="0039B5AE" w14:textId="77777777" w:rsidR="00862B0B" w:rsidRPr="00A67277" w:rsidRDefault="00862B0B" w:rsidP="00862B0B">
            <w:pPr>
              <w:spacing w:before="60" w:after="60"/>
              <w:rPr>
                <w:rFonts w:ascii="Arial" w:hAnsi="Arial" w:cs="Arial"/>
                <w:sz w:val="21"/>
                <w:szCs w:val="21"/>
              </w:rPr>
            </w:pPr>
          </w:p>
        </w:tc>
        <w:tc>
          <w:tcPr>
            <w:tcW w:w="2561" w:type="pct"/>
            <w:gridSpan w:val="2"/>
          </w:tcPr>
          <w:p w14:paraId="40FB73E8" w14:textId="77777777" w:rsidR="00862B0B" w:rsidRPr="00A67277" w:rsidRDefault="00862B0B" w:rsidP="00862B0B">
            <w:pPr>
              <w:pStyle w:val="Level3"/>
              <w:numPr>
                <w:ilvl w:val="0"/>
                <w:numId w:val="42"/>
              </w:numPr>
              <w:spacing w:before="60" w:after="60"/>
              <w:ind w:left="1556" w:hanging="540"/>
              <w:rPr>
                <w:rFonts w:cs="Arial"/>
                <w:lang w:val="en-US"/>
              </w:rPr>
            </w:pPr>
            <w:r w:rsidRPr="00A67277">
              <w:rPr>
                <w:rFonts w:cs="Arial"/>
                <w:lang w:val="en-US"/>
              </w:rPr>
              <w:t>penanggung asuransi harus memberikan pemberitahuan tertulis kepada PJPK jika BUP gagal menambah atau memperbaharui polis asuransi.</w:t>
            </w:r>
          </w:p>
        </w:tc>
      </w:tr>
      <w:tr w:rsidR="00862B0B" w:rsidRPr="00A67277" w14:paraId="77451193" w14:textId="77777777" w:rsidTr="00862B0B">
        <w:tc>
          <w:tcPr>
            <w:tcW w:w="2270" w:type="pct"/>
          </w:tcPr>
          <w:p w14:paraId="0231E151" w14:textId="77777777" w:rsidR="00862B0B" w:rsidRPr="00A67277" w:rsidRDefault="00862B0B" w:rsidP="00862B0B">
            <w:pPr>
              <w:pStyle w:val="Heading2"/>
              <w:numPr>
                <w:ilvl w:val="0"/>
                <w:numId w:val="38"/>
              </w:numPr>
              <w:spacing w:before="60" w:after="60"/>
              <w:ind w:left="968" w:hanging="608"/>
              <w:outlineLvl w:val="1"/>
              <w:rPr>
                <w:rFonts w:ascii="Arial" w:hAnsi="Arial" w:cs="Arial"/>
                <w:b/>
                <w:color w:val="auto"/>
                <w:sz w:val="21"/>
                <w:szCs w:val="21"/>
              </w:rPr>
            </w:pPr>
            <w:r w:rsidRPr="00A67277">
              <w:rPr>
                <w:rFonts w:ascii="Arial" w:hAnsi="Arial" w:cs="Arial"/>
                <w:b/>
                <w:color w:val="auto"/>
                <w:sz w:val="21"/>
                <w:szCs w:val="21"/>
              </w:rPr>
              <w:t>GCA’s Consent</w:t>
            </w:r>
          </w:p>
        </w:tc>
        <w:tc>
          <w:tcPr>
            <w:tcW w:w="169" w:type="pct"/>
          </w:tcPr>
          <w:p w14:paraId="4E9D93AD" w14:textId="77777777" w:rsidR="00862B0B" w:rsidRPr="00A67277" w:rsidRDefault="00862B0B" w:rsidP="00862B0B">
            <w:pPr>
              <w:spacing w:before="60" w:after="60"/>
              <w:rPr>
                <w:rFonts w:ascii="Arial" w:hAnsi="Arial" w:cs="Arial"/>
                <w:sz w:val="21"/>
                <w:szCs w:val="21"/>
              </w:rPr>
            </w:pPr>
          </w:p>
        </w:tc>
        <w:tc>
          <w:tcPr>
            <w:tcW w:w="2561" w:type="pct"/>
            <w:gridSpan w:val="2"/>
          </w:tcPr>
          <w:p w14:paraId="0E3736FC" w14:textId="77777777" w:rsidR="00862B0B" w:rsidRPr="00A67277" w:rsidRDefault="00862B0B" w:rsidP="00862B0B">
            <w:pPr>
              <w:pStyle w:val="Heading2"/>
              <w:numPr>
                <w:ilvl w:val="0"/>
                <w:numId w:val="11"/>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Persetujuan PJPK</w:t>
            </w:r>
          </w:p>
        </w:tc>
      </w:tr>
      <w:tr w:rsidR="00862B0B" w:rsidRPr="00A67277" w14:paraId="4E092FC6" w14:textId="77777777" w:rsidTr="00862B0B">
        <w:tc>
          <w:tcPr>
            <w:tcW w:w="2270" w:type="pct"/>
          </w:tcPr>
          <w:p w14:paraId="2FC01ECD" w14:textId="77777777" w:rsidR="00862B0B" w:rsidRPr="00A67277" w:rsidRDefault="00862B0B" w:rsidP="00862B0B">
            <w:pPr>
              <w:pStyle w:val="Level1"/>
              <w:spacing w:before="60" w:after="60"/>
              <w:ind w:left="973" w:hanging="5"/>
            </w:pPr>
            <w:r w:rsidRPr="00A67277">
              <w:t>Any changes in the insurances that are not consistent with the requirements of this Agreement shall require the prior written consent of GCA, which shall not be unreasonably withheld.</w:t>
            </w:r>
          </w:p>
        </w:tc>
        <w:tc>
          <w:tcPr>
            <w:tcW w:w="169" w:type="pct"/>
          </w:tcPr>
          <w:p w14:paraId="786A759C" w14:textId="77777777" w:rsidR="00862B0B" w:rsidRPr="00A67277" w:rsidRDefault="00862B0B" w:rsidP="00862B0B">
            <w:pPr>
              <w:spacing w:before="60" w:after="60"/>
              <w:rPr>
                <w:rFonts w:ascii="Arial" w:hAnsi="Arial" w:cs="Arial"/>
                <w:sz w:val="21"/>
                <w:szCs w:val="21"/>
              </w:rPr>
            </w:pPr>
          </w:p>
        </w:tc>
        <w:tc>
          <w:tcPr>
            <w:tcW w:w="2561" w:type="pct"/>
            <w:gridSpan w:val="2"/>
          </w:tcPr>
          <w:p w14:paraId="272EEB64" w14:textId="77777777" w:rsidR="00862B0B" w:rsidRPr="00A67277" w:rsidRDefault="00862B0B" w:rsidP="00862B0B">
            <w:pPr>
              <w:pStyle w:val="Level1"/>
              <w:spacing w:before="60" w:after="60"/>
              <w:ind w:left="1022" w:firstLine="9"/>
              <w:rPr>
                <w:rFonts w:cs="Arial"/>
              </w:rPr>
            </w:pPr>
            <w:r w:rsidRPr="00A67277">
              <w:rPr>
                <w:rFonts w:cs="Arial"/>
              </w:rPr>
              <w:t>Setiap perubahan dalam asuransi yang tidak sesuai dengan persyaratan dalam Perjanjian ini harus mendapatkan persetujuan tertulis terlebih dahulu dari PJPK, yang mana tidak akan ditahan secara wajar.</w:t>
            </w:r>
          </w:p>
        </w:tc>
      </w:tr>
      <w:tr w:rsidR="00862B0B" w:rsidRPr="00A67277" w14:paraId="6FE0713C" w14:textId="77777777" w:rsidTr="00862B0B">
        <w:tc>
          <w:tcPr>
            <w:tcW w:w="2270" w:type="pct"/>
          </w:tcPr>
          <w:p w14:paraId="517A8D9B" w14:textId="77777777" w:rsidR="00862B0B" w:rsidRPr="00A67277" w:rsidRDefault="00862B0B" w:rsidP="00862B0B">
            <w:pPr>
              <w:pStyle w:val="Heading2"/>
              <w:numPr>
                <w:ilvl w:val="0"/>
                <w:numId w:val="38"/>
              </w:numPr>
              <w:spacing w:before="60" w:after="60"/>
              <w:ind w:left="968" w:hanging="608"/>
              <w:outlineLvl w:val="1"/>
              <w:rPr>
                <w:color w:val="auto"/>
              </w:rPr>
            </w:pPr>
            <w:r w:rsidRPr="00A67277">
              <w:rPr>
                <w:rFonts w:ascii="Arial" w:hAnsi="Arial" w:cs="Arial"/>
                <w:b/>
                <w:color w:val="auto"/>
                <w:sz w:val="21"/>
                <w:szCs w:val="21"/>
              </w:rPr>
              <w:t>Notifications of Claims</w:t>
            </w:r>
          </w:p>
        </w:tc>
        <w:tc>
          <w:tcPr>
            <w:tcW w:w="169" w:type="pct"/>
          </w:tcPr>
          <w:p w14:paraId="65974281" w14:textId="77777777" w:rsidR="00862B0B" w:rsidRPr="00A67277" w:rsidRDefault="00862B0B" w:rsidP="00862B0B">
            <w:pPr>
              <w:spacing w:before="60" w:after="60"/>
              <w:rPr>
                <w:rFonts w:ascii="Arial" w:hAnsi="Arial" w:cs="Arial"/>
                <w:sz w:val="21"/>
                <w:szCs w:val="21"/>
              </w:rPr>
            </w:pPr>
          </w:p>
        </w:tc>
        <w:tc>
          <w:tcPr>
            <w:tcW w:w="2561" w:type="pct"/>
            <w:gridSpan w:val="2"/>
          </w:tcPr>
          <w:p w14:paraId="76DF4ED6" w14:textId="77777777" w:rsidR="00862B0B" w:rsidRPr="00A67277" w:rsidRDefault="00862B0B" w:rsidP="00862B0B">
            <w:pPr>
              <w:pStyle w:val="Heading2"/>
              <w:numPr>
                <w:ilvl w:val="0"/>
                <w:numId w:val="11"/>
              </w:numPr>
              <w:spacing w:before="60" w:after="60"/>
              <w:ind w:left="1022" w:hanging="680"/>
              <w:outlineLvl w:val="1"/>
              <w:rPr>
                <w:rFonts w:ascii="Arial" w:hAnsi="Arial" w:cs="Arial"/>
                <w:b/>
                <w:color w:val="auto"/>
                <w:sz w:val="21"/>
                <w:szCs w:val="21"/>
              </w:rPr>
            </w:pPr>
            <w:r w:rsidRPr="00A67277">
              <w:rPr>
                <w:rFonts w:ascii="Arial" w:hAnsi="Arial" w:cs="Arial"/>
                <w:b/>
                <w:color w:val="auto"/>
                <w:sz w:val="21"/>
                <w:szCs w:val="21"/>
              </w:rPr>
              <w:t>Pemberitahuan Klaim</w:t>
            </w:r>
          </w:p>
        </w:tc>
      </w:tr>
      <w:tr w:rsidR="00862B0B" w:rsidRPr="00A67277" w14:paraId="70637803" w14:textId="77777777" w:rsidTr="00862B0B">
        <w:tc>
          <w:tcPr>
            <w:tcW w:w="2270" w:type="pct"/>
          </w:tcPr>
          <w:p w14:paraId="1064F0A1" w14:textId="77777777" w:rsidR="00862B0B" w:rsidRPr="00A67277" w:rsidRDefault="00862B0B" w:rsidP="00862B0B">
            <w:pPr>
              <w:pStyle w:val="Level1"/>
              <w:spacing w:before="60" w:after="60"/>
              <w:ind w:left="973" w:hanging="5"/>
            </w:pPr>
            <w:r w:rsidRPr="00A67277">
              <w:t>The IBE shall, as soon as practicable upon becoming aware of the same, notify GCA of any insurance claims/incidents where the amount of such claim/incident exceeds or is expected to exceed one hundred billion Indonesian Rupiah (IDR100,000,000,000) indexed with Consumer Price Index (before any applicable policy deductibles) or such other amounts as may from time to time be agreed between the relevant parties).</w:t>
            </w:r>
          </w:p>
          <w:p w14:paraId="0B6FFE46" w14:textId="77777777" w:rsidR="00862B0B" w:rsidRPr="00A67277" w:rsidRDefault="00862B0B" w:rsidP="00862B0B">
            <w:pPr>
              <w:spacing w:before="60" w:after="60"/>
              <w:rPr>
                <w:rFonts w:ascii="Arial" w:hAnsi="Arial" w:cs="Arial"/>
                <w:sz w:val="21"/>
                <w:szCs w:val="21"/>
              </w:rPr>
            </w:pPr>
          </w:p>
        </w:tc>
        <w:tc>
          <w:tcPr>
            <w:tcW w:w="169" w:type="pct"/>
          </w:tcPr>
          <w:p w14:paraId="627A763B" w14:textId="77777777" w:rsidR="00862B0B" w:rsidRPr="00A67277" w:rsidRDefault="00862B0B" w:rsidP="00862B0B">
            <w:pPr>
              <w:spacing w:before="60" w:after="60"/>
              <w:rPr>
                <w:rFonts w:ascii="Arial" w:hAnsi="Arial" w:cs="Arial"/>
                <w:sz w:val="21"/>
                <w:szCs w:val="21"/>
              </w:rPr>
            </w:pPr>
          </w:p>
        </w:tc>
        <w:tc>
          <w:tcPr>
            <w:tcW w:w="2561" w:type="pct"/>
            <w:gridSpan w:val="2"/>
          </w:tcPr>
          <w:p w14:paraId="0F16951F" w14:textId="77777777" w:rsidR="00862B0B" w:rsidRPr="00A67277" w:rsidRDefault="00862B0B" w:rsidP="00862B0B">
            <w:pPr>
              <w:pStyle w:val="Level1"/>
              <w:spacing w:before="60" w:after="60"/>
              <w:ind w:left="1022"/>
              <w:rPr>
                <w:rFonts w:cs="Arial"/>
              </w:rPr>
            </w:pPr>
            <w:r w:rsidRPr="00A67277">
              <w:rPr>
                <w:rFonts w:cs="Arial"/>
              </w:rPr>
              <w:tab/>
            </w:r>
            <w:r w:rsidRPr="00A67277">
              <w:rPr>
                <w:rFonts w:cs="Arial"/>
              </w:rPr>
              <w:tab/>
              <w:t>BUP harus, segera setelah menyadarinya, memberitahukan PJPK atas klaim asuransi / kejadian dimana jumlah klaim / kejadian tersebut melebihi atau diperkirakan melebihi seratus miliar Rupiah (Rp.100.000.000.000) yang diindeks dengan Indeks Harga Konsumen (sebelum dikurangi pengurangan-pengurangan polis (policy deductibles) yang berlaku) atau jumlah lain yang dari waktu ke waktu disepakati pihak-pihak terkait).</w:t>
            </w:r>
          </w:p>
        </w:tc>
      </w:tr>
      <w:tr w:rsidR="00862B0B" w:rsidRPr="00A67277" w14:paraId="0B78CD68" w14:textId="77777777" w:rsidTr="00862B0B">
        <w:tc>
          <w:tcPr>
            <w:tcW w:w="2270" w:type="pct"/>
          </w:tcPr>
          <w:p w14:paraId="32FFFC4F" w14:textId="77777777" w:rsidR="00862B0B" w:rsidRPr="00A67277" w:rsidRDefault="00862B0B" w:rsidP="00862B0B">
            <w:pPr>
              <w:pStyle w:val="Heading2"/>
              <w:numPr>
                <w:ilvl w:val="0"/>
                <w:numId w:val="38"/>
              </w:numPr>
              <w:spacing w:before="60" w:after="60"/>
              <w:ind w:left="968" w:hanging="608"/>
              <w:outlineLvl w:val="1"/>
              <w:rPr>
                <w:color w:val="auto"/>
              </w:rPr>
            </w:pPr>
            <w:r w:rsidRPr="00A67277">
              <w:rPr>
                <w:rFonts w:ascii="Arial" w:hAnsi="Arial" w:cs="Arial"/>
                <w:b/>
                <w:color w:val="auto"/>
                <w:sz w:val="21"/>
                <w:szCs w:val="21"/>
              </w:rPr>
              <w:t>Policy Deductibles</w:t>
            </w:r>
          </w:p>
        </w:tc>
        <w:tc>
          <w:tcPr>
            <w:tcW w:w="169" w:type="pct"/>
          </w:tcPr>
          <w:p w14:paraId="217F27DC" w14:textId="77777777" w:rsidR="00862B0B" w:rsidRPr="00A67277" w:rsidRDefault="00862B0B" w:rsidP="00862B0B">
            <w:pPr>
              <w:spacing w:before="60" w:after="60"/>
              <w:rPr>
                <w:rFonts w:ascii="Arial" w:hAnsi="Arial" w:cs="Arial"/>
                <w:sz w:val="21"/>
                <w:szCs w:val="21"/>
              </w:rPr>
            </w:pPr>
          </w:p>
        </w:tc>
        <w:tc>
          <w:tcPr>
            <w:tcW w:w="2561" w:type="pct"/>
            <w:gridSpan w:val="2"/>
          </w:tcPr>
          <w:p w14:paraId="2628EF80" w14:textId="77777777" w:rsidR="00862B0B" w:rsidRPr="00A67277" w:rsidRDefault="00862B0B" w:rsidP="00862B0B">
            <w:pPr>
              <w:pStyle w:val="Heading2"/>
              <w:numPr>
                <w:ilvl w:val="0"/>
                <w:numId w:val="11"/>
              </w:numPr>
              <w:spacing w:before="60" w:after="60"/>
              <w:ind w:left="1022" w:hanging="680"/>
              <w:outlineLvl w:val="1"/>
              <w:rPr>
                <w:rFonts w:ascii="Arial" w:hAnsi="Arial" w:cs="Arial"/>
                <w:b/>
                <w:color w:val="auto"/>
                <w:sz w:val="21"/>
                <w:szCs w:val="21"/>
              </w:rPr>
            </w:pPr>
            <w:r w:rsidRPr="00A67277">
              <w:rPr>
                <w:rFonts w:ascii="Arial" w:hAnsi="Arial" w:cs="Arial"/>
                <w:b/>
                <w:color w:val="auto"/>
                <w:sz w:val="21"/>
                <w:szCs w:val="21"/>
              </w:rPr>
              <w:t>Pengurangan Polis (Policy Deductibles)</w:t>
            </w:r>
          </w:p>
        </w:tc>
      </w:tr>
      <w:tr w:rsidR="00862B0B" w:rsidRPr="00A67277" w14:paraId="0BC2E718" w14:textId="77777777" w:rsidTr="00862B0B">
        <w:tc>
          <w:tcPr>
            <w:tcW w:w="2270" w:type="pct"/>
          </w:tcPr>
          <w:p w14:paraId="346CC255" w14:textId="77777777" w:rsidR="00862B0B" w:rsidRPr="00A67277" w:rsidRDefault="00862B0B" w:rsidP="00862B0B">
            <w:pPr>
              <w:pStyle w:val="Level1"/>
              <w:spacing w:before="60" w:after="60"/>
              <w:ind w:left="973" w:hanging="5"/>
            </w:pPr>
            <w:r w:rsidRPr="00A67277">
              <w:t>All applicable policy deductibles are to be borne entirely by the IBE.</w:t>
            </w:r>
          </w:p>
        </w:tc>
        <w:tc>
          <w:tcPr>
            <w:tcW w:w="169" w:type="pct"/>
          </w:tcPr>
          <w:p w14:paraId="4B680F85" w14:textId="77777777" w:rsidR="00862B0B" w:rsidRPr="00A67277" w:rsidRDefault="00862B0B" w:rsidP="00862B0B">
            <w:pPr>
              <w:spacing w:before="60" w:after="60"/>
              <w:rPr>
                <w:rFonts w:ascii="Arial" w:hAnsi="Arial" w:cs="Arial"/>
                <w:sz w:val="21"/>
                <w:szCs w:val="21"/>
              </w:rPr>
            </w:pPr>
          </w:p>
        </w:tc>
        <w:tc>
          <w:tcPr>
            <w:tcW w:w="2561" w:type="pct"/>
            <w:gridSpan w:val="2"/>
          </w:tcPr>
          <w:p w14:paraId="72283695" w14:textId="77777777" w:rsidR="00862B0B" w:rsidRPr="00A67277" w:rsidRDefault="00862B0B" w:rsidP="00862B0B">
            <w:pPr>
              <w:pStyle w:val="Level1"/>
              <w:spacing w:before="60" w:after="60"/>
              <w:ind w:left="1022" w:firstLine="9"/>
              <w:rPr>
                <w:rFonts w:cs="Arial"/>
              </w:rPr>
            </w:pPr>
            <w:r w:rsidRPr="00A67277">
              <w:rPr>
                <w:rFonts w:cs="Arial"/>
              </w:rPr>
              <w:t>Semua pengurangan-pengurangan polis yang berlaku harus sepenuhnya ditanggung oleh BUP.</w:t>
            </w:r>
          </w:p>
        </w:tc>
      </w:tr>
      <w:tr w:rsidR="00862B0B" w:rsidRPr="00A67277" w14:paraId="382A77F2" w14:textId="77777777" w:rsidTr="00862B0B">
        <w:tc>
          <w:tcPr>
            <w:tcW w:w="2270" w:type="pct"/>
          </w:tcPr>
          <w:p w14:paraId="4F284C06" w14:textId="77777777" w:rsidR="00862B0B" w:rsidRPr="00A67277" w:rsidRDefault="00862B0B" w:rsidP="00862B0B">
            <w:pPr>
              <w:pStyle w:val="Heading2"/>
              <w:numPr>
                <w:ilvl w:val="0"/>
                <w:numId w:val="38"/>
              </w:numPr>
              <w:spacing w:before="60" w:after="60"/>
              <w:ind w:left="968" w:hanging="608"/>
              <w:outlineLvl w:val="1"/>
              <w:rPr>
                <w:color w:val="auto"/>
              </w:rPr>
            </w:pPr>
            <w:r w:rsidRPr="00A67277">
              <w:rPr>
                <w:rFonts w:ascii="Arial" w:hAnsi="Arial" w:cs="Arial"/>
                <w:b/>
                <w:color w:val="auto"/>
                <w:sz w:val="21"/>
                <w:szCs w:val="21"/>
              </w:rPr>
              <w:t>Application of Proceeds</w:t>
            </w:r>
          </w:p>
        </w:tc>
        <w:tc>
          <w:tcPr>
            <w:tcW w:w="169" w:type="pct"/>
          </w:tcPr>
          <w:p w14:paraId="57F966E2" w14:textId="77777777" w:rsidR="00862B0B" w:rsidRPr="00A67277" w:rsidRDefault="00862B0B" w:rsidP="00862B0B">
            <w:pPr>
              <w:spacing w:before="60" w:after="60"/>
              <w:rPr>
                <w:rFonts w:ascii="Arial" w:hAnsi="Arial" w:cs="Arial"/>
                <w:sz w:val="21"/>
                <w:szCs w:val="21"/>
              </w:rPr>
            </w:pPr>
          </w:p>
        </w:tc>
        <w:tc>
          <w:tcPr>
            <w:tcW w:w="2561" w:type="pct"/>
            <w:gridSpan w:val="2"/>
          </w:tcPr>
          <w:p w14:paraId="15ECCABD" w14:textId="77777777" w:rsidR="00862B0B" w:rsidRPr="00A67277" w:rsidRDefault="00862B0B" w:rsidP="00862B0B">
            <w:pPr>
              <w:pStyle w:val="Heading2"/>
              <w:numPr>
                <w:ilvl w:val="0"/>
                <w:numId w:val="11"/>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Penggunaan Penerimaan Klaim</w:t>
            </w:r>
          </w:p>
        </w:tc>
      </w:tr>
      <w:tr w:rsidR="00862B0B" w:rsidRPr="00A67277" w14:paraId="5F4AEB22" w14:textId="77777777" w:rsidTr="00862B0B">
        <w:tc>
          <w:tcPr>
            <w:tcW w:w="2270" w:type="pct"/>
          </w:tcPr>
          <w:p w14:paraId="50485D19" w14:textId="77777777" w:rsidR="00862B0B" w:rsidRPr="00A67277" w:rsidRDefault="00862B0B" w:rsidP="00862B0B">
            <w:pPr>
              <w:pStyle w:val="Level3"/>
              <w:numPr>
                <w:ilvl w:val="0"/>
                <w:numId w:val="176"/>
              </w:numPr>
              <w:spacing w:before="60" w:after="60"/>
              <w:ind w:left="1333"/>
            </w:pPr>
            <w:r w:rsidRPr="00A67277">
              <w:t>The IBE must notify GCA in relation to any and all insurance proceeds received by it (“</w:t>
            </w:r>
            <w:r w:rsidRPr="00A67277">
              <w:rPr>
                <w:b/>
              </w:rPr>
              <w:t>Loss Proceeds”</w:t>
            </w:r>
            <w:r w:rsidRPr="00A67277">
              <w:t>).</w:t>
            </w:r>
          </w:p>
        </w:tc>
        <w:tc>
          <w:tcPr>
            <w:tcW w:w="169" w:type="pct"/>
          </w:tcPr>
          <w:p w14:paraId="03286E4A" w14:textId="77777777" w:rsidR="00862B0B" w:rsidRPr="00A67277" w:rsidRDefault="00862B0B" w:rsidP="00862B0B">
            <w:pPr>
              <w:spacing w:before="60" w:after="60"/>
              <w:rPr>
                <w:rFonts w:ascii="Arial" w:hAnsi="Arial" w:cs="Arial"/>
                <w:sz w:val="21"/>
                <w:szCs w:val="21"/>
              </w:rPr>
            </w:pPr>
          </w:p>
        </w:tc>
        <w:tc>
          <w:tcPr>
            <w:tcW w:w="2561" w:type="pct"/>
            <w:gridSpan w:val="2"/>
          </w:tcPr>
          <w:p w14:paraId="411BB711" w14:textId="77777777" w:rsidR="00862B0B" w:rsidRPr="00A67277" w:rsidRDefault="00862B0B" w:rsidP="00862B0B">
            <w:pPr>
              <w:pStyle w:val="Level3"/>
              <w:numPr>
                <w:ilvl w:val="0"/>
                <w:numId w:val="43"/>
              </w:numPr>
              <w:spacing w:before="60" w:after="60"/>
              <w:ind w:left="1646" w:hanging="546"/>
              <w:rPr>
                <w:rFonts w:cs="Arial"/>
              </w:rPr>
            </w:pPr>
            <w:r w:rsidRPr="00A67277">
              <w:rPr>
                <w:rFonts w:cs="Arial"/>
              </w:rPr>
              <w:t>BUP harus memberitahukan PJPK setiap dan semua hasil penerimaan yang diterima olehnya (“</w:t>
            </w:r>
            <w:r w:rsidRPr="00A67277">
              <w:rPr>
                <w:rFonts w:cs="Arial"/>
                <w:b/>
              </w:rPr>
              <w:t>Penerimaan Klaim Kerugian”</w:t>
            </w:r>
            <w:r w:rsidRPr="00A67277">
              <w:rPr>
                <w:rFonts w:cs="Arial"/>
              </w:rPr>
              <w:t>).</w:t>
            </w:r>
          </w:p>
        </w:tc>
      </w:tr>
      <w:tr w:rsidR="00862B0B" w:rsidRPr="00A67277" w14:paraId="2874C45C" w14:textId="77777777" w:rsidTr="00862B0B">
        <w:tc>
          <w:tcPr>
            <w:tcW w:w="2270" w:type="pct"/>
          </w:tcPr>
          <w:p w14:paraId="582B4DAB" w14:textId="6C8D4626" w:rsidR="00862B0B" w:rsidRPr="00A67277" w:rsidRDefault="00862B0B" w:rsidP="00862B0B">
            <w:pPr>
              <w:pStyle w:val="Level3"/>
              <w:numPr>
                <w:ilvl w:val="0"/>
                <w:numId w:val="176"/>
              </w:numPr>
              <w:spacing w:before="60" w:after="60"/>
              <w:ind w:left="1333"/>
            </w:pPr>
            <w:r w:rsidRPr="00A67277">
              <w:t xml:space="preserve">All insurance proceeds shall be applied in accordance with the Financing Documents. Unless otherwise directed by the Financing Parties, any insurance proceeds under any construction all risk or physical damage project insurance policies received following a partial or total </w:t>
            </w:r>
            <w:r>
              <w:t>L</w:t>
            </w:r>
            <w:r w:rsidRPr="00A67277">
              <w:t>oss to the Project shall be used in replacement or reinstatement of the Facility. If the Loss Proceeds are insufficient to cover the costs of the replacement or reinstatement of the Facility, the IBE shall make good any deficiency.</w:t>
            </w:r>
          </w:p>
          <w:p w14:paraId="104F7C8E" w14:textId="77777777" w:rsidR="00862B0B" w:rsidRPr="00A67277" w:rsidRDefault="00862B0B" w:rsidP="00862B0B">
            <w:pPr>
              <w:spacing w:before="60" w:after="60"/>
              <w:ind w:left="1417"/>
              <w:rPr>
                <w:rFonts w:ascii="Arial" w:eastAsia="Arial Unicode MS" w:hAnsi="Arial" w:cs="Times New Roman"/>
                <w:sz w:val="21"/>
                <w:szCs w:val="21"/>
                <w:lang w:val="en-GB" w:eastAsia="en-GB"/>
              </w:rPr>
            </w:pPr>
          </w:p>
        </w:tc>
        <w:tc>
          <w:tcPr>
            <w:tcW w:w="169" w:type="pct"/>
          </w:tcPr>
          <w:p w14:paraId="546A087C" w14:textId="77777777" w:rsidR="00862B0B" w:rsidRPr="00A67277" w:rsidRDefault="00862B0B" w:rsidP="00862B0B">
            <w:pPr>
              <w:spacing w:before="60" w:after="60"/>
              <w:rPr>
                <w:rFonts w:ascii="Arial" w:hAnsi="Arial" w:cs="Arial"/>
                <w:sz w:val="21"/>
                <w:szCs w:val="21"/>
              </w:rPr>
            </w:pPr>
          </w:p>
        </w:tc>
        <w:tc>
          <w:tcPr>
            <w:tcW w:w="2561" w:type="pct"/>
            <w:gridSpan w:val="2"/>
          </w:tcPr>
          <w:p w14:paraId="02D46008" w14:textId="75F53FE4" w:rsidR="00862B0B" w:rsidRPr="00A67277" w:rsidRDefault="00862B0B" w:rsidP="00862B0B">
            <w:pPr>
              <w:pStyle w:val="Level3"/>
              <w:numPr>
                <w:ilvl w:val="0"/>
                <w:numId w:val="43"/>
              </w:numPr>
              <w:spacing w:before="60" w:after="60"/>
              <w:ind w:left="1646" w:hanging="546"/>
              <w:rPr>
                <w:rFonts w:cs="Arial"/>
              </w:rPr>
            </w:pPr>
            <w:r w:rsidRPr="00A67277">
              <w:rPr>
                <w:rFonts w:cs="Arial"/>
              </w:rPr>
              <w:t xml:space="preserve">Semua hasil asuransi harus diterapkan sesuai dengan Dokumen Pembiayaan. Kecuali jika diperintahkan lain oleh Pihak Pembiaya, semua hasil asuransi polis untuk kerugian segala risiko konstruksi (construction all risk) atau kerusakan fisik yang diterima karena adanya </w:t>
            </w:r>
            <w:r>
              <w:rPr>
                <w:rFonts w:cs="Arial"/>
              </w:rPr>
              <w:t>K</w:t>
            </w:r>
            <w:r w:rsidRPr="00A67277">
              <w:rPr>
                <w:rFonts w:cs="Arial"/>
              </w:rPr>
              <w:t xml:space="preserve">erugian sebagian atau </w:t>
            </w:r>
            <w:r>
              <w:rPr>
                <w:rFonts w:cs="Arial"/>
              </w:rPr>
              <w:t>K</w:t>
            </w:r>
            <w:r w:rsidRPr="00A67277">
              <w:rPr>
                <w:rFonts w:cs="Arial"/>
              </w:rPr>
              <w:t>erugian total dari Proyek harus digunakan sebagai penggantian atau pemulihan Fasilitas. Jika Penerimaan Klaim Kerugian tidak mencukupi untuk menutupi biaya penggantian atau pemulihan Fasilitas, maka BUP harus menutup kekurangan-kekurangan tersebut.</w:t>
            </w:r>
          </w:p>
        </w:tc>
      </w:tr>
      <w:tr w:rsidR="00862B0B" w:rsidRPr="00A67277" w14:paraId="5C35F82D" w14:textId="77777777" w:rsidTr="00862B0B">
        <w:tc>
          <w:tcPr>
            <w:tcW w:w="2270" w:type="pct"/>
          </w:tcPr>
          <w:p w14:paraId="229DD2C5" w14:textId="77777777" w:rsidR="00862B0B" w:rsidRPr="00A67277" w:rsidRDefault="00862B0B" w:rsidP="00862B0B">
            <w:pPr>
              <w:pStyle w:val="Heading2"/>
              <w:numPr>
                <w:ilvl w:val="0"/>
                <w:numId w:val="38"/>
              </w:numPr>
              <w:spacing w:before="60" w:after="60"/>
              <w:ind w:left="968" w:hanging="608"/>
              <w:outlineLvl w:val="1"/>
              <w:rPr>
                <w:rFonts w:ascii="Arial" w:hAnsi="Arial" w:cs="Arial"/>
                <w:b/>
                <w:color w:val="auto"/>
                <w:sz w:val="21"/>
                <w:szCs w:val="21"/>
              </w:rPr>
            </w:pPr>
            <w:r w:rsidRPr="00A67277">
              <w:rPr>
                <w:rFonts w:ascii="Arial" w:hAnsi="Arial" w:cs="Arial"/>
                <w:b/>
                <w:color w:val="auto"/>
                <w:sz w:val="21"/>
                <w:szCs w:val="21"/>
              </w:rPr>
              <w:t>Evidence of Insurances</w:t>
            </w:r>
          </w:p>
        </w:tc>
        <w:tc>
          <w:tcPr>
            <w:tcW w:w="169" w:type="pct"/>
          </w:tcPr>
          <w:p w14:paraId="1BAB95C7" w14:textId="77777777" w:rsidR="00862B0B" w:rsidRPr="00A67277" w:rsidRDefault="00862B0B" w:rsidP="00862B0B">
            <w:pPr>
              <w:spacing w:before="60" w:after="60"/>
              <w:rPr>
                <w:rFonts w:ascii="Arial" w:hAnsi="Arial" w:cs="Arial"/>
                <w:sz w:val="21"/>
                <w:szCs w:val="21"/>
              </w:rPr>
            </w:pPr>
          </w:p>
        </w:tc>
        <w:tc>
          <w:tcPr>
            <w:tcW w:w="2561" w:type="pct"/>
            <w:gridSpan w:val="2"/>
          </w:tcPr>
          <w:p w14:paraId="209DAE57" w14:textId="77777777" w:rsidR="00862B0B" w:rsidRPr="00A67277" w:rsidRDefault="00862B0B" w:rsidP="00862B0B">
            <w:pPr>
              <w:pStyle w:val="Heading2"/>
              <w:numPr>
                <w:ilvl w:val="0"/>
                <w:numId w:val="11"/>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Bukti Asuransi</w:t>
            </w:r>
          </w:p>
        </w:tc>
      </w:tr>
      <w:tr w:rsidR="00862B0B" w:rsidRPr="00A67277" w14:paraId="22413129" w14:textId="77777777" w:rsidTr="00862B0B">
        <w:tc>
          <w:tcPr>
            <w:tcW w:w="2270" w:type="pct"/>
          </w:tcPr>
          <w:p w14:paraId="1D7EB582" w14:textId="215C8797" w:rsidR="00862B0B" w:rsidRPr="00A67277" w:rsidRDefault="00862B0B" w:rsidP="00862B0B">
            <w:pPr>
              <w:pStyle w:val="Level3"/>
              <w:numPr>
                <w:ilvl w:val="2"/>
                <w:numId w:val="493"/>
              </w:numPr>
              <w:tabs>
                <w:tab w:val="clear" w:pos="1417"/>
              </w:tabs>
              <w:spacing w:before="60" w:after="60"/>
              <w:ind w:hanging="403"/>
            </w:pPr>
            <w:r w:rsidRPr="00A67277">
              <w:t>On or before the Effective Date and thereafter at least one (1) Month prior to the date set for each annual renewal thereof, the IBE shall cause its insurers or agents to provide GCA with evidence that the policies and terms specified in this Clause 17 (</w:t>
            </w:r>
            <w:r w:rsidRPr="00A67277">
              <w:rPr>
                <w:rFonts w:eastAsia="Times New Roman"/>
                <w:i/>
              </w:rPr>
              <w:t>Insurances</w:t>
            </w:r>
            <w:r w:rsidRPr="00A67277">
              <w:t>) and required pursuant to Appendix 15 (</w:t>
            </w:r>
            <w:r w:rsidRPr="00A67277">
              <w:rPr>
                <w:rFonts w:eastAsia="Times New Roman"/>
                <w:i/>
              </w:rPr>
              <w:t>Required Insurances</w:t>
            </w:r>
            <w:r w:rsidRPr="00A67277">
              <w:t>) have been obtained by such date, together with any other insurances maintained by the IBE or its Affiliates in relation to the Project.</w:t>
            </w:r>
          </w:p>
          <w:p w14:paraId="210609EE" w14:textId="77777777" w:rsidR="00862B0B" w:rsidRPr="00A67277" w:rsidRDefault="00862B0B" w:rsidP="00862B0B">
            <w:pPr>
              <w:spacing w:before="60" w:after="60"/>
              <w:rPr>
                <w:rFonts w:ascii="Arial" w:hAnsi="Arial" w:cs="Arial"/>
                <w:sz w:val="21"/>
                <w:szCs w:val="21"/>
              </w:rPr>
            </w:pPr>
          </w:p>
        </w:tc>
        <w:tc>
          <w:tcPr>
            <w:tcW w:w="169" w:type="pct"/>
          </w:tcPr>
          <w:p w14:paraId="7FB7B0CB" w14:textId="77777777" w:rsidR="00862B0B" w:rsidRPr="00A67277" w:rsidRDefault="00862B0B" w:rsidP="00862B0B">
            <w:pPr>
              <w:spacing w:before="60" w:after="60"/>
              <w:rPr>
                <w:rFonts w:ascii="Arial" w:hAnsi="Arial" w:cs="Arial"/>
                <w:sz w:val="21"/>
                <w:szCs w:val="21"/>
              </w:rPr>
            </w:pPr>
          </w:p>
        </w:tc>
        <w:tc>
          <w:tcPr>
            <w:tcW w:w="2561" w:type="pct"/>
            <w:gridSpan w:val="2"/>
          </w:tcPr>
          <w:p w14:paraId="45066AEF" w14:textId="75CA707D" w:rsidR="00862B0B" w:rsidRPr="00A67277" w:rsidRDefault="00862B0B" w:rsidP="00862B0B">
            <w:pPr>
              <w:pStyle w:val="Level3"/>
              <w:numPr>
                <w:ilvl w:val="0"/>
                <w:numId w:val="44"/>
              </w:numPr>
              <w:spacing w:before="60" w:after="60"/>
              <w:ind w:left="1556" w:hanging="540"/>
              <w:rPr>
                <w:rFonts w:cs="Arial"/>
              </w:rPr>
            </w:pPr>
            <w:r w:rsidRPr="00A67277">
              <w:rPr>
                <w:rFonts w:cs="Arial"/>
                <w:lang w:val="en-US"/>
              </w:rPr>
              <w:t xml:space="preserve">Pada atau sebelum Tanggal Efektif dan setelah setidaknya [satu (1) Bulan] sebelum tanggal yang ditetapkan untuk setiap perpanjangan tahunan daripadanya, BUP harus menyebabkan penanggung asuransi atau agennya untuk memberikan kepada PJPK bukti bahwa polis dan persyaratan yang disebutkan dalam </w:t>
            </w:r>
            <w:r w:rsidRPr="00A67277">
              <w:rPr>
                <w:rFonts w:cs="Arial"/>
              </w:rPr>
              <w:t>Pasal 17 (</w:t>
            </w:r>
            <w:r w:rsidRPr="00A67277">
              <w:rPr>
                <w:rFonts w:eastAsia="Times New Roman" w:cs="Arial"/>
                <w:i/>
              </w:rPr>
              <w:t>Asuransi</w:t>
            </w:r>
            <w:r w:rsidRPr="00A67277">
              <w:rPr>
                <w:rFonts w:cs="Arial"/>
              </w:rPr>
              <w:t xml:space="preserve">) and </w:t>
            </w:r>
            <w:r w:rsidRPr="00A67277">
              <w:rPr>
                <w:rFonts w:cs="Arial"/>
                <w:lang w:val="en-US"/>
              </w:rPr>
              <w:t xml:space="preserve">yang disyaratkan berdasarkan </w:t>
            </w:r>
            <w:r w:rsidRPr="00A67277">
              <w:rPr>
                <w:rFonts w:cs="Arial"/>
              </w:rPr>
              <w:t>Lampiran 15 (</w:t>
            </w:r>
            <w:r w:rsidRPr="00A67277">
              <w:rPr>
                <w:rFonts w:eastAsia="Times New Roman" w:cs="Arial"/>
                <w:i/>
              </w:rPr>
              <w:t>Asuransi Yang Disyaratkan</w:t>
            </w:r>
            <w:r w:rsidRPr="00A67277">
              <w:rPr>
                <w:rFonts w:cs="Arial"/>
              </w:rPr>
              <w:t xml:space="preserve">) </w:t>
            </w:r>
            <w:r w:rsidRPr="00A67277">
              <w:rPr>
                <w:rFonts w:cs="Arial"/>
                <w:lang w:val="en-US"/>
              </w:rPr>
              <w:t>telah diterima pada tanggal tersebut, bersama dengan asuransi lainya yang dimiliki BUP atau Afiliasinya sehubungan dengan Proyek</w:t>
            </w:r>
            <w:r w:rsidRPr="00A67277">
              <w:rPr>
                <w:rFonts w:cs="Arial"/>
              </w:rPr>
              <w:t>.</w:t>
            </w:r>
          </w:p>
        </w:tc>
      </w:tr>
      <w:tr w:rsidR="00862B0B" w:rsidRPr="00A67277" w14:paraId="6E02D4D9" w14:textId="77777777" w:rsidTr="00862B0B">
        <w:tc>
          <w:tcPr>
            <w:tcW w:w="2270" w:type="pct"/>
          </w:tcPr>
          <w:p w14:paraId="3A07BFAC" w14:textId="229B3180" w:rsidR="00862B0B" w:rsidRPr="00A67277" w:rsidRDefault="00862B0B" w:rsidP="00862B0B">
            <w:pPr>
              <w:pStyle w:val="Level3"/>
              <w:numPr>
                <w:ilvl w:val="2"/>
                <w:numId w:val="493"/>
              </w:numPr>
              <w:tabs>
                <w:tab w:val="clear" w:pos="1417"/>
                <w:tab w:val="num" w:pos="2773"/>
              </w:tabs>
              <w:spacing w:before="60" w:after="60"/>
              <w:ind w:left="1513" w:hanging="534"/>
            </w:pPr>
            <w:r w:rsidRPr="00A67277">
              <w:t>The IBE shall also provide GCA with copies of receipts or statements from its insurers evidencing payment of the annual premium in respect of the insurance policies and endorsement or confirmation that such premium</w:t>
            </w:r>
            <w:r>
              <w:t>s</w:t>
            </w:r>
            <w:r w:rsidRPr="00A67277">
              <w:t xml:space="preserve"> are not overdue.</w:t>
            </w:r>
          </w:p>
          <w:p w14:paraId="5650F1CA" w14:textId="77777777" w:rsidR="00862B0B" w:rsidRPr="00A67277" w:rsidRDefault="00862B0B" w:rsidP="00862B0B">
            <w:pPr>
              <w:spacing w:before="60" w:after="60"/>
              <w:rPr>
                <w:rFonts w:ascii="Arial" w:hAnsi="Arial" w:cs="Arial"/>
                <w:sz w:val="21"/>
                <w:szCs w:val="21"/>
              </w:rPr>
            </w:pPr>
          </w:p>
        </w:tc>
        <w:tc>
          <w:tcPr>
            <w:tcW w:w="169" w:type="pct"/>
          </w:tcPr>
          <w:p w14:paraId="7A58B715" w14:textId="77777777" w:rsidR="00862B0B" w:rsidRPr="00A67277" w:rsidRDefault="00862B0B" w:rsidP="00862B0B">
            <w:pPr>
              <w:spacing w:before="60" w:after="60"/>
              <w:rPr>
                <w:rFonts w:ascii="Arial" w:hAnsi="Arial" w:cs="Arial"/>
                <w:sz w:val="21"/>
                <w:szCs w:val="21"/>
              </w:rPr>
            </w:pPr>
          </w:p>
        </w:tc>
        <w:tc>
          <w:tcPr>
            <w:tcW w:w="2561" w:type="pct"/>
            <w:gridSpan w:val="2"/>
          </w:tcPr>
          <w:p w14:paraId="3874A5A1" w14:textId="77777777" w:rsidR="00862B0B" w:rsidRPr="00A67277" w:rsidRDefault="00862B0B" w:rsidP="00862B0B">
            <w:pPr>
              <w:pStyle w:val="Level3"/>
              <w:numPr>
                <w:ilvl w:val="0"/>
                <w:numId w:val="44"/>
              </w:numPr>
              <w:spacing w:before="60" w:after="60"/>
              <w:ind w:left="1556" w:hanging="540"/>
              <w:rPr>
                <w:rFonts w:cs="Arial"/>
                <w:lang w:val="en-US"/>
              </w:rPr>
            </w:pPr>
            <w:r w:rsidRPr="00A67277">
              <w:rPr>
                <w:rFonts w:cs="Arial"/>
                <w:lang w:val="en-US"/>
              </w:rPr>
              <w:t>BUP harus memberi PJPK salinan tanda terima atau pernyataan dari penanggung asuransinya yang membuktikan pembayaran premi tahunan atas polis asuransi dan penambahan atau konfirmasi bahwa premi tersebut tidak tertunggak.</w:t>
            </w:r>
          </w:p>
        </w:tc>
      </w:tr>
      <w:tr w:rsidR="00862B0B" w:rsidRPr="00A67277" w14:paraId="3F022422" w14:textId="77777777" w:rsidTr="00862B0B">
        <w:tc>
          <w:tcPr>
            <w:tcW w:w="2270" w:type="pct"/>
          </w:tcPr>
          <w:p w14:paraId="7DAC6DFB" w14:textId="724A53EF" w:rsidR="00862B0B" w:rsidRPr="00A67277" w:rsidRDefault="00862B0B" w:rsidP="00862B0B">
            <w:pPr>
              <w:pStyle w:val="Level3"/>
              <w:numPr>
                <w:ilvl w:val="2"/>
                <w:numId w:val="493"/>
              </w:numPr>
              <w:tabs>
                <w:tab w:val="clear" w:pos="1417"/>
                <w:tab w:val="num" w:pos="2773"/>
              </w:tabs>
              <w:spacing w:before="60" w:after="60"/>
              <w:ind w:left="1513" w:hanging="534"/>
            </w:pPr>
            <w:r w:rsidRPr="00A67277">
              <w:t>Failure by the IBE to obtain the insurance coverage or certificates of insurance required by this Clause 17 (Insurances) or Appendix 15 (</w:t>
            </w:r>
            <w:r w:rsidRPr="00A67277">
              <w:rPr>
                <w:i/>
              </w:rPr>
              <w:t>Required Insurances</w:t>
            </w:r>
            <w:r w:rsidRPr="00A67277">
              <w:t>) shall not relieve the IBE of the insurance requirements set out in this Agreement or in any way relieve or limit the IBE’s obligations and liabilities under any other provision of this Agreement.</w:t>
            </w:r>
          </w:p>
          <w:p w14:paraId="5B043EC7" w14:textId="77777777" w:rsidR="00862B0B" w:rsidRPr="00A67277" w:rsidRDefault="00862B0B" w:rsidP="00862B0B">
            <w:pPr>
              <w:spacing w:before="60" w:after="60"/>
              <w:rPr>
                <w:rFonts w:ascii="Arial" w:hAnsi="Arial" w:cs="Arial"/>
                <w:sz w:val="21"/>
                <w:szCs w:val="21"/>
              </w:rPr>
            </w:pPr>
          </w:p>
        </w:tc>
        <w:tc>
          <w:tcPr>
            <w:tcW w:w="169" w:type="pct"/>
          </w:tcPr>
          <w:p w14:paraId="4CE9373A" w14:textId="77777777" w:rsidR="00862B0B" w:rsidRPr="00A67277" w:rsidRDefault="00862B0B" w:rsidP="00862B0B">
            <w:pPr>
              <w:spacing w:before="60" w:after="60"/>
              <w:rPr>
                <w:rFonts w:ascii="Arial" w:hAnsi="Arial" w:cs="Arial"/>
                <w:sz w:val="21"/>
                <w:szCs w:val="21"/>
              </w:rPr>
            </w:pPr>
          </w:p>
        </w:tc>
        <w:tc>
          <w:tcPr>
            <w:tcW w:w="2561" w:type="pct"/>
            <w:gridSpan w:val="2"/>
          </w:tcPr>
          <w:p w14:paraId="29F88B3B" w14:textId="2882E0A7" w:rsidR="00862B0B" w:rsidRPr="00A67277" w:rsidRDefault="00862B0B" w:rsidP="00862B0B">
            <w:pPr>
              <w:pStyle w:val="Level3"/>
              <w:numPr>
                <w:ilvl w:val="0"/>
                <w:numId w:val="44"/>
              </w:numPr>
              <w:spacing w:before="60" w:after="60"/>
              <w:ind w:left="1556" w:hanging="540"/>
              <w:rPr>
                <w:rFonts w:cs="Arial"/>
                <w:lang w:val="en-US"/>
              </w:rPr>
            </w:pPr>
            <w:r w:rsidRPr="00A67277">
              <w:rPr>
                <w:rFonts w:cs="Arial"/>
                <w:lang w:val="en-US"/>
              </w:rPr>
              <w:t>Kegagalan oleh BUP untuk mendapatkan pertanggungan asuransi atau sertifikat asuransi yang dipersyaratkan dalam Pasal 17 (Asuransi) ini atau Lampiran 15 (</w:t>
            </w:r>
            <w:r w:rsidRPr="00A67277">
              <w:rPr>
                <w:rFonts w:cs="Arial"/>
                <w:i/>
                <w:lang w:val="en-US"/>
              </w:rPr>
              <w:t>Asuransi Yang Disyaratkan</w:t>
            </w:r>
            <w:r w:rsidRPr="00A67277">
              <w:rPr>
                <w:rFonts w:cs="Arial"/>
                <w:lang w:val="en-US"/>
              </w:rPr>
              <w:t>) tidak akan membebaskan BUP dari persyaratan asuransi yang ditetapkan dalam Perjanjian ini atau dengan cara apapun membebaskan atau membatasi kewajiban dan tanggung jawab BUP berdasarkan ketentuan lain dalam Perjanjian ini.</w:t>
            </w:r>
          </w:p>
        </w:tc>
      </w:tr>
      <w:tr w:rsidR="00862B0B" w:rsidRPr="00A67277" w14:paraId="7C819811" w14:textId="77777777" w:rsidTr="00862B0B">
        <w:tc>
          <w:tcPr>
            <w:tcW w:w="2270" w:type="pct"/>
          </w:tcPr>
          <w:p w14:paraId="5031140D" w14:textId="77777777" w:rsidR="00862B0B" w:rsidRPr="00A67277" w:rsidRDefault="00862B0B" w:rsidP="00862B0B">
            <w:pPr>
              <w:pStyle w:val="Heading1"/>
              <w:numPr>
                <w:ilvl w:val="0"/>
                <w:numId w:val="432"/>
              </w:numPr>
              <w:spacing w:before="60" w:after="60"/>
              <w:ind w:left="416" w:hanging="416"/>
            </w:pPr>
            <w:r w:rsidRPr="00A67277">
              <w:t>Covenants</w:t>
            </w:r>
          </w:p>
        </w:tc>
        <w:tc>
          <w:tcPr>
            <w:tcW w:w="169" w:type="pct"/>
          </w:tcPr>
          <w:p w14:paraId="05DB1F8D" w14:textId="77777777" w:rsidR="00862B0B" w:rsidRPr="00A67277" w:rsidRDefault="00862B0B" w:rsidP="00862B0B">
            <w:pPr>
              <w:spacing w:before="60" w:after="60"/>
              <w:rPr>
                <w:rFonts w:ascii="Arial" w:hAnsi="Arial" w:cs="Arial"/>
                <w:sz w:val="21"/>
                <w:szCs w:val="21"/>
              </w:rPr>
            </w:pPr>
          </w:p>
        </w:tc>
        <w:tc>
          <w:tcPr>
            <w:tcW w:w="2561" w:type="pct"/>
            <w:gridSpan w:val="2"/>
          </w:tcPr>
          <w:p w14:paraId="42561C1F" w14:textId="77777777"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Janji-Janji</w:t>
            </w:r>
          </w:p>
        </w:tc>
      </w:tr>
      <w:tr w:rsidR="00862B0B" w:rsidRPr="00A67277" w14:paraId="3EB2C533" w14:textId="77777777" w:rsidTr="00862B0B">
        <w:tc>
          <w:tcPr>
            <w:tcW w:w="2270" w:type="pct"/>
          </w:tcPr>
          <w:p w14:paraId="12B3B6F8" w14:textId="77777777" w:rsidR="00862B0B" w:rsidRPr="00A67277" w:rsidRDefault="00862B0B" w:rsidP="00862B0B">
            <w:pPr>
              <w:pStyle w:val="Heading2"/>
              <w:numPr>
                <w:ilvl w:val="0"/>
                <w:numId w:val="45"/>
              </w:numPr>
              <w:spacing w:before="60" w:after="60"/>
              <w:ind w:left="973" w:hanging="613"/>
              <w:outlineLvl w:val="1"/>
              <w:rPr>
                <w:rFonts w:ascii="Arial" w:hAnsi="Arial" w:cs="Arial"/>
                <w:b/>
                <w:color w:val="auto"/>
                <w:sz w:val="21"/>
                <w:szCs w:val="21"/>
              </w:rPr>
            </w:pPr>
            <w:r w:rsidRPr="00A67277">
              <w:rPr>
                <w:rFonts w:ascii="Arial" w:hAnsi="Arial" w:cs="Arial"/>
                <w:b/>
                <w:color w:val="auto"/>
                <w:sz w:val="21"/>
                <w:szCs w:val="21"/>
              </w:rPr>
              <w:t>Sub-Contracts</w:t>
            </w:r>
          </w:p>
        </w:tc>
        <w:tc>
          <w:tcPr>
            <w:tcW w:w="169" w:type="pct"/>
          </w:tcPr>
          <w:p w14:paraId="137F0610" w14:textId="77777777" w:rsidR="00862B0B" w:rsidRPr="00A67277" w:rsidRDefault="00862B0B" w:rsidP="00862B0B">
            <w:pPr>
              <w:spacing w:before="60" w:after="60"/>
              <w:rPr>
                <w:rFonts w:ascii="Arial" w:hAnsi="Arial" w:cs="Arial"/>
                <w:sz w:val="21"/>
                <w:szCs w:val="21"/>
              </w:rPr>
            </w:pPr>
          </w:p>
        </w:tc>
        <w:tc>
          <w:tcPr>
            <w:tcW w:w="2561" w:type="pct"/>
            <w:gridSpan w:val="2"/>
          </w:tcPr>
          <w:p w14:paraId="0B184F9C" w14:textId="77777777" w:rsidR="00862B0B" w:rsidRPr="00A67277" w:rsidRDefault="00862B0B" w:rsidP="00862B0B">
            <w:pPr>
              <w:pStyle w:val="Heading2"/>
              <w:numPr>
                <w:ilvl w:val="0"/>
                <w:numId w:val="12"/>
              </w:numPr>
              <w:spacing w:before="60" w:after="60"/>
              <w:ind w:left="1112" w:hanging="680"/>
              <w:outlineLvl w:val="1"/>
              <w:rPr>
                <w:rFonts w:ascii="Arial" w:hAnsi="Arial" w:cs="Arial"/>
                <w:b/>
                <w:color w:val="auto"/>
                <w:sz w:val="21"/>
                <w:szCs w:val="21"/>
              </w:rPr>
            </w:pPr>
            <w:r w:rsidRPr="00A67277">
              <w:rPr>
                <w:rFonts w:ascii="Arial" w:hAnsi="Arial" w:cs="Arial"/>
                <w:b/>
                <w:color w:val="auto"/>
                <w:sz w:val="21"/>
                <w:szCs w:val="21"/>
              </w:rPr>
              <w:t>Subkontrak</w:t>
            </w:r>
          </w:p>
        </w:tc>
      </w:tr>
      <w:tr w:rsidR="00862B0B" w:rsidRPr="00A67277" w14:paraId="48D5D982" w14:textId="77777777" w:rsidTr="00862B0B">
        <w:tc>
          <w:tcPr>
            <w:tcW w:w="2270" w:type="pct"/>
          </w:tcPr>
          <w:p w14:paraId="6B4411D6" w14:textId="77777777" w:rsidR="00862B0B" w:rsidRPr="00A67277" w:rsidRDefault="00862B0B" w:rsidP="00862B0B">
            <w:pPr>
              <w:pStyle w:val="Level1"/>
              <w:spacing w:before="60" w:after="60"/>
              <w:ind w:left="1063" w:firstLine="0"/>
            </w:pPr>
            <w:r w:rsidRPr="00A67277">
              <w:t>The IBE shall ensure that Project Agreements entered into between the IBE and any Contractor shall comply with the principles set out below:</w:t>
            </w:r>
          </w:p>
          <w:p w14:paraId="2D6D368E" w14:textId="77777777" w:rsidR="00862B0B" w:rsidRPr="00A67277" w:rsidRDefault="00862B0B" w:rsidP="00862B0B">
            <w:pPr>
              <w:spacing w:before="60" w:after="60"/>
              <w:rPr>
                <w:rFonts w:ascii="Arial" w:hAnsi="Arial" w:cs="Arial"/>
                <w:sz w:val="21"/>
                <w:szCs w:val="21"/>
              </w:rPr>
            </w:pPr>
          </w:p>
        </w:tc>
        <w:tc>
          <w:tcPr>
            <w:tcW w:w="169" w:type="pct"/>
          </w:tcPr>
          <w:p w14:paraId="51D2AA25" w14:textId="77777777" w:rsidR="00862B0B" w:rsidRPr="00A67277" w:rsidRDefault="00862B0B" w:rsidP="00862B0B">
            <w:pPr>
              <w:spacing w:before="60" w:after="60"/>
              <w:rPr>
                <w:rFonts w:ascii="Arial" w:hAnsi="Arial" w:cs="Arial"/>
                <w:sz w:val="21"/>
                <w:szCs w:val="21"/>
              </w:rPr>
            </w:pPr>
          </w:p>
        </w:tc>
        <w:tc>
          <w:tcPr>
            <w:tcW w:w="2561" w:type="pct"/>
            <w:gridSpan w:val="2"/>
          </w:tcPr>
          <w:p w14:paraId="19D62F00" w14:textId="77777777" w:rsidR="00862B0B" w:rsidRPr="00A67277" w:rsidRDefault="00862B0B" w:rsidP="00862B0B">
            <w:pPr>
              <w:pStyle w:val="Level1"/>
              <w:spacing w:before="60" w:after="60"/>
              <w:ind w:left="1202" w:hanging="23"/>
              <w:rPr>
                <w:rFonts w:cs="Arial"/>
              </w:rPr>
            </w:pPr>
            <w:r w:rsidRPr="00A67277">
              <w:rPr>
                <w:rFonts w:cs="Arial"/>
              </w:rPr>
              <w:t>BUP harus memastikan bahwa Perjanjian-Perjanjian Proyek antara BUP dan Kontraktor harus mematuhi prinsip-prinsip yang ditetapkan di bawah ini:</w:t>
            </w:r>
          </w:p>
        </w:tc>
      </w:tr>
      <w:tr w:rsidR="00862B0B" w:rsidRPr="00A67277" w14:paraId="7F68AE2F" w14:textId="77777777" w:rsidTr="00862B0B">
        <w:tc>
          <w:tcPr>
            <w:tcW w:w="2270" w:type="pct"/>
          </w:tcPr>
          <w:p w14:paraId="4F062725" w14:textId="77777777" w:rsidR="00862B0B" w:rsidRPr="00A67277" w:rsidRDefault="00862B0B" w:rsidP="00862B0B">
            <w:pPr>
              <w:pStyle w:val="Level3"/>
              <w:numPr>
                <w:ilvl w:val="2"/>
                <w:numId w:val="494"/>
              </w:numPr>
              <w:tabs>
                <w:tab w:val="clear" w:pos="1417"/>
              </w:tabs>
              <w:spacing w:before="60" w:after="60"/>
              <w:ind w:hanging="403"/>
            </w:pPr>
            <w:r w:rsidRPr="00A67277">
              <w:t>the Project Agreements shall be entered into on an arm</w:t>
            </w:r>
            <w:r w:rsidRPr="00A67277">
              <w:rPr>
                <w:rFonts w:eastAsia="Times New Roman"/>
              </w:rPr>
              <w:t>’</w:t>
            </w:r>
            <w:r w:rsidRPr="00A67277">
              <w:t xml:space="preserve">s-length basis, in the ordinary course of business and, where the Contractor is an Affiliate, upon fair and reasonable terms no less favourable to the IBE than it would obtain in a comparable transaction with a </w:t>
            </w:r>
            <w:r w:rsidRPr="00A67277">
              <w:rPr>
                <w:rFonts w:eastAsia="Times New Roman"/>
              </w:rPr>
              <w:t>person</w:t>
            </w:r>
            <w:r w:rsidRPr="00A67277">
              <w:t xml:space="preserve"> which is not an Affiliate on terms reasonably standard in the industry;</w:t>
            </w:r>
          </w:p>
          <w:p w14:paraId="3A1884E4" w14:textId="77777777" w:rsidR="00862B0B" w:rsidRPr="00A67277" w:rsidRDefault="00862B0B" w:rsidP="00862B0B">
            <w:pPr>
              <w:spacing w:before="60" w:after="60"/>
              <w:rPr>
                <w:rFonts w:ascii="Arial" w:hAnsi="Arial" w:cs="Arial"/>
                <w:sz w:val="21"/>
                <w:szCs w:val="21"/>
              </w:rPr>
            </w:pPr>
          </w:p>
        </w:tc>
        <w:tc>
          <w:tcPr>
            <w:tcW w:w="169" w:type="pct"/>
          </w:tcPr>
          <w:p w14:paraId="59AEFF7C" w14:textId="77777777" w:rsidR="00862B0B" w:rsidRPr="00A67277" w:rsidRDefault="00862B0B" w:rsidP="00862B0B">
            <w:pPr>
              <w:spacing w:before="60" w:after="60"/>
              <w:rPr>
                <w:rFonts w:ascii="Arial" w:hAnsi="Arial" w:cs="Arial"/>
                <w:sz w:val="21"/>
                <w:szCs w:val="21"/>
              </w:rPr>
            </w:pPr>
          </w:p>
        </w:tc>
        <w:tc>
          <w:tcPr>
            <w:tcW w:w="2561" w:type="pct"/>
            <w:gridSpan w:val="2"/>
          </w:tcPr>
          <w:p w14:paraId="298C1E07" w14:textId="77777777" w:rsidR="00862B0B" w:rsidRPr="00A67277" w:rsidRDefault="00862B0B" w:rsidP="00862B0B">
            <w:pPr>
              <w:pStyle w:val="Level3"/>
              <w:numPr>
                <w:ilvl w:val="0"/>
                <w:numId w:val="46"/>
              </w:numPr>
              <w:spacing w:before="60" w:after="60"/>
              <w:ind w:left="1826" w:hanging="546"/>
              <w:rPr>
                <w:rFonts w:cs="Arial"/>
              </w:rPr>
            </w:pPr>
            <w:r w:rsidRPr="00A67277">
              <w:rPr>
                <w:rFonts w:cs="Arial"/>
              </w:rPr>
              <w:t xml:space="preserve">Perjanjian Proyek tersebut harus dilakukan dengan dasar </w:t>
            </w:r>
            <w:r w:rsidRPr="00A67277">
              <w:rPr>
                <w:rFonts w:cs="Arial"/>
                <w:i/>
              </w:rPr>
              <w:t>arm’s-length</w:t>
            </w:r>
            <w:r w:rsidRPr="00A67277">
              <w:rPr>
                <w:rFonts w:cs="Arial"/>
              </w:rPr>
              <w:t>, dalam kegiatan usaha biasa dan, di mana Kontraktor adalah Afiliasi, dengan syarat yang adil dan wajar dan tidak boleh memuat ketentuan yang kurang menguntungkan BUP jika dibandingkan dengan transaksi yang sebanding dengan orang yang bukan merupakan Afiliasi dengan persyaratan yang cukup standar di industri terkait;</w:t>
            </w:r>
          </w:p>
        </w:tc>
      </w:tr>
      <w:tr w:rsidR="00862B0B" w:rsidRPr="00A67277" w14:paraId="0CAC8A88" w14:textId="77777777" w:rsidTr="00862B0B">
        <w:tc>
          <w:tcPr>
            <w:tcW w:w="2270" w:type="pct"/>
          </w:tcPr>
          <w:p w14:paraId="6DEF3164" w14:textId="77777777" w:rsidR="00862B0B" w:rsidRPr="00A67277" w:rsidRDefault="00862B0B" w:rsidP="00862B0B">
            <w:pPr>
              <w:pStyle w:val="Level3"/>
              <w:numPr>
                <w:ilvl w:val="2"/>
                <w:numId w:val="494"/>
              </w:numPr>
              <w:tabs>
                <w:tab w:val="clear" w:pos="1417"/>
                <w:tab w:val="num" w:pos="3223"/>
              </w:tabs>
              <w:spacing w:before="60" w:after="60"/>
              <w:ind w:left="1513" w:hanging="444"/>
            </w:pPr>
            <w:r w:rsidRPr="00A67277">
              <w:t>the procurement, negotiation, execution and performance of the Project Agreements shall not involve any dishonest or fraudulent conduct, including, but not limited to, any bribes, kick-backs, unlawful payments or similar actions by any of the parties thereto or their employees, representatives, agents or similar persons; and</w:t>
            </w:r>
          </w:p>
          <w:p w14:paraId="0C46ADF6" w14:textId="77777777" w:rsidR="00862B0B" w:rsidRPr="00A67277" w:rsidRDefault="00862B0B" w:rsidP="00862B0B">
            <w:pPr>
              <w:spacing w:before="60" w:after="60"/>
              <w:rPr>
                <w:rFonts w:ascii="Arial" w:hAnsi="Arial" w:cs="Arial"/>
                <w:sz w:val="21"/>
                <w:szCs w:val="21"/>
              </w:rPr>
            </w:pPr>
          </w:p>
        </w:tc>
        <w:tc>
          <w:tcPr>
            <w:tcW w:w="169" w:type="pct"/>
          </w:tcPr>
          <w:p w14:paraId="0E8C67C0" w14:textId="77777777" w:rsidR="00862B0B" w:rsidRPr="00A67277" w:rsidRDefault="00862B0B" w:rsidP="00862B0B">
            <w:pPr>
              <w:spacing w:before="60" w:after="60"/>
              <w:rPr>
                <w:rFonts w:ascii="Arial" w:hAnsi="Arial" w:cs="Arial"/>
                <w:sz w:val="21"/>
                <w:szCs w:val="21"/>
              </w:rPr>
            </w:pPr>
          </w:p>
        </w:tc>
        <w:tc>
          <w:tcPr>
            <w:tcW w:w="2561" w:type="pct"/>
            <w:gridSpan w:val="2"/>
          </w:tcPr>
          <w:p w14:paraId="3B74D8C3" w14:textId="77777777" w:rsidR="00862B0B" w:rsidRPr="00A67277" w:rsidRDefault="00862B0B" w:rsidP="00862B0B">
            <w:pPr>
              <w:pStyle w:val="Level3"/>
              <w:numPr>
                <w:ilvl w:val="0"/>
                <w:numId w:val="46"/>
              </w:numPr>
              <w:spacing w:before="60" w:after="60"/>
              <w:ind w:left="1826" w:hanging="546"/>
              <w:rPr>
                <w:rFonts w:cs="Arial"/>
              </w:rPr>
            </w:pPr>
            <w:r w:rsidRPr="00A67277">
              <w:rPr>
                <w:rFonts w:cs="Arial"/>
              </w:rPr>
              <w:t xml:space="preserve">pengadaan, negosiasi, penandatanganan dan pelaksanaan Perjanjian Proyek tidak melibatkan tindakan yang tidak jujur atau penipuan, termasuk namun tidak terbatas pada, suap, </w:t>
            </w:r>
            <w:r w:rsidRPr="00493072">
              <w:rPr>
                <w:rFonts w:cs="Arial"/>
                <w:i/>
                <w:iCs/>
              </w:rPr>
              <w:t>kick-back</w:t>
            </w:r>
            <w:r w:rsidRPr="00A67277">
              <w:rPr>
                <w:rFonts w:cs="Arial"/>
              </w:rPr>
              <w:t>, pembayaran yang tidak sah atau tindakan serupa oleh salah satu pihak atau setiap pegawai, perwakilan, agennya atau orang lain; dan</w:t>
            </w:r>
          </w:p>
        </w:tc>
      </w:tr>
      <w:tr w:rsidR="00862B0B" w:rsidRPr="00A67277" w14:paraId="2E679A47" w14:textId="77777777" w:rsidTr="00862B0B">
        <w:tc>
          <w:tcPr>
            <w:tcW w:w="2270" w:type="pct"/>
          </w:tcPr>
          <w:p w14:paraId="524B4724" w14:textId="5CA106C3" w:rsidR="00862B0B" w:rsidRPr="00A67277" w:rsidRDefault="00862B0B" w:rsidP="00862B0B">
            <w:pPr>
              <w:pStyle w:val="Level3"/>
              <w:numPr>
                <w:ilvl w:val="2"/>
                <w:numId w:val="494"/>
              </w:numPr>
              <w:tabs>
                <w:tab w:val="clear" w:pos="1417"/>
                <w:tab w:val="num" w:pos="3223"/>
              </w:tabs>
              <w:spacing w:before="60" w:after="60"/>
              <w:ind w:left="1513" w:hanging="444"/>
            </w:pPr>
            <w:r w:rsidRPr="00A67277">
              <w:t>subject to confidentiality provisions no less onerous than Clause 32.3 (Confidentiality) to ensure the commercially reasonable protection of proprietary or commercially sensitive information, the procurement, negotiation, execution and performance of the Project Agreements shall be transparent.</w:t>
            </w:r>
          </w:p>
          <w:p w14:paraId="2CF511B6" w14:textId="77777777" w:rsidR="00862B0B" w:rsidRPr="00A67277" w:rsidRDefault="00862B0B" w:rsidP="00862B0B">
            <w:pPr>
              <w:spacing w:before="60" w:after="60"/>
              <w:rPr>
                <w:rFonts w:ascii="Arial" w:hAnsi="Arial" w:cs="Arial"/>
                <w:sz w:val="21"/>
                <w:szCs w:val="21"/>
              </w:rPr>
            </w:pPr>
          </w:p>
        </w:tc>
        <w:tc>
          <w:tcPr>
            <w:tcW w:w="169" w:type="pct"/>
          </w:tcPr>
          <w:p w14:paraId="50B54098" w14:textId="77777777" w:rsidR="00862B0B" w:rsidRPr="00A67277" w:rsidRDefault="00862B0B" w:rsidP="00862B0B">
            <w:pPr>
              <w:spacing w:before="60" w:after="60"/>
              <w:rPr>
                <w:rFonts w:ascii="Arial" w:hAnsi="Arial" w:cs="Arial"/>
                <w:sz w:val="21"/>
                <w:szCs w:val="21"/>
              </w:rPr>
            </w:pPr>
          </w:p>
        </w:tc>
        <w:tc>
          <w:tcPr>
            <w:tcW w:w="2561" w:type="pct"/>
            <w:gridSpan w:val="2"/>
          </w:tcPr>
          <w:p w14:paraId="547BDA03" w14:textId="77777777" w:rsidR="00862B0B" w:rsidRPr="00A67277" w:rsidRDefault="00862B0B" w:rsidP="00862B0B">
            <w:pPr>
              <w:pStyle w:val="Level3"/>
              <w:numPr>
                <w:ilvl w:val="0"/>
                <w:numId w:val="46"/>
              </w:numPr>
              <w:spacing w:before="60" w:after="60"/>
              <w:ind w:left="1826" w:hanging="546"/>
              <w:rPr>
                <w:rFonts w:cs="Arial"/>
              </w:rPr>
            </w:pPr>
            <w:r w:rsidRPr="00A67277">
              <w:rPr>
                <w:rFonts w:cs="Arial"/>
              </w:rPr>
              <w:t>tunduk pada ketentuan kerahasiaan yang mungkin lebih ketat dari Pasal 32.3 (Kerahasiaan) untuk menjamin perlindungan informasi kemilikan atau komersial, pengadaan, negosiasi, eksekusi dan pelaksanaan Perjanjian Proyek harus dilakukan secara transparan.</w:t>
            </w:r>
          </w:p>
        </w:tc>
      </w:tr>
      <w:tr w:rsidR="00862B0B" w:rsidRPr="00A67277" w14:paraId="3EF7C2B0" w14:textId="77777777" w:rsidTr="00862B0B">
        <w:tc>
          <w:tcPr>
            <w:tcW w:w="2270" w:type="pct"/>
          </w:tcPr>
          <w:p w14:paraId="579672ED" w14:textId="77777777" w:rsidR="00862B0B" w:rsidRPr="00A67277" w:rsidRDefault="00862B0B" w:rsidP="00862B0B">
            <w:pPr>
              <w:pStyle w:val="Heading2"/>
              <w:numPr>
                <w:ilvl w:val="0"/>
                <w:numId w:val="45"/>
              </w:numPr>
              <w:spacing w:before="60" w:after="60"/>
              <w:ind w:left="973" w:hanging="613"/>
              <w:outlineLvl w:val="1"/>
              <w:rPr>
                <w:rFonts w:ascii="Arial" w:hAnsi="Arial" w:cs="Arial"/>
                <w:b/>
                <w:color w:val="auto"/>
                <w:sz w:val="21"/>
                <w:szCs w:val="21"/>
              </w:rPr>
            </w:pPr>
            <w:r w:rsidRPr="00A67277">
              <w:rPr>
                <w:rFonts w:ascii="Arial" w:hAnsi="Arial" w:cs="Arial"/>
                <w:b/>
                <w:color w:val="auto"/>
                <w:sz w:val="21"/>
                <w:szCs w:val="21"/>
              </w:rPr>
              <w:t>Other Business</w:t>
            </w:r>
          </w:p>
        </w:tc>
        <w:tc>
          <w:tcPr>
            <w:tcW w:w="169" w:type="pct"/>
          </w:tcPr>
          <w:p w14:paraId="41C3E5D5" w14:textId="77777777" w:rsidR="00862B0B" w:rsidRPr="00A67277" w:rsidRDefault="00862B0B" w:rsidP="00862B0B">
            <w:pPr>
              <w:spacing w:before="60" w:after="60"/>
              <w:rPr>
                <w:rFonts w:ascii="Arial" w:hAnsi="Arial" w:cs="Arial"/>
                <w:sz w:val="21"/>
                <w:szCs w:val="21"/>
              </w:rPr>
            </w:pPr>
          </w:p>
        </w:tc>
        <w:tc>
          <w:tcPr>
            <w:tcW w:w="2561" w:type="pct"/>
            <w:gridSpan w:val="2"/>
          </w:tcPr>
          <w:p w14:paraId="13550043" w14:textId="77777777" w:rsidR="00862B0B" w:rsidRPr="00A67277" w:rsidRDefault="00862B0B" w:rsidP="00862B0B">
            <w:pPr>
              <w:pStyle w:val="Heading2"/>
              <w:numPr>
                <w:ilvl w:val="0"/>
                <w:numId w:val="12"/>
              </w:numPr>
              <w:spacing w:before="60" w:after="60"/>
              <w:ind w:left="1112" w:hanging="680"/>
              <w:outlineLvl w:val="1"/>
              <w:rPr>
                <w:rFonts w:ascii="Arial" w:hAnsi="Arial" w:cs="Arial"/>
                <w:b/>
                <w:color w:val="auto"/>
                <w:sz w:val="21"/>
                <w:szCs w:val="21"/>
              </w:rPr>
            </w:pPr>
            <w:r w:rsidRPr="00A67277">
              <w:rPr>
                <w:rFonts w:ascii="Arial" w:hAnsi="Arial" w:cs="Arial"/>
                <w:b/>
                <w:color w:val="auto"/>
                <w:sz w:val="21"/>
                <w:szCs w:val="21"/>
              </w:rPr>
              <w:t>Usaha Lain</w:t>
            </w:r>
          </w:p>
        </w:tc>
      </w:tr>
      <w:tr w:rsidR="00862B0B" w:rsidRPr="00A67277" w14:paraId="1F6C0C50" w14:textId="77777777" w:rsidTr="00862B0B">
        <w:tc>
          <w:tcPr>
            <w:tcW w:w="2270" w:type="pct"/>
          </w:tcPr>
          <w:p w14:paraId="41F4A431" w14:textId="77777777" w:rsidR="00862B0B" w:rsidRPr="00A67277" w:rsidRDefault="00862B0B" w:rsidP="00862B0B">
            <w:pPr>
              <w:pStyle w:val="Level1"/>
              <w:spacing w:before="60" w:after="60"/>
              <w:ind w:left="973" w:firstLine="0"/>
            </w:pPr>
            <w:r w:rsidRPr="00A67277">
              <w:t>Except as otherwise provided in this Agreement, the IBE shall not:</w:t>
            </w:r>
          </w:p>
        </w:tc>
        <w:tc>
          <w:tcPr>
            <w:tcW w:w="169" w:type="pct"/>
          </w:tcPr>
          <w:p w14:paraId="614BC5DD" w14:textId="77777777" w:rsidR="00862B0B" w:rsidRPr="00A67277" w:rsidRDefault="00862B0B" w:rsidP="00862B0B">
            <w:pPr>
              <w:spacing w:before="60" w:after="60"/>
              <w:rPr>
                <w:rFonts w:ascii="Arial" w:hAnsi="Arial" w:cs="Arial"/>
                <w:sz w:val="21"/>
                <w:szCs w:val="21"/>
              </w:rPr>
            </w:pPr>
          </w:p>
        </w:tc>
        <w:tc>
          <w:tcPr>
            <w:tcW w:w="2561" w:type="pct"/>
            <w:gridSpan w:val="2"/>
          </w:tcPr>
          <w:p w14:paraId="32F295DD" w14:textId="77777777" w:rsidR="00862B0B" w:rsidRPr="00A67277" w:rsidRDefault="00862B0B" w:rsidP="00862B0B">
            <w:pPr>
              <w:pStyle w:val="Level1"/>
              <w:spacing w:before="60" w:after="60"/>
              <w:ind w:left="1112" w:hanging="23"/>
              <w:rPr>
                <w:rFonts w:cs="Arial"/>
              </w:rPr>
            </w:pPr>
            <w:r w:rsidRPr="00A67277">
              <w:rPr>
                <w:rFonts w:cs="Arial"/>
              </w:rPr>
              <w:t>Kecuali jika diatur dalam Perjanjian ini, BUP tidak boleh:</w:t>
            </w:r>
          </w:p>
        </w:tc>
      </w:tr>
      <w:tr w:rsidR="00862B0B" w:rsidRPr="00A67277" w14:paraId="688F21F5" w14:textId="77777777" w:rsidTr="00862B0B">
        <w:tc>
          <w:tcPr>
            <w:tcW w:w="2270" w:type="pct"/>
          </w:tcPr>
          <w:p w14:paraId="0F21286A" w14:textId="77777777" w:rsidR="00862B0B" w:rsidRPr="00A67277" w:rsidRDefault="00862B0B" w:rsidP="00862B0B">
            <w:pPr>
              <w:pStyle w:val="Level3"/>
              <w:numPr>
                <w:ilvl w:val="2"/>
                <w:numId w:val="495"/>
              </w:numPr>
              <w:tabs>
                <w:tab w:val="clear" w:pos="1417"/>
              </w:tabs>
              <w:spacing w:before="60" w:after="60"/>
              <w:ind w:hanging="403"/>
            </w:pPr>
            <w:r w:rsidRPr="00A67277">
              <w:t>engage in any business activity other than as permitted under this Agreement or as reasonably required to perform its obligations and enjoy its rights under the Project Agreements to which is a party;</w:t>
            </w:r>
          </w:p>
          <w:p w14:paraId="06182BB3" w14:textId="77777777" w:rsidR="00862B0B" w:rsidRPr="00A67277" w:rsidRDefault="00862B0B" w:rsidP="00862B0B">
            <w:pPr>
              <w:spacing w:before="60" w:after="60"/>
              <w:rPr>
                <w:rFonts w:ascii="Arial" w:hAnsi="Arial" w:cs="Arial"/>
                <w:sz w:val="21"/>
                <w:szCs w:val="21"/>
              </w:rPr>
            </w:pPr>
          </w:p>
          <w:p w14:paraId="6851268D" w14:textId="77777777" w:rsidR="00862B0B" w:rsidRPr="00A67277" w:rsidRDefault="00862B0B" w:rsidP="00862B0B">
            <w:pPr>
              <w:tabs>
                <w:tab w:val="left" w:pos="3202"/>
              </w:tabs>
              <w:spacing w:before="60" w:after="60"/>
              <w:rPr>
                <w:rFonts w:ascii="Arial" w:hAnsi="Arial" w:cs="Arial"/>
                <w:sz w:val="21"/>
                <w:szCs w:val="21"/>
              </w:rPr>
            </w:pPr>
            <w:r w:rsidRPr="00A67277">
              <w:rPr>
                <w:rFonts w:ascii="Arial" w:hAnsi="Arial" w:cs="Arial"/>
                <w:sz w:val="21"/>
                <w:szCs w:val="21"/>
              </w:rPr>
              <w:tab/>
            </w:r>
          </w:p>
        </w:tc>
        <w:tc>
          <w:tcPr>
            <w:tcW w:w="169" w:type="pct"/>
          </w:tcPr>
          <w:p w14:paraId="0C40D5BA" w14:textId="77777777" w:rsidR="00862B0B" w:rsidRPr="00A67277" w:rsidRDefault="00862B0B" w:rsidP="00862B0B">
            <w:pPr>
              <w:spacing w:before="60" w:after="60"/>
              <w:rPr>
                <w:rFonts w:ascii="Arial" w:hAnsi="Arial" w:cs="Arial"/>
                <w:sz w:val="21"/>
                <w:szCs w:val="21"/>
              </w:rPr>
            </w:pPr>
          </w:p>
        </w:tc>
        <w:tc>
          <w:tcPr>
            <w:tcW w:w="2561" w:type="pct"/>
            <w:gridSpan w:val="2"/>
          </w:tcPr>
          <w:p w14:paraId="2E5406A1" w14:textId="77777777" w:rsidR="00862B0B" w:rsidRPr="00A67277" w:rsidRDefault="00862B0B" w:rsidP="00862B0B">
            <w:pPr>
              <w:pStyle w:val="Level3"/>
              <w:numPr>
                <w:ilvl w:val="0"/>
                <w:numId w:val="47"/>
              </w:numPr>
              <w:spacing w:before="60" w:after="60"/>
              <w:ind w:left="1646" w:hanging="546"/>
              <w:rPr>
                <w:rFonts w:cs="Arial"/>
              </w:rPr>
            </w:pPr>
            <w:r w:rsidRPr="00A67277">
              <w:rPr>
                <w:rFonts w:cs="Arial"/>
              </w:rPr>
              <w:t>terlibat dalam aktivitas bisnis selain yang diizinkan berdasarkan Perjanjian ini atau sebagaimana disyaratkan untuk melaksanakan kewajibannya dan menikmati haknya berdasarkan Perjanjian Proyek dimana BUP merupakan pihak;</w:t>
            </w:r>
          </w:p>
        </w:tc>
      </w:tr>
      <w:tr w:rsidR="00862B0B" w:rsidRPr="00A67277" w14:paraId="778684E9" w14:textId="77777777" w:rsidTr="00862B0B">
        <w:tc>
          <w:tcPr>
            <w:tcW w:w="2270" w:type="pct"/>
          </w:tcPr>
          <w:p w14:paraId="56169B2E" w14:textId="77777777" w:rsidR="00862B0B" w:rsidRPr="00A67277" w:rsidRDefault="00862B0B" w:rsidP="00862B0B">
            <w:pPr>
              <w:pStyle w:val="Level3"/>
              <w:numPr>
                <w:ilvl w:val="2"/>
                <w:numId w:val="495"/>
              </w:numPr>
              <w:tabs>
                <w:tab w:val="clear" w:pos="1417"/>
              </w:tabs>
              <w:spacing w:before="60" w:after="60"/>
              <w:ind w:left="1513" w:hanging="540"/>
            </w:pPr>
            <w:r w:rsidRPr="00A67277">
              <w:t>enter into any agreement of merger, consolidation or amalgamation with any entity; or</w:t>
            </w:r>
          </w:p>
        </w:tc>
        <w:tc>
          <w:tcPr>
            <w:tcW w:w="169" w:type="pct"/>
          </w:tcPr>
          <w:p w14:paraId="3C4C121F" w14:textId="77777777" w:rsidR="00862B0B" w:rsidRPr="00A67277" w:rsidRDefault="00862B0B" w:rsidP="00862B0B">
            <w:pPr>
              <w:spacing w:before="60" w:after="60"/>
              <w:rPr>
                <w:rFonts w:ascii="Arial" w:hAnsi="Arial" w:cs="Arial"/>
                <w:sz w:val="21"/>
                <w:szCs w:val="21"/>
              </w:rPr>
            </w:pPr>
          </w:p>
        </w:tc>
        <w:tc>
          <w:tcPr>
            <w:tcW w:w="2561" w:type="pct"/>
            <w:gridSpan w:val="2"/>
          </w:tcPr>
          <w:p w14:paraId="4D600401" w14:textId="77777777" w:rsidR="00862B0B" w:rsidRPr="00A67277" w:rsidRDefault="00862B0B" w:rsidP="00862B0B">
            <w:pPr>
              <w:pStyle w:val="Level3"/>
              <w:numPr>
                <w:ilvl w:val="0"/>
                <w:numId w:val="47"/>
              </w:numPr>
              <w:spacing w:before="60" w:after="60"/>
              <w:ind w:left="1646" w:hanging="546"/>
              <w:rPr>
                <w:rFonts w:cs="Arial"/>
              </w:rPr>
            </w:pPr>
            <w:r w:rsidRPr="00A67277">
              <w:rPr>
                <w:rFonts w:cs="Arial"/>
              </w:rPr>
              <w:t>mengadakan kesepakatan merger, konsolidasi atau penggabungan dengan entitas manapun; atau</w:t>
            </w:r>
          </w:p>
        </w:tc>
      </w:tr>
      <w:tr w:rsidR="00862B0B" w:rsidRPr="00A67277" w14:paraId="02BEFE34" w14:textId="77777777" w:rsidTr="00862B0B">
        <w:tc>
          <w:tcPr>
            <w:tcW w:w="2270" w:type="pct"/>
          </w:tcPr>
          <w:p w14:paraId="7EA5C3B8" w14:textId="77777777" w:rsidR="00862B0B" w:rsidRPr="00A67277" w:rsidRDefault="00862B0B" w:rsidP="00862B0B">
            <w:pPr>
              <w:pStyle w:val="Level3"/>
              <w:numPr>
                <w:ilvl w:val="2"/>
                <w:numId w:val="495"/>
              </w:numPr>
              <w:tabs>
                <w:tab w:val="clear" w:pos="1417"/>
              </w:tabs>
              <w:spacing w:before="60" w:after="60"/>
              <w:ind w:left="1513" w:hanging="540"/>
            </w:pPr>
            <w:r w:rsidRPr="00A67277">
              <w:t>except as may otherwise be required by the Financing Parties for the purpose of enforcing the IBE’s payment obligation to the Financing Parties, dispose of all or substantially all of its assets.</w:t>
            </w:r>
          </w:p>
        </w:tc>
        <w:tc>
          <w:tcPr>
            <w:tcW w:w="169" w:type="pct"/>
          </w:tcPr>
          <w:p w14:paraId="38526B65" w14:textId="77777777" w:rsidR="00862B0B" w:rsidRPr="00A67277" w:rsidRDefault="00862B0B" w:rsidP="00862B0B">
            <w:pPr>
              <w:spacing w:before="60" w:after="60"/>
              <w:rPr>
                <w:rFonts w:ascii="Arial" w:hAnsi="Arial" w:cs="Arial"/>
                <w:sz w:val="21"/>
                <w:szCs w:val="21"/>
              </w:rPr>
            </w:pPr>
          </w:p>
        </w:tc>
        <w:tc>
          <w:tcPr>
            <w:tcW w:w="2561" w:type="pct"/>
            <w:gridSpan w:val="2"/>
          </w:tcPr>
          <w:p w14:paraId="4CEEDDC7" w14:textId="77777777" w:rsidR="00862B0B" w:rsidRPr="00A67277" w:rsidRDefault="00862B0B" w:rsidP="00862B0B">
            <w:pPr>
              <w:pStyle w:val="Level3"/>
              <w:numPr>
                <w:ilvl w:val="0"/>
                <w:numId w:val="47"/>
              </w:numPr>
              <w:spacing w:before="60" w:after="60"/>
              <w:ind w:left="1646" w:hanging="546"/>
              <w:rPr>
                <w:rFonts w:cs="Arial"/>
              </w:rPr>
            </w:pPr>
            <w:r w:rsidRPr="00A67277">
              <w:rPr>
                <w:rFonts w:cs="Arial"/>
              </w:rPr>
              <w:t>kecuali jika disyaratkan lain oleh Pihak Pembiaya untuk tujuan menegakkan kewajiban pembayaran BUP kepada Pihak Pembiaya, melepaskan seluruh atau sebagian besar asetnya.</w:t>
            </w:r>
          </w:p>
        </w:tc>
      </w:tr>
      <w:tr w:rsidR="00862B0B" w:rsidRPr="00A67277" w14:paraId="3D964146" w14:textId="77777777" w:rsidTr="00862B0B">
        <w:tc>
          <w:tcPr>
            <w:tcW w:w="2270" w:type="pct"/>
          </w:tcPr>
          <w:p w14:paraId="742ABB5F" w14:textId="77777777" w:rsidR="00862B0B" w:rsidRPr="00A67277" w:rsidRDefault="00862B0B" w:rsidP="00862B0B">
            <w:pPr>
              <w:pStyle w:val="Heading2"/>
              <w:numPr>
                <w:ilvl w:val="0"/>
                <w:numId w:val="45"/>
              </w:numPr>
              <w:spacing w:before="60" w:after="60"/>
              <w:ind w:left="973" w:hanging="613"/>
              <w:outlineLvl w:val="1"/>
              <w:rPr>
                <w:color w:val="auto"/>
              </w:rPr>
            </w:pPr>
            <w:r w:rsidRPr="00A67277">
              <w:rPr>
                <w:rFonts w:ascii="Arial" w:hAnsi="Arial" w:cs="Arial"/>
                <w:b/>
                <w:color w:val="auto"/>
                <w:sz w:val="21"/>
                <w:szCs w:val="21"/>
              </w:rPr>
              <w:t>Amendments</w:t>
            </w:r>
          </w:p>
        </w:tc>
        <w:tc>
          <w:tcPr>
            <w:tcW w:w="169" w:type="pct"/>
          </w:tcPr>
          <w:p w14:paraId="26632B58" w14:textId="77777777" w:rsidR="00862B0B" w:rsidRPr="00A67277" w:rsidRDefault="00862B0B" w:rsidP="00862B0B">
            <w:pPr>
              <w:spacing w:before="60" w:after="60"/>
              <w:rPr>
                <w:rFonts w:ascii="Arial" w:hAnsi="Arial" w:cs="Arial"/>
                <w:sz w:val="21"/>
                <w:szCs w:val="21"/>
              </w:rPr>
            </w:pPr>
          </w:p>
        </w:tc>
        <w:tc>
          <w:tcPr>
            <w:tcW w:w="2561" w:type="pct"/>
            <w:gridSpan w:val="2"/>
          </w:tcPr>
          <w:p w14:paraId="458294E0" w14:textId="77777777" w:rsidR="00862B0B" w:rsidRPr="00A67277" w:rsidRDefault="00862B0B" w:rsidP="00862B0B">
            <w:pPr>
              <w:pStyle w:val="Heading2"/>
              <w:numPr>
                <w:ilvl w:val="0"/>
                <w:numId w:val="12"/>
              </w:numPr>
              <w:spacing w:before="60" w:after="60"/>
              <w:ind w:left="1112" w:hanging="680"/>
              <w:outlineLvl w:val="1"/>
              <w:rPr>
                <w:rFonts w:ascii="Arial" w:hAnsi="Arial" w:cs="Arial"/>
                <w:b/>
                <w:color w:val="auto"/>
                <w:sz w:val="21"/>
                <w:szCs w:val="21"/>
              </w:rPr>
            </w:pPr>
            <w:r w:rsidRPr="00A67277">
              <w:rPr>
                <w:rFonts w:ascii="Arial" w:hAnsi="Arial" w:cs="Arial"/>
                <w:b/>
                <w:color w:val="auto"/>
                <w:sz w:val="21"/>
                <w:szCs w:val="21"/>
              </w:rPr>
              <w:t>Amandemen</w:t>
            </w:r>
          </w:p>
        </w:tc>
      </w:tr>
      <w:tr w:rsidR="00862B0B" w:rsidRPr="00A67277" w14:paraId="62B90B5F" w14:textId="77777777" w:rsidTr="00862B0B">
        <w:tc>
          <w:tcPr>
            <w:tcW w:w="2270" w:type="pct"/>
          </w:tcPr>
          <w:p w14:paraId="4852E37C" w14:textId="77777777" w:rsidR="00862B0B" w:rsidRPr="00A67277" w:rsidRDefault="00862B0B" w:rsidP="00862B0B">
            <w:pPr>
              <w:spacing w:before="60" w:after="60"/>
              <w:rPr>
                <w:rFonts w:ascii="Arial" w:hAnsi="Arial" w:cs="Arial"/>
                <w:sz w:val="21"/>
                <w:szCs w:val="21"/>
              </w:rPr>
            </w:pPr>
          </w:p>
          <w:p w14:paraId="2EEDE9B5" w14:textId="77777777" w:rsidR="00862B0B" w:rsidRPr="00A67277" w:rsidRDefault="00862B0B" w:rsidP="00862B0B">
            <w:pPr>
              <w:pStyle w:val="Level1"/>
              <w:spacing w:before="60" w:after="60"/>
              <w:ind w:left="973" w:firstLine="0"/>
            </w:pPr>
            <w:r w:rsidRPr="00A67277">
              <w:t>Promptly upon the execution and delivery thereof, the IBE shall deliver to GCA, any material amendments, modifications or supplements to, or consents to any change of any provision of or grants of any waiver under, any of the Project Agreements to which the IBE is a party with respect to any such matters as may affect the rights and obligations of the Parties pursuant to this Agreement or the Project Agreements.</w:t>
            </w:r>
          </w:p>
        </w:tc>
        <w:tc>
          <w:tcPr>
            <w:tcW w:w="169" w:type="pct"/>
          </w:tcPr>
          <w:p w14:paraId="782BA08A" w14:textId="77777777" w:rsidR="00862B0B" w:rsidRPr="00A67277" w:rsidRDefault="00862B0B" w:rsidP="00862B0B">
            <w:pPr>
              <w:spacing w:before="60" w:after="60"/>
              <w:rPr>
                <w:rFonts w:ascii="Arial" w:hAnsi="Arial" w:cs="Arial"/>
                <w:sz w:val="21"/>
                <w:szCs w:val="21"/>
              </w:rPr>
            </w:pPr>
          </w:p>
        </w:tc>
        <w:tc>
          <w:tcPr>
            <w:tcW w:w="2561" w:type="pct"/>
            <w:gridSpan w:val="2"/>
          </w:tcPr>
          <w:p w14:paraId="3CBABB87" w14:textId="77777777" w:rsidR="00862B0B" w:rsidRPr="00A67277" w:rsidRDefault="00862B0B" w:rsidP="00862B0B">
            <w:pPr>
              <w:pStyle w:val="Level1"/>
              <w:spacing w:before="60" w:after="60"/>
              <w:ind w:left="1112" w:hanging="23"/>
              <w:rPr>
                <w:rFonts w:cs="Arial"/>
              </w:rPr>
            </w:pPr>
            <w:r w:rsidRPr="00A67277">
              <w:rPr>
                <w:rFonts w:cs="Arial"/>
              </w:rPr>
              <w:t>Segera setelah penandatanganan dan penyerahannya, BUP harus menyampaikan kepada PJPK, setiap perubahan material, modifikasi atau suplemen apapun terhadap, atau menyetujui perubahan ketentuan atau menyebabkan setiap pengesampingan apapun berdasarkan, setiap Perjanjian Proyek dimana BUP merupakan pihak sehubungan dengan hal-hal yang dapat mempengaruhi hak dan kewajiban Para Pihak sesuai dengan Perjanjian ini atau Perjanjian Proyek.</w:t>
            </w:r>
          </w:p>
        </w:tc>
      </w:tr>
      <w:tr w:rsidR="00862B0B" w:rsidRPr="00A67277" w14:paraId="5E0768F9" w14:textId="77777777" w:rsidTr="00862B0B">
        <w:tc>
          <w:tcPr>
            <w:tcW w:w="2270" w:type="pct"/>
          </w:tcPr>
          <w:p w14:paraId="6FF639D7" w14:textId="77777777" w:rsidR="00862B0B" w:rsidRPr="00A67277" w:rsidRDefault="00862B0B" w:rsidP="00862B0B">
            <w:pPr>
              <w:pStyle w:val="Heading2"/>
              <w:numPr>
                <w:ilvl w:val="0"/>
                <w:numId w:val="45"/>
              </w:numPr>
              <w:spacing w:before="60" w:after="60"/>
              <w:ind w:left="973" w:hanging="613"/>
              <w:outlineLvl w:val="1"/>
              <w:rPr>
                <w:color w:val="auto"/>
              </w:rPr>
            </w:pPr>
            <w:r w:rsidRPr="00A67277">
              <w:rPr>
                <w:rFonts w:ascii="Arial" w:hAnsi="Arial" w:cs="Arial"/>
                <w:b/>
                <w:color w:val="auto"/>
                <w:sz w:val="21"/>
                <w:szCs w:val="21"/>
              </w:rPr>
              <w:t>Compliance with Laws</w:t>
            </w:r>
          </w:p>
        </w:tc>
        <w:tc>
          <w:tcPr>
            <w:tcW w:w="169" w:type="pct"/>
          </w:tcPr>
          <w:p w14:paraId="5415D062" w14:textId="77777777" w:rsidR="00862B0B" w:rsidRPr="00A67277" w:rsidRDefault="00862B0B" w:rsidP="00862B0B">
            <w:pPr>
              <w:spacing w:before="60" w:after="60"/>
              <w:rPr>
                <w:rFonts w:ascii="Arial" w:hAnsi="Arial" w:cs="Arial"/>
                <w:sz w:val="21"/>
                <w:szCs w:val="21"/>
              </w:rPr>
            </w:pPr>
          </w:p>
        </w:tc>
        <w:tc>
          <w:tcPr>
            <w:tcW w:w="2561" w:type="pct"/>
            <w:gridSpan w:val="2"/>
          </w:tcPr>
          <w:p w14:paraId="63E8335D" w14:textId="77777777" w:rsidR="00862B0B" w:rsidRPr="00A67277" w:rsidRDefault="00862B0B" w:rsidP="00862B0B">
            <w:pPr>
              <w:pStyle w:val="Heading2"/>
              <w:numPr>
                <w:ilvl w:val="0"/>
                <w:numId w:val="12"/>
              </w:numPr>
              <w:spacing w:before="60" w:after="60"/>
              <w:ind w:left="1112" w:hanging="680"/>
              <w:outlineLvl w:val="1"/>
              <w:rPr>
                <w:rFonts w:ascii="Arial" w:hAnsi="Arial" w:cs="Arial"/>
                <w:b/>
                <w:color w:val="auto"/>
                <w:sz w:val="21"/>
                <w:szCs w:val="21"/>
              </w:rPr>
            </w:pPr>
            <w:r w:rsidRPr="00A67277">
              <w:rPr>
                <w:rFonts w:ascii="Arial" w:hAnsi="Arial" w:cs="Arial"/>
                <w:b/>
                <w:color w:val="auto"/>
                <w:sz w:val="21"/>
                <w:szCs w:val="21"/>
              </w:rPr>
              <w:t>Kepatuhan Hukum</w:t>
            </w:r>
          </w:p>
        </w:tc>
      </w:tr>
      <w:tr w:rsidR="00862B0B" w:rsidRPr="00A67277" w14:paraId="1FEA09BA" w14:textId="77777777" w:rsidTr="00862B0B">
        <w:tc>
          <w:tcPr>
            <w:tcW w:w="2270" w:type="pct"/>
          </w:tcPr>
          <w:p w14:paraId="5D5311C4" w14:textId="77777777" w:rsidR="00862B0B" w:rsidRPr="00A67277" w:rsidRDefault="00862B0B" w:rsidP="00862B0B">
            <w:pPr>
              <w:pStyle w:val="Level1"/>
              <w:spacing w:before="60" w:after="60"/>
              <w:ind w:left="973" w:hanging="5"/>
            </w:pPr>
            <w:r w:rsidRPr="00A67277">
              <w:t>The IBE and GCA agree that all applicable Legal Requirements shall govern their performance of this Agreement and each shall comply in all material respects with and each of them shall keep in full force and effect all Authorisations required to be in its name for the performance of its obligations under this Agreement and the Project Agreements to which it is a party.</w:t>
            </w:r>
          </w:p>
          <w:p w14:paraId="56DD68F7" w14:textId="77777777" w:rsidR="00862B0B" w:rsidRPr="00A67277" w:rsidRDefault="00862B0B" w:rsidP="00862B0B">
            <w:pPr>
              <w:tabs>
                <w:tab w:val="left" w:pos="2816"/>
              </w:tabs>
              <w:spacing w:before="60" w:after="60"/>
              <w:rPr>
                <w:rFonts w:ascii="Arial" w:hAnsi="Arial" w:cs="Arial"/>
                <w:sz w:val="21"/>
                <w:szCs w:val="21"/>
              </w:rPr>
            </w:pPr>
            <w:r w:rsidRPr="00A67277">
              <w:rPr>
                <w:rFonts w:ascii="Arial" w:hAnsi="Arial" w:cs="Arial"/>
                <w:sz w:val="21"/>
                <w:szCs w:val="21"/>
              </w:rPr>
              <w:tab/>
            </w:r>
          </w:p>
        </w:tc>
        <w:tc>
          <w:tcPr>
            <w:tcW w:w="169" w:type="pct"/>
          </w:tcPr>
          <w:p w14:paraId="0710A0A1" w14:textId="77777777" w:rsidR="00862B0B" w:rsidRPr="00A67277" w:rsidRDefault="00862B0B" w:rsidP="00862B0B">
            <w:pPr>
              <w:spacing w:before="60" w:after="60"/>
              <w:rPr>
                <w:rFonts w:ascii="Arial" w:hAnsi="Arial" w:cs="Arial"/>
                <w:sz w:val="21"/>
                <w:szCs w:val="21"/>
              </w:rPr>
            </w:pPr>
          </w:p>
        </w:tc>
        <w:tc>
          <w:tcPr>
            <w:tcW w:w="2561" w:type="pct"/>
            <w:gridSpan w:val="2"/>
          </w:tcPr>
          <w:p w14:paraId="23EEEC40" w14:textId="288D5E0D" w:rsidR="00862B0B" w:rsidRPr="00A67277" w:rsidRDefault="00862B0B" w:rsidP="00862B0B">
            <w:pPr>
              <w:pStyle w:val="Level1"/>
              <w:spacing w:before="60" w:after="60"/>
              <w:ind w:left="1112" w:firstLine="9"/>
              <w:rPr>
                <w:rFonts w:cs="Arial"/>
              </w:rPr>
            </w:pPr>
            <w:r w:rsidRPr="00A67277">
              <w:rPr>
                <w:rFonts w:cs="Arial"/>
              </w:rPr>
              <w:t>BUP dan PJPK sepakat bahwa semua Persyaratan Hukum yang berlaku mengatur pelaksanaan Perjanjian ini olehnya dan masing-masing harus mematuhi secara keseluruhan material dan masing-masing Pihak harus tetap menjaga keberlakuan penuh dan efektif seluruh Persetujuan yang disyaratkan atas namanya untuk pelaksanaan kewajibannya berdasarkan Perjanjian ini dan Perjanjian Proyek dimana Pihak tersebut merupakan pihak.</w:t>
            </w:r>
          </w:p>
        </w:tc>
      </w:tr>
      <w:tr w:rsidR="00862B0B" w:rsidRPr="00A67277" w14:paraId="047D292F" w14:textId="77777777" w:rsidTr="00862B0B">
        <w:tc>
          <w:tcPr>
            <w:tcW w:w="2270" w:type="pct"/>
          </w:tcPr>
          <w:p w14:paraId="7083DA11" w14:textId="77777777" w:rsidR="00862B0B" w:rsidRPr="00A67277" w:rsidRDefault="00862B0B" w:rsidP="00862B0B">
            <w:pPr>
              <w:pStyle w:val="Heading2"/>
              <w:numPr>
                <w:ilvl w:val="0"/>
                <w:numId w:val="45"/>
              </w:numPr>
              <w:spacing w:before="60" w:after="60"/>
              <w:ind w:left="973" w:hanging="613"/>
              <w:outlineLvl w:val="1"/>
              <w:rPr>
                <w:rFonts w:ascii="Arial" w:hAnsi="Arial" w:cs="Arial"/>
                <w:b/>
                <w:color w:val="auto"/>
                <w:sz w:val="21"/>
                <w:szCs w:val="21"/>
              </w:rPr>
            </w:pPr>
            <w:r w:rsidRPr="00A67277">
              <w:rPr>
                <w:rFonts w:ascii="Arial" w:hAnsi="Arial" w:cs="Arial"/>
                <w:b/>
                <w:color w:val="auto"/>
                <w:sz w:val="21"/>
                <w:szCs w:val="21"/>
              </w:rPr>
              <w:t>Indonesian Participation</w:t>
            </w:r>
          </w:p>
        </w:tc>
        <w:tc>
          <w:tcPr>
            <w:tcW w:w="169" w:type="pct"/>
          </w:tcPr>
          <w:p w14:paraId="0D51B28B" w14:textId="77777777" w:rsidR="00862B0B" w:rsidRPr="00A67277" w:rsidRDefault="00862B0B" w:rsidP="00862B0B">
            <w:pPr>
              <w:spacing w:before="60" w:after="60"/>
              <w:rPr>
                <w:rFonts w:ascii="Arial" w:hAnsi="Arial" w:cs="Arial"/>
                <w:sz w:val="21"/>
                <w:szCs w:val="21"/>
              </w:rPr>
            </w:pPr>
          </w:p>
        </w:tc>
        <w:tc>
          <w:tcPr>
            <w:tcW w:w="2561" w:type="pct"/>
            <w:gridSpan w:val="2"/>
          </w:tcPr>
          <w:p w14:paraId="123B356C" w14:textId="77777777" w:rsidR="00862B0B" w:rsidRPr="00A67277" w:rsidRDefault="00862B0B" w:rsidP="00862B0B">
            <w:pPr>
              <w:pStyle w:val="Heading2"/>
              <w:numPr>
                <w:ilvl w:val="0"/>
                <w:numId w:val="12"/>
              </w:numPr>
              <w:spacing w:before="60" w:after="60"/>
              <w:ind w:left="1112" w:hanging="680"/>
              <w:jc w:val="both"/>
              <w:outlineLvl w:val="1"/>
              <w:rPr>
                <w:rFonts w:ascii="Arial" w:hAnsi="Arial" w:cs="Arial"/>
                <w:b/>
                <w:color w:val="auto"/>
                <w:sz w:val="21"/>
                <w:szCs w:val="21"/>
              </w:rPr>
            </w:pPr>
            <w:r w:rsidRPr="00A67277">
              <w:rPr>
                <w:rFonts w:ascii="Arial" w:hAnsi="Arial" w:cs="Arial"/>
                <w:b/>
                <w:color w:val="auto"/>
                <w:sz w:val="21"/>
                <w:szCs w:val="21"/>
              </w:rPr>
              <w:t>Kandungan Lokal (Indonesian Participation)</w:t>
            </w:r>
          </w:p>
        </w:tc>
      </w:tr>
      <w:tr w:rsidR="00862B0B" w:rsidRPr="00A67277" w14:paraId="697A1A38" w14:textId="77777777" w:rsidTr="00862B0B">
        <w:tc>
          <w:tcPr>
            <w:tcW w:w="2270" w:type="pct"/>
          </w:tcPr>
          <w:p w14:paraId="50A1A559" w14:textId="1D8B365E" w:rsidR="00862B0B" w:rsidRPr="00A67277" w:rsidRDefault="00862B0B" w:rsidP="00862B0B">
            <w:pPr>
              <w:pStyle w:val="Level1"/>
              <w:spacing w:before="60" w:after="60"/>
              <w:ind w:left="973" w:hanging="5"/>
            </w:pPr>
            <w:r w:rsidRPr="00A67277">
              <w:t>Subject to the requirement determined by the Financing Party in the Financing Documents, the IBE shall fulfill the following requirements and shall cause each of the Contractors to fulfill the following requirements:</w:t>
            </w:r>
          </w:p>
        </w:tc>
        <w:tc>
          <w:tcPr>
            <w:tcW w:w="169" w:type="pct"/>
          </w:tcPr>
          <w:p w14:paraId="645126CA" w14:textId="77777777" w:rsidR="00862B0B" w:rsidRPr="00A67277" w:rsidRDefault="00862B0B" w:rsidP="00862B0B">
            <w:pPr>
              <w:spacing w:before="60" w:after="60"/>
              <w:rPr>
                <w:rFonts w:ascii="Arial" w:hAnsi="Arial" w:cs="Arial"/>
                <w:sz w:val="21"/>
                <w:szCs w:val="21"/>
              </w:rPr>
            </w:pPr>
          </w:p>
        </w:tc>
        <w:tc>
          <w:tcPr>
            <w:tcW w:w="2561" w:type="pct"/>
            <w:gridSpan w:val="2"/>
          </w:tcPr>
          <w:p w14:paraId="1849FCF6" w14:textId="2D21A883" w:rsidR="00862B0B" w:rsidRPr="00A67277" w:rsidRDefault="00862B0B" w:rsidP="00862B0B">
            <w:pPr>
              <w:pStyle w:val="Level3"/>
              <w:spacing w:before="60" w:after="60"/>
              <w:ind w:left="1112"/>
              <w:rPr>
                <w:rFonts w:cs="Arial"/>
              </w:rPr>
            </w:pPr>
            <w:r w:rsidRPr="00A67277">
              <w:rPr>
                <w:rFonts w:cs="Arial"/>
              </w:rPr>
              <w:t>Tunduk pada persyaratan yang ditetapkan oleh Pihak Pembiaya dalam Dokumen Pembiayaan, BUP</w:t>
            </w:r>
            <w:r w:rsidRPr="00A67277">
              <w:rPr>
                <w:rFonts w:cs="Arial"/>
                <w:lang w:val="id-ID"/>
              </w:rPr>
              <w:t xml:space="preserve"> </w:t>
            </w:r>
            <w:r w:rsidRPr="00A67277">
              <w:rPr>
                <w:rFonts w:cs="Arial"/>
              </w:rPr>
              <w:t xml:space="preserve">harus memenuhi ketentuan sebagai berikut </w:t>
            </w:r>
            <w:r w:rsidRPr="00A67277">
              <w:rPr>
                <w:rFonts w:cs="Arial"/>
                <w:lang w:val="id-ID"/>
              </w:rPr>
              <w:t xml:space="preserve">dan </w:t>
            </w:r>
            <w:r w:rsidRPr="00A67277">
              <w:rPr>
                <w:rFonts w:cs="Arial"/>
              </w:rPr>
              <w:t xml:space="preserve">harus menyebabkan setiap </w:t>
            </w:r>
            <w:r w:rsidRPr="00A67277">
              <w:rPr>
                <w:rFonts w:cs="Arial"/>
                <w:lang w:val="id-ID"/>
              </w:rPr>
              <w:t>Kontraktor untuk</w:t>
            </w:r>
            <w:r w:rsidRPr="00A67277">
              <w:rPr>
                <w:rFonts w:cs="Arial"/>
                <w:lang w:val="en-US"/>
              </w:rPr>
              <w:t xml:space="preserve"> memenuhi ketentuan sebagai berikut</w:t>
            </w:r>
            <w:r w:rsidRPr="00A67277">
              <w:rPr>
                <w:rFonts w:cs="Arial"/>
              </w:rPr>
              <w:t>:</w:t>
            </w:r>
          </w:p>
        </w:tc>
      </w:tr>
      <w:tr w:rsidR="00862B0B" w:rsidRPr="00A67277" w14:paraId="3D6F031E" w14:textId="77777777" w:rsidTr="00862B0B">
        <w:tc>
          <w:tcPr>
            <w:tcW w:w="2270" w:type="pct"/>
          </w:tcPr>
          <w:p w14:paraId="0C4CC0AC" w14:textId="77777777" w:rsidR="00862B0B" w:rsidRPr="00A67277" w:rsidRDefault="00862B0B" w:rsidP="00862B0B">
            <w:pPr>
              <w:pStyle w:val="Level3"/>
              <w:numPr>
                <w:ilvl w:val="2"/>
                <w:numId w:val="496"/>
              </w:numPr>
              <w:tabs>
                <w:tab w:val="clear" w:pos="1417"/>
              </w:tabs>
              <w:spacing w:before="60" w:after="60"/>
              <w:ind w:hanging="544"/>
              <w:rPr>
                <w:b/>
                <w:i/>
              </w:rPr>
            </w:pPr>
            <w:r w:rsidRPr="00A67277">
              <w:t>to comply with the applicable local content regulations;</w:t>
            </w:r>
            <w:r w:rsidRPr="00A67277">
              <w:rPr>
                <w:rFonts w:eastAsia="Times New Roman"/>
                <w:b/>
                <w:i/>
              </w:rPr>
              <w:t xml:space="preserve"> </w:t>
            </w:r>
          </w:p>
          <w:p w14:paraId="7788304B" w14:textId="77777777" w:rsidR="00862B0B" w:rsidRPr="00A67277" w:rsidRDefault="00862B0B" w:rsidP="00862B0B">
            <w:pPr>
              <w:spacing w:before="60" w:after="60"/>
              <w:rPr>
                <w:rFonts w:ascii="Arial" w:hAnsi="Arial" w:cs="Arial"/>
                <w:sz w:val="21"/>
                <w:szCs w:val="21"/>
              </w:rPr>
            </w:pPr>
          </w:p>
        </w:tc>
        <w:tc>
          <w:tcPr>
            <w:tcW w:w="169" w:type="pct"/>
          </w:tcPr>
          <w:p w14:paraId="3EB194B9" w14:textId="77777777" w:rsidR="00862B0B" w:rsidRPr="00A67277" w:rsidRDefault="00862B0B" w:rsidP="00862B0B">
            <w:pPr>
              <w:spacing w:before="60" w:after="60"/>
              <w:rPr>
                <w:rFonts w:ascii="Arial" w:hAnsi="Arial" w:cs="Arial"/>
                <w:sz w:val="21"/>
                <w:szCs w:val="21"/>
              </w:rPr>
            </w:pPr>
          </w:p>
        </w:tc>
        <w:tc>
          <w:tcPr>
            <w:tcW w:w="2561" w:type="pct"/>
            <w:gridSpan w:val="2"/>
          </w:tcPr>
          <w:p w14:paraId="3DA35134" w14:textId="77777777" w:rsidR="00862B0B" w:rsidRPr="00A67277" w:rsidRDefault="00862B0B" w:rsidP="00862B0B">
            <w:pPr>
              <w:pStyle w:val="Level3"/>
              <w:numPr>
                <w:ilvl w:val="0"/>
                <w:numId w:val="48"/>
              </w:numPr>
              <w:spacing w:before="60" w:after="60"/>
              <w:ind w:left="1646" w:hanging="546"/>
              <w:rPr>
                <w:rFonts w:cs="Arial"/>
                <w:b/>
                <w:i/>
              </w:rPr>
            </w:pPr>
            <w:r w:rsidRPr="00A67277">
              <w:rPr>
                <w:rFonts w:cs="Arial"/>
                <w:lang w:val="id-ID"/>
              </w:rPr>
              <w:t>mematuhi</w:t>
            </w:r>
            <w:r w:rsidRPr="00A67277">
              <w:rPr>
                <w:rFonts w:cs="Arial"/>
              </w:rPr>
              <w:t xml:space="preserve"> peraturan tingkat komponen dalam negeri / kandungan lokal yang berlaku;</w:t>
            </w:r>
            <w:r w:rsidRPr="00A67277">
              <w:rPr>
                <w:rFonts w:eastAsia="Times New Roman" w:cs="Arial"/>
                <w:b/>
                <w:i/>
              </w:rPr>
              <w:t xml:space="preserve"> </w:t>
            </w:r>
          </w:p>
        </w:tc>
      </w:tr>
      <w:tr w:rsidR="00862B0B" w:rsidRPr="00A67277" w14:paraId="306C9C3E" w14:textId="77777777" w:rsidTr="00862B0B">
        <w:tc>
          <w:tcPr>
            <w:tcW w:w="2270" w:type="pct"/>
          </w:tcPr>
          <w:p w14:paraId="66D77DD2" w14:textId="042D3BE5" w:rsidR="00862B0B" w:rsidRPr="00A67277" w:rsidRDefault="00862B0B" w:rsidP="00862B0B">
            <w:pPr>
              <w:pStyle w:val="Level3"/>
              <w:numPr>
                <w:ilvl w:val="2"/>
                <w:numId w:val="496"/>
              </w:numPr>
              <w:tabs>
                <w:tab w:val="clear" w:pos="1417"/>
                <w:tab w:val="num" w:pos="2863"/>
              </w:tabs>
              <w:spacing w:before="60" w:after="60"/>
              <w:ind w:left="1333" w:hanging="444"/>
            </w:pPr>
            <w:r w:rsidRPr="00A67277">
              <w:t>to the maximum extent permitted by the Financing Documents, give preference to the use of Indonesia</w:t>
            </w:r>
            <w:r>
              <w:t>n</w:t>
            </w:r>
            <w:r w:rsidRPr="00A67277">
              <w:t xml:space="preserve"> labour (both skilled and unskilled) and Indonesian contractors; </w:t>
            </w:r>
          </w:p>
          <w:p w14:paraId="7402DF04" w14:textId="77777777" w:rsidR="00862B0B" w:rsidRPr="00A67277" w:rsidRDefault="00862B0B" w:rsidP="00862B0B">
            <w:pPr>
              <w:spacing w:before="60" w:after="60"/>
              <w:rPr>
                <w:rFonts w:ascii="Arial" w:hAnsi="Arial" w:cs="Arial"/>
                <w:sz w:val="21"/>
                <w:szCs w:val="21"/>
              </w:rPr>
            </w:pPr>
          </w:p>
        </w:tc>
        <w:tc>
          <w:tcPr>
            <w:tcW w:w="169" w:type="pct"/>
          </w:tcPr>
          <w:p w14:paraId="2D3294B7" w14:textId="77777777" w:rsidR="00862B0B" w:rsidRPr="00A67277" w:rsidRDefault="00862B0B" w:rsidP="00862B0B">
            <w:pPr>
              <w:spacing w:before="60" w:after="60"/>
              <w:rPr>
                <w:rFonts w:ascii="Arial" w:hAnsi="Arial" w:cs="Arial"/>
                <w:sz w:val="21"/>
                <w:szCs w:val="21"/>
              </w:rPr>
            </w:pPr>
          </w:p>
        </w:tc>
        <w:tc>
          <w:tcPr>
            <w:tcW w:w="2561" w:type="pct"/>
            <w:gridSpan w:val="2"/>
          </w:tcPr>
          <w:p w14:paraId="087FF87E" w14:textId="77777777" w:rsidR="00862B0B" w:rsidRPr="00A67277" w:rsidRDefault="00862B0B" w:rsidP="00862B0B">
            <w:pPr>
              <w:pStyle w:val="Level3"/>
              <w:numPr>
                <w:ilvl w:val="0"/>
                <w:numId w:val="48"/>
              </w:numPr>
              <w:spacing w:before="60" w:after="60"/>
              <w:ind w:left="1646" w:hanging="546"/>
              <w:rPr>
                <w:rFonts w:cs="Arial"/>
              </w:rPr>
            </w:pPr>
            <w:r w:rsidRPr="00A67277">
              <w:rPr>
                <w:rFonts w:cs="Arial"/>
                <w:lang w:val="id-ID"/>
              </w:rPr>
              <w:t xml:space="preserve">sejauh diizinkan dalam Dokumen Pembiayaan, memberikan preferensi terhadap penggunaan tenaga kerja (baik terampil dan tidak terampir) dan kontraktor dari </w:t>
            </w:r>
            <w:r w:rsidRPr="00A67277">
              <w:rPr>
                <w:rFonts w:cs="Arial"/>
                <w:lang w:val="en-US"/>
              </w:rPr>
              <w:t>Indonesia;</w:t>
            </w:r>
          </w:p>
        </w:tc>
      </w:tr>
      <w:tr w:rsidR="00862B0B" w:rsidRPr="00A67277" w14:paraId="5006057E" w14:textId="77777777" w:rsidTr="00862B0B">
        <w:tc>
          <w:tcPr>
            <w:tcW w:w="2270" w:type="pct"/>
          </w:tcPr>
          <w:p w14:paraId="51B2BF47" w14:textId="77777777" w:rsidR="00862B0B" w:rsidRPr="00A67277" w:rsidRDefault="00862B0B" w:rsidP="00862B0B">
            <w:pPr>
              <w:pStyle w:val="Level3"/>
              <w:numPr>
                <w:ilvl w:val="2"/>
                <w:numId w:val="496"/>
              </w:numPr>
              <w:tabs>
                <w:tab w:val="clear" w:pos="1417"/>
                <w:tab w:val="num" w:pos="2863"/>
              </w:tabs>
              <w:spacing w:before="60" w:after="60"/>
              <w:ind w:left="1333" w:hanging="444"/>
            </w:pPr>
            <w:r w:rsidRPr="00A67277">
              <w:t>prioritize the use of Indonesian insurances companies, brokers and agents in respect of any insurance policies obtained in connection with the Project; and</w:t>
            </w:r>
          </w:p>
          <w:p w14:paraId="5160EEF1" w14:textId="77777777" w:rsidR="00862B0B" w:rsidRPr="00A67277" w:rsidRDefault="00862B0B" w:rsidP="00862B0B">
            <w:pPr>
              <w:spacing w:before="60" w:after="60"/>
              <w:rPr>
                <w:rFonts w:ascii="Arial" w:hAnsi="Arial" w:cs="Arial"/>
                <w:sz w:val="21"/>
                <w:szCs w:val="21"/>
              </w:rPr>
            </w:pPr>
          </w:p>
        </w:tc>
        <w:tc>
          <w:tcPr>
            <w:tcW w:w="169" w:type="pct"/>
          </w:tcPr>
          <w:p w14:paraId="0EBB7FD3" w14:textId="77777777" w:rsidR="00862B0B" w:rsidRPr="00A67277" w:rsidRDefault="00862B0B" w:rsidP="00862B0B">
            <w:pPr>
              <w:spacing w:before="60" w:after="60"/>
              <w:rPr>
                <w:rFonts w:ascii="Arial" w:hAnsi="Arial" w:cs="Arial"/>
                <w:sz w:val="21"/>
                <w:szCs w:val="21"/>
              </w:rPr>
            </w:pPr>
          </w:p>
        </w:tc>
        <w:tc>
          <w:tcPr>
            <w:tcW w:w="2561" w:type="pct"/>
            <w:gridSpan w:val="2"/>
          </w:tcPr>
          <w:p w14:paraId="4A23872F" w14:textId="77777777" w:rsidR="00862B0B" w:rsidRPr="00A67277" w:rsidRDefault="00862B0B" w:rsidP="00862B0B">
            <w:pPr>
              <w:pStyle w:val="Level3"/>
              <w:numPr>
                <w:ilvl w:val="0"/>
                <w:numId w:val="48"/>
              </w:numPr>
              <w:spacing w:before="60" w:after="60"/>
              <w:ind w:left="1646" w:hanging="546"/>
              <w:rPr>
                <w:rFonts w:cs="Arial"/>
              </w:rPr>
            </w:pPr>
            <w:r w:rsidRPr="00A67277">
              <w:rPr>
                <w:rFonts w:cs="Arial"/>
                <w:lang w:val="id-ID"/>
              </w:rPr>
              <w:t>memprioritaskan penggunaan perusahaan asuransi, pialang dan agen asuransi Indonesia sehubungan dengan polis asuransi yang diperoleh sehubungan dengan Proyek; dan</w:t>
            </w:r>
          </w:p>
        </w:tc>
      </w:tr>
      <w:tr w:rsidR="00862B0B" w:rsidRPr="00A67277" w14:paraId="3D222DC5" w14:textId="77777777" w:rsidTr="00862B0B">
        <w:tc>
          <w:tcPr>
            <w:tcW w:w="2270" w:type="pct"/>
          </w:tcPr>
          <w:p w14:paraId="120D9070" w14:textId="77777777" w:rsidR="00862B0B" w:rsidRPr="00A67277" w:rsidRDefault="00862B0B" w:rsidP="00862B0B">
            <w:pPr>
              <w:pStyle w:val="Level1"/>
              <w:spacing w:before="60" w:after="60"/>
              <w:ind w:left="883" w:hanging="5"/>
            </w:pPr>
            <w:r w:rsidRPr="00A67277">
              <w:t>provided, in all cases to the extent permitted by applicable Laws (and without restricting in any way the IBE</w:t>
            </w:r>
            <w:r w:rsidRPr="00A67277">
              <w:rPr>
                <w:rFonts w:eastAsia="Times New Roman"/>
              </w:rPr>
              <w:t>’</w:t>
            </w:r>
            <w:r w:rsidRPr="00A67277">
              <w:t>s and/or GCA</w:t>
            </w:r>
            <w:r w:rsidRPr="00A67277">
              <w:rPr>
                <w:rFonts w:eastAsia="Times New Roman"/>
              </w:rPr>
              <w:t>’</w:t>
            </w:r>
            <w:r w:rsidRPr="00A67277">
              <w:t>s right to seek any exemption from the local content regulations, whenever necessary or desirable to do so), that such equipment, materials, products, personnel, and contractors are at least as reasonably favourable to the IBE when compared with other equipment, materials, products, personnel, and contractors available, taking into account price, terms, quality, reliability and schedule.</w:t>
            </w:r>
          </w:p>
          <w:p w14:paraId="2D6ACE1D" w14:textId="77777777" w:rsidR="00862B0B" w:rsidRPr="00A67277" w:rsidRDefault="00862B0B" w:rsidP="00862B0B">
            <w:pPr>
              <w:spacing w:before="60" w:after="60"/>
              <w:rPr>
                <w:rFonts w:ascii="Arial" w:hAnsi="Arial" w:cs="Arial"/>
                <w:sz w:val="21"/>
                <w:szCs w:val="21"/>
              </w:rPr>
            </w:pPr>
          </w:p>
        </w:tc>
        <w:tc>
          <w:tcPr>
            <w:tcW w:w="169" w:type="pct"/>
          </w:tcPr>
          <w:p w14:paraId="7571F590" w14:textId="77777777" w:rsidR="00862B0B" w:rsidRPr="00A67277" w:rsidRDefault="00862B0B" w:rsidP="00862B0B">
            <w:pPr>
              <w:spacing w:before="60" w:after="60"/>
              <w:rPr>
                <w:rFonts w:ascii="Arial" w:hAnsi="Arial" w:cs="Arial"/>
                <w:sz w:val="21"/>
                <w:szCs w:val="21"/>
              </w:rPr>
            </w:pPr>
          </w:p>
        </w:tc>
        <w:tc>
          <w:tcPr>
            <w:tcW w:w="2561" w:type="pct"/>
            <w:gridSpan w:val="2"/>
          </w:tcPr>
          <w:p w14:paraId="2FE69D02" w14:textId="77777777" w:rsidR="00862B0B" w:rsidRPr="00A67277" w:rsidRDefault="00862B0B" w:rsidP="00862B0B">
            <w:pPr>
              <w:pStyle w:val="Level1"/>
              <w:spacing w:before="60" w:after="60"/>
              <w:ind w:left="1112" w:firstLine="9"/>
              <w:rPr>
                <w:rFonts w:cs="Arial"/>
              </w:rPr>
            </w:pPr>
            <w:r w:rsidRPr="00A67277">
              <w:rPr>
                <w:rFonts w:cs="Arial"/>
              </w:rPr>
              <w:t>dengan ketentuan, dalam semua kasus sejauh diizinkan oleh Hukum yang berlaku (dan tanpa membatasi BUP dan/atau PJPK untuk meminta pengecualian dari peraturan tingkat komponen dalam negeri / kandungan lokal, kapanpun diperlukan atau dikehendaki), bahwa peralatan, material, produk, personil, dan kontraktor tersebut sekurang-kurangnya secara wajar dianggap sama-sama menguntungkan bagi BUP jika dibandingkan dengan peralatan, material, produk, personil, dan kontraktor lainnya, dengan mempertimbangkan harga, persyaratan, kualitas, keandalan dan jadwal.</w:t>
            </w:r>
          </w:p>
        </w:tc>
      </w:tr>
      <w:tr w:rsidR="00862B0B" w:rsidRPr="00A67277" w14:paraId="7DEC4A38" w14:textId="77777777" w:rsidTr="00862B0B">
        <w:tc>
          <w:tcPr>
            <w:tcW w:w="2270" w:type="pct"/>
          </w:tcPr>
          <w:p w14:paraId="6342A273" w14:textId="77777777" w:rsidR="00862B0B" w:rsidRPr="00A67277" w:rsidRDefault="00862B0B" w:rsidP="00862B0B">
            <w:pPr>
              <w:pStyle w:val="Heading2"/>
              <w:numPr>
                <w:ilvl w:val="0"/>
                <w:numId w:val="45"/>
              </w:numPr>
              <w:spacing w:before="60" w:after="60"/>
              <w:ind w:left="973" w:hanging="613"/>
              <w:outlineLvl w:val="1"/>
              <w:rPr>
                <w:color w:val="auto"/>
              </w:rPr>
            </w:pPr>
            <w:r w:rsidRPr="00A67277">
              <w:rPr>
                <w:rFonts w:ascii="Arial" w:hAnsi="Arial" w:cs="Arial"/>
                <w:b/>
                <w:color w:val="auto"/>
                <w:sz w:val="21"/>
                <w:szCs w:val="21"/>
              </w:rPr>
              <w:t>Drawings and Test Results</w:t>
            </w:r>
          </w:p>
        </w:tc>
        <w:tc>
          <w:tcPr>
            <w:tcW w:w="169" w:type="pct"/>
          </w:tcPr>
          <w:p w14:paraId="0E5F0559" w14:textId="77777777" w:rsidR="00862B0B" w:rsidRPr="00A67277" w:rsidRDefault="00862B0B" w:rsidP="00862B0B">
            <w:pPr>
              <w:spacing w:before="60" w:after="60"/>
              <w:rPr>
                <w:rFonts w:ascii="Arial" w:hAnsi="Arial" w:cs="Arial"/>
                <w:sz w:val="21"/>
                <w:szCs w:val="21"/>
              </w:rPr>
            </w:pPr>
          </w:p>
        </w:tc>
        <w:tc>
          <w:tcPr>
            <w:tcW w:w="2561" w:type="pct"/>
            <w:gridSpan w:val="2"/>
          </w:tcPr>
          <w:p w14:paraId="6E5CEC90" w14:textId="77777777" w:rsidR="00862B0B" w:rsidRPr="00A67277" w:rsidRDefault="00862B0B" w:rsidP="00862B0B">
            <w:pPr>
              <w:pStyle w:val="Heading2"/>
              <w:numPr>
                <w:ilvl w:val="0"/>
                <w:numId w:val="12"/>
              </w:numPr>
              <w:spacing w:before="60" w:after="60"/>
              <w:ind w:left="1112" w:hanging="680"/>
              <w:outlineLvl w:val="1"/>
              <w:rPr>
                <w:rFonts w:ascii="Arial" w:hAnsi="Arial" w:cs="Arial"/>
                <w:b/>
                <w:color w:val="auto"/>
                <w:sz w:val="21"/>
                <w:szCs w:val="21"/>
              </w:rPr>
            </w:pPr>
            <w:r w:rsidRPr="00A67277">
              <w:rPr>
                <w:rFonts w:ascii="Arial" w:hAnsi="Arial" w:cs="Arial"/>
                <w:b/>
                <w:color w:val="auto"/>
                <w:sz w:val="21"/>
                <w:szCs w:val="21"/>
              </w:rPr>
              <w:t>Gambar dan Hasil Pengujian</w:t>
            </w:r>
          </w:p>
        </w:tc>
      </w:tr>
      <w:tr w:rsidR="00862B0B" w:rsidRPr="00A67277" w14:paraId="70A10C87" w14:textId="77777777" w:rsidTr="00862B0B">
        <w:tc>
          <w:tcPr>
            <w:tcW w:w="2270" w:type="pct"/>
          </w:tcPr>
          <w:p w14:paraId="6CE83490" w14:textId="77777777" w:rsidR="00862B0B" w:rsidRPr="00A67277" w:rsidRDefault="00862B0B" w:rsidP="00862B0B">
            <w:pPr>
              <w:pStyle w:val="Level1"/>
              <w:spacing w:before="60" w:after="60"/>
              <w:ind w:left="1063" w:hanging="5"/>
            </w:pPr>
            <w:r w:rsidRPr="00A67277">
              <w:t>Throughout the Term, the IBE shall obtain and retain at the Site (or such other place as may be agreed between the Parties from time to time):</w:t>
            </w:r>
          </w:p>
          <w:p w14:paraId="233559A5" w14:textId="77777777" w:rsidR="00862B0B" w:rsidRPr="00A67277" w:rsidRDefault="00862B0B" w:rsidP="00862B0B">
            <w:pPr>
              <w:spacing w:before="60" w:after="60"/>
              <w:jc w:val="center"/>
              <w:rPr>
                <w:rFonts w:ascii="Arial" w:hAnsi="Arial" w:cs="Arial"/>
                <w:sz w:val="21"/>
                <w:szCs w:val="21"/>
              </w:rPr>
            </w:pPr>
          </w:p>
        </w:tc>
        <w:tc>
          <w:tcPr>
            <w:tcW w:w="169" w:type="pct"/>
          </w:tcPr>
          <w:p w14:paraId="50BCE6FB" w14:textId="77777777" w:rsidR="00862B0B" w:rsidRPr="00A67277" w:rsidRDefault="00862B0B" w:rsidP="00862B0B">
            <w:pPr>
              <w:spacing w:before="60" w:after="60"/>
              <w:rPr>
                <w:rFonts w:ascii="Arial" w:hAnsi="Arial" w:cs="Arial"/>
                <w:sz w:val="21"/>
                <w:szCs w:val="21"/>
              </w:rPr>
            </w:pPr>
          </w:p>
        </w:tc>
        <w:tc>
          <w:tcPr>
            <w:tcW w:w="2561" w:type="pct"/>
            <w:gridSpan w:val="2"/>
          </w:tcPr>
          <w:p w14:paraId="79F6156E" w14:textId="77777777" w:rsidR="00862B0B" w:rsidRPr="00A67277" w:rsidRDefault="00862B0B" w:rsidP="00862B0B">
            <w:pPr>
              <w:pStyle w:val="Level2"/>
              <w:spacing w:before="60" w:after="60"/>
              <w:ind w:left="1112" w:firstLine="9"/>
              <w:rPr>
                <w:rFonts w:cs="Arial"/>
              </w:rPr>
            </w:pPr>
            <w:r w:rsidRPr="00A67277">
              <w:rPr>
                <w:rFonts w:cs="Arial"/>
              </w:rPr>
              <w:t>Sepanjang Jangka Waktu, BUP harus memperoleh dan menyimpannya di Lokasi (atau tempat lain yang dapat disepakati antara Para Pihak dari waktu ke waktu):</w:t>
            </w:r>
          </w:p>
        </w:tc>
      </w:tr>
      <w:tr w:rsidR="00862B0B" w:rsidRPr="00A67277" w14:paraId="42F3DA09" w14:textId="77777777" w:rsidTr="00862B0B">
        <w:tc>
          <w:tcPr>
            <w:tcW w:w="2270" w:type="pct"/>
          </w:tcPr>
          <w:p w14:paraId="6D6A82B6" w14:textId="77777777" w:rsidR="00862B0B" w:rsidRPr="00A67277" w:rsidRDefault="00862B0B" w:rsidP="00862B0B">
            <w:pPr>
              <w:pStyle w:val="Level3"/>
              <w:numPr>
                <w:ilvl w:val="2"/>
                <w:numId w:val="497"/>
              </w:numPr>
              <w:tabs>
                <w:tab w:val="clear" w:pos="1417"/>
              </w:tabs>
              <w:spacing w:before="60" w:after="60"/>
              <w:ind w:left="1581" w:hanging="567"/>
              <w:rPr>
                <w:rFonts w:cs="Arial"/>
              </w:rPr>
            </w:pPr>
            <w:r w:rsidRPr="00A67277">
              <w:t>for all items of equipment incorporated into the Project, copies of the specifications and operation manuals and other technical documentation (including electronic files) for such equipment;</w:t>
            </w:r>
          </w:p>
        </w:tc>
        <w:tc>
          <w:tcPr>
            <w:tcW w:w="169" w:type="pct"/>
          </w:tcPr>
          <w:p w14:paraId="2A258112" w14:textId="77777777" w:rsidR="00862B0B" w:rsidRPr="00A67277" w:rsidRDefault="00862B0B" w:rsidP="00862B0B">
            <w:pPr>
              <w:spacing w:before="60" w:after="60"/>
              <w:rPr>
                <w:rFonts w:ascii="Arial" w:hAnsi="Arial" w:cs="Arial"/>
                <w:sz w:val="21"/>
                <w:szCs w:val="21"/>
              </w:rPr>
            </w:pPr>
          </w:p>
        </w:tc>
        <w:tc>
          <w:tcPr>
            <w:tcW w:w="2561" w:type="pct"/>
            <w:gridSpan w:val="2"/>
          </w:tcPr>
          <w:p w14:paraId="7BD55A3D" w14:textId="77777777" w:rsidR="00862B0B" w:rsidRPr="00A67277" w:rsidRDefault="00862B0B" w:rsidP="00862B0B">
            <w:pPr>
              <w:pStyle w:val="Level3"/>
              <w:numPr>
                <w:ilvl w:val="0"/>
                <w:numId w:val="49"/>
              </w:numPr>
              <w:spacing w:before="60" w:after="60"/>
              <w:ind w:left="1646" w:hanging="546"/>
              <w:rPr>
                <w:rFonts w:cs="Arial"/>
              </w:rPr>
            </w:pPr>
            <w:r w:rsidRPr="00A67277">
              <w:rPr>
                <w:rFonts w:cs="Arial"/>
                <w:lang w:val="en-US"/>
              </w:rPr>
              <w:t>semua unit peralatan yang digunakan dalam Proyek, salinan spesifikasi dan panduan pengoperasian dan dokumentasi teknis lainnya (termasuk dokumen elektronik) untuk peralatan tersebut</w:t>
            </w:r>
            <w:r w:rsidRPr="00A67277">
              <w:rPr>
                <w:rFonts w:cs="Arial"/>
              </w:rPr>
              <w:t>;</w:t>
            </w:r>
          </w:p>
        </w:tc>
      </w:tr>
      <w:tr w:rsidR="00862B0B" w:rsidRPr="00A67277" w14:paraId="164E8385" w14:textId="77777777" w:rsidTr="00862B0B">
        <w:tc>
          <w:tcPr>
            <w:tcW w:w="2270" w:type="pct"/>
          </w:tcPr>
          <w:p w14:paraId="2000591F" w14:textId="77777777" w:rsidR="00862B0B" w:rsidRPr="00A67277" w:rsidRDefault="00862B0B" w:rsidP="00862B0B">
            <w:pPr>
              <w:pStyle w:val="Level3"/>
              <w:numPr>
                <w:ilvl w:val="2"/>
                <w:numId w:val="497"/>
              </w:numPr>
              <w:tabs>
                <w:tab w:val="clear" w:pos="1417"/>
                <w:tab w:val="num" w:pos="2683"/>
              </w:tabs>
              <w:spacing w:before="60" w:after="60"/>
              <w:ind w:left="1603" w:hanging="624"/>
            </w:pPr>
            <w:r w:rsidRPr="00A67277">
              <w:t>copies of all test results for tests performed in accordance with the EPC Contract on the Project (including test results for the testing for the Commercial Operation Date), to the extent that such items are normally retained in accordance with Good Industry Practice or are otherwise required to be retained under this Agreement;</w:t>
            </w:r>
          </w:p>
          <w:p w14:paraId="4867C989" w14:textId="77777777" w:rsidR="00862B0B" w:rsidRPr="00A67277" w:rsidRDefault="00862B0B" w:rsidP="00862B0B">
            <w:pPr>
              <w:spacing w:before="60" w:after="60"/>
              <w:rPr>
                <w:rFonts w:ascii="Arial" w:hAnsi="Arial" w:cs="Arial"/>
                <w:sz w:val="21"/>
                <w:szCs w:val="21"/>
              </w:rPr>
            </w:pPr>
          </w:p>
        </w:tc>
        <w:tc>
          <w:tcPr>
            <w:tcW w:w="169" w:type="pct"/>
          </w:tcPr>
          <w:p w14:paraId="50AB6D5A" w14:textId="77777777" w:rsidR="00862B0B" w:rsidRPr="00A67277" w:rsidRDefault="00862B0B" w:rsidP="00862B0B">
            <w:pPr>
              <w:spacing w:before="60" w:after="60"/>
              <w:rPr>
                <w:rFonts w:ascii="Arial" w:hAnsi="Arial" w:cs="Arial"/>
                <w:sz w:val="21"/>
                <w:szCs w:val="21"/>
              </w:rPr>
            </w:pPr>
          </w:p>
        </w:tc>
        <w:tc>
          <w:tcPr>
            <w:tcW w:w="2561" w:type="pct"/>
            <w:gridSpan w:val="2"/>
          </w:tcPr>
          <w:p w14:paraId="5B8EF4B4" w14:textId="77777777" w:rsidR="00862B0B" w:rsidRPr="00A67277" w:rsidRDefault="00862B0B" w:rsidP="00862B0B">
            <w:pPr>
              <w:pStyle w:val="Level3"/>
              <w:numPr>
                <w:ilvl w:val="0"/>
                <w:numId w:val="49"/>
              </w:numPr>
              <w:spacing w:before="60" w:after="60"/>
              <w:ind w:left="1646" w:hanging="546"/>
              <w:rPr>
                <w:rFonts w:cs="Arial"/>
                <w:lang w:val="en-US"/>
              </w:rPr>
            </w:pPr>
            <w:r w:rsidRPr="00A67277">
              <w:rPr>
                <w:rFonts w:cs="Arial"/>
                <w:lang w:val="en-US"/>
              </w:rPr>
              <w:t>salinan dari semua hasil tes untuk pengujian yang dilakukan berdasarkan Kontrak EPC terhadap Proyek (termasuk hasil pengujian untuk Tanggal Operasi Komersial), sepanjang hal-hal tersebut umumnya disimpan sesuai dengan Praktik Industri Yang Baik atau yang disyaratkan untuk disimpan berdasarkan Perjanjian ini;</w:t>
            </w:r>
          </w:p>
        </w:tc>
      </w:tr>
      <w:tr w:rsidR="00862B0B" w:rsidRPr="00A67277" w14:paraId="0A2C8749" w14:textId="77777777" w:rsidTr="00862B0B">
        <w:tc>
          <w:tcPr>
            <w:tcW w:w="2270" w:type="pct"/>
          </w:tcPr>
          <w:p w14:paraId="5D184EE5" w14:textId="77777777" w:rsidR="00862B0B" w:rsidRPr="00A67277" w:rsidRDefault="00862B0B" w:rsidP="00862B0B">
            <w:pPr>
              <w:pStyle w:val="Level3"/>
              <w:numPr>
                <w:ilvl w:val="2"/>
                <w:numId w:val="497"/>
              </w:numPr>
              <w:tabs>
                <w:tab w:val="clear" w:pos="1417"/>
                <w:tab w:val="num" w:pos="2683"/>
              </w:tabs>
              <w:spacing w:before="60" w:after="60"/>
              <w:ind w:left="1603" w:hanging="624"/>
            </w:pPr>
            <w:r w:rsidRPr="00A67277">
              <w:t xml:space="preserve">as-built drawings for the Facility, including the civil and architectural works; and </w:t>
            </w:r>
          </w:p>
          <w:p w14:paraId="08978F45" w14:textId="77777777" w:rsidR="00862B0B" w:rsidRPr="00A67277" w:rsidRDefault="00862B0B" w:rsidP="00862B0B">
            <w:pPr>
              <w:spacing w:before="60" w:after="60"/>
              <w:rPr>
                <w:rFonts w:ascii="Arial" w:hAnsi="Arial" w:cs="Arial"/>
                <w:sz w:val="21"/>
                <w:szCs w:val="21"/>
              </w:rPr>
            </w:pPr>
          </w:p>
        </w:tc>
        <w:tc>
          <w:tcPr>
            <w:tcW w:w="169" w:type="pct"/>
          </w:tcPr>
          <w:p w14:paraId="39600902" w14:textId="77777777" w:rsidR="00862B0B" w:rsidRPr="00A67277" w:rsidRDefault="00862B0B" w:rsidP="00862B0B">
            <w:pPr>
              <w:spacing w:before="60" w:after="60"/>
              <w:rPr>
                <w:rFonts w:ascii="Arial" w:hAnsi="Arial" w:cs="Arial"/>
                <w:sz w:val="21"/>
                <w:szCs w:val="21"/>
              </w:rPr>
            </w:pPr>
          </w:p>
        </w:tc>
        <w:tc>
          <w:tcPr>
            <w:tcW w:w="2561" w:type="pct"/>
            <w:gridSpan w:val="2"/>
          </w:tcPr>
          <w:p w14:paraId="34465B62" w14:textId="77777777" w:rsidR="00862B0B" w:rsidRPr="00A67277" w:rsidRDefault="00862B0B" w:rsidP="00862B0B">
            <w:pPr>
              <w:pStyle w:val="Level3"/>
              <w:numPr>
                <w:ilvl w:val="0"/>
                <w:numId w:val="49"/>
              </w:numPr>
              <w:spacing w:before="60" w:after="60"/>
              <w:ind w:left="1646" w:hanging="546"/>
              <w:rPr>
                <w:rFonts w:cs="Arial"/>
                <w:lang w:val="en-US"/>
              </w:rPr>
            </w:pPr>
            <w:r w:rsidRPr="00A67277">
              <w:rPr>
                <w:rFonts w:cs="Arial"/>
                <w:lang w:val="en-US"/>
              </w:rPr>
              <w:t>gambar-gambar terbangun (</w:t>
            </w:r>
            <w:r w:rsidRPr="00493072">
              <w:rPr>
                <w:rFonts w:cs="Arial"/>
                <w:i/>
                <w:iCs/>
                <w:lang w:val="en-US"/>
              </w:rPr>
              <w:t>as-built drawings</w:t>
            </w:r>
            <w:r w:rsidRPr="00A67277">
              <w:rPr>
                <w:rFonts w:cs="Arial"/>
                <w:lang w:val="en-US"/>
              </w:rPr>
              <w:t xml:space="preserve">) untuk Fasilitas, termasuk pekerjaan sipil dan arsitektur; dan </w:t>
            </w:r>
          </w:p>
        </w:tc>
      </w:tr>
      <w:tr w:rsidR="00862B0B" w:rsidRPr="00A67277" w14:paraId="50D19273" w14:textId="77777777" w:rsidTr="00862B0B">
        <w:tc>
          <w:tcPr>
            <w:tcW w:w="2270" w:type="pct"/>
          </w:tcPr>
          <w:p w14:paraId="694EB656" w14:textId="77777777" w:rsidR="00862B0B" w:rsidRPr="00A67277" w:rsidRDefault="00862B0B" w:rsidP="00862B0B">
            <w:pPr>
              <w:pStyle w:val="Level3"/>
              <w:numPr>
                <w:ilvl w:val="2"/>
                <w:numId w:val="497"/>
              </w:numPr>
              <w:tabs>
                <w:tab w:val="clear" w:pos="1417"/>
                <w:tab w:val="num" w:pos="2683"/>
              </w:tabs>
              <w:spacing w:before="60" w:after="60"/>
              <w:ind w:left="1603" w:hanging="624"/>
            </w:pPr>
            <w:r w:rsidRPr="00A67277">
              <w:t>all detailed technical documents (including electronic files) related to the design, engineering and construction of the Facility, to the extent that such items are normally retained in accordance with Good Industry Practice and the Asset Registers.</w:t>
            </w:r>
          </w:p>
        </w:tc>
        <w:tc>
          <w:tcPr>
            <w:tcW w:w="169" w:type="pct"/>
          </w:tcPr>
          <w:p w14:paraId="0BB5F1A3" w14:textId="77777777" w:rsidR="00862B0B" w:rsidRPr="00A67277" w:rsidRDefault="00862B0B" w:rsidP="00862B0B">
            <w:pPr>
              <w:spacing w:before="60" w:after="60"/>
              <w:rPr>
                <w:rFonts w:ascii="Arial" w:hAnsi="Arial" w:cs="Arial"/>
                <w:sz w:val="21"/>
                <w:szCs w:val="21"/>
              </w:rPr>
            </w:pPr>
          </w:p>
        </w:tc>
        <w:tc>
          <w:tcPr>
            <w:tcW w:w="2561" w:type="pct"/>
            <w:gridSpan w:val="2"/>
          </w:tcPr>
          <w:p w14:paraId="5E03BF5F" w14:textId="525DF230" w:rsidR="00862B0B" w:rsidRPr="00A67277" w:rsidRDefault="00862B0B" w:rsidP="00862B0B">
            <w:pPr>
              <w:pStyle w:val="Level3"/>
              <w:numPr>
                <w:ilvl w:val="0"/>
                <w:numId w:val="49"/>
              </w:numPr>
              <w:spacing w:before="60" w:after="60"/>
              <w:ind w:left="1646" w:hanging="546"/>
              <w:rPr>
                <w:rFonts w:cs="Arial"/>
              </w:rPr>
            </w:pPr>
            <w:r w:rsidRPr="00A67277">
              <w:rPr>
                <w:rFonts w:cs="Arial"/>
                <w:lang w:val="en-US"/>
              </w:rPr>
              <w:t xml:space="preserve">semua dokumen teknis yang rinci (termasuk dokumen elektronik) yang berhubungan dengan desain, rekayasa dan konstruksi Fasilitas, sepanjang barang-barang tersebut umumnya disimpan sesuai dengan Praktik Industri Yang Baik dan </w:t>
            </w:r>
            <w:r>
              <w:rPr>
                <w:rFonts w:cs="Arial"/>
                <w:lang w:val="en-US"/>
              </w:rPr>
              <w:t>Daftar</w:t>
            </w:r>
            <w:r w:rsidRPr="00A67277">
              <w:rPr>
                <w:rFonts w:cs="Arial"/>
                <w:lang w:val="en-US"/>
              </w:rPr>
              <w:t xml:space="preserve"> Aset.</w:t>
            </w:r>
          </w:p>
        </w:tc>
      </w:tr>
      <w:tr w:rsidR="00862B0B" w:rsidRPr="00A67277" w14:paraId="57E56BC9" w14:textId="77777777" w:rsidTr="00862B0B">
        <w:tc>
          <w:tcPr>
            <w:tcW w:w="2270" w:type="pct"/>
          </w:tcPr>
          <w:p w14:paraId="12EC380C" w14:textId="77777777" w:rsidR="00862B0B" w:rsidRPr="00A67277" w:rsidRDefault="00862B0B" w:rsidP="00862B0B">
            <w:pPr>
              <w:pStyle w:val="Heading1"/>
              <w:numPr>
                <w:ilvl w:val="0"/>
                <w:numId w:val="432"/>
              </w:numPr>
              <w:spacing w:before="60" w:after="60"/>
              <w:ind w:left="416" w:hanging="416"/>
            </w:pPr>
            <w:r w:rsidRPr="00A67277">
              <w:t>Indemnity and Liability</w:t>
            </w:r>
          </w:p>
        </w:tc>
        <w:tc>
          <w:tcPr>
            <w:tcW w:w="169" w:type="pct"/>
          </w:tcPr>
          <w:p w14:paraId="0B2ED7EA" w14:textId="77777777" w:rsidR="00862B0B" w:rsidRPr="00A67277" w:rsidRDefault="00862B0B" w:rsidP="00862B0B">
            <w:pPr>
              <w:spacing w:before="60" w:after="60"/>
              <w:rPr>
                <w:rFonts w:ascii="Arial" w:hAnsi="Arial" w:cs="Arial"/>
                <w:sz w:val="21"/>
                <w:szCs w:val="21"/>
              </w:rPr>
            </w:pPr>
          </w:p>
        </w:tc>
        <w:tc>
          <w:tcPr>
            <w:tcW w:w="2561" w:type="pct"/>
            <w:gridSpan w:val="2"/>
          </w:tcPr>
          <w:p w14:paraId="1F1DDE49" w14:textId="77777777" w:rsidR="00862B0B" w:rsidRPr="00A67277" w:rsidRDefault="00862B0B" w:rsidP="00862B0B">
            <w:pPr>
              <w:pStyle w:val="CentredHeading"/>
              <w:numPr>
                <w:ilvl w:val="0"/>
                <w:numId w:val="4"/>
              </w:numPr>
              <w:spacing w:before="60" w:after="60"/>
              <w:ind w:left="466" w:hanging="450"/>
              <w:jc w:val="left"/>
              <w:rPr>
                <w:rFonts w:cs="Arial"/>
              </w:rPr>
            </w:pPr>
            <w:r w:rsidRPr="00A67277">
              <w:rPr>
                <w:rFonts w:cs="Arial"/>
                <w:lang w:val="en-US" w:eastAsia="en-US"/>
              </w:rPr>
              <w:t>Ganti Rugi dan Tanggung Jawab</w:t>
            </w:r>
          </w:p>
        </w:tc>
      </w:tr>
      <w:tr w:rsidR="00862B0B" w:rsidRPr="00A67277" w14:paraId="7806BC4C" w14:textId="77777777" w:rsidTr="00862B0B">
        <w:tc>
          <w:tcPr>
            <w:tcW w:w="2270" w:type="pct"/>
          </w:tcPr>
          <w:p w14:paraId="1764F2FC" w14:textId="77777777" w:rsidR="00862B0B" w:rsidRPr="00A67277" w:rsidRDefault="00862B0B" w:rsidP="00862B0B">
            <w:pPr>
              <w:pStyle w:val="Heading2"/>
              <w:numPr>
                <w:ilvl w:val="0"/>
                <w:numId w:val="50"/>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Indemnity by the IBE</w:t>
            </w:r>
          </w:p>
        </w:tc>
        <w:tc>
          <w:tcPr>
            <w:tcW w:w="169" w:type="pct"/>
          </w:tcPr>
          <w:p w14:paraId="16CA75C8" w14:textId="77777777" w:rsidR="00862B0B" w:rsidRPr="00A67277" w:rsidRDefault="00862B0B" w:rsidP="00862B0B">
            <w:pPr>
              <w:spacing w:before="60" w:after="60"/>
              <w:rPr>
                <w:rFonts w:ascii="Arial" w:hAnsi="Arial" w:cs="Arial"/>
                <w:sz w:val="21"/>
                <w:szCs w:val="21"/>
              </w:rPr>
            </w:pPr>
          </w:p>
        </w:tc>
        <w:tc>
          <w:tcPr>
            <w:tcW w:w="2561" w:type="pct"/>
            <w:gridSpan w:val="2"/>
          </w:tcPr>
          <w:p w14:paraId="70153107" w14:textId="77777777" w:rsidR="00862B0B" w:rsidRPr="00A67277" w:rsidRDefault="00862B0B" w:rsidP="00862B0B">
            <w:pPr>
              <w:pStyle w:val="Heading2"/>
              <w:numPr>
                <w:ilvl w:val="0"/>
                <w:numId w:val="13"/>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Ganti Rugi oleh BUP</w:t>
            </w:r>
          </w:p>
        </w:tc>
      </w:tr>
      <w:tr w:rsidR="00862B0B" w:rsidRPr="00A67277" w14:paraId="26DC56EA" w14:textId="77777777" w:rsidTr="00862B0B">
        <w:tc>
          <w:tcPr>
            <w:tcW w:w="2270" w:type="pct"/>
          </w:tcPr>
          <w:p w14:paraId="35729909" w14:textId="77777777" w:rsidR="00862B0B" w:rsidRPr="00A67277" w:rsidRDefault="00862B0B" w:rsidP="00862B0B">
            <w:pPr>
              <w:pStyle w:val="Level3"/>
              <w:numPr>
                <w:ilvl w:val="2"/>
                <w:numId w:val="498"/>
              </w:numPr>
              <w:tabs>
                <w:tab w:val="clear" w:pos="1417"/>
              </w:tabs>
              <w:spacing w:before="60" w:after="60"/>
              <w:ind w:hanging="403"/>
            </w:pPr>
            <w:r w:rsidRPr="00A67277">
              <w:t>The IBE shall indemnify, defend and hold harmless GCA, from and against all Claims made against or suffered by GCA for any Losses (except for workers</w:t>
            </w:r>
            <w:r w:rsidRPr="00A67277">
              <w:rPr>
                <w:rFonts w:eastAsia="Times New Roman"/>
              </w:rPr>
              <w:t>’</w:t>
            </w:r>
            <w:r w:rsidRPr="00A67277">
              <w:t xml:space="preserve"> compensation claims), resulting from any negligent act or omission of the IBE, any IBE Party or any of its Contractors or their respective employees, directors, or agents that arises out of or is in any manner connected with the performance of this Agreement except to the extent Losses is attributable to the negligence or misconduct of, or breach of this Agreement by, GCA or the failure of GCA to take reasonable steps in mitigation thereof.</w:t>
            </w:r>
          </w:p>
        </w:tc>
        <w:tc>
          <w:tcPr>
            <w:tcW w:w="169" w:type="pct"/>
          </w:tcPr>
          <w:p w14:paraId="0865B7A1" w14:textId="77777777" w:rsidR="00862B0B" w:rsidRPr="00A67277" w:rsidRDefault="00862B0B" w:rsidP="00862B0B">
            <w:pPr>
              <w:spacing w:before="60" w:after="60"/>
              <w:rPr>
                <w:rFonts w:ascii="Arial" w:hAnsi="Arial" w:cs="Arial"/>
                <w:sz w:val="21"/>
                <w:szCs w:val="21"/>
              </w:rPr>
            </w:pPr>
          </w:p>
        </w:tc>
        <w:tc>
          <w:tcPr>
            <w:tcW w:w="2561" w:type="pct"/>
            <w:gridSpan w:val="2"/>
          </w:tcPr>
          <w:p w14:paraId="4142484C" w14:textId="7920F0A1" w:rsidR="00862B0B" w:rsidRPr="00A67277" w:rsidRDefault="00862B0B" w:rsidP="00862B0B">
            <w:pPr>
              <w:pStyle w:val="Level3"/>
              <w:numPr>
                <w:ilvl w:val="0"/>
                <w:numId w:val="51"/>
              </w:numPr>
              <w:spacing w:before="60" w:after="60"/>
              <w:ind w:left="1556" w:hanging="546"/>
              <w:rPr>
                <w:rFonts w:cs="Arial"/>
                <w:lang w:val="en-US"/>
              </w:rPr>
            </w:pPr>
            <w:r w:rsidRPr="00A67277">
              <w:rPr>
                <w:rFonts w:cs="Arial"/>
                <w:lang w:val="en-US"/>
              </w:rPr>
              <w:t>BUP harus mengganti rugi, menja</w:t>
            </w:r>
            <w:r>
              <w:rPr>
                <w:rFonts w:cs="Arial"/>
                <w:lang w:val="en-US"/>
              </w:rPr>
              <w:t>g</w:t>
            </w:r>
            <w:r w:rsidRPr="00A67277">
              <w:rPr>
                <w:rFonts w:cs="Arial"/>
                <w:lang w:val="en-US"/>
              </w:rPr>
              <w:t>a, dan membebaskan PJPK dari dan terhadap semua Klaim yang ditujukan kepada atau diderita oleh PJPK atas setiap K</w:t>
            </w:r>
            <w:r w:rsidRPr="00A67277">
              <w:rPr>
                <w:rFonts w:cs="Arial"/>
                <w:lang w:val="id-ID"/>
              </w:rPr>
              <w:t>erugian</w:t>
            </w:r>
            <w:r w:rsidRPr="00A67277">
              <w:rPr>
                <w:rFonts w:cs="Arial"/>
                <w:lang w:val="en-US"/>
              </w:rPr>
              <w:t xml:space="preserve"> (kecuali klaim kompensasi pekerja), akibat dari tindakan atau kelalaian BUP</w:t>
            </w:r>
            <w:r w:rsidRPr="00A67277">
              <w:rPr>
                <w:rFonts w:cs="Arial"/>
                <w:lang w:val="id-ID"/>
              </w:rPr>
              <w:t xml:space="preserve">, setiap Pihak </w:t>
            </w:r>
            <w:r w:rsidRPr="00A67277">
              <w:rPr>
                <w:rFonts w:cs="Arial"/>
                <w:lang w:val="en-US"/>
              </w:rPr>
              <w:t>BUP</w:t>
            </w:r>
            <w:r w:rsidRPr="00A67277">
              <w:rPr>
                <w:rFonts w:cs="Arial"/>
                <w:lang w:val="id-ID"/>
              </w:rPr>
              <w:t xml:space="preserve"> atau Kontraktor atau karyawan, direksi, atau agen mereka yang timbul dengan cara apapun yang berhubungan dengan pelaksanaan Perjanjian </w:t>
            </w:r>
            <w:r w:rsidRPr="00A67277">
              <w:rPr>
                <w:rFonts w:cs="Arial"/>
                <w:lang w:val="en-US"/>
              </w:rPr>
              <w:t>i</w:t>
            </w:r>
            <w:r w:rsidRPr="00A67277">
              <w:rPr>
                <w:rFonts w:cs="Arial"/>
                <w:lang w:val="id-ID"/>
              </w:rPr>
              <w:t xml:space="preserve">ni kecuali untuk </w:t>
            </w:r>
            <w:r w:rsidRPr="00A67277">
              <w:rPr>
                <w:rFonts w:cs="Arial"/>
              </w:rPr>
              <w:t>Kerugian</w:t>
            </w:r>
            <w:r w:rsidRPr="00A67277">
              <w:rPr>
                <w:rFonts w:cs="Arial"/>
                <w:lang w:val="id-ID"/>
              </w:rPr>
              <w:t xml:space="preserve"> yang disebabkan oleh </w:t>
            </w:r>
            <w:r w:rsidRPr="00A67277">
              <w:rPr>
                <w:rFonts w:cs="Arial"/>
                <w:lang w:val="en-US"/>
              </w:rPr>
              <w:t>kelalaian atau kesalahan atau pelanggaran Perjanjian oleh, PJPK atau kegagalan PJPK untuk mengambil langkah yang wajar untuk mitigasi hal tersebut.</w:t>
            </w:r>
          </w:p>
        </w:tc>
      </w:tr>
      <w:tr w:rsidR="00862B0B" w:rsidRPr="00A67277" w14:paraId="311410F2" w14:textId="77777777" w:rsidTr="00862B0B">
        <w:tc>
          <w:tcPr>
            <w:tcW w:w="2270" w:type="pct"/>
          </w:tcPr>
          <w:p w14:paraId="6DFF1789" w14:textId="73B5E765" w:rsidR="00862B0B" w:rsidRPr="00A67277" w:rsidRDefault="00862B0B" w:rsidP="00862B0B">
            <w:pPr>
              <w:pStyle w:val="Level3"/>
              <w:numPr>
                <w:ilvl w:val="2"/>
                <w:numId w:val="498"/>
              </w:numPr>
              <w:tabs>
                <w:tab w:val="clear" w:pos="1417"/>
                <w:tab w:val="num" w:pos="3043"/>
              </w:tabs>
              <w:spacing w:before="60" w:after="60"/>
              <w:ind w:left="1513" w:hanging="444"/>
            </w:pPr>
            <w:r w:rsidRPr="00A67277">
              <w:t xml:space="preserve">This Clause 19.1 (Indemnity by the IBE) shall not apply to any </w:t>
            </w:r>
            <w:r>
              <w:t xml:space="preserve">Loss </w:t>
            </w:r>
            <w:r w:rsidRPr="00A67277">
              <w:t xml:space="preserve">to the extent that GCA is otherwise compensated pursuant to the terms of this Agreement or any other Project Agreements in respect of such </w:t>
            </w:r>
            <w:r>
              <w:t>Loss</w:t>
            </w:r>
            <w:r w:rsidRPr="00A67277">
              <w:t>.</w:t>
            </w:r>
          </w:p>
        </w:tc>
        <w:tc>
          <w:tcPr>
            <w:tcW w:w="169" w:type="pct"/>
          </w:tcPr>
          <w:p w14:paraId="6E36DC60" w14:textId="77777777" w:rsidR="00862B0B" w:rsidRPr="00A67277" w:rsidRDefault="00862B0B" w:rsidP="00862B0B">
            <w:pPr>
              <w:spacing w:before="60" w:after="60"/>
              <w:rPr>
                <w:rFonts w:ascii="Arial" w:hAnsi="Arial" w:cs="Arial"/>
                <w:sz w:val="21"/>
                <w:szCs w:val="21"/>
              </w:rPr>
            </w:pPr>
          </w:p>
        </w:tc>
        <w:tc>
          <w:tcPr>
            <w:tcW w:w="2561" w:type="pct"/>
            <w:gridSpan w:val="2"/>
          </w:tcPr>
          <w:p w14:paraId="49B14796" w14:textId="57C6414C" w:rsidR="00862B0B" w:rsidRPr="00A67277" w:rsidRDefault="00862B0B" w:rsidP="00862B0B">
            <w:pPr>
              <w:pStyle w:val="Level3"/>
              <w:numPr>
                <w:ilvl w:val="0"/>
                <w:numId w:val="51"/>
              </w:numPr>
              <w:spacing w:before="60" w:after="60"/>
              <w:ind w:left="1556" w:hanging="546"/>
              <w:rPr>
                <w:rFonts w:cs="Arial"/>
              </w:rPr>
            </w:pPr>
            <w:r w:rsidRPr="00A67277">
              <w:rPr>
                <w:rFonts w:cs="Arial"/>
                <w:lang w:val="en-US"/>
              </w:rPr>
              <w:t xml:space="preserve">Pasal 19.1 (Ganti Rugi oleh BUP) ini tidak berlaku untuk setiap </w:t>
            </w:r>
            <w:r>
              <w:rPr>
                <w:rFonts w:cs="Arial"/>
                <w:lang w:val="en-US"/>
              </w:rPr>
              <w:t xml:space="preserve">Kerugian </w:t>
            </w:r>
            <w:r w:rsidRPr="00A67277">
              <w:rPr>
                <w:rFonts w:cs="Arial"/>
                <w:lang w:val="en-US"/>
              </w:rPr>
              <w:t xml:space="preserve">sepanjang yang telah PJPK kompensasikan sesuai dengan persyaratan dalam Perjanjian Proyek atau Perjanjian Proyek lainnya berkenaan dengan </w:t>
            </w:r>
            <w:r>
              <w:rPr>
                <w:rFonts w:cs="Arial"/>
                <w:lang w:val="en-US"/>
              </w:rPr>
              <w:t xml:space="preserve">Kerugian </w:t>
            </w:r>
            <w:r w:rsidRPr="00A67277">
              <w:rPr>
                <w:rFonts w:cs="Arial"/>
                <w:lang w:val="en-US"/>
              </w:rPr>
              <w:t>tersebut.</w:t>
            </w:r>
          </w:p>
        </w:tc>
      </w:tr>
      <w:tr w:rsidR="00862B0B" w:rsidRPr="00A67277" w14:paraId="5EDB8F3E" w14:textId="77777777" w:rsidTr="00862B0B">
        <w:tc>
          <w:tcPr>
            <w:tcW w:w="2270" w:type="pct"/>
          </w:tcPr>
          <w:p w14:paraId="69DAEA61" w14:textId="77777777" w:rsidR="00862B0B" w:rsidRPr="00A67277" w:rsidRDefault="00862B0B" w:rsidP="00862B0B">
            <w:pPr>
              <w:pStyle w:val="Heading2"/>
              <w:numPr>
                <w:ilvl w:val="0"/>
                <w:numId w:val="50"/>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Indemnity by GCA</w:t>
            </w:r>
          </w:p>
        </w:tc>
        <w:tc>
          <w:tcPr>
            <w:tcW w:w="169" w:type="pct"/>
          </w:tcPr>
          <w:p w14:paraId="0E5E7C9C" w14:textId="77777777" w:rsidR="00862B0B" w:rsidRPr="00A67277" w:rsidRDefault="00862B0B" w:rsidP="00862B0B">
            <w:pPr>
              <w:spacing w:before="60" w:after="60"/>
              <w:rPr>
                <w:rFonts w:ascii="Arial" w:hAnsi="Arial" w:cs="Arial"/>
                <w:sz w:val="21"/>
                <w:szCs w:val="21"/>
              </w:rPr>
            </w:pPr>
          </w:p>
        </w:tc>
        <w:tc>
          <w:tcPr>
            <w:tcW w:w="2561" w:type="pct"/>
            <w:gridSpan w:val="2"/>
          </w:tcPr>
          <w:p w14:paraId="59DF1954" w14:textId="77777777" w:rsidR="00862B0B" w:rsidRPr="00A67277" w:rsidRDefault="00862B0B" w:rsidP="00862B0B">
            <w:pPr>
              <w:pStyle w:val="Heading2"/>
              <w:numPr>
                <w:ilvl w:val="0"/>
                <w:numId w:val="13"/>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Ganti Rugi oleh PJPK</w:t>
            </w:r>
          </w:p>
        </w:tc>
      </w:tr>
      <w:tr w:rsidR="00862B0B" w:rsidRPr="00A67277" w14:paraId="7819BDE6" w14:textId="77777777" w:rsidTr="00862B0B">
        <w:tc>
          <w:tcPr>
            <w:tcW w:w="2270" w:type="pct"/>
          </w:tcPr>
          <w:p w14:paraId="281334A9" w14:textId="6BC3DCB2" w:rsidR="00862B0B" w:rsidRPr="00A67277" w:rsidRDefault="00862B0B" w:rsidP="00862B0B">
            <w:pPr>
              <w:pStyle w:val="Level3"/>
              <w:numPr>
                <w:ilvl w:val="2"/>
                <w:numId w:val="499"/>
              </w:numPr>
              <w:tabs>
                <w:tab w:val="clear" w:pos="1417"/>
              </w:tabs>
              <w:spacing w:before="60" w:after="60"/>
              <w:ind w:left="1723" w:hanging="567"/>
            </w:pPr>
            <w:r w:rsidRPr="00A67277">
              <w:t>GCA shall indemnify, defend and hold harmless the IBE, from and against all Claims made against or suffered by the IBE for any Losses or death or injury to persons (except for workers</w:t>
            </w:r>
            <w:r w:rsidRPr="00A67277">
              <w:rPr>
                <w:rFonts w:eastAsia="Times New Roman"/>
              </w:rPr>
              <w:t>’</w:t>
            </w:r>
            <w:r w:rsidRPr="00A67277">
              <w:t xml:space="preserve"> compensation claims), resulting from any negligent act or omission of GCA that arises out of or is in any manner connected with the performance of this Agreement except to the extent such </w:t>
            </w:r>
            <w:r>
              <w:t>Loss</w:t>
            </w:r>
            <w:r w:rsidRPr="00A67277">
              <w:t xml:space="preserve">, injury or death is attributable to the negligence or misconduct of, or breach of this Agreement by, the IBE or any </w:t>
            </w:r>
            <w:r w:rsidRPr="00A67277">
              <w:rPr>
                <w:rFonts w:eastAsia="Times New Roman"/>
              </w:rPr>
              <w:t>of</w:t>
            </w:r>
            <w:r w:rsidRPr="00A67277">
              <w:t xml:space="preserve"> the IBE Parties or the failure of the IBE or any </w:t>
            </w:r>
            <w:r w:rsidRPr="00A67277">
              <w:rPr>
                <w:rFonts w:eastAsia="Times New Roman"/>
              </w:rPr>
              <w:t>of</w:t>
            </w:r>
            <w:r w:rsidRPr="00A67277">
              <w:t xml:space="preserve"> the IBE Parties to take reasonable steps in mitigation thereof.</w:t>
            </w:r>
          </w:p>
          <w:p w14:paraId="03D809E5" w14:textId="77777777" w:rsidR="00862B0B" w:rsidRPr="00A67277" w:rsidRDefault="00862B0B" w:rsidP="00862B0B">
            <w:pPr>
              <w:spacing w:before="60" w:after="60"/>
              <w:rPr>
                <w:rFonts w:ascii="Arial" w:hAnsi="Arial" w:cs="Arial"/>
                <w:sz w:val="21"/>
                <w:szCs w:val="21"/>
              </w:rPr>
            </w:pPr>
          </w:p>
        </w:tc>
        <w:tc>
          <w:tcPr>
            <w:tcW w:w="169" w:type="pct"/>
          </w:tcPr>
          <w:p w14:paraId="12004925" w14:textId="77777777" w:rsidR="00862B0B" w:rsidRPr="00A67277" w:rsidRDefault="00862B0B" w:rsidP="00862B0B">
            <w:pPr>
              <w:spacing w:before="60" w:after="60"/>
              <w:rPr>
                <w:rFonts w:ascii="Arial" w:hAnsi="Arial" w:cs="Arial"/>
                <w:sz w:val="21"/>
                <w:szCs w:val="21"/>
              </w:rPr>
            </w:pPr>
          </w:p>
        </w:tc>
        <w:tc>
          <w:tcPr>
            <w:tcW w:w="2561" w:type="pct"/>
            <w:gridSpan w:val="2"/>
          </w:tcPr>
          <w:p w14:paraId="3002D7B3" w14:textId="53F67B92" w:rsidR="00862B0B" w:rsidRPr="00A67277" w:rsidRDefault="00862B0B" w:rsidP="00862B0B">
            <w:pPr>
              <w:pStyle w:val="Level3"/>
              <w:numPr>
                <w:ilvl w:val="0"/>
                <w:numId w:val="52"/>
              </w:numPr>
              <w:spacing w:before="60" w:after="60"/>
              <w:ind w:left="1550" w:hanging="462"/>
              <w:rPr>
                <w:rFonts w:cs="Arial"/>
                <w:lang w:val="en-US"/>
              </w:rPr>
            </w:pPr>
            <w:r w:rsidRPr="00A67277">
              <w:rPr>
                <w:rFonts w:cs="Arial"/>
              </w:rPr>
              <w:t>PJPK</w:t>
            </w:r>
            <w:r w:rsidRPr="00A67277">
              <w:rPr>
                <w:rFonts w:cs="Arial"/>
                <w:lang w:val="en-US"/>
              </w:rPr>
              <w:t xml:space="preserve"> harus mengganti rugi, menjaga, dan membebaskan </w:t>
            </w:r>
            <w:r w:rsidRPr="00A67277">
              <w:rPr>
                <w:rFonts w:cs="Arial"/>
              </w:rPr>
              <w:t>BUP</w:t>
            </w:r>
            <w:r w:rsidRPr="00A67277">
              <w:rPr>
                <w:rFonts w:cs="Arial"/>
                <w:lang w:val="en-US"/>
              </w:rPr>
              <w:t xml:space="preserve"> dari dan terhadap semua Klaim yang ditujukan kepada atau diderita oleh </w:t>
            </w:r>
            <w:r w:rsidRPr="00A67277">
              <w:rPr>
                <w:rFonts w:cs="Arial"/>
              </w:rPr>
              <w:t>BUP</w:t>
            </w:r>
            <w:r w:rsidRPr="00A67277">
              <w:rPr>
                <w:rFonts w:cs="Arial"/>
                <w:lang w:val="en-US"/>
              </w:rPr>
              <w:t xml:space="preserve"> atas setiap K</w:t>
            </w:r>
            <w:r w:rsidRPr="00A67277">
              <w:rPr>
                <w:rFonts w:cs="Arial"/>
                <w:lang w:val="id-ID"/>
              </w:rPr>
              <w:t>erugian</w:t>
            </w:r>
            <w:r w:rsidRPr="00A67277">
              <w:rPr>
                <w:rFonts w:cs="Arial"/>
                <w:lang w:val="en-US"/>
              </w:rPr>
              <w:t xml:space="preserve"> atau kematian atau cidera pada orang (kecuali klaim kompensasi pekerja), akibat dari tindakan atau kelalaian </w:t>
            </w:r>
            <w:r w:rsidRPr="00A67277">
              <w:rPr>
                <w:rFonts w:cs="Arial"/>
              </w:rPr>
              <w:t>PJPK</w:t>
            </w:r>
            <w:r w:rsidRPr="00A67277">
              <w:rPr>
                <w:rFonts w:cs="Arial"/>
                <w:lang w:val="id-ID"/>
              </w:rPr>
              <w:t xml:space="preserve">, yang timbul dengan cara apapun yang berhubungan dengan pelaksanaan Perjanjian </w:t>
            </w:r>
            <w:r w:rsidRPr="00A67277">
              <w:rPr>
                <w:rFonts w:cs="Arial"/>
                <w:lang w:val="en-US"/>
              </w:rPr>
              <w:t>i</w:t>
            </w:r>
            <w:r w:rsidRPr="00A67277">
              <w:rPr>
                <w:rFonts w:cs="Arial"/>
                <w:lang w:val="id-ID"/>
              </w:rPr>
              <w:t xml:space="preserve">ni kecuali untuk </w:t>
            </w:r>
            <w:r>
              <w:rPr>
                <w:rFonts w:cs="Arial"/>
                <w:lang w:val="en-US"/>
              </w:rPr>
              <w:t>Kerugian</w:t>
            </w:r>
            <w:r w:rsidRPr="00A67277">
              <w:rPr>
                <w:rFonts w:cs="Arial"/>
                <w:lang w:val="id-ID"/>
              </w:rPr>
              <w:t>, c</w:t>
            </w:r>
            <w:r w:rsidRPr="00A67277">
              <w:rPr>
                <w:rFonts w:cs="Arial"/>
                <w:lang w:val="en-US"/>
              </w:rPr>
              <w:t>i</w:t>
            </w:r>
            <w:r w:rsidRPr="00A67277">
              <w:rPr>
                <w:rFonts w:cs="Arial"/>
                <w:lang w:val="id-ID"/>
              </w:rPr>
              <w:t>dera atau kematian yang disebabkan oleh</w:t>
            </w:r>
            <w:r w:rsidRPr="00A67277">
              <w:rPr>
                <w:rFonts w:cs="Arial"/>
                <w:lang w:val="en-US"/>
              </w:rPr>
              <w:t xml:space="preserve"> kelalaian atau kesalahan atau pelanggaran Perjanjian oleh, BUP atau setiap Pihak BUP atau kegagalan BUP atau setiap Pihak BUP untuk mengambil langkah yang wajar untuk mitigasi hal tersebut.</w:t>
            </w:r>
          </w:p>
        </w:tc>
      </w:tr>
      <w:tr w:rsidR="00862B0B" w:rsidRPr="00A67277" w14:paraId="1910932D" w14:textId="77777777" w:rsidTr="00862B0B">
        <w:tc>
          <w:tcPr>
            <w:tcW w:w="2270" w:type="pct"/>
          </w:tcPr>
          <w:p w14:paraId="0E971286" w14:textId="4764BDEE" w:rsidR="00862B0B" w:rsidRPr="00A67277" w:rsidRDefault="00862B0B" w:rsidP="00862B0B">
            <w:pPr>
              <w:pStyle w:val="Level3"/>
              <w:numPr>
                <w:ilvl w:val="2"/>
                <w:numId w:val="499"/>
              </w:numPr>
              <w:tabs>
                <w:tab w:val="clear" w:pos="1417"/>
              </w:tabs>
              <w:spacing w:before="60" w:after="60"/>
              <w:ind w:left="1766" w:hanging="461"/>
            </w:pPr>
            <w:r w:rsidRPr="00A67277">
              <w:t xml:space="preserve">This Clause 19.2 (Indemnity by GCA) shall not apply to any </w:t>
            </w:r>
            <w:r>
              <w:t xml:space="preserve">Loss </w:t>
            </w:r>
            <w:r w:rsidRPr="00A67277">
              <w:t xml:space="preserve">to the extent that, the IBE is otherwise compensated pursuant to the terms of this Agreement or any other Project Agreements in respect of such </w:t>
            </w:r>
            <w:r>
              <w:t>Loss</w:t>
            </w:r>
            <w:r w:rsidRPr="00A67277">
              <w:t>.</w:t>
            </w:r>
          </w:p>
          <w:p w14:paraId="54AE5CCB" w14:textId="77777777" w:rsidR="00862B0B" w:rsidRPr="00A67277" w:rsidRDefault="00862B0B" w:rsidP="00862B0B">
            <w:pPr>
              <w:spacing w:before="60" w:after="60"/>
              <w:rPr>
                <w:rFonts w:ascii="Arial" w:hAnsi="Arial" w:cs="Arial"/>
                <w:sz w:val="21"/>
                <w:szCs w:val="21"/>
              </w:rPr>
            </w:pPr>
          </w:p>
        </w:tc>
        <w:tc>
          <w:tcPr>
            <w:tcW w:w="169" w:type="pct"/>
          </w:tcPr>
          <w:p w14:paraId="402AC7D7" w14:textId="77777777" w:rsidR="00862B0B" w:rsidRPr="00A67277" w:rsidRDefault="00862B0B" w:rsidP="00862B0B">
            <w:pPr>
              <w:spacing w:before="60" w:after="60"/>
              <w:rPr>
                <w:rFonts w:ascii="Arial" w:hAnsi="Arial" w:cs="Arial"/>
                <w:sz w:val="21"/>
                <w:szCs w:val="21"/>
              </w:rPr>
            </w:pPr>
          </w:p>
        </w:tc>
        <w:tc>
          <w:tcPr>
            <w:tcW w:w="2561" w:type="pct"/>
            <w:gridSpan w:val="2"/>
          </w:tcPr>
          <w:p w14:paraId="444152C1" w14:textId="1F3F7CAA" w:rsidR="00862B0B" w:rsidRPr="00A67277" w:rsidRDefault="00862B0B" w:rsidP="00862B0B">
            <w:pPr>
              <w:pStyle w:val="Level3"/>
              <w:numPr>
                <w:ilvl w:val="0"/>
                <w:numId w:val="52"/>
              </w:numPr>
              <w:spacing w:before="60" w:after="60"/>
              <w:ind w:left="1550" w:hanging="462"/>
              <w:rPr>
                <w:rFonts w:cs="Arial"/>
              </w:rPr>
            </w:pPr>
            <w:r w:rsidRPr="00A67277">
              <w:rPr>
                <w:rFonts w:cs="Arial"/>
              </w:rPr>
              <w:t xml:space="preserve">Pasal 19.2 (Ganti Rugi oleh PJPK) ini tidak berlaku untuk setiap </w:t>
            </w:r>
            <w:r>
              <w:rPr>
                <w:rFonts w:cs="Arial"/>
              </w:rPr>
              <w:t xml:space="preserve">Kerugian </w:t>
            </w:r>
            <w:r w:rsidRPr="00A67277">
              <w:rPr>
                <w:rFonts w:cs="Arial"/>
              </w:rPr>
              <w:t xml:space="preserve">sepanjang yang telah BUP kompensasikan sesuai dengan persyaratan dalam Perjanjian Proyek atau Perjanjian Proyek lainnya berkenaan dengan </w:t>
            </w:r>
            <w:r>
              <w:rPr>
                <w:rFonts w:cs="Arial"/>
              </w:rPr>
              <w:t xml:space="preserve">Kerugian </w:t>
            </w:r>
            <w:r w:rsidRPr="00A67277">
              <w:rPr>
                <w:rFonts w:cs="Arial"/>
              </w:rPr>
              <w:t>tersebut.</w:t>
            </w:r>
          </w:p>
        </w:tc>
      </w:tr>
      <w:tr w:rsidR="00862B0B" w:rsidRPr="00A67277" w14:paraId="36492DD8" w14:textId="77777777" w:rsidTr="00862B0B">
        <w:tc>
          <w:tcPr>
            <w:tcW w:w="2270" w:type="pct"/>
          </w:tcPr>
          <w:p w14:paraId="2BEAEFC1" w14:textId="77777777" w:rsidR="00862B0B" w:rsidRPr="00A67277" w:rsidRDefault="00862B0B" w:rsidP="00862B0B">
            <w:pPr>
              <w:pStyle w:val="Heading2"/>
              <w:numPr>
                <w:ilvl w:val="0"/>
                <w:numId w:val="50"/>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Notice of Proceedings</w:t>
            </w:r>
          </w:p>
        </w:tc>
        <w:tc>
          <w:tcPr>
            <w:tcW w:w="169" w:type="pct"/>
          </w:tcPr>
          <w:p w14:paraId="6EFC80BF" w14:textId="77777777" w:rsidR="00862B0B" w:rsidRPr="00A67277" w:rsidRDefault="00862B0B" w:rsidP="00862B0B">
            <w:pPr>
              <w:spacing w:before="60" w:after="60"/>
              <w:rPr>
                <w:rFonts w:ascii="Arial" w:hAnsi="Arial" w:cs="Arial"/>
                <w:sz w:val="21"/>
                <w:szCs w:val="21"/>
              </w:rPr>
            </w:pPr>
          </w:p>
        </w:tc>
        <w:tc>
          <w:tcPr>
            <w:tcW w:w="2561" w:type="pct"/>
            <w:gridSpan w:val="2"/>
          </w:tcPr>
          <w:p w14:paraId="67E42415" w14:textId="77777777" w:rsidR="00862B0B" w:rsidRPr="00A67277" w:rsidRDefault="00862B0B" w:rsidP="00862B0B">
            <w:pPr>
              <w:pStyle w:val="Heading2"/>
              <w:numPr>
                <w:ilvl w:val="0"/>
                <w:numId w:val="13"/>
              </w:numPr>
              <w:spacing w:before="60" w:after="60"/>
              <w:ind w:left="1022" w:hanging="590"/>
              <w:jc w:val="both"/>
              <w:outlineLvl w:val="1"/>
              <w:rPr>
                <w:rFonts w:ascii="Arial" w:hAnsi="Arial" w:cs="Arial"/>
                <w:b/>
                <w:color w:val="auto"/>
                <w:sz w:val="21"/>
                <w:szCs w:val="21"/>
              </w:rPr>
            </w:pPr>
            <w:r w:rsidRPr="00A67277">
              <w:rPr>
                <w:rFonts w:ascii="Arial" w:hAnsi="Arial" w:cs="Arial"/>
                <w:b/>
                <w:color w:val="auto"/>
                <w:sz w:val="21"/>
                <w:szCs w:val="21"/>
              </w:rPr>
              <w:t>Pemberitahuan Proses / Persidangan</w:t>
            </w:r>
          </w:p>
        </w:tc>
      </w:tr>
      <w:tr w:rsidR="00862B0B" w:rsidRPr="00A67277" w14:paraId="60FA9D8D" w14:textId="77777777" w:rsidTr="00862B0B">
        <w:tc>
          <w:tcPr>
            <w:tcW w:w="2270" w:type="pct"/>
          </w:tcPr>
          <w:p w14:paraId="307086BF" w14:textId="77777777" w:rsidR="00862B0B" w:rsidRPr="00A67277" w:rsidRDefault="00862B0B" w:rsidP="00862B0B">
            <w:pPr>
              <w:pStyle w:val="Level1"/>
              <w:spacing w:before="60" w:after="60"/>
              <w:ind w:left="1046" w:firstLine="12"/>
            </w:pPr>
            <w:r w:rsidRPr="00A67277">
              <w:t>Each Party shall promptly notify the other Party of any Claim in respect of which it is entitled to be indemnified under this Clause 19.3 (</w:t>
            </w:r>
            <w:r w:rsidRPr="00A67277">
              <w:rPr>
                <w:rFonts w:eastAsia="Times New Roman"/>
                <w:i/>
              </w:rPr>
              <w:t>Notice of Proceedings</w:t>
            </w:r>
            <w:r w:rsidRPr="00A67277">
              <w:t>). Such notice shall be given as soon as reasonably practicable after the relevant Party becomes aware of such Claim.</w:t>
            </w:r>
          </w:p>
        </w:tc>
        <w:tc>
          <w:tcPr>
            <w:tcW w:w="169" w:type="pct"/>
          </w:tcPr>
          <w:p w14:paraId="67EE079B" w14:textId="77777777" w:rsidR="00862B0B" w:rsidRPr="00A67277" w:rsidRDefault="00862B0B" w:rsidP="00862B0B">
            <w:pPr>
              <w:spacing w:before="60" w:after="60"/>
              <w:rPr>
                <w:rFonts w:ascii="Arial" w:hAnsi="Arial" w:cs="Arial"/>
                <w:sz w:val="21"/>
                <w:szCs w:val="21"/>
              </w:rPr>
            </w:pPr>
          </w:p>
        </w:tc>
        <w:tc>
          <w:tcPr>
            <w:tcW w:w="2561" w:type="pct"/>
            <w:gridSpan w:val="2"/>
          </w:tcPr>
          <w:p w14:paraId="31A6A452" w14:textId="77777777" w:rsidR="00862B0B" w:rsidRPr="00A67277" w:rsidRDefault="00862B0B" w:rsidP="00862B0B">
            <w:pPr>
              <w:pStyle w:val="Level1"/>
              <w:spacing w:before="60" w:after="60"/>
              <w:ind w:left="1022" w:firstLine="9"/>
              <w:rPr>
                <w:rFonts w:cs="Arial"/>
              </w:rPr>
            </w:pPr>
            <w:r w:rsidRPr="00A67277">
              <w:rPr>
                <w:rFonts w:cs="Arial"/>
              </w:rPr>
              <w:t>Setiap Pihak harus segera memberitahukan Pihak lainnya dari setiap Klaim sehubungan dari pihak yang berhak untuk mendapatkan ganti rugi berdasarkan Pasal 19.3 (</w:t>
            </w:r>
            <w:r w:rsidRPr="00A67277">
              <w:rPr>
                <w:rFonts w:cs="Arial"/>
                <w:i/>
              </w:rPr>
              <w:t>Pemberitahuan Proses / Persidangan</w:t>
            </w:r>
            <w:r w:rsidRPr="00A67277">
              <w:rPr>
                <w:rFonts w:cs="Arial"/>
              </w:rPr>
              <w:t>) ini. Pemberitahuan tersebut harus diberikan sesegera mungkin setelah Pihak yang bersangkutan mengetahui adanya Klaim tersebut.</w:t>
            </w:r>
          </w:p>
        </w:tc>
      </w:tr>
      <w:tr w:rsidR="00862B0B" w:rsidRPr="00A67277" w14:paraId="06E13BBC" w14:textId="77777777" w:rsidTr="00862B0B">
        <w:tc>
          <w:tcPr>
            <w:tcW w:w="2270" w:type="pct"/>
          </w:tcPr>
          <w:p w14:paraId="097B1A2B" w14:textId="77777777" w:rsidR="00862B0B" w:rsidRPr="00A67277" w:rsidRDefault="00862B0B" w:rsidP="00862B0B">
            <w:pPr>
              <w:pStyle w:val="Heading2"/>
              <w:numPr>
                <w:ilvl w:val="0"/>
                <w:numId w:val="50"/>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Conduct of Proceedings</w:t>
            </w:r>
          </w:p>
        </w:tc>
        <w:tc>
          <w:tcPr>
            <w:tcW w:w="169" w:type="pct"/>
          </w:tcPr>
          <w:p w14:paraId="52A7A555" w14:textId="77777777" w:rsidR="00862B0B" w:rsidRPr="00A67277" w:rsidRDefault="00862B0B" w:rsidP="00862B0B">
            <w:pPr>
              <w:spacing w:before="60" w:after="60"/>
              <w:rPr>
                <w:rFonts w:ascii="Arial" w:hAnsi="Arial" w:cs="Arial"/>
                <w:sz w:val="21"/>
                <w:szCs w:val="21"/>
              </w:rPr>
            </w:pPr>
          </w:p>
        </w:tc>
        <w:tc>
          <w:tcPr>
            <w:tcW w:w="2561" w:type="pct"/>
            <w:gridSpan w:val="2"/>
          </w:tcPr>
          <w:p w14:paraId="047E9330" w14:textId="77777777" w:rsidR="00862B0B" w:rsidRPr="00A67277" w:rsidRDefault="00862B0B" w:rsidP="00862B0B">
            <w:pPr>
              <w:pStyle w:val="Heading2"/>
              <w:numPr>
                <w:ilvl w:val="0"/>
                <w:numId w:val="13"/>
              </w:numPr>
              <w:spacing w:before="60" w:after="60"/>
              <w:ind w:left="1022" w:hanging="590"/>
              <w:jc w:val="both"/>
              <w:outlineLvl w:val="1"/>
              <w:rPr>
                <w:rFonts w:ascii="Arial" w:hAnsi="Arial" w:cs="Arial"/>
                <w:b/>
                <w:color w:val="auto"/>
                <w:sz w:val="21"/>
                <w:szCs w:val="21"/>
              </w:rPr>
            </w:pPr>
            <w:r w:rsidRPr="00A67277">
              <w:rPr>
                <w:rFonts w:ascii="Arial" w:hAnsi="Arial" w:cs="Arial"/>
                <w:b/>
                <w:color w:val="auto"/>
                <w:sz w:val="21"/>
                <w:szCs w:val="21"/>
              </w:rPr>
              <w:t>Pelaksanaan Proses / Persidangan</w:t>
            </w:r>
          </w:p>
        </w:tc>
      </w:tr>
      <w:tr w:rsidR="00862B0B" w:rsidRPr="00A67277" w14:paraId="1C72A0D9" w14:textId="77777777" w:rsidTr="00862B0B">
        <w:tc>
          <w:tcPr>
            <w:tcW w:w="2270" w:type="pct"/>
          </w:tcPr>
          <w:p w14:paraId="09BD3D9E" w14:textId="77777777" w:rsidR="00862B0B" w:rsidRPr="00A67277" w:rsidRDefault="00862B0B" w:rsidP="00862B0B">
            <w:pPr>
              <w:pStyle w:val="Level3"/>
              <w:numPr>
                <w:ilvl w:val="2"/>
                <w:numId w:val="500"/>
              </w:numPr>
              <w:tabs>
                <w:tab w:val="clear" w:pos="1417"/>
              </w:tabs>
              <w:spacing w:before="60" w:after="60"/>
              <w:ind w:hanging="403"/>
            </w:pPr>
            <w:r w:rsidRPr="00A67277">
              <w:t>Each Party shall have the right, but not the obligation, to contest, defend and litigate (and to retain legal advisers of its choice in connection therewith) any Claim by any third party alleged or asserted against it arising out of any matter in respect of which it is entitled to be indemnified hereunder, and the reasonable costs and expenses thereof shall be subject to the said indemnity; provided that, the indemnifying Party shall be entitled, at its option, to assume and control the defence of such Claim at its expense and through legal advisers of its choice if it:</w:t>
            </w:r>
          </w:p>
          <w:p w14:paraId="3BF19138" w14:textId="77777777" w:rsidR="00862B0B" w:rsidRPr="00A67277" w:rsidRDefault="00862B0B" w:rsidP="00862B0B">
            <w:pPr>
              <w:spacing w:before="60" w:after="60"/>
              <w:rPr>
                <w:rFonts w:ascii="Arial" w:hAnsi="Arial" w:cs="Arial"/>
                <w:sz w:val="21"/>
                <w:szCs w:val="21"/>
              </w:rPr>
            </w:pPr>
          </w:p>
        </w:tc>
        <w:tc>
          <w:tcPr>
            <w:tcW w:w="169" w:type="pct"/>
          </w:tcPr>
          <w:p w14:paraId="3D5CDB60" w14:textId="77777777" w:rsidR="00862B0B" w:rsidRPr="00A67277" w:rsidRDefault="00862B0B" w:rsidP="00862B0B">
            <w:pPr>
              <w:spacing w:before="60" w:after="60"/>
              <w:rPr>
                <w:rFonts w:ascii="Arial" w:hAnsi="Arial" w:cs="Arial"/>
                <w:sz w:val="21"/>
                <w:szCs w:val="21"/>
              </w:rPr>
            </w:pPr>
          </w:p>
        </w:tc>
        <w:tc>
          <w:tcPr>
            <w:tcW w:w="2561" w:type="pct"/>
            <w:gridSpan w:val="2"/>
          </w:tcPr>
          <w:p w14:paraId="2E58B709" w14:textId="11C0D989" w:rsidR="00862B0B" w:rsidRPr="00A67277" w:rsidRDefault="00862B0B" w:rsidP="00862B0B">
            <w:pPr>
              <w:pStyle w:val="Level3"/>
              <w:numPr>
                <w:ilvl w:val="0"/>
                <w:numId w:val="55"/>
              </w:numPr>
              <w:tabs>
                <w:tab w:val="left" w:pos="3170"/>
              </w:tabs>
              <w:spacing w:before="60" w:after="60"/>
              <w:ind w:left="1640" w:hanging="642"/>
              <w:rPr>
                <w:rFonts w:cs="Arial"/>
                <w:lang w:val="en-US"/>
              </w:rPr>
            </w:pPr>
            <w:r w:rsidRPr="00A67277">
              <w:rPr>
                <w:rFonts w:cs="Arial"/>
                <w:lang w:val="id-ID"/>
              </w:rPr>
              <w:t xml:space="preserve">Setiap Pihak </w:t>
            </w:r>
            <w:r w:rsidRPr="00A67277">
              <w:rPr>
                <w:rFonts w:cs="Arial"/>
                <w:lang w:val="en-US"/>
              </w:rPr>
              <w:t>memiliki hak</w:t>
            </w:r>
            <w:r w:rsidRPr="00A67277">
              <w:rPr>
                <w:rFonts w:cs="Arial"/>
                <w:lang w:val="id-ID"/>
              </w:rPr>
              <w:t xml:space="preserve">, namun bukan kewajiban, untuk </w:t>
            </w:r>
            <w:r w:rsidRPr="00A67277">
              <w:rPr>
                <w:rFonts w:cs="Arial"/>
                <w:lang w:val="en-US"/>
              </w:rPr>
              <w:t>menyanggah</w:t>
            </w:r>
            <w:r w:rsidRPr="00A67277">
              <w:rPr>
                <w:rFonts w:cs="Arial"/>
                <w:lang w:val="id-ID"/>
              </w:rPr>
              <w:t xml:space="preserve">, </w:t>
            </w:r>
            <w:r w:rsidRPr="00A67277">
              <w:rPr>
                <w:rFonts w:cs="Arial"/>
                <w:lang w:val="en-US"/>
              </w:rPr>
              <w:t xml:space="preserve">membela </w:t>
            </w:r>
            <w:r w:rsidRPr="00A67277">
              <w:rPr>
                <w:rFonts w:cs="Arial"/>
                <w:lang w:val="id-ID"/>
              </w:rPr>
              <w:t xml:space="preserve">dan </w:t>
            </w:r>
            <w:r w:rsidRPr="00A67277">
              <w:rPr>
                <w:rFonts w:cs="Arial"/>
                <w:lang w:val="en-US"/>
              </w:rPr>
              <w:t xml:space="preserve">menggugat </w:t>
            </w:r>
            <w:r w:rsidRPr="00A67277">
              <w:rPr>
                <w:rFonts w:cs="Arial"/>
                <w:lang w:val="id-ID"/>
              </w:rPr>
              <w:t xml:space="preserve">secara hukum (dan untuk </w:t>
            </w:r>
            <w:r>
              <w:rPr>
                <w:rFonts w:cs="Arial"/>
                <w:lang w:val="en-US"/>
              </w:rPr>
              <w:t>menunjuk</w:t>
            </w:r>
            <w:r w:rsidRPr="00A67277">
              <w:rPr>
                <w:rFonts w:cs="Arial"/>
                <w:lang w:val="id-ID"/>
              </w:rPr>
              <w:t xml:space="preserve"> penasihat hukum </w:t>
            </w:r>
            <w:r w:rsidRPr="00A67277">
              <w:rPr>
                <w:rFonts w:cs="Arial"/>
                <w:lang w:val="en-US"/>
              </w:rPr>
              <w:t>yang di</w:t>
            </w:r>
            <w:r w:rsidRPr="00A67277">
              <w:rPr>
                <w:rFonts w:cs="Arial"/>
                <w:lang w:val="id-ID"/>
              </w:rPr>
              <w:t>pilih</w:t>
            </w:r>
            <w:r w:rsidRPr="00A67277">
              <w:rPr>
                <w:rFonts w:cs="Arial"/>
                <w:lang w:val="en-US"/>
              </w:rPr>
              <w:t>nya</w:t>
            </w:r>
            <w:r w:rsidRPr="00A67277">
              <w:rPr>
                <w:rFonts w:cs="Arial"/>
                <w:lang w:val="id-ID"/>
              </w:rPr>
              <w:t xml:space="preserve"> yang berhubungan </w:t>
            </w:r>
            <w:r w:rsidRPr="00A67277">
              <w:rPr>
                <w:rFonts w:cs="Arial"/>
                <w:lang w:val="en-US"/>
              </w:rPr>
              <w:t>sanggahan, pembelaan dan gugatan</w:t>
            </w:r>
            <w:r w:rsidRPr="00A67277">
              <w:rPr>
                <w:rFonts w:cs="Arial"/>
                <w:lang w:val="id-ID"/>
              </w:rPr>
              <w:t xml:space="preserve">) </w:t>
            </w:r>
            <w:r w:rsidRPr="00A67277">
              <w:rPr>
                <w:rFonts w:cs="Arial"/>
                <w:lang w:val="en-US"/>
              </w:rPr>
              <w:t xml:space="preserve">atas </w:t>
            </w:r>
            <w:r w:rsidRPr="00A67277">
              <w:rPr>
                <w:rFonts w:cs="Arial"/>
                <w:lang w:val="id-ID"/>
              </w:rPr>
              <w:t xml:space="preserve">setiap </w:t>
            </w:r>
            <w:r w:rsidRPr="00A67277">
              <w:rPr>
                <w:rFonts w:cs="Arial"/>
                <w:lang w:val="en-US"/>
              </w:rPr>
              <w:t>K</w:t>
            </w:r>
            <w:r w:rsidRPr="00A67277">
              <w:rPr>
                <w:rFonts w:cs="Arial"/>
                <w:lang w:val="id-ID"/>
              </w:rPr>
              <w:t xml:space="preserve">laim oleh pihak ketiga yang </w:t>
            </w:r>
            <w:r w:rsidRPr="00A67277">
              <w:rPr>
                <w:rFonts w:cs="Arial"/>
                <w:lang w:val="en-US"/>
              </w:rPr>
              <w:t xml:space="preserve">disangkakan </w:t>
            </w:r>
            <w:r w:rsidRPr="00A67277">
              <w:rPr>
                <w:rFonts w:cs="Arial"/>
                <w:lang w:val="id-ID"/>
              </w:rPr>
              <w:t xml:space="preserve">atau </w:t>
            </w:r>
            <w:r w:rsidRPr="00A67277">
              <w:rPr>
                <w:rFonts w:cs="Arial"/>
                <w:lang w:val="en-US"/>
              </w:rPr>
              <w:t>dituntut</w:t>
            </w:r>
            <w:r w:rsidRPr="00A67277">
              <w:rPr>
                <w:rFonts w:cs="Arial"/>
                <w:lang w:val="id-ID"/>
              </w:rPr>
              <w:t xml:space="preserve"> terhadap</w:t>
            </w:r>
            <w:r w:rsidRPr="00A67277">
              <w:rPr>
                <w:rFonts w:cs="Arial"/>
                <w:lang w:val="en-US"/>
              </w:rPr>
              <w:t>nya</w:t>
            </w:r>
            <w:r w:rsidRPr="00A67277">
              <w:rPr>
                <w:rFonts w:cs="Arial"/>
                <w:lang w:val="id-ID"/>
              </w:rPr>
              <w:t xml:space="preserve"> </w:t>
            </w:r>
            <w:r w:rsidRPr="00A67277">
              <w:rPr>
                <w:rFonts w:cs="Arial"/>
                <w:lang w:val="en-US"/>
              </w:rPr>
              <w:t xml:space="preserve">yang </w:t>
            </w:r>
            <w:r w:rsidRPr="00A67277">
              <w:rPr>
                <w:rFonts w:cs="Arial"/>
                <w:lang w:val="id-ID"/>
              </w:rPr>
              <w:t xml:space="preserve">timbul dari setiap hal </w:t>
            </w:r>
            <w:r w:rsidRPr="00A67277">
              <w:rPr>
                <w:rFonts w:cs="Arial"/>
                <w:lang w:val="en-US"/>
              </w:rPr>
              <w:t>sehubungan haknya untuk mendapatkan ganti rugi berdasarkan Perjanjian ini</w:t>
            </w:r>
            <w:r w:rsidRPr="00A67277">
              <w:rPr>
                <w:rFonts w:cs="Arial"/>
                <w:lang w:val="id-ID"/>
              </w:rPr>
              <w:t xml:space="preserve">, dan biaya </w:t>
            </w:r>
            <w:r w:rsidRPr="00A67277">
              <w:rPr>
                <w:rFonts w:cs="Arial"/>
                <w:lang w:val="en-US"/>
              </w:rPr>
              <w:t>serta pengeluaran</w:t>
            </w:r>
            <w:r w:rsidRPr="00A67277">
              <w:rPr>
                <w:rFonts w:cs="Arial"/>
                <w:lang w:val="id-ID"/>
              </w:rPr>
              <w:t xml:space="preserve"> </w:t>
            </w:r>
            <w:r w:rsidRPr="00A67277">
              <w:rPr>
                <w:rFonts w:cs="Arial"/>
                <w:lang w:val="en-US"/>
              </w:rPr>
              <w:t xml:space="preserve">yang bersangkutan akan menjadi bagian dari </w:t>
            </w:r>
            <w:r w:rsidRPr="00A67277">
              <w:rPr>
                <w:rFonts w:cs="Arial"/>
                <w:lang w:val="id-ID"/>
              </w:rPr>
              <w:t xml:space="preserve">ganti rugi tersebut; </w:t>
            </w:r>
            <w:r w:rsidRPr="00A67277">
              <w:rPr>
                <w:rFonts w:cs="Arial"/>
                <w:lang w:val="en-US"/>
              </w:rPr>
              <w:t>dengan ketentuan</w:t>
            </w:r>
            <w:r w:rsidRPr="00A67277">
              <w:rPr>
                <w:rFonts w:cs="Arial"/>
                <w:lang w:val="id-ID"/>
              </w:rPr>
              <w:t xml:space="preserve">, Pihak yang memberikan ganti rugi berhak, </w:t>
            </w:r>
            <w:r w:rsidRPr="00A67277">
              <w:rPr>
                <w:rFonts w:cs="Arial"/>
                <w:lang w:val="en-US"/>
              </w:rPr>
              <w:t xml:space="preserve">menurut </w:t>
            </w:r>
            <w:r w:rsidRPr="00A67277">
              <w:rPr>
                <w:rFonts w:cs="Arial"/>
                <w:lang w:val="id-ID"/>
              </w:rPr>
              <w:t xml:space="preserve">pilihannya sendiri, untuk </w:t>
            </w:r>
            <w:r w:rsidRPr="00A67277">
              <w:rPr>
                <w:rFonts w:cs="Arial"/>
                <w:lang w:val="en-US"/>
              </w:rPr>
              <w:t xml:space="preserve">mengemban </w:t>
            </w:r>
            <w:r w:rsidRPr="00A67277">
              <w:rPr>
                <w:rFonts w:cs="Arial"/>
                <w:lang w:val="id-ID"/>
              </w:rPr>
              <w:t xml:space="preserve">dan </w:t>
            </w:r>
            <w:r w:rsidRPr="00A67277">
              <w:rPr>
                <w:rFonts w:cs="Arial"/>
                <w:lang w:val="en-US"/>
              </w:rPr>
              <w:t xml:space="preserve">mengendalikan pembelaan terhadap </w:t>
            </w:r>
            <w:r w:rsidRPr="00A67277">
              <w:rPr>
                <w:rFonts w:cs="Arial"/>
                <w:lang w:val="id-ID"/>
              </w:rPr>
              <w:t>Klaim</w:t>
            </w:r>
            <w:r w:rsidRPr="00A67277">
              <w:rPr>
                <w:rFonts w:cs="Arial"/>
                <w:lang w:val="en-US"/>
              </w:rPr>
              <w:t xml:space="preserve"> atas </w:t>
            </w:r>
            <w:r w:rsidRPr="00A67277">
              <w:rPr>
                <w:rFonts w:cs="Arial"/>
                <w:lang w:val="id-ID"/>
              </w:rPr>
              <w:t>biaya</w:t>
            </w:r>
            <w:r w:rsidRPr="00A67277">
              <w:rPr>
                <w:rFonts w:cs="Arial"/>
                <w:lang w:val="en-US"/>
              </w:rPr>
              <w:t>nya</w:t>
            </w:r>
            <w:r w:rsidRPr="00A67277">
              <w:rPr>
                <w:rFonts w:cs="Arial"/>
                <w:lang w:val="id-ID"/>
              </w:rPr>
              <w:t xml:space="preserve"> dan melalui penasihat hukum pilihannya jika</w:t>
            </w:r>
            <w:r w:rsidRPr="00A67277">
              <w:rPr>
                <w:rFonts w:cs="Arial"/>
                <w:lang w:val="en-US"/>
              </w:rPr>
              <w:t xml:space="preserve"> pihaknya telah:</w:t>
            </w:r>
          </w:p>
        </w:tc>
      </w:tr>
      <w:tr w:rsidR="00862B0B" w:rsidRPr="00A67277" w14:paraId="4FB7727C" w14:textId="77777777" w:rsidTr="00862B0B">
        <w:tc>
          <w:tcPr>
            <w:tcW w:w="2270" w:type="pct"/>
          </w:tcPr>
          <w:p w14:paraId="749170BB" w14:textId="77777777" w:rsidR="00862B0B" w:rsidRPr="00A67277" w:rsidRDefault="00862B0B" w:rsidP="00862B0B">
            <w:pPr>
              <w:pStyle w:val="Level4"/>
              <w:numPr>
                <w:ilvl w:val="0"/>
                <w:numId w:val="53"/>
              </w:numPr>
              <w:spacing w:before="60" w:after="60"/>
              <w:ind w:left="1946"/>
            </w:pPr>
            <w:r w:rsidRPr="00A67277">
              <w:t>gives notice of its intention to do so to the indemnified Party;</w:t>
            </w:r>
          </w:p>
          <w:p w14:paraId="0A9EB637" w14:textId="77777777" w:rsidR="00862B0B" w:rsidRPr="00A67277" w:rsidRDefault="00862B0B" w:rsidP="00862B0B">
            <w:pPr>
              <w:spacing w:before="60" w:after="60"/>
              <w:rPr>
                <w:rFonts w:ascii="Arial" w:hAnsi="Arial" w:cs="Arial"/>
                <w:sz w:val="21"/>
                <w:szCs w:val="21"/>
              </w:rPr>
            </w:pPr>
          </w:p>
        </w:tc>
        <w:tc>
          <w:tcPr>
            <w:tcW w:w="169" w:type="pct"/>
          </w:tcPr>
          <w:p w14:paraId="05C10E43" w14:textId="77777777" w:rsidR="00862B0B" w:rsidRPr="00A67277" w:rsidRDefault="00862B0B" w:rsidP="00862B0B">
            <w:pPr>
              <w:spacing w:before="60" w:after="60"/>
              <w:rPr>
                <w:rFonts w:ascii="Arial" w:hAnsi="Arial" w:cs="Arial"/>
                <w:sz w:val="21"/>
                <w:szCs w:val="21"/>
              </w:rPr>
            </w:pPr>
          </w:p>
        </w:tc>
        <w:tc>
          <w:tcPr>
            <w:tcW w:w="2561" w:type="pct"/>
            <w:gridSpan w:val="2"/>
          </w:tcPr>
          <w:p w14:paraId="5A4CCF3E" w14:textId="77777777" w:rsidR="00862B0B" w:rsidRPr="00A67277" w:rsidRDefault="00862B0B" w:rsidP="00862B0B">
            <w:pPr>
              <w:pStyle w:val="Level4"/>
              <w:numPr>
                <w:ilvl w:val="0"/>
                <w:numId w:val="54"/>
              </w:numPr>
              <w:spacing w:before="60" w:after="60"/>
              <w:ind w:left="2090"/>
              <w:rPr>
                <w:rFonts w:cs="Arial"/>
                <w:lang w:val="en-US"/>
              </w:rPr>
            </w:pPr>
            <w:r w:rsidRPr="00A67277">
              <w:rPr>
                <w:rFonts w:cs="Arial"/>
                <w:lang w:val="id-ID"/>
              </w:rPr>
              <w:t xml:space="preserve">memberikan pemberitahuan </w:t>
            </w:r>
            <w:r w:rsidRPr="00A67277">
              <w:rPr>
                <w:rFonts w:cs="Arial"/>
                <w:lang w:val="en-US"/>
              </w:rPr>
              <w:t>mengenai maksudnya</w:t>
            </w:r>
            <w:r w:rsidRPr="00A67277">
              <w:rPr>
                <w:rFonts w:cs="Arial"/>
                <w:lang w:val="id-ID"/>
              </w:rPr>
              <w:t xml:space="preserve"> kepada Pihak yang </w:t>
            </w:r>
            <w:r w:rsidRPr="00A67277">
              <w:rPr>
                <w:rFonts w:cs="Arial"/>
                <w:lang w:val="en-US"/>
              </w:rPr>
              <w:t>diberi ganti rugi;</w:t>
            </w:r>
          </w:p>
        </w:tc>
      </w:tr>
      <w:tr w:rsidR="00862B0B" w:rsidRPr="00A67277" w14:paraId="2D10BE3C" w14:textId="77777777" w:rsidTr="00862B0B">
        <w:tc>
          <w:tcPr>
            <w:tcW w:w="2270" w:type="pct"/>
          </w:tcPr>
          <w:p w14:paraId="4BAFEDA4" w14:textId="77777777" w:rsidR="00862B0B" w:rsidRPr="00A67277" w:rsidRDefault="00862B0B" w:rsidP="00862B0B">
            <w:pPr>
              <w:pStyle w:val="Level4"/>
              <w:numPr>
                <w:ilvl w:val="0"/>
                <w:numId w:val="53"/>
              </w:numPr>
              <w:spacing w:before="60" w:after="60"/>
              <w:ind w:left="1946"/>
            </w:pPr>
            <w:r w:rsidRPr="00A67277">
              <w:t xml:space="preserve">acknowledges in writing its obligation to indemnify that Party to the full extent provided by this Clause; and </w:t>
            </w:r>
          </w:p>
          <w:p w14:paraId="373C8A50" w14:textId="77777777" w:rsidR="00862B0B" w:rsidRPr="00A67277" w:rsidRDefault="00862B0B" w:rsidP="00862B0B">
            <w:pPr>
              <w:spacing w:before="60" w:after="60"/>
              <w:rPr>
                <w:rFonts w:ascii="Arial" w:hAnsi="Arial" w:cs="Arial"/>
                <w:sz w:val="21"/>
                <w:szCs w:val="21"/>
              </w:rPr>
            </w:pPr>
          </w:p>
        </w:tc>
        <w:tc>
          <w:tcPr>
            <w:tcW w:w="169" w:type="pct"/>
          </w:tcPr>
          <w:p w14:paraId="289301D2" w14:textId="77777777" w:rsidR="00862B0B" w:rsidRPr="00A67277" w:rsidRDefault="00862B0B" w:rsidP="00862B0B">
            <w:pPr>
              <w:spacing w:before="60" w:after="60"/>
              <w:rPr>
                <w:rFonts w:ascii="Arial" w:hAnsi="Arial" w:cs="Arial"/>
                <w:sz w:val="21"/>
                <w:szCs w:val="21"/>
              </w:rPr>
            </w:pPr>
          </w:p>
        </w:tc>
        <w:tc>
          <w:tcPr>
            <w:tcW w:w="2561" w:type="pct"/>
            <w:gridSpan w:val="2"/>
          </w:tcPr>
          <w:p w14:paraId="2AB99834" w14:textId="77777777" w:rsidR="00862B0B" w:rsidRPr="00A67277" w:rsidRDefault="00862B0B" w:rsidP="00862B0B">
            <w:pPr>
              <w:pStyle w:val="Level4"/>
              <w:numPr>
                <w:ilvl w:val="0"/>
                <w:numId w:val="54"/>
              </w:numPr>
              <w:spacing w:before="60" w:after="60"/>
              <w:ind w:left="2090"/>
              <w:rPr>
                <w:rFonts w:cs="Arial"/>
                <w:lang w:val="id-ID"/>
              </w:rPr>
            </w:pPr>
            <w:r w:rsidRPr="00A67277">
              <w:rPr>
                <w:rFonts w:cs="Arial"/>
                <w:lang w:val="id-ID"/>
              </w:rPr>
              <w:t>mengakui secara tertulis kewajibannya untuk mengganti kerugian Pihak tersebut secara keseluruhan berdasarkan Pasal ini; dan</w:t>
            </w:r>
          </w:p>
        </w:tc>
      </w:tr>
      <w:tr w:rsidR="00862B0B" w:rsidRPr="00A67277" w14:paraId="4F92A80C" w14:textId="77777777" w:rsidTr="00862B0B">
        <w:tc>
          <w:tcPr>
            <w:tcW w:w="2270" w:type="pct"/>
          </w:tcPr>
          <w:p w14:paraId="765ED83D" w14:textId="77777777" w:rsidR="00862B0B" w:rsidRPr="00A67277" w:rsidRDefault="00862B0B" w:rsidP="00862B0B">
            <w:pPr>
              <w:pStyle w:val="Level4"/>
              <w:numPr>
                <w:ilvl w:val="0"/>
                <w:numId w:val="53"/>
              </w:numPr>
              <w:spacing w:before="60" w:after="60"/>
              <w:ind w:left="1946"/>
            </w:pPr>
            <w:r w:rsidRPr="00A67277">
              <w:t>reimburses that Party for the reasonable costs and expenses previously incurred by it prior to the assumption of such defence by the indemnifying Party</w:t>
            </w:r>
          </w:p>
          <w:p w14:paraId="2F9A9133" w14:textId="77777777" w:rsidR="00862B0B" w:rsidRPr="00A67277" w:rsidRDefault="00862B0B" w:rsidP="00862B0B">
            <w:pPr>
              <w:spacing w:before="60" w:after="60"/>
              <w:rPr>
                <w:rFonts w:ascii="Arial" w:hAnsi="Arial" w:cs="Arial"/>
                <w:sz w:val="21"/>
                <w:szCs w:val="21"/>
              </w:rPr>
            </w:pPr>
          </w:p>
          <w:p w14:paraId="57C120E0" w14:textId="77777777" w:rsidR="00862B0B" w:rsidRPr="00A67277" w:rsidRDefault="00862B0B" w:rsidP="00862B0B">
            <w:pPr>
              <w:tabs>
                <w:tab w:val="left" w:pos="3103"/>
              </w:tabs>
              <w:spacing w:before="60" w:after="60"/>
              <w:rPr>
                <w:rFonts w:ascii="Arial" w:hAnsi="Arial" w:cs="Arial"/>
                <w:sz w:val="21"/>
                <w:szCs w:val="21"/>
              </w:rPr>
            </w:pPr>
            <w:r w:rsidRPr="00A67277">
              <w:rPr>
                <w:rFonts w:ascii="Arial" w:hAnsi="Arial" w:cs="Arial"/>
                <w:sz w:val="21"/>
                <w:szCs w:val="21"/>
              </w:rPr>
              <w:tab/>
            </w:r>
          </w:p>
        </w:tc>
        <w:tc>
          <w:tcPr>
            <w:tcW w:w="169" w:type="pct"/>
          </w:tcPr>
          <w:p w14:paraId="271718EE" w14:textId="77777777" w:rsidR="00862B0B" w:rsidRPr="00A67277" w:rsidRDefault="00862B0B" w:rsidP="00862B0B">
            <w:pPr>
              <w:spacing w:before="60" w:after="60"/>
              <w:rPr>
                <w:rFonts w:ascii="Arial" w:hAnsi="Arial" w:cs="Arial"/>
                <w:sz w:val="21"/>
                <w:szCs w:val="21"/>
              </w:rPr>
            </w:pPr>
          </w:p>
        </w:tc>
        <w:tc>
          <w:tcPr>
            <w:tcW w:w="2561" w:type="pct"/>
            <w:gridSpan w:val="2"/>
          </w:tcPr>
          <w:p w14:paraId="3C2416FC" w14:textId="77777777" w:rsidR="00862B0B" w:rsidRPr="00A67277" w:rsidRDefault="00862B0B" w:rsidP="00862B0B">
            <w:pPr>
              <w:pStyle w:val="Level4"/>
              <w:numPr>
                <w:ilvl w:val="0"/>
                <w:numId w:val="54"/>
              </w:numPr>
              <w:spacing w:before="60" w:after="60"/>
              <w:ind w:left="2090"/>
              <w:rPr>
                <w:rFonts w:cs="Arial"/>
                <w:lang w:val="id-ID"/>
              </w:rPr>
            </w:pPr>
            <w:r w:rsidRPr="00A67277">
              <w:rPr>
                <w:rFonts w:cs="Arial"/>
                <w:lang w:val="id-ID"/>
              </w:rPr>
              <w:t>memberikan penggantian kepada Pihak tersebut atas biaya dan pengeluaran yang wajar yang sebelumnya dikeluarkan oleh Pihak tersebut sebelum pelaksanaan pembelaan dari Pihak yang memberikan ganti rugi tersebut.</w:t>
            </w:r>
          </w:p>
        </w:tc>
      </w:tr>
      <w:tr w:rsidR="00862B0B" w:rsidRPr="00A67277" w14:paraId="3DFEAED9" w14:textId="77777777" w:rsidTr="00862B0B">
        <w:tc>
          <w:tcPr>
            <w:tcW w:w="2270" w:type="pct"/>
          </w:tcPr>
          <w:p w14:paraId="4845C0C8" w14:textId="77777777" w:rsidR="00862B0B" w:rsidRPr="00A67277" w:rsidRDefault="00862B0B" w:rsidP="00862B0B">
            <w:pPr>
              <w:pStyle w:val="Level3"/>
              <w:numPr>
                <w:ilvl w:val="2"/>
                <w:numId w:val="500"/>
              </w:numPr>
              <w:tabs>
                <w:tab w:val="clear" w:pos="1417"/>
                <w:tab w:val="num" w:pos="2846"/>
              </w:tabs>
              <w:spacing w:before="60" w:after="60"/>
              <w:ind w:left="1586" w:hanging="551"/>
            </w:pPr>
            <w:r w:rsidRPr="00A67277">
              <w:t>Neither Party shall settle or compromise any Claim in respect of which it is entitled to be indemnified by the other Party without the prior written consent of that Party.</w:t>
            </w:r>
          </w:p>
          <w:p w14:paraId="37018C21" w14:textId="77777777" w:rsidR="00862B0B" w:rsidRPr="00A67277" w:rsidRDefault="00862B0B" w:rsidP="00862B0B">
            <w:pPr>
              <w:spacing w:before="60" w:after="60"/>
              <w:rPr>
                <w:rFonts w:ascii="Arial" w:hAnsi="Arial" w:cs="Arial"/>
                <w:sz w:val="21"/>
                <w:szCs w:val="21"/>
              </w:rPr>
            </w:pPr>
          </w:p>
        </w:tc>
        <w:tc>
          <w:tcPr>
            <w:tcW w:w="169" w:type="pct"/>
          </w:tcPr>
          <w:p w14:paraId="51698ECD" w14:textId="77777777" w:rsidR="00862B0B" w:rsidRPr="00A67277" w:rsidRDefault="00862B0B" w:rsidP="00862B0B">
            <w:pPr>
              <w:spacing w:before="60" w:after="60"/>
              <w:rPr>
                <w:rFonts w:ascii="Arial" w:hAnsi="Arial" w:cs="Arial"/>
                <w:sz w:val="21"/>
                <w:szCs w:val="21"/>
              </w:rPr>
            </w:pPr>
          </w:p>
        </w:tc>
        <w:tc>
          <w:tcPr>
            <w:tcW w:w="2561" w:type="pct"/>
            <w:gridSpan w:val="2"/>
          </w:tcPr>
          <w:p w14:paraId="59982CE2" w14:textId="77777777" w:rsidR="00862B0B" w:rsidRPr="00A67277" w:rsidRDefault="00862B0B" w:rsidP="00862B0B">
            <w:pPr>
              <w:pStyle w:val="Level3"/>
              <w:numPr>
                <w:ilvl w:val="0"/>
                <w:numId w:val="55"/>
              </w:numPr>
              <w:tabs>
                <w:tab w:val="left" w:pos="3170"/>
              </w:tabs>
              <w:spacing w:before="60" w:after="60"/>
              <w:ind w:left="1640" w:hanging="642"/>
              <w:rPr>
                <w:rFonts w:cs="Arial"/>
                <w:lang w:val="id-ID"/>
              </w:rPr>
            </w:pPr>
            <w:r w:rsidRPr="00A67277">
              <w:rPr>
                <w:rFonts w:cs="Arial"/>
                <w:lang w:val="id-ID"/>
              </w:rPr>
              <w:t>Masing-masing Pihak tidak dapat menyelesaikan atau menyepakati setiap Klaim</w:t>
            </w:r>
            <w:r w:rsidRPr="00A67277">
              <w:rPr>
                <w:rFonts w:cs="Arial"/>
                <w:lang w:val="en-US"/>
              </w:rPr>
              <w:t xml:space="preserve"> </w:t>
            </w:r>
            <w:r w:rsidRPr="00A67277">
              <w:rPr>
                <w:rFonts w:cs="Arial"/>
                <w:lang w:val="id-ID"/>
              </w:rPr>
              <w:t>sehubungan dengan hal-hal dimana Pihak tersebut berhak untuk mendapatkan ganti rugi oleh Pihak lainnya tanpa persetujuan tertulis terlebih dahulu dari Pihak yang akan mengganti rugi tersebut.</w:t>
            </w:r>
          </w:p>
        </w:tc>
      </w:tr>
      <w:tr w:rsidR="00862B0B" w:rsidRPr="00A67277" w14:paraId="0394D83C" w14:textId="77777777" w:rsidTr="00862B0B">
        <w:tc>
          <w:tcPr>
            <w:tcW w:w="2270" w:type="pct"/>
          </w:tcPr>
          <w:p w14:paraId="6E867F04" w14:textId="77777777" w:rsidR="00862B0B" w:rsidRPr="00A67277" w:rsidRDefault="00862B0B" w:rsidP="00862B0B">
            <w:pPr>
              <w:pStyle w:val="Heading2"/>
              <w:numPr>
                <w:ilvl w:val="0"/>
                <w:numId w:val="50"/>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Consequential Losses</w:t>
            </w:r>
          </w:p>
        </w:tc>
        <w:tc>
          <w:tcPr>
            <w:tcW w:w="169" w:type="pct"/>
          </w:tcPr>
          <w:p w14:paraId="38C3A188" w14:textId="77777777" w:rsidR="00862B0B" w:rsidRPr="00A67277" w:rsidRDefault="00862B0B" w:rsidP="00862B0B">
            <w:pPr>
              <w:spacing w:before="60" w:after="60"/>
              <w:rPr>
                <w:rFonts w:ascii="Arial" w:hAnsi="Arial" w:cs="Arial"/>
                <w:sz w:val="21"/>
                <w:szCs w:val="21"/>
              </w:rPr>
            </w:pPr>
          </w:p>
        </w:tc>
        <w:tc>
          <w:tcPr>
            <w:tcW w:w="2561" w:type="pct"/>
            <w:gridSpan w:val="2"/>
          </w:tcPr>
          <w:p w14:paraId="4418B998" w14:textId="77777777" w:rsidR="00862B0B" w:rsidRPr="00A67277" w:rsidRDefault="00862B0B" w:rsidP="00862B0B">
            <w:pPr>
              <w:pStyle w:val="Heading2"/>
              <w:numPr>
                <w:ilvl w:val="0"/>
                <w:numId w:val="13"/>
              </w:numPr>
              <w:spacing w:before="60" w:after="60"/>
              <w:ind w:left="1022" w:hanging="590"/>
              <w:outlineLvl w:val="1"/>
              <w:rPr>
                <w:rFonts w:ascii="Arial" w:hAnsi="Arial" w:cs="Arial"/>
                <w:b/>
                <w:color w:val="auto"/>
                <w:sz w:val="21"/>
                <w:szCs w:val="21"/>
              </w:rPr>
            </w:pPr>
            <w:r w:rsidRPr="00A67277">
              <w:rPr>
                <w:rFonts w:ascii="Arial" w:hAnsi="Arial" w:cs="Arial"/>
                <w:b/>
                <w:color w:val="auto"/>
                <w:sz w:val="21"/>
                <w:szCs w:val="21"/>
              </w:rPr>
              <w:t>Kerugian Tidak Langsung</w:t>
            </w:r>
          </w:p>
        </w:tc>
      </w:tr>
      <w:tr w:rsidR="00862B0B" w:rsidRPr="00A67277" w14:paraId="7E48165D" w14:textId="77777777" w:rsidTr="00862B0B">
        <w:tc>
          <w:tcPr>
            <w:tcW w:w="2270" w:type="pct"/>
          </w:tcPr>
          <w:p w14:paraId="00382B60" w14:textId="00B1727E" w:rsidR="00862B0B" w:rsidRPr="00A67277" w:rsidRDefault="00862B0B" w:rsidP="00862B0B">
            <w:pPr>
              <w:pStyle w:val="Level1"/>
              <w:spacing w:before="60" w:after="60"/>
              <w:ind w:left="1136" w:firstLine="12"/>
            </w:pPr>
            <w:r w:rsidRPr="00A67277">
              <w:t>Without limiting any payments (or the calculations thereof) contemplated under Clause 19.1 (</w:t>
            </w:r>
            <w:r w:rsidRPr="00A67277">
              <w:rPr>
                <w:rFonts w:eastAsia="Times New Roman"/>
                <w:i/>
              </w:rPr>
              <w:t>Indemnity by the IBE</w:t>
            </w:r>
            <w:r w:rsidRPr="00A67277">
              <w:t>) and 19.2 (</w:t>
            </w:r>
            <w:r w:rsidRPr="00A67277">
              <w:rPr>
                <w:rFonts w:eastAsia="Times New Roman"/>
                <w:i/>
              </w:rPr>
              <w:t>Indemnity by GCA</w:t>
            </w:r>
            <w:r w:rsidRPr="00A67277">
              <w:t>), no Party shall in any circumstances be liable to the other Party in its performance of or failure to perform this Agreement or any provision hereof, whether in contract, tort or breach of statutory duty or otherwise for:</w:t>
            </w:r>
          </w:p>
          <w:p w14:paraId="05E4B07C" w14:textId="77777777" w:rsidR="00862B0B" w:rsidRPr="00A67277" w:rsidRDefault="00862B0B" w:rsidP="00862B0B">
            <w:pPr>
              <w:spacing w:before="60" w:after="60"/>
              <w:rPr>
                <w:rFonts w:ascii="Arial" w:hAnsi="Arial" w:cs="Arial"/>
                <w:sz w:val="21"/>
                <w:szCs w:val="21"/>
              </w:rPr>
            </w:pPr>
          </w:p>
        </w:tc>
        <w:tc>
          <w:tcPr>
            <w:tcW w:w="169" w:type="pct"/>
          </w:tcPr>
          <w:p w14:paraId="315337C7" w14:textId="77777777" w:rsidR="00862B0B" w:rsidRPr="00A67277" w:rsidRDefault="00862B0B" w:rsidP="00862B0B">
            <w:pPr>
              <w:spacing w:before="60" w:after="60"/>
              <w:rPr>
                <w:rFonts w:ascii="Arial" w:hAnsi="Arial" w:cs="Arial"/>
                <w:sz w:val="21"/>
                <w:szCs w:val="21"/>
              </w:rPr>
            </w:pPr>
          </w:p>
        </w:tc>
        <w:tc>
          <w:tcPr>
            <w:tcW w:w="2561" w:type="pct"/>
            <w:gridSpan w:val="2"/>
          </w:tcPr>
          <w:p w14:paraId="608F8E04" w14:textId="3282040C" w:rsidR="00862B0B" w:rsidRPr="00A67277" w:rsidRDefault="00862B0B" w:rsidP="00862B0B">
            <w:pPr>
              <w:pStyle w:val="Level1"/>
              <w:spacing w:before="60" w:after="60"/>
              <w:ind w:left="1022" w:firstLine="9"/>
              <w:rPr>
                <w:rFonts w:cs="Arial"/>
              </w:rPr>
            </w:pPr>
            <w:r w:rsidRPr="00A67277">
              <w:rPr>
                <w:rFonts w:cs="Arial"/>
              </w:rPr>
              <w:t>Tanpa membatasi pembayaran (atau perhitungannya) yang dipertimbangkan berdasarkan Pasal 19.1 (</w:t>
            </w:r>
            <w:r w:rsidRPr="00A67277">
              <w:rPr>
                <w:rFonts w:cs="Arial"/>
                <w:i/>
              </w:rPr>
              <w:t>Ganti Rugi oleh BUP</w:t>
            </w:r>
            <w:r w:rsidRPr="00A67277">
              <w:rPr>
                <w:rFonts w:cs="Arial"/>
              </w:rPr>
              <w:t>) dan 19.2 (</w:t>
            </w:r>
            <w:r w:rsidRPr="00A67277">
              <w:rPr>
                <w:rFonts w:cs="Arial"/>
                <w:i/>
              </w:rPr>
              <w:t>Ganti Rugi oleh PJPK</w:t>
            </w:r>
            <w:r w:rsidRPr="00A67277">
              <w:rPr>
                <w:rFonts w:cs="Arial"/>
              </w:rPr>
              <w:t>), tidak ada Pihak dalam situasi apapun bertanggung jawab kepada Pihak lain dalam pelaksanaan Perjanjian ini atau kegagalan untuk melaksanakan Perjanjian ini atau kewajiban apa pun, baik yang timbul karena kontrak, perbuatan melawan hukum atau kewajiban berdasarkan peraturan perundang-undangan atau dengan cara lain terhadap:</w:t>
            </w:r>
          </w:p>
        </w:tc>
      </w:tr>
      <w:tr w:rsidR="00862B0B" w:rsidRPr="00A67277" w14:paraId="65D67355" w14:textId="77777777" w:rsidTr="00862B0B">
        <w:tc>
          <w:tcPr>
            <w:tcW w:w="2270" w:type="pct"/>
          </w:tcPr>
          <w:p w14:paraId="2E8EED51" w14:textId="77777777" w:rsidR="00862B0B" w:rsidRPr="00A67277" w:rsidRDefault="00862B0B" w:rsidP="00862B0B">
            <w:pPr>
              <w:pStyle w:val="Level3"/>
              <w:numPr>
                <w:ilvl w:val="2"/>
                <w:numId w:val="501"/>
              </w:numPr>
              <w:tabs>
                <w:tab w:val="clear" w:pos="1417"/>
              </w:tabs>
              <w:spacing w:before="60" w:after="60"/>
              <w:ind w:left="1723" w:hanging="567"/>
            </w:pPr>
            <w:r w:rsidRPr="00A67277">
              <w:t>loss of or anticipated loss of profit, loss of or anticipated loss of revenue, loss of use, business interruption, loss of use of any equipment, loss of any contract or other business opportunity or good will; and</w:t>
            </w:r>
          </w:p>
          <w:p w14:paraId="3C32F5E5" w14:textId="77777777" w:rsidR="00862B0B" w:rsidRPr="00A67277" w:rsidRDefault="00862B0B" w:rsidP="00862B0B">
            <w:pPr>
              <w:spacing w:before="60" w:after="60"/>
              <w:rPr>
                <w:rFonts w:ascii="Arial" w:hAnsi="Arial" w:cs="Arial"/>
                <w:sz w:val="21"/>
                <w:szCs w:val="21"/>
              </w:rPr>
            </w:pPr>
          </w:p>
        </w:tc>
        <w:tc>
          <w:tcPr>
            <w:tcW w:w="169" w:type="pct"/>
          </w:tcPr>
          <w:p w14:paraId="0A10383F" w14:textId="77777777" w:rsidR="00862B0B" w:rsidRPr="00A67277" w:rsidRDefault="00862B0B" w:rsidP="00862B0B">
            <w:pPr>
              <w:spacing w:before="60" w:after="60"/>
              <w:rPr>
                <w:rFonts w:ascii="Arial" w:hAnsi="Arial" w:cs="Arial"/>
                <w:sz w:val="21"/>
                <w:szCs w:val="21"/>
              </w:rPr>
            </w:pPr>
          </w:p>
        </w:tc>
        <w:tc>
          <w:tcPr>
            <w:tcW w:w="2561" w:type="pct"/>
            <w:gridSpan w:val="2"/>
          </w:tcPr>
          <w:p w14:paraId="2B4A8B80" w14:textId="77777777" w:rsidR="00862B0B" w:rsidRPr="00A67277" w:rsidRDefault="00862B0B" w:rsidP="00862B0B">
            <w:pPr>
              <w:pStyle w:val="Level3"/>
              <w:numPr>
                <w:ilvl w:val="0"/>
                <w:numId w:val="56"/>
              </w:numPr>
              <w:spacing w:before="60" w:after="60"/>
              <w:ind w:left="1730" w:hanging="642"/>
              <w:rPr>
                <w:rFonts w:cs="Arial"/>
              </w:rPr>
            </w:pPr>
            <w:r w:rsidRPr="00A67277">
              <w:rPr>
                <w:rFonts w:cs="Arial"/>
              </w:rPr>
              <w:t>kehilangan atau kemungkinan kehilangan keuntungan, kehilangan atau kemungkinan kehilangan pendapatan, kehilangan kegunaan, interupsi usaha, kehilangan kegunaan peralatan, kehilangan kontrak atau kesempatan usaha atau nama baik (</w:t>
            </w:r>
            <w:r w:rsidRPr="00A67277">
              <w:rPr>
                <w:rFonts w:cs="Arial"/>
                <w:i/>
              </w:rPr>
              <w:t>good will</w:t>
            </w:r>
            <w:r w:rsidRPr="00A67277">
              <w:rPr>
                <w:rFonts w:cs="Arial"/>
              </w:rPr>
              <w:t>); dan</w:t>
            </w:r>
          </w:p>
        </w:tc>
      </w:tr>
      <w:tr w:rsidR="00862B0B" w:rsidRPr="00A67277" w14:paraId="37E426E8" w14:textId="77777777" w:rsidTr="00862B0B">
        <w:tc>
          <w:tcPr>
            <w:tcW w:w="2270" w:type="pct"/>
          </w:tcPr>
          <w:p w14:paraId="6F1368CE" w14:textId="40E203A5" w:rsidR="00862B0B" w:rsidRPr="00A67277" w:rsidRDefault="00862B0B" w:rsidP="00862B0B">
            <w:pPr>
              <w:pStyle w:val="Level3"/>
              <w:numPr>
                <w:ilvl w:val="2"/>
                <w:numId w:val="501"/>
              </w:numPr>
              <w:tabs>
                <w:tab w:val="clear" w:pos="1417"/>
                <w:tab w:val="num" w:pos="2576"/>
              </w:tabs>
              <w:spacing w:before="60" w:after="60"/>
              <w:ind w:left="1676" w:hanging="551"/>
            </w:pPr>
            <w:r w:rsidRPr="00A67277">
              <w:t>indirect or consequential losses or damages, whether or not such losses or damages are subject to the indemnities set forth in Clause 19.1 (Indemnity by the IBE) and 19.2 (Indemnity by GCA).</w:t>
            </w:r>
          </w:p>
          <w:p w14:paraId="56A89A60" w14:textId="77777777" w:rsidR="00862B0B" w:rsidRPr="00A67277" w:rsidRDefault="00862B0B" w:rsidP="00862B0B">
            <w:pPr>
              <w:spacing w:before="60" w:after="60"/>
              <w:rPr>
                <w:rFonts w:ascii="Arial" w:hAnsi="Arial" w:cs="Arial"/>
                <w:sz w:val="21"/>
                <w:szCs w:val="21"/>
              </w:rPr>
            </w:pPr>
          </w:p>
          <w:p w14:paraId="1D373250" w14:textId="77777777" w:rsidR="00862B0B" w:rsidRPr="00A67277" w:rsidRDefault="00862B0B" w:rsidP="00862B0B">
            <w:pPr>
              <w:spacing w:before="60" w:after="60"/>
              <w:jc w:val="right"/>
              <w:rPr>
                <w:rFonts w:ascii="Arial" w:hAnsi="Arial" w:cs="Arial"/>
                <w:sz w:val="21"/>
                <w:szCs w:val="21"/>
              </w:rPr>
            </w:pPr>
          </w:p>
        </w:tc>
        <w:tc>
          <w:tcPr>
            <w:tcW w:w="169" w:type="pct"/>
          </w:tcPr>
          <w:p w14:paraId="6991EDF1" w14:textId="77777777" w:rsidR="00862B0B" w:rsidRPr="00A67277" w:rsidRDefault="00862B0B" w:rsidP="00862B0B">
            <w:pPr>
              <w:spacing w:before="60" w:after="60"/>
              <w:rPr>
                <w:rFonts w:ascii="Arial" w:hAnsi="Arial" w:cs="Arial"/>
                <w:sz w:val="21"/>
                <w:szCs w:val="21"/>
              </w:rPr>
            </w:pPr>
          </w:p>
        </w:tc>
        <w:tc>
          <w:tcPr>
            <w:tcW w:w="2561" w:type="pct"/>
            <w:gridSpan w:val="2"/>
          </w:tcPr>
          <w:p w14:paraId="1E623050" w14:textId="39B2BAA1" w:rsidR="00862B0B" w:rsidRPr="00A67277" w:rsidRDefault="00862B0B" w:rsidP="00862B0B">
            <w:pPr>
              <w:pStyle w:val="Level3"/>
              <w:numPr>
                <w:ilvl w:val="0"/>
                <w:numId w:val="56"/>
              </w:numPr>
              <w:spacing w:before="60" w:after="60"/>
              <w:ind w:left="1730" w:hanging="642"/>
              <w:rPr>
                <w:rFonts w:cs="Arial"/>
              </w:rPr>
            </w:pPr>
            <w:r w:rsidRPr="00A67277">
              <w:rPr>
                <w:rFonts w:cs="Arial"/>
              </w:rPr>
              <w:t>kerugian tidak langsung atau konsekuensial atau kerusakan, baik kerugian atau kerusakan yang tunduk pada ganti rugi sebagaimana diatur dalam Pasal 19.1 (Ganti Rugi oleh BUP) dan 19.2 (Ganti Rugi oleh PJPK) maupun tidak.</w:t>
            </w:r>
          </w:p>
        </w:tc>
      </w:tr>
      <w:tr w:rsidR="00862B0B" w:rsidRPr="00A67277" w14:paraId="0451E7BB" w14:textId="77777777" w:rsidTr="00862B0B">
        <w:tc>
          <w:tcPr>
            <w:tcW w:w="2270" w:type="pct"/>
          </w:tcPr>
          <w:p w14:paraId="46B574D0" w14:textId="77777777" w:rsidR="00862B0B" w:rsidRPr="00A67277" w:rsidRDefault="00862B0B" w:rsidP="00862B0B">
            <w:pPr>
              <w:pStyle w:val="Heading1"/>
              <w:numPr>
                <w:ilvl w:val="0"/>
                <w:numId w:val="432"/>
              </w:numPr>
              <w:spacing w:before="60" w:after="60"/>
              <w:ind w:left="416" w:hanging="416"/>
            </w:pPr>
            <w:r w:rsidRPr="00A67277">
              <w:t>Force Majeure</w:t>
            </w:r>
          </w:p>
        </w:tc>
        <w:tc>
          <w:tcPr>
            <w:tcW w:w="169" w:type="pct"/>
          </w:tcPr>
          <w:p w14:paraId="3A4F23EF" w14:textId="77777777" w:rsidR="00862B0B" w:rsidRPr="00A67277" w:rsidRDefault="00862B0B" w:rsidP="00862B0B">
            <w:pPr>
              <w:spacing w:before="60" w:after="60"/>
              <w:rPr>
                <w:rFonts w:ascii="Arial" w:hAnsi="Arial" w:cs="Arial"/>
                <w:sz w:val="21"/>
                <w:szCs w:val="21"/>
              </w:rPr>
            </w:pPr>
          </w:p>
        </w:tc>
        <w:tc>
          <w:tcPr>
            <w:tcW w:w="2561" w:type="pct"/>
            <w:gridSpan w:val="2"/>
          </w:tcPr>
          <w:p w14:paraId="09224F89" w14:textId="77777777" w:rsidR="00862B0B" w:rsidRPr="00A67277" w:rsidRDefault="00862B0B" w:rsidP="00862B0B">
            <w:pPr>
              <w:pStyle w:val="CentredHeading"/>
              <w:numPr>
                <w:ilvl w:val="0"/>
                <w:numId w:val="4"/>
              </w:numPr>
              <w:spacing w:before="60" w:after="60"/>
              <w:ind w:left="466" w:hanging="450"/>
              <w:jc w:val="left"/>
              <w:rPr>
                <w:rFonts w:cs="Arial"/>
              </w:rPr>
            </w:pPr>
            <w:r w:rsidRPr="00A67277">
              <w:rPr>
                <w:rFonts w:cs="Arial"/>
                <w:lang w:val="en-US" w:eastAsia="en-US"/>
              </w:rPr>
              <w:t>Keadaan Kahar</w:t>
            </w:r>
          </w:p>
        </w:tc>
      </w:tr>
      <w:tr w:rsidR="00862B0B" w:rsidRPr="00A67277" w14:paraId="2CC9F808" w14:textId="77777777" w:rsidTr="00862B0B">
        <w:tc>
          <w:tcPr>
            <w:tcW w:w="2270" w:type="pct"/>
          </w:tcPr>
          <w:p w14:paraId="5533A3CF" w14:textId="77777777" w:rsidR="00862B0B" w:rsidRPr="00A67277" w:rsidRDefault="00862B0B" w:rsidP="00862B0B">
            <w:pPr>
              <w:pStyle w:val="Heading2"/>
              <w:numPr>
                <w:ilvl w:val="0"/>
                <w:numId w:val="57"/>
              </w:numPr>
              <w:spacing w:before="60" w:after="60"/>
              <w:ind w:left="1136" w:hanging="180"/>
              <w:outlineLvl w:val="1"/>
              <w:rPr>
                <w:rFonts w:ascii="Arial" w:hAnsi="Arial" w:cs="Arial"/>
                <w:b/>
                <w:color w:val="auto"/>
                <w:sz w:val="21"/>
                <w:szCs w:val="21"/>
              </w:rPr>
            </w:pPr>
            <w:r w:rsidRPr="00A67277">
              <w:rPr>
                <w:rFonts w:ascii="Arial" w:hAnsi="Arial" w:cs="Arial"/>
                <w:b/>
                <w:color w:val="auto"/>
                <w:sz w:val="21"/>
                <w:szCs w:val="21"/>
              </w:rPr>
              <w:t>Definition and Instances of Force Majeure Event</w:t>
            </w:r>
          </w:p>
        </w:tc>
        <w:tc>
          <w:tcPr>
            <w:tcW w:w="169" w:type="pct"/>
          </w:tcPr>
          <w:p w14:paraId="392022DA" w14:textId="77777777" w:rsidR="00862B0B" w:rsidRPr="00A67277" w:rsidRDefault="00862B0B" w:rsidP="00862B0B">
            <w:pPr>
              <w:spacing w:before="60" w:after="60"/>
              <w:rPr>
                <w:rFonts w:ascii="Arial" w:hAnsi="Arial" w:cs="Arial"/>
                <w:sz w:val="21"/>
                <w:szCs w:val="21"/>
              </w:rPr>
            </w:pPr>
          </w:p>
        </w:tc>
        <w:tc>
          <w:tcPr>
            <w:tcW w:w="2561" w:type="pct"/>
            <w:gridSpan w:val="2"/>
          </w:tcPr>
          <w:p w14:paraId="20E5D931" w14:textId="77777777" w:rsidR="00862B0B" w:rsidRPr="00A67277" w:rsidRDefault="00862B0B" w:rsidP="00862B0B">
            <w:pPr>
              <w:pStyle w:val="Heading2"/>
              <w:numPr>
                <w:ilvl w:val="0"/>
                <w:numId w:val="14"/>
              </w:numPr>
              <w:spacing w:before="60" w:after="60"/>
              <w:ind w:left="1112" w:hanging="180"/>
              <w:outlineLvl w:val="1"/>
              <w:rPr>
                <w:rFonts w:ascii="Arial" w:hAnsi="Arial" w:cs="Arial"/>
                <w:b/>
                <w:color w:val="auto"/>
                <w:sz w:val="21"/>
                <w:szCs w:val="21"/>
              </w:rPr>
            </w:pPr>
            <w:r w:rsidRPr="00A67277">
              <w:rPr>
                <w:rFonts w:ascii="Arial" w:hAnsi="Arial" w:cs="Arial"/>
                <w:b/>
                <w:color w:val="auto"/>
                <w:sz w:val="21"/>
                <w:szCs w:val="21"/>
              </w:rPr>
              <w:t xml:space="preserve">Definisi dan Contoh Keadaan Kahar </w:t>
            </w:r>
          </w:p>
        </w:tc>
      </w:tr>
      <w:tr w:rsidR="00862B0B" w:rsidRPr="00A67277" w14:paraId="73EBA9A2" w14:textId="77777777" w:rsidTr="00862B0B">
        <w:tc>
          <w:tcPr>
            <w:tcW w:w="2270" w:type="pct"/>
          </w:tcPr>
          <w:p w14:paraId="5B3D0C78" w14:textId="77777777" w:rsidR="00862B0B" w:rsidRPr="00A67277" w:rsidRDefault="00862B0B" w:rsidP="00862B0B">
            <w:pPr>
              <w:pStyle w:val="Level3"/>
              <w:numPr>
                <w:ilvl w:val="2"/>
                <w:numId w:val="502"/>
              </w:numPr>
              <w:tabs>
                <w:tab w:val="clear" w:pos="1417"/>
              </w:tabs>
              <w:spacing w:before="60" w:after="60"/>
              <w:ind w:left="1581" w:hanging="425"/>
            </w:pPr>
            <w:r w:rsidRPr="00A67277">
              <w:t xml:space="preserve">A </w:t>
            </w:r>
            <w:r w:rsidRPr="00A67277">
              <w:rPr>
                <w:b/>
              </w:rPr>
              <w:t>Force Majeure Event</w:t>
            </w:r>
            <w:r w:rsidRPr="00A67277">
              <w:t xml:space="preserve"> shall mean any circumstance not within the reasonable control, directly or indirectly, of the Party affected (</w:t>
            </w:r>
            <w:r w:rsidRPr="00A67277">
              <w:rPr>
                <w:b/>
              </w:rPr>
              <w:t>Affected Party</w:t>
            </w:r>
            <w:r w:rsidRPr="00A67277">
              <w:t>), but only if and to the extent that such circumstance, despite the exercise of reasonable diligence, cannot be prevented, avoided or removed by the Affected Party; and either:</w:t>
            </w:r>
          </w:p>
        </w:tc>
        <w:tc>
          <w:tcPr>
            <w:tcW w:w="169" w:type="pct"/>
          </w:tcPr>
          <w:p w14:paraId="50142EF6" w14:textId="77777777" w:rsidR="00862B0B" w:rsidRPr="00A67277" w:rsidRDefault="00862B0B" w:rsidP="00862B0B">
            <w:pPr>
              <w:spacing w:before="60" w:after="60"/>
              <w:rPr>
                <w:rFonts w:ascii="Arial" w:hAnsi="Arial" w:cs="Arial"/>
                <w:sz w:val="21"/>
                <w:szCs w:val="21"/>
              </w:rPr>
            </w:pPr>
          </w:p>
        </w:tc>
        <w:tc>
          <w:tcPr>
            <w:tcW w:w="2561" w:type="pct"/>
            <w:gridSpan w:val="2"/>
          </w:tcPr>
          <w:p w14:paraId="315A6544" w14:textId="77777777" w:rsidR="00862B0B" w:rsidRPr="00A67277" w:rsidRDefault="00862B0B" w:rsidP="00862B0B">
            <w:pPr>
              <w:pStyle w:val="Level3"/>
              <w:numPr>
                <w:ilvl w:val="0"/>
                <w:numId w:val="58"/>
              </w:numPr>
              <w:spacing w:before="60" w:after="60"/>
              <w:ind w:left="1550" w:hanging="450"/>
              <w:rPr>
                <w:rFonts w:cs="Arial"/>
              </w:rPr>
            </w:pPr>
            <w:r w:rsidRPr="00A67277">
              <w:rPr>
                <w:rFonts w:cs="Arial"/>
              </w:rPr>
              <w:t xml:space="preserve">Suatu </w:t>
            </w:r>
            <w:r w:rsidRPr="00A67277">
              <w:rPr>
                <w:rFonts w:cs="Arial"/>
                <w:b/>
              </w:rPr>
              <w:t>Peristiwa Keadaan Kahar</w:t>
            </w:r>
            <w:r w:rsidRPr="00A67277">
              <w:rPr>
                <w:rFonts w:cs="Arial"/>
              </w:rPr>
              <w:t xml:space="preserve"> berarti keadaan apapun yang tidak berada dalam kendali yang wajar, secara langsung atau tidak langsung, dari Pihak terpengaruh (“</w:t>
            </w:r>
            <w:r w:rsidRPr="00A67277">
              <w:rPr>
                <w:rFonts w:cs="Arial"/>
                <w:b/>
              </w:rPr>
              <w:t>Pihak Yang Terdampak</w:t>
            </w:r>
            <w:r w:rsidRPr="00A67277">
              <w:rPr>
                <w:rFonts w:cs="Arial"/>
              </w:rPr>
              <w:t>”), tetapi hanya jika dan sepanjang keadaan tersebut, tidak dapat dicegah, dihindari atau dihapus oleh Pihak Yang Terdampak tersebut, dan dimana:</w:t>
            </w:r>
          </w:p>
        </w:tc>
      </w:tr>
      <w:tr w:rsidR="00862B0B" w:rsidRPr="00A67277" w14:paraId="193AB0E2" w14:textId="77777777" w:rsidTr="00862B0B">
        <w:tc>
          <w:tcPr>
            <w:tcW w:w="2270" w:type="pct"/>
          </w:tcPr>
          <w:p w14:paraId="32D79414" w14:textId="77777777" w:rsidR="00862B0B" w:rsidRPr="00A67277" w:rsidRDefault="00862B0B" w:rsidP="00862B0B">
            <w:pPr>
              <w:pStyle w:val="Level4"/>
              <w:numPr>
                <w:ilvl w:val="0"/>
                <w:numId w:val="59"/>
              </w:numPr>
              <w:spacing w:before="60" w:after="60"/>
              <w:ind w:left="2126"/>
            </w:pPr>
            <w:r w:rsidRPr="00A67277">
              <w:t>such event prevents the Affected Party from performing its obligations under this Agreement; or</w:t>
            </w:r>
          </w:p>
        </w:tc>
        <w:tc>
          <w:tcPr>
            <w:tcW w:w="169" w:type="pct"/>
          </w:tcPr>
          <w:p w14:paraId="13589038" w14:textId="77777777" w:rsidR="00862B0B" w:rsidRPr="00A67277" w:rsidRDefault="00862B0B" w:rsidP="00862B0B">
            <w:pPr>
              <w:spacing w:before="60" w:after="60"/>
              <w:rPr>
                <w:rFonts w:ascii="Arial" w:hAnsi="Arial" w:cs="Arial"/>
                <w:sz w:val="21"/>
                <w:szCs w:val="21"/>
              </w:rPr>
            </w:pPr>
          </w:p>
        </w:tc>
        <w:tc>
          <w:tcPr>
            <w:tcW w:w="2561" w:type="pct"/>
            <w:gridSpan w:val="2"/>
          </w:tcPr>
          <w:p w14:paraId="47A17CB9" w14:textId="77777777" w:rsidR="00862B0B" w:rsidRPr="00A67277" w:rsidRDefault="00862B0B" w:rsidP="00862B0B">
            <w:pPr>
              <w:pStyle w:val="Level4"/>
              <w:numPr>
                <w:ilvl w:val="0"/>
                <w:numId w:val="61"/>
              </w:numPr>
              <w:spacing w:before="60" w:after="60"/>
              <w:ind w:left="2090"/>
              <w:rPr>
                <w:rFonts w:cs="Arial"/>
                <w:lang w:val="en-US"/>
              </w:rPr>
            </w:pPr>
            <w:r w:rsidRPr="00A67277">
              <w:rPr>
                <w:rFonts w:cs="Arial"/>
                <w:lang w:val="en-US"/>
              </w:rPr>
              <w:t xml:space="preserve">peristiwa tersebut mencegah </w:t>
            </w:r>
            <w:r w:rsidRPr="00A67277">
              <w:rPr>
                <w:rFonts w:cs="Arial"/>
              </w:rPr>
              <w:t>Pihak Yang Terdampak</w:t>
            </w:r>
            <w:r w:rsidRPr="00A67277">
              <w:rPr>
                <w:rFonts w:cs="Arial"/>
                <w:lang w:val="en-US"/>
              </w:rPr>
              <w:t xml:space="preserve"> untuk melaksanakan kewajibannya berdasarkan Perjanjian ini; atau</w:t>
            </w:r>
          </w:p>
        </w:tc>
      </w:tr>
      <w:tr w:rsidR="00862B0B" w:rsidRPr="00A67277" w14:paraId="28EEA0BD" w14:textId="77777777" w:rsidTr="00862B0B">
        <w:tc>
          <w:tcPr>
            <w:tcW w:w="2270" w:type="pct"/>
          </w:tcPr>
          <w:p w14:paraId="7BA08240" w14:textId="77777777" w:rsidR="00862B0B" w:rsidRPr="00A67277" w:rsidRDefault="00862B0B" w:rsidP="00862B0B">
            <w:pPr>
              <w:pStyle w:val="Level4"/>
              <w:numPr>
                <w:ilvl w:val="0"/>
                <w:numId w:val="59"/>
              </w:numPr>
              <w:spacing w:before="60" w:after="60"/>
              <w:ind w:left="2126"/>
            </w:pPr>
            <w:r w:rsidRPr="00A67277">
              <w:t xml:space="preserve">with respect to the IBE, such event materially adversely affects (either in time and/or in terms of cost in accelerating works to avoid and/or mitigate any delay in achieving any Milestone by the Milestone Date) the ability of the IBE to perform its obligations under this Agreement, </w:t>
            </w:r>
          </w:p>
          <w:p w14:paraId="57B1BB46" w14:textId="77777777" w:rsidR="00862B0B" w:rsidRPr="00A67277" w:rsidRDefault="00862B0B" w:rsidP="00862B0B">
            <w:pPr>
              <w:spacing w:before="60" w:after="60"/>
              <w:rPr>
                <w:rFonts w:ascii="Arial" w:hAnsi="Arial" w:cs="Arial"/>
                <w:sz w:val="21"/>
                <w:szCs w:val="21"/>
              </w:rPr>
            </w:pPr>
          </w:p>
        </w:tc>
        <w:tc>
          <w:tcPr>
            <w:tcW w:w="169" w:type="pct"/>
          </w:tcPr>
          <w:p w14:paraId="586A472B" w14:textId="77777777" w:rsidR="00862B0B" w:rsidRPr="00A67277" w:rsidRDefault="00862B0B" w:rsidP="00862B0B">
            <w:pPr>
              <w:spacing w:before="60" w:after="60"/>
              <w:rPr>
                <w:rFonts w:ascii="Arial" w:hAnsi="Arial" w:cs="Arial"/>
                <w:sz w:val="21"/>
                <w:szCs w:val="21"/>
              </w:rPr>
            </w:pPr>
          </w:p>
        </w:tc>
        <w:tc>
          <w:tcPr>
            <w:tcW w:w="2561" w:type="pct"/>
            <w:gridSpan w:val="2"/>
          </w:tcPr>
          <w:p w14:paraId="00391531" w14:textId="77777777" w:rsidR="00862B0B" w:rsidRPr="00A67277" w:rsidRDefault="00862B0B" w:rsidP="00862B0B">
            <w:pPr>
              <w:pStyle w:val="Level4"/>
              <w:numPr>
                <w:ilvl w:val="0"/>
                <w:numId w:val="61"/>
              </w:numPr>
              <w:spacing w:before="60" w:after="60"/>
              <w:ind w:left="2090"/>
              <w:rPr>
                <w:rFonts w:cs="Arial"/>
              </w:rPr>
            </w:pPr>
            <w:r w:rsidRPr="00A67277">
              <w:rPr>
                <w:rFonts w:cs="Arial"/>
                <w:lang w:val="en-US"/>
              </w:rPr>
              <w:t>sehubungan dengan BUP, peristiwa tersebut memberikan dampak merugikan secara material (baik dalam hal waktu dan/atau dalam hal biaya dalam menyelesaikan pekerjaan untuk menghindari dan/atau memitigasi setiap keterlambatan dalam mencapai setiap Pencapaian pada Tanggal Pencapaian) terhadap kemampuan dari BUP untuk melaksanakan kewajibannya berdasarkan Perjanjian ini.</w:t>
            </w:r>
          </w:p>
        </w:tc>
      </w:tr>
      <w:tr w:rsidR="00862B0B" w:rsidRPr="00A67277" w14:paraId="1EED61D9" w14:textId="77777777" w:rsidTr="00862B0B">
        <w:tc>
          <w:tcPr>
            <w:tcW w:w="2270" w:type="pct"/>
          </w:tcPr>
          <w:p w14:paraId="65994561" w14:textId="77777777" w:rsidR="00862B0B" w:rsidRPr="00A67277" w:rsidRDefault="00862B0B" w:rsidP="00862B0B">
            <w:pPr>
              <w:pStyle w:val="Level3"/>
              <w:spacing w:before="60" w:after="60"/>
              <w:ind w:left="1586"/>
            </w:pPr>
            <w:r w:rsidRPr="00A67277">
              <w:t>and in each case:</w:t>
            </w:r>
          </w:p>
        </w:tc>
        <w:tc>
          <w:tcPr>
            <w:tcW w:w="169" w:type="pct"/>
          </w:tcPr>
          <w:p w14:paraId="440796D8" w14:textId="77777777" w:rsidR="00862B0B" w:rsidRPr="00A67277" w:rsidRDefault="00862B0B" w:rsidP="00862B0B">
            <w:pPr>
              <w:spacing w:before="60" w:after="60"/>
              <w:rPr>
                <w:rFonts w:ascii="Arial" w:hAnsi="Arial" w:cs="Arial"/>
                <w:sz w:val="21"/>
                <w:szCs w:val="21"/>
              </w:rPr>
            </w:pPr>
          </w:p>
        </w:tc>
        <w:tc>
          <w:tcPr>
            <w:tcW w:w="2561" w:type="pct"/>
            <w:gridSpan w:val="2"/>
          </w:tcPr>
          <w:p w14:paraId="7232B8ED" w14:textId="77777777" w:rsidR="00862B0B" w:rsidRPr="00A67277" w:rsidRDefault="00862B0B" w:rsidP="00862B0B">
            <w:pPr>
              <w:pStyle w:val="Level3"/>
              <w:spacing w:before="60" w:after="60"/>
              <w:ind w:left="1652"/>
              <w:rPr>
                <w:rFonts w:cs="Arial"/>
              </w:rPr>
            </w:pPr>
            <w:r w:rsidRPr="00A67277">
              <w:rPr>
                <w:rFonts w:cs="Arial"/>
              </w:rPr>
              <w:t>dan dalam setiap hal:</w:t>
            </w:r>
          </w:p>
        </w:tc>
      </w:tr>
      <w:tr w:rsidR="00862B0B" w:rsidRPr="00A67277" w14:paraId="0C6922E4" w14:textId="77777777" w:rsidTr="00862B0B">
        <w:tc>
          <w:tcPr>
            <w:tcW w:w="2270" w:type="pct"/>
          </w:tcPr>
          <w:p w14:paraId="13CF7E27" w14:textId="77777777" w:rsidR="00862B0B" w:rsidRPr="00A67277" w:rsidRDefault="00862B0B" w:rsidP="00862B0B">
            <w:pPr>
              <w:pStyle w:val="Level5"/>
              <w:numPr>
                <w:ilvl w:val="4"/>
                <w:numId w:val="436"/>
              </w:numPr>
              <w:tabs>
                <w:tab w:val="clear" w:pos="2835"/>
              </w:tabs>
              <w:spacing w:before="60" w:after="60"/>
              <w:ind w:left="2149" w:hanging="529"/>
            </w:pPr>
            <w:r w:rsidRPr="00A67277">
              <w:t>the Affected Party has taken all reasonable precautions, due care and reasonable alternative measures in order to avoid the effect of such event on the Affected Party’s ability to perform its obligations under this Agreement and to mitigate the consequences thereof;</w:t>
            </w:r>
          </w:p>
          <w:p w14:paraId="1A275A1D" w14:textId="77777777" w:rsidR="00862B0B" w:rsidRPr="00A67277" w:rsidRDefault="00862B0B" w:rsidP="00862B0B">
            <w:pPr>
              <w:spacing w:before="60" w:after="60"/>
              <w:rPr>
                <w:rFonts w:ascii="Arial" w:hAnsi="Arial" w:cs="Arial"/>
                <w:sz w:val="21"/>
                <w:szCs w:val="21"/>
              </w:rPr>
            </w:pPr>
          </w:p>
        </w:tc>
        <w:tc>
          <w:tcPr>
            <w:tcW w:w="169" w:type="pct"/>
          </w:tcPr>
          <w:p w14:paraId="72B8C9FF" w14:textId="77777777" w:rsidR="00862B0B" w:rsidRPr="00A67277" w:rsidRDefault="00862B0B" w:rsidP="00862B0B">
            <w:pPr>
              <w:spacing w:before="60" w:after="60"/>
              <w:rPr>
                <w:rFonts w:ascii="Arial" w:hAnsi="Arial" w:cs="Arial"/>
                <w:sz w:val="21"/>
                <w:szCs w:val="21"/>
              </w:rPr>
            </w:pPr>
          </w:p>
        </w:tc>
        <w:tc>
          <w:tcPr>
            <w:tcW w:w="2561" w:type="pct"/>
            <w:gridSpan w:val="2"/>
          </w:tcPr>
          <w:p w14:paraId="362A3612" w14:textId="77777777" w:rsidR="00862B0B" w:rsidRPr="00A67277" w:rsidRDefault="00862B0B" w:rsidP="00862B0B">
            <w:pPr>
              <w:pStyle w:val="Level5"/>
              <w:numPr>
                <w:ilvl w:val="0"/>
                <w:numId w:val="60"/>
              </w:numPr>
              <w:spacing w:before="60" w:after="60"/>
              <w:ind w:left="2180" w:hanging="555"/>
              <w:rPr>
                <w:rFonts w:cs="Arial"/>
                <w:lang w:val="en-US"/>
              </w:rPr>
            </w:pPr>
            <w:r w:rsidRPr="00A67277">
              <w:rPr>
                <w:rFonts w:cs="Arial"/>
                <w:lang w:val="en-US"/>
              </w:rPr>
              <w:t>Pihak Yang Terdampak tersebut telah mengambil semua langkah-langkah pencegahan yang wajar, kehati-hatian dan langkah-langkah alternatif yang wajar untuk menghindari pengaruh dari peristiwa tersebut terhadap Pihak Yang Terdampak untuk melaksanakan kewajibannya berdasarkan Perjanjian ini dan untuk memitigasi akibat yang ditimbulkannya;</w:t>
            </w:r>
          </w:p>
        </w:tc>
      </w:tr>
      <w:tr w:rsidR="00862B0B" w:rsidRPr="00A67277" w14:paraId="3CD34A3D" w14:textId="77777777" w:rsidTr="00862B0B">
        <w:tc>
          <w:tcPr>
            <w:tcW w:w="2270" w:type="pct"/>
          </w:tcPr>
          <w:p w14:paraId="386C29D8" w14:textId="77777777" w:rsidR="00862B0B" w:rsidRPr="00A67277" w:rsidRDefault="00862B0B" w:rsidP="00862B0B">
            <w:pPr>
              <w:pStyle w:val="Level5"/>
              <w:numPr>
                <w:ilvl w:val="4"/>
                <w:numId w:val="436"/>
              </w:numPr>
              <w:tabs>
                <w:tab w:val="clear" w:pos="2835"/>
              </w:tabs>
              <w:spacing w:before="60" w:after="60"/>
              <w:ind w:left="2160" w:hanging="450"/>
            </w:pPr>
            <w:r w:rsidRPr="00A67277">
              <w:t>such event is not the direct or indirect result of the failure of the Affected Party to perform any of its obligations under any of the Project Agreements; and</w:t>
            </w:r>
          </w:p>
          <w:p w14:paraId="288E12F8" w14:textId="77777777" w:rsidR="00862B0B" w:rsidRPr="00A67277" w:rsidRDefault="00862B0B" w:rsidP="00862B0B">
            <w:pPr>
              <w:spacing w:before="60" w:after="60"/>
              <w:rPr>
                <w:rFonts w:ascii="Arial" w:hAnsi="Arial" w:cs="Arial"/>
                <w:sz w:val="21"/>
                <w:szCs w:val="21"/>
              </w:rPr>
            </w:pPr>
          </w:p>
        </w:tc>
        <w:tc>
          <w:tcPr>
            <w:tcW w:w="169" w:type="pct"/>
          </w:tcPr>
          <w:p w14:paraId="6D7A8337" w14:textId="77777777" w:rsidR="00862B0B" w:rsidRPr="00A67277" w:rsidRDefault="00862B0B" w:rsidP="00862B0B">
            <w:pPr>
              <w:spacing w:before="60" w:after="60"/>
              <w:rPr>
                <w:rFonts w:ascii="Arial" w:hAnsi="Arial" w:cs="Arial"/>
                <w:sz w:val="21"/>
                <w:szCs w:val="21"/>
              </w:rPr>
            </w:pPr>
          </w:p>
        </w:tc>
        <w:tc>
          <w:tcPr>
            <w:tcW w:w="2561" w:type="pct"/>
            <w:gridSpan w:val="2"/>
          </w:tcPr>
          <w:p w14:paraId="1008CDFE" w14:textId="77777777" w:rsidR="00862B0B" w:rsidRPr="00A67277" w:rsidRDefault="00862B0B" w:rsidP="00862B0B">
            <w:pPr>
              <w:pStyle w:val="Level5"/>
              <w:numPr>
                <w:ilvl w:val="0"/>
                <w:numId w:val="60"/>
              </w:numPr>
              <w:spacing w:before="60" w:after="60"/>
              <w:ind w:left="2180" w:hanging="555"/>
              <w:rPr>
                <w:rFonts w:cs="Arial"/>
                <w:lang w:val="en-US"/>
              </w:rPr>
            </w:pPr>
            <w:r w:rsidRPr="00A67277">
              <w:rPr>
                <w:rFonts w:cs="Arial"/>
                <w:lang w:val="en-US"/>
              </w:rPr>
              <w:t>peristiwa tersebut bukanlah akibat langsung maupun tidak langung dari kegagalan Pihak Yang Terdampak tersebut untuk melaksanakan kewajibannya berdasarkan setiap Perjanjian Proyek; dan</w:t>
            </w:r>
          </w:p>
        </w:tc>
      </w:tr>
      <w:tr w:rsidR="00862B0B" w:rsidRPr="00A67277" w14:paraId="5829F2AB" w14:textId="77777777" w:rsidTr="00862B0B">
        <w:tc>
          <w:tcPr>
            <w:tcW w:w="2270" w:type="pct"/>
          </w:tcPr>
          <w:p w14:paraId="10D3CC25" w14:textId="77777777" w:rsidR="00862B0B" w:rsidRPr="00A67277" w:rsidRDefault="00862B0B" w:rsidP="00862B0B">
            <w:pPr>
              <w:pStyle w:val="Level5"/>
              <w:numPr>
                <w:ilvl w:val="4"/>
                <w:numId w:val="437"/>
              </w:numPr>
              <w:tabs>
                <w:tab w:val="clear" w:pos="2835"/>
              </w:tabs>
              <w:spacing w:before="60" w:after="60"/>
              <w:ind w:left="2160" w:hanging="450"/>
            </w:pPr>
            <w:r w:rsidRPr="00A67277">
              <w:t>the Affected Party has given the other Party (“</w:t>
            </w:r>
            <w:r w:rsidRPr="00A67277">
              <w:rPr>
                <w:b/>
              </w:rPr>
              <w:t>Non-Affected Party”</w:t>
            </w:r>
            <w:r w:rsidRPr="00A67277">
              <w:t>) prompt notice describing such event, the effect thereof and the actions being taken in order to comply with this Clause 20.1 (</w:t>
            </w:r>
            <w:r w:rsidRPr="00A67277">
              <w:rPr>
                <w:i/>
              </w:rPr>
              <w:t>Definition and Instances of Force Majeure</w:t>
            </w:r>
            <w:r w:rsidRPr="00A67277">
              <w:t>).</w:t>
            </w:r>
          </w:p>
          <w:p w14:paraId="284B73F2" w14:textId="77777777" w:rsidR="00862B0B" w:rsidRPr="00A67277" w:rsidRDefault="00862B0B" w:rsidP="00862B0B">
            <w:pPr>
              <w:pStyle w:val="Level5"/>
              <w:tabs>
                <w:tab w:val="clear" w:pos="2835"/>
              </w:tabs>
              <w:spacing w:before="60" w:after="60"/>
              <w:ind w:left="2576" w:firstLine="0"/>
            </w:pPr>
          </w:p>
          <w:p w14:paraId="71ABCFD8" w14:textId="77777777" w:rsidR="00862B0B" w:rsidRPr="00A67277" w:rsidRDefault="00862B0B" w:rsidP="00862B0B">
            <w:pPr>
              <w:spacing w:before="60" w:after="60"/>
              <w:rPr>
                <w:rFonts w:ascii="Arial" w:hAnsi="Arial" w:cs="Arial"/>
                <w:sz w:val="21"/>
                <w:szCs w:val="21"/>
              </w:rPr>
            </w:pPr>
          </w:p>
        </w:tc>
        <w:tc>
          <w:tcPr>
            <w:tcW w:w="169" w:type="pct"/>
          </w:tcPr>
          <w:p w14:paraId="675195DD" w14:textId="77777777" w:rsidR="00862B0B" w:rsidRPr="00A67277" w:rsidRDefault="00862B0B" w:rsidP="00862B0B">
            <w:pPr>
              <w:spacing w:before="60" w:after="60"/>
              <w:rPr>
                <w:rFonts w:ascii="Arial" w:hAnsi="Arial" w:cs="Arial"/>
                <w:sz w:val="21"/>
                <w:szCs w:val="21"/>
              </w:rPr>
            </w:pPr>
          </w:p>
        </w:tc>
        <w:tc>
          <w:tcPr>
            <w:tcW w:w="2561" w:type="pct"/>
            <w:gridSpan w:val="2"/>
          </w:tcPr>
          <w:p w14:paraId="3FEF3DFD" w14:textId="77777777" w:rsidR="00862B0B" w:rsidRPr="00A67277" w:rsidRDefault="00862B0B" w:rsidP="00862B0B">
            <w:pPr>
              <w:pStyle w:val="Level5"/>
              <w:numPr>
                <w:ilvl w:val="0"/>
                <w:numId w:val="60"/>
              </w:numPr>
              <w:spacing w:before="60" w:after="60"/>
              <w:ind w:left="2180" w:hanging="555"/>
              <w:rPr>
                <w:rFonts w:cs="Arial"/>
                <w:lang w:val="en-US"/>
              </w:rPr>
            </w:pPr>
            <w:r w:rsidRPr="00A67277">
              <w:rPr>
                <w:rFonts w:cs="Arial"/>
                <w:lang w:val="en-US"/>
              </w:rPr>
              <w:t>Pihak Yang Terdampak tersebut telah memberikan kepada Pihak lainnya (“</w:t>
            </w:r>
            <w:r w:rsidRPr="00A67277">
              <w:rPr>
                <w:rFonts w:cs="Arial"/>
                <w:b/>
                <w:lang w:val="en-US"/>
              </w:rPr>
              <w:t>Pihak Yang Tidak Terdampak”</w:t>
            </w:r>
            <w:r w:rsidRPr="00A67277">
              <w:rPr>
                <w:rFonts w:cs="Arial"/>
                <w:lang w:val="en-US"/>
              </w:rPr>
              <w:t xml:space="preserve">) pemberitahuan segera yang menjelaskan peristiwa tersebut, dampaknya dan tindakan yang diambil dalam rangka mematuhi Pasal 20.1 (Definisi dan Contoh Keadaan Kahar) ini. </w:t>
            </w:r>
          </w:p>
        </w:tc>
      </w:tr>
      <w:tr w:rsidR="00862B0B" w:rsidRPr="00A67277" w14:paraId="7C724DAC" w14:textId="77777777" w:rsidTr="00862B0B">
        <w:tc>
          <w:tcPr>
            <w:tcW w:w="2270" w:type="pct"/>
          </w:tcPr>
          <w:p w14:paraId="5C4F6934" w14:textId="77777777" w:rsidR="00862B0B" w:rsidRPr="00A67277" w:rsidRDefault="00862B0B" w:rsidP="00862B0B">
            <w:pPr>
              <w:pStyle w:val="Level3"/>
              <w:numPr>
                <w:ilvl w:val="2"/>
                <w:numId w:val="502"/>
              </w:numPr>
              <w:tabs>
                <w:tab w:val="clear" w:pos="1417"/>
                <w:tab w:val="num" w:pos="3026"/>
              </w:tabs>
              <w:spacing w:before="60" w:after="60"/>
              <w:ind w:left="1586" w:hanging="461"/>
            </w:pPr>
            <w:r w:rsidRPr="00A67277">
              <w:t>Subject to paragraph (a) and Clause 20.4 (Certain Events Do Not Constitute a Force Majeure Event), Force Majeure Events shall include, but not be limited to:</w:t>
            </w:r>
          </w:p>
        </w:tc>
        <w:tc>
          <w:tcPr>
            <w:tcW w:w="169" w:type="pct"/>
          </w:tcPr>
          <w:p w14:paraId="6D83DCFC" w14:textId="77777777" w:rsidR="00862B0B" w:rsidRPr="00A67277" w:rsidRDefault="00862B0B" w:rsidP="00862B0B">
            <w:pPr>
              <w:spacing w:before="60" w:after="60"/>
              <w:rPr>
                <w:rFonts w:ascii="Arial" w:hAnsi="Arial" w:cs="Arial"/>
                <w:sz w:val="21"/>
                <w:szCs w:val="21"/>
              </w:rPr>
            </w:pPr>
          </w:p>
        </w:tc>
        <w:tc>
          <w:tcPr>
            <w:tcW w:w="2561" w:type="pct"/>
            <w:gridSpan w:val="2"/>
          </w:tcPr>
          <w:p w14:paraId="76C19B5E" w14:textId="77777777" w:rsidR="00862B0B" w:rsidRPr="00A67277" w:rsidRDefault="00862B0B" w:rsidP="00862B0B">
            <w:pPr>
              <w:pStyle w:val="Level3"/>
              <w:numPr>
                <w:ilvl w:val="0"/>
                <w:numId w:val="58"/>
              </w:numPr>
              <w:spacing w:before="60" w:after="60"/>
              <w:ind w:left="1550" w:hanging="450"/>
              <w:rPr>
                <w:rFonts w:cs="Arial"/>
              </w:rPr>
            </w:pPr>
            <w:r w:rsidRPr="00A67277">
              <w:rPr>
                <w:rFonts w:cs="Arial"/>
              </w:rPr>
              <w:t>Tunduk pada ketentuan paragraf (a) dan Pasal 20.4 (Peristiwa Tertentu Bukan Merupakan Peristiwa Keadaan Kahar), Peristiwa Keadaan Kahar harus termasuk, tetapi tidak terbatas pada:</w:t>
            </w:r>
          </w:p>
        </w:tc>
      </w:tr>
      <w:tr w:rsidR="00862B0B" w:rsidRPr="00A67277" w14:paraId="7E907275" w14:textId="77777777" w:rsidTr="00862B0B">
        <w:tc>
          <w:tcPr>
            <w:tcW w:w="2270" w:type="pct"/>
          </w:tcPr>
          <w:p w14:paraId="481AA84F" w14:textId="77777777" w:rsidR="00862B0B" w:rsidRPr="00A67277" w:rsidRDefault="00862B0B" w:rsidP="00862B0B">
            <w:pPr>
              <w:pStyle w:val="Level4"/>
              <w:numPr>
                <w:ilvl w:val="0"/>
                <w:numId w:val="62"/>
              </w:numPr>
              <w:spacing w:before="60" w:after="60"/>
              <w:ind w:left="2126"/>
            </w:pPr>
            <w:r w:rsidRPr="00A67277">
              <w:t>acts of war (whether declared or not), invasion or act of foreign enemy, in each case occurring within or involving the Republic of Indonesia;</w:t>
            </w:r>
          </w:p>
          <w:p w14:paraId="41B7BD09" w14:textId="77777777" w:rsidR="00862B0B" w:rsidRPr="00A67277" w:rsidRDefault="00862B0B" w:rsidP="00862B0B">
            <w:pPr>
              <w:spacing w:before="60" w:after="60"/>
              <w:rPr>
                <w:rFonts w:ascii="Arial" w:hAnsi="Arial" w:cs="Arial"/>
                <w:sz w:val="21"/>
                <w:szCs w:val="21"/>
              </w:rPr>
            </w:pPr>
          </w:p>
        </w:tc>
        <w:tc>
          <w:tcPr>
            <w:tcW w:w="169" w:type="pct"/>
          </w:tcPr>
          <w:p w14:paraId="40DBD00C" w14:textId="77777777" w:rsidR="00862B0B" w:rsidRPr="00A67277" w:rsidRDefault="00862B0B" w:rsidP="00862B0B">
            <w:pPr>
              <w:spacing w:before="60" w:after="60"/>
              <w:rPr>
                <w:rFonts w:ascii="Arial" w:hAnsi="Arial" w:cs="Arial"/>
                <w:sz w:val="21"/>
                <w:szCs w:val="21"/>
              </w:rPr>
            </w:pPr>
          </w:p>
        </w:tc>
        <w:tc>
          <w:tcPr>
            <w:tcW w:w="2561" w:type="pct"/>
            <w:gridSpan w:val="2"/>
          </w:tcPr>
          <w:p w14:paraId="4BC924AA"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tindakan perang (baik yang dideklarasikan atau tidak), invasi atau tindakan dari musuh asing, dalam setiap kasusnya terjadi di dalam atau melibatkan Republik Indonesia;</w:t>
            </w:r>
          </w:p>
        </w:tc>
      </w:tr>
      <w:tr w:rsidR="00862B0B" w:rsidRPr="00A67277" w14:paraId="5D566F49" w14:textId="77777777" w:rsidTr="00862B0B">
        <w:tc>
          <w:tcPr>
            <w:tcW w:w="2270" w:type="pct"/>
          </w:tcPr>
          <w:p w14:paraId="0683F781" w14:textId="77777777" w:rsidR="00862B0B" w:rsidRPr="00A67277" w:rsidRDefault="00862B0B" w:rsidP="00862B0B">
            <w:pPr>
              <w:pStyle w:val="Level4"/>
              <w:numPr>
                <w:ilvl w:val="0"/>
                <w:numId w:val="62"/>
              </w:numPr>
              <w:spacing w:before="60" w:after="60"/>
              <w:ind w:left="2126"/>
            </w:pPr>
            <w:r w:rsidRPr="00A67277">
              <w:t>acts of rebellion, riot, civil commotion, strikes of a political nature, act or campaign of terrorism, or sabotage of a political nature in each case occurring within the Republic of Indonesia;</w:t>
            </w:r>
          </w:p>
          <w:p w14:paraId="0FBAD33A" w14:textId="77777777" w:rsidR="00862B0B" w:rsidRPr="00A67277" w:rsidRDefault="00862B0B" w:rsidP="00862B0B">
            <w:pPr>
              <w:spacing w:before="60" w:after="60"/>
              <w:rPr>
                <w:rFonts w:ascii="Arial" w:hAnsi="Arial" w:cs="Arial"/>
                <w:sz w:val="21"/>
                <w:szCs w:val="21"/>
              </w:rPr>
            </w:pPr>
          </w:p>
        </w:tc>
        <w:tc>
          <w:tcPr>
            <w:tcW w:w="169" w:type="pct"/>
          </w:tcPr>
          <w:p w14:paraId="0D4616DD" w14:textId="77777777" w:rsidR="00862B0B" w:rsidRPr="00A67277" w:rsidRDefault="00862B0B" w:rsidP="00862B0B">
            <w:pPr>
              <w:spacing w:before="60" w:after="60"/>
              <w:rPr>
                <w:rFonts w:ascii="Arial" w:hAnsi="Arial" w:cs="Arial"/>
                <w:sz w:val="21"/>
                <w:szCs w:val="21"/>
              </w:rPr>
            </w:pPr>
          </w:p>
        </w:tc>
        <w:tc>
          <w:tcPr>
            <w:tcW w:w="2561" w:type="pct"/>
            <w:gridSpan w:val="2"/>
          </w:tcPr>
          <w:p w14:paraId="54E7D801"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tindakan pemberontakan, kerusuhan, huru-hara, pemogokan yang bersifat politik, tindakan atau kampanye terorisme, atau sabotase yang bersifat politik dalam setiap kasusnya terjadi di dalam Republik Indonesia;</w:t>
            </w:r>
          </w:p>
        </w:tc>
      </w:tr>
      <w:tr w:rsidR="00862B0B" w:rsidRPr="00A67277" w14:paraId="0A05403E" w14:textId="77777777" w:rsidTr="00862B0B">
        <w:tc>
          <w:tcPr>
            <w:tcW w:w="2270" w:type="pct"/>
          </w:tcPr>
          <w:p w14:paraId="57F823F3" w14:textId="77777777" w:rsidR="00862B0B" w:rsidRPr="00A67277" w:rsidRDefault="00862B0B" w:rsidP="00862B0B">
            <w:pPr>
              <w:pStyle w:val="Level4"/>
              <w:numPr>
                <w:ilvl w:val="0"/>
                <w:numId w:val="62"/>
              </w:numPr>
              <w:spacing w:before="60" w:after="60"/>
              <w:ind w:left="2126"/>
            </w:pPr>
            <w:r w:rsidRPr="00A67277">
              <w:t>nuclear contamination;</w:t>
            </w:r>
          </w:p>
        </w:tc>
        <w:tc>
          <w:tcPr>
            <w:tcW w:w="169" w:type="pct"/>
          </w:tcPr>
          <w:p w14:paraId="658818B6" w14:textId="77777777" w:rsidR="00862B0B" w:rsidRPr="00A67277" w:rsidRDefault="00862B0B" w:rsidP="00862B0B">
            <w:pPr>
              <w:spacing w:before="60" w:after="60"/>
              <w:rPr>
                <w:rFonts w:ascii="Arial" w:hAnsi="Arial" w:cs="Arial"/>
                <w:sz w:val="21"/>
                <w:szCs w:val="21"/>
              </w:rPr>
            </w:pPr>
          </w:p>
        </w:tc>
        <w:tc>
          <w:tcPr>
            <w:tcW w:w="2561" w:type="pct"/>
            <w:gridSpan w:val="2"/>
          </w:tcPr>
          <w:p w14:paraId="3128EC7D"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kontaminasi nuklir;</w:t>
            </w:r>
          </w:p>
        </w:tc>
      </w:tr>
      <w:tr w:rsidR="00862B0B" w:rsidRPr="00A67277" w14:paraId="59BD6B2F" w14:textId="77777777" w:rsidTr="00862B0B">
        <w:tc>
          <w:tcPr>
            <w:tcW w:w="2270" w:type="pct"/>
          </w:tcPr>
          <w:p w14:paraId="067E5348" w14:textId="77777777" w:rsidR="00862B0B" w:rsidRPr="00A67277" w:rsidRDefault="00862B0B" w:rsidP="00862B0B">
            <w:pPr>
              <w:pStyle w:val="Level4"/>
              <w:numPr>
                <w:ilvl w:val="0"/>
                <w:numId w:val="62"/>
              </w:numPr>
              <w:spacing w:before="60" w:after="60"/>
              <w:ind w:left="2126"/>
            </w:pPr>
            <w:r w:rsidRPr="00A67277">
              <w:t>chemical or biological contamination;</w:t>
            </w:r>
          </w:p>
        </w:tc>
        <w:tc>
          <w:tcPr>
            <w:tcW w:w="169" w:type="pct"/>
          </w:tcPr>
          <w:p w14:paraId="374DB2F2" w14:textId="77777777" w:rsidR="00862B0B" w:rsidRPr="00A67277" w:rsidRDefault="00862B0B" w:rsidP="00862B0B">
            <w:pPr>
              <w:spacing w:before="60" w:after="60"/>
              <w:rPr>
                <w:rFonts w:ascii="Arial" w:hAnsi="Arial" w:cs="Arial"/>
                <w:sz w:val="21"/>
                <w:szCs w:val="21"/>
              </w:rPr>
            </w:pPr>
          </w:p>
        </w:tc>
        <w:tc>
          <w:tcPr>
            <w:tcW w:w="2561" w:type="pct"/>
            <w:gridSpan w:val="2"/>
          </w:tcPr>
          <w:p w14:paraId="3AD6B3D3"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kontaminasi kimia atau biologis;</w:t>
            </w:r>
          </w:p>
        </w:tc>
      </w:tr>
      <w:tr w:rsidR="00862B0B" w:rsidRPr="00A67277" w14:paraId="1CD11992" w14:textId="77777777" w:rsidTr="00862B0B">
        <w:tc>
          <w:tcPr>
            <w:tcW w:w="2270" w:type="pct"/>
          </w:tcPr>
          <w:p w14:paraId="52C5D97E" w14:textId="77777777" w:rsidR="00862B0B" w:rsidRPr="00A67277" w:rsidRDefault="00862B0B" w:rsidP="00862B0B">
            <w:pPr>
              <w:pStyle w:val="Level4"/>
              <w:numPr>
                <w:ilvl w:val="0"/>
                <w:numId w:val="62"/>
              </w:numPr>
              <w:spacing w:before="60" w:after="60"/>
              <w:ind w:left="2126"/>
            </w:pPr>
            <w:r w:rsidRPr="00A67277">
              <w:t>exceptional lightning, fire, earthquake, epidemic or plague, tsunami, flood, storm, cyclone, typhoon, tornado or other natural calamity;</w:t>
            </w:r>
          </w:p>
        </w:tc>
        <w:tc>
          <w:tcPr>
            <w:tcW w:w="169" w:type="pct"/>
          </w:tcPr>
          <w:p w14:paraId="0B359470" w14:textId="77777777" w:rsidR="00862B0B" w:rsidRPr="00A67277" w:rsidRDefault="00862B0B" w:rsidP="00862B0B">
            <w:pPr>
              <w:spacing w:before="60" w:after="60"/>
              <w:rPr>
                <w:rFonts w:ascii="Arial" w:hAnsi="Arial" w:cs="Arial"/>
                <w:sz w:val="21"/>
                <w:szCs w:val="21"/>
              </w:rPr>
            </w:pPr>
          </w:p>
        </w:tc>
        <w:tc>
          <w:tcPr>
            <w:tcW w:w="2561" w:type="pct"/>
            <w:gridSpan w:val="2"/>
          </w:tcPr>
          <w:p w14:paraId="218C421D"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petir, kebakaran, gempa bumi, epidemik atau wabah, tsunami, banjir, badai, topan, tornado dan bencana alam lainnya yang bersifat luar biasa;</w:t>
            </w:r>
          </w:p>
        </w:tc>
      </w:tr>
      <w:tr w:rsidR="00862B0B" w:rsidRPr="00A67277" w14:paraId="0C40FF75" w14:textId="77777777" w:rsidTr="00862B0B">
        <w:tc>
          <w:tcPr>
            <w:tcW w:w="2270" w:type="pct"/>
          </w:tcPr>
          <w:p w14:paraId="1CCEB103" w14:textId="77777777" w:rsidR="00862B0B" w:rsidRPr="00A67277" w:rsidRDefault="00862B0B" w:rsidP="00862B0B">
            <w:pPr>
              <w:pStyle w:val="Level4"/>
              <w:numPr>
                <w:ilvl w:val="0"/>
                <w:numId w:val="62"/>
              </w:numPr>
              <w:spacing w:before="60" w:after="60"/>
              <w:ind w:left="2126"/>
            </w:pPr>
            <w:r w:rsidRPr="00A67277">
              <w:t>strikes or other industrial action, other than strikes or industrial action by employees of the IBE or any of its Contractors or their respective employees, directors, or agents that:</w:t>
            </w:r>
          </w:p>
        </w:tc>
        <w:tc>
          <w:tcPr>
            <w:tcW w:w="169" w:type="pct"/>
          </w:tcPr>
          <w:p w14:paraId="406971B1" w14:textId="77777777" w:rsidR="00862B0B" w:rsidRPr="00A67277" w:rsidRDefault="00862B0B" w:rsidP="00862B0B">
            <w:pPr>
              <w:spacing w:before="60" w:after="60"/>
              <w:rPr>
                <w:rFonts w:ascii="Arial" w:hAnsi="Arial" w:cs="Arial"/>
                <w:sz w:val="21"/>
                <w:szCs w:val="21"/>
              </w:rPr>
            </w:pPr>
          </w:p>
        </w:tc>
        <w:tc>
          <w:tcPr>
            <w:tcW w:w="2561" w:type="pct"/>
            <w:gridSpan w:val="2"/>
          </w:tcPr>
          <w:p w14:paraId="283B7695" w14:textId="77777777" w:rsidR="00862B0B" w:rsidRPr="00A67277" w:rsidRDefault="00862B0B" w:rsidP="00862B0B">
            <w:pPr>
              <w:pStyle w:val="Level4"/>
              <w:numPr>
                <w:ilvl w:val="0"/>
                <w:numId w:val="63"/>
              </w:numPr>
              <w:spacing w:before="60" w:after="60"/>
              <w:ind w:left="2090"/>
              <w:rPr>
                <w:rFonts w:cs="Arial"/>
                <w:lang w:val="en-US"/>
              </w:rPr>
            </w:pPr>
            <w:r w:rsidRPr="00A67277">
              <w:rPr>
                <w:rFonts w:cs="Arial"/>
                <w:lang w:val="en-US"/>
              </w:rPr>
              <w:t>pemogokan atau tindakan industrial lainnya, selain pemogokan atau tindakan industrial oleh pekerja dar BUP atau setiap Kontraktor atau pekerja, direktur, atau agennya yang:</w:t>
            </w:r>
          </w:p>
        </w:tc>
      </w:tr>
      <w:tr w:rsidR="00862B0B" w:rsidRPr="00A67277" w14:paraId="5A388439" w14:textId="77777777" w:rsidTr="00862B0B">
        <w:tc>
          <w:tcPr>
            <w:tcW w:w="2270" w:type="pct"/>
          </w:tcPr>
          <w:p w14:paraId="3494F05D" w14:textId="77777777" w:rsidR="00862B0B" w:rsidRPr="00A67277" w:rsidRDefault="00862B0B" w:rsidP="00862B0B">
            <w:pPr>
              <w:pStyle w:val="Level5"/>
              <w:numPr>
                <w:ilvl w:val="4"/>
                <w:numId w:val="438"/>
              </w:numPr>
              <w:spacing w:before="60" w:after="60"/>
            </w:pPr>
            <w:r w:rsidRPr="00A67277">
              <w:t>do not form part of a national or regional or collective bargaining Dispute; and</w:t>
            </w:r>
          </w:p>
          <w:p w14:paraId="50D5F6DA" w14:textId="77777777" w:rsidR="00862B0B" w:rsidRPr="00A67277" w:rsidRDefault="00862B0B" w:rsidP="00862B0B">
            <w:pPr>
              <w:spacing w:before="60" w:after="60"/>
              <w:rPr>
                <w:rFonts w:ascii="Arial" w:hAnsi="Arial" w:cs="Arial"/>
                <w:sz w:val="21"/>
                <w:szCs w:val="21"/>
              </w:rPr>
            </w:pPr>
          </w:p>
        </w:tc>
        <w:tc>
          <w:tcPr>
            <w:tcW w:w="169" w:type="pct"/>
          </w:tcPr>
          <w:p w14:paraId="3B6BE595" w14:textId="77777777" w:rsidR="00862B0B" w:rsidRPr="00A67277" w:rsidRDefault="00862B0B" w:rsidP="00862B0B">
            <w:pPr>
              <w:spacing w:before="60" w:after="60"/>
              <w:rPr>
                <w:rFonts w:ascii="Arial" w:hAnsi="Arial" w:cs="Arial"/>
                <w:sz w:val="21"/>
                <w:szCs w:val="21"/>
              </w:rPr>
            </w:pPr>
          </w:p>
        </w:tc>
        <w:tc>
          <w:tcPr>
            <w:tcW w:w="2561" w:type="pct"/>
            <w:gridSpan w:val="2"/>
          </w:tcPr>
          <w:p w14:paraId="35535D8C" w14:textId="77777777" w:rsidR="00862B0B" w:rsidRPr="00A67277" w:rsidRDefault="00862B0B" w:rsidP="00862B0B">
            <w:pPr>
              <w:pStyle w:val="Level5"/>
              <w:numPr>
                <w:ilvl w:val="0"/>
                <w:numId w:val="64"/>
              </w:numPr>
              <w:spacing w:before="60" w:after="60"/>
              <w:ind w:left="2630" w:hanging="550"/>
              <w:rPr>
                <w:rFonts w:cs="Arial"/>
                <w:lang w:val="en-US"/>
              </w:rPr>
            </w:pPr>
            <w:r w:rsidRPr="00A67277">
              <w:rPr>
                <w:rFonts w:cs="Arial"/>
                <w:lang w:val="en-US"/>
              </w:rPr>
              <w:t>bukan merupakan bagian dari sengketa industrial nasional atau regional atau negosiasi kolektif; dan</w:t>
            </w:r>
          </w:p>
        </w:tc>
      </w:tr>
      <w:tr w:rsidR="00862B0B" w:rsidRPr="00A67277" w14:paraId="1A420961" w14:textId="77777777" w:rsidTr="00862B0B">
        <w:tc>
          <w:tcPr>
            <w:tcW w:w="2270" w:type="pct"/>
          </w:tcPr>
          <w:p w14:paraId="453559AC" w14:textId="77777777" w:rsidR="00862B0B" w:rsidRPr="00A67277" w:rsidRDefault="00862B0B" w:rsidP="00862B0B">
            <w:pPr>
              <w:pStyle w:val="Level5"/>
              <w:numPr>
                <w:ilvl w:val="4"/>
                <w:numId w:val="438"/>
              </w:numPr>
              <w:spacing w:before="60" w:after="60"/>
            </w:pPr>
            <w:r w:rsidRPr="00A67277">
              <w:t xml:space="preserve">are within the control of the IBE or the relevant Contractor, or its respective employees, directors, or agents, to resolve, strikes, works to rule or go-slows; </w:t>
            </w:r>
          </w:p>
        </w:tc>
        <w:tc>
          <w:tcPr>
            <w:tcW w:w="169" w:type="pct"/>
          </w:tcPr>
          <w:p w14:paraId="2ABDE298" w14:textId="77777777" w:rsidR="00862B0B" w:rsidRPr="00A67277" w:rsidRDefault="00862B0B" w:rsidP="00862B0B">
            <w:pPr>
              <w:spacing w:before="60" w:after="60"/>
              <w:rPr>
                <w:rFonts w:ascii="Arial" w:hAnsi="Arial" w:cs="Arial"/>
                <w:sz w:val="21"/>
                <w:szCs w:val="21"/>
              </w:rPr>
            </w:pPr>
          </w:p>
        </w:tc>
        <w:tc>
          <w:tcPr>
            <w:tcW w:w="2561" w:type="pct"/>
            <w:gridSpan w:val="2"/>
          </w:tcPr>
          <w:p w14:paraId="51AAA328" w14:textId="77777777" w:rsidR="00862B0B" w:rsidRPr="00A67277" w:rsidRDefault="00862B0B" w:rsidP="00862B0B">
            <w:pPr>
              <w:pStyle w:val="Level5"/>
              <w:numPr>
                <w:ilvl w:val="0"/>
                <w:numId w:val="64"/>
              </w:numPr>
              <w:spacing w:before="60" w:after="60"/>
              <w:ind w:left="2630" w:hanging="550"/>
              <w:rPr>
                <w:rFonts w:cs="Arial"/>
                <w:lang w:val="en-US"/>
              </w:rPr>
            </w:pPr>
            <w:r w:rsidRPr="00A67277">
              <w:rPr>
                <w:rFonts w:cs="Arial"/>
                <w:lang w:val="en-US"/>
              </w:rPr>
              <w:t xml:space="preserve">berada dalam kendali BUP atau Kontraktor yang bersangkutan, atau pekerja, direktur, atau agennya, untuk menyelesaikan pemogokan, tindakan untuk menguasai atau memperlambat; </w:t>
            </w:r>
          </w:p>
        </w:tc>
      </w:tr>
      <w:tr w:rsidR="00862B0B" w:rsidRPr="00A67277" w14:paraId="0FB17555" w14:textId="77777777" w:rsidTr="00862B0B">
        <w:tc>
          <w:tcPr>
            <w:tcW w:w="2270" w:type="pct"/>
          </w:tcPr>
          <w:p w14:paraId="726E8B87" w14:textId="77777777" w:rsidR="00862B0B" w:rsidRPr="00A67277" w:rsidRDefault="00862B0B" w:rsidP="00862B0B">
            <w:pPr>
              <w:pStyle w:val="Level4"/>
              <w:numPr>
                <w:ilvl w:val="0"/>
                <w:numId w:val="62"/>
              </w:numPr>
              <w:spacing w:before="60" w:after="60"/>
              <w:ind w:left="2126"/>
            </w:pPr>
            <w:r w:rsidRPr="00A67277">
              <w:t xml:space="preserve">accidents or explosions (except if such accidents or explosions are caused by the fault or negligence of the Affected Party); </w:t>
            </w:r>
          </w:p>
          <w:p w14:paraId="15EBAA37" w14:textId="77777777" w:rsidR="00862B0B" w:rsidRPr="00A67277" w:rsidRDefault="00862B0B" w:rsidP="00862B0B">
            <w:pPr>
              <w:spacing w:before="60" w:after="60"/>
              <w:rPr>
                <w:rFonts w:ascii="Arial" w:hAnsi="Arial" w:cs="Arial"/>
                <w:sz w:val="21"/>
                <w:szCs w:val="21"/>
              </w:rPr>
            </w:pPr>
          </w:p>
        </w:tc>
        <w:tc>
          <w:tcPr>
            <w:tcW w:w="169" w:type="pct"/>
          </w:tcPr>
          <w:p w14:paraId="0CEDB050" w14:textId="77777777" w:rsidR="00862B0B" w:rsidRPr="00A67277" w:rsidRDefault="00862B0B" w:rsidP="00862B0B">
            <w:pPr>
              <w:spacing w:before="60" w:after="60"/>
              <w:rPr>
                <w:rFonts w:ascii="Arial" w:hAnsi="Arial" w:cs="Arial"/>
                <w:sz w:val="21"/>
                <w:szCs w:val="21"/>
              </w:rPr>
            </w:pPr>
          </w:p>
        </w:tc>
        <w:tc>
          <w:tcPr>
            <w:tcW w:w="2561" w:type="pct"/>
            <w:gridSpan w:val="2"/>
          </w:tcPr>
          <w:p w14:paraId="1591A69C" w14:textId="77777777" w:rsidR="00862B0B" w:rsidRPr="00A67277" w:rsidRDefault="00862B0B" w:rsidP="00862B0B">
            <w:pPr>
              <w:pStyle w:val="Level4"/>
              <w:numPr>
                <w:ilvl w:val="0"/>
                <w:numId w:val="63"/>
              </w:numPr>
              <w:spacing w:before="60" w:after="60"/>
              <w:ind w:left="2090"/>
              <w:rPr>
                <w:rFonts w:cs="Arial"/>
              </w:rPr>
            </w:pPr>
            <w:r w:rsidRPr="00A67277">
              <w:rPr>
                <w:rFonts w:cs="Arial"/>
                <w:lang w:val="en-US"/>
              </w:rPr>
              <w:t>kecelakaan atau peledakan (kecuali jika kecelakaan atau peledakan tersebut disebabkan oleh kesalahan atau kelalaian dari Pihak Yang Terdampak); dan</w:t>
            </w:r>
          </w:p>
        </w:tc>
      </w:tr>
      <w:tr w:rsidR="00862B0B" w:rsidRPr="00A67277" w14:paraId="6ABEA23B" w14:textId="77777777" w:rsidTr="00862B0B">
        <w:tc>
          <w:tcPr>
            <w:tcW w:w="2270" w:type="pct"/>
          </w:tcPr>
          <w:p w14:paraId="25EEFC5F" w14:textId="77777777" w:rsidR="00862B0B" w:rsidRPr="00A67277" w:rsidRDefault="00862B0B" w:rsidP="00862B0B">
            <w:pPr>
              <w:pStyle w:val="Heading2"/>
              <w:numPr>
                <w:ilvl w:val="0"/>
                <w:numId w:val="57"/>
              </w:numPr>
              <w:spacing w:before="60" w:after="60"/>
              <w:ind w:left="1136" w:hanging="180"/>
              <w:outlineLvl w:val="1"/>
              <w:rPr>
                <w:rFonts w:ascii="Arial" w:hAnsi="Arial" w:cs="Arial"/>
                <w:b/>
                <w:color w:val="auto"/>
                <w:sz w:val="21"/>
                <w:szCs w:val="21"/>
              </w:rPr>
            </w:pPr>
            <w:r w:rsidRPr="00A67277">
              <w:rPr>
                <w:rFonts w:ascii="Arial" w:hAnsi="Arial" w:cs="Arial"/>
                <w:b/>
                <w:color w:val="auto"/>
                <w:sz w:val="21"/>
                <w:szCs w:val="21"/>
              </w:rPr>
              <w:t>Responsibilities of the Parties during a Force Majeure Event</w:t>
            </w:r>
          </w:p>
          <w:p w14:paraId="5C548EB8" w14:textId="77777777" w:rsidR="00862B0B" w:rsidRPr="00A67277" w:rsidRDefault="00862B0B" w:rsidP="00862B0B">
            <w:pPr>
              <w:spacing w:before="60" w:after="60"/>
              <w:rPr>
                <w:rFonts w:ascii="Arial" w:hAnsi="Arial" w:cs="Arial"/>
                <w:sz w:val="21"/>
                <w:szCs w:val="21"/>
              </w:rPr>
            </w:pPr>
          </w:p>
        </w:tc>
        <w:tc>
          <w:tcPr>
            <w:tcW w:w="169" w:type="pct"/>
          </w:tcPr>
          <w:p w14:paraId="32F40A40" w14:textId="77777777" w:rsidR="00862B0B" w:rsidRPr="00A67277" w:rsidRDefault="00862B0B" w:rsidP="00862B0B">
            <w:pPr>
              <w:spacing w:before="60" w:after="60"/>
              <w:rPr>
                <w:rFonts w:ascii="Arial" w:hAnsi="Arial" w:cs="Arial"/>
                <w:sz w:val="21"/>
                <w:szCs w:val="21"/>
              </w:rPr>
            </w:pPr>
          </w:p>
        </w:tc>
        <w:tc>
          <w:tcPr>
            <w:tcW w:w="2561" w:type="pct"/>
            <w:gridSpan w:val="2"/>
          </w:tcPr>
          <w:p w14:paraId="573A182F" w14:textId="77777777" w:rsidR="00862B0B" w:rsidRPr="00A67277" w:rsidRDefault="00862B0B" w:rsidP="00862B0B">
            <w:pPr>
              <w:pStyle w:val="Heading2"/>
              <w:numPr>
                <w:ilvl w:val="0"/>
                <w:numId w:val="14"/>
              </w:numPr>
              <w:spacing w:before="60" w:after="60"/>
              <w:ind w:left="1112" w:hanging="320"/>
              <w:outlineLvl w:val="1"/>
              <w:rPr>
                <w:rFonts w:ascii="Arial" w:hAnsi="Arial" w:cs="Arial"/>
                <w:b/>
                <w:color w:val="auto"/>
                <w:sz w:val="21"/>
                <w:szCs w:val="21"/>
              </w:rPr>
            </w:pPr>
            <w:r w:rsidRPr="00A67277">
              <w:rPr>
                <w:rFonts w:ascii="Arial" w:hAnsi="Arial" w:cs="Arial"/>
                <w:b/>
                <w:color w:val="auto"/>
                <w:sz w:val="21"/>
                <w:szCs w:val="21"/>
              </w:rPr>
              <w:t>Tanggung Jawab Para Pihak Selama Peristiwa Keadaan Kahar</w:t>
            </w:r>
          </w:p>
        </w:tc>
      </w:tr>
      <w:tr w:rsidR="00862B0B" w:rsidRPr="00A67277" w14:paraId="4FF04AEF" w14:textId="77777777" w:rsidTr="00862B0B">
        <w:tc>
          <w:tcPr>
            <w:tcW w:w="2270" w:type="pct"/>
          </w:tcPr>
          <w:p w14:paraId="2E62A580" w14:textId="77777777" w:rsidR="00862B0B" w:rsidRPr="00A67277" w:rsidRDefault="00862B0B" w:rsidP="00862B0B">
            <w:pPr>
              <w:pStyle w:val="Level3"/>
              <w:numPr>
                <w:ilvl w:val="2"/>
                <w:numId w:val="503"/>
              </w:numPr>
              <w:tabs>
                <w:tab w:val="clear" w:pos="1417"/>
              </w:tabs>
              <w:spacing w:before="60" w:after="60"/>
              <w:ind w:left="1581" w:hanging="425"/>
            </w:pPr>
            <w:r w:rsidRPr="00A67277">
              <w:t>An Affected Party must advise the Non-Affected Party in writing (“</w:t>
            </w:r>
            <w:r w:rsidRPr="00A67277">
              <w:rPr>
                <w:b/>
              </w:rPr>
              <w:t>Force Majeure Notice”</w:t>
            </w:r>
            <w:r w:rsidRPr="00A67277">
              <w:t>) of:</w:t>
            </w:r>
          </w:p>
        </w:tc>
        <w:tc>
          <w:tcPr>
            <w:tcW w:w="169" w:type="pct"/>
          </w:tcPr>
          <w:p w14:paraId="1973E0D7" w14:textId="77777777" w:rsidR="00862B0B" w:rsidRPr="00A67277" w:rsidRDefault="00862B0B" w:rsidP="00862B0B">
            <w:pPr>
              <w:spacing w:before="60" w:after="60"/>
              <w:rPr>
                <w:rFonts w:ascii="Arial" w:hAnsi="Arial" w:cs="Arial"/>
                <w:sz w:val="21"/>
                <w:szCs w:val="21"/>
              </w:rPr>
            </w:pPr>
          </w:p>
        </w:tc>
        <w:tc>
          <w:tcPr>
            <w:tcW w:w="2561" w:type="pct"/>
            <w:gridSpan w:val="2"/>
          </w:tcPr>
          <w:p w14:paraId="0D855A92" w14:textId="20354E97" w:rsidR="00862B0B" w:rsidRPr="00A67277" w:rsidRDefault="00862B0B" w:rsidP="00862B0B">
            <w:pPr>
              <w:pStyle w:val="Level3"/>
              <w:numPr>
                <w:ilvl w:val="0"/>
                <w:numId w:val="67"/>
              </w:numPr>
              <w:spacing w:before="60" w:after="60"/>
              <w:ind w:left="1640" w:hanging="548"/>
              <w:rPr>
                <w:rFonts w:cs="Arial"/>
                <w:lang w:val="en-US"/>
              </w:rPr>
            </w:pPr>
            <w:r w:rsidRPr="00A67277">
              <w:rPr>
                <w:rFonts w:cs="Arial"/>
                <w:lang w:val="en-US"/>
              </w:rPr>
              <w:t>Pihak Yang Terdampak harus menya</w:t>
            </w:r>
            <w:r>
              <w:rPr>
                <w:rFonts w:cs="Arial"/>
                <w:lang w:val="en-US"/>
              </w:rPr>
              <w:t>m</w:t>
            </w:r>
            <w:r w:rsidRPr="00A67277">
              <w:rPr>
                <w:rFonts w:cs="Arial"/>
                <w:lang w:val="en-US"/>
              </w:rPr>
              <w:t>paikan pemberitahuan secara tertulis (“</w:t>
            </w:r>
            <w:r w:rsidRPr="00A67277">
              <w:rPr>
                <w:rFonts w:cs="Arial"/>
                <w:b/>
                <w:lang w:val="en-US"/>
              </w:rPr>
              <w:t>Pemberitahuan Kead</w:t>
            </w:r>
            <w:r>
              <w:rPr>
                <w:rFonts w:cs="Arial"/>
                <w:b/>
                <w:lang w:val="en-US"/>
              </w:rPr>
              <w:t>a</w:t>
            </w:r>
            <w:r w:rsidRPr="00A67277">
              <w:rPr>
                <w:rFonts w:cs="Arial"/>
                <w:b/>
                <w:lang w:val="en-US"/>
              </w:rPr>
              <w:t>an Kahar”</w:t>
            </w:r>
            <w:r w:rsidRPr="00A67277">
              <w:rPr>
                <w:rFonts w:cs="Arial"/>
                <w:lang w:val="en-US"/>
              </w:rPr>
              <w:t>) mengenai:</w:t>
            </w:r>
          </w:p>
        </w:tc>
      </w:tr>
      <w:tr w:rsidR="00862B0B" w:rsidRPr="00A67277" w14:paraId="096E9F3D" w14:textId="77777777" w:rsidTr="00862B0B">
        <w:tc>
          <w:tcPr>
            <w:tcW w:w="2270" w:type="pct"/>
          </w:tcPr>
          <w:p w14:paraId="50779FFE" w14:textId="77777777" w:rsidR="00862B0B" w:rsidRPr="00A67277" w:rsidRDefault="00862B0B" w:rsidP="00862B0B">
            <w:pPr>
              <w:pStyle w:val="Level4"/>
              <w:numPr>
                <w:ilvl w:val="0"/>
                <w:numId w:val="65"/>
              </w:numPr>
              <w:spacing w:before="60" w:after="60"/>
              <w:ind w:left="2148"/>
            </w:pPr>
            <w:r w:rsidRPr="00A67277">
              <w:t>the date and time of commencement of the Force Majeure Event;</w:t>
            </w:r>
          </w:p>
        </w:tc>
        <w:tc>
          <w:tcPr>
            <w:tcW w:w="169" w:type="pct"/>
          </w:tcPr>
          <w:p w14:paraId="1841C611" w14:textId="77777777" w:rsidR="00862B0B" w:rsidRPr="00A67277" w:rsidRDefault="00862B0B" w:rsidP="00862B0B">
            <w:pPr>
              <w:spacing w:before="60" w:after="60"/>
              <w:rPr>
                <w:rFonts w:ascii="Arial" w:hAnsi="Arial" w:cs="Arial"/>
                <w:sz w:val="21"/>
                <w:szCs w:val="21"/>
              </w:rPr>
            </w:pPr>
          </w:p>
        </w:tc>
        <w:tc>
          <w:tcPr>
            <w:tcW w:w="2561" w:type="pct"/>
            <w:gridSpan w:val="2"/>
          </w:tcPr>
          <w:p w14:paraId="2E583825" w14:textId="77777777" w:rsidR="00862B0B" w:rsidRPr="00A67277" w:rsidRDefault="00862B0B" w:rsidP="00862B0B">
            <w:pPr>
              <w:pStyle w:val="Level4"/>
              <w:numPr>
                <w:ilvl w:val="0"/>
                <w:numId w:val="68"/>
              </w:numPr>
              <w:spacing w:before="60" w:after="60"/>
              <w:ind w:left="2090"/>
              <w:rPr>
                <w:rFonts w:cs="Arial"/>
                <w:lang w:val="en-US"/>
              </w:rPr>
            </w:pPr>
            <w:r w:rsidRPr="00A67277">
              <w:rPr>
                <w:rFonts w:cs="Arial"/>
                <w:lang w:val="en-US"/>
              </w:rPr>
              <w:t>tanggal dan waktu dimulainya Peristiwa Keadaan Kahar;</w:t>
            </w:r>
          </w:p>
        </w:tc>
      </w:tr>
      <w:tr w:rsidR="00862B0B" w:rsidRPr="00A67277" w14:paraId="0CF37384" w14:textId="77777777" w:rsidTr="00862B0B">
        <w:tc>
          <w:tcPr>
            <w:tcW w:w="2270" w:type="pct"/>
          </w:tcPr>
          <w:p w14:paraId="73DF98AF" w14:textId="77777777" w:rsidR="00862B0B" w:rsidRPr="00A67277" w:rsidRDefault="00862B0B" w:rsidP="00862B0B">
            <w:pPr>
              <w:pStyle w:val="Level4"/>
              <w:numPr>
                <w:ilvl w:val="0"/>
                <w:numId w:val="65"/>
              </w:numPr>
              <w:spacing w:before="60" w:after="60"/>
              <w:ind w:left="2148"/>
            </w:pPr>
            <w:r w:rsidRPr="00A67277">
              <w:t>the nature and expected duration of the Force Majeure Event;</w:t>
            </w:r>
          </w:p>
        </w:tc>
        <w:tc>
          <w:tcPr>
            <w:tcW w:w="169" w:type="pct"/>
          </w:tcPr>
          <w:p w14:paraId="63F1743F" w14:textId="77777777" w:rsidR="00862B0B" w:rsidRPr="00A67277" w:rsidRDefault="00862B0B" w:rsidP="00862B0B">
            <w:pPr>
              <w:spacing w:before="60" w:after="60"/>
              <w:rPr>
                <w:rFonts w:ascii="Arial" w:hAnsi="Arial" w:cs="Arial"/>
                <w:sz w:val="21"/>
                <w:szCs w:val="21"/>
              </w:rPr>
            </w:pPr>
          </w:p>
        </w:tc>
        <w:tc>
          <w:tcPr>
            <w:tcW w:w="2561" w:type="pct"/>
            <w:gridSpan w:val="2"/>
          </w:tcPr>
          <w:p w14:paraId="41058CB3" w14:textId="77777777" w:rsidR="00862B0B" w:rsidRPr="00A67277" w:rsidRDefault="00862B0B" w:rsidP="00862B0B">
            <w:pPr>
              <w:pStyle w:val="Level4"/>
              <w:numPr>
                <w:ilvl w:val="0"/>
                <w:numId w:val="68"/>
              </w:numPr>
              <w:spacing w:before="60" w:after="60"/>
              <w:ind w:left="2090"/>
              <w:rPr>
                <w:rFonts w:cs="Arial"/>
                <w:lang w:val="en-US"/>
              </w:rPr>
            </w:pPr>
            <w:r w:rsidRPr="00A67277">
              <w:rPr>
                <w:rFonts w:cs="Arial"/>
                <w:lang w:val="en-US"/>
              </w:rPr>
              <w:t>sifat dan perkiraan jangka waktu dari Peristiwa Keadaan Kahar;</w:t>
            </w:r>
          </w:p>
        </w:tc>
      </w:tr>
      <w:tr w:rsidR="00862B0B" w:rsidRPr="00A67277" w14:paraId="28E899DA" w14:textId="77777777" w:rsidTr="00862B0B">
        <w:tc>
          <w:tcPr>
            <w:tcW w:w="2270" w:type="pct"/>
          </w:tcPr>
          <w:p w14:paraId="72A3432D" w14:textId="77777777" w:rsidR="00862B0B" w:rsidRPr="00A67277" w:rsidRDefault="00862B0B" w:rsidP="00862B0B">
            <w:pPr>
              <w:pStyle w:val="Level4"/>
              <w:numPr>
                <w:ilvl w:val="0"/>
                <w:numId w:val="65"/>
              </w:numPr>
              <w:spacing w:before="60" w:after="60"/>
              <w:ind w:left="2148"/>
            </w:pPr>
            <w:r w:rsidRPr="00A67277">
              <w:t xml:space="preserve">the anticipated effect of the Force Majeure Event on the performance of the obligations by the Affected Party; </w:t>
            </w:r>
          </w:p>
        </w:tc>
        <w:tc>
          <w:tcPr>
            <w:tcW w:w="169" w:type="pct"/>
          </w:tcPr>
          <w:p w14:paraId="7C550656" w14:textId="77777777" w:rsidR="00862B0B" w:rsidRPr="00A67277" w:rsidRDefault="00862B0B" w:rsidP="00862B0B">
            <w:pPr>
              <w:spacing w:before="60" w:after="60"/>
              <w:rPr>
                <w:rFonts w:ascii="Arial" w:hAnsi="Arial" w:cs="Arial"/>
                <w:sz w:val="21"/>
                <w:szCs w:val="21"/>
              </w:rPr>
            </w:pPr>
          </w:p>
        </w:tc>
        <w:tc>
          <w:tcPr>
            <w:tcW w:w="2561" w:type="pct"/>
            <w:gridSpan w:val="2"/>
          </w:tcPr>
          <w:p w14:paraId="64E10E25" w14:textId="77777777" w:rsidR="00862B0B" w:rsidRPr="00A67277" w:rsidRDefault="00862B0B" w:rsidP="00862B0B">
            <w:pPr>
              <w:pStyle w:val="Level4"/>
              <w:numPr>
                <w:ilvl w:val="0"/>
                <w:numId w:val="68"/>
              </w:numPr>
              <w:spacing w:before="60" w:after="60"/>
              <w:ind w:left="2090"/>
              <w:rPr>
                <w:rFonts w:cs="Arial"/>
                <w:lang w:val="en-US"/>
              </w:rPr>
            </w:pPr>
            <w:r w:rsidRPr="00A67277">
              <w:rPr>
                <w:rFonts w:cs="Arial"/>
                <w:lang w:val="en-US"/>
              </w:rPr>
              <w:t>akibat yang diantisipasi dari Peristiwa Keadaan Kahar terhadap pelaksanaan kewajiban oleh Pihak Yang Terdampak;</w:t>
            </w:r>
          </w:p>
        </w:tc>
      </w:tr>
      <w:tr w:rsidR="00862B0B" w:rsidRPr="00A67277" w14:paraId="6D150AE6" w14:textId="77777777" w:rsidTr="00862B0B">
        <w:tc>
          <w:tcPr>
            <w:tcW w:w="2270" w:type="pct"/>
          </w:tcPr>
          <w:p w14:paraId="7E63160F" w14:textId="77777777" w:rsidR="00862B0B" w:rsidRPr="00A67277" w:rsidRDefault="00862B0B" w:rsidP="00862B0B">
            <w:pPr>
              <w:pStyle w:val="Level4"/>
              <w:numPr>
                <w:ilvl w:val="0"/>
                <w:numId w:val="65"/>
              </w:numPr>
              <w:spacing w:before="60" w:after="60"/>
              <w:ind w:left="2306"/>
            </w:pPr>
            <w:r w:rsidRPr="00A67277">
              <w:t>the actual Availability of the Facility resulted by the Force Majeure Event; and</w:t>
            </w:r>
          </w:p>
        </w:tc>
        <w:tc>
          <w:tcPr>
            <w:tcW w:w="169" w:type="pct"/>
          </w:tcPr>
          <w:p w14:paraId="3A5243CC" w14:textId="77777777" w:rsidR="00862B0B" w:rsidRPr="00A67277" w:rsidRDefault="00862B0B" w:rsidP="00862B0B">
            <w:pPr>
              <w:spacing w:before="60" w:after="60"/>
              <w:rPr>
                <w:rFonts w:ascii="Arial" w:hAnsi="Arial" w:cs="Arial"/>
                <w:sz w:val="21"/>
                <w:szCs w:val="21"/>
              </w:rPr>
            </w:pPr>
          </w:p>
        </w:tc>
        <w:tc>
          <w:tcPr>
            <w:tcW w:w="2561" w:type="pct"/>
            <w:gridSpan w:val="2"/>
          </w:tcPr>
          <w:p w14:paraId="00FFB6D0" w14:textId="77777777" w:rsidR="00862B0B" w:rsidRPr="00A67277" w:rsidRDefault="00862B0B" w:rsidP="00862B0B">
            <w:pPr>
              <w:pStyle w:val="Level4"/>
              <w:numPr>
                <w:ilvl w:val="0"/>
                <w:numId w:val="68"/>
              </w:numPr>
              <w:spacing w:before="60" w:after="60"/>
              <w:ind w:left="2090"/>
              <w:rPr>
                <w:rFonts w:cs="Arial"/>
                <w:lang w:val="en-US"/>
              </w:rPr>
            </w:pPr>
            <w:r w:rsidRPr="00A67277">
              <w:rPr>
                <w:rFonts w:cs="Arial"/>
                <w:lang w:val="en-US"/>
              </w:rPr>
              <w:t>Ketersediaan Fasilitas aktual yang disebabkan oleh Peristiwa Keadaan Kahar; dan</w:t>
            </w:r>
          </w:p>
        </w:tc>
      </w:tr>
      <w:tr w:rsidR="00862B0B" w:rsidRPr="00A67277" w14:paraId="4563AA2E" w14:textId="77777777" w:rsidTr="00862B0B">
        <w:tc>
          <w:tcPr>
            <w:tcW w:w="2270" w:type="pct"/>
          </w:tcPr>
          <w:p w14:paraId="5B500261" w14:textId="77777777" w:rsidR="00862B0B" w:rsidRPr="00A67277" w:rsidRDefault="00862B0B" w:rsidP="00862B0B">
            <w:pPr>
              <w:pStyle w:val="Level4"/>
              <w:numPr>
                <w:ilvl w:val="0"/>
                <w:numId w:val="65"/>
              </w:numPr>
              <w:spacing w:before="60" w:after="60"/>
              <w:ind w:left="2306"/>
            </w:pPr>
            <w:r w:rsidRPr="00A67277">
              <w:t>the actions to be taken in order to comply with requirements of this Clause 20.2 (Responsibilities of the Parties during a Force Majeure Event).</w:t>
            </w:r>
          </w:p>
        </w:tc>
        <w:tc>
          <w:tcPr>
            <w:tcW w:w="169" w:type="pct"/>
          </w:tcPr>
          <w:p w14:paraId="27782D1D" w14:textId="77777777" w:rsidR="00862B0B" w:rsidRPr="00A67277" w:rsidRDefault="00862B0B" w:rsidP="00862B0B">
            <w:pPr>
              <w:spacing w:before="60" w:after="60"/>
              <w:rPr>
                <w:rFonts w:ascii="Arial" w:hAnsi="Arial" w:cs="Arial"/>
                <w:sz w:val="21"/>
                <w:szCs w:val="21"/>
              </w:rPr>
            </w:pPr>
          </w:p>
        </w:tc>
        <w:tc>
          <w:tcPr>
            <w:tcW w:w="2561" w:type="pct"/>
            <w:gridSpan w:val="2"/>
          </w:tcPr>
          <w:p w14:paraId="48677E43" w14:textId="77777777" w:rsidR="00862B0B" w:rsidRPr="00A67277" w:rsidRDefault="00862B0B" w:rsidP="00862B0B">
            <w:pPr>
              <w:pStyle w:val="Level4"/>
              <w:numPr>
                <w:ilvl w:val="0"/>
                <w:numId w:val="68"/>
              </w:numPr>
              <w:spacing w:before="60" w:after="60"/>
              <w:ind w:left="2090"/>
              <w:rPr>
                <w:rFonts w:cs="Arial"/>
                <w:lang w:val="en-US"/>
              </w:rPr>
            </w:pPr>
            <w:r w:rsidRPr="00A67277">
              <w:rPr>
                <w:rFonts w:cs="Arial"/>
                <w:lang w:val="en-US"/>
              </w:rPr>
              <w:t>tindakan yang akan diambil dalam rangka memenuhi persyaratan Pasal 20.2 ini (Tanggung Jawab Para Pihak Selama Peristiwa Keadaan Kahar).</w:t>
            </w:r>
          </w:p>
        </w:tc>
      </w:tr>
      <w:tr w:rsidR="00862B0B" w:rsidRPr="00A67277" w14:paraId="24DE49AB" w14:textId="77777777" w:rsidTr="00862B0B">
        <w:tc>
          <w:tcPr>
            <w:tcW w:w="2270" w:type="pct"/>
          </w:tcPr>
          <w:p w14:paraId="1B847863" w14:textId="77777777" w:rsidR="00862B0B" w:rsidRPr="00A67277" w:rsidRDefault="00862B0B" w:rsidP="00862B0B">
            <w:pPr>
              <w:pStyle w:val="Level3"/>
              <w:numPr>
                <w:ilvl w:val="2"/>
                <w:numId w:val="503"/>
              </w:numPr>
              <w:tabs>
                <w:tab w:val="clear" w:pos="1417"/>
                <w:tab w:val="num" w:pos="2216"/>
              </w:tabs>
              <w:spacing w:before="60" w:after="60"/>
              <w:ind w:left="1766" w:hanging="641"/>
            </w:pPr>
            <w:r w:rsidRPr="00A67277">
              <w:t>The Force Majeure Notice must be sent by the Affected Party not later than ten (10) Business Days after the date on which the Affected Party first had knowledge or ought reasonably to have knowledge of the Force Majeure Event. If the Affected Party does not deliver the Force Majeure Notice in accordance with this paragraph (b), the Affected Party is not entitled to the benefits of this Clause 20 (Force Majeure Event) for the period prior to delivery of the late Force Majeure Notice.</w:t>
            </w:r>
          </w:p>
          <w:p w14:paraId="440B20FE" w14:textId="77777777" w:rsidR="00862B0B" w:rsidRPr="00A67277" w:rsidRDefault="00862B0B" w:rsidP="00862B0B">
            <w:pPr>
              <w:spacing w:before="60" w:after="60"/>
              <w:rPr>
                <w:rFonts w:ascii="Arial" w:hAnsi="Arial" w:cs="Arial"/>
                <w:sz w:val="21"/>
                <w:szCs w:val="21"/>
              </w:rPr>
            </w:pPr>
          </w:p>
        </w:tc>
        <w:tc>
          <w:tcPr>
            <w:tcW w:w="169" w:type="pct"/>
          </w:tcPr>
          <w:p w14:paraId="79FD7E7F" w14:textId="77777777" w:rsidR="00862B0B" w:rsidRPr="00A67277" w:rsidRDefault="00862B0B" w:rsidP="00862B0B">
            <w:pPr>
              <w:spacing w:before="60" w:after="60"/>
              <w:rPr>
                <w:rFonts w:ascii="Arial" w:hAnsi="Arial" w:cs="Arial"/>
                <w:sz w:val="21"/>
                <w:szCs w:val="21"/>
              </w:rPr>
            </w:pPr>
          </w:p>
        </w:tc>
        <w:tc>
          <w:tcPr>
            <w:tcW w:w="2561" w:type="pct"/>
            <w:gridSpan w:val="2"/>
          </w:tcPr>
          <w:p w14:paraId="0CEAC042" w14:textId="77777777" w:rsidR="00862B0B" w:rsidRPr="00A67277" w:rsidRDefault="00862B0B" w:rsidP="00862B0B">
            <w:pPr>
              <w:pStyle w:val="Level3"/>
              <w:numPr>
                <w:ilvl w:val="0"/>
                <w:numId w:val="67"/>
              </w:numPr>
              <w:spacing w:before="60" w:after="60"/>
              <w:ind w:left="1640" w:hanging="548"/>
              <w:rPr>
                <w:rFonts w:cs="Arial"/>
                <w:lang w:val="en-US"/>
              </w:rPr>
            </w:pPr>
            <w:r w:rsidRPr="00A67277">
              <w:rPr>
                <w:rFonts w:cs="Arial"/>
                <w:lang w:val="en-US"/>
              </w:rPr>
              <w:t>Pemberitahuan Keadaan Kahar harus dikirim oleh Pihak Yang Terdampak tidak lebih dari sepuluh (10) Hari Kerja sejak tanggal dimana Pihak Yang Terdampak pertama mengetahui atau secara wajar dianggap mengetahui tentang Peristiwa Keadaan Kahar. Jika Pihak Yang Terdampak tidak menyampaikan Pemberitahuan Keadaan Kahar sesuai dengan paragraf (b) ini, Pihak Yang Terdampak tidak berhak atas hak-hak berdasarkan Pasal 20 (Peristiwa Keadaan Kahar) untuk periode sebelum penyerahan Pemberitahuan Keadaan Kahar yang terlambat.</w:t>
            </w:r>
          </w:p>
        </w:tc>
      </w:tr>
      <w:tr w:rsidR="00862B0B" w:rsidRPr="00A67277" w14:paraId="73F17460" w14:textId="77777777" w:rsidTr="00862B0B">
        <w:tc>
          <w:tcPr>
            <w:tcW w:w="2270" w:type="pct"/>
          </w:tcPr>
          <w:p w14:paraId="7EBCE69B" w14:textId="77777777" w:rsidR="00862B0B" w:rsidRPr="00A67277" w:rsidRDefault="00862B0B" w:rsidP="00862B0B">
            <w:pPr>
              <w:pStyle w:val="Level3"/>
              <w:numPr>
                <w:ilvl w:val="2"/>
                <w:numId w:val="503"/>
              </w:numPr>
              <w:tabs>
                <w:tab w:val="clear" w:pos="1417"/>
                <w:tab w:val="num" w:pos="2216"/>
              </w:tabs>
              <w:spacing w:before="60" w:after="60"/>
              <w:ind w:left="1766" w:hanging="641"/>
            </w:pPr>
            <w:r w:rsidRPr="00A67277">
              <w:t>The Affected Party must:</w:t>
            </w:r>
          </w:p>
        </w:tc>
        <w:tc>
          <w:tcPr>
            <w:tcW w:w="169" w:type="pct"/>
          </w:tcPr>
          <w:p w14:paraId="2FE7BF12" w14:textId="77777777" w:rsidR="00862B0B" w:rsidRPr="00A67277" w:rsidRDefault="00862B0B" w:rsidP="00862B0B">
            <w:pPr>
              <w:spacing w:before="60" w:after="60"/>
              <w:rPr>
                <w:rFonts w:ascii="Arial" w:hAnsi="Arial" w:cs="Arial"/>
                <w:sz w:val="21"/>
                <w:szCs w:val="21"/>
              </w:rPr>
            </w:pPr>
          </w:p>
        </w:tc>
        <w:tc>
          <w:tcPr>
            <w:tcW w:w="2561" w:type="pct"/>
            <w:gridSpan w:val="2"/>
          </w:tcPr>
          <w:p w14:paraId="6899EBA1" w14:textId="77777777" w:rsidR="00862B0B" w:rsidRPr="00A67277" w:rsidRDefault="00862B0B" w:rsidP="00862B0B">
            <w:pPr>
              <w:pStyle w:val="Level3"/>
              <w:numPr>
                <w:ilvl w:val="0"/>
                <w:numId w:val="67"/>
              </w:numPr>
              <w:spacing w:before="60" w:after="60"/>
              <w:ind w:left="1640" w:hanging="548"/>
              <w:rPr>
                <w:rFonts w:cs="Arial"/>
                <w:lang w:val="en-US"/>
              </w:rPr>
            </w:pPr>
            <w:r w:rsidRPr="00A67277">
              <w:rPr>
                <w:rFonts w:cs="Arial"/>
                <w:lang w:val="en-US"/>
              </w:rPr>
              <w:t>Pihak Yang Terdampak harus:</w:t>
            </w:r>
          </w:p>
        </w:tc>
      </w:tr>
      <w:tr w:rsidR="00862B0B" w:rsidRPr="00A67277" w14:paraId="5EE5265F" w14:textId="77777777" w:rsidTr="00862B0B">
        <w:tc>
          <w:tcPr>
            <w:tcW w:w="2270" w:type="pct"/>
          </w:tcPr>
          <w:p w14:paraId="110A6E81" w14:textId="77777777" w:rsidR="00862B0B" w:rsidRPr="00A67277" w:rsidRDefault="00862B0B" w:rsidP="00862B0B">
            <w:pPr>
              <w:pStyle w:val="Level4"/>
              <w:numPr>
                <w:ilvl w:val="0"/>
                <w:numId w:val="66"/>
              </w:numPr>
              <w:spacing w:before="60" w:after="60"/>
              <w:ind w:left="2216" w:hanging="270"/>
            </w:pPr>
            <w:r w:rsidRPr="00A67277">
              <w:t>make all reasonable efforts to prevent and reduce to a minimum and mitigate the effect of any delay occasioned by any Force Majeure Event and to have recourse to alternate sources of services, equipment and materials and construction equipment; and</w:t>
            </w:r>
          </w:p>
        </w:tc>
        <w:tc>
          <w:tcPr>
            <w:tcW w:w="169" w:type="pct"/>
          </w:tcPr>
          <w:p w14:paraId="583E066E" w14:textId="77777777" w:rsidR="00862B0B" w:rsidRPr="00A67277" w:rsidRDefault="00862B0B" w:rsidP="00862B0B">
            <w:pPr>
              <w:spacing w:before="60" w:after="60"/>
              <w:rPr>
                <w:rFonts w:ascii="Arial" w:hAnsi="Arial" w:cs="Arial"/>
                <w:sz w:val="21"/>
                <w:szCs w:val="21"/>
              </w:rPr>
            </w:pPr>
          </w:p>
        </w:tc>
        <w:tc>
          <w:tcPr>
            <w:tcW w:w="2561" w:type="pct"/>
            <w:gridSpan w:val="2"/>
          </w:tcPr>
          <w:p w14:paraId="5E89934F" w14:textId="77777777" w:rsidR="00862B0B" w:rsidRPr="00A67277" w:rsidRDefault="00862B0B" w:rsidP="00862B0B">
            <w:pPr>
              <w:pStyle w:val="Level4"/>
              <w:numPr>
                <w:ilvl w:val="0"/>
                <w:numId w:val="69"/>
              </w:numPr>
              <w:spacing w:before="60" w:after="60"/>
              <w:ind w:left="2180"/>
              <w:rPr>
                <w:rFonts w:cs="Arial"/>
                <w:lang w:val="en-US"/>
              </w:rPr>
            </w:pPr>
            <w:r w:rsidRPr="00A67277">
              <w:rPr>
                <w:rFonts w:cs="Arial"/>
                <w:lang w:val="en-US"/>
              </w:rPr>
              <w:t>melakukan semua upaya yang wajar untuk mencegah dan mengurangi seminimal mungkin dan memitigasi dampak dari setiap keterlambatan yang disebabkan oleh setiap Peristiwa Keadaan Kahar dan meminta bantuan ke sumber alternatif untuk penyediaan jasa, peralatan dan material dan peralatan konstruksi; dan</w:t>
            </w:r>
          </w:p>
        </w:tc>
      </w:tr>
      <w:tr w:rsidR="00862B0B" w:rsidRPr="00A67277" w14:paraId="7D9FD73C" w14:textId="77777777" w:rsidTr="00862B0B">
        <w:tc>
          <w:tcPr>
            <w:tcW w:w="2270" w:type="pct"/>
          </w:tcPr>
          <w:p w14:paraId="17FE0133" w14:textId="77777777" w:rsidR="00862B0B" w:rsidRPr="00A67277" w:rsidRDefault="00862B0B" w:rsidP="00862B0B">
            <w:pPr>
              <w:pStyle w:val="Level4"/>
              <w:numPr>
                <w:ilvl w:val="0"/>
                <w:numId w:val="66"/>
              </w:numPr>
              <w:spacing w:before="60" w:after="60"/>
              <w:ind w:left="2216" w:hanging="270"/>
            </w:pPr>
            <w:r w:rsidRPr="00A67277">
              <w:t>use its best efforts to ensure resumption of normal performance of this Agreement after the cessation of any Force Majeure Event as promptly as possible and otherwise perform its obligations in accordance with this Agreement.</w:t>
            </w:r>
          </w:p>
          <w:p w14:paraId="0680D095" w14:textId="77777777" w:rsidR="00862B0B" w:rsidRPr="00A67277" w:rsidRDefault="00862B0B" w:rsidP="00862B0B">
            <w:pPr>
              <w:spacing w:before="60" w:after="60"/>
              <w:rPr>
                <w:rFonts w:ascii="Arial" w:hAnsi="Arial" w:cs="Arial"/>
                <w:sz w:val="21"/>
                <w:szCs w:val="21"/>
              </w:rPr>
            </w:pPr>
          </w:p>
        </w:tc>
        <w:tc>
          <w:tcPr>
            <w:tcW w:w="169" w:type="pct"/>
          </w:tcPr>
          <w:p w14:paraId="16CE8972" w14:textId="77777777" w:rsidR="00862B0B" w:rsidRPr="00A67277" w:rsidRDefault="00862B0B" w:rsidP="00862B0B">
            <w:pPr>
              <w:spacing w:before="60" w:after="60"/>
              <w:rPr>
                <w:rFonts w:ascii="Arial" w:hAnsi="Arial" w:cs="Arial"/>
                <w:sz w:val="21"/>
                <w:szCs w:val="21"/>
              </w:rPr>
            </w:pPr>
          </w:p>
        </w:tc>
        <w:tc>
          <w:tcPr>
            <w:tcW w:w="2561" w:type="pct"/>
            <w:gridSpan w:val="2"/>
          </w:tcPr>
          <w:p w14:paraId="0C7B9F6D" w14:textId="77777777" w:rsidR="00862B0B" w:rsidRPr="00A67277" w:rsidRDefault="00862B0B" w:rsidP="00862B0B">
            <w:pPr>
              <w:pStyle w:val="Level4"/>
              <w:numPr>
                <w:ilvl w:val="0"/>
                <w:numId w:val="69"/>
              </w:numPr>
              <w:spacing w:before="60" w:after="60"/>
              <w:ind w:left="2180"/>
              <w:rPr>
                <w:rFonts w:cs="Arial"/>
                <w:lang w:val="en-US"/>
              </w:rPr>
            </w:pPr>
            <w:r w:rsidRPr="00A67277">
              <w:rPr>
                <w:rFonts w:cs="Arial"/>
                <w:lang w:val="en-US"/>
              </w:rPr>
              <w:t>menggunakan upaya terbaiknya untuk memastikan dimulainya kembali pelaksanaan normal Perjanjian ini sesegera mungkin setelah berakhirnya setiap Peristiwa Keadaan Kahar dan selanjutnya melakukan kewajibannya sesuai dengan Perjanjian ini.</w:t>
            </w:r>
          </w:p>
        </w:tc>
      </w:tr>
      <w:tr w:rsidR="00862B0B" w:rsidRPr="00A67277" w14:paraId="18AC32F4" w14:textId="77777777" w:rsidTr="00862B0B">
        <w:tc>
          <w:tcPr>
            <w:tcW w:w="2270" w:type="pct"/>
          </w:tcPr>
          <w:p w14:paraId="7811134D" w14:textId="77777777" w:rsidR="00862B0B" w:rsidRPr="00A67277" w:rsidRDefault="00862B0B" w:rsidP="00862B0B">
            <w:pPr>
              <w:pStyle w:val="Level3"/>
              <w:numPr>
                <w:ilvl w:val="2"/>
                <w:numId w:val="503"/>
              </w:numPr>
              <w:tabs>
                <w:tab w:val="clear" w:pos="1417"/>
                <w:tab w:val="num" w:pos="2216"/>
              </w:tabs>
              <w:spacing w:before="60" w:after="60"/>
              <w:ind w:left="1766" w:hanging="641"/>
            </w:pPr>
            <w:r w:rsidRPr="00A67277">
              <w:t>Within ten (10) Business Days following the cessation of any Force Majeure Event, the Affected Party must submit to the Non-Affected Party reasonable proof of the nature of the delay and its effect upon the performance of the obligations of the Affected Party under this Agreement.</w:t>
            </w:r>
          </w:p>
        </w:tc>
        <w:tc>
          <w:tcPr>
            <w:tcW w:w="169" w:type="pct"/>
          </w:tcPr>
          <w:p w14:paraId="421E7093" w14:textId="77777777" w:rsidR="00862B0B" w:rsidRPr="00A67277" w:rsidRDefault="00862B0B" w:rsidP="00862B0B">
            <w:pPr>
              <w:spacing w:before="60" w:after="60"/>
              <w:rPr>
                <w:rFonts w:ascii="Arial" w:hAnsi="Arial" w:cs="Arial"/>
                <w:sz w:val="21"/>
                <w:szCs w:val="21"/>
              </w:rPr>
            </w:pPr>
          </w:p>
        </w:tc>
        <w:tc>
          <w:tcPr>
            <w:tcW w:w="2561" w:type="pct"/>
            <w:gridSpan w:val="2"/>
          </w:tcPr>
          <w:p w14:paraId="24D19E22" w14:textId="77777777" w:rsidR="00862B0B" w:rsidRPr="00A67277" w:rsidRDefault="00862B0B" w:rsidP="00862B0B">
            <w:pPr>
              <w:pStyle w:val="Level3"/>
              <w:numPr>
                <w:ilvl w:val="0"/>
                <w:numId w:val="67"/>
              </w:numPr>
              <w:spacing w:before="60" w:after="60"/>
              <w:ind w:left="1640" w:hanging="548"/>
              <w:rPr>
                <w:rFonts w:cs="Arial"/>
                <w:lang w:val="en-US"/>
              </w:rPr>
            </w:pPr>
            <w:r w:rsidRPr="00A67277">
              <w:rPr>
                <w:rFonts w:cs="Arial"/>
                <w:lang w:val="en-US"/>
              </w:rPr>
              <w:t>Dalam jangka waktu sepuluh (10) Hari Kerja setelah berakhirnya setiap Peristiwa Keadaan Kahar, Pihak Yang Terdampak harus mengajukan kepada Pihak Yang Tidak Terdampak bukti wajar dari keterlambatan tersebut dan dampaknya terhadap pelaksanaan kewajiban Pihak Yang Terdampak berdasarkan Perjanjian ini.</w:t>
            </w:r>
          </w:p>
        </w:tc>
      </w:tr>
      <w:tr w:rsidR="00862B0B" w:rsidRPr="00A67277" w14:paraId="74E1E74F" w14:textId="77777777" w:rsidTr="00862B0B">
        <w:tc>
          <w:tcPr>
            <w:tcW w:w="2270" w:type="pct"/>
          </w:tcPr>
          <w:p w14:paraId="212B81C0" w14:textId="77777777" w:rsidR="00862B0B" w:rsidRPr="00A67277" w:rsidRDefault="00862B0B" w:rsidP="00862B0B">
            <w:pPr>
              <w:pStyle w:val="Heading2"/>
              <w:numPr>
                <w:ilvl w:val="0"/>
                <w:numId w:val="57"/>
              </w:numPr>
              <w:spacing w:before="60" w:after="60"/>
              <w:ind w:left="1136" w:hanging="180"/>
              <w:outlineLvl w:val="1"/>
              <w:rPr>
                <w:rFonts w:ascii="Arial" w:hAnsi="Arial" w:cs="Arial"/>
                <w:b/>
                <w:color w:val="auto"/>
                <w:sz w:val="21"/>
                <w:szCs w:val="21"/>
              </w:rPr>
            </w:pPr>
            <w:r w:rsidRPr="00A67277">
              <w:rPr>
                <w:rFonts w:ascii="Arial" w:hAnsi="Arial" w:cs="Arial"/>
                <w:b/>
                <w:color w:val="auto"/>
                <w:sz w:val="21"/>
                <w:szCs w:val="21"/>
              </w:rPr>
              <w:tab/>
              <w:t>Effect of Force Majeure</w:t>
            </w:r>
          </w:p>
        </w:tc>
        <w:tc>
          <w:tcPr>
            <w:tcW w:w="169" w:type="pct"/>
          </w:tcPr>
          <w:p w14:paraId="1D1D64B0" w14:textId="77777777" w:rsidR="00862B0B" w:rsidRPr="00A67277" w:rsidRDefault="00862B0B" w:rsidP="00862B0B">
            <w:pPr>
              <w:spacing w:before="60" w:after="60"/>
              <w:rPr>
                <w:rFonts w:ascii="Arial" w:hAnsi="Arial" w:cs="Arial"/>
                <w:sz w:val="21"/>
                <w:szCs w:val="21"/>
              </w:rPr>
            </w:pPr>
          </w:p>
        </w:tc>
        <w:tc>
          <w:tcPr>
            <w:tcW w:w="2561" w:type="pct"/>
            <w:gridSpan w:val="2"/>
          </w:tcPr>
          <w:p w14:paraId="0BAC87C9" w14:textId="77777777" w:rsidR="00862B0B" w:rsidRPr="00A67277" w:rsidRDefault="00862B0B" w:rsidP="00862B0B">
            <w:pPr>
              <w:pStyle w:val="Heading2"/>
              <w:numPr>
                <w:ilvl w:val="0"/>
                <w:numId w:val="14"/>
              </w:numPr>
              <w:spacing w:before="60" w:after="60"/>
              <w:ind w:left="972" w:hanging="180"/>
              <w:outlineLvl w:val="1"/>
              <w:rPr>
                <w:rFonts w:ascii="Arial" w:hAnsi="Arial" w:cs="Arial"/>
                <w:b/>
                <w:color w:val="auto"/>
                <w:sz w:val="21"/>
                <w:szCs w:val="21"/>
              </w:rPr>
            </w:pPr>
            <w:r w:rsidRPr="00A67277">
              <w:rPr>
                <w:rFonts w:ascii="Arial" w:hAnsi="Arial" w:cs="Arial"/>
                <w:b/>
                <w:color w:val="auto"/>
                <w:sz w:val="21"/>
                <w:szCs w:val="21"/>
              </w:rPr>
              <w:t>Dampak Keadaan Kahar</w:t>
            </w:r>
          </w:p>
        </w:tc>
      </w:tr>
      <w:tr w:rsidR="00862B0B" w:rsidRPr="00A67277" w14:paraId="16CCDB9D" w14:textId="77777777" w:rsidTr="00862B0B">
        <w:tc>
          <w:tcPr>
            <w:tcW w:w="2270" w:type="pct"/>
          </w:tcPr>
          <w:p w14:paraId="1973B1DF" w14:textId="77777777" w:rsidR="00862B0B" w:rsidRPr="00A67277" w:rsidRDefault="00862B0B" w:rsidP="00862B0B">
            <w:pPr>
              <w:pStyle w:val="Level3"/>
              <w:spacing w:before="60" w:after="60"/>
              <w:ind w:left="1417"/>
              <w:rPr>
                <w:b/>
              </w:rPr>
            </w:pPr>
            <w:r w:rsidRPr="00A67277">
              <w:rPr>
                <w:b/>
              </w:rPr>
              <w:t>General</w:t>
            </w:r>
            <w:r w:rsidRPr="00A67277">
              <w:rPr>
                <w:rFonts w:cs="Arial"/>
              </w:rPr>
              <w:tab/>
            </w:r>
          </w:p>
        </w:tc>
        <w:tc>
          <w:tcPr>
            <w:tcW w:w="169" w:type="pct"/>
          </w:tcPr>
          <w:p w14:paraId="067B6858" w14:textId="77777777" w:rsidR="00862B0B" w:rsidRPr="00A67277" w:rsidRDefault="00862B0B" w:rsidP="00862B0B">
            <w:pPr>
              <w:spacing w:before="60" w:after="60"/>
              <w:rPr>
                <w:rFonts w:ascii="Arial" w:hAnsi="Arial" w:cs="Arial"/>
                <w:sz w:val="21"/>
                <w:szCs w:val="21"/>
              </w:rPr>
            </w:pPr>
          </w:p>
        </w:tc>
        <w:tc>
          <w:tcPr>
            <w:tcW w:w="2561" w:type="pct"/>
            <w:gridSpan w:val="2"/>
          </w:tcPr>
          <w:p w14:paraId="475EB183" w14:textId="77777777" w:rsidR="00862B0B" w:rsidRPr="00A67277" w:rsidRDefault="00862B0B" w:rsidP="00862B0B">
            <w:pPr>
              <w:pStyle w:val="Level3"/>
              <w:spacing w:before="60" w:after="60"/>
              <w:ind w:left="972"/>
              <w:rPr>
                <w:rFonts w:cs="Arial"/>
                <w:b/>
              </w:rPr>
            </w:pPr>
            <w:r w:rsidRPr="00A67277">
              <w:rPr>
                <w:rFonts w:cs="Arial"/>
                <w:b/>
              </w:rPr>
              <w:t>Umum</w:t>
            </w:r>
          </w:p>
        </w:tc>
      </w:tr>
      <w:tr w:rsidR="00862B0B" w:rsidRPr="00A67277" w14:paraId="57BF90F7" w14:textId="77777777" w:rsidTr="00862B0B">
        <w:tc>
          <w:tcPr>
            <w:tcW w:w="2270" w:type="pct"/>
          </w:tcPr>
          <w:p w14:paraId="4C11D486" w14:textId="77777777" w:rsidR="00862B0B" w:rsidRPr="00A67277" w:rsidRDefault="00862B0B" w:rsidP="00862B0B">
            <w:pPr>
              <w:pStyle w:val="Level3"/>
              <w:numPr>
                <w:ilvl w:val="2"/>
                <w:numId w:val="504"/>
              </w:numPr>
              <w:tabs>
                <w:tab w:val="clear" w:pos="1417"/>
              </w:tabs>
              <w:spacing w:before="60" w:after="60"/>
              <w:ind w:left="1865" w:hanging="425"/>
              <w:rPr>
                <w:b/>
              </w:rPr>
            </w:pPr>
            <w:r w:rsidRPr="00A67277">
              <w:t>Except as provided otherwise in this Clause 20.3 (</w:t>
            </w:r>
            <w:r w:rsidRPr="00A67277">
              <w:rPr>
                <w:i/>
              </w:rPr>
              <w:t>Effect of Force Majeure</w:t>
            </w:r>
            <w:r w:rsidRPr="00A67277">
              <w:t>) and subject always to the provisions of Clause 20.3(c) (</w:t>
            </w:r>
            <w:r w:rsidRPr="00A67277">
              <w:rPr>
                <w:i/>
              </w:rPr>
              <w:t>Responsibilities of the Parties during a Force Majeure Event</w:t>
            </w:r>
            <w:r w:rsidRPr="00A67277">
              <w:t>), so long as a Force Majeure Event is continuing the Affected Party is excused from performance and will not be construed to be in Default for so long as, and to the extent that, the failure to perform the obligation is due to such Force Majeure Event. The Affected Party must, however, continue to perform all of its obligations under this Agreement that are not affected by the Force Majeure Event, in accordance with this Agreement.</w:t>
            </w:r>
          </w:p>
        </w:tc>
        <w:tc>
          <w:tcPr>
            <w:tcW w:w="169" w:type="pct"/>
          </w:tcPr>
          <w:p w14:paraId="63130540" w14:textId="77777777" w:rsidR="00862B0B" w:rsidRPr="00A67277" w:rsidRDefault="00862B0B" w:rsidP="00862B0B">
            <w:pPr>
              <w:spacing w:before="60" w:after="60"/>
              <w:rPr>
                <w:rFonts w:ascii="Arial" w:hAnsi="Arial" w:cs="Arial"/>
                <w:sz w:val="21"/>
                <w:szCs w:val="21"/>
              </w:rPr>
            </w:pPr>
          </w:p>
        </w:tc>
        <w:tc>
          <w:tcPr>
            <w:tcW w:w="2561" w:type="pct"/>
            <w:gridSpan w:val="2"/>
          </w:tcPr>
          <w:p w14:paraId="6BBD49A8" w14:textId="77777777" w:rsidR="00862B0B" w:rsidRPr="00A67277" w:rsidRDefault="00862B0B" w:rsidP="00862B0B">
            <w:pPr>
              <w:pStyle w:val="Level3"/>
              <w:numPr>
                <w:ilvl w:val="0"/>
                <w:numId w:val="70"/>
              </w:numPr>
              <w:spacing w:before="60" w:after="60"/>
              <w:ind w:left="1460" w:hanging="460"/>
              <w:rPr>
                <w:rFonts w:cs="Arial"/>
                <w:b/>
              </w:rPr>
            </w:pPr>
            <w:r w:rsidRPr="00A67277">
              <w:rPr>
                <w:rFonts w:cs="Arial"/>
              </w:rPr>
              <w:t>Kecuali ditentukan lain dalam Pasal 20.3 ini (</w:t>
            </w:r>
            <w:r w:rsidRPr="00A67277">
              <w:rPr>
                <w:rFonts w:cs="Arial"/>
                <w:i/>
              </w:rPr>
              <w:t>Dampak Keadaan Kahar</w:t>
            </w:r>
            <w:r w:rsidRPr="00A67277">
              <w:rPr>
                <w:rFonts w:cs="Arial"/>
              </w:rPr>
              <w:t>) dan dengan selalu tunduk pada ketentuan Pasal 20.3(c) (</w:t>
            </w:r>
            <w:r w:rsidRPr="00A67277">
              <w:rPr>
                <w:rFonts w:cs="Arial"/>
                <w:i/>
              </w:rPr>
              <w:t>Kewajiban Para Pihak selama Peristiwa Keadaan Kahar</w:t>
            </w:r>
            <w:r w:rsidRPr="00A67277">
              <w:rPr>
                <w:rFonts w:cs="Arial"/>
              </w:rPr>
              <w:t>), selama Peristiwa Keadaan Kahar berlangsung Pihak Yang Terdampak dibebaskan dari pelaksanaan dan tidak akan dianggap Cidera Janji untuk selama, dan sepanjang, kegagalan untuk melaksanakan kewajiban tersebut disebabkan Peristiwa Keadaan Kahar tersebut. Namun demikian, Pihak Yang Terdampak harus tetap melaksanakan kewajibannya berdasarkan Perjanjian ini yang tidak terkena dampak dari Peristiwa Keadaan Kahar sesuai dengan ketentuan dalam Perjanjian ini.</w:t>
            </w:r>
          </w:p>
        </w:tc>
      </w:tr>
      <w:tr w:rsidR="00862B0B" w:rsidRPr="00A67277" w14:paraId="6E677DCA" w14:textId="77777777" w:rsidTr="00862B0B">
        <w:tc>
          <w:tcPr>
            <w:tcW w:w="2270" w:type="pct"/>
          </w:tcPr>
          <w:p w14:paraId="6B2932F6" w14:textId="77777777" w:rsidR="00862B0B" w:rsidRPr="00A67277" w:rsidRDefault="00862B0B" w:rsidP="00862B0B">
            <w:pPr>
              <w:pStyle w:val="Level3"/>
              <w:spacing w:before="60" w:after="60"/>
              <w:ind w:left="1417"/>
              <w:rPr>
                <w:b/>
              </w:rPr>
            </w:pPr>
            <w:r w:rsidRPr="00A67277">
              <w:rPr>
                <w:b/>
              </w:rPr>
              <w:t>Prior to Commercial Operation Date</w:t>
            </w:r>
          </w:p>
        </w:tc>
        <w:tc>
          <w:tcPr>
            <w:tcW w:w="169" w:type="pct"/>
          </w:tcPr>
          <w:p w14:paraId="26950267" w14:textId="77777777" w:rsidR="00862B0B" w:rsidRPr="00A67277" w:rsidRDefault="00862B0B" w:rsidP="00862B0B">
            <w:pPr>
              <w:spacing w:before="60" w:after="60"/>
              <w:rPr>
                <w:rFonts w:ascii="Arial" w:hAnsi="Arial" w:cs="Arial"/>
                <w:sz w:val="21"/>
                <w:szCs w:val="21"/>
              </w:rPr>
            </w:pPr>
          </w:p>
        </w:tc>
        <w:tc>
          <w:tcPr>
            <w:tcW w:w="2561" w:type="pct"/>
            <w:gridSpan w:val="2"/>
          </w:tcPr>
          <w:p w14:paraId="3D89E6C9" w14:textId="77777777" w:rsidR="00862B0B" w:rsidRPr="00A67277" w:rsidRDefault="00862B0B" w:rsidP="00862B0B">
            <w:pPr>
              <w:pStyle w:val="Level3"/>
              <w:spacing w:before="60" w:after="60"/>
              <w:ind w:left="972"/>
              <w:rPr>
                <w:rFonts w:cs="Arial"/>
                <w:b/>
              </w:rPr>
            </w:pPr>
            <w:r w:rsidRPr="00A67277">
              <w:rPr>
                <w:rFonts w:cs="Arial"/>
                <w:b/>
              </w:rPr>
              <w:t>Sebelum Tanggal Operasi Komersial</w:t>
            </w:r>
          </w:p>
        </w:tc>
      </w:tr>
      <w:tr w:rsidR="00862B0B" w:rsidRPr="00A67277" w14:paraId="1FDC8A8D" w14:textId="77777777" w:rsidTr="00862B0B">
        <w:tc>
          <w:tcPr>
            <w:tcW w:w="2270" w:type="pct"/>
          </w:tcPr>
          <w:p w14:paraId="1351A73F" w14:textId="77777777" w:rsidR="00862B0B" w:rsidRPr="00A67277" w:rsidRDefault="00862B0B" w:rsidP="00862B0B">
            <w:pPr>
              <w:pStyle w:val="Level3"/>
              <w:numPr>
                <w:ilvl w:val="2"/>
                <w:numId w:val="504"/>
              </w:numPr>
              <w:tabs>
                <w:tab w:val="clear" w:pos="1417"/>
                <w:tab w:val="num" w:pos="3566"/>
              </w:tabs>
              <w:spacing w:before="60" w:after="60"/>
              <w:ind w:left="2036" w:hanging="551"/>
            </w:pPr>
            <w:r w:rsidRPr="00A67277">
              <w:t xml:space="preserve">If a Force Majeure Event occurs prior to the Commercial Operation Date which results in material damage to, or loss of the Project or delay in achieving a Milestone Date, then the following will occur: </w:t>
            </w:r>
          </w:p>
        </w:tc>
        <w:tc>
          <w:tcPr>
            <w:tcW w:w="169" w:type="pct"/>
          </w:tcPr>
          <w:p w14:paraId="3E89CEEA" w14:textId="77777777" w:rsidR="00862B0B" w:rsidRPr="00A67277" w:rsidRDefault="00862B0B" w:rsidP="00862B0B">
            <w:pPr>
              <w:spacing w:before="60" w:after="60"/>
              <w:rPr>
                <w:rFonts w:ascii="Arial" w:hAnsi="Arial" w:cs="Arial"/>
                <w:sz w:val="21"/>
                <w:szCs w:val="21"/>
              </w:rPr>
            </w:pPr>
          </w:p>
        </w:tc>
        <w:tc>
          <w:tcPr>
            <w:tcW w:w="2561" w:type="pct"/>
            <w:gridSpan w:val="2"/>
          </w:tcPr>
          <w:p w14:paraId="47D3B53C" w14:textId="77777777" w:rsidR="00862B0B" w:rsidRPr="00A67277" w:rsidRDefault="00862B0B" w:rsidP="00862B0B">
            <w:pPr>
              <w:pStyle w:val="Level3"/>
              <w:numPr>
                <w:ilvl w:val="0"/>
                <w:numId w:val="70"/>
              </w:numPr>
              <w:spacing w:before="60" w:after="60"/>
              <w:ind w:left="1460" w:hanging="460"/>
              <w:rPr>
                <w:rFonts w:cs="Arial"/>
              </w:rPr>
            </w:pPr>
            <w:r w:rsidRPr="00A67277">
              <w:rPr>
                <w:rFonts w:cs="Arial"/>
              </w:rPr>
              <w:t>Jika suatu Peristiwa Keadaan Kahar terjadi sebelum Tanggal Operasi Komersial yang mengakibatkan kerusakan material atau kerugian Proyek atau keterlambatan dalam mencapai Tanggal Pencapaian, maka berlaku hal-hal sebagai berikut:</w:t>
            </w:r>
          </w:p>
        </w:tc>
      </w:tr>
      <w:tr w:rsidR="00862B0B" w:rsidRPr="00A67277" w14:paraId="34985767" w14:textId="77777777" w:rsidTr="00862B0B">
        <w:tc>
          <w:tcPr>
            <w:tcW w:w="2270" w:type="pct"/>
          </w:tcPr>
          <w:p w14:paraId="6ABC0F33" w14:textId="77777777" w:rsidR="00862B0B" w:rsidRPr="00A67277" w:rsidRDefault="00862B0B" w:rsidP="00862B0B">
            <w:pPr>
              <w:pStyle w:val="Level4"/>
              <w:numPr>
                <w:ilvl w:val="0"/>
                <w:numId w:val="71"/>
              </w:numPr>
              <w:spacing w:before="60" w:after="60"/>
              <w:ind w:left="2486" w:hanging="270"/>
            </w:pPr>
            <w:r w:rsidRPr="00A67277">
              <w:t>as soon as practicable after service of the Force Majeure Notice, the Parties must:</w:t>
            </w:r>
          </w:p>
        </w:tc>
        <w:tc>
          <w:tcPr>
            <w:tcW w:w="169" w:type="pct"/>
          </w:tcPr>
          <w:p w14:paraId="4B9FF869" w14:textId="77777777" w:rsidR="00862B0B" w:rsidRPr="00A67277" w:rsidRDefault="00862B0B" w:rsidP="00862B0B">
            <w:pPr>
              <w:spacing w:before="60" w:after="60"/>
              <w:rPr>
                <w:rFonts w:ascii="Arial" w:hAnsi="Arial" w:cs="Arial"/>
                <w:sz w:val="21"/>
                <w:szCs w:val="21"/>
              </w:rPr>
            </w:pPr>
          </w:p>
        </w:tc>
        <w:tc>
          <w:tcPr>
            <w:tcW w:w="2561" w:type="pct"/>
            <w:gridSpan w:val="2"/>
          </w:tcPr>
          <w:p w14:paraId="5309A8AA" w14:textId="1BCF81CE" w:rsidR="00862B0B" w:rsidRPr="00A67277" w:rsidRDefault="00862B0B" w:rsidP="00862B0B">
            <w:pPr>
              <w:pStyle w:val="Level4"/>
              <w:numPr>
                <w:ilvl w:val="0"/>
                <w:numId w:val="72"/>
              </w:numPr>
              <w:spacing w:before="60" w:after="60"/>
              <w:ind w:left="1835" w:hanging="270"/>
              <w:rPr>
                <w:rFonts w:cs="Arial"/>
                <w:lang w:val="en-US"/>
              </w:rPr>
            </w:pPr>
            <w:r w:rsidRPr="00A67277">
              <w:rPr>
                <w:rFonts w:cs="Arial"/>
                <w:lang w:val="en-US"/>
              </w:rPr>
              <w:t>sesegera mungkin setelah disampaikannya Pemberitahuan Keadaan Kahar, Para Pihak harus:</w:t>
            </w:r>
          </w:p>
        </w:tc>
      </w:tr>
      <w:tr w:rsidR="00862B0B" w:rsidRPr="00A67277" w14:paraId="364C7AE4" w14:textId="77777777" w:rsidTr="00862B0B">
        <w:tc>
          <w:tcPr>
            <w:tcW w:w="2270" w:type="pct"/>
          </w:tcPr>
          <w:p w14:paraId="535DD57F" w14:textId="77777777" w:rsidR="00862B0B" w:rsidRPr="00A67277" w:rsidRDefault="00862B0B" w:rsidP="00862B0B">
            <w:pPr>
              <w:pStyle w:val="Level5"/>
              <w:numPr>
                <w:ilvl w:val="4"/>
                <w:numId w:val="439"/>
              </w:numPr>
              <w:tabs>
                <w:tab w:val="clear" w:pos="2835"/>
              </w:tabs>
              <w:spacing w:before="60" w:after="60"/>
              <w:ind w:left="2880" w:hanging="360"/>
            </w:pPr>
            <w:r w:rsidRPr="00A67277">
              <w:t>consult concerning the effect of the Force Majeure Event upon the Milestone Dates; and</w:t>
            </w:r>
          </w:p>
          <w:p w14:paraId="51D44320" w14:textId="77777777" w:rsidR="00862B0B" w:rsidRPr="00A67277" w:rsidRDefault="00862B0B" w:rsidP="00862B0B">
            <w:pPr>
              <w:spacing w:before="60" w:after="60"/>
              <w:rPr>
                <w:rFonts w:ascii="Arial" w:hAnsi="Arial" w:cs="Arial"/>
                <w:sz w:val="21"/>
                <w:szCs w:val="21"/>
              </w:rPr>
            </w:pPr>
          </w:p>
        </w:tc>
        <w:tc>
          <w:tcPr>
            <w:tcW w:w="169" w:type="pct"/>
          </w:tcPr>
          <w:p w14:paraId="5720023B" w14:textId="77777777" w:rsidR="00862B0B" w:rsidRPr="00A67277" w:rsidRDefault="00862B0B" w:rsidP="00862B0B">
            <w:pPr>
              <w:spacing w:before="60" w:after="60"/>
              <w:rPr>
                <w:rFonts w:ascii="Arial" w:hAnsi="Arial" w:cs="Arial"/>
                <w:sz w:val="21"/>
                <w:szCs w:val="21"/>
              </w:rPr>
            </w:pPr>
          </w:p>
        </w:tc>
        <w:tc>
          <w:tcPr>
            <w:tcW w:w="2561" w:type="pct"/>
            <w:gridSpan w:val="2"/>
          </w:tcPr>
          <w:p w14:paraId="020288F3" w14:textId="77777777" w:rsidR="00862B0B" w:rsidRPr="00A67277" w:rsidRDefault="00862B0B" w:rsidP="00862B0B">
            <w:pPr>
              <w:pStyle w:val="Level5"/>
              <w:numPr>
                <w:ilvl w:val="0"/>
                <w:numId w:val="73"/>
              </w:numPr>
              <w:spacing w:before="60" w:after="60"/>
              <w:ind w:left="2335" w:hanging="450"/>
              <w:rPr>
                <w:rFonts w:cs="Arial"/>
                <w:lang w:val="en-US"/>
              </w:rPr>
            </w:pPr>
            <w:r w:rsidRPr="00A67277">
              <w:rPr>
                <w:rFonts w:cs="Arial"/>
                <w:lang w:val="en-US"/>
              </w:rPr>
              <w:t xml:space="preserve">berkonsultasi mengenai dampak dari Peristiwa Keadaan Kahar terhadap </w:t>
            </w:r>
            <w:r w:rsidRPr="00A67277">
              <w:rPr>
                <w:rFonts w:cs="Arial"/>
              </w:rPr>
              <w:t>Tanggal Pencapaian</w:t>
            </w:r>
            <w:r w:rsidRPr="00A67277">
              <w:rPr>
                <w:rFonts w:cs="Arial"/>
                <w:lang w:val="en-US"/>
              </w:rPr>
              <w:t>; dan</w:t>
            </w:r>
          </w:p>
        </w:tc>
      </w:tr>
      <w:tr w:rsidR="00862B0B" w:rsidRPr="00A67277" w14:paraId="6C952831" w14:textId="77777777" w:rsidTr="00862B0B">
        <w:tc>
          <w:tcPr>
            <w:tcW w:w="2270" w:type="pct"/>
          </w:tcPr>
          <w:p w14:paraId="2F13418B" w14:textId="77777777" w:rsidR="00862B0B" w:rsidRPr="00A67277" w:rsidRDefault="00862B0B" w:rsidP="00862B0B">
            <w:pPr>
              <w:pStyle w:val="Level5"/>
              <w:numPr>
                <w:ilvl w:val="4"/>
                <w:numId w:val="439"/>
              </w:numPr>
              <w:tabs>
                <w:tab w:val="clear" w:pos="2835"/>
              </w:tabs>
              <w:spacing w:before="60" w:after="60"/>
              <w:ind w:left="2880" w:hanging="473"/>
            </w:pPr>
            <w:r w:rsidRPr="00A67277">
              <w:t xml:space="preserve">agree to an equitable adjustment to the Implementati-on Schedule, including the Milestone Dates to take into account the effect and the ability of the IBE or the EPC Contractor to reschedule the Project activities to avoid or minimise overall delays resulting from the Force Majeure Event; and </w:t>
            </w:r>
          </w:p>
        </w:tc>
        <w:tc>
          <w:tcPr>
            <w:tcW w:w="169" w:type="pct"/>
          </w:tcPr>
          <w:p w14:paraId="10C62B45" w14:textId="77777777" w:rsidR="00862B0B" w:rsidRPr="00A67277" w:rsidRDefault="00862B0B" w:rsidP="00862B0B">
            <w:pPr>
              <w:spacing w:before="60" w:after="60"/>
              <w:rPr>
                <w:rFonts w:ascii="Arial" w:hAnsi="Arial" w:cs="Arial"/>
                <w:sz w:val="21"/>
                <w:szCs w:val="21"/>
              </w:rPr>
            </w:pPr>
          </w:p>
        </w:tc>
        <w:tc>
          <w:tcPr>
            <w:tcW w:w="2561" w:type="pct"/>
            <w:gridSpan w:val="2"/>
          </w:tcPr>
          <w:p w14:paraId="1D76AB45" w14:textId="77777777" w:rsidR="00862B0B" w:rsidRPr="00A67277" w:rsidRDefault="00862B0B" w:rsidP="00862B0B">
            <w:pPr>
              <w:pStyle w:val="Level5"/>
              <w:numPr>
                <w:ilvl w:val="0"/>
                <w:numId w:val="73"/>
              </w:numPr>
              <w:spacing w:before="60" w:after="60"/>
              <w:ind w:left="2335" w:hanging="450"/>
              <w:rPr>
                <w:rFonts w:cs="Arial"/>
                <w:lang w:val="en-US"/>
              </w:rPr>
            </w:pPr>
            <w:r w:rsidRPr="00A67277">
              <w:rPr>
                <w:rFonts w:cs="Arial"/>
                <w:lang w:val="en-US"/>
              </w:rPr>
              <w:t>menyetujui suatu penyesuaian yang adil terhadap Jadwal Pelaksanaan, termasuk Tanggal Pencapaian dengan mempertimbangkan dampak dan kemampuan BUP atau Kontraktor EPC untuk menjadwal ulang kegiatan Proyek untuk menghindari atau mengurangi keterlambatan secara keseluruhan yang disebabkan Peristiwa Keadaan Kahar; dan</w:t>
            </w:r>
          </w:p>
        </w:tc>
      </w:tr>
      <w:tr w:rsidR="00862B0B" w:rsidRPr="00A67277" w14:paraId="51630189" w14:textId="77777777" w:rsidTr="00862B0B">
        <w:tc>
          <w:tcPr>
            <w:tcW w:w="2270" w:type="pct"/>
          </w:tcPr>
          <w:p w14:paraId="3133CD7F" w14:textId="77777777" w:rsidR="00862B0B" w:rsidRPr="00A67277" w:rsidRDefault="00862B0B" w:rsidP="00862B0B">
            <w:pPr>
              <w:pStyle w:val="Level4"/>
              <w:numPr>
                <w:ilvl w:val="0"/>
                <w:numId w:val="71"/>
              </w:numPr>
              <w:spacing w:before="60" w:after="60"/>
              <w:ind w:left="2486" w:hanging="270"/>
            </w:pPr>
            <w:r w:rsidRPr="00A67277">
              <w:t>If the Parties are unable to agree upon the equitable adjustment of the Implementation Schedule (including the Milestone Dates) within a period of one (1) Month after the Non-Affected Party received the Force Majeure Notice, either Party is entitled to submit this Dispute for determination in accordance with the provisions of Clause 28 (Settlement of Disputes).</w:t>
            </w:r>
          </w:p>
        </w:tc>
        <w:tc>
          <w:tcPr>
            <w:tcW w:w="169" w:type="pct"/>
          </w:tcPr>
          <w:p w14:paraId="2B5F57FB" w14:textId="77777777" w:rsidR="00862B0B" w:rsidRPr="00A67277" w:rsidRDefault="00862B0B" w:rsidP="00862B0B">
            <w:pPr>
              <w:spacing w:before="60" w:after="60"/>
              <w:rPr>
                <w:rFonts w:ascii="Arial" w:hAnsi="Arial" w:cs="Arial"/>
                <w:sz w:val="21"/>
                <w:szCs w:val="21"/>
              </w:rPr>
            </w:pPr>
          </w:p>
        </w:tc>
        <w:tc>
          <w:tcPr>
            <w:tcW w:w="2561" w:type="pct"/>
            <w:gridSpan w:val="2"/>
          </w:tcPr>
          <w:p w14:paraId="03BEFFAB" w14:textId="77777777" w:rsidR="00862B0B" w:rsidRPr="00A67277" w:rsidRDefault="00862B0B" w:rsidP="00862B0B">
            <w:pPr>
              <w:pStyle w:val="Level4"/>
              <w:numPr>
                <w:ilvl w:val="0"/>
                <w:numId w:val="72"/>
              </w:numPr>
              <w:spacing w:before="60" w:after="60"/>
              <w:ind w:left="1835" w:hanging="270"/>
              <w:rPr>
                <w:rFonts w:cs="Arial"/>
                <w:lang w:val="en-US"/>
              </w:rPr>
            </w:pPr>
            <w:r w:rsidRPr="00A67277">
              <w:rPr>
                <w:rFonts w:cs="Arial"/>
                <w:lang w:val="en-US"/>
              </w:rPr>
              <w:t>jika Para Pihak tidak dapat menyetujui penyesuaian yang adil terhadap Jadwal Pelaksanaan (termasuk Tanggal Pencapaian) dalam jangka waktu satu (1) Bulan setelah Pihak Yang Tidak Terdampak menerima Pemberitahuan Keadaan Kahar, salah satu Pihak berhak untuk mengajukan Sengketa ini untuk diselesaikan sesuai dengan ketentuan Pasal 28 (Penyelesaian Sengketa).</w:t>
            </w:r>
          </w:p>
        </w:tc>
      </w:tr>
      <w:tr w:rsidR="00862B0B" w:rsidRPr="00A67277" w14:paraId="22B2047C" w14:textId="77777777" w:rsidTr="00862B0B">
        <w:tc>
          <w:tcPr>
            <w:tcW w:w="2270" w:type="pct"/>
          </w:tcPr>
          <w:p w14:paraId="5E3ECA5F" w14:textId="77777777" w:rsidR="00862B0B" w:rsidRPr="00A67277" w:rsidRDefault="00862B0B" w:rsidP="00862B0B">
            <w:pPr>
              <w:pStyle w:val="Level3"/>
              <w:spacing w:before="60" w:after="60"/>
              <w:ind w:left="1417"/>
              <w:rPr>
                <w:b/>
              </w:rPr>
            </w:pPr>
            <w:r w:rsidRPr="00A67277">
              <w:rPr>
                <w:b/>
              </w:rPr>
              <w:t>Following Commercial Operation Date</w:t>
            </w:r>
          </w:p>
        </w:tc>
        <w:tc>
          <w:tcPr>
            <w:tcW w:w="169" w:type="pct"/>
          </w:tcPr>
          <w:p w14:paraId="29E6840B" w14:textId="77777777" w:rsidR="00862B0B" w:rsidRPr="00A67277" w:rsidRDefault="00862B0B" w:rsidP="00862B0B">
            <w:pPr>
              <w:spacing w:before="60" w:after="60"/>
              <w:rPr>
                <w:rFonts w:ascii="Arial" w:hAnsi="Arial" w:cs="Arial"/>
                <w:sz w:val="21"/>
                <w:szCs w:val="21"/>
              </w:rPr>
            </w:pPr>
          </w:p>
        </w:tc>
        <w:tc>
          <w:tcPr>
            <w:tcW w:w="2561" w:type="pct"/>
            <w:gridSpan w:val="2"/>
          </w:tcPr>
          <w:p w14:paraId="0B645232" w14:textId="77777777" w:rsidR="00862B0B" w:rsidRPr="00A67277" w:rsidRDefault="00862B0B" w:rsidP="00862B0B">
            <w:pPr>
              <w:pStyle w:val="Level3"/>
              <w:spacing w:before="60" w:after="60"/>
              <w:ind w:left="972"/>
              <w:rPr>
                <w:rFonts w:cs="Arial"/>
                <w:b/>
              </w:rPr>
            </w:pPr>
            <w:r w:rsidRPr="00A67277">
              <w:rPr>
                <w:rFonts w:cs="Arial"/>
                <w:b/>
              </w:rPr>
              <w:t>Setelah Tanggal Operasi Komersial</w:t>
            </w:r>
          </w:p>
        </w:tc>
      </w:tr>
      <w:tr w:rsidR="00862B0B" w:rsidRPr="00A67277" w14:paraId="44850121" w14:textId="77777777" w:rsidTr="00862B0B">
        <w:tc>
          <w:tcPr>
            <w:tcW w:w="2270" w:type="pct"/>
          </w:tcPr>
          <w:p w14:paraId="2262C4FE" w14:textId="77777777" w:rsidR="00862B0B" w:rsidRPr="00A67277" w:rsidRDefault="00862B0B" w:rsidP="00862B0B">
            <w:pPr>
              <w:pStyle w:val="Level3"/>
              <w:numPr>
                <w:ilvl w:val="2"/>
                <w:numId w:val="504"/>
              </w:numPr>
              <w:tabs>
                <w:tab w:val="clear" w:pos="1417"/>
                <w:tab w:val="num" w:pos="3566"/>
              </w:tabs>
              <w:spacing w:before="60" w:after="60"/>
              <w:ind w:left="2036" w:hanging="596"/>
            </w:pPr>
            <w:r w:rsidRPr="00A67277">
              <w:t>If a Force Majeure Event occurs after the Commercial Operation Date which results in a total cessation of the Services for a period longer than [●] Days, then the Term shall be extended by the number of Days equal to the number of Days during which there was a total cessation of the Services.</w:t>
            </w:r>
          </w:p>
        </w:tc>
        <w:tc>
          <w:tcPr>
            <w:tcW w:w="169" w:type="pct"/>
          </w:tcPr>
          <w:p w14:paraId="422C03BD" w14:textId="77777777" w:rsidR="00862B0B" w:rsidRPr="00A67277" w:rsidRDefault="00862B0B" w:rsidP="00862B0B">
            <w:pPr>
              <w:spacing w:before="60" w:after="60"/>
              <w:rPr>
                <w:rFonts w:ascii="Arial" w:hAnsi="Arial" w:cs="Arial"/>
                <w:sz w:val="21"/>
                <w:szCs w:val="21"/>
              </w:rPr>
            </w:pPr>
          </w:p>
        </w:tc>
        <w:tc>
          <w:tcPr>
            <w:tcW w:w="2561" w:type="pct"/>
            <w:gridSpan w:val="2"/>
          </w:tcPr>
          <w:p w14:paraId="2D983DBB" w14:textId="77777777" w:rsidR="00862B0B" w:rsidRPr="00A67277" w:rsidRDefault="00862B0B" w:rsidP="00862B0B">
            <w:pPr>
              <w:pStyle w:val="Level3"/>
              <w:numPr>
                <w:ilvl w:val="0"/>
                <w:numId w:val="70"/>
              </w:numPr>
              <w:spacing w:before="60" w:after="60"/>
              <w:ind w:left="1460" w:hanging="460"/>
              <w:rPr>
                <w:rFonts w:cs="Arial"/>
              </w:rPr>
            </w:pPr>
            <w:r w:rsidRPr="00A67277">
              <w:rPr>
                <w:rFonts w:cs="Arial"/>
              </w:rPr>
              <w:t>Jika suatu Peristiwa Keadaan Kahar terjadi setelah Tanggal Operasi Komersial yang menyebabkan penghentian total dari Layanan untuk jangka waktu yang lebih dari [●] Hari, maka Jangka Waktu harus diperpanjang dengan jumlah Hari yang sama dengan jumlah Hari terjadinya penghentian total Layanan.</w:t>
            </w:r>
          </w:p>
        </w:tc>
      </w:tr>
      <w:tr w:rsidR="00862B0B" w:rsidRPr="00A67277" w14:paraId="7F2252B5" w14:textId="77777777" w:rsidTr="00862B0B">
        <w:tc>
          <w:tcPr>
            <w:tcW w:w="2270" w:type="pct"/>
          </w:tcPr>
          <w:p w14:paraId="3D8932CB" w14:textId="77777777" w:rsidR="00862B0B" w:rsidRPr="00A67277" w:rsidRDefault="00862B0B" w:rsidP="00862B0B">
            <w:pPr>
              <w:pStyle w:val="Level3"/>
              <w:numPr>
                <w:ilvl w:val="2"/>
                <w:numId w:val="504"/>
              </w:numPr>
              <w:tabs>
                <w:tab w:val="clear" w:pos="1417"/>
                <w:tab w:val="num" w:pos="3566"/>
              </w:tabs>
              <w:spacing w:before="60" w:after="60"/>
              <w:ind w:left="2036" w:hanging="596"/>
            </w:pPr>
            <w:r w:rsidRPr="00A67277">
              <w:t xml:space="preserve">If a Force Majeure Event occurs after the Commercial Operation Date which results in a partial interruption of the Services for a period longer than [●] Days, then the following will occur: </w:t>
            </w:r>
          </w:p>
        </w:tc>
        <w:tc>
          <w:tcPr>
            <w:tcW w:w="169" w:type="pct"/>
          </w:tcPr>
          <w:p w14:paraId="536E6D7C" w14:textId="77777777" w:rsidR="00862B0B" w:rsidRPr="00A67277" w:rsidRDefault="00862B0B" w:rsidP="00862B0B">
            <w:pPr>
              <w:spacing w:before="60" w:after="60"/>
              <w:rPr>
                <w:rFonts w:ascii="Arial" w:hAnsi="Arial" w:cs="Arial"/>
                <w:sz w:val="21"/>
                <w:szCs w:val="21"/>
              </w:rPr>
            </w:pPr>
          </w:p>
        </w:tc>
        <w:tc>
          <w:tcPr>
            <w:tcW w:w="2561" w:type="pct"/>
            <w:gridSpan w:val="2"/>
          </w:tcPr>
          <w:p w14:paraId="4E6B22C9" w14:textId="77777777" w:rsidR="00862B0B" w:rsidRPr="00A67277" w:rsidRDefault="00862B0B" w:rsidP="00862B0B">
            <w:pPr>
              <w:pStyle w:val="Level3"/>
              <w:numPr>
                <w:ilvl w:val="0"/>
                <w:numId w:val="70"/>
              </w:numPr>
              <w:spacing w:before="60" w:after="60"/>
              <w:ind w:left="1460" w:hanging="460"/>
              <w:rPr>
                <w:rFonts w:cs="Arial"/>
              </w:rPr>
            </w:pPr>
            <w:r w:rsidRPr="00A67277">
              <w:rPr>
                <w:rFonts w:cs="Arial"/>
              </w:rPr>
              <w:t>Jika suatu Peristiwa Keadaan Kahar terjadi setelah Tanggal Operasi Komersial yang mengakibatkan gangguan sebagian Layanan selama jangka waktu yang lebih dari [●] Hari, maka berlaku hal-hal sebagai berikut:</w:t>
            </w:r>
          </w:p>
        </w:tc>
      </w:tr>
      <w:tr w:rsidR="00862B0B" w:rsidRPr="00A67277" w14:paraId="16EEC992" w14:textId="77777777" w:rsidTr="00862B0B">
        <w:tc>
          <w:tcPr>
            <w:tcW w:w="2270" w:type="pct"/>
          </w:tcPr>
          <w:p w14:paraId="62CBD3DA" w14:textId="77777777" w:rsidR="00862B0B" w:rsidRPr="00A67277" w:rsidRDefault="00862B0B" w:rsidP="00862B0B">
            <w:pPr>
              <w:pStyle w:val="Level4"/>
              <w:numPr>
                <w:ilvl w:val="0"/>
                <w:numId w:val="74"/>
              </w:numPr>
              <w:spacing w:before="60" w:after="60"/>
              <w:ind w:left="2396" w:hanging="270"/>
            </w:pPr>
            <w:r w:rsidRPr="00A67277">
              <w:t>As soon as practicable after service of the Force Majeure Notice the Parties must:</w:t>
            </w:r>
          </w:p>
        </w:tc>
        <w:tc>
          <w:tcPr>
            <w:tcW w:w="169" w:type="pct"/>
          </w:tcPr>
          <w:p w14:paraId="408B33D4" w14:textId="77777777" w:rsidR="00862B0B" w:rsidRPr="00A67277" w:rsidRDefault="00862B0B" w:rsidP="00862B0B">
            <w:pPr>
              <w:spacing w:before="60" w:after="60"/>
              <w:rPr>
                <w:rFonts w:ascii="Arial" w:hAnsi="Arial" w:cs="Arial"/>
                <w:sz w:val="21"/>
                <w:szCs w:val="21"/>
              </w:rPr>
            </w:pPr>
          </w:p>
        </w:tc>
        <w:tc>
          <w:tcPr>
            <w:tcW w:w="2561" w:type="pct"/>
            <w:gridSpan w:val="2"/>
          </w:tcPr>
          <w:p w14:paraId="3750197E" w14:textId="77777777" w:rsidR="00862B0B" w:rsidRPr="00A67277" w:rsidRDefault="00862B0B" w:rsidP="00862B0B">
            <w:pPr>
              <w:pStyle w:val="Level4"/>
              <w:numPr>
                <w:ilvl w:val="0"/>
                <w:numId w:val="75"/>
              </w:numPr>
              <w:spacing w:before="60" w:after="60"/>
              <w:ind w:left="1965"/>
              <w:rPr>
                <w:rFonts w:cs="Arial"/>
                <w:lang w:val="en-US"/>
              </w:rPr>
            </w:pPr>
            <w:r w:rsidRPr="00A67277">
              <w:rPr>
                <w:rFonts w:cs="Arial"/>
                <w:lang w:val="en-US"/>
              </w:rPr>
              <w:t>sesegera mungkin setelah disampaikannya Pemberitahuan Keadaan Kahar, Para Pihak harus:</w:t>
            </w:r>
          </w:p>
        </w:tc>
      </w:tr>
      <w:tr w:rsidR="00862B0B" w:rsidRPr="00A67277" w14:paraId="1A4CB531" w14:textId="77777777" w:rsidTr="00862B0B">
        <w:tc>
          <w:tcPr>
            <w:tcW w:w="2270" w:type="pct"/>
          </w:tcPr>
          <w:p w14:paraId="61B7B4DD" w14:textId="77777777" w:rsidR="00862B0B" w:rsidRPr="00A67277" w:rsidRDefault="00862B0B" w:rsidP="00862B0B">
            <w:pPr>
              <w:pStyle w:val="Level5"/>
              <w:numPr>
                <w:ilvl w:val="4"/>
                <w:numId w:val="440"/>
              </w:numPr>
              <w:spacing w:before="60" w:after="60"/>
              <w:ind w:hanging="495"/>
            </w:pPr>
            <w:r w:rsidRPr="00A67277">
              <w:t>consult concerning the effect of the Force Majeure Event; and</w:t>
            </w:r>
          </w:p>
        </w:tc>
        <w:tc>
          <w:tcPr>
            <w:tcW w:w="169" w:type="pct"/>
          </w:tcPr>
          <w:p w14:paraId="5FA25F6B" w14:textId="77777777" w:rsidR="00862B0B" w:rsidRPr="00A67277" w:rsidRDefault="00862B0B" w:rsidP="00862B0B">
            <w:pPr>
              <w:spacing w:before="60" w:after="60"/>
              <w:rPr>
                <w:rFonts w:ascii="Arial" w:hAnsi="Arial" w:cs="Arial"/>
                <w:sz w:val="21"/>
                <w:szCs w:val="21"/>
              </w:rPr>
            </w:pPr>
          </w:p>
        </w:tc>
        <w:tc>
          <w:tcPr>
            <w:tcW w:w="2561" w:type="pct"/>
            <w:gridSpan w:val="2"/>
          </w:tcPr>
          <w:p w14:paraId="7333839B" w14:textId="77777777" w:rsidR="00862B0B" w:rsidRPr="00A67277" w:rsidRDefault="00862B0B" w:rsidP="00862B0B">
            <w:pPr>
              <w:pStyle w:val="Level5"/>
              <w:numPr>
                <w:ilvl w:val="0"/>
                <w:numId w:val="76"/>
              </w:numPr>
              <w:spacing w:before="60" w:after="60"/>
              <w:ind w:left="2325"/>
              <w:rPr>
                <w:rFonts w:cs="Arial"/>
                <w:lang w:val="en-US"/>
              </w:rPr>
            </w:pPr>
            <w:r w:rsidRPr="00A67277">
              <w:rPr>
                <w:rFonts w:cs="Arial"/>
                <w:lang w:val="en-US"/>
              </w:rPr>
              <w:t>berkonsultasi mengenai dampak Peristiwa Keadaan Kahar; dan</w:t>
            </w:r>
          </w:p>
        </w:tc>
      </w:tr>
      <w:tr w:rsidR="00862B0B" w:rsidRPr="00A67277" w14:paraId="75055E5E" w14:textId="77777777" w:rsidTr="00862B0B">
        <w:tc>
          <w:tcPr>
            <w:tcW w:w="2270" w:type="pct"/>
          </w:tcPr>
          <w:p w14:paraId="0BCFD13A" w14:textId="3354B9C5" w:rsidR="00862B0B" w:rsidRPr="00A67277" w:rsidRDefault="00862B0B" w:rsidP="00862B0B">
            <w:pPr>
              <w:pStyle w:val="Level5"/>
              <w:numPr>
                <w:ilvl w:val="4"/>
                <w:numId w:val="440"/>
              </w:numPr>
              <w:spacing w:before="60" w:after="60"/>
              <w:ind w:hanging="495"/>
            </w:pPr>
            <w:r w:rsidRPr="00A67277">
              <w:t xml:space="preserve">agree to an equitable adjustment to the Term or </w:t>
            </w:r>
            <w:r>
              <w:t>Service Fee</w:t>
            </w:r>
            <w:r w:rsidRPr="00A67277">
              <w:t xml:space="preserve"> that is reflective of the impact of the partial interruption caused by the Force Majeure Event; and </w:t>
            </w:r>
          </w:p>
        </w:tc>
        <w:tc>
          <w:tcPr>
            <w:tcW w:w="169" w:type="pct"/>
          </w:tcPr>
          <w:p w14:paraId="3E9A48EE" w14:textId="77777777" w:rsidR="00862B0B" w:rsidRPr="00A67277" w:rsidRDefault="00862B0B" w:rsidP="00862B0B">
            <w:pPr>
              <w:spacing w:before="60" w:after="60"/>
              <w:rPr>
                <w:rFonts w:ascii="Arial" w:hAnsi="Arial" w:cs="Arial"/>
                <w:sz w:val="21"/>
                <w:szCs w:val="21"/>
              </w:rPr>
            </w:pPr>
          </w:p>
        </w:tc>
        <w:tc>
          <w:tcPr>
            <w:tcW w:w="2561" w:type="pct"/>
            <w:gridSpan w:val="2"/>
          </w:tcPr>
          <w:p w14:paraId="3FECA867" w14:textId="546786C4" w:rsidR="00862B0B" w:rsidRPr="00A67277" w:rsidRDefault="00862B0B" w:rsidP="00862B0B">
            <w:pPr>
              <w:pStyle w:val="Level5"/>
              <w:numPr>
                <w:ilvl w:val="0"/>
                <w:numId w:val="76"/>
              </w:numPr>
              <w:spacing w:before="60" w:after="60"/>
              <w:ind w:left="2325"/>
              <w:rPr>
                <w:rFonts w:cs="Arial"/>
                <w:lang w:val="en-US"/>
              </w:rPr>
            </w:pPr>
            <w:r w:rsidRPr="00A67277">
              <w:rPr>
                <w:rFonts w:cs="Arial"/>
                <w:lang w:val="en-US"/>
              </w:rPr>
              <w:t>menyetujui suatu penyesuaian yang adil terhadap Jangka Waktu dan Biaya Layanan yang mencerminkan dampak dari gangguan sebagian yang disebabkan Peristiwa Keadaan Kahar; dan</w:t>
            </w:r>
          </w:p>
        </w:tc>
      </w:tr>
      <w:tr w:rsidR="00862B0B" w:rsidRPr="00A67277" w14:paraId="3CD6D70C" w14:textId="77777777" w:rsidTr="00862B0B">
        <w:tc>
          <w:tcPr>
            <w:tcW w:w="2270" w:type="pct"/>
          </w:tcPr>
          <w:p w14:paraId="6A022C04" w14:textId="77777777" w:rsidR="00862B0B" w:rsidRPr="00A67277" w:rsidRDefault="00862B0B" w:rsidP="00862B0B">
            <w:pPr>
              <w:pStyle w:val="Level4"/>
              <w:numPr>
                <w:ilvl w:val="0"/>
                <w:numId w:val="74"/>
              </w:numPr>
              <w:spacing w:before="60" w:after="60"/>
              <w:ind w:left="2396" w:hanging="270"/>
            </w:pPr>
            <w:r w:rsidRPr="00A67277">
              <w:t>If the Parties are unable to agree upon the equitable adjustment of the Term within a period of one (1) Month after the Non-Affected Party received the Force Majeure Notice, either Party is entitled to submit this Dispute for determination in accordance with the provisions of Clause 28 (Settlement of Disputes).</w:t>
            </w:r>
          </w:p>
        </w:tc>
        <w:tc>
          <w:tcPr>
            <w:tcW w:w="169" w:type="pct"/>
          </w:tcPr>
          <w:p w14:paraId="705F76A2" w14:textId="77777777" w:rsidR="00862B0B" w:rsidRPr="00A67277" w:rsidRDefault="00862B0B" w:rsidP="00862B0B">
            <w:pPr>
              <w:spacing w:before="60" w:after="60"/>
              <w:rPr>
                <w:rFonts w:ascii="Arial" w:hAnsi="Arial" w:cs="Arial"/>
                <w:sz w:val="21"/>
                <w:szCs w:val="21"/>
              </w:rPr>
            </w:pPr>
          </w:p>
        </w:tc>
        <w:tc>
          <w:tcPr>
            <w:tcW w:w="2561" w:type="pct"/>
            <w:gridSpan w:val="2"/>
          </w:tcPr>
          <w:p w14:paraId="1957153F" w14:textId="77777777" w:rsidR="00862B0B" w:rsidRPr="00A67277" w:rsidRDefault="00862B0B" w:rsidP="00862B0B">
            <w:pPr>
              <w:pStyle w:val="Level4"/>
              <w:numPr>
                <w:ilvl w:val="0"/>
                <w:numId w:val="75"/>
              </w:numPr>
              <w:spacing w:before="60" w:after="60"/>
              <w:ind w:left="1965"/>
              <w:rPr>
                <w:rFonts w:cs="Arial"/>
                <w:lang w:val="en-US"/>
              </w:rPr>
            </w:pPr>
            <w:r w:rsidRPr="00A67277">
              <w:rPr>
                <w:rFonts w:cs="Arial"/>
                <w:lang w:val="en-US"/>
              </w:rPr>
              <w:t>jika Para Pihak tidak dapat menyetujui penyesuaian yang adil terhadap Jangka Waktu dalam jangka waktu satu (1) Bulan setelah Pihak Yang Tidak Terdampak menerima Pemberitahuan Keadaan Kahar, salah satu Pihak berhak untuk mengajukan Sengketa ini untuk diselesaikan sesuai dengan ketentuan Pasal 28 (Penyelesaian Sengketa).</w:t>
            </w:r>
          </w:p>
        </w:tc>
      </w:tr>
      <w:tr w:rsidR="00862B0B" w:rsidRPr="00A67277" w14:paraId="637A65B4" w14:textId="77777777" w:rsidTr="00862B0B">
        <w:tc>
          <w:tcPr>
            <w:tcW w:w="2270" w:type="pct"/>
          </w:tcPr>
          <w:p w14:paraId="1904B3F0" w14:textId="77777777" w:rsidR="00862B0B" w:rsidRPr="00A67277" w:rsidRDefault="00862B0B" w:rsidP="00862B0B">
            <w:pPr>
              <w:pStyle w:val="Level3"/>
              <w:spacing w:before="60" w:after="60"/>
              <w:ind w:left="1417"/>
              <w:rPr>
                <w:b/>
              </w:rPr>
            </w:pPr>
            <w:r w:rsidRPr="00A67277">
              <w:rPr>
                <w:b/>
              </w:rPr>
              <w:t>Effect of Uninsured Force Majeure Events</w:t>
            </w:r>
          </w:p>
        </w:tc>
        <w:tc>
          <w:tcPr>
            <w:tcW w:w="169" w:type="pct"/>
          </w:tcPr>
          <w:p w14:paraId="6477CA17" w14:textId="77777777" w:rsidR="00862B0B" w:rsidRPr="00A67277" w:rsidRDefault="00862B0B" w:rsidP="00862B0B">
            <w:pPr>
              <w:spacing w:before="60" w:after="60"/>
              <w:rPr>
                <w:rFonts w:ascii="Arial" w:hAnsi="Arial" w:cs="Arial"/>
                <w:sz w:val="21"/>
                <w:szCs w:val="21"/>
              </w:rPr>
            </w:pPr>
          </w:p>
        </w:tc>
        <w:tc>
          <w:tcPr>
            <w:tcW w:w="2561" w:type="pct"/>
            <w:gridSpan w:val="2"/>
          </w:tcPr>
          <w:p w14:paraId="6290AE45" w14:textId="77777777" w:rsidR="00862B0B" w:rsidRPr="00A67277" w:rsidRDefault="00862B0B" w:rsidP="00862B0B">
            <w:pPr>
              <w:pStyle w:val="Level3"/>
              <w:spacing w:before="60" w:after="60"/>
              <w:ind w:left="972"/>
              <w:rPr>
                <w:rFonts w:cs="Arial"/>
                <w:b/>
              </w:rPr>
            </w:pPr>
            <w:r w:rsidRPr="00A67277">
              <w:rPr>
                <w:rFonts w:cs="Arial"/>
                <w:b/>
              </w:rPr>
              <w:t>Dampak Peristiwa Keadaan Kahar Yang Tidak Diasuransikan</w:t>
            </w:r>
          </w:p>
        </w:tc>
      </w:tr>
      <w:tr w:rsidR="00862B0B" w:rsidRPr="00A67277" w14:paraId="3D9C3433" w14:textId="77777777" w:rsidTr="00862B0B">
        <w:tc>
          <w:tcPr>
            <w:tcW w:w="2270" w:type="pct"/>
          </w:tcPr>
          <w:p w14:paraId="699CA605" w14:textId="77777777" w:rsidR="00862B0B" w:rsidRPr="00A67277" w:rsidRDefault="00862B0B" w:rsidP="00862B0B">
            <w:pPr>
              <w:pStyle w:val="Level3"/>
              <w:numPr>
                <w:ilvl w:val="2"/>
                <w:numId w:val="505"/>
              </w:numPr>
              <w:tabs>
                <w:tab w:val="clear" w:pos="1417"/>
              </w:tabs>
              <w:spacing w:before="60" w:after="60"/>
              <w:ind w:left="2007" w:hanging="567"/>
            </w:pPr>
            <w:r w:rsidRPr="00A67277">
              <w:t xml:space="preserve">If a Force Majeure Event occurs that results in a material delay in the completion of the Project or causes damage to the Facility, and such Force Majeure Event (i) is of a type not normally insured against by entities engaged in activities substantially similar to those engaged in by the IBE, is not required to be insured against in accordance with Good Industry Practice, and in fact has not been insured against by the IBE or (ii) could not be insured against by the IBE prior to the time of its occurrence, then: </w:t>
            </w:r>
          </w:p>
        </w:tc>
        <w:tc>
          <w:tcPr>
            <w:tcW w:w="169" w:type="pct"/>
          </w:tcPr>
          <w:p w14:paraId="399A02C8" w14:textId="77777777" w:rsidR="00862B0B" w:rsidRPr="00A67277" w:rsidRDefault="00862B0B" w:rsidP="00862B0B">
            <w:pPr>
              <w:spacing w:before="60" w:after="60"/>
              <w:rPr>
                <w:rFonts w:ascii="Arial" w:hAnsi="Arial" w:cs="Arial"/>
                <w:sz w:val="21"/>
                <w:szCs w:val="21"/>
              </w:rPr>
            </w:pPr>
          </w:p>
        </w:tc>
        <w:tc>
          <w:tcPr>
            <w:tcW w:w="2561" w:type="pct"/>
            <w:gridSpan w:val="2"/>
          </w:tcPr>
          <w:p w14:paraId="64697AE3" w14:textId="77777777" w:rsidR="00862B0B" w:rsidRPr="00A67277" w:rsidRDefault="00862B0B" w:rsidP="00862B0B">
            <w:pPr>
              <w:pStyle w:val="Level3"/>
              <w:numPr>
                <w:ilvl w:val="0"/>
                <w:numId w:val="70"/>
              </w:numPr>
              <w:spacing w:before="60" w:after="60"/>
              <w:ind w:left="1460" w:hanging="460"/>
              <w:rPr>
                <w:rFonts w:cs="Arial"/>
              </w:rPr>
            </w:pPr>
            <w:r w:rsidRPr="00A67277">
              <w:rPr>
                <w:rFonts w:cs="Arial"/>
              </w:rPr>
              <w:t xml:space="preserve">Jika Peristiwa Keadaan Kahar terjadi yang mengakibatkan keterlambatan material dalam penyelesaian Proyek atau menyebabkan kerusakan pada Fasilitas, dan Peristiwa Keadaan Kahar (i) merupakan peristiwa yang biasanya tidak diasuransikan terhadap entitas yang melakukan kegiatan yang secara substansial serupa dengan yang dilakukan oleh BUP, tidak disyaratkan untuk diasuransikan sesuai dengan Praktek Industri Yang Baik, dan secara nyata belum diasuransikan terhadap BUP, atau (ii) tidak dapat diasuransikan oleh BUP sebelum terjadinya peristiwa tersebut, maka: </w:t>
            </w:r>
          </w:p>
        </w:tc>
      </w:tr>
      <w:tr w:rsidR="00862B0B" w:rsidRPr="00A67277" w14:paraId="1DB2DF91" w14:textId="77777777" w:rsidTr="00862B0B">
        <w:tc>
          <w:tcPr>
            <w:tcW w:w="2270" w:type="pct"/>
          </w:tcPr>
          <w:p w14:paraId="2C8B6B49" w14:textId="22AA02FE" w:rsidR="00862B0B" w:rsidRPr="00A67277" w:rsidRDefault="00862B0B" w:rsidP="00862B0B">
            <w:pPr>
              <w:pStyle w:val="Level4"/>
              <w:numPr>
                <w:ilvl w:val="0"/>
                <w:numId w:val="77"/>
              </w:numPr>
              <w:spacing w:before="60" w:after="60"/>
              <w:ind w:left="2666"/>
            </w:pPr>
            <w:r w:rsidRPr="00A67277">
              <w:t xml:space="preserve">both Parties shall enter into good faith negotiations to agree to a satisfactory solution regarding continuation of the Project or operation of the Facility or regarding an adjustment of the </w:t>
            </w:r>
            <w:r>
              <w:t>Service ee</w:t>
            </w:r>
            <w:r w:rsidRPr="00A67277">
              <w:t>, and the IBE shall use its best effort to obtain funding to complete or repair the Facility; and</w:t>
            </w:r>
          </w:p>
        </w:tc>
        <w:tc>
          <w:tcPr>
            <w:tcW w:w="169" w:type="pct"/>
          </w:tcPr>
          <w:p w14:paraId="7B9F926D" w14:textId="77777777" w:rsidR="00862B0B" w:rsidRPr="00A67277" w:rsidRDefault="00862B0B" w:rsidP="00862B0B">
            <w:pPr>
              <w:spacing w:before="60" w:after="60"/>
              <w:rPr>
                <w:rFonts w:ascii="Arial" w:hAnsi="Arial" w:cs="Arial"/>
                <w:sz w:val="21"/>
                <w:szCs w:val="21"/>
              </w:rPr>
            </w:pPr>
          </w:p>
        </w:tc>
        <w:tc>
          <w:tcPr>
            <w:tcW w:w="2561" w:type="pct"/>
            <w:gridSpan w:val="2"/>
          </w:tcPr>
          <w:p w14:paraId="33C167AB" w14:textId="419B5CBA" w:rsidR="00862B0B" w:rsidRPr="00A67277" w:rsidRDefault="00862B0B" w:rsidP="00862B0B">
            <w:pPr>
              <w:pStyle w:val="Level4"/>
              <w:numPr>
                <w:ilvl w:val="0"/>
                <w:numId w:val="78"/>
              </w:numPr>
              <w:spacing w:before="60" w:after="60"/>
              <w:ind w:left="2055"/>
              <w:rPr>
                <w:rFonts w:cs="Arial"/>
              </w:rPr>
            </w:pPr>
            <w:r w:rsidRPr="00A67277">
              <w:rPr>
                <w:rFonts w:cs="Arial"/>
              </w:rPr>
              <w:t xml:space="preserve">Para Pihak harus mengadakan negosiasi dengan itikad baik untuk menyepakati solusi yang memuaskan mengenai keberlangsungan Proyek atau operasional Fasilitas atau penyesuaian </w:t>
            </w:r>
            <w:r>
              <w:rPr>
                <w:rFonts w:cs="Arial"/>
              </w:rPr>
              <w:t>Biaya</w:t>
            </w:r>
            <w:r w:rsidRPr="00A67277">
              <w:rPr>
                <w:rFonts w:cs="Arial"/>
              </w:rPr>
              <w:t xml:space="preserve"> Layanan, dan BUP harus menggunakan upaya terbaik untuk memperoleh pendanaan untuk menyelesaikan atau memperbaiki Fasilitas; dan</w:t>
            </w:r>
          </w:p>
        </w:tc>
      </w:tr>
      <w:tr w:rsidR="00862B0B" w:rsidRPr="00A67277" w14:paraId="260682D7" w14:textId="77777777" w:rsidTr="00862B0B">
        <w:tc>
          <w:tcPr>
            <w:tcW w:w="2270" w:type="pct"/>
          </w:tcPr>
          <w:p w14:paraId="72378C59" w14:textId="77777777" w:rsidR="00862B0B" w:rsidRPr="00A67277" w:rsidRDefault="00862B0B" w:rsidP="00862B0B">
            <w:pPr>
              <w:pStyle w:val="Level4"/>
              <w:numPr>
                <w:ilvl w:val="0"/>
                <w:numId w:val="77"/>
              </w:numPr>
              <w:spacing w:before="60" w:after="60"/>
              <w:ind w:left="2666"/>
            </w:pPr>
            <w:r w:rsidRPr="00A67277">
              <w:t>during such period, the IBE shall not be required to complete the Project or to repair the Facility, as the case may be, and such failure to complete, repair or operate the Facility shall not constitute Default by IBE.</w:t>
            </w:r>
          </w:p>
        </w:tc>
        <w:tc>
          <w:tcPr>
            <w:tcW w:w="169" w:type="pct"/>
          </w:tcPr>
          <w:p w14:paraId="581027E5" w14:textId="77777777" w:rsidR="00862B0B" w:rsidRPr="00A67277" w:rsidRDefault="00862B0B" w:rsidP="00862B0B">
            <w:pPr>
              <w:spacing w:before="60" w:after="60"/>
              <w:rPr>
                <w:rFonts w:ascii="Arial" w:hAnsi="Arial" w:cs="Arial"/>
                <w:sz w:val="21"/>
                <w:szCs w:val="21"/>
              </w:rPr>
            </w:pPr>
          </w:p>
        </w:tc>
        <w:tc>
          <w:tcPr>
            <w:tcW w:w="2561" w:type="pct"/>
            <w:gridSpan w:val="2"/>
          </w:tcPr>
          <w:p w14:paraId="7ED755E1" w14:textId="77777777" w:rsidR="00862B0B" w:rsidRPr="00A67277" w:rsidRDefault="00862B0B" w:rsidP="00862B0B">
            <w:pPr>
              <w:pStyle w:val="Level4"/>
              <w:numPr>
                <w:ilvl w:val="0"/>
                <w:numId w:val="78"/>
              </w:numPr>
              <w:spacing w:before="60" w:after="60"/>
              <w:ind w:left="2055"/>
              <w:rPr>
                <w:rFonts w:cs="Arial"/>
              </w:rPr>
            </w:pPr>
            <w:r w:rsidRPr="00A67277">
              <w:rPr>
                <w:rFonts w:cs="Arial"/>
              </w:rPr>
              <w:t>selama periode tersebut, BUP tidak diwajibkan untuk menyelesaikan Proyek atau memperbaiki Fasilitas, sebagaimana berlaku, dan kegagalan untuk menyelesaikan, memperbaiki atau mengoperasikan Fasilitas bukan merupakan Cidera Janji BUP.</w:t>
            </w:r>
          </w:p>
        </w:tc>
      </w:tr>
      <w:tr w:rsidR="00862B0B" w:rsidRPr="00A67277" w14:paraId="5E87F499" w14:textId="77777777" w:rsidTr="00862B0B">
        <w:tc>
          <w:tcPr>
            <w:tcW w:w="2270" w:type="pct"/>
          </w:tcPr>
          <w:p w14:paraId="62D62D5F" w14:textId="77777777" w:rsidR="00862B0B" w:rsidRPr="00A67277" w:rsidRDefault="00862B0B" w:rsidP="00862B0B">
            <w:pPr>
              <w:pStyle w:val="Level3"/>
              <w:numPr>
                <w:ilvl w:val="2"/>
                <w:numId w:val="505"/>
              </w:numPr>
              <w:tabs>
                <w:tab w:val="clear" w:pos="1417"/>
                <w:tab w:val="num" w:pos="3566"/>
              </w:tabs>
              <w:spacing w:before="60" w:after="60"/>
              <w:ind w:left="2036" w:hanging="551"/>
            </w:pPr>
            <w:r w:rsidRPr="00A67277">
              <w:t xml:space="preserve">If the Parties do not reach satisfactory solution within one hundred and eighty (180) Days after the end of such Force Majeure Event, or other time as mutually agreed upon, each Party may terminate this Agreement in accordance with Clause 24.4(a) or Clause 24.4(b) (Termination upon Prolonged Force Majeure). </w:t>
            </w:r>
          </w:p>
        </w:tc>
        <w:tc>
          <w:tcPr>
            <w:tcW w:w="169" w:type="pct"/>
          </w:tcPr>
          <w:p w14:paraId="4D97895A" w14:textId="77777777" w:rsidR="00862B0B" w:rsidRPr="00A67277" w:rsidRDefault="00862B0B" w:rsidP="00862B0B">
            <w:pPr>
              <w:spacing w:before="60" w:after="60"/>
              <w:rPr>
                <w:rFonts w:ascii="Arial" w:hAnsi="Arial" w:cs="Arial"/>
                <w:sz w:val="21"/>
                <w:szCs w:val="21"/>
              </w:rPr>
            </w:pPr>
          </w:p>
        </w:tc>
        <w:tc>
          <w:tcPr>
            <w:tcW w:w="2561" w:type="pct"/>
            <w:gridSpan w:val="2"/>
          </w:tcPr>
          <w:p w14:paraId="497D147E" w14:textId="77777777" w:rsidR="00862B0B" w:rsidRPr="00A67277" w:rsidRDefault="00862B0B" w:rsidP="00862B0B">
            <w:pPr>
              <w:pStyle w:val="Level3"/>
              <w:numPr>
                <w:ilvl w:val="0"/>
                <w:numId w:val="70"/>
              </w:numPr>
              <w:spacing w:before="60" w:after="60"/>
              <w:ind w:left="1460" w:hanging="460"/>
              <w:rPr>
                <w:rFonts w:cs="Arial"/>
              </w:rPr>
            </w:pPr>
            <w:r w:rsidRPr="00A67277">
              <w:rPr>
                <w:rFonts w:cs="Arial"/>
              </w:rPr>
              <w:t>Jika Para Pihak tidak menyepakati solusi yang memuaskan dalam jangka waktu serratus delapan puluh (180) Hari setelah berakhirnya Peristiwa Keadaan Kahar tersebut, atau jangka waktu lain sebagaimana disepakati bersama, salah satu Pihak dapat mengakhiri Perjanjian ini berdasarkan ketentuan Pasal 24.4(a) atau Pasal 24.4(b) (Pengakhiran karena Keadaan Kahar Berkepanjangan).</w:t>
            </w:r>
          </w:p>
        </w:tc>
      </w:tr>
      <w:tr w:rsidR="00862B0B" w:rsidRPr="00A67277" w14:paraId="30F87DB5" w14:textId="77777777" w:rsidTr="00862B0B">
        <w:tc>
          <w:tcPr>
            <w:tcW w:w="2270" w:type="pct"/>
          </w:tcPr>
          <w:p w14:paraId="20BF6EB8" w14:textId="77777777" w:rsidR="00862B0B" w:rsidRPr="00A67277" w:rsidRDefault="00862B0B" w:rsidP="00862B0B">
            <w:pPr>
              <w:pStyle w:val="Level3"/>
              <w:spacing w:before="60" w:after="60"/>
              <w:ind w:left="1417"/>
              <w:rPr>
                <w:b/>
              </w:rPr>
            </w:pPr>
            <w:r w:rsidRPr="00A67277">
              <w:rPr>
                <w:b/>
              </w:rPr>
              <w:t>Force Majeure Events Affecting Toll Road Section</w:t>
            </w:r>
          </w:p>
        </w:tc>
        <w:tc>
          <w:tcPr>
            <w:tcW w:w="169" w:type="pct"/>
          </w:tcPr>
          <w:p w14:paraId="6B075A37" w14:textId="77777777" w:rsidR="00862B0B" w:rsidRPr="00A67277" w:rsidRDefault="00862B0B" w:rsidP="00862B0B">
            <w:pPr>
              <w:spacing w:before="60" w:after="60"/>
              <w:rPr>
                <w:rFonts w:ascii="Arial" w:hAnsi="Arial" w:cs="Arial"/>
                <w:sz w:val="21"/>
                <w:szCs w:val="21"/>
              </w:rPr>
            </w:pPr>
          </w:p>
        </w:tc>
        <w:tc>
          <w:tcPr>
            <w:tcW w:w="2561" w:type="pct"/>
            <w:gridSpan w:val="2"/>
          </w:tcPr>
          <w:p w14:paraId="141CD3DD" w14:textId="77777777" w:rsidR="00862B0B" w:rsidRPr="00A67277" w:rsidRDefault="00862B0B" w:rsidP="00862B0B">
            <w:pPr>
              <w:pStyle w:val="Level3"/>
              <w:spacing w:before="60" w:after="60"/>
              <w:ind w:left="972"/>
              <w:rPr>
                <w:rFonts w:cs="Arial"/>
                <w:b/>
              </w:rPr>
            </w:pPr>
            <w:r w:rsidRPr="00A67277">
              <w:rPr>
                <w:rFonts w:cs="Arial"/>
                <w:b/>
              </w:rPr>
              <w:t>Peristiwa Keadaan Kahar Yang Menimpa Ruas Jalan Tol</w:t>
            </w:r>
          </w:p>
        </w:tc>
      </w:tr>
      <w:tr w:rsidR="00862B0B" w:rsidRPr="00A67277" w14:paraId="0B1CE141" w14:textId="77777777" w:rsidTr="00862B0B">
        <w:tc>
          <w:tcPr>
            <w:tcW w:w="2270" w:type="pct"/>
          </w:tcPr>
          <w:p w14:paraId="47FB59FA" w14:textId="0041329A" w:rsidR="00862B0B" w:rsidRPr="00A67277" w:rsidRDefault="00862B0B" w:rsidP="00862B0B">
            <w:pPr>
              <w:pStyle w:val="Level3"/>
              <w:numPr>
                <w:ilvl w:val="2"/>
                <w:numId w:val="505"/>
              </w:numPr>
              <w:tabs>
                <w:tab w:val="clear" w:pos="1417"/>
                <w:tab w:val="num" w:pos="3566"/>
              </w:tabs>
              <w:spacing w:before="60" w:after="60"/>
              <w:ind w:left="2036" w:hanging="551"/>
            </w:pPr>
            <w:r w:rsidRPr="00A67277">
              <w:t xml:space="preserve">To the extent Force Majeure Event occurs after Commercial Operation Date which resulted in any Toll Road Section closure, GCA shall continue to pay to the IBE the </w:t>
            </w:r>
            <w:r>
              <w:t>Service Fee</w:t>
            </w:r>
            <w:r w:rsidRPr="00A67277">
              <w:t>.</w:t>
            </w:r>
          </w:p>
        </w:tc>
        <w:tc>
          <w:tcPr>
            <w:tcW w:w="169" w:type="pct"/>
          </w:tcPr>
          <w:p w14:paraId="10B7A1C4" w14:textId="77777777" w:rsidR="00862B0B" w:rsidRPr="00A67277" w:rsidRDefault="00862B0B" w:rsidP="00862B0B">
            <w:pPr>
              <w:spacing w:before="60" w:after="60"/>
              <w:rPr>
                <w:rFonts w:ascii="Arial" w:hAnsi="Arial" w:cs="Arial"/>
                <w:sz w:val="21"/>
                <w:szCs w:val="21"/>
              </w:rPr>
            </w:pPr>
          </w:p>
        </w:tc>
        <w:tc>
          <w:tcPr>
            <w:tcW w:w="2561" w:type="pct"/>
            <w:gridSpan w:val="2"/>
          </w:tcPr>
          <w:p w14:paraId="6FC59CCA" w14:textId="603EE80E" w:rsidR="00862B0B" w:rsidRPr="00A67277" w:rsidRDefault="00862B0B" w:rsidP="00862B0B">
            <w:pPr>
              <w:pStyle w:val="Level3"/>
              <w:numPr>
                <w:ilvl w:val="0"/>
                <w:numId w:val="70"/>
              </w:numPr>
              <w:spacing w:before="60" w:after="60"/>
              <w:ind w:left="1460" w:hanging="460"/>
              <w:rPr>
                <w:rFonts w:cs="Arial"/>
              </w:rPr>
            </w:pPr>
            <w:r w:rsidRPr="00A67277">
              <w:rPr>
                <w:rFonts w:cs="Arial"/>
              </w:rPr>
              <w:t>Sepanjang Peristiwa Keadaan Kahar terjadi setelah Tanggal Operasi Komersial yang mengakibatkan penutupan setiap Ruas Jalan Tol, PJPK harus terus membayar kepada BUP Biaya Layanan.</w:t>
            </w:r>
          </w:p>
        </w:tc>
      </w:tr>
      <w:tr w:rsidR="00862B0B" w:rsidRPr="00A67277" w14:paraId="443DCDEC" w14:textId="77777777" w:rsidTr="00862B0B">
        <w:tc>
          <w:tcPr>
            <w:tcW w:w="2270" w:type="pct"/>
          </w:tcPr>
          <w:p w14:paraId="6DFA356E" w14:textId="77777777" w:rsidR="00862B0B" w:rsidRPr="00A67277" w:rsidRDefault="00862B0B" w:rsidP="00862B0B">
            <w:pPr>
              <w:pStyle w:val="Level3"/>
              <w:numPr>
                <w:ilvl w:val="2"/>
                <w:numId w:val="505"/>
              </w:numPr>
              <w:tabs>
                <w:tab w:val="num" w:pos="3566"/>
              </w:tabs>
              <w:spacing w:before="120" w:after="120"/>
              <w:ind w:left="2036" w:hanging="551"/>
            </w:pPr>
            <w:r w:rsidRPr="00A67277">
              <w:t>Without prejudice to paragraph (h), if the GCA is of the opinion that the impact of Force Majeure Event referred in paragraph (h) is permanent or otherwise unable to be remedied, then the GCA may  request for a Modification pursuant to Clause 22 (</w:t>
            </w:r>
            <w:r w:rsidRPr="00A67277">
              <w:rPr>
                <w:i/>
              </w:rPr>
              <w:t>Modifications</w:t>
            </w:r>
            <w:r w:rsidRPr="00A67277">
              <w:t xml:space="preserve">). </w:t>
            </w:r>
          </w:p>
        </w:tc>
        <w:tc>
          <w:tcPr>
            <w:tcW w:w="169" w:type="pct"/>
          </w:tcPr>
          <w:p w14:paraId="32E0AD5B" w14:textId="77777777" w:rsidR="00862B0B" w:rsidRPr="00A67277" w:rsidRDefault="00862B0B" w:rsidP="00862B0B">
            <w:pPr>
              <w:spacing w:before="120" w:after="120"/>
              <w:rPr>
                <w:rFonts w:ascii="Arial" w:hAnsi="Arial" w:cs="Arial"/>
                <w:sz w:val="21"/>
                <w:szCs w:val="21"/>
              </w:rPr>
            </w:pPr>
          </w:p>
        </w:tc>
        <w:tc>
          <w:tcPr>
            <w:tcW w:w="2561" w:type="pct"/>
            <w:gridSpan w:val="2"/>
          </w:tcPr>
          <w:p w14:paraId="70674137" w14:textId="77777777" w:rsidR="00862B0B" w:rsidRPr="00A67277" w:rsidRDefault="00862B0B" w:rsidP="00862B0B">
            <w:pPr>
              <w:pStyle w:val="Level3"/>
              <w:numPr>
                <w:ilvl w:val="0"/>
                <w:numId w:val="70"/>
              </w:numPr>
              <w:spacing w:before="120" w:after="120"/>
              <w:ind w:left="1460" w:hanging="460"/>
              <w:rPr>
                <w:rFonts w:cs="Arial"/>
              </w:rPr>
            </w:pPr>
            <w:r w:rsidRPr="00A67277">
              <w:rPr>
                <w:rFonts w:cs="Arial"/>
              </w:rPr>
              <w:t>Tanpa mengurangi ketentuan paragraf (h), jika PJPK berpendapat bahwa dampak Peristiwa Keadaan Kahar sebagaimana dimaksud pada paragraf (h) bersifat permanen atau tidak dapat diperbaiki, maka PJPK dapat  meminta Modifikasi sesuai dengan Pasal 22 (</w:t>
            </w:r>
            <w:r w:rsidRPr="00A67277">
              <w:rPr>
                <w:rFonts w:cs="Arial"/>
                <w:i/>
              </w:rPr>
              <w:t>Modifikasi</w:t>
            </w:r>
            <w:r w:rsidRPr="00A67277">
              <w:rPr>
                <w:rFonts w:cs="Arial"/>
              </w:rPr>
              <w:t xml:space="preserve">). </w:t>
            </w:r>
          </w:p>
        </w:tc>
      </w:tr>
      <w:tr w:rsidR="00862B0B" w:rsidRPr="00A67277" w14:paraId="10C7E12A" w14:textId="77777777" w:rsidTr="00862B0B">
        <w:tc>
          <w:tcPr>
            <w:tcW w:w="2270" w:type="pct"/>
          </w:tcPr>
          <w:p w14:paraId="1211A2CA" w14:textId="77777777" w:rsidR="00862B0B" w:rsidRPr="00A67277" w:rsidRDefault="00862B0B" w:rsidP="00862B0B">
            <w:pPr>
              <w:pStyle w:val="Heading2"/>
              <w:numPr>
                <w:ilvl w:val="0"/>
                <w:numId w:val="57"/>
              </w:numPr>
              <w:spacing w:before="60" w:after="60"/>
              <w:ind w:left="1136" w:hanging="180"/>
              <w:jc w:val="both"/>
              <w:outlineLvl w:val="1"/>
              <w:rPr>
                <w:rFonts w:ascii="Arial" w:hAnsi="Arial" w:cs="Arial"/>
                <w:b/>
                <w:color w:val="auto"/>
                <w:sz w:val="21"/>
                <w:szCs w:val="21"/>
              </w:rPr>
            </w:pPr>
            <w:r w:rsidRPr="00A67277">
              <w:rPr>
                <w:rFonts w:ascii="Arial" w:hAnsi="Arial" w:cs="Arial"/>
                <w:b/>
                <w:color w:val="auto"/>
                <w:sz w:val="21"/>
                <w:szCs w:val="21"/>
              </w:rPr>
              <w:t>Certain Events Do Not Constitute a Force Majeure Event</w:t>
            </w:r>
          </w:p>
        </w:tc>
        <w:tc>
          <w:tcPr>
            <w:tcW w:w="169" w:type="pct"/>
          </w:tcPr>
          <w:p w14:paraId="499EE0DF" w14:textId="77777777" w:rsidR="00862B0B" w:rsidRPr="00A67277" w:rsidRDefault="00862B0B" w:rsidP="00862B0B">
            <w:pPr>
              <w:spacing w:before="60" w:after="60"/>
              <w:rPr>
                <w:rFonts w:ascii="Arial" w:hAnsi="Arial" w:cs="Arial"/>
                <w:sz w:val="21"/>
                <w:szCs w:val="21"/>
              </w:rPr>
            </w:pPr>
          </w:p>
        </w:tc>
        <w:tc>
          <w:tcPr>
            <w:tcW w:w="2561" w:type="pct"/>
            <w:gridSpan w:val="2"/>
          </w:tcPr>
          <w:p w14:paraId="6F259B68" w14:textId="77777777" w:rsidR="00862B0B" w:rsidRPr="00A67277" w:rsidRDefault="00862B0B" w:rsidP="00862B0B">
            <w:pPr>
              <w:pStyle w:val="Heading2"/>
              <w:numPr>
                <w:ilvl w:val="0"/>
                <w:numId w:val="14"/>
              </w:numPr>
              <w:spacing w:before="60" w:after="60"/>
              <w:ind w:left="1112" w:hanging="180"/>
              <w:jc w:val="both"/>
              <w:outlineLvl w:val="1"/>
              <w:rPr>
                <w:rFonts w:ascii="Arial" w:hAnsi="Arial" w:cs="Arial"/>
                <w:b/>
                <w:color w:val="auto"/>
                <w:sz w:val="21"/>
                <w:szCs w:val="21"/>
              </w:rPr>
            </w:pPr>
            <w:r w:rsidRPr="00A67277">
              <w:rPr>
                <w:rFonts w:ascii="Arial" w:hAnsi="Arial" w:cs="Arial"/>
                <w:b/>
                <w:color w:val="auto"/>
                <w:sz w:val="21"/>
                <w:szCs w:val="21"/>
              </w:rPr>
              <w:t>Peristiwa Tertentu Bukan Merupakan Peristiwa Keadaan Kahar</w:t>
            </w:r>
          </w:p>
        </w:tc>
      </w:tr>
      <w:tr w:rsidR="00862B0B" w:rsidRPr="00A67277" w14:paraId="2C1CBC9D" w14:textId="77777777" w:rsidTr="00862B0B">
        <w:tc>
          <w:tcPr>
            <w:tcW w:w="2270" w:type="pct"/>
          </w:tcPr>
          <w:p w14:paraId="5F15CFD0" w14:textId="77777777" w:rsidR="00862B0B" w:rsidRPr="00A67277" w:rsidRDefault="00862B0B" w:rsidP="00862B0B">
            <w:pPr>
              <w:pStyle w:val="Level1"/>
              <w:spacing w:before="60" w:after="60"/>
              <w:ind w:left="1136" w:firstLine="12"/>
            </w:pPr>
            <w:r w:rsidRPr="00A67277">
              <w:t>For the avoidance of doubt, the following events do not constitute a Force Majeure Event:</w:t>
            </w:r>
          </w:p>
        </w:tc>
        <w:tc>
          <w:tcPr>
            <w:tcW w:w="169" w:type="pct"/>
          </w:tcPr>
          <w:p w14:paraId="62D24A4F" w14:textId="77777777" w:rsidR="00862B0B" w:rsidRPr="00A67277" w:rsidRDefault="00862B0B" w:rsidP="00862B0B">
            <w:pPr>
              <w:spacing w:before="60" w:after="60"/>
              <w:rPr>
                <w:rFonts w:ascii="Arial" w:hAnsi="Arial" w:cs="Arial"/>
                <w:sz w:val="21"/>
                <w:szCs w:val="21"/>
              </w:rPr>
            </w:pPr>
          </w:p>
        </w:tc>
        <w:tc>
          <w:tcPr>
            <w:tcW w:w="2561" w:type="pct"/>
            <w:gridSpan w:val="2"/>
          </w:tcPr>
          <w:p w14:paraId="38799A2F" w14:textId="77777777" w:rsidR="00862B0B" w:rsidRPr="00A67277" w:rsidRDefault="00862B0B" w:rsidP="00862B0B">
            <w:pPr>
              <w:pStyle w:val="Level1"/>
              <w:spacing w:before="60" w:after="60"/>
              <w:ind w:left="1100" w:hanging="69"/>
              <w:rPr>
                <w:rFonts w:cs="Arial"/>
              </w:rPr>
            </w:pPr>
            <w:r w:rsidRPr="00A67277">
              <w:rPr>
                <w:rFonts w:cs="Arial"/>
              </w:rPr>
              <w:t>Untuk menghindari keraguan, peristiwa berikut bukan merupakan Peristiwa Keadaan Kahar:</w:t>
            </w:r>
          </w:p>
        </w:tc>
      </w:tr>
      <w:tr w:rsidR="00862B0B" w:rsidRPr="00A67277" w14:paraId="1ABBE75A" w14:textId="77777777" w:rsidTr="00862B0B">
        <w:tc>
          <w:tcPr>
            <w:tcW w:w="2270" w:type="pct"/>
          </w:tcPr>
          <w:p w14:paraId="657CAE12" w14:textId="77777777" w:rsidR="00862B0B" w:rsidRPr="00A67277" w:rsidRDefault="00862B0B" w:rsidP="00862B0B">
            <w:pPr>
              <w:pStyle w:val="Level3"/>
              <w:numPr>
                <w:ilvl w:val="2"/>
                <w:numId w:val="506"/>
              </w:numPr>
              <w:tabs>
                <w:tab w:val="clear" w:pos="1417"/>
              </w:tabs>
              <w:spacing w:before="60" w:after="60"/>
              <w:ind w:left="1723" w:hanging="567"/>
            </w:pPr>
            <w:r w:rsidRPr="00A67277">
              <w:t xml:space="preserve">the IBE’s inability to obtain access to, or supply of, energy for operation of the Facility (other than power outage from State Electricity Company (PT PLN (Persero) accumulatively exceeding </w:t>
            </w:r>
            <w:r w:rsidRPr="00A67277">
              <w:rPr>
                <w:szCs w:val="24"/>
              </w:rPr>
              <w:t>[●]</w:t>
            </w:r>
            <w:r w:rsidRPr="00A67277">
              <w:rPr>
                <w:rStyle w:val="FootnoteReference"/>
                <w:szCs w:val="24"/>
              </w:rPr>
              <w:footnoteReference w:id="13"/>
            </w:r>
            <w:r w:rsidRPr="00A67277">
              <w:rPr>
                <w:szCs w:val="24"/>
              </w:rPr>
              <w:t xml:space="preserve"> </w:t>
            </w:r>
            <w:r w:rsidRPr="00A67277">
              <w:t>hours in one Month);</w:t>
            </w:r>
            <w:r w:rsidRPr="00A67277">
              <w:rPr>
                <w:rStyle w:val="FootnoteReference"/>
                <w:szCs w:val="24"/>
              </w:rPr>
              <w:t xml:space="preserve"> </w:t>
            </w:r>
          </w:p>
          <w:p w14:paraId="7B2EDCF9" w14:textId="77777777" w:rsidR="00862B0B" w:rsidRPr="00A67277" w:rsidRDefault="00862B0B" w:rsidP="00862B0B">
            <w:pPr>
              <w:spacing w:before="60" w:after="60"/>
              <w:rPr>
                <w:rFonts w:ascii="Arial" w:hAnsi="Arial" w:cs="Arial"/>
                <w:sz w:val="21"/>
                <w:szCs w:val="21"/>
              </w:rPr>
            </w:pPr>
          </w:p>
        </w:tc>
        <w:tc>
          <w:tcPr>
            <w:tcW w:w="169" w:type="pct"/>
          </w:tcPr>
          <w:p w14:paraId="4FE04700" w14:textId="77777777" w:rsidR="00862B0B" w:rsidRPr="00A67277" w:rsidRDefault="00862B0B" w:rsidP="00862B0B">
            <w:pPr>
              <w:spacing w:before="60" w:after="60"/>
              <w:rPr>
                <w:rFonts w:ascii="Arial" w:hAnsi="Arial" w:cs="Arial"/>
                <w:sz w:val="21"/>
                <w:szCs w:val="21"/>
              </w:rPr>
            </w:pPr>
          </w:p>
        </w:tc>
        <w:tc>
          <w:tcPr>
            <w:tcW w:w="2561" w:type="pct"/>
            <w:gridSpan w:val="2"/>
          </w:tcPr>
          <w:p w14:paraId="6A109F4B" w14:textId="77777777" w:rsidR="00862B0B" w:rsidRPr="00A67277" w:rsidRDefault="00862B0B" w:rsidP="00862B0B">
            <w:pPr>
              <w:pStyle w:val="Level3"/>
              <w:numPr>
                <w:ilvl w:val="0"/>
                <w:numId w:val="79"/>
              </w:numPr>
              <w:tabs>
                <w:tab w:val="left" w:pos="1614"/>
              </w:tabs>
              <w:spacing w:before="60" w:after="60"/>
              <w:ind w:left="1605" w:hanging="485"/>
              <w:rPr>
                <w:rFonts w:cs="Arial"/>
              </w:rPr>
            </w:pPr>
            <w:r w:rsidRPr="00A67277">
              <w:rPr>
                <w:rFonts w:cs="Arial"/>
              </w:rPr>
              <w:t>ketidakmampuan BUP untuk mendapatkan akses atau pasokan energi untuk pengoperasian Fasilitas (selain pemadaman listrik dari PT PLN (Persero) yang secara akumulatif melebihi [●]</w:t>
            </w:r>
            <w:r w:rsidRPr="00A67277">
              <w:rPr>
                <w:rStyle w:val="FootnoteReference"/>
                <w:rFonts w:cs="Arial"/>
              </w:rPr>
              <w:footnoteReference w:id="14"/>
            </w:r>
            <w:r w:rsidRPr="00A67277">
              <w:rPr>
                <w:rFonts w:cs="Arial"/>
              </w:rPr>
              <w:t xml:space="preserve"> jam dalam satu Bulan);</w:t>
            </w:r>
            <w:r w:rsidRPr="00A67277">
              <w:rPr>
                <w:rStyle w:val="FootnoteReference"/>
                <w:rFonts w:cs="Arial"/>
              </w:rPr>
              <w:t xml:space="preserve"> </w:t>
            </w:r>
          </w:p>
        </w:tc>
      </w:tr>
      <w:tr w:rsidR="00862B0B" w:rsidRPr="00A67277" w14:paraId="7B651CF8" w14:textId="77777777" w:rsidTr="00862B0B">
        <w:tc>
          <w:tcPr>
            <w:tcW w:w="2270" w:type="pct"/>
          </w:tcPr>
          <w:p w14:paraId="35A718C6"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 xml:space="preserve">any failure by a Party to reach agreement with a third party; </w:t>
            </w:r>
          </w:p>
        </w:tc>
        <w:tc>
          <w:tcPr>
            <w:tcW w:w="169" w:type="pct"/>
          </w:tcPr>
          <w:p w14:paraId="666E3CCB" w14:textId="77777777" w:rsidR="00862B0B" w:rsidRPr="00A67277" w:rsidRDefault="00862B0B" w:rsidP="00862B0B">
            <w:pPr>
              <w:spacing w:before="60" w:after="60"/>
              <w:rPr>
                <w:rFonts w:ascii="Arial" w:hAnsi="Arial" w:cs="Arial"/>
                <w:sz w:val="21"/>
                <w:szCs w:val="21"/>
              </w:rPr>
            </w:pPr>
          </w:p>
        </w:tc>
        <w:tc>
          <w:tcPr>
            <w:tcW w:w="2561" w:type="pct"/>
            <w:gridSpan w:val="2"/>
          </w:tcPr>
          <w:p w14:paraId="2E1F21EC"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 xml:space="preserve">kegagalan oleh salah satu Pihak untuk mencapai kesepakatan dengan pihak ketiga; </w:t>
            </w:r>
          </w:p>
        </w:tc>
      </w:tr>
      <w:tr w:rsidR="00862B0B" w:rsidRPr="00A67277" w14:paraId="005BA83E" w14:textId="77777777" w:rsidTr="00862B0B">
        <w:tc>
          <w:tcPr>
            <w:tcW w:w="2270" w:type="pct"/>
          </w:tcPr>
          <w:p w14:paraId="711545CF"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lack of funds for any reason or inability to use available funds for any reason;</w:t>
            </w:r>
          </w:p>
        </w:tc>
        <w:tc>
          <w:tcPr>
            <w:tcW w:w="169" w:type="pct"/>
          </w:tcPr>
          <w:p w14:paraId="58240FCF" w14:textId="77777777" w:rsidR="00862B0B" w:rsidRPr="00A67277" w:rsidRDefault="00862B0B" w:rsidP="00862B0B">
            <w:pPr>
              <w:spacing w:before="60" w:after="60"/>
              <w:rPr>
                <w:rFonts w:ascii="Arial" w:hAnsi="Arial" w:cs="Arial"/>
                <w:sz w:val="21"/>
                <w:szCs w:val="21"/>
              </w:rPr>
            </w:pPr>
          </w:p>
        </w:tc>
        <w:tc>
          <w:tcPr>
            <w:tcW w:w="2561" w:type="pct"/>
            <w:gridSpan w:val="2"/>
          </w:tcPr>
          <w:p w14:paraId="7A7F4A8B"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kekurangan dana untuk alasan apapun atau ketidakmampuan untuk menggunakan dana yang tersedia dengan alasan apapun;</w:t>
            </w:r>
          </w:p>
        </w:tc>
      </w:tr>
      <w:tr w:rsidR="00862B0B" w:rsidRPr="00A67277" w14:paraId="5314A544" w14:textId="77777777" w:rsidTr="00862B0B">
        <w:tc>
          <w:tcPr>
            <w:tcW w:w="2270" w:type="pct"/>
          </w:tcPr>
          <w:p w14:paraId="5751FBCF"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 xml:space="preserve">failure of either Party to make any payment of money in accordance with its obligations under this Agreement; </w:t>
            </w:r>
          </w:p>
        </w:tc>
        <w:tc>
          <w:tcPr>
            <w:tcW w:w="169" w:type="pct"/>
          </w:tcPr>
          <w:p w14:paraId="7F361142" w14:textId="77777777" w:rsidR="00862B0B" w:rsidRPr="00A67277" w:rsidRDefault="00862B0B" w:rsidP="00862B0B">
            <w:pPr>
              <w:spacing w:before="60" w:after="60"/>
              <w:rPr>
                <w:rFonts w:ascii="Arial" w:hAnsi="Arial" w:cs="Arial"/>
                <w:sz w:val="21"/>
                <w:szCs w:val="21"/>
              </w:rPr>
            </w:pPr>
          </w:p>
        </w:tc>
        <w:tc>
          <w:tcPr>
            <w:tcW w:w="2561" w:type="pct"/>
            <w:gridSpan w:val="2"/>
          </w:tcPr>
          <w:p w14:paraId="58411021"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 xml:space="preserve">kegagalan salah satu Pihak untuk melakukan pembayaran uang sesuai dengan kewajibannya berdasarkan Perjanjian ini; </w:t>
            </w:r>
          </w:p>
        </w:tc>
      </w:tr>
      <w:tr w:rsidR="00862B0B" w:rsidRPr="00A67277" w14:paraId="4A529639" w14:textId="77777777" w:rsidTr="00862B0B">
        <w:tc>
          <w:tcPr>
            <w:tcW w:w="2270" w:type="pct"/>
          </w:tcPr>
          <w:p w14:paraId="5A151564"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 xml:space="preserve">late or non-delivery of equipment, machinery, the facility or materials caused by the breach or negligent acts or omissions on the part of the IBE or any contractor; </w:t>
            </w:r>
          </w:p>
          <w:p w14:paraId="75E2888C" w14:textId="77777777" w:rsidR="00862B0B" w:rsidRPr="00A67277" w:rsidRDefault="00862B0B" w:rsidP="00862B0B">
            <w:pPr>
              <w:spacing w:before="60" w:after="60"/>
              <w:rPr>
                <w:rFonts w:ascii="Arial" w:hAnsi="Arial" w:cs="Arial"/>
                <w:sz w:val="21"/>
                <w:szCs w:val="21"/>
              </w:rPr>
            </w:pPr>
          </w:p>
        </w:tc>
        <w:tc>
          <w:tcPr>
            <w:tcW w:w="169" w:type="pct"/>
          </w:tcPr>
          <w:p w14:paraId="0E9D604B" w14:textId="77777777" w:rsidR="00862B0B" w:rsidRPr="00A67277" w:rsidRDefault="00862B0B" w:rsidP="00862B0B">
            <w:pPr>
              <w:spacing w:before="60" w:after="60"/>
              <w:rPr>
                <w:rFonts w:ascii="Arial" w:hAnsi="Arial" w:cs="Arial"/>
                <w:sz w:val="21"/>
                <w:szCs w:val="21"/>
              </w:rPr>
            </w:pPr>
          </w:p>
        </w:tc>
        <w:tc>
          <w:tcPr>
            <w:tcW w:w="2561" w:type="pct"/>
            <w:gridSpan w:val="2"/>
          </w:tcPr>
          <w:p w14:paraId="4683D36B"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 xml:space="preserve">terlambat atau tidak dikirimkannya peralatan, mesin, fasilitas atau material yang disebabkan oleh pelanggaran atau kelalaian atau tidak bertindaknya dari sisi BUP atau kontraktor manapun; </w:t>
            </w:r>
          </w:p>
        </w:tc>
      </w:tr>
      <w:tr w:rsidR="00862B0B" w:rsidRPr="00A67277" w14:paraId="77CB74E7" w14:textId="77777777" w:rsidTr="00862B0B">
        <w:tc>
          <w:tcPr>
            <w:tcW w:w="2270" w:type="pct"/>
          </w:tcPr>
          <w:p w14:paraId="5D59E731"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 xml:space="preserve">late performance by the IBE or the Contractors caused by the IBE’s or the IBE’s failure to engage qualified Contractors and suppliers or to hire an adequate number of personnel or labour; </w:t>
            </w:r>
          </w:p>
        </w:tc>
        <w:tc>
          <w:tcPr>
            <w:tcW w:w="169" w:type="pct"/>
          </w:tcPr>
          <w:p w14:paraId="5D071E83" w14:textId="77777777" w:rsidR="00862B0B" w:rsidRPr="00A67277" w:rsidRDefault="00862B0B" w:rsidP="00862B0B">
            <w:pPr>
              <w:spacing w:before="60" w:after="60"/>
              <w:rPr>
                <w:rFonts w:ascii="Arial" w:hAnsi="Arial" w:cs="Arial"/>
                <w:sz w:val="21"/>
                <w:szCs w:val="21"/>
              </w:rPr>
            </w:pPr>
          </w:p>
        </w:tc>
        <w:tc>
          <w:tcPr>
            <w:tcW w:w="2561" w:type="pct"/>
            <w:gridSpan w:val="2"/>
          </w:tcPr>
          <w:p w14:paraId="752A6E04"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 xml:space="preserve">keterlambatan pelaksanaan oleh BUP atau Kontraktor disebabkan oleh BUP atau kegagalan BUP untuk menunjuk Kontraktor dan pemasok yang kompeten atau untuk mempekerjakan sejumlah personil atau tenaga kerja yang memadai; </w:t>
            </w:r>
          </w:p>
        </w:tc>
      </w:tr>
      <w:tr w:rsidR="00862B0B" w:rsidRPr="00A67277" w14:paraId="287204E1" w14:textId="77777777" w:rsidTr="00862B0B">
        <w:tc>
          <w:tcPr>
            <w:tcW w:w="2270" w:type="pct"/>
          </w:tcPr>
          <w:p w14:paraId="5350C005"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mechanical or electrical breakdown or failure of equipment, machinery or plant owned or operated by either Party due to the manner in which such equipment, machinery or plant has been operated or maintained;</w:t>
            </w:r>
          </w:p>
          <w:p w14:paraId="5BE374A1" w14:textId="77777777" w:rsidR="00862B0B" w:rsidRPr="00A67277" w:rsidRDefault="00862B0B" w:rsidP="00862B0B">
            <w:pPr>
              <w:spacing w:before="60" w:after="60"/>
              <w:rPr>
                <w:rFonts w:ascii="Arial" w:hAnsi="Arial" w:cs="Arial"/>
                <w:sz w:val="21"/>
                <w:szCs w:val="21"/>
              </w:rPr>
            </w:pPr>
          </w:p>
        </w:tc>
        <w:tc>
          <w:tcPr>
            <w:tcW w:w="169" w:type="pct"/>
          </w:tcPr>
          <w:p w14:paraId="3FFE2525" w14:textId="77777777" w:rsidR="00862B0B" w:rsidRPr="00A67277" w:rsidRDefault="00862B0B" w:rsidP="00862B0B">
            <w:pPr>
              <w:spacing w:before="60" w:after="60"/>
              <w:rPr>
                <w:rFonts w:ascii="Arial" w:hAnsi="Arial" w:cs="Arial"/>
                <w:sz w:val="21"/>
                <w:szCs w:val="21"/>
              </w:rPr>
            </w:pPr>
          </w:p>
        </w:tc>
        <w:tc>
          <w:tcPr>
            <w:tcW w:w="2561" w:type="pct"/>
            <w:gridSpan w:val="2"/>
          </w:tcPr>
          <w:p w14:paraId="13E3E26C"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kerusakan mekanis atau listrik atau kegagalan peralatan, mesin atau instalasi yang dimiliki atau dioperasikan oleh salah satu Pihak karena cara peralatan, mesin atau instalasi tersebut dioperasikan atau dipelihara;</w:t>
            </w:r>
          </w:p>
        </w:tc>
      </w:tr>
      <w:tr w:rsidR="00862B0B" w:rsidRPr="00A67277" w14:paraId="564C8C81" w14:textId="77777777" w:rsidTr="00862B0B">
        <w:tc>
          <w:tcPr>
            <w:tcW w:w="2270" w:type="pct"/>
          </w:tcPr>
          <w:p w14:paraId="3931F5B1"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failure of either Party or the Contractors to perform any of its obligations under this Agreement or the relevant Project Agreements to which they are a party in accordance with the requirements thereof; and</w:t>
            </w:r>
          </w:p>
        </w:tc>
        <w:tc>
          <w:tcPr>
            <w:tcW w:w="169" w:type="pct"/>
          </w:tcPr>
          <w:p w14:paraId="4CAB6BDB" w14:textId="77777777" w:rsidR="00862B0B" w:rsidRPr="00A67277" w:rsidRDefault="00862B0B" w:rsidP="00862B0B">
            <w:pPr>
              <w:spacing w:before="60" w:after="60"/>
              <w:rPr>
                <w:rFonts w:ascii="Arial" w:hAnsi="Arial" w:cs="Arial"/>
                <w:sz w:val="21"/>
                <w:szCs w:val="21"/>
              </w:rPr>
            </w:pPr>
          </w:p>
        </w:tc>
        <w:tc>
          <w:tcPr>
            <w:tcW w:w="2561" w:type="pct"/>
            <w:gridSpan w:val="2"/>
          </w:tcPr>
          <w:p w14:paraId="67558141"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kegagalan salah satu Pihak atau Kontraktor untuk melakukan kewajibannya berdasarkan Perjanjian ini atau Perjanjian Proyek dimana yang bersangkutan merupakan pihak yang sesuai dengan persyaratan; dan</w:t>
            </w:r>
          </w:p>
        </w:tc>
      </w:tr>
      <w:tr w:rsidR="00862B0B" w:rsidRPr="00A67277" w14:paraId="4ABDB93C" w14:textId="77777777" w:rsidTr="00862B0B">
        <w:tc>
          <w:tcPr>
            <w:tcW w:w="2270" w:type="pct"/>
          </w:tcPr>
          <w:p w14:paraId="51B70E4C" w14:textId="77777777" w:rsidR="00862B0B" w:rsidRPr="00A67277" w:rsidRDefault="00862B0B" w:rsidP="00862B0B">
            <w:pPr>
              <w:pStyle w:val="Level3"/>
              <w:numPr>
                <w:ilvl w:val="2"/>
                <w:numId w:val="506"/>
              </w:numPr>
              <w:tabs>
                <w:tab w:val="clear" w:pos="1417"/>
                <w:tab w:val="num" w:pos="2396"/>
              </w:tabs>
              <w:spacing w:before="60" w:after="60"/>
              <w:ind w:left="1766" w:hanging="630"/>
            </w:pPr>
            <w:r w:rsidRPr="00A67277">
              <w:t>reasonably foreseeable unfavourable weather (not being an event excused under Clause 20.1(b)(v) (Definition and Instances of Force Majeure)), reasonably foreseeable unfavourable or unsuitable ground conditions, or other similar reasonably foreseeable adverse conditions.</w:t>
            </w:r>
          </w:p>
          <w:p w14:paraId="76AC66DA" w14:textId="77777777" w:rsidR="00862B0B" w:rsidRPr="00A67277" w:rsidRDefault="00862B0B" w:rsidP="00862B0B">
            <w:pPr>
              <w:spacing w:before="60" w:after="60"/>
              <w:rPr>
                <w:rFonts w:ascii="Arial" w:hAnsi="Arial" w:cs="Arial"/>
                <w:sz w:val="21"/>
                <w:szCs w:val="21"/>
              </w:rPr>
            </w:pPr>
          </w:p>
        </w:tc>
        <w:tc>
          <w:tcPr>
            <w:tcW w:w="169" w:type="pct"/>
          </w:tcPr>
          <w:p w14:paraId="4EF2B2F4" w14:textId="77777777" w:rsidR="00862B0B" w:rsidRPr="00A67277" w:rsidRDefault="00862B0B" w:rsidP="00862B0B">
            <w:pPr>
              <w:spacing w:before="60" w:after="60"/>
              <w:rPr>
                <w:rFonts w:ascii="Arial" w:hAnsi="Arial" w:cs="Arial"/>
                <w:sz w:val="21"/>
                <w:szCs w:val="21"/>
              </w:rPr>
            </w:pPr>
          </w:p>
        </w:tc>
        <w:tc>
          <w:tcPr>
            <w:tcW w:w="2561" w:type="pct"/>
            <w:gridSpan w:val="2"/>
          </w:tcPr>
          <w:p w14:paraId="4FC81AEC" w14:textId="77777777" w:rsidR="00862B0B" w:rsidRPr="00A67277" w:rsidRDefault="00862B0B" w:rsidP="00862B0B">
            <w:pPr>
              <w:pStyle w:val="Level3"/>
              <w:numPr>
                <w:ilvl w:val="0"/>
                <w:numId w:val="79"/>
              </w:numPr>
              <w:tabs>
                <w:tab w:val="left" w:pos="1614"/>
                <w:tab w:val="num" w:pos="2450"/>
              </w:tabs>
              <w:spacing w:before="60" w:after="60"/>
              <w:ind w:left="1605" w:hanging="485"/>
              <w:rPr>
                <w:rFonts w:cs="Arial"/>
              </w:rPr>
            </w:pPr>
            <w:r w:rsidRPr="00A67277">
              <w:rPr>
                <w:rFonts w:cs="Arial"/>
              </w:rPr>
              <w:t>cuaca yang tidak menguntungkan yang secara wajar dapat diduga (tidak menjadi kejadian yang membebaskan berdasarkan Pasal 20.1(b)(v) (Definisi dan Contoh Keadaan Kahar)), kondisi tanah kurang baik atau tidak sesuai yang sewajarnya dapat diduga, atau kondisi buruk lainnya yang yang sewajarnya dapat diduga.</w:t>
            </w:r>
          </w:p>
        </w:tc>
      </w:tr>
      <w:tr w:rsidR="00862B0B" w:rsidRPr="00A67277" w14:paraId="219B78A6" w14:textId="77777777" w:rsidTr="00862B0B">
        <w:tc>
          <w:tcPr>
            <w:tcW w:w="2270" w:type="pct"/>
          </w:tcPr>
          <w:p w14:paraId="6B78030B" w14:textId="77777777" w:rsidR="00862B0B" w:rsidRPr="00A67277" w:rsidRDefault="00862B0B" w:rsidP="00862B0B">
            <w:pPr>
              <w:pStyle w:val="Heading1"/>
              <w:numPr>
                <w:ilvl w:val="0"/>
                <w:numId w:val="432"/>
              </w:numPr>
              <w:spacing w:before="60" w:after="60"/>
              <w:ind w:left="416" w:hanging="416"/>
            </w:pPr>
            <w:r w:rsidRPr="00A67277">
              <w:t>Political Event</w:t>
            </w:r>
          </w:p>
        </w:tc>
        <w:tc>
          <w:tcPr>
            <w:tcW w:w="169" w:type="pct"/>
          </w:tcPr>
          <w:p w14:paraId="7619AB70" w14:textId="77777777" w:rsidR="00862B0B" w:rsidRPr="00A67277" w:rsidRDefault="00862B0B" w:rsidP="00862B0B">
            <w:pPr>
              <w:spacing w:before="60" w:after="60"/>
              <w:rPr>
                <w:rFonts w:ascii="Arial" w:hAnsi="Arial" w:cs="Arial"/>
                <w:sz w:val="21"/>
                <w:szCs w:val="21"/>
              </w:rPr>
            </w:pPr>
          </w:p>
        </w:tc>
        <w:tc>
          <w:tcPr>
            <w:tcW w:w="2561" w:type="pct"/>
            <w:gridSpan w:val="2"/>
          </w:tcPr>
          <w:p w14:paraId="51D2DE00" w14:textId="77777777" w:rsidR="00862B0B" w:rsidRPr="00A67277" w:rsidRDefault="00862B0B" w:rsidP="00862B0B">
            <w:pPr>
              <w:pStyle w:val="CentredHeading"/>
              <w:numPr>
                <w:ilvl w:val="0"/>
                <w:numId w:val="4"/>
              </w:numPr>
              <w:spacing w:before="60" w:after="60"/>
              <w:ind w:left="466" w:hanging="450"/>
              <w:jc w:val="left"/>
              <w:rPr>
                <w:rFonts w:cs="Arial"/>
                <w:lang w:val="en-US" w:eastAsia="en-US"/>
              </w:rPr>
            </w:pPr>
            <w:r w:rsidRPr="00A67277">
              <w:rPr>
                <w:rFonts w:cs="Arial"/>
                <w:lang w:val="en-US" w:eastAsia="en-US"/>
              </w:rPr>
              <w:t>Peristiwa Politik</w:t>
            </w:r>
          </w:p>
        </w:tc>
      </w:tr>
      <w:tr w:rsidR="00862B0B" w:rsidRPr="00A67277" w14:paraId="00FC1C09" w14:textId="77777777" w:rsidTr="00862B0B">
        <w:tc>
          <w:tcPr>
            <w:tcW w:w="2270" w:type="pct"/>
          </w:tcPr>
          <w:p w14:paraId="64703931" w14:textId="77777777" w:rsidR="00862B0B" w:rsidRPr="00A67277" w:rsidRDefault="00862B0B" w:rsidP="00862B0B">
            <w:pPr>
              <w:pStyle w:val="Heading2"/>
              <w:numPr>
                <w:ilvl w:val="0"/>
                <w:numId w:val="80"/>
              </w:numPr>
              <w:spacing w:before="60" w:after="60"/>
              <w:ind w:left="1136" w:hanging="664"/>
              <w:outlineLvl w:val="1"/>
              <w:rPr>
                <w:rFonts w:ascii="Arial" w:hAnsi="Arial" w:cs="Arial"/>
                <w:b/>
                <w:color w:val="auto"/>
                <w:sz w:val="21"/>
                <w:szCs w:val="21"/>
              </w:rPr>
            </w:pPr>
            <w:r w:rsidRPr="00A67277">
              <w:rPr>
                <w:rFonts w:ascii="Arial" w:hAnsi="Arial" w:cs="Arial"/>
                <w:b/>
                <w:color w:val="auto"/>
                <w:sz w:val="21"/>
                <w:szCs w:val="21"/>
              </w:rPr>
              <w:t>Event of Government Action or Inaction</w:t>
            </w:r>
          </w:p>
          <w:p w14:paraId="404EF22E" w14:textId="77777777" w:rsidR="00862B0B" w:rsidRPr="00A67277" w:rsidRDefault="00862B0B" w:rsidP="00862B0B">
            <w:pPr>
              <w:spacing w:before="60" w:after="60"/>
              <w:rPr>
                <w:rFonts w:ascii="Arial" w:hAnsi="Arial" w:cs="Arial"/>
                <w:sz w:val="21"/>
                <w:szCs w:val="21"/>
              </w:rPr>
            </w:pPr>
          </w:p>
        </w:tc>
        <w:tc>
          <w:tcPr>
            <w:tcW w:w="169" w:type="pct"/>
          </w:tcPr>
          <w:p w14:paraId="2FAD9F56" w14:textId="77777777" w:rsidR="00862B0B" w:rsidRPr="00A67277" w:rsidRDefault="00862B0B" w:rsidP="00862B0B">
            <w:pPr>
              <w:spacing w:before="60" w:after="60"/>
              <w:rPr>
                <w:rFonts w:ascii="Arial" w:hAnsi="Arial" w:cs="Arial"/>
                <w:sz w:val="21"/>
                <w:szCs w:val="21"/>
              </w:rPr>
            </w:pPr>
          </w:p>
        </w:tc>
        <w:tc>
          <w:tcPr>
            <w:tcW w:w="2561" w:type="pct"/>
            <w:gridSpan w:val="2"/>
          </w:tcPr>
          <w:p w14:paraId="32C66ACD" w14:textId="77777777" w:rsidR="00862B0B" w:rsidRPr="00A67277" w:rsidRDefault="00862B0B" w:rsidP="00862B0B">
            <w:pPr>
              <w:pStyle w:val="Heading2"/>
              <w:keepLines w:val="0"/>
              <w:numPr>
                <w:ilvl w:val="0"/>
                <w:numId w:val="15"/>
              </w:numPr>
              <w:spacing w:before="60" w:after="60" w:line="264" w:lineRule="auto"/>
              <w:ind w:left="1100" w:hanging="630"/>
              <w:outlineLvl w:val="1"/>
              <w:rPr>
                <w:rFonts w:ascii="Arial" w:hAnsi="Arial" w:cs="Arial"/>
                <w:b/>
                <w:color w:val="auto"/>
                <w:sz w:val="21"/>
                <w:szCs w:val="21"/>
              </w:rPr>
            </w:pPr>
            <w:r w:rsidRPr="00A67277">
              <w:rPr>
                <w:rFonts w:ascii="Arial" w:hAnsi="Arial" w:cs="Arial"/>
                <w:b/>
                <w:color w:val="auto"/>
                <w:sz w:val="21"/>
                <w:szCs w:val="21"/>
              </w:rPr>
              <w:t>Peristiwa Tindakan atau Tidak Bertindaknya Pemerintah</w:t>
            </w:r>
          </w:p>
        </w:tc>
      </w:tr>
      <w:tr w:rsidR="00862B0B" w:rsidRPr="00A67277" w14:paraId="0D3FB7B5" w14:textId="77777777" w:rsidTr="00862B0B">
        <w:tc>
          <w:tcPr>
            <w:tcW w:w="2270" w:type="pct"/>
          </w:tcPr>
          <w:p w14:paraId="62CC2569" w14:textId="77777777" w:rsidR="00862B0B" w:rsidRPr="00A67277" w:rsidRDefault="00862B0B" w:rsidP="00862B0B">
            <w:pPr>
              <w:pStyle w:val="Level3"/>
              <w:numPr>
                <w:ilvl w:val="2"/>
                <w:numId w:val="507"/>
              </w:numPr>
              <w:tabs>
                <w:tab w:val="clear" w:pos="1417"/>
                <w:tab w:val="left" w:pos="1946"/>
              </w:tabs>
              <w:spacing w:before="60" w:after="60"/>
              <w:ind w:left="1723" w:hanging="567"/>
              <w:rPr>
                <w:rFonts w:ascii="Times" w:hAnsi="Times" w:cs="Times"/>
                <w:lang w:val="en-US" w:eastAsia="en-US"/>
              </w:rPr>
            </w:pPr>
            <w:r w:rsidRPr="00A67277">
              <w:rPr>
                <w:lang w:val="en-US" w:eastAsia="en-US"/>
              </w:rPr>
              <w:t xml:space="preserve">If an </w:t>
            </w:r>
            <w:r w:rsidRPr="00A67277">
              <w:t>Event of Government Action or Inaction</w:t>
            </w:r>
            <w:r w:rsidRPr="00A67277">
              <w:rPr>
                <w:lang w:val="en-US" w:eastAsia="en-US"/>
              </w:rPr>
              <w:t xml:space="preserve"> occurs, the IBE: </w:t>
            </w:r>
          </w:p>
          <w:p w14:paraId="4CC42A6D" w14:textId="77777777" w:rsidR="00862B0B" w:rsidRPr="00A67277" w:rsidRDefault="00862B0B" w:rsidP="00862B0B">
            <w:pPr>
              <w:spacing w:before="60" w:after="60"/>
              <w:rPr>
                <w:rFonts w:ascii="Arial" w:hAnsi="Arial" w:cs="Arial"/>
                <w:sz w:val="21"/>
                <w:szCs w:val="21"/>
              </w:rPr>
            </w:pPr>
          </w:p>
        </w:tc>
        <w:tc>
          <w:tcPr>
            <w:tcW w:w="169" w:type="pct"/>
          </w:tcPr>
          <w:p w14:paraId="1C9C7184" w14:textId="77777777" w:rsidR="00862B0B" w:rsidRPr="00A67277" w:rsidRDefault="00862B0B" w:rsidP="00862B0B">
            <w:pPr>
              <w:spacing w:before="60" w:after="60"/>
              <w:rPr>
                <w:rFonts w:ascii="Arial" w:hAnsi="Arial" w:cs="Arial"/>
                <w:sz w:val="21"/>
                <w:szCs w:val="21"/>
              </w:rPr>
            </w:pPr>
          </w:p>
        </w:tc>
        <w:tc>
          <w:tcPr>
            <w:tcW w:w="2561" w:type="pct"/>
            <w:gridSpan w:val="2"/>
          </w:tcPr>
          <w:p w14:paraId="38BB873B" w14:textId="77777777" w:rsidR="00862B0B" w:rsidRPr="00A67277" w:rsidRDefault="00862B0B" w:rsidP="00862B0B">
            <w:pPr>
              <w:pStyle w:val="Level3"/>
              <w:numPr>
                <w:ilvl w:val="0"/>
                <w:numId w:val="82"/>
              </w:numPr>
              <w:spacing w:before="60" w:after="60"/>
              <w:ind w:left="1605" w:hanging="575"/>
              <w:rPr>
                <w:rFonts w:cs="Arial"/>
                <w:lang w:val="en-US" w:eastAsia="en-US"/>
              </w:rPr>
            </w:pPr>
            <w:r w:rsidRPr="00A67277">
              <w:rPr>
                <w:rFonts w:cs="Arial"/>
                <w:lang w:val="en-US" w:eastAsia="en-US"/>
              </w:rPr>
              <w:t xml:space="preserve">Jika suatu Peristiwa Tindakan atau Tidak Bertindaknya Pemerintah terjadi, maka BUP: </w:t>
            </w:r>
          </w:p>
        </w:tc>
      </w:tr>
      <w:tr w:rsidR="00862B0B" w:rsidRPr="00A67277" w14:paraId="3D89DC57" w14:textId="77777777" w:rsidTr="00862B0B">
        <w:tc>
          <w:tcPr>
            <w:tcW w:w="2270" w:type="pct"/>
          </w:tcPr>
          <w:p w14:paraId="607742FD" w14:textId="77777777" w:rsidR="00862B0B" w:rsidRPr="00A67277" w:rsidRDefault="00862B0B" w:rsidP="00862B0B">
            <w:pPr>
              <w:pStyle w:val="Level4"/>
              <w:numPr>
                <w:ilvl w:val="0"/>
                <w:numId w:val="81"/>
              </w:numPr>
              <w:spacing w:before="60" w:after="60"/>
              <w:ind w:left="2126"/>
              <w:rPr>
                <w:rFonts w:ascii="Times" w:hAnsi="Times" w:cs="Times"/>
                <w:lang w:val="en-US" w:eastAsia="en-US"/>
              </w:rPr>
            </w:pPr>
            <w:r w:rsidRPr="00A67277">
              <w:rPr>
                <w:lang w:val="en-US" w:eastAsia="en-US"/>
              </w:rPr>
              <w:t xml:space="preserve">shall be excused from the performance of its obligations under this Agreement to the extent that it is prevented, hindered or delayed in the performance of such obligations by reason of the </w:t>
            </w:r>
            <w:r w:rsidRPr="00A67277">
              <w:t>Event of Government Action or Inaction;</w:t>
            </w:r>
            <w:r w:rsidRPr="00A67277">
              <w:rPr>
                <w:lang w:val="en-US" w:eastAsia="en-US"/>
              </w:rPr>
              <w:t xml:space="preserve"> and </w:t>
            </w:r>
          </w:p>
        </w:tc>
        <w:tc>
          <w:tcPr>
            <w:tcW w:w="169" w:type="pct"/>
          </w:tcPr>
          <w:p w14:paraId="5A51D281" w14:textId="77777777" w:rsidR="00862B0B" w:rsidRPr="00A67277" w:rsidRDefault="00862B0B" w:rsidP="00862B0B">
            <w:pPr>
              <w:spacing w:before="60" w:after="60"/>
              <w:rPr>
                <w:rFonts w:ascii="Arial" w:hAnsi="Arial" w:cs="Arial"/>
                <w:sz w:val="21"/>
                <w:szCs w:val="21"/>
              </w:rPr>
            </w:pPr>
          </w:p>
        </w:tc>
        <w:tc>
          <w:tcPr>
            <w:tcW w:w="2561" w:type="pct"/>
            <w:gridSpan w:val="2"/>
          </w:tcPr>
          <w:p w14:paraId="10057C9A" w14:textId="77777777" w:rsidR="00862B0B" w:rsidRPr="00A67277" w:rsidRDefault="00862B0B" w:rsidP="00862B0B">
            <w:pPr>
              <w:pStyle w:val="Level4"/>
              <w:numPr>
                <w:ilvl w:val="0"/>
                <w:numId w:val="83"/>
              </w:numPr>
              <w:spacing w:before="60" w:after="60"/>
              <w:ind w:left="2145"/>
              <w:rPr>
                <w:rFonts w:cs="Arial"/>
                <w:lang w:val="en-US" w:eastAsia="en-US"/>
              </w:rPr>
            </w:pPr>
            <w:r w:rsidRPr="00A67277">
              <w:rPr>
                <w:rFonts w:cs="Arial"/>
                <w:lang w:val="en-US" w:eastAsia="en-US"/>
              </w:rPr>
              <w:t xml:space="preserve">akan dibebaskan dari pelaksanaan kewajibannya berdasarkan Perjanjian ini sepanjang hal tersebut mencegah, menghindarkan atau menunda BUP dalam pelaksanaan kewajiban tersebut karena alasan </w:t>
            </w:r>
            <w:r w:rsidRPr="00A67277">
              <w:rPr>
                <w:rFonts w:cs="Arial"/>
              </w:rPr>
              <w:t>Peristiwa Tindakan atau Tidak Bertindaknya Pemerintah;</w:t>
            </w:r>
            <w:r w:rsidRPr="00A67277">
              <w:rPr>
                <w:rFonts w:cs="Arial"/>
                <w:lang w:val="en-US" w:eastAsia="en-US"/>
              </w:rPr>
              <w:t xml:space="preserve"> dan </w:t>
            </w:r>
          </w:p>
        </w:tc>
      </w:tr>
      <w:tr w:rsidR="00862B0B" w:rsidRPr="00A67277" w14:paraId="2A2E7AC8" w14:textId="77777777" w:rsidTr="00862B0B">
        <w:tc>
          <w:tcPr>
            <w:tcW w:w="2270" w:type="pct"/>
          </w:tcPr>
          <w:p w14:paraId="6CD6B884" w14:textId="77777777" w:rsidR="00862B0B" w:rsidRPr="00A67277" w:rsidRDefault="00862B0B" w:rsidP="00862B0B">
            <w:pPr>
              <w:pStyle w:val="Level4"/>
              <w:numPr>
                <w:ilvl w:val="0"/>
                <w:numId w:val="81"/>
              </w:numPr>
              <w:spacing w:before="60" w:after="60"/>
              <w:ind w:left="2126"/>
              <w:rPr>
                <w:rFonts w:cs="Arial"/>
              </w:rPr>
            </w:pPr>
            <w:r w:rsidRPr="00A67277">
              <w:rPr>
                <w:lang w:val="en-US" w:eastAsia="en-US"/>
              </w:rPr>
              <w:t>shall be entitled to compensation under this Agreement, in each case subject to and in accordance with the provisions of this Clause 21.1 (Event of Government Action or Inaction).</w:t>
            </w:r>
          </w:p>
        </w:tc>
        <w:tc>
          <w:tcPr>
            <w:tcW w:w="169" w:type="pct"/>
          </w:tcPr>
          <w:p w14:paraId="047181AA" w14:textId="77777777" w:rsidR="00862B0B" w:rsidRPr="00A67277" w:rsidRDefault="00862B0B" w:rsidP="00862B0B">
            <w:pPr>
              <w:spacing w:before="60" w:after="60"/>
              <w:rPr>
                <w:rFonts w:ascii="Arial" w:hAnsi="Arial" w:cs="Arial"/>
                <w:sz w:val="21"/>
                <w:szCs w:val="21"/>
              </w:rPr>
            </w:pPr>
          </w:p>
        </w:tc>
        <w:tc>
          <w:tcPr>
            <w:tcW w:w="2561" w:type="pct"/>
            <w:gridSpan w:val="2"/>
          </w:tcPr>
          <w:p w14:paraId="118804D8" w14:textId="77777777" w:rsidR="00862B0B" w:rsidRPr="00A67277" w:rsidRDefault="00862B0B" w:rsidP="00862B0B">
            <w:pPr>
              <w:pStyle w:val="Level4"/>
              <w:numPr>
                <w:ilvl w:val="0"/>
                <w:numId w:val="83"/>
              </w:numPr>
              <w:spacing w:before="60" w:after="60"/>
              <w:ind w:left="2145"/>
              <w:rPr>
                <w:rFonts w:cs="Arial"/>
                <w:lang w:val="en-US" w:eastAsia="en-US"/>
              </w:rPr>
            </w:pPr>
            <w:r w:rsidRPr="00A67277">
              <w:rPr>
                <w:rFonts w:cs="Arial"/>
                <w:lang w:val="en-US" w:eastAsia="en-US"/>
              </w:rPr>
              <w:t>berhak untuk mendapatkan kompensasi berdasarkan Perjanjian ini, dalam setiap kasusnya tunduk pada dan berdasarkan Pasal 21.1 (Peristiwa Tindakan atau Tidak Bertindaknya Pemerintah).</w:t>
            </w:r>
          </w:p>
        </w:tc>
      </w:tr>
      <w:tr w:rsidR="00862B0B" w:rsidRPr="00A67277" w14:paraId="6DC2BCFB" w14:textId="77777777" w:rsidTr="00862B0B">
        <w:tc>
          <w:tcPr>
            <w:tcW w:w="2270" w:type="pct"/>
          </w:tcPr>
          <w:p w14:paraId="542919DB" w14:textId="77777777" w:rsidR="00862B0B" w:rsidRPr="00A67277" w:rsidRDefault="00862B0B" w:rsidP="00862B0B">
            <w:pPr>
              <w:pStyle w:val="Level3"/>
              <w:numPr>
                <w:ilvl w:val="2"/>
                <w:numId w:val="507"/>
              </w:numPr>
              <w:tabs>
                <w:tab w:val="clear" w:pos="1417"/>
                <w:tab w:val="left" w:pos="1946"/>
                <w:tab w:val="num" w:pos="2396"/>
              </w:tabs>
              <w:spacing w:before="60" w:after="60"/>
              <w:ind w:left="1676" w:hanging="551"/>
              <w:rPr>
                <w:lang w:val="en-US" w:eastAsia="en-US"/>
              </w:rPr>
            </w:pPr>
            <w:r w:rsidRPr="00A67277">
              <w:rPr>
                <w:lang w:val="en-US" w:eastAsia="en-US"/>
              </w:rPr>
              <w:t>To obtain relief and/or additional time and/or claim compensation pursuant to paragraph (c) below, the IBE must:</w:t>
            </w:r>
          </w:p>
          <w:p w14:paraId="47D1C02C" w14:textId="77777777" w:rsidR="00862B0B" w:rsidRPr="00A67277" w:rsidRDefault="00862B0B" w:rsidP="00862B0B">
            <w:pPr>
              <w:spacing w:before="60" w:after="60"/>
              <w:rPr>
                <w:rFonts w:ascii="Arial" w:hAnsi="Arial" w:cs="Arial"/>
                <w:sz w:val="21"/>
                <w:szCs w:val="21"/>
              </w:rPr>
            </w:pPr>
          </w:p>
        </w:tc>
        <w:tc>
          <w:tcPr>
            <w:tcW w:w="169" w:type="pct"/>
          </w:tcPr>
          <w:p w14:paraId="54C63B1D" w14:textId="77777777" w:rsidR="00862B0B" w:rsidRPr="00A67277" w:rsidRDefault="00862B0B" w:rsidP="00862B0B">
            <w:pPr>
              <w:spacing w:before="60" w:after="60"/>
              <w:rPr>
                <w:rFonts w:ascii="Arial" w:hAnsi="Arial" w:cs="Arial"/>
                <w:sz w:val="21"/>
                <w:szCs w:val="21"/>
              </w:rPr>
            </w:pPr>
          </w:p>
        </w:tc>
        <w:tc>
          <w:tcPr>
            <w:tcW w:w="2561" w:type="pct"/>
            <w:gridSpan w:val="2"/>
          </w:tcPr>
          <w:p w14:paraId="53D6AD49" w14:textId="77777777" w:rsidR="00862B0B" w:rsidRPr="00A67277" w:rsidRDefault="00862B0B" w:rsidP="00862B0B">
            <w:pPr>
              <w:pStyle w:val="Level3"/>
              <w:numPr>
                <w:ilvl w:val="0"/>
                <w:numId w:val="82"/>
              </w:numPr>
              <w:spacing w:before="60" w:after="60"/>
              <w:ind w:left="1605" w:hanging="575"/>
              <w:rPr>
                <w:rFonts w:cs="Arial"/>
                <w:lang w:val="en-US" w:eastAsia="en-US"/>
              </w:rPr>
            </w:pPr>
            <w:r w:rsidRPr="00A67277">
              <w:rPr>
                <w:rFonts w:cs="Arial"/>
                <w:lang w:val="en-US" w:eastAsia="en-US"/>
              </w:rPr>
              <w:t>Untuk mendapatkan pembebasan kewajiban dan/atau penambahan waktu dan/atau kompensasi berdasarkan paragraf (c) di bawah ini, BUP harus:</w:t>
            </w:r>
          </w:p>
        </w:tc>
      </w:tr>
      <w:tr w:rsidR="00862B0B" w:rsidRPr="00A67277" w14:paraId="07AA232F" w14:textId="77777777" w:rsidTr="00862B0B">
        <w:tc>
          <w:tcPr>
            <w:tcW w:w="2270" w:type="pct"/>
          </w:tcPr>
          <w:p w14:paraId="62D8E5DD" w14:textId="77777777" w:rsidR="00862B0B" w:rsidRPr="00A67277" w:rsidRDefault="00862B0B" w:rsidP="00862B0B">
            <w:pPr>
              <w:pStyle w:val="Level4"/>
              <w:numPr>
                <w:ilvl w:val="0"/>
                <w:numId w:val="84"/>
              </w:numPr>
              <w:spacing w:before="60" w:after="60"/>
              <w:ind w:left="2126" w:hanging="270"/>
            </w:pPr>
            <w:r w:rsidRPr="00A67277">
              <w:t>as soon as practicable, give to the GCA a notice of its claim for payment of compensation and/or relief from its obligations under the Agreement, following which the Parties shall meet and discuss in good faith to consider any option to mitigate the impact of the Event of Government Action or Inaction;</w:t>
            </w:r>
          </w:p>
          <w:p w14:paraId="35F732B7" w14:textId="77777777" w:rsidR="00862B0B" w:rsidRPr="00A67277" w:rsidRDefault="00862B0B" w:rsidP="00862B0B">
            <w:pPr>
              <w:spacing w:before="60" w:after="60"/>
              <w:rPr>
                <w:rFonts w:ascii="Arial" w:hAnsi="Arial" w:cs="Arial"/>
                <w:sz w:val="21"/>
                <w:szCs w:val="21"/>
              </w:rPr>
            </w:pPr>
          </w:p>
        </w:tc>
        <w:tc>
          <w:tcPr>
            <w:tcW w:w="169" w:type="pct"/>
          </w:tcPr>
          <w:p w14:paraId="676171BE" w14:textId="77777777" w:rsidR="00862B0B" w:rsidRPr="00A67277" w:rsidRDefault="00862B0B" w:rsidP="00862B0B">
            <w:pPr>
              <w:spacing w:before="60" w:after="60"/>
              <w:rPr>
                <w:rFonts w:ascii="Arial" w:hAnsi="Arial" w:cs="Arial"/>
                <w:sz w:val="21"/>
                <w:szCs w:val="21"/>
              </w:rPr>
            </w:pPr>
          </w:p>
        </w:tc>
        <w:tc>
          <w:tcPr>
            <w:tcW w:w="2561" w:type="pct"/>
            <w:gridSpan w:val="2"/>
          </w:tcPr>
          <w:p w14:paraId="20556902" w14:textId="77777777" w:rsidR="00862B0B" w:rsidRPr="00A67277" w:rsidRDefault="00862B0B" w:rsidP="00862B0B">
            <w:pPr>
              <w:pStyle w:val="Level4"/>
              <w:numPr>
                <w:ilvl w:val="0"/>
                <w:numId w:val="85"/>
              </w:numPr>
              <w:spacing w:before="60" w:after="60"/>
              <w:ind w:left="2074" w:hanging="251"/>
              <w:rPr>
                <w:rFonts w:cs="Arial"/>
              </w:rPr>
            </w:pPr>
            <w:r w:rsidRPr="00A67277">
              <w:rPr>
                <w:rFonts w:cs="Arial"/>
              </w:rPr>
              <w:t>sesegera mungkin, memberikan kepada PJPK pemberitahuan tentang permintaannya untuk pembayaran kompensasi dan/atau pembebasan dari kewajibannya berdasarkan Perjanjian, dimana setelah itu Para Pihak harus bertemu dan berdiskusi dengan itikad baik untuk mempertimbangkan setiap opsi apapun untuk mengurangi dampak Peristiwa Tindakan atau Tidak Bertindaknya Pemerintah;</w:t>
            </w:r>
          </w:p>
        </w:tc>
      </w:tr>
      <w:tr w:rsidR="00862B0B" w:rsidRPr="00A67277" w14:paraId="43C187AC" w14:textId="77777777" w:rsidTr="00862B0B">
        <w:tc>
          <w:tcPr>
            <w:tcW w:w="2270" w:type="pct"/>
          </w:tcPr>
          <w:p w14:paraId="2514710E" w14:textId="77777777" w:rsidR="00862B0B" w:rsidRPr="00A67277" w:rsidRDefault="00862B0B" w:rsidP="00862B0B">
            <w:pPr>
              <w:pStyle w:val="Level4"/>
              <w:numPr>
                <w:ilvl w:val="3"/>
                <w:numId w:val="442"/>
              </w:numPr>
              <w:spacing w:before="60" w:after="60"/>
            </w:pPr>
            <w:r w:rsidRPr="00A67277">
              <w:t>within [ten (10) Business] Days of receipt by the GCA of the notice referred in sub-paragraph (i) above, give full details of (1) the Event of Government Action or Inaction and (2) any Estimated Change in Project Costs and/or Losses claimed and/or delay and/or any breach of the IBE's obligations under this Agreement;</w:t>
            </w:r>
          </w:p>
          <w:p w14:paraId="1C41FBA8" w14:textId="77777777" w:rsidR="00862B0B" w:rsidRPr="00A67277" w:rsidRDefault="00862B0B" w:rsidP="00862B0B">
            <w:pPr>
              <w:pStyle w:val="Level4"/>
              <w:tabs>
                <w:tab w:val="clear" w:pos="2126"/>
              </w:tabs>
              <w:spacing w:before="60" w:after="60"/>
              <w:ind w:firstLine="0"/>
            </w:pPr>
          </w:p>
        </w:tc>
        <w:tc>
          <w:tcPr>
            <w:tcW w:w="169" w:type="pct"/>
          </w:tcPr>
          <w:p w14:paraId="2A602025" w14:textId="77777777" w:rsidR="00862B0B" w:rsidRPr="00A67277" w:rsidRDefault="00862B0B" w:rsidP="00862B0B">
            <w:pPr>
              <w:spacing w:before="60" w:after="60"/>
              <w:rPr>
                <w:rFonts w:ascii="Arial" w:hAnsi="Arial" w:cs="Arial"/>
                <w:sz w:val="21"/>
                <w:szCs w:val="21"/>
              </w:rPr>
            </w:pPr>
          </w:p>
        </w:tc>
        <w:tc>
          <w:tcPr>
            <w:tcW w:w="2561" w:type="pct"/>
            <w:gridSpan w:val="2"/>
          </w:tcPr>
          <w:p w14:paraId="44BDE330" w14:textId="77777777" w:rsidR="00862B0B" w:rsidRPr="00A67277" w:rsidRDefault="00862B0B" w:rsidP="00862B0B">
            <w:pPr>
              <w:pStyle w:val="Level4"/>
              <w:numPr>
                <w:ilvl w:val="0"/>
                <w:numId w:val="85"/>
              </w:numPr>
              <w:spacing w:before="60" w:after="60"/>
              <w:ind w:left="2074" w:hanging="251"/>
              <w:rPr>
                <w:rFonts w:cs="Arial"/>
              </w:rPr>
            </w:pPr>
            <w:r w:rsidRPr="00A67277">
              <w:rPr>
                <w:rFonts w:cs="Arial"/>
              </w:rPr>
              <w:t>dalam jangka waktu [sepuluh (10) hari Kerja] setelah atas pemberitahuan sebagaimana dimaksud pada ayat (i) di atas diterimanya oleh PJPK, memberikan keterangan lengkap tentang (1) Peristiwa Tindakan atau Tidak Bertindaknya Pemerintah dan (2) setiap Perkiraan Perubahan Terhadap Biaya Proyek dan/atau kehilangan pendapatan dan/atau penundaan dan/atau pelanggaran kewajiban BUP berdasarkan Perjanjian ini;</w:t>
            </w:r>
          </w:p>
        </w:tc>
      </w:tr>
      <w:tr w:rsidR="00862B0B" w:rsidRPr="00A67277" w14:paraId="3E59AE2D" w14:textId="77777777" w:rsidTr="00862B0B">
        <w:tc>
          <w:tcPr>
            <w:tcW w:w="2270" w:type="pct"/>
          </w:tcPr>
          <w:p w14:paraId="727EA627" w14:textId="77777777" w:rsidR="00862B0B" w:rsidRPr="00A67277" w:rsidRDefault="00862B0B" w:rsidP="00862B0B">
            <w:pPr>
              <w:pStyle w:val="Level4"/>
              <w:numPr>
                <w:ilvl w:val="3"/>
                <w:numId w:val="2"/>
              </w:numPr>
              <w:spacing w:before="60" w:after="60"/>
            </w:pPr>
            <w:r w:rsidRPr="00A67277">
              <w:t>demonstrate to the GCA that:</w:t>
            </w:r>
          </w:p>
        </w:tc>
        <w:tc>
          <w:tcPr>
            <w:tcW w:w="169" w:type="pct"/>
          </w:tcPr>
          <w:p w14:paraId="7FB909BE" w14:textId="77777777" w:rsidR="00862B0B" w:rsidRPr="00A67277" w:rsidRDefault="00862B0B" w:rsidP="00862B0B">
            <w:pPr>
              <w:spacing w:before="60" w:after="60"/>
              <w:rPr>
                <w:rFonts w:ascii="Arial" w:hAnsi="Arial" w:cs="Arial"/>
                <w:sz w:val="21"/>
                <w:szCs w:val="21"/>
              </w:rPr>
            </w:pPr>
          </w:p>
        </w:tc>
        <w:tc>
          <w:tcPr>
            <w:tcW w:w="2561" w:type="pct"/>
            <w:gridSpan w:val="2"/>
          </w:tcPr>
          <w:p w14:paraId="78B7CDA8" w14:textId="77777777" w:rsidR="00862B0B" w:rsidRPr="00A67277" w:rsidRDefault="00862B0B" w:rsidP="00862B0B">
            <w:pPr>
              <w:pStyle w:val="Level4"/>
              <w:numPr>
                <w:ilvl w:val="0"/>
                <w:numId w:val="85"/>
              </w:numPr>
              <w:spacing w:before="60" w:after="60"/>
              <w:ind w:left="2074" w:hanging="251"/>
              <w:rPr>
                <w:rFonts w:cs="Arial"/>
              </w:rPr>
            </w:pPr>
            <w:r w:rsidRPr="00A67277">
              <w:rPr>
                <w:rFonts w:cs="Arial"/>
              </w:rPr>
              <w:t>menunjukkan pada PJPK bahwa:</w:t>
            </w:r>
          </w:p>
        </w:tc>
      </w:tr>
      <w:tr w:rsidR="00862B0B" w:rsidRPr="00A67277" w14:paraId="262F7601" w14:textId="77777777" w:rsidTr="00862B0B">
        <w:tc>
          <w:tcPr>
            <w:tcW w:w="2270" w:type="pct"/>
          </w:tcPr>
          <w:p w14:paraId="117BCFD7" w14:textId="77777777" w:rsidR="00862B0B" w:rsidRPr="00A67277" w:rsidRDefault="00862B0B" w:rsidP="00862B0B">
            <w:pPr>
              <w:pStyle w:val="Level5"/>
              <w:numPr>
                <w:ilvl w:val="4"/>
                <w:numId w:val="441"/>
              </w:numPr>
              <w:spacing w:before="60" w:after="60"/>
            </w:pPr>
            <w:r w:rsidRPr="00A67277">
              <w:t>the IBE could not avoid such occurrence or consequences by actions which it might reasonably be expected to have taken without incurring material costs;</w:t>
            </w:r>
          </w:p>
          <w:p w14:paraId="55E11643" w14:textId="77777777" w:rsidR="00862B0B" w:rsidRPr="00A67277" w:rsidRDefault="00862B0B" w:rsidP="00862B0B">
            <w:pPr>
              <w:pStyle w:val="Level5"/>
              <w:tabs>
                <w:tab w:val="clear" w:pos="2835"/>
              </w:tabs>
              <w:spacing w:before="60" w:after="60"/>
              <w:ind w:firstLine="0"/>
            </w:pPr>
          </w:p>
        </w:tc>
        <w:tc>
          <w:tcPr>
            <w:tcW w:w="169" w:type="pct"/>
          </w:tcPr>
          <w:p w14:paraId="371FFA28" w14:textId="77777777" w:rsidR="00862B0B" w:rsidRPr="00A67277" w:rsidRDefault="00862B0B" w:rsidP="00862B0B">
            <w:pPr>
              <w:spacing w:before="60" w:after="60"/>
              <w:rPr>
                <w:rFonts w:ascii="Arial" w:hAnsi="Arial" w:cs="Arial"/>
                <w:sz w:val="21"/>
                <w:szCs w:val="21"/>
              </w:rPr>
            </w:pPr>
          </w:p>
        </w:tc>
        <w:tc>
          <w:tcPr>
            <w:tcW w:w="2561" w:type="pct"/>
            <w:gridSpan w:val="2"/>
          </w:tcPr>
          <w:p w14:paraId="60CCA6FF" w14:textId="77777777" w:rsidR="00862B0B" w:rsidRPr="00A67277" w:rsidRDefault="00862B0B" w:rsidP="00862B0B">
            <w:pPr>
              <w:pStyle w:val="Level5"/>
              <w:numPr>
                <w:ilvl w:val="0"/>
                <w:numId w:val="86"/>
              </w:numPr>
              <w:tabs>
                <w:tab w:val="left" w:pos="3540"/>
                <w:tab w:val="left" w:pos="3585"/>
              </w:tabs>
              <w:spacing w:before="60" w:after="60"/>
              <w:ind w:left="2595" w:hanging="450"/>
              <w:rPr>
                <w:rFonts w:cs="Arial"/>
              </w:rPr>
            </w:pPr>
            <w:r w:rsidRPr="00A67277">
              <w:rPr>
                <w:rFonts w:cs="Arial"/>
              </w:rPr>
              <w:t>BUP tidak dapat menghindari kejadian atau konsekuensi peristiwa tersebut melalui tindakan yang mungkin sewajarnya diharapkan untuk dilakukan tanpa menimbulkan biaya material;</w:t>
            </w:r>
          </w:p>
        </w:tc>
      </w:tr>
      <w:tr w:rsidR="00862B0B" w:rsidRPr="00A67277" w14:paraId="7EF7D44F" w14:textId="77777777" w:rsidTr="00862B0B">
        <w:tc>
          <w:tcPr>
            <w:tcW w:w="2270" w:type="pct"/>
          </w:tcPr>
          <w:p w14:paraId="05CED763" w14:textId="77777777" w:rsidR="00862B0B" w:rsidRPr="00A67277" w:rsidRDefault="00862B0B" w:rsidP="00862B0B">
            <w:pPr>
              <w:pStyle w:val="Level5"/>
              <w:numPr>
                <w:ilvl w:val="4"/>
                <w:numId w:val="441"/>
              </w:numPr>
              <w:spacing w:before="60" w:after="60"/>
            </w:pPr>
            <w:r w:rsidRPr="00A67277">
              <w:t>the Event of Government Action or Inaction was the direct cause of the Estimated Change in Project Costs and/or Losses and/or delay and/or breach of the IBE's obligations under this Agreement;</w:t>
            </w:r>
          </w:p>
          <w:p w14:paraId="6B29AE54" w14:textId="77777777" w:rsidR="00862B0B" w:rsidRPr="00A67277" w:rsidRDefault="00862B0B" w:rsidP="00862B0B">
            <w:pPr>
              <w:pStyle w:val="Level5"/>
              <w:tabs>
                <w:tab w:val="clear" w:pos="2835"/>
              </w:tabs>
              <w:spacing w:before="60" w:after="60"/>
              <w:ind w:firstLine="0"/>
            </w:pPr>
          </w:p>
        </w:tc>
        <w:tc>
          <w:tcPr>
            <w:tcW w:w="169" w:type="pct"/>
          </w:tcPr>
          <w:p w14:paraId="3911C3A7" w14:textId="77777777" w:rsidR="00862B0B" w:rsidRPr="00A67277" w:rsidRDefault="00862B0B" w:rsidP="00862B0B">
            <w:pPr>
              <w:spacing w:before="60" w:after="60"/>
              <w:rPr>
                <w:rFonts w:ascii="Arial" w:hAnsi="Arial" w:cs="Arial"/>
                <w:sz w:val="21"/>
                <w:szCs w:val="21"/>
              </w:rPr>
            </w:pPr>
          </w:p>
        </w:tc>
        <w:tc>
          <w:tcPr>
            <w:tcW w:w="2561" w:type="pct"/>
            <w:gridSpan w:val="2"/>
          </w:tcPr>
          <w:p w14:paraId="798BB050" w14:textId="77777777" w:rsidR="00862B0B" w:rsidRPr="00A67277" w:rsidRDefault="00862B0B" w:rsidP="00862B0B">
            <w:pPr>
              <w:pStyle w:val="Level5"/>
              <w:numPr>
                <w:ilvl w:val="0"/>
                <w:numId w:val="86"/>
              </w:numPr>
              <w:tabs>
                <w:tab w:val="left" w:pos="3540"/>
                <w:tab w:val="left" w:pos="3585"/>
              </w:tabs>
              <w:spacing w:before="60" w:after="60"/>
              <w:ind w:left="2595" w:hanging="450"/>
              <w:rPr>
                <w:rFonts w:cs="Arial"/>
              </w:rPr>
            </w:pPr>
            <w:r w:rsidRPr="00A67277">
              <w:rPr>
                <w:rFonts w:cs="Arial"/>
              </w:rPr>
              <w:t>Peristiwa Tindakan atau Tidak Bertindaknya Pemerintah adalah penyebab langsung dari Perkiraan Perubahan Terhadap Biaya Proyek dan/atau kehilangan pendapatan dan/atau penundaan dan/atau pelanggaran kewajiban BUP berdasarkan Perjanjian ini;</w:t>
            </w:r>
          </w:p>
        </w:tc>
      </w:tr>
      <w:tr w:rsidR="00862B0B" w:rsidRPr="00A67277" w14:paraId="66E743CB" w14:textId="77777777" w:rsidTr="00862B0B">
        <w:tc>
          <w:tcPr>
            <w:tcW w:w="2270" w:type="pct"/>
          </w:tcPr>
          <w:p w14:paraId="0498E698" w14:textId="77777777" w:rsidR="00862B0B" w:rsidRPr="00A67277" w:rsidRDefault="00862B0B" w:rsidP="00862B0B">
            <w:pPr>
              <w:pStyle w:val="Level5"/>
              <w:numPr>
                <w:ilvl w:val="4"/>
                <w:numId w:val="441"/>
              </w:numPr>
              <w:spacing w:before="60" w:after="60"/>
            </w:pPr>
            <w:r w:rsidRPr="00A67277">
              <w:t>the Estimated Change in Project Costs, and/or Losses and/or additional time and/or relief from the obligations under the Agreement claimed, could not be mitigated or recovered by the IBE; and</w:t>
            </w:r>
          </w:p>
          <w:p w14:paraId="78D30D7D" w14:textId="77777777" w:rsidR="00862B0B" w:rsidRPr="00A67277" w:rsidRDefault="00862B0B" w:rsidP="00862B0B">
            <w:pPr>
              <w:pStyle w:val="Level5"/>
              <w:tabs>
                <w:tab w:val="clear" w:pos="2835"/>
              </w:tabs>
              <w:spacing w:before="60" w:after="60"/>
              <w:ind w:firstLine="0"/>
              <w:rPr>
                <w:rFonts w:cs="Arial"/>
              </w:rPr>
            </w:pPr>
          </w:p>
        </w:tc>
        <w:tc>
          <w:tcPr>
            <w:tcW w:w="169" w:type="pct"/>
          </w:tcPr>
          <w:p w14:paraId="53B95E0F" w14:textId="77777777" w:rsidR="00862B0B" w:rsidRPr="00A67277" w:rsidRDefault="00862B0B" w:rsidP="00862B0B">
            <w:pPr>
              <w:spacing w:before="60" w:after="60"/>
              <w:rPr>
                <w:rFonts w:ascii="Arial" w:hAnsi="Arial" w:cs="Arial"/>
                <w:sz w:val="21"/>
                <w:szCs w:val="21"/>
              </w:rPr>
            </w:pPr>
          </w:p>
        </w:tc>
        <w:tc>
          <w:tcPr>
            <w:tcW w:w="2561" w:type="pct"/>
            <w:gridSpan w:val="2"/>
          </w:tcPr>
          <w:p w14:paraId="095A43CA" w14:textId="77777777" w:rsidR="00862B0B" w:rsidRPr="00A67277" w:rsidRDefault="00862B0B" w:rsidP="00862B0B">
            <w:pPr>
              <w:pStyle w:val="Level5"/>
              <w:numPr>
                <w:ilvl w:val="0"/>
                <w:numId w:val="86"/>
              </w:numPr>
              <w:tabs>
                <w:tab w:val="left" w:pos="3540"/>
                <w:tab w:val="left" w:pos="3585"/>
              </w:tabs>
              <w:spacing w:before="60" w:after="60"/>
              <w:ind w:left="2595" w:hanging="450"/>
              <w:rPr>
                <w:rFonts w:cs="Arial"/>
              </w:rPr>
            </w:pPr>
            <w:r w:rsidRPr="00A67277">
              <w:rPr>
                <w:rFonts w:cs="Arial"/>
              </w:rPr>
              <w:t>Perkiraan Perubahan Terhadap Biaya Proyek, dan/atau kehilangan pendapatan dan/atau waktu tambahan dan/atau pembebasan kewajiban berdasarkan Perjanjian, tidak dapat dikurangi atau dipulihkan oleh BUP; dan</w:t>
            </w:r>
          </w:p>
        </w:tc>
      </w:tr>
      <w:tr w:rsidR="00862B0B" w:rsidRPr="00A67277" w14:paraId="12A692FA" w14:textId="77777777" w:rsidTr="00862B0B">
        <w:tc>
          <w:tcPr>
            <w:tcW w:w="2270" w:type="pct"/>
          </w:tcPr>
          <w:p w14:paraId="5120B16A" w14:textId="77777777" w:rsidR="00862B0B" w:rsidRPr="00A67277" w:rsidRDefault="00862B0B" w:rsidP="00862B0B">
            <w:pPr>
              <w:pStyle w:val="Level5"/>
              <w:numPr>
                <w:ilvl w:val="4"/>
                <w:numId w:val="441"/>
              </w:numPr>
              <w:spacing w:before="60" w:after="60"/>
              <w:rPr>
                <w:rFonts w:cs="Arial"/>
              </w:rPr>
            </w:pPr>
            <w:r w:rsidRPr="00A67277">
              <w:t>the IBE is using all reasonable endeavours to perform its obligations under the Agreement</w:t>
            </w:r>
          </w:p>
        </w:tc>
        <w:tc>
          <w:tcPr>
            <w:tcW w:w="169" w:type="pct"/>
          </w:tcPr>
          <w:p w14:paraId="6E431435" w14:textId="77777777" w:rsidR="00862B0B" w:rsidRPr="00A67277" w:rsidRDefault="00862B0B" w:rsidP="00862B0B">
            <w:pPr>
              <w:spacing w:before="60" w:after="60"/>
              <w:rPr>
                <w:rFonts w:ascii="Arial" w:hAnsi="Arial" w:cs="Arial"/>
                <w:sz w:val="21"/>
                <w:szCs w:val="21"/>
              </w:rPr>
            </w:pPr>
          </w:p>
        </w:tc>
        <w:tc>
          <w:tcPr>
            <w:tcW w:w="2561" w:type="pct"/>
            <w:gridSpan w:val="2"/>
          </w:tcPr>
          <w:p w14:paraId="1E6B3A41" w14:textId="77777777" w:rsidR="00862B0B" w:rsidRPr="00A67277" w:rsidRDefault="00862B0B" w:rsidP="00862B0B">
            <w:pPr>
              <w:pStyle w:val="Level5"/>
              <w:numPr>
                <w:ilvl w:val="0"/>
                <w:numId w:val="86"/>
              </w:numPr>
              <w:tabs>
                <w:tab w:val="left" w:pos="3540"/>
                <w:tab w:val="left" w:pos="3585"/>
              </w:tabs>
              <w:spacing w:before="60" w:after="60"/>
              <w:ind w:left="2595" w:hanging="450"/>
              <w:rPr>
                <w:rFonts w:cs="Arial"/>
              </w:rPr>
            </w:pPr>
            <w:r w:rsidRPr="00A67277">
              <w:rPr>
                <w:rFonts w:cs="Arial"/>
              </w:rPr>
              <w:t>BUP menggunakan semua upaya yang wajar untuk melaksanakan kewajibannya berdasarkan Perjanjian.</w:t>
            </w:r>
          </w:p>
        </w:tc>
      </w:tr>
      <w:tr w:rsidR="00862B0B" w:rsidRPr="00A67277" w14:paraId="6C95EFB3" w14:textId="77777777" w:rsidTr="00862B0B">
        <w:tc>
          <w:tcPr>
            <w:tcW w:w="2270" w:type="pct"/>
          </w:tcPr>
          <w:p w14:paraId="1B613F9D" w14:textId="77777777" w:rsidR="00862B0B" w:rsidRPr="00A67277" w:rsidRDefault="00862B0B" w:rsidP="00862B0B">
            <w:pPr>
              <w:pStyle w:val="Level3"/>
              <w:numPr>
                <w:ilvl w:val="2"/>
                <w:numId w:val="507"/>
              </w:numPr>
              <w:tabs>
                <w:tab w:val="clear" w:pos="1417"/>
                <w:tab w:val="left" w:pos="1946"/>
                <w:tab w:val="num" w:pos="2396"/>
              </w:tabs>
              <w:spacing w:before="60" w:after="60"/>
              <w:ind w:left="1676" w:hanging="551"/>
              <w:rPr>
                <w:lang w:val="en-US" w:eastAsia="en-US"/>
              </w:rPr>
            </w:pPr>
            <w:r w:rsidRPr="00A67277">
              <w:rPr>
                <w:lang w:val="en-US" w:eastAsia="en-US"/>
              </w:rPr>
              <w:t>If the IBE has complied with its obligations under paragraph (b) above, then the GCA shall:</w:t>
            </w:r>
          </w:p>
        </w:tc>
        <w:tc>
          <w:tcPr>
            <w:tcW w:w="169" w:type="pct"/>
          </w:tcPr>
          <w:p w14:paraId="7CD225C0" w14:textId="77777777" w:rsidR="00862B0B" w:rsidRPr="00A67277" w:rsidRDefault="00862B0B" w:rsidP="00862B0B">
            <w:pPr>
              <w:spacing w:before="60" w:after="60"/>
              <w:rPr>
                <w:rFonts w:ascii="Arial" w:hAnsi="Arial" w:cs="Arial"/>
                <w:sz w:val="21"/>
                <w:szCs w:val="21"/>
              </w:rPr>
            </w:pPr>
          </w:p>
        </w:tc>
        <w:tc>
          <w:tcPr>
            <w:tcW w:w="2561" w:type="pct"/>
            <w:gridSpan w:val="2"/>
          </w:tcPr>
          <w:p w14:paraId="24FF2E0A" w14:textId="77777777" w:rsidR="00862B0B" w:rsidRPr="00A67277" w:rsidRDefault="00862B0B" w:rsidP="00862B0B">
            <w:pPr>
              <w:pStyle w:val="Level3"/>
              <w:numPr>
                <w:ilvl w:val="0"/>
                <w:numId w:val="82"/>
              </w:numPr>
              <w:spacing w:before="60" w:after="60"/>
              <w:ind w:left="1605" w:hanging="575"/>
              <w:rPr>
                <w:rFonts w:cs="Arial"/>
                <w:lang w:val="en-US" w:eastAsia="en-US"/>
              </w:rPr>
            </w:pPr>
            <w:r w:rsidRPr="00A67277">
              <w:rPr>
                <w:rFonts w:cs="Arial"/>
                <w:lang w:val="en-US" w:eastAsia="en-US"/>
              </w:rPr>
              <w:t>Jika BUP telah memenuhi kewajibannya berdasarkan paragraf (b) di atas, maka PJPK harus:</w:t>
            </w:r>
          </w:p>
        </w:tc>
      </w:tr>
      <w:tr w:rsidR="00862B0B" w:rsidRPr="00A67277" w14:paraId="0CD8BED0" w14:textId="77777777" w:rsidTr="00862B0B">
        <w:tc>
          <w:tcPr>
            <w:tcW w:w="2270" w:type="pct"/>
          </w:tcPr>
          <w:p w14:paraId="4F199D76" w14:textId="77777777" w:rsidR="00862B0B" w:rsidRPr="00A67277" w:rsidRDefault="00862B0B" w:rsidP="00862B0B">
            <w:pPr>
              <w:pStyle w:val="Level4"/>
              <w:numPr>
                <w:ilvl w:val="0"/>
                <w:numId w:val="87"/>
              </w:numPr>
              <w:spacing w:before="60" w:after="60"/>
              <w:ind w:left="2126"/>
            </w:pPr>
            <w:r w:rsidRPr="00A67277">
              <w:t>give the IBE such compensation in the form set out in Clause 21.3 (</w:t>
            </w:r>
            <w:r w:rsidRPr="00A67277">
              <w:rPr>
                <w:i/>
              </w:rPr>
              <w:t>Compensation for Political Event</w:t>
            </w:r>
            <w:r w:rsidRPr="00A67277">
              <w:t>);</w:t>
            </w:r>
          </w:p>
        </w:tc>
        <w:tc>
          <w:tcPr>
            <w:tcW w:w="169" w:type="pct"/>
          </w:tcPr>
          <w:p w14:paraId="24BAA663" w14:textId="77777777" w:rsidR="00862B0B" w:rsidRPr="00A67277" w:rsidRDefault="00862B0B" w:rsidP="00862B0B">
            <w:pPr>
              <w:spacing w:before="60" w:after="60"/>
              <w:rPr>
                <w:rFonts w:ascii="Arial" w:hAnsi="Arial" w:cs="Arial"/>
                <w:sz w:val="21"/>
                <w:szCs w:val="21"/>
              </w:rPr>
            </w:pPr>
          </w:p>
        </w:tc>
        <w:tc>
          <w:tcPr>
            <w:tcW w:w="2561" w:type="pct"/>
            <w:gridSpan w:val="2"/>
          </w:tcPr>
          <w:p w14:paraId="278DFABC" w14:textId="77777777" w:rsidR="00862B0B" w:rsidRPr="00A67277" w:rsidRDefault="00862B0B" w:rsidP="00862B0B">
            <w:pPr>
              <w:pStyle w:val="Level4"/>
              <w:numPr>
                <w:ilvl w:val="0"/>
                <w:numId w:val="88"/>
              </w:numPr>
              <w:spacing w:before="60" w:after="60"/>
              <w:ind w:left="2055"/>
              <w:rPr>
                <w:rFonts w:cs="Arial"/>
              </w:rPr>
            </w:pPr>
            <w:r w:rsidRPr="00A67277">
              <w:rPr>
                <w:rFonts w:cs="Arial"/>
              </w:rPr>
              <w:t>memberikan kompensasi kepada BUP tersebut dalam bentuk yang tercantum pada Pasal 21.3 (</w:t>
            </w:r>
            <w:r w:rsidRPr="00A67277">
              <w:rPr>
                <w:rFonts w:cs="Arial"/>
                <w:i/>
              </w:rPr>
              <w:t>Kompensasi Atas Peristiwa Politik</w:t>
            </w:r>
            <w:r w:rsidRPr="00A67277">
              <w:rPr>
                <w:rFonts w:cs="Arial"/>
              </w:rPr>
              <w:t>);</w:t>
            </w:r>
          </w:p>
        </w:tc>
      </w:tr>
      <w:tr w:rsidR="00862B0B" w:rsidRPr="00A67277" w14:paraId="22E1D513" w14:textId="77777777" w:rsidTr="00862B0B">
        <w:tc>
          <w:tcPr>
            <w:tcW w:w="2270" w:type="pct"/>
          </w:tcPr>
          <w:p w14:paraId="721CF419" w14:textId="77777777" w:rsidR="00862B0B" w:rsidRPr="00A67277" w:rsidRDefault="00862B0B" w:rsidP="00862B0B">
            <w:pPr>
              <w:pStyle w:val="Level4"/>
              <w:numPr>
                <w:ilvl w:val="0"/>
                <w:numId w:val="87"/>
              </w:numPr>
              <w:spacing w:before="60" w:after="60"/>
              <w:ind w:left="2126"/>
            </w:pPr>
            <w:r w:rsidRPr="00A67277">
              <w:t>give the IBE such relief from its obligations under this Agreement as is reasonable for such Event of Government Action or Inaction; and</w:t>
            </w:r>
          </w:p>
          <w:p w14:paraId="5BCD484F" w14:textId="77777777" w:rsidR="00862B0B" w:rsidRPr="00A67277" w:rsidRDefault="00862B0B" w:rsidP="00862B0B">
            <w:pPr>
              <w:spacing w:before="60" w:after="60"/>
              <w:rPr>
                <w:rFonts w:ascii="Arial" w:hAnsi="Arial" w:cs="Arial"/>
                <w:sz w:val="21"/>
                <w:szCs w:val="21"/>
              </w:rPr>
            </w:pPr>
          </w:p>
        </w:tc>
        <w:tc>
          <w:tcPr>
            <w:tcW w:w="169" w:type="pct"/>
          </w:tcPr>
          <w:p w14:paraId="6D5BE7D2" w14:textId="77777777" w:rsidR="00862B0B" w:rsidRPr="00A67277" w:rsidRDefault="00862B0B" w:rsidP="00862B0B">
            <w:pPr>
              <w:spacing w:before="60" w:after="60"/>
              <w:rPr>
                <w:rFonts w:ascii="Arial" w:hAnsi="Arial" w:cs="Arial"/>
                <w:sz w:val="21"/>
                <w:szCs w:val="21"/>
              </w:rPr>
            </w:pPr>
          </w:p>
        </w:tc>
        <w:tc>
          <w:tcPr>
            <w:tcW w:w="2561" w:type="pct"/>
            <w:gridSpan w:val="2"/>
          </w:tcPr>
          <w:p w14:paraId="79D95D6B" w14:textId="77777777" w:rsidR="00862B0B" w:rsidRPr="00A67277" w:rsidRDefault="00862B0B" w:rsidP="00862B0B">
            <w:pPr>
              <w:pStyle w:val="Level4"/>
              <w:numPr>
                <w:ilvl w:val="0"/>
                <w:numId w:val="88"/>
              </w:numPr>
              <w:spacing w:before="60" w:after="60"/>
              <w:ind w:left="2055"/>
              <w:rPr>
                <w:rFonts w:cs="Arial"/>
              </w:rPr>
            </w:pPr>
            <w:r w:rsidRPr="00A67277">
              <w:rPr>
                <w:rFonts w:cs="Arial"/>
              </w:rPr>
              <w:t>memberikan BUP pembebasan dari kewajibannya berdasarkan Perjanjian ini secara wajar karena Peristiwa Tindakan atau Tidak Bertindaknya Pemerintah tersebut; dan</w:t>
            </w:r>
          </w:p>
        </w:tc>
      </w:tr>
      <w:tr w:rsidR="00862B0B" w:rsidRPr="00A67277" w14:paraId="7136B038" w14:textId="77777777" w:rsidTr="00862B0B">
        <w:tc>
          <w:tcPr>
            <w:tcW w:w="2270" w:type="pct"/>
          </w:tcPr>
          <w:p w14:paraId="4CB7EF7A" w14:textId="77777777" w:rsidR="00862B0B" w:rsidRPr="00A67277" w:rsidRDefault="00862B0B" w:rsidP="00862B0B">
            <w:pPr>
              <w:pStyle w:val="Level4"/>
              <w:numPr>
                <w:ilvl w:val="0"/>
                <w:numId w:val="87"/>
              </w:numPr>
              <w:spacing w:before="60" w:after="60"/>
              <w:ind w:left="2126"/>
            </w:pPr>
            <w:r w:rsidRPr="00A67277">
              <w:t>if the Event of Government Action or Inaction occurs during the Construction Period and causes a delay in achieving the Scheduled Commercial Operation Date, such date shall be postponed by such time as shall be reasonably required by such Event of Government Action or Inaction.</w:t>
            </w:r>
          </w:p>
          <w:p w14:paraId="476AF04A" w14:textId="77777777" w:rsidR="00862B0B" w:rsidRPr="00A67277" w:rsidRDefault="00862B0B" w:rsidP="00862B0B">
            <w:pPr>
              <w:spacing w:before="60" w:after="60"/>
              <w:rPr>
                <w:rFonts w:ascii="Arial" w:hAnsi="Arial" w:cs="Arial"/>
                <w:sz w:val="21"/>
                <w:szCs w:val="21"/>
              </w:rPr>
            </w:pPr>
          </w:p>
        </w:tc>
        <w:tc>
          <w:tcPr>
            <w:tcW w:w="169" w:type="pct"/>
          </w:tcPr>
          <w:p w14:paraId="6C911FF8" w14:textId="77777777" w:rsidR="00862B0B" w:rsidRPr="00A67277" w:rsidRDefault="00862B0B" w:rsidP="00862B0B">
            <w:pPr>
              <w:spacing w:before="60" w:after="60"/>
              <w:rPr>
                <w:rFonts w:ascii="Arial" w:hAnsi="Arial" w:cs="Arial"/>
                <w:sz w:val="21"/>
                <w:szCs w:val="21"/>
              </w:rPr>
            </w:pPr>
          </w:p>
        </w:tc>
        <w:tc>
          <w:tcPr>
            <w:tcW w:w="2561" w:type="pct"/>
            <w:gridSpan w:val="2"/>
          </w:tcPr>
          <w:p w14:paraId="16846C2D" w14:textId="77777777" w:rsidR="00862B0B" w:rsidRPr="00A67277" w:rsidRDefault="00862B0B" w:rsidP="00862B0B">
            <w:pPr>
              <w:pStyle w:val="Level4"/>
              <w:numPr>
                <w:ilvl w:val="0"/>
                <w:numId w:val="88"/>
              </w:numPr>
              <w:spacing w:before="60" w:after="60"/>
              <w:ind w:left="2055"/>
              <w:rPr>
                <w:rFonts w:cs="Arial"/>
              </w:rPr>
            </w:pPr>
            <w:r w:rsidRPr="00A67277">
              <w:rPr>
                <w:rFonts w:cs="Arial"/>
              </w:rPr>
              <w:t>jika Peristiwa Tindakan atau Tidak Bertindaknya Pemerintah terjadi selama Jangka Waktu Konstruksi dan menyebabkan penundaan dalam pencapaian Tanggal Operasi Komersial Yang Dijadwalkan, tanggal tersebut akan ditunda untuk jangka waktu yang diperlukan sewajarnya selama terjadinya Peristiwa Tindakan atau Tidak Bertindaknya Pemerintah.</w:t>
            </w:r>
          </w:p>
        </w:tc>
      </w:tr>
      <w:tr w:rsidR="00862B0B" w:rsidRPr="00A67277" w14:paraId="2A6FDC8D" w14:textId="77777777" w:rsidTr="00862B0B">
        <w:tc>
          <w:tcPr>
            <w:tcW w:w="2270" w:type="pct"/>
          </w:tcPr>
          <w:p w14:paraId="5A13452F" w14:textId="2E661CAF" w:rsidR="00862B0B" w:rsidRPr="00A67277" w:rsidRDefault="00862B0B" w:rsidP="00862B0B">
            <w:pPr>
              <w:pStyle w:val="Heading2"/>
              <w:numPr>
                <w:ilvl w:val="0"/>
                <w:numId w:val="80"/>
              </w:numPr>
              <w:spacing w:before="60" w:after="60"/>
              <w:ind w:left="1136" w:hanging="664"/>
              <w:outlineLvl w:val="1"/>
              <w:rPr>
                <w:rFonts w:ascii="Arial" w:hAnsi="Arial" w:cs="Arial"/>
                <w:b/>
                <w:color w:val="auto"/>
                <w:sz w:val="21"/>
                <w:szCs w:val="21"/>
              </w:rPr>
            </w:pPr>
            <w:r>
              <w:rPr>
                <w:rFonts w:ascii="Arial" w:hAnsi="Arial" w:cs="Arial"/>
                <w:b/>
                <w:color w:val="auto"/>
                <w:sz w:val="21"/>
                <w:szCs w:val="21"/>
              </w:rPr>
              <w:t xml:space="preserve">Qualifying </w:t>
            </w:r>
            <w:r w:rsidRPr="00A67277">
              <w:rPr>
                <w:rFonts w:ascii="Arial" w:hAnsi="Arial" w:cs="Arial"/>
                <w:b/>
                <w:color w:val="auto"/>
                <w:sz w:val="21"/>
                <w:szCs w:val="21"/>
              </w:rPr>
              <w:t>Change in Law</w:t>
            </w:r>
          </w:p>
        </w:tc>
        <w:tc>
          <w:tcPr>
            <w:tcW w:w="169" w:type="pct"/>
          </w:tcPr>
          <w:p w14:paraId="30520B32" w14:textId="77777777" w:rsidR="00862B0B" w:rsidRPr="00A67277" w:rsidRDefault="00862B0B" w:rsidP="00862B0B">
            <w:pPr>
              <w:spacing w:before="60" w:after="60"/>
              <w:rPr>
                <w:rFonts w:ascii="Arial" w:hAnsi="Arial" w:cs="Arial"/>
                <w:sz w:val="21"/>
                <w:szCs w:val="21"/>
              </w:rPr>
            </w:pPr>
          </w:p>
        </w:tc>
        <w:tc>
          <w:tcPr>
            <w:tcW w:w="2561" w:type="pct"/>
            <w:gridSpan w:val="2"/>
          </w:tcPr>
          <w:p w14:paraId="56843EF3" w14:textId="1E673D18" w:rsidR="00862B0B" w:rsidRPr="00A67277" w:rsidRDefault="00862B0B" w:rsidP="00862B0B">
            <w:pPr>
              <w:pStyle w:val="Heading2"/>
              <w:keepLines w:val="0"/>
              <w:numPr>
                <w:ilvl w:val="0"/>
                <w:numId w:val="15"/>
              </w:numPr>
              <w:tabs>
                <w:tab w:val="num" w:pos="889"/>
              </w:tabs>
              <w:spacing w:before="60" w:after="60" w:line="264" w:lineRule="auto"/>
              <w:ind w:left="1100" w:hanging="630"/>
              <w:jc w:val="both"/>
              <w:outlineLvl w:val="1"/>
              <w:rPr>
                <w:rFonts w:ascii="Arial" w:hAnsi="Arial" w:cs="Arial"/>
                <w:color w:val="auto"/>
                <w:sz w:val="21"/>
                <w:szCs w:val="21"/>
              </w:rPr>
            </w:pPr>
            <w:r w:rsidRPr="00A67277">
              <w:rPr>
                <w:rFonts w:ascii="Arial" w:hAnsi="Arial" w:cs="Arial"/>
                <w:b/>
                <w:color w:val="auto"/>
                <w:sz w:val="21"/>
                <w:szCs w:val="21"/>
              </w:rPr>
              <w:t xml:space="preserve">Perubahan Hukum Yang </w:t>
            </w:r>
            <w:r>
              <w:rPr>
                <w:rFonts w:ascii="Arial" w:hAnsi="Arial" w:cs="Arial"/>
                <w:b/>
                <w:color w:val="auto"/>
                <w:sz w:val="21"/>
                <w:szCs w:val="21"/>
              </w:rPr>
              <w:t>Memenuhi Syarat</w:t>
            </w:r>
          </w:p>
        </w:tc>
      </w:tr>
      <w:tr w:rsidR="00862B0B" w:rsidRPr="00A67277" w14:paraId="4FF065C3" w14:textId="77777777" w:rsidTr="00862B0B">
        <w:tc>
          <w:tcPr>
            <w:tcW w:w="2270" w:type="pct"/>
          </w:tcPr>
          <w:p w14:paraId="206CD2C2" w14:textId="7645C67D" w:rsidR="00862B0B" w:rsidRPr="00A67277" w:rsidRDefault="00862B0B" w:rsidP="00862B0B">
            <w:pPr>
              <w:pStyle w:val="Level3"/>
              <w:numPr>
                <w:ilvl w:val="2"/>
                <w:numId w:val="508"/>
              </w:numPr>
              <w:tabs>
                <w:tab w:val="clear" w:pos="1417"/>
              </w:tabs>
              <w:spacing w:before="60" w:after="60"/>
              <w:ind w:left="1723" w:hanging="567"/>
            </w:pPr>
            <w:r w:rsidRPr="00A67277">
              <w:t xml:space="preserve">If a </w:t>
            </w:r>
            <w:r>
              <w:t xml:space="preserve">Qualifying </w:t>
            </w:r>
            <w:r w:rsidRPr="00A67277">
              <w:t xml:space="preserve">Change in Law occurs or is shortly to occur, then any Party may, within  sixty (60) Days starting from the day it was aware (or should have been aware) of the </w:t>
            </w:r>
            <w:r>
              <w:t>Qualifying</w:t>
            </w:r>
            <w:r w:rsidRPr="00A67277">
              <w:t xml:space="preserve"> Change in Law, </w:t>
            </w:r>
            <w:r>
              <w:t xml:space="preserve">to </w:t>
            </w:r>
            <w:r w:rsidRPr="00A67277">
              <w:t>notify the other Party to express an opinion on its likely effects, giving details of its opinion of:</w:t>
            </w:r>
          </w:p>
          <w:p w14:paraId="09DE2589" w14:textId="77777777" w:rsidR="00862B0B" w:rsidRPr="00A67277" w:rsidRDefault="00862B0B" w:rsidP="00862B0B">
            <w:pPr>
              <w:spacing w:before="60" w:after="60"/>
              <w:rPr>
                <w:rFonts w:ascii="Arial" w:hAnsi="Arial" w:cs="Arial"/>
                <w:sz w:val="21"/>
                <w:szCs w:val="21"/>
              </w:rPr>
            </w:pPr>
          </w:p>
        </w:tc>
        <w:tc>
          <w:tcPr>
            <w:tcW w:w="169" w:type="pct"/>
          </w:tcPr>
          <w:p w14:paraId="2A52B011" w14:textId="77777777" w:rsidR="00862B0B" w:rsidRPr="00A67277" w:rsidRDefault="00862B0B" w:rsidP="00862B0B">
            <w:pPr>
              <w:spacing w:before="60" w:after="60"/>
              <w:rPr>
                <w:rFonts w:ascii="Arial" w:hAnsi="Arial" w:cs="Arial"/>
                <w:sz w:val="21"/>
                <w:szCs w:val="21"/>
              </w:rPr>
            </w:pPr>
          </w:p>
        </w:tc>
        <w:tc>
          <w:tcPr>
            <w:tcW w:w="2561" w:type="pct"/>
            <w:gridSpan w:val="2"/>
          </w:tcPr>
          <w:p w14:paraId="413957F7" w14:textId="41E8A5E0" w:rsidR="00862B0B" w:rsidRPr="00A67277" w:rsidRDefault="00862B0B" w:rsidP="00862B0B">
            <w:pPr>
              <w:pStyle w:val="Level3"/>
              <w:numPr>
                <w:ilvl w:val="0"/>
                <w:numId w:val="90"/>
              </w:numPr>
              <w:tabs>
                <w:tab w:val="left" w:pos="2775"/>
                <w:tab w:val="left" w:pos="2865"/>
                <w:tab w:val="left" w:pos="3225"/>
              </w:tabs>
              <w:spacing w:before="60" w:after="60"/>
              <w:ind w:left="1605" w:hanging="495"/>
              <w:rPr>
                <w:rFonts w:cs="Arial"/>
              </w:rPr>
            </w:pPr>
            <w:r w:rsidRPr="00A67277">
              <w:rPr>
                <w:rFonts w:cs="Arial"/>
              </w:rPr>
              <w:t xml:space="preserve">Jika suatu Perubahan Hukum Yang </w:t>
            </w:r>
            <w:r>
              <w:rPr>
                <w:rFonts w:cs="Arial"/>
              </w:rPr>
              <w:t xml:space="preserve">Memenuhi Syarat </w:t>
            </w:r>
            <w:r w:rsidRPr="00A67277">
              <w:rPr>
                <w:rFonts w:cs="Arial"/>
              </w:rPr>
              <w:t xml:space="preserve">telah terjadi atau akan segera terjadi, maka Pihak manapun dapat, dalam jangka waktu enam puluh (60) Hari sejak disadarinya (atau seharusnya sudah disadarinya) terjadinya Perubahan Hukum Yang </w:t>
            </w:r>
            <w:r>
              <w:rPr>
                <w:rFonts w:cs="Arial"/>
              </w:rPr>
              <w:t>Memenuhi Syarat</w:t>
            </w:r>
            <w:r w:rsidRPr="00A67277">
              <w:rPr>
                <w:rFonts w:cs="Arial"/>
              </w:rPr>
              <w:t>, memberitahukan Pihak lainnya untuk menyatakan pendapatnya mengenai kemungkinan dampaknya, dengan memberikan rincian mengenai:</w:t>
            </w:r>
          </w:p>
        </w:tc>
      </w:tr>
      <w:tr w:rsidR="00862B0B" w:rsidRPr="00A67277" w14:paraId="2FB65247" w14:textId="77777777" w:rsidTr="00862B0B">
        <w:tc>
          <w:tcPr>
            <w:tcW w:w="2270" w:type="pct"/>
          </w:tcPr>
          <w:p w14:paraId="547CCB2C" w14:textId="77777777" w:rsidR="00862B0B" w:rsidRPr="00A67277" w:rsidRDefault="00862B0B" w:rsidP="00862B0B">
            <w:pPr>
              <w:pStyle w:val="Level4"/>
              <w:numPr>
                <w:ilvl w:val="0"/>
                <w:numId w:val="89"/>
              </w:numPr>
              <w:spacing w:before="60" w:after="60"/>
              <w:ind w:left="1946" w:hanging="270"/>
            </w:pPr>
            <w:r w:rsidRPr="00A67277">
              <w:t>any necessary change in the obligations of the IBE;</w:t>
            </w:r>
          </w:p>
        </w:tc>
        <w:tc>
          <w:tcPr>
            <w:tcW w:w="169" w:type="pct"/>
          </w:tcPr>
          <w:p w14:paraId="528B2EF3" w14:textId="77777777" w:rsidR="00862B0B" w:rsidRPr="00A67277" w:rsidRDefault="00862B0B" w:rsidP="00862B0B">
            <w:pPr>
              <w:spacing w:before="60" w:after="60"/>
              <w:rPr>
                <w:rFonts w:ascii="Arial" w:hAnsi="Arial" w:cs="Arial"/>
                <w:sz w:val="21"/>
                <w:szCs w:val="21"/>
              </w:rPr>
            </w:pPr>
          </w:p>
        </w:tc>
        <w:tc>
          <w:tcPr>
            <w:tcW w:w="2561" w:type="pct"/>
            <w:gridSpan w:val="2"/>
          </w:tcPr>
          <w:p w14:paraId="4095038F" w14:textId="77777777" w:rsidR="00862B0B" w:rsidRPr="00A67277" w:rsidRDefault="00862B0B" w:rsidP="00862B0B">
            <w:pPr>
              <w:pStyle w:val="Level4"/>
              <w:numPr>
                <w:ilvl w:val="0"/>
                <w:numId w:val="91"/>
              </w:numPr>
              <w:spacing w:before="60" w:after="60"/>
              <w:ind w:left="2235"/>
              <w:rPr>
                <w:rFonts w:cs="Arial"/>
              </w:rPr>
            </w:pPr>
            <w:r w:rsidRPr="00A67277">
              <w:rPr>
                <w:rStyle w:val="shorttext"/>
                <w:rFonts w:cs="Arial"/>
                <w:lang w:val="id-ID"/>
              </w:rPr>
              <w:t xml:space="preserve">setiap perubahan yang diperlukan </w:t>
            </w:r>
            <w:r w:rsidRPr="00A67277">
              <w:rPr>
                <w:rStyle w:val="shorttext"/>
                <w:rFonts w:cs="Arial"/>
              </w:rPr>
              <w:t xml:space="preserve">terhadap </w:t>
            </w:r>
            <w:r w:rsidRPr="00A67277">
              <w:rPr>
                <w:rStyle w:val="shorttext"/>
                <w:rFonts w:cs="Arial"/>
                <w:lang w:val="id-ID"/>
              </w:rPr>
              <w:t>kewajiban</w:t>
            </w:r>
            <w:r w:rsidRPr="00A67277">
              <w:rPr>
                <w:rFonts w:cs="Arial"/>
              </w:rPr>
              <w:t xml:space="preserve"> BUP;</w:t>
            </w:r>
          </w:p>
        </w:tc>
      </w:tr>
      <w:tr w:rsidR="00862B0B" w:rsidRPr="00A67277" w14:paraId="751DA4C8" w14:textId="77777777" w:rsidTr="00862B0B">
        <w:tc>
          <w:tcPr>
            <w:tcW w:w="2270" w:type="pct"/>
          </w:tcPr>
          <w:p w14:paraId="007F32A8" w14:textId="153047FC" w:rsidR="00862B0B" w:rsidRPr="00A67277" w:rsidRDefault="00862B0B" w:rsidP="00862B0B">
            <w:pPr>
              <w:pStyle w:val="Level4"/>
              <w:numPr>
                <w:ilvl w:val="0"/>
                <w:numId w:val="89"/>
              </w:numPr>
              <w:spacing w:before="60" w:after="60"/>
              <w:ind w:left="1946" w:hanging="270"/>
            </w:pPr>
            <w:r w:rsidRPr="00A67277">
              <w:t xml:space="preserve">whether any changes are required to the terms of this Agreement to deal with the </w:t>
            </w:r>
            <w:r>
              <w:t>Qualifying</w:t>
            </w:r>
            <w:r w:rsidRPr="00A67277">
              <w:t xml:space="preserve"> Change in Law;</w:t>
            </w:r>
          </w:p>
          <w:p w14:paraId="2AC707BC" w14:textId="77777777" w:rsidR="00862B0B" w:rsidRPr="00A67277" w:rsidRDefault="00862B0B" w:rsidP="00862B0B">
            <w:pPr>
              <w:spacing w:before="60" w:after="60"/>
              <w:rPr>
                <w:rFonts w:ascii="Arial" w:hAnsi="Arial" w:cs="Arial"/>
                <w:sz w:val="21"/>
                <w:szCs w:val="21"/>
              </w:rPr>
            </w:pPr>
          </w:p>
        </w:tc>
        <w:tc>
          <w:tcPr>
            <w:tcW w:w="169" w:type="pct"/>
          </w:tcPr>
          <w:p w14:paraId="308093B0" w14:textId="77777777" w:rsidR="00862B0B" w:rsidRPr="00A67277" w:rsidRDefault="00862B0B" w:rsidP="00862B0B">
            <w:pPr>
              <w:spacing w:before="60" w:after="60"/>
              <w:rPr>
                <w:rFonts w:ascii="Arial" w:hAnsi="Arial" w:cs="Arial"/>
                <w:sz w:val="21"/>
                <w:szCs w:val="21"/>
              </w:rPr>
            </w:pPr>
          </w:p>
        </w:tc>
        <w:tc>
          <w:tcPr>
            <w:tcW w:w="2561" w:type="pct"/>
            <w:gridSpan w:val="2"/>
          </w:tcPr>
          <w:p w14:paraId="4FAE847E" w14:textId="78465E91" w:rsidR="00862B0B" w:rsidRPr="00A67277" w:rsidRDefault="00862B0B" w:rsidP="00862B0B">
            <w:pPr>
              <w:pStyle w:val="Level4"/>
              <w:numPr>
                <w:ilvl w:val="0"/>
                <w:numId w:val="91"/>
              </w:numPr>
              <w:spacing w:before="60" w:after="60"/>
              <w:ind w:left="2235"/>
              <w:rPr>
                <w:rFonts w:cs="Arial"/>
                <w:lang w:val="id-ID"/>
              </w:rPr>
            </w:pPr>
            <w:r w:rsidRPr="00A67277">
              <w:rPr>
                <w:rStyle w:val="shorttext"/>
                <w:rFonts w:cs="Arial"/>
                <w:lang w:val="id-ID"/>
              </w:rPr>
              <w:t xml:space="preserve">apakah terdapat perubahan yang diperlukan untuk persyaratan dalam Perjanjian ini untuk mengakomodir Perubahan Hukum Yang </w:t>
            </w:r>
            <w:r>
              <w:rPr>
                <w:rStyle w:val="shorttext"/>
                <w:rFonts w:cs="Arial"/>
                <w:lang w:val="en-US"/>
              </w:rPr>
              <w:t>Memenuhi Syarat</w:t>
            </w:r>
            <w:r w:rsidRPr="00A67277">
              <w:rPr>
                <w:rStyle w:val="shorttext"/>
                <w:rFonts w:cs="Arial"/>
                <w:lang w:val="id-ID"/>
              </w:rPr>
              <w:t xml:space="preserve"> tersebut;</w:t>
            </w:r>
          </w:p>
        </w:tc>
      </w:tr>
      <w:tr w:rsidR="00862B0B" w:rsidRPr="00A67277" w14:paraId="761C7D0E" w14:textId="77777777" w:rsidTr="00862B0B">
        <w:tc>
          <w:tcPr>
            <w:tcW w:w="2270" w:type="pct"/>
          </w:tcPr>
          <w:p w14:paraId="0D478E6F" w14:textId="23026A01" w:rsidR="00862B0B" w:rsidRPr="00A67277" w:rsidRDefault="00862B0B" w:rsidP="00862B0B">
            <w:pPr>
              <w:pStyle w:val="Level4"/>
              <w:numPr>
                <w:ilvl w:val="0"/>
                <w:numId w:val="89"/>
              </w:numPr>
              <w:spacing w:before="60" w:after="60"/>
              <w:ind w:left="1946" w:hanging="270"/>
            </w:pPr>
            <w:r w:rsidRPr="00A67277">
              <w:t xml:space="preserve">whether relief from compliance with obligations is required, including the obligation of the IBE to achieve any contractual deadline and/or meet any contractual performance requirement during the implementation of any relevant </w:t>
            </w:r>
            <w:r>
              <w:t>Qualifying</w:t>
            </w:r>
            <w:r w:rsidRPr="00A67277">
              <w:t xml:space="preserve"> Change in Law;</w:t>
            </w:r>
          </w:p>
          <w:p w14:paraId="0D3002E2" w14:textId="77777777" w:rsidR="00862B0B" w:rsidRPr="00A67277" w:rsidRDefault="00862B0B" w:rsidP="00862B0B">
            <w:pPr>
              <w:spacing w:before="60" w:after="60"/>
              <w:rPr>
                <w:rFonts w:ascii="Arial" w:hAnsi="Arial" w:cs="Arial"/>
                <w:sz w:val="21"/>
                <w:szCs w:val="21"/>
              </w:rPr>
            </w:pPr>
          </w:p>
        </w:tc>
        <w:tc>
          <w:tcPr>
            <w:tcW w:w="169" w:type="pct"/>
          </w:tcPr>
          <w:p w14:paraId="05EB4151" w14:textId="77777777" w:rsidR="00862B0B" w:rsidRPr="00A67277" w:rsidRDefault="00862B0B" w:rsidP="00862B0B">
            <w:pPr>
              <w:spacing w:before="60" w:after="60"/>
              <w:rPr>
                <w:rFonts w:ascii="Arial" w:hAnsi="Arial" w:cs="Arial"/>
                <w:sz w:val="21"/>
                <w:szCs w:val="21"/>
              </w:rPr>
            </w:pPr>
          </w:p>
        </w:tc>
        <w:tc>
          <w:tcPr>
            <w:tcW w:w="2561" w:type="pct"/>
            <w:gridSpan w:val="2"/>
          </w:tcPr>
          <w:p w14:paraId="2D357028" w14:textId="35A79113" w:rsidR="00862B0B" w:rsidRPr="00A67277" w:rsidRDefault="00862B0B" w:rsidP="00862B0B">
            <w:pPr>
              <w:pStyle w:val="Level4"/>
              <w:numPr>
                <w:ilvl w:val="0"/>
                <w:numId w:val="91"/>
              </w:numPr>
              <w:spacing w:before="60" w:after="60"/>
              <w:ind w:left="2235"/>
              <w:rPr>
                <w:rFonts w:cs="Arial"/>
              </w:rPr>
            </w:pPr>
            <w:r w:rsidRPr="00A67277">
              <w:rPr>
                <w:rStyle w:val="shorttext"/>
                <w:rFonts w:cs="Arial"/>
                <w:lang w:val="id-ID"/>
              </w:rPr>
              <w:t xml:space="preserve">apakah diperlukan adanya pembebasan pemenuhan kewajiban, termasuk kewajiban BUP untuk mencapai batas waktu kontraktual dan/atau memenuhi persyaratan kinerja kontraktual selama pelaksanaan Perubahan Hukum Yang </w:t>
            </w:r>
            <w:r>
              <w:rPr>
                <w:rFonts w:cs="Arial"/>
                <w:b/>
              </w:rPr>
              <w:t xml:space="preserve"> </w:t>
            </w:r>
            <w:r w:rsidRPr="00493072">
              <w:rPr>
                <w:rFonts w:cs="Arial"/>
                <w:bCs/>
              </w:rPr>
              <w:t>Memenuhi Syarat</w:t>
            </w:r>
            <w:r w:rsidRPr="00A67277">
              <w:rPr>
                <w:rFonts w:cs="Arial"/>
                <w:b/>
              </w:rPr>
              <w:t xml:space="preserve"> </w:t>
            </w:r>
            <w:r w:rsidRPr="00A67277">
              <w:rPr>
                <w:rStyle w:val="shorttext"/>
                <w:rFonts w:cs="Arial"/>
                <w:lang w:val="id-ID"/>
              </w:rPr>
              <w:t xml:space="preserve"> yang relevan;</w:t>
            </w:r>
          </w:p>
        </w:tc>
      </w:tr>
      <w:tr w:rsidR="00862B0B" w:rsidRPr="00A67277" w14:paraId="4878D249" w14:textId="77777777" w:rsidTr="00862B0B">
        <w:tc>
          <w:tcPr>
            <w:tcW w:w="2270" w:type="pct"/>
          </w:tcPr>
          <w:p w14:paraId="3DF669B6" w14:textId="7875601D" w:rsidR="00862B0B" w:rsidRPr="00A67277" w:rsidRDefault="00862B0B" w:rsidP="00862B0B">
            <w:pPr>
              <w:pStyle w:val="Level4"/>
              <w:numPr>
                <w:ilvl w:val="0"/>
                <w:numId w:val="89"/>
              </w:numPr>
              <w:spacing w:before="60" w:after="60"/>
              <w:ind w:left="1946" w:hanging="270"/>
            </w:pPr>
            <w:r w:rsidRPr="00A67277">
              <w:t xml:space="preserve">any (positive or negative) change of IBE’s revenue that will result from the relevant </w:t>
            </w:r>
            <w:r>
              <w:t xml:space="preserve"> Qualifying</w:t>
            </w:r>
            <w:r w:rsidRPr="00A67277" w:rsidDel="000C0AB9">
              <w:t xml:space="preserve"> </w:t>
            </w:r>
            <w:r w:rsidRPr="00A67277">
              <w:t>Change in Law;</w:t>
            </w:r>
          </w:p>
          <w:p w14:paraId="31424D0D" w14:textId="77777777" w:rsidR="00862B0B" w:rsidRPr="00A67277" w:rsidRDefault="00862B0B" w:rsidP="00862B0B">
            <w:pPr>
              <w:spacing w:before="60" w:after="60"/>
              <w:rPr>
                <w:rFonts w:ascii="Arial" w:hAnsi="Arial" w:cs="Arial"/>
                <w:sz w:val="21"/>
                <w:szCs w:val="21"/>
              </w:rPr>
            </w:pPr>
          </w:p>
        </w:tc>
        <w:tc>
          <w:tcPr>
            <w:tcW w:w="169" w:type="pct"/>
          </w:tcPr>
          <w:p w14:paraId="5792AEB5" w14:textId="77777777" w:rsidR="00862B0B" w:rsidRPr="00A67277" w:rsidRDefault="00862B0B" w:rsidP="00862B0B">
            <w:pPr>
              <w:spacing w:before="60" w:after="60"/>
              <w:rPr>
                <w:rFonts w:ascii="Arial" w:hAnsi="Arial" w:cs="Arial"/>
                <w:sz w:val="21"/>
                <w:szCs w:val="21"/>
              </w:rPr>
            </w:pPr>
          </w:p>
        </w:tc>
        <w:tc>
          <w:tcPr>
            <w:tcW w:w="2561" w:type="pct"/>
            <w:gridSpan w:val="2"/>
          </w:tcPr>
          <w:p w14:paraId="31453E6E" w14:textId="49F52D0C" w:rsidR="00862B0B" w:rsidRPr="00A67277" w:rsidRDefault="00862B0B" w:rsidP="00862B0B">
            <w:pPr>
              <w:pStyle w:val="Level4"/>
              <w:numPr>
                <w:ilvl w:val="0"/>
                <w:numId w:val="91"/>
              </w:numPr>
              <w:spacing w:before="60" w:after="60"/>
              <w:ind w:left="2235"/>
              <w:rPr>
                <w:rFonts w:cs="Arial"/>
              </w:rPr>
            </w:pPr>
            <w:r w:rsidRPr="00A67277">
              <w:rPr>
                <w:rStyle w:val="shorttext"/>
                <w:rFonts w:cs="Arial"/>
                <w:lang w:val="id-ID"/>
              </w:rPr>
              <w:t xml:space="preserve">setiap perubahan pendapatan (positif atau negatif) yang akan dihasilkan dari Perubahan Hukum Yang </w:t>
            </w:r>
            <w:r>
              <w:rPr>
                <w:rFonts w:cs="Arial"/>
                <w:b/>
              </w:rPr>
              <w:t xml:space="preserve"> </w:t>
            </w:r>
            <w:r w:rsidRPr="00493072">
              <w:rPr>
                <w:rFonts w:cs="Arial"/>
                <w:bCs/>
              </w:rPr>
              <w:t>Memenuhi Syarat</w:t>
            </w:r>
            <w:r w:rsidRPr="00A67277">
              <w:rPr>
                <w:rFonts w:cs="Arial"/>
                <w:b/>
              </w:rPr>
              <w:t xml:space="preserve"> </w:t>
            </w:r>
            <w:r w:rsidRPr="00A67277">
              <w:rPr>
                <w:rStyle w:val="shorttext"/>
                <w:rFonts w:cs="Arial"/>
                <w:lang w:val="id-ID"/>
              </w:rPr>
              <w:t xml:space="preserve"> yang relevan;</w:t>
            </w:r>
          </w:p>
        </w:tc>
      </w:tr>
      <w:tr w:rsidR="00862B0B" w:rsidRPr="00A67277" w14:paraId="3E44CCAC" w14:textId="77777777" w:rsidTr="00862B0B">
        <w:tc>
          <w:tcPr>
            <w:tcW w:w="2270" w:type="pct"/>
          </w:tcPr>
          <w:p w14:paraId="5E280991" w14:textId="5DCE1095" w:rsidR="00862B0B" w:rsidRPr="00A67277" w:rsidRDefault="00862B0B" w:rsidP="00862B0B">
            <w:pPr>
              <w:pStyle w:val="Level4"/>
              <w:numPr>
                <w:ilvl w:val="0"/>
                <w:numId w:val="89"/>
              </w:numPr>
              <w:spacing w:before="60" w:after="60"/>
              <w:ind w:left="1946" w:hanging="270"/>
            </w:pPr>
            <w:r w:rsidRPr="00A67277">
              <w:t xml:space="preserve">any (positive or negative) Estimated Change in Project Costs that directly result from the </w:t>
            </w:r>
            <w:r>
              <w:t xml:space="preserve"> Qualifying</w:t>
            </w:r>
            <w:r w:rsidRPr="00A67277" w:rsidDel="000C0AB9">
              <w:t xml:space="preserve"> </w:t>
            </w:r>
            <w:r w:rsidRPr="00A67277">
              <w:t>Change in Law; or</w:t>
            </w:r>
          </w:p>
          <w:p w14:paraId="4103F1B8" w14:textId="77777777" w:rsidR="00862B0B" w:rsidRPr="00A67277" w:rsidRDefault="00862B0B" w:rsidP="00862B0B">
            <w:pPr>
              <w:spacing w:before="60" w:after="60"/>
              <w:rPr>
                <w:rFonts w:ascii="Arial" w:hAnsi="Arial" w:cs="Arial"/>
                <w:sz w:val="21"/>
                <w:szCs w:val="21"/>
              </w:rPr>
            </w:pPr>
          </w:p>
        </w:tc>
        <w:tc>
          <w:tcPr>
            <w:tcW w:w="169" w:type="pct"/>
          </w:tcPr>
          <w:p w14:paraId="4F5CE4DA" w14:textId="77777777" w:rsidR="00862B0B" w:rsidRPr="00A67277" w:rsidRDefault="00862B0B" w:rsidP="00862B0B">
            <w:pPr>
              <w:spacing w:before="60" w:after="60"/>
              <w:rPr>
                <w:rFonts w:ascii="Arial" w:hAnsi="Arial" w:cs="Arial"/>
                <w:sz w:val="21"/>
                <w:szCs w:val="21"/>
              </w:rPr>
            </w:pPr>
          </w:p>
        </w:tc>
        <w:tc>
          <w:tcPr>
            <w:tcW w:w="2561" w:type="pct"/>
            <w:gridSpan w:val="2"/>
          </w:tcPr>
          <w:p w14:paraId="39C46433" w14:textId="455EFB32" w:rsidR="00862B0B" w:rsidRPr="00A67277" w:rsidRDefault="00862B0B" w:rsidP="00862B0B">
            <w:pPr>
              <w:pStyle w:val="Level4"/>
              <w:numPr>
                <w:ilvl w:val="0"/>
                <w:numId w:val="91"/>
              </w:numPr>
              <w:spacing w:before="60" w:after="60"/>
              <w:ind w:left="2235"/>
              <w:rPr>
                <w:rFonts w:cs="Arial"/>
              </w:rPr>
            </w:pPr>
            <w:r w:rsidRPr="00A67277">
              <w:rPr>
                <w:rStyle w:val="shorttext"/>
                <w:rFonts w:cs="Arial"/>
                <w:lang w:val="id-ID"/>
              </w:rPr>
              <w:t xml:space="preserve">setiap Perkiraan Perubahan Terhadap Biaya Proyek (positif atau negatif) yang secara langsung diakibatkan oleh Perubahan Hukum Yang </w:t>
            </w:r>
            <w:r>
              <w:rPr>
                <w:rFonts w:cs="Arial"/>
                <w:b/>
              </w:rPr>
              <w:t xml:space="preserve"> </w:t>
            </w:r>
            <w:r w:rsidRPr="00493072">
              <w:rPr>
                <w:rFonts w:cs="Arial"/>
                <w:bCs/>
              </w:rPr>
              <w:t>Memenuhi Syarat</w:t>
            </w:r>
            <w:r w:rsidRPr="00A67277">
              <w:rPr>
                <w:rFonts w:cs="Arial"/>
                <w:b/>
              </w:rPr>
              <w:t xml:space="preserve"> </w:t>
            </w:r>
            <w:r w:rsidRPr="00A67277">
              <w:rPr>
                <w:rStyle w:val="shorttext"/>
                <w:rFonts w:cs="Arial"/>
                <w:lang w:val="id-ID"/>
              </w:rPr>
              <w:t>; atau</w:t>
            </w:r>
          </w:p>
        </w:tc>
      </w:tr>
      <w:tr w:rsidR="00862B0B" w:rsidRPr="00A67277" w14:paraId="575E4B07" w14:textId="77777777" w:rsidTr="00862B0B">
        <w:tc>
          <w:tcPr>
            <w:tcW w:w="2270" w:type="pct"/>
          </w:tcPr>
          <w:p w14:paraId="706CBBA5" w14:textId="52C4BEA3" w:rsidR="00862B0B" w:rsidRPr="00A67277" w:rsidRDefault="00862B0B" w:rsidP="00862B0B">
            <w:pPr>
              <w:pStyle w:val="Level4"/>
              <w:numPr>
                <w:ilvl w:val="0"/>
                <w:numId w:val="89"/>
              </w:numPr>
              <w:spacing w:before="60" w:after="60"/>
              <w:ind w:left="1946" w:hanging="270"/>
            </w:pPr>
            <w:r w:rsidRPr="00A67277">
              <w:t xml:space="preserve">any capital expenditure that is required or no longer required as a result of </w:t>
            </w:r>
            <w:r>
              <w:t xml:space="preserve"> Qualifying</w:t>
            </w:r>
            <w:r w:rsidRPr="00A67277" w:rsidDel="000C0AB9">
              <w:t xml:space="preserve"> </w:t>
            </w:r>
            <w:r w:rsidRPr="00A67277">
              <w:t>Change in Law taking effect during the operation period of this Term.</w:t>
            </w:r>
          </w:p>
          <w:p w14:paraId="1667AEFE" w14:textId="77777777" w:rsidR="00862B0B" w:rsidRPr="00A67277" w:rsidRDefault="00862B0B" w:rsidP="00862B0B">
            <w:pPr>
              <w:spacing w:before="60" w:after="60"/>
              <w:rPr>
                <w:rFonts w:ascii="Arial" w:hAnsi="Arial" w:cs="Arial"/>
                <w:sz w:val="21"/>
                <w:szCs w:val="21"/>
              </w:rPr>
            </w:pPr>
          </w:p>
        </w:tc>
        <w:tc>
          <w:tcPr>
            <w:tcW w:w="169" w:type="pct"/>
          </w:tcPr>
          <w:p w14:paraId="22B0F81A" w14:textId="77777777" w:rsidR="00862B0B" w:rsidRPr="00A67277" w:rsidRDefault="00862B0B" w:rsidP="00862B0B">
            <w:pPr>
              <w:spacing w:before="60" w:after="60"/>
              <w:rPr>
                <w:rFonts w:ascii="Arial" w:hAnsi="Arial" w:cs="Arial"/>
                <w:sz w:val="21"/>
                <w:szCs w:val="21"/>
              </w:rPr>
            </w:pPr>
          </w:p>
        </w:tc>
        <w:tc>
          <w:tcPr>
            <w:tcW w:w="2561" w:type="pct"/>
            <w:gridSpan w:val="2"/>
          </w:tcPr>
          <w:p w14:paraId="7A2ACF44" w14:textId="60D259F1" w:rsidR="00862B0B" w:rsidRPr="00A67277" w:rsidRDefault="00862B0B" w:rsidP="00862B0B">
            <w:pPr>
              <w:pStyle w:val="Level4"/>
              <w:numPr>
                <w:ilvl w:val="0"/>
                <w:numId w:val="91"/>
              </w:numPr>
              <w:spacing w:before="60" w:after="60"/>
              <w:ind w:left="2235"/>
              <w:rPr>
                <w:rFonts w:cs="Arial"/>
              </w:rPr>
            </w:pPr>
            <w:r w:rsidRPr="00A67277">
              <w:rPr>
                <w:rStyle w:val="shorttext"/>
                <w:rFonts w:cs="Arial"/>
                <w:lang w:val="id-ID"/>
              </w:rPr>
              <w:t xml:space="preserve">setiap pengeluaran modal yang diperlukan atau tidak lagi diperlukan sebagai akibat dari Perubahan Hukum Yang </w:t>
            </w:r>
            <w:r>
              <w:rPr>
                <w:rFonts w:cs="Arial"/>
                <w:b/>
              </w:rPr>
              <w:t xml:space="preserve"> </w:t>
            </w:r>
            <w:r w:rsidRPr="00493072">
              <w:rPr>
                <w:rFonts w:cs="Arial"/>
                <w:bCs/>
              </w:rPr>
              <w:t>Memenuhi Syarat</w:t>
            </w:r>
            <w:r w:rsidRPr="00A67277">
              <w:rPr>
                <w:rFonts w:cs="Arial"/>
                <w:b/>
              </w:rPr>
              <w:t xml:space="preserve"> </w:t>
            </w:r>
            <w:r w:rsidRPr="00A67277">
              <w:rPr>
                <w:rStyle w:val="shorttext"/>
                <w:rFonts w:cs="Arial"/>
                <w:lang w:val="id-ID"/>
              </w:rPr>
              <w:t>yang berlaku selama jangka waktu operasi dari Jangka Waktu ini.</w:t>
            </w:r>
          </w:p>
        </w:tc>
      </w:tr>
      <w:tr w:rsidR="00862B0B" w:rsidRPr="00A67277" w14:paraId="02CEE538" w14:textId="77777777" w:rsidTr="00862B0B">
        <w:tc>
          <w:tcPr>
            <w:tcW w:w="2270" w:type="pct"/>
          </w:tcPr>
          <w:p w14:paraId="577137F7" w14:textId="00D14D85" w:rsidR="00862B0B" w:rsidRPr="00A67277" w:rsidRDefault="00862B0B" w:rsidP="00862B0B">
            <w:pPr>
              <w:pStyle w:val="Level3"/>
              <w:numPr>
                <w:ilvl w:val="2"/>
                <w:numId w:val="508"/>
              </w:numPr>
              <w:tabs>
                <w:tab w:val="clear" w:pos="1417"/>
                <w:tab w:val="num" w:pos="2846"/>
              </w:tabs>
              <w:spacing w:before="60" w:after="60"/>
              <w:ind w:left="1676" w:hanging="461"/>
            </w:pPr>
            <w:r w:rsidRPr="00A67277">
              <w:t xml:space="preserve">As soon as practicable and in any event within [thirty (30)] Days after receipt of any notice from the affected Party, the GCA and the IBE shall discuss and agree the issues referred to in paragraph (a) above and any ways in which either Party can, if applicable, mitigate the effect of the </w:t>
            </w:r>
            <w:r>
              <w:t xml:space="preserve"> Qualifying</w:t>
            </w:r>
            <w:r w:rsidRPr="00A67277" w:rsidDel="000C0AB9">
              <w:t xml:space="preserve"> </w:t>
            </w:r>
            <w:r w:rsidRPr="00A67277">
              <w:t>Change in Law, including, in relation to the IBE:</w:t>
            </w:r>
          </w:p>
          <w:p w14:paraId="2D7CD234" w14:textId="77777777" w:rsidR="00862B0B" w:rsidRPr="00A67277" w:rsidRDefault="00862B0B" w:rsidP="00862B0B">
            <w:pPr>
              <w:spacing w:before="60" w:after="60"/>
              <w:rPr>
                <w:rFonts w:ascii="Arial" w:hAnsi="Arial" w:cs="Arial"/>
                <w:sz w:val="21"/>
                <w:szCs w:val="21"/>
              </w:rPr>
            </w:pPr>
          </w:p>
        </w:tc>
        <w:tc>
          <w:tcPr>
            <w:tcW w:w="169" w:type="pct"/>
          </w:tcPr>
          <w:p w14:paraId="2898D5B5" w14:textId="77777777" w:rsidR="00862B0B" w:rsidRPr="00A67277" w:rsidRDefault="00862B0B" w:rsidP="00862B0B">
            <w:pPr>
              <w:spacing w:before="60" w:after="60"/>
              <w:rPr>
                <w:rFonts w:ascii="Arial" w:hAnsi="Arial" w:cs="Arial"/>
                <w:sz w:val="21"/>
                <w:szCs w:val="21"/>
              </w:rPr>
            </w:pPr>
          </w:p>
        </w:tc>
        <w:tc>
          <w:tcPr>
            <w:tcW w:w="2561" w:type="pct"/>
            <w:gridSpan w:val="2"/>
          </w:tcPr>
          <w:p w14:paraId="0A4B38CE" w14:textId="2F733AE4" w:rsidR="00862B0B" w:rsidRPr="00A67277" w:rsidRDefault="00862B0B" w:rsidP="00862B0B">
            <w:pPr>
              <w:pStyle w:val="Level3"/>
              <w:numPr>
                <w:ilvl w:val="0"/>
                <w:numId w:val="90"/>
              </w:numPr>
              <w:tabs>
                <w:tab w:val="left" w:pos="2775"/>
                <w:tab w:val="left" w:pos="2865"/>
                <w:tab w:val="left" w:pos="3225"/>
              </w:tabs>
              <w:spacing w:before="60" w:after="60"/>
              <w:ind w:left="1605" w:hanging="495"/>
              <w:rPr>
                <w:rFonts w:cs="Arial"/>
              </w:rPr>
            </w:pPr>
            <w:r w:rsidRPr="00A67277">
              <w:rPr>
                <w:rFonts w:cs="Arial"/>
              </w:rPr>
              <w:t>Sesegera mungkin dan dalam hal apapun dalam jangka waktu [tiga puluh (30)] Hari setelah menerima pemberitahuan dari pihak yang terdampak, PJPK dan BUP harus membahas dan menyetujui masalah yang disebutkan dalam paragraf (a) di atas dan setiap cara yang dapat diambil oleh para Pihak, bila dimungkinkan, untuk mengurangi dampak Perubahan Hukum</w:t>
            </w:r>
            <w:r>
              <w:rPr>
                <w:rFonts w:cs="Arial"/>
              </w:rPr>
              <w:t xml:space="preserve"> </w:t>
            </w:r>
            <w:r>
              <w:rPr>
                <w:rFonts w:cs="Arial"/>
                <w:b/>
              </w:rPr>
              <w:t xml:space="preserve"> </w:t>
            </w:r>
            <w:r w:rsidRPr="00493072">
              <w:rPr>
                <w:rFonts w:cs="Arial"/>
                <w:bCs/>
              </w:rPr>
              <w:t>Memenuhi Syarat</w:t>
            </w:r>
            <w:r w:rsidRPr="00A67277">
              <w:rPr>
                <w:rFonts w:cs="Arial"/>
              </w:rPr>
              <w:t>, termasuk, sehubungan dengan BUP:</w:t>
            </w:r>
          </w:p>
        </w:tc>
      </w:tr>
      <w:tr w:rsidR="00862B0B" w:rsidRPr="00A67277" w14:paraId="5E410D37" w14:textId="77777777" w:rsidTr="00862B0B">
        <w:tc>
          <w:tcPr>
            <w:tcW w:w="2270" w:type="pct"/>
          </w:tcPr>
          <w:p w14:paraId="563C5987" w14:textId="77777777" w:rsidR="00862B0B" w:rsidRPr="00A67277" w:rsidRDefault="00862B0B" w:rsidP="00862B0B">
            <w:pPr>
              <w:pStyle w:val="Level4"/>
              <w:numPr>
                <w:ilvl w:val="0"/>
                <w:numId w:val="92"/>
              </w:numPr>
              <w:spacing w:before="60" w:after="60"/>
              <w:ind w:left="2306"/>
            </w:pPr>
            <w:r w:rsidRPr="00A67277">
              <w:t>providing evidence that the IBE has used reasonable</w:t>
            </w:r>
            <w:r w:rsidRPr="00A67277">
              <w:rPr>
                <w:lang w:val="en-US"/>
              </w:rPr>
              <w:t xml:space="preserve"> endeavors</w:t>
            </w:r>
            <w:r w:rsidRPr="00A67277">
              <w:t xml:space="preserve"> (including (where practicable) the use of competitive quotes) to oblige its Contractors to minimize any increase in costs and maximize any savings or reduction in costs;</w:t>
            </w:r>
          </w:p>
        </w:tc>
        <w:tc>
          <w:tcPr>
            <w:tcW w:w="169" w:type="pct"/>
          </w:tcPr>
          <w:p w14:paraId="6443751F" w14:textId="77777777" w:rsidR="00862B0B" w:rsidRPr="00A67277" w:rsidRDefault="00862B0B" w:rsidP="00862B0B">
            <w:pPr>
              <w:spacing w:before="60" w:after="60"/>
              <w:rPr>
                <w:rFonts w:ascii="Arial" w:hAnsi="Arial" w:cs="Arial"/>
                <w:sz w:val="21"/>
                <w:szCs w:val="21"/>
              </w:rPr>
            </w:pPr>
          </w:p>
        </w:tc>
        <w:tc>
          <w:tcPr>
            <w:tcW w:w="2561" w:type="pct"/>
            <w:gridSpan w:val="2"/>
          </w:tcPr>
          <w:p w14:paraId="0AF11862" w14:textId="77777777" w:rsidR="00862B0B" w:rsidRPr="00A67277" w:rsidRDefault="00862B0B" w:rsidP="00862B0B">
            <w:pPr>
              <w:pStyle w:val="Level4"/>
              <w:numPr>
                <w:ilvl w:val="0"/>
                <w:numId w:val="93"/>
              </w:numPr>
              <w:spacing w:before="60" w:after="60"/>
              <w:ind w:left="2145"/>
              <w:rPr>
                <w:rFonts w:cs="Arial"/>
              </w:rPr>
            </w:pPr>
            <w:r w:rsidRPr="00A67277">
              <w:rPr>
                <w:rFonts w:cs="Arial"/>
              </w:rPr>
              <w:t>memberikan bukti bahwa BUP telah menggunakan usaha yang wajar (termasuk (jika memungkinkan) penggunaan penawaran kompetitif) untuk mewajibkan Kontraktor untuk meminimalkan kenaikan biaya dan memaksimalkan penghematan atau pengurangan biaya;</w:t>
            </w:r>
          </w:p>
        </w:tc>
      </w:tr>
      <w:tr w:rsidR="00862B0B" w:rsidRPr="00A67277" w14:paraId="47A4DE3A" w14:textId="77777777" w:rsidTr="00862B0B">
        <w:tc>
          <w:tcPr>
            <w:tcW w:w="2270" w:type="pct"/>
          </w:tcPr>
          <w:p w14:paraId="00A4D7DE" w14:textId="77777777" w:rsidR="00862B0B" w:rsidRPr="00A67277" w:rsidRDefault="00862B0B" w:rsidP="00862B0B">
            <w:pPr>
              <w:pStyle w:val="Level4"/>
              <w:numPr>
                <w:ilvl w:val="0"/>
                <w:numId w:val="92"/>
              </w:numPr>
              <w:spacing w:before="60" w:after="60"/>
              <w:ind w:left="2306"/>
            </w:pPr>
            <w:r w:rsidRPr="00A67277">
              <w:t>demonstrating how any capital expenditure to be incurred or avoided is being measured in a cost effective manner, including showing that when such expenditure is incurred or would have been incurred, Changes in Law at that time have been taken into account by the IBE;</w:t>
            </w:r>
          </w:p>
        </w:tc>
        <w:tc>
          <w:tcPr>
            <w:tcW w:w="169" w:type="pct"/>
          </w:tcPr>
          <w:p w14:paraId="4EFA0DCE" w14:textId="77777777" w:rsidR="00862B0B" w:rsidRPr="00A67277" w:rsidRDefault="00862B0B" w:rsidP="00862B0B">
            <w:pPr>
              <w:spacing w:before="60" w:after="60"/>
              <w:rPr>
                <w:rFonts w:ascii="Arial" w:hAnsi="Arial" w:cs="Arial"/>
                <w:sz w:val="21"/>
                <w:szCs w:val="21"/>
              </w:rPr>
            </w:pPr>
          </w:p>
        </w:tc>
        <w:tc>
          <w:tcPr>
            <w:tcW w:w="2561" w:type="pct"/>
            <w:gridSpan w:val="2"/>
          </w:tcPr>
          <w:p w14:paraId="69F06D7A" w14:textId="77777777" w:rsidR="00862B0B" w:rsidRPr="00A67277" w:rsidRDefault="00862B0B" w:rsidP="00862B0B">
            <w:pPr>
              <w:pStyle w:val="Level4"/>
              <w:numPr>
                <w:ilvl w:val="0"/>
                <w:numId w:val="93"/>
              </w:numPr>
              <w:spacing w:before="60" w:after="60"/>
              <w:ind w:left="2145"/>
              <w:rPr>
                <w:rFonts w:cs="Arial"/>
              </w:rPr>
            </w:pPr>
            <w:r w:rsidRPr="00A67277">
              <w:rPr>
                <w:rFonts w:cs="Arial"/>
              </w:rPr>
              <w:t>menunjukkan bagaimana pengeluaran modal yang harus dikeluarkan atau dihindari dihitung dengan biaya yang efektif, termasuk menunjukkan bahwa pada saat pengeluaran tersebut terjadi atau akan terjadi, Perubahan Hukum pada saat itu telah dipertimbangkan oleh BUP;</w:t>
            </w:r>
          </w:p>
        </w:tc>
      </w:tr>
      <w:tr w:rsidR="00862B0B" w:rsidRPr="00A67277" w14:paraId="54C852DC" w14:textId="77777777" w:rsidTr="00862B0B">
        <w:tc>
          <w:tcPr>
            <w:tcW w:w="2270" w:type="pct"/>
          </w:tcPr>
          <w:p w14:paraId="1AEE290B" w14:textId="684B8FC0" w:rsidR="00862B0B" w:rsidRPr="00A67277" w:rsidRDefault="00862B0B" w:rsidP="00862B0B">
            <w:pPr>
              <w:pStyle w:val="Level4"/>
              <w:numPr>
                <w:ilvl w:val="0"/>
                <w:numId w:val="92"/>
              </w:numPr>
              <w:spacing w:before="60" w:after="60"/>
              <w:ind w:left="2306"/>
            </w:pPr>
            <w:r w:rsidRPr="00A67277">
              <w:t xml:space="preserve">giving evidence as to how the </w:t>
            </w:r>
            <w:r>
              <w:t xml:space="preserve"> Qualifying</w:t>
            </w:r>
            <w:r w:rsidRPr="00A67277" w:rsidDel="000C0AB9">
              <w:t xml:space="preserve"> </w:t>
            </w:r>
            <w:r w:rsidRPr="00A67277">
              <w:t>Change in Law has affected prices charged by any similar businesses to the Project or its Contractor; and</w:t>
            </w:r>
          </w:p>
        </w:tc>
        <w:tc>
          <w:tcPr>
            <w:tcW w:w="169" w:type="pct"/>
          </w:tcPr>
          <w:p w14:paraId="3DA959E5" w14:textId="77777777" w:rsidR="00862B0B" w:rsidRPr="00A67277" w:rsidRDefault="00862B0B" w:rsidP="00862B0B">
            <w:pPr>
              <w:spacing w:before="60" w:after="60"/>
              <w:rPr>
                <w:rFonts w:ascii="Arial" w:hAnsi="Arial" w:cs="Arial"/>
                <w:sz w:val="21"/>
                <w:szCs w:val="21"/>
              </w:rPr>
            </w:pPr>
          </w:p>
        </w:tc>
        <w:tc>
          <w:tcPr>
            <w:tcW w:w="2561" w:type="pct"/>
            <w:gridSpan w:val="2"/>
          </w:tcPr>
          <w:p w14:paraId="24EA8A4C" w14:textId="35D69822" w:rsidR="00862B0B" w:rsidRPr="00A67277" w:rsidRDefault="00862B0B" w:rsidP="00862B0B">
            <w:pPr>
              <w:pStyle w:val="Level4"/>
              <w:numPr>
                <w:ilvl w:val="0"/>
                <w:numId w:val="93"/>
              </w:numPr>
              <w:spacing w:before="60" w:after="60"/>
              <w:ind w:left="2145"/>
              <w:rPr>
                <w:rFonts w:cs="Arial"/>
              </w:rPr>
            </w:pPr>
            <w:r w:rsidRPr="00A67277">
              <w:rPr>
                <w:rFonts w:cs="Arial"/>
              </w:rPr>
              <w:t xml:space="preserve">memberikan bukti bagaimana Perubahan Hukum Yang </w:t>
            </w:r>
            <w:r>
              <w:rPr>
                <w:rFonts w:cs="Arial"/>
                <w:b/>
              </w:rPr>
              <w:t xml:space="preserve"> </w:t>
            </w:r>
            <w:r w:rsidRPr="00493072">
              <w:rPr>
                <w:rFonts w:cs="Arial"/>
                <w:bCs/>
              </w:rPr>
              <w:t>Memenuhi Syarat</w:t>
            </w:r>
            <w:r w:rsidRPr="00A67277">
              <w:rPr>
                <w:rFonts w:cs="Arial"/>
                <w:b/>
              </w:rPr>
              <w:t xml:space="preserve"> </w:t>
            </w:r>
            <w:r w:rsidRPr="00A67277">
              <w:rPr>
                <w:rFonts w:cs="Arial"/>
              </w:rPr>
              <w:t>telah mempengaruhi harga yang dikenakan oleh kegiatan usaha yang serupa dengan Proyek atau Kontraktornya; dan</w:t>
            </w:r>
          </w:p>
        </w:tc>
      </w:tr>
      <w:tr w:rsidR="00862B0B" w:rsidRPr="00A67277" w14:paraId="0CA42A99" w14:textId="77777777" w:rsidTr="00862B0B">
        <w:tc>
          <w:tcPr>
            <w:tcW w:w="2270" w:type="pct"/>
          </w:tcPr>
          <w:p w14:paraId="241FA62E" w14:textId="378ABC58" w:rsidR="00862B0B" w:rsidRPr="00A67277" w:rsidRDefault="00862B0B" w:rsidP="00862B0B">
            <w:pPr>
              <w:pStyle w:val="Level4"/>
              <w:numPr>
                <w:ilvl w:val="0"/>
                <w:numId w:val="92"/>
              </w:numPr>
              <w:spacing w:before="60" w:after="60"/>
              <w:ind w:left="2306"/>
            </w:pPr>
            <w:r w:rsidRPr="00A67277">
              <w:t xml:space="preserve">demonstrating that any expenditure that has been avoided, which was anticipated to be incurred to replace or maintain the contractual obligations of the IBE that have been affected by the </w:t>
            </w:r>
            <w:r>
              <w:t xml:space="preserve"> Qualifying</w:t>
            </w:r>
            <w:r w:rsidRPr="00A67277" w:rsidDel="000C0AB9">
              <w:t xml:space="preserve"> </w:t>
            </w:r>
            <w:r w:rsidRPr="00A67277">
              <w:t>Change in Law concerned, has been taken into account in the amount which in its opinion has resulted or is required under sub-paragraph (a)(v) or (a)(vi) above,</w:t>
            </w:r>
          </w:p>
        </w:tc>
        <w:tc>
          <w:tcPr>
            <w:tcW w:w="169" w:type="pct"/>
          </w:tcPr>
          <w:p w14:paraId="6D36E788" w14:textId="77777777" w:rsidR="00862B0B" w:rsidRPr="00A67277" w:rsidRDefault="00862B0B" w:rsidP="00862B0B">
            <w:pPr>
              <w:spacing w:before="60" w:after="60"/>
              <w:rPr>
                <w:rFonts w:ascii="Arial" w:hAnsi="Arial" w:cs="Arial"/>
                <w:sz w:val="21"/>
                <w:szCs w:val="21"/>
              </w:rPr>
            </w:pPr>
          </w:p>
        </w:tc>
        <w:tc>
          <w:tcPr>
            <w:tcW w:w="2561" w:type="pct"/>
            <w:gridSpan w:val="2"/>
          </w:tcPr>
          <w:p w14:paraId="6E5D4EC7" w14:textId="60683F8D" w:rsidR="00862B0B" w:rsidRPr="00A67277" w:rsidRDefault="00862B0B" w:rsidP="00862B0B">
            <w:pPr>
              <w:pStyle w:val="Level4"/>
              <w:numPr>
                <w:ilvl w:val="0"/>
                <w:numId w:val="93"/>
              </w:numPr>
              <w:spacing w:before="60" w:after="60"/>
              <w:ind w:left="2145"/>
              <w:rPr>
                <w:rFonts w:cs="Arial"/>
              </w:rPr>
            </w:pPr>
            <w:r w:rsidRPr="00A67277">
              <w:rPr>
                <w:rFonts w:cs="Arial"/>
              </w:rPr>
              <w:t xml:space="preserve">menunjukkan bahwa setiap pengeluaran yang telah dihindari, yang sebelumnya diperkirakan akan dikeluarkan untuk mengganti atau mempertahankan kewajiban kontraktual BUP yang telah terpengaruh oleh Perubahan Hukum Yang </w:t>
            </w:r>
            <w:r>
              <w:rPr>
                <w:rFonts w:cs="Arial"/>
                <w:b/>
              </w:rPr>
              <w:t xml:space="preserve"> </w:t>
            </w:r>
            <w:r w:rsidRPr="00493072">
              <w:rPr>
                <w:rFonts w:cs="Arial"/>
                <w:bCs/>
              </w:rPr>
              <w:t>Memenuhi Syarat</w:t>
            </w:r>
            <w:r w:rsidRPr="00A67277">
              <w:rPr>
                <w:rFonts w:cs="Arial"/>
                <w:b/>
              </w:rPr>
              <w:t xml:space="preserve"> </w:t>
            </w:r>
            <w:r w:rsidRPr="00A67277">
              <w:rPr>
                <w:rFonts w:cs="Arial"/>
              </w:rPr>
              <w:t>yang bersangkutan, telah diperhitungkan dalam jumlah yang menurut pendapatnya telah dihasilkan atau disyaratkan menurut sub-paragraf (a)(v) atau (a) (vi) di atas.</w:t>
            </w:r>
          </w:p>
        </w:tc>
      </w:tr>
      <w:tr w:rsidR="00862B0B" w:rsidRPr="00A67277" w14:paraId="72E855EA" w14:textId="77777777" w:rsidTr="00862B0B">
        <w:tc>
          <w:tcPr>
            <w:tcW w:w="2270" w:type="pct"/>
          </w:tcPr>
          <w:p w14:paraId="1102DE44" w14:textId="1A5AFE49" w:rsidR="00862B0B" w:rsidRPr="00A67277" w:rsidRDefault="00862B0B" w:rsidP="00862B0B">
            <w:pPr>
              <w:pStyle w:val="Level3"/>
              <w:spacing w:before="60" w:after="60"/>
              <w:ind w:left="1676"/>
            </w:pPr>
            <w:r w:rsidRPr="00A67277">
              <w:t xml:space="preserve">provided that if the Parties cannot agree on the effects of the </w:t>
            </w:r>
            <w:r>
              <w:t xml:space="preserve"> Qualifying</w:t>
            </w:r>
            <w:r w:rsidRPr="00A67277" w:rsidDel="000C0AB9">
              <w:t xml:space="preserve"> </w:t>
            </w:r>
            <w:r w:rsidRPr="00A67277">
              <w:t>Change in Law, the matter shall be referred for determination in accordance with Clause 28 (</w:t>
            </w:r>
            <w:r w:rsidRPr="00A67277">
              <w:rPr>
                <w:i/>
              </w:rPr>
              <w:t>Settlement of Dispute</w:t>
            </w:r>
            <w:r w:rsidRPr="00A67277">
              <w:t>).</w:t>
            </w:r>
          </w:p>
        </w:tc>
        <w:tc>
          <w:tcPr>
            <w:tcW w:w="169" w:type="pct"/>
          </w:tcPr>
          <w:p w14:paraId="36159066" w14:textId="77777777" w:rsidR="00862B0B" w:rsidRPr="00A67277" w:rsidRDefault="00862B0B" w:rsidP="00862B0B">
            <w:pPr>
              <w:spacing w:before="60" w:after="60"/>
              <w:rPr>
                <w:rFonts w:ascii="Arial" w:hAnsi="Arial" w:cs="Arial"/>
                <w:sz w:val="21"/>
                <w:szCs w:val="21"/>
              </w:rPr>
            </w:pPr>
          </w:p>
        </w:tc>
        <w:tc>
          <w:tcPr>
            <w:tcW w:w="2561" w:type="pct"/>
            <w:gridSpan w:val="2"/>
          </w:tcPr>
          <w:p w14:paraId="74516DA5" w14:textId="5554946C" w:rsidR="00862B0B" w:rsidRPr="00A67277" w:rsidRDefault="00862B0B" w:rsidP="00862B0B">
            <w:pPr>
              <w:pStyle w:val="Level3"/>
              <w:spacing w:before="60" w:after="60"/>
              <w:ind w:left="1515"/>
              <w:rPr>
                <w:rFonts w:cs="Arial"/>
              </w:rPr>
            </w:pPr>
            <w:r w:rsidRPr="00A67277">
              <w:rPr>
                <w:rFonts w:cs="Arial"/>
              </w:rPr>
              <w:t xml:space="preserve">dengan ketentuan jika Para Pihak tidak dapat menyetujui dampak Perubahan Hukum Yang </w:t>
            </w:r>
            <w:r>
              <w:rPr>
                <w:rFonts w:cs="Arial"/>
                <w:b/>
              </w:rPr>
              <w:t xml:space="preserve"> </w:t>
            </w:r>
            <w:r w:rsidRPr="00493072">
              <w:rPr>
                <w:rFonts w:cs="Arial"/>
                <w:bCs/>
              </w:rPr>
              <w:t>Memenuhi Syarat</w:t>
            </w:r>
            <w:r w:rsidRPr="00A67277">
              <w:rPr>
                <w:rFonts w:cs="Arial"/>
                <w:b/>
              </w:rPr>
              <w:t xml:space="preserve"> </w:t>
            </w:r>
            <w:r w:rsidRPr="00A67277">
              <w:rPr>
                <w:rFonts w:cs="Arial"/>
              </w:rPr>
              <w:t>tersebut, maka masalah tersebut harus dirujuk untuk diselesaikan sesuai dengan Pasal 28 (</w:t>
            </w:r>
            <w:r w:rsidRPr="00A67277">
              <w:rPr>
                <w:rFonts w:cs="Arial"/>
                <w:i/>
              </w:rPr>
              <w:t>Penyelesaian Sengketa</w:t>
            </w:r>
            <w:r w:rsidRPr="00A67277">
              <w:rPr>
                <w:rFonts w:cs="Arial"/>
              </w:rPr>
              <w:t>).</w:t>
            </w:r>
          </w:p>
        </w:tc>
      </w:tr>
      <w:tr w:rsidR="00862B0B" w:rsidRPr="00A67277" w14:paraId="3DBA1600" w14:textId="77777777" w:rsidTr="00862B0B">
        <w:tc>
          <w:tcPr>
            <w:tcW w:w="2270" w:type="pct"/>
          </w:tcPr>
          <w:p w14:paraId="5634DF54" w14:textId="77777777" w:rsidR="00862B0B" w:rsidRPr="00A67277" w:rsidRDefault="00862B0B" w:rsidP="00862B0B">
            <w:pPr>
              <w:pStyle w:val="Level3"/>
              <w:numPr>
                <w:ilvl w:val="2"/>
                <w:numId w:val="508"/>
              </w:numPr>
              <w:tabs>
                <w:tab w:val="clear" w:pos="1417"/>
                <w:tab w:val="num" w:pos="2846"/>
              </w:tabs>
              <w:spacing w:before="60" w:after="60"/>
              <w:ind w:left="1676" w:hanging="461"/>
            </w:pPr>
            <w:r w:rsidRPr="00A67277">
              <w:t>If the Parties have followed the procedure set out under paragraphs (1) and (2) above, then:</w:t>
            </w:r>
          </w:p>
          <w:p w14:paraId="456873F4" w14:textId="77777777" w:rsidR="00862B0B" w:rsidRPr="00A67277" w:rsidRDefault="00862B0B" w:rsidP="00862B0B">
            <w:pPr>
              <w:spacing w:before="60" w:after="60"/>
              <w:jc w:val="right"/>
              <w:rPr>
                <w:rFonts w:ascii="Arial" w:hAnsi="Arial" w:cs="Arial"/>
                <w:sz w:val="21"/>
                <w:szCs w:val="21"/>
              </w:rPr>
            </w:pPr>
          </w:p>
        </w:tc>
        <w:tc>
          <w:tcPr>
            <w:tcW w:w="169" w:type="pct"/>
          </w:tcPr>
          <w:p w14:paraId="53353AB2" w14:textId="77777777" w:rsidR="00862B0B" w:rsidRPr="00A67277" w:rsidRDefault="00862B0B" w:rsidP="00862B0B">
            <w:pPr>
              <w:spacing w:before="60" w:after="60"/>
              <w:rPr>
                <w:rFonts w:ascii="Arial" w:hAnsi="Arial" w:cs="Arial"/>
                <w:sz w:val="21"/>
                <w:szCs w:val="21"/>
              </w:rPr>
            </w:pPr>
          </w:p>
        </w:tc>
        <w:tc>
          <w:tcPr>
            <w:tcW w:w="2561" w:type="pct"/>
            <w:gridSpan w:val="2"/>
          </w:tcPr>
          <w:p w14:paraId="3C199D73" w14:textId="77777777" w:rsidR="00862B0B" w:rsidRPr="00A67277" w:rsidRDefault="00862B0B" w:rsidP="00862B0B">
            <w:pPr>
              <w:pStyle w:val="Level3"/>
              <w:numPr>
                <w:ilvl w:val="0"/>
                <w:numId w:val="90"/>
              </w:numPr>
              <w:tabs>
                <w:tab w:val="left" w:pos="2775"/>
                <w:tab w:val="left" w:pos="2865"/>
                <w:tab w:val="left" w:pos="3225"/>
              </w:tabs>
              <w:spacing w:before="60" w:after="60"/>
              <w:ind w:left="1605" w:hanging="495"/>
              <w:rPr>
                <w:rFonts w:cs="Arial"/>
              </w:rPr>
            </w:pPr>
            <w:r w:rsidRPr="00A67277">
              <w:rPr>
                <w:rFonts w:cs="Arial"/>
              </w:rPr>
              <w:t>Jika Para Pihak telah mengikuti prosedur yang ditetapkan berdasarkan paragraf (1) dan (2) di atas, maka:</w:t>
            </w:r>
          </w:p>
        </w:tc>
      </w:tr>
      <w:tr w:rsidR="00862B0B" w:rsidRPr="00A67277" w14:paraId="189A470A" w14:textId="77777777" w:rsidTr="00862B0B">
        <w:tc>
          <w:tcPr>
            <w:tcW w:w="2270" w:type="pct"/>
          </w:tcPr>
          <w:p w14:paraId="26EAD3F2" w14:textId="28CEC91B" w:rsidR="00862B0B" w:rsidRPr="00A67277" w:rsidRDefault="00862B0B" w:rsidP="00862B0B">
            <w:pPr>
              <w:pStyle w:val="Level4"/>
              <w:numPr>
                <w:ilvl w:val="0"/>
                <w:numId w:val="94"/>
              </w:numPr>
              <w:spacing w:before="60" w:after="60"/>
              <w:ind w:left="2216"/>
            </w:pPr>
            <w:r w:rsidRPr="00A67277">
              <w:t xml:space="preserve">the affected Party shall be excused from the performance of its obligations under the Agreement to the extent it is prevented, hindered or delayed in such performance by reason of the </w:t>
            </w:r>
            <w:r>
              <w:t xml:space="preserve"> Qualifying</w:t>
            </w:r>
            <w:r w:rsidRPr="00A67277" w:rsidDel="000C0AB9">
              <w:t xml:space="preserve"> </w:t>
            </w:r>
            <w:r w:rsidRPr="00A67277">
              <w:t>Change in Law;</w:t>
            </w:r>
          </w:p>
          <w:p w14:paraId="19D1AB81" w14:textId="77777777" w:rsidR="00862B0B" w:rsidRPr="00A67277" w:rsidRDefault="00862B0B" w:rsidP="00862B0B">
            <w:pPr>
              <w:spacing w:before="60" w:after="60"/>
              <w:rPr>
                <w:rFonts w:ascii="Arial" w:hAnsi="Arial" w:cs="Arial"/>
                <w:sz w:val="21"/>
                <w:szCs w:val="21"/>
              </w:rPr>
            </w:pPr>
          </w:p>
        </w:tc>
        <w:tc>
          <w:tcPr>
            <w:tcW w:w="169" w:type="pct"/>
          </w:tcPr>
          <w:p w14:paraId="1BAD3D5F" w14:textId="77777777" w:rsidR="00862B0B" w:rsidRPr="00A67277" w:rsidRDefault="00862B0B" w:rsidP="00862B0B">
            <w:pPr>
              <w:spacing w:before="60" w:after="60"/>
              <w:rPr>
                <w:rFonts w:ascii="Arial" w:hAnsi="Arial" w:cs="Arial"/>
                <w:sz w:val="21"/>
                <w:szCs w:val="21"/>
              </w:rPr>
            </w:pPr>
          </w:p>
        </w:tc>
        <w:tc>
          <w:tcPr>
            <w:tcW w:w="2561" w:type="pct"/>
            <w:gridSpan w:val="2"/>
          </w:tcPr>
          <w:p w14:paraId="60182041" w14:textId="2005CA6E" w:rsidR="00862B0B" w:rsidRPr="00A67277" w:rsidRDefault="00862B0B" w:rsidP="00862B0B">
            <w:pPr>
              <w:pStyle w:val="Level4"/>
              <w:numPr>
                <w:ilvl w:val="0"/>
                <w:numId w:val="95"/>
              </w:numPr>
              <w:spacing w:before="60" w:after="60"/>
              <w:ind w:left="2145"/>
              <w:rPr>
                <w:rFonts w:cs="Arial"/>
              </w:rPr>
            </w:pPr>
            <w:r w:rsidRPr="00A67277">
              <w:rPr>
                <w:rFonts w:cs="Arial"/>
              </w:rPr>
              <w:t xml:space="preserve">pihak terdampak akan dibebaskan dari pelaksanaan kewajibannya berdasarkan Perjanjian sepanjang hal tersebut </w:t>
            </w:r>
            <w:r w:rsidRPr="00A67277">
              <w:rPr>
                <w:rFonts w:cs="Arial"/>
                <w:lang w:val="en-US" w:eastAsia="en-US"/>
              </w:rPr>
              <w:t xml:space="preserve">mencegah, menghindarkan atau menunda BUP dalam pelaksanaan kewajiban tersebut karena </w:t>
            </w:r>
            <w:r w:rsidRPr="00A67277">
              <w:rPr>
                <w:rFonts w:cs="Arial"/>
              </w:rPr>
              <w:t xml:space="preserve">Perubahan Hukum Yang </w:t>
            </w:r>
            <w:r w:rsidRPr="006E5E36">
              <w:rPr>
                <w:rFonts w:cs="Arial"/>
                <w:bCs/>
              </w:rPr>
              <w:t xml:space="preserve"> Memenuhi Syarat</w:t>
            </w:r>
            <w:r w:rsidRPr="00A67277" w:rsidDel="000C0AB9">
              <w:rPr>
                <w:rFonts w:cs="Arial"/>
              </w:rPr>
              <w:t xml:space="preserve"> </w:t>
            </w:r>
            <w:r w:rsidRPr="00A67277">
              <w:rPr>
                <w:rFonts w:cs="Arial"/>
              </w:rPr>
              <w:t xml:space="preserve">; </w:t>
            </w:r>
          </w:p>
        </w:tc>
      </w:tr>
      <w:tr w:rsidR="00862B0B" w:rsidRPr="00A67277" w14:paraId="4B0F41D3" w14:textId="77777777" w:rsidTr="00862B0B">
        <w:tc>
          <w:tcPr>
            <w:tcW w:w="2270" w:type="pct"/>
          </w:tcPr>
          <w:p w14:paraId="71A413E9" w14:textId="6E4A7A39" w:rsidR="00862B0B" w:rsidRPr="00A67277" w:rsidRDefault="00862B0B" w:rsidP="00862B0B">
            <w:pPr>
              <w:pStyle w:val="Level4"/>
              <w:numPr>
                <w:ilvl w:val="0"/>
                <w:numId w:val="94"/>
              </w:numPr>
              <w:spacing w:before="60" w:after="60"/>
              <w:ind w:left="2216"/>
            </w:pPr>
            <w:r w:rsidRPr="00A67277">
              <w:t xml:space="preserve">if the </w:t>
            </w:r>
            <w:r>
              <w:t xml:space="preserve"> Qualifying</w:t>
            </w:r>
            <w:r w:rsidRPr="00A67277" w:rsidDel="000C0AB9">
              <w:t xml:space="preserve"> </w:t>
            </w:r>
            <w:r w:rsidRPr="00A67277">
              <w:t xml:space="preserve">Change in Law has occurred before the Commercial Operation Date, the Scheduled Commercial Operation Date shall be postponed to take into account the effect of such </w:t>
            </w:r>
            <w:r>
              <w:t xml:space="preserve"> Qualifying</w:t>
            </w:r>
            <w:r w:rsidRPr="00A67277" w:rsidDel="000C0AB9">
              <w:t xml:space="preserve"> </w:t>
            </w:r>
            <w:r w:rsidRPr="00A67277">
              <w:t>Change in Law; and</w:t>
            </w:r>
          </w:p>
          <w:p w14:paraId="3E9CC436" w14:textId="77777777" w:rsidR="00862B0B" w:rsidRPr="00A67277" w:rsidRDefault="00862B0B" w:rsidP="00862B0B">
            <w:pPr>
              <w:spacing w:before="60" w:after="60"/>
              <w:rPr>
                <w:rFonts w:ascii="Arial" w:hAnsi="Arial" w:cs="Arial"/>
                <w:sz w:val="21"/>
                <w:szCs w:val="21"/>
              </w:rPr>
            </w:pPr>
          </w:p>
        </w:tc>
        <w:tc>
          <w:tcPr>
            <w:tcW w:w="169" w:type="pct"/>
          </w:tcPr>
          <w:p w14:paraId="1F201B1E" w14:textId="77777777" w:rsidR="00862B0B" w:rsidRPr="00A67277" w:rsidRDefault="00862B0B" w:rsidP="00862B0B">
            <w:pPr>
              <w:spacing w:before="60" w:after="60"/>
              <w:rPr>
                <w:rFonts w:ascii="Arial" w:hAnsi="Arial" w:cs="Arial"/>
                <w:sz w:val="21"/>
                <w:szCs w:val="21"/>
              </w:rPr>
            </w:pPr>
          </w:p>
        </w:tc>
        <w:tc>
          <w:tcPr>
            <w:tcW w:w="2561" w:type="pct"/>
            <w:gridSpan w:val="2"/>
          </w:tcPr>
          <w:p w14:paraId="2DBD1D06" w14:textId="3C27E98E" w:rsidR="00862B0B" w:rsidRPr="00A67277" w:rsidRDefault="00862B0B" w:rsidP="00862B0B">
            <w:pPr>
              <w:pStyle w:val="Level4"/>
              <w:numPr>
                <w:ilvl w:val="0"/>
                <w:numId w:val="95"/>
              </w:numPr>
              <w:spacing w:before="60" w:after="60"/>
              <w:ind w:left="2145"/>
              <w:rPr>
                <w:rFonts w:cs="Arial"/>
              </w:rPr>
            </w:pPr>
            <w:r w:rsidRPr="00A67277">
              <w:rPr>
                <w:rFonts w:cs="Arial"/>
              </w:rPr>
              <w:t xml:space="preserve">jika Perubahan Hukum Yang </w:t>
            </w:r>
            <w:r w:rsidRPr="006E5E36">
              <w:rPr>
                <w:rFonts w:cs="Arial"/>
                <w:bCs/>
              </w:rPr>
              <w:t xml:space="preserve"> Memenuhi Syarat</w:t>
            </w:r>
            <w:r w:rsidRPr="00A67277" w:rsidDel="000C0AB9">
              <w:rPr>
                <w:rFonts w:cs="Arial"/>
              </w:rPr>
              <w:t xml:space="preserve"> </w:t>
            </w:r>
            <w:r w:rsidRPr="00A67277">
              <w:rPr>
                <w:rFonts w:cs="Arial"/>
              </w:rPr>
              <w:t xml:space="preserve">telah terjadi sebelum Tanggal Operasi Komersial, Tanggal Operasi Komersial Yang Dijadwalkan akan ditunda untuk mempertimbangkan dampak Perubahan Hukum Yang </w:t>
            </w:r>
            <w:r>
              <w:rPr>
                <w:rFonts w:cs="Arial"/>
              </w:rPr>
              <w:t>Memenuhi Syarat</w:t>
            </w:r>
            <w:r w:rsidRPr="00A67277">
              <w:rPr>
                <w:rFonts w:cs="Arial"/>
              </w:rPr>
              <w:t xml:space="preserve"> tersebut; dan</w:t>
            </w:r>
          </w:p>
        </w:tc>
      </w:tr>
      <w:tr w:rsidR="00862B0B" w:rsidRPr="00A67277" w14:paraId="542F23B0" w14:textId="77777777" w:rsidTr="00862B0B">
        <w:tc>
          <w:tcPr>
            <w:tcW w:w="2270" w:type="pct"/>
          </w:tcPr>
          <w:p w14:paraId="235D22E8" w14:textId="0E71100B" w:rsidR="00862B0B" w:rsidRPr="00A67277" w:rsidRDefault="00862B0B" w:rsidP="00862B0B">
            <w:pPr>
              <w:pStyle w:val="Level4"/>
              <w:numPr>
                <w:ilvl w:val="0"/>
                <w:numId w:val="94"/>
              </w:numPr>
              <w:spacing w:before="60" w:after="60"/>
              <w:ind w:left="2216"/>
            </w:pPr>
            <w:r w:rsidRPr="00A67277">
              <w:t xml:space="preserve">the Parties shall agree on the form of compensation in accordance with Clause 21.3 (Compensation for Political Event), provided that no compensation shall be made in relation to a </w:t>
            </w:r>
            <w:r>
              <w:t xml:space="preserve"> Qualifying</w:t>
            </w:r>
            <w:r w:rsidRPr="00A67277" w:rsidDel="000C0AB9">
              <w:t xml:space="preserve"> </w:t>
            </w:r>
            <w:r w:rsidRPr="00A67277">
              <w:t xml:space="preserve">Change in Law under this clause unless the claiming Party can demonstrate that the aggregate impact of all </w:t>
            </w:r>
            <w:r>
              <w:t xml:space="preserve"> Qualifying</w:t>
            </w:r>
            <w:r w:rsidRPr="00A67277" w:rsidDel="000C0AB9">
              <w:t xml:space="preserve"> </w:t>
            </w:r>
            <w:r w:rsidRPr="00A67277">
              <w:t xml:space="preserve">Change in Laws that have occurred </w:t>
            </w:r>
            <w:r w:rsidRPr="00A67277">
              <w:rPr>
                <w:rFonts w:hint="eastAsia"/>
              </w:rPr>
              <w:t xml:space="preserve">exceed </w:t>
            </w:r>
            <w:r w:rsidRPr="00A67277">
              <w:t>[IDR 2,000,000,000 (two billion Rupiah) through the Term</w:t>
            </w:r>
            <w:r w:rsidRPr="00A67277">
              <w:rPr>
                <w:rFonts w:hint="eastAsia"/>
              </w:rPr>
              <w:t>].</w:t>
            </w:r>
            <w:r w:rsidRPr="00A67277">
              <w:rPr>
                <w:vertAlign w:val="superscript"/>
              </w:rPr>
              <w:footnoteReference w:id="15"/>
            </w:r>
          </w:p>
          <w:p w14:paraId="4710DD4C" w14:textId="77777777" w:rsidR="00862B0B" w:rsidRPr="00A67277" w:rsidRDefault="00862B0B" w:rsidP="00862B0B">
            <w:pPr>
              <w:spacing w:before="60" w:after="60"/>
              <w:rPr>
                <w:rFonts w:ascii="Arial" w:hAnsi="Arial" w:cs="Arial"/>
                <w:sz w:val="21"/>
                <w:szCs w:val="21"/>
              </w:rPr>
            </w:pPr>
          </w:p>
        </w:tc>
        <w:tc>
          <w:tcPr>
            <w:tcW w:w="169" w:type="pct"/>
          </w:tcPr>
          <w:p w14:paraId="6D067D3B" w14:textId="77777777" w:rsidR="00862B0B" w:rsidRPr="00A67277" w:rsidRDefault="00862B0B" w:rsidP="00862B0B">
            <w:pPr>
              <w:spacing w:before="60" w:after="60"/>
              <w:rPr>
                <w:rFonts w:ascii="Arial" w:hAnsi="Arial" w:cs="Arial"/>
                <w:sz w:val="21"/>
                <w:szCs w:val="21"/>
              </w:rPr>
            </w:pPr>
          </w:p>
        </w:tc>
        <w:tc>
          <w:tcPr>
            <w:tcW w:w="2561" w:type="pct"/>
            <w:gridSpan w:val="2"/>
          </w:tcPr>
          <w:p w14:paraId="2CFF2B5C" w14:textId="516B69C1" w:rsidR="00862B0B" w:rsidRPr="00A67277" w:rsidRDefault="00862B0B" w:rsidP="00862B0B">
            <w:pPr>
              <w:pStyle w:val="Level4"/>
              <w:numPr>
                <w:ilvl w:val="0"/>
                <w:numId w:val="95"/>
              </w:numPr>
              <w:spacing w:before="60" w:after="60"/>
              <w:ind w:left="2145"/>
              <w:rPr>
                <w:rFonts w:cs="Arial"/>
              </w:rPr>
            </w:pPr>
            <w:r w:rsidRPr="00A67277">
              <w:rPr>
                <w:rFonts w:cs="Arial"/>
              </w:rPr>
              <w:t xml:space="preserve">Para Pihak harus menyetujui bentuk kompensasi sesuai dengan Pasal 21.3 (Kompensasi Atas Peristiwa Politik), dengan ketentuan bahwa tidak ada kompensasi yang harus dilakukan sehubungan dengan Perubahan Hukum Yang </w:t>
            </w:r>
            <w:r w:rsidRPr="006E5E36">
              <w:rPr>
                <w:rFonts w:cs="Arial"/>
                <w:bCs/>
              </w:rPr>
              <w:t xml:space="preserve"> Memenuhi Syarat</w:t>
            </w:r>
            <w:r w:rsidRPr="00A67277" w:rsidDel="000C0AB9">
              <w:rPr>
                <w:rFonts w:cs="Arial"/>
              </w:rPr>
              <w:t xml:space="preserve"> </w:t>
            </w:r>
            <w:r w:rsidRPr="00A67277">
              <w:rPr>
                <w:rFonts w:cs="Arial"/>
              </w:rPr>
              <w:t xml:space="preserve">berdasarkan pasal ini kecuali Pihak yang menggugat dapat menunjukkan bahwa dampak keseluruhan dari semua Perubahan Hukum Yang </w:t>
            </w:r>
            <w:r w:rsidRPr="006E5E36">
              <w:rPr>
                <w:rFonts w:cs="Arial"/>
                <w:bCs/>
              </w:rPr>
              <w:t xml:space="preserve"> Memenuhi Syarat</w:t>
            </w:r>
            <w:r w:rsidRPr="00A67277" w:rsidDel="000C0AB9">
              <w:rPr>
                <w:rFonts w:cs="Arial"/>
              </w:rPr>
              <w:t xml:space="preserve"> </w:t>
            </w:r>
            <w:r w:rsidRPr="00A67277">
              <w:rPr>
                <w:rFonts w:cs="Arial"/>
              </w:rPr>
              <w:t>yang telah terjadi melebihi [Rp. 2.000.000.000 (dua miliar Rupiah)] sepanjang Jangka Waktu</w:t>
            </w:r>
            <w:r w:rsidRPr="00A67277">
              <w:rPr>
                <w:rFonts w:cs="Arial"/>
                <w:vertAlign w:val="superscript"/>
              </w:rPr>
              <w:t>.</w:t>
            </w:r>
            <w:r w:rsidRPr="00A67277">
              <w:rPr>
                <w:rFonts w:cs="Arial"/>
                <w:vertAlign w:val="superscript"/>
              </w:rPr>
              <w:footnoteReference w:id="16"/>
            </w:r>
          </w:p>
        </w:tc>
      </w:tr>
      <w:tr w:rsidR="00862B0B" w:rsidRPr="00A67277" w14:paraId="001B1DDA" w14:textId="77777777" w:rsidTr="00862B0B">
        <w:tc>
          <w:tcPr>
            <w:tcW w:w="2270" w:type="pct"/>
          </w:tcPr>
          <w:p w14:paraId="2F790AC7" w14:textId="77777777" w:rsidR="00862B0B" w:rsidRPr="00A67277" w:rsidRDefault="00862B0B" w:rsidP="00862B0B">
            <w:pPr>
              <w:pStyle w:val="Heading2"/>
              <w:numPr>
                <w:ilvl w:val="0"/>
                <w:numId w:val="80"/>
              </w:numPr>
              <w:spacing w:before="60" w:after="60"/>
              <w:ind w:left="1136" w:hanging="664"/>
              <w:outlineLvl w:val="1"/>
              <w:rPr>
                <w:color w:val="auto"/>
              </w:rPr>
            </w:pPr>
            <w:r w:rsidRPr="00A67277">
              <w:rPr>
                <w:rFonts w:ascii="Arial" w:hAnsi="Arial" w:cs="Arial"/>
                <w:b/>
                <w:color w:val="auto"/>
                <w:sz w:val="21"/>
                <w:szCs w:val="21"/>
              </w:rPr>
              <w:t>Compensation for Political Event</w:t>
            </w:r>
          </w:p>
        </w:tc>
        <w:tc>
          <w:tcPr>
            <w:tcW w:w="169" w:type="pct"/>
          </w:tcPr>
          <w:p w14:paraId="519F4717" w14:textId="77777777" w:rsidR="00862B0B" w:rsidRPr="00A67277" w:rsidRDefault="00862B0B" w:rsidP="00862B0B">
            <w:pPr>
              <w:spacing w:before="60" w:after="60"/>
              <w:rPr>
                <w:rFonts w:ascii="Arial" w:hAnsi="Arial" w:cs="Arial"/>
                <w:sz w:val="21"/>
                <w:szCs w:val="21"/>
              </w:rPr>
            </w:pPr>
          </w:p>
        </w:tc>
        <w:tc>
          <w:tcPr>
            <w:tcW w:w="2561" w:type="pct"/>
            <w:gridSpan w:val="2"/>
          </w:tcPr>
          <w:p w14:paraId="66770C2E" w14:textId="77777777" w:rsidR="00862B0B" w:rsidRPr="00A67277" w:rsidRDefault="00862B0B" w:rsidP="00862B0B">
            <w:pPr>
              <w:pStyle w:val="Heading2"/>
              <w:keepLines w:val="0"/>
              <w:numPr>
                <w:ilvl w:val="0"/>
                <w:numId w:val="15"/>
              </w:numPr>
              <w:tabs>
                <w:tab w:val="num" w:pos="889"/>
              </w:tabs>
              <w:spacing w:before="60" w:after="60" w:line="264" w:lineRule="auto"/>
              <w:ind w:left="1100" w:hanging="630"/>
              <w:jc w:val="both"/>
              <w:outlineLvl w:val="1"/>
              <w:rPr>
                <w:rFonts w:ascii="Arial" w:hAnsi="Arial" w:cs="Arial"/>
                <w:color w:val="auto"/>
                <w:sz w:val="21"/>
                <w:szCs w:val="21"/>
              </w:rPr>
            </w:pPr>
            <w:r w:rsidRPr="00A67277">
              <w:rPr>
                <w:rFonts w:ascii="Arial" w:hAnsi="Arial" w:cs="Arial"/>
                <w:b/>
                <w:color w:val="auto"/>
                <w:sz w:val="21"/>
                <w:szCs w:val="21"/>
              </w:rPr>
              <w:t>Kompensasi Atas Peristiwa Politik</w:t>
            </w:r>
          </w:p>
        </w:tc>
      </w:tr>
      <w:tr w:rsidR="00862B0B" w:rsidRPr="00A67277" w14:paraId="5D2C006E" w14:textId="77777777" w:rsidTr="00862B0B">
        <w:tc>
          <w:tcPr>
            <w:tcW w:w="2270" w:type="pct"/>
          </w:tcPr>
          <w:p w14:paraId="2B54DF35" w14:textId="20C5034E" w:rsidR="00862B0B" w:rsidRPr="00A67277" w:rsidRDefault="00862B0B" w:rsidP="00862B0B">
            <w:pPr>
              <w:pStyle w:val="Level3"/>
              <w:numPr>
                <w:ilvl w:val="2"/>
                <w:numId w:val="509"/>
              </w:numPr>
              <w:tabs>
                <w:tab w:val="clear" w:pos="1417"/>
              </w:tabs>
              <w:spacing w:before="60" w:after="60"/>
              <w:ind w:left="1581" w:hanging="425"/>
            </w:pPr>
            <w:r w:rsidRPr="00A67277">
              <w:t>Upon occurrence of Political Event and subject to Clause 21.2(c)(iii) (</w:t>
            </w:r>
            <w:r>
              <w:t>Qualifying</w:t>
            </w:r>
            <w:r w:rsidRPr="00A67277" w:rsidDel="000C0AB9">
              <w:rPr>
                <w:i/>
              </w:rPr>
              <w:t xml:space="preserve"> </w:t>
            </w:r>
            <w:r w:rsidRPr="00A67277">
              <w:rPr>
                <w:i/>
              </w:rPr>
              <w:t>Change in Law</w:t>
            </w:r>
            <w:r w:rsidRPr="00A67277">
              <w:t xml:space="preserve">), the Parties shall negotiate in good faith to agree on the method of compensation appropriate, which may include: </w:t>
            </w:r>
          </w:p>
          <w:p w14:paraId="7203B1C5" w14:textId="77777777" w:rsidR="00862B0B" w:rsidRPr="00A67277" w:rsidRDefault="00862B0B" w:rsidP="00862B0B">
            <w:pPr>
              <w:spacing w:before="60" w:after="60"/>
              <w:rPr>
                <w:rFonts w:ascii="Arial" w:hAnsi="Arial" w:cs="Arial"/>
                <w:sz w:val="21"/>
                <w:szCs w:val="21"/>
              </w:rPr>
            </w:pPr>
          </w:p>
        </w:tc>
        <w:tc>
          <w:tcPr>
            <w:tcW w:w="169" w:type="pct"/>
          </w:tcPr>
          <w:p w14:paraId="12C7BFAA" w14:textId="77777777" w:rsidR="00862B0B" w:rsidRPr="00A67277" w:rsidRDefault="00862B0B" w:rsidP="00862B0B">
            <w:pPr>
              <w:spacing w:before="60" w:after="60"/>
              <w:rPr>
                <w:rFonts w:ascii="Arial" w:hAnsi="Arial" w:cs="Arial"/>
                <w:sz w:val="21"/>
                <w:szCs w:val="21"/>
              </w:rPr>
            </w:pPr>
          </w:p>
        </w:tc>
        <w:tc>
          <w:tcPr>
            <w:tcW w:w="2561" w:type="pct"/>
            <w:gridSpan w:val="2"/>
          </w:tcPr>
          <w:p w14:paraId="1410A238" w14:textId="6AFE77F1" w:rsidR="00862B0B" w:rsidRPr="00A67277" w:rsidRDefault="00862B0B" w:rsidP="00862B0B">
            <w:pPr>
              <w:pStyle w:val="Level3"/>
              <w:numPr>
                <w:ilvl w:val="0"/>
                <w:numId w:val="96"/>
              </w:numPr>
              <w:tabs>
                <w:tab w:val="left" w:pos="3045"/>
              </w:tabs>
              <w:spacing w:before="60" w:after="60"/>
              <w:ind w:left="1695" w:hanging="585"/>
              <w:rPr>
                <w:rFonts w:cs="Arial"/>
              </w:rPr>
            </w:pPr>
            <w:r w:rsidRPr="00A67277">
              <w:rPr>
                <w:rFonts w:cs="Arial"/>
              </w:rPr>
              <w:t>Setelah terjadinya Peristiwa Politik dan tunduk pada Pasal 21.2(c)(iii) (</w:t>
            </w:r>
            <w:r w:rsidRPr="00A67277">
              <w:rPr>
                <w:rFonts w:cs="Arial"/>
                <w:i/>
              </w:rPr>
              <w:t xml:space="preserve">Perubahan Hukum Yang </w:t>
            </w:r>
            <w:r w:rsidRPr="006E5E36">
              <w:rPr>
                <w:rFonts w:cs="Arial"/>
                <w:bCs/>
              </w:rPr>
              <w:t xml:space="preserve"> Memenuhi Syarat</w:t>
            </w:r>
            <w:r w:rsidRPr="00A67277">
              <w:rPr>
                <w:rFonts w:cs="Arial"/>
              </w:rPr>
              <w:t xml:space="preserve">), Para Pihak harus bernegosiasi dengan itikad baik untuk menyetujui metode kompensasi yang sesuai, yang dapat berbentuk: </w:t>
            </w:r>
          </w:p>
        </w:tc>
      </w:tr>
      <w:tr w:rsidR="00862B0B" w:rsidRPr="00A67277" w14:paraId="3F44462C" w14:textId="77777777" w:rsidTr="00862B0B">
        <w:tc>
          <w:tcPr>
            <w:tcW w:w="2270" w:type="pct"/>
          </w:tcPr>
          <w:p w14:paraId="7C195DBD" w14:textId="68593E12" w:rsidR="00862B0B" w:rsidRPr="00A67277" w:rsidRDefault="00862B0B" w:rsidP="00862B0B">
            <w:pPr>
              <w:pStyle w:val="Level4"/>
              <w:numPr>
                <w:ilvl w:val="0"/>
                <w:numId w:val="97"/>
              </w:numPr>
              <w:spacing w:before="60" w:after="60"/>
              <w:ind w:left="1946"/>
            </w:pPr>
            <w:r w:rsidRPr="00A67277">
              <w:t xml:space="preserve">an adjustment in the </w:t>
            </w:r>
            <w:r>
              <w:t>Service Fee</w:t>
            </w:r>
            <w:r w:rsidRPr="00A67277">
              <w:t>;</w:t>
            </w:r>
          </w:p>
        </w:tc>
        <w:tc>
          <w:tcPr>
            <w:tcW w:w="169" w:type="pct"/>
          </w:tcPr>
          <w:p w14:paraId="742E1D6F" w14:textId="77777777" w:rsidR="00862B0B" w:rsidRPr="00A67277" w:rsidRDefault="00862B0B" w:rsidP="00862B0B">
            <w:pPr>
              <w:spacing w:before="60" w:after="60"/>
              <w:rPr>
                <w:rFonts w:ascii="Arial" w:hAnsi="Arial" w:cs="Arial"/>
                <w:sz w:val="21"/>
                <w:szCs w:val="21"/>
              </w:rPr>
            </w:pPr>
          </w:p>
        </w:tc>
        <w:tc>
          <w:tcPr>
            <w:tcW w:w="2561" w:type="pct"/>
            <w:gridSpan w:val="2"/>
          </w:tcPr>
          <w:p w14:paraId="282C1C3E" w14:textId="42AF30B9" w:rsidR="00862B0B" w:rsidRPr="00A67277" w:rsidRDefault="00862B0B" w:rsidP="00862B0B">
            <w:pPr>
              <w:pStyle w:val="Level4"/>
              <w:numPr>
                <w:ilvl w:val="0"/>
                <w:numId w:val="98"/>
              </w:numPr>
              <w:spacing w:before="60" w:after="60"/>
              <w:ind w:left="2325"/>
              <w:rPr>
                <w:rFonts w:cs="Arial"/>
              </w:rPr>
            </w:pPr>
            <w:r w:rsidRPr="00A67277">
              <w:rPr>
                <w:rStyle w:val="shorttext"/>
                <w:rFonts w:cs="Arial"/>
                <w:lang w:val="id-ID"/>
              </w:rPr>
              <w:t xml:space="preserve">penyesuaian </w:t>
            </w:r>
            <w:r>
              <w:rPr>
                <w:rStyle w:val="shorttext"/>
                <w:rFonts w:cs="Arial"/>
                <w:lang w:val="en-US"/>
              </w:rPr>
              <w:t xml:space="preserve">Biaya </w:t>
            </w:r>
            <w:r w:rsidRPr="00A67277">
              <w:rPr>
                <w:rStyle w:val="shorttext"/>
                <w:rFonts w:cs="Arial"/>
                <w:lang w:val="en-US"/>
              </w:rPr>
              <w:t>Layanan</w:t>
            </w:r>
            <w:r w:rsidRPr="00A67277">
              <w:rPr>
                <w:rStyle w:val="shorttext"/>
                <w:rFonts w:cs="Arial"/>
                <w:lang w:val="id-ID"/>
              </w:rPr>
              <w:t>;</w:t>
            </w:r>
          </w:p>
        </w:tc>
      </w:tr>
      <w:tr w:rsidR="00862B0B" w:rsidRPr="00A67277" w14:paraId="60811BD3" w14:textId="77777777" w:rsidTr="00862B0B">
        <w:tc>
          <w:tcPr>
            <w:tcW w:w="2270" w:type="pct"/>
          </w:tcPr>
          <w:p w14:paraId="3944E30C" w14:textId="77777777" w:rsidR="00862B0B" w:rsidRPr="00A67277" w:rsidRDefault="00862B0B" w:rsidP="00862B0B">
            <w:pPr>
              <w:pStyle w:val="Level4"/>
              <w:numPr>
                <w:ilvl w:val="0"/>
                <w:numId w:val="97"/>
              </w:numPr>
              <w:spacing w:before="60" w:after="60"/>
              <w:ind w:left="1946"/>
            </w:pPr>
            <w:r w:rsidRPr="00A67277">
              <w:t>a single payment or series of payments from one Party to the other Party;</w:t>
            </w:r>
          </w:p>
          <w:p w14:paraId="22C70DC4" w14:textId="77777777" w:rsidR="00862B0B" w:rsidRPr="00A67277" w:rsidRDefault="00862B0B" w:rsidP="00862B0B">
            <w:pPr>
              <w:spacing w:before="60" w:after="60"/>
              <w:rPr>
                <w:rFonts w:ascii="Arial" w:hAnsi="Arial" w:cs="Arial"/>
                <w:sz w:val="21"/>
                <w:szCs w:val="21"/>
              </w:rPr>
            </w:pPr>
          </w:p>
        </w:tc>
        <w:tc>
          <w:tcPr>
            <w:tcW w:w="169" w:type="pct"/>
          </w:tcPr>
          <w:p w14:paraId="4967D9D7" w14:textId="77777777" w:rsidR="00862B0B" w:rsidRPr="00A67277" w:rsidRDefault="00862B0B" w:rsidP="00862B0B">
            <w:pPr>
              <w:spacing w:before="60" w:after="60"/>
              <w:rPr>
                <w:rFonts w:ascii="Arial" w:hAnsi="Arial" w:cs="Arial"/>
                <w:sz w:val="21"/>
                <w:szCs w:val="21"/>
              </w:rPr>
            </w:pPr>
          </w:p>
        </w:tc>
        <w:tc>
          <w:tcPr>
            <w:tcW w:w="2561" w:type="pct"/>
            <w:gridSpan w:val="2"/>
          </w:tcPr>
          <w:p w14:paraId="301CEB71" w14:textId="77777777" w:rsidR="00862B0B" w:rsidRPr="00A67277" w:rsidRDefault="00862B0B" w:rsidP="00862B0B">
            <w:pPr>
              <w:pStyle w:val="Level4"/>
              <w:numPr>
                <w:ilvl w:val="0"/>
                <w:numId w:val="98"/>
              </w:numPr>
              <w:spacing w:before="60" w:after="60"/>
              <w:ind w:left="2325"/>
              <w:rPr>
                <w:rFonts w:cs="Arial"/>
              </w:rPr>
            </w:pPr>
            <w:r w:rsidRPr="00A67277">
              <w:rPr>
                <w:rStyle w:val="shorttext"/>
                <w:rFonts w:cs="Arial"/>
                <w:lang w:val="id-ID"/>
              </w:rPr>
              <w:t>satu pembayaran atau serangkaian pembayaran secara tunai dari satu Pihak kepada Pihak lainnya;</w:t>
            </w:r>
          </w:p>
        </w:tc>
      </w:tr>
      <w:tr w:rsidR="00862B0B" w:rsidRPr="00A67277" w14:paraId="2A5D1659" w14:textId="77777777" w:rsidTr="00862B0B">
        <w:tc>
          <w:tcPr>
            <w:tcW w:w="2270" w:type="pct"/>
          </w:tcPr>
          <w:p w14:paraId="0E8F195E" w14:textId="13BDF727" w:rsidR="00862B0B" w:rsidRPr="00A67277" w:rsidRDefault="00862B0B" w:rsidP="00862B0B">
            <w:pPr>
              <w:pStyle w:val="Level4"/>
              <w:numPr>
                <w:ilvl w:val="0"/>
                <w:numId w:val="97"/>
              </w:numPr>
              <w:spacing w:before="60" w:after="60"/>
              <w:ind w:left="1946"/>
            </w:pPr>
            <w:r w:rsidRPr="00A67277">
              <w:t>a combination of any of sub-paragraph (i) and (ii),</w:t>
            </w:r>
            <w:r w:rsidRPr="00A67277" w:rsidDel="00E16792">
              <w:t xml:space="preserve"> </w:t>
            </w:r>
          </w:p>
          <w:p w14:paraId="22CCDF3A" w14:textId="77777777" w:rsidR="00862B0B" w:rsidRPr="00A67277" w:rsidRDefault="00862B0B" w:rsidP="00862B0B">
            <w:pPr>
              <w:spacing w:before="60" w:after="60"/>
              <w:rPr>
                <w:rFonts w:ascii="Arial" w:hAnsi="Arial" w:cs="Arial"/>
                <w:sz w:val="21"/>
                <w:szCs w:val="21"/>
              </w:rPr>
            </w:pPr>
          </w:p>
        </w:tc>
        <w:tc>
          <w:tcPr>
            <w:tcW w:w="169" w:type="pct"/>
          </w:tcPr>
          <w:p w14:paraId="289C70C4" w14:textId="77777777" w:rsidR="00862B0B" w:rsidRPr="00A67277" w:rsidRDefault="00862B0B" w:rsidP="00862B0B">
            <w:pPr>
              <w:spacing w:before="60" w:after="60"/>
              <w:rPr>
                <w:rFonts w:ascii="Arial" w:hAnsi="Arial" w:cs="Arial"/>
                <w:sz w:val="21"/>
                <w:szCs w:val="21"/>
              </w:rPr>
            </w:pPr>
          </w:p>
        </w:tc>
        <w:tc>
          <w:tcPr>
            <w:tcW w:w="2561" w:type="pct"/>
            <w:gridSpan w:val="2"/>
          </w:tcPr>
          <w:p w14:paraId="149EC7A1" w14:textId="79BF558D" w:rsidR="00862B0B" w:rsidRPr="00A67277" w:rsidRDefault="00862B0B" w:rsidP="00862B0B">
            <w:pPr>
              <w:pStyle w:val="Level4"/>
              <w:numPr>
                <w:ilvl w:val="0"/>
                <w:numId w:val="98"/>
              </w:numPr>
              <w:spacing w:before="60" w:after="60"/>
              <w:ind w:left="2325"/>
              <w:rPr>
                <w:rFonts w:cs="Arial"/>
                <w:lang w:val="id-ID"/>
              </w:rPr>
            </w:pPr>
            <w:r w:rsidRPr="00A67277">
              <w:rPr>
                <w:rStyle w:val="shorttext"/>
                <w:rFonts w:cs="Arial"/>
                <w:lang w:val="id-ID"/>
              </w:rPr>
              <w:t>kombinasi dari sub-paragraf (i)</w:t>
            </w:r>
            <w:r w:rsidRPr="00A67277">
              <w:rPr>
                <w:rStyle w:val="shorttext"/>
                <w:rFonts w:cs="Arial"/>
                <w:lang w:val="en-US"/>
              </w:rPr>
              <w:t xml:space="preserve"> dan (ii)</w:t>
            </w:r>
            <w:r w:rsidRPr="00A67277">
              <w:rPr>
                <w:rStyle w:val="shorttext"/>
                <w:rFonts w:cs="Arial"/>
                <w:lang w:val="id-ID"/>
              </w:rPr>
              <w:t xml:space="preserve">, </w:t>
            </w:r>
          </w:p>
        </w:tc>
      </w:tr>
      <w:tr w:rsidR="00862B0B" w:rsidRPr="00A67277" w14:paraId="35EF37EB" w14:textId="77777777" w:rsidTr="00862B0B">
        <w:tc>
          <w:tcPr>
            <w:tcW w:w="2270" w:type="pct"/>
          </w:tcPr>
          <w:p w14:paraId="502F2A46" w14:textId="77777777" w:rsidR="00862B0B" w:rsidRPr="00A67277" w:rsidRDefault="00862B0B" w:rsidP="00862B0B">
            <w:pPr>
              <w:pStyle w:val="Body4"/>
              <w:spacing w:before="60" w:after="60"/>
              <w:ind w:left="1620"/>
            </w:pPr>
            <w:r w:rsidRPr="00A67277">
              <w:t xml:space="preserve">to reflect the actual Estimated Change in Project Costs resulting from such Political Event. </w:t>
            </w:r>
          </w:p>
        </w:tc>
        <w:tc>
          <w:tcPr>
            <w:tcW w:w="169" w:type="pct"/>
          </w:tcPr>
          <w:p w14:paraId="3C75A662" w14:textId="77777777" w:rsidR="00862B0B" w:rsidRPr="00A67277" w:rsidRDefault="00862B0B" w:rsidP="00862B0B">
            <w:pPr>
              <w:spacing w:before="60" w:after="60"/>
              <w:rPr>
                <w:rFonts w:ascii="Arial" w:hAnsi="Arial" w:cs="Arial"/>
                <w:sz w:val="21"/>
                <w:szCs w:val="21"/>
              </w:rPr>
            </w:pPr>
          </w:p>
        </w:tc>
        <w:tc>
          <w:tcPr>
            <w:tcW w:w="2561" w:type="pct"/>
            <w:gridSpan w:val="2"/>
          </w:tcPr>
          <w:p w14:paraId="087CC71C" w14:textId="5C623477" w:rsidR="00862B0B" w:rsidRPr="00A67277" w:rsidRDefault="00862B0B" w:rsidP="00862B0B">
            <w:pPr>
              <w:pStyle w:val="Body4"/>
              <w:spacing w:before="60" w:after="60"/>
              <w:ind w:left="1692"/>
              <w:rPr>
                <w:rFonts w:cs="Arial"/>
              </w:rPr>
            </w:pPr>
            <w:r w:rsidRPr="00A67277">
              <w:rPr>
                <w:rFonts w:cs="Arial"/>
              </w:rPr>
              <w:t xml:space="preserve">untuk mencerminkan Perkiraan Perubahan Terhadap Biaya Proyek aktual akibat Peristiwa Politik tersebut. </w:t>
            </w:r>
          </w:p>
        </w:tc>
      </w:tr>
      <w:tr w:rsidR="00862B0B" w:rsidRPr="00A67277" w14:paraId="5FDF6B03" w14:textId="77777777" w:rsidTr="00862B0B">
        <w:tc>
          <w:tcPr>
            <w:tcW w:w="2270" w:type="pct"/>
          </w:tcPr>
          <w:p w14:paraId="3540F56F" w14:textId="24FB3377" w:rsidR="00862B0B" w:rsidRPr="00A67277" w:rsidRDefault="00862B0B" w:rsidP="00862B0B">
            <w:pPr>
              <w:pStyle w:val="Level3"/>
              <w:numPr>
                <w:ilvl w:val="2"/>
                <w:numId w:val="509"/>
              </w:numPr>
              <w:tabs>
                <w:tab w:val="clear" w:pos="1417"/>
              </w:tabs>
              <w:spacing w:before="60" w:after="60"/>
              <w:ind w:left="1620" w:hanging="450"/>
            </w:pPr>
            <w:r w:rsidRPr="00A67277">
              <w:t xml:space="preserve">The compensation as referred </w:t>
            </w:r>
            <w:r>
              <w:t xml:space="preserve">to </w:t>
            </w:r>
            <w:r w:rsidRPr="00A67277">
              <w:t>in paragraph (a) shall be:</w:t>
            </w:r>
          </w:p>
        </w:tc>
        <w:tc>
          <w:tcPr>
            <w:tcW w:w="169" w:type="pct"/>
          </w:tcPr>
          <w:p w14:paraId="18146C9B" w14:textId="77777777" w:rsidR="00862B0B" w:rsidRPr="00A67277" w:rsidRDefault="00862B0B" w:rsidP="00862B0B">
            <w:pPr>
              <w:spacing w:before="60" w:after="60"/>
              <w:rPr>
                <w:rFonts w:ascii="Arial" w:hAnsi="Arial" w:cs="Arial"/>
                <w:sz w:val="21"/>
                <w:szCs w:val="21"/>
              </w:rPr>
            </w:pPr>
          </w:p>
        </w:tc>
        <w:tc>
          <w:tcPr>
            <w:tcW w:w="2561" w:type="pct"/>
            <w:gridSpan w:val="2"/>
          </w:tcPr>
          <w:p w14:paraId="62974282" w14:textId="77777777" w:rsidR="00862B0B" w:rsidRPr="00A67277" w:rsidRDefault="00862B0B" w:rsidP="00862B0B">
            <w:pPr>
              <w:pStyle w:val="Level3"/>
              <w:numPr>
                <w:ilvl w:val="0"/>
                <w:numId w:val="96"/>
              </w:numPr>
              <w:tabs>
                <w:tab w:val="left" w:pos="3045"/>
              </w:tabs>
              <w:spacing w:before="60" w:after="60"/>
              <w:ind w:left="1695" w:hanging="585"/>
              <w:rPr>
                <w:rFonts w:cs="Arial"/>
              </w:rPr>
            </w:pPr>
            <w:r w:rsidRPr="00A67277">
              <w:rPr>
                <w:rFonts w:cs="Arial"/>
              </w:rPr>
              <w:t>Kompensasi sebagaimana dimaksud pada paragraf (a) akan:</w:t>
            </w:r>
          </w:p>
        </w:tc>
      </w:tr>
      <w:tr w:rsidR="00862B0B" w:rsidRPr="00A67277" w14:paraId="696D7F49" w14:textId="77777777" w:rsidTr="00862B0B">
        <w:tc>
          <w:tcPr>
            <w:tcW w:w="2270" w:type="pct"/>
          </w:tcPr>
          <w:p w14:paraId="1919409D" w14:textId="77777777" w:rsidR="00862B0B" w:rsidRPr="00A67277" w:rsidRDefault="00862B0B" w:rsidP="00862B0B">
            <w:pPr>
              <w:pStyle w:val="Level4"/>
              <w:numPr>
                <w:ilvl w:val="0"/>
                <w:numId w:val="99"/>
              </w:numPr>
              <w:spacing w:before="60" w:after="60"/>
              <w:ind w:left="2160" w:hanging="557"/>
            </w:pPr>
            <w:r w:rsidRPr="00A67277">
              <w:t>calculated to ensure that:</w:t>
            </w:r>
          </w:p>
        </w:tc>
        <w:tc>
          <w:tcPr>
            <w:tcW w:w="169" w:type="pct"/>
          </w:tcPr>
          <w:p w14:paraId="78D07770" w14:textId="77777777" w:rsidR="00862B0B" w:rsidRPr="00A67277" w:rsidRDefault="00862B0B" w:rsidP="00862B0B">
            <w:pPr>
              <w:spacing w:before="60" w:after="60"/>
              <w:rPr>
                <w:rFonts w:ascii="Arial" w:hAnsi="Arial" w:cs="Arial"/>
                <w:sz w:val="21"/>
                <w:szCs w:val="21"/>
              </w:rPr>
            </w:pPr>
          </w:p>
        </w:tc>
        <w:tc>
          <w:tcPr>
            <w:tcW w:w="2561" w:type="pct"/>
            <w:gridSpan w:val="2"/>
          </w:tcPr>
          <w:p w14:paraId="7082EA90" w14:textId="77777777" w:rsidR="00862B0B" w:rsidRPr="00A67277" w:rsidRDefault="00862B0B" w:rsidP="00862B0B">
            <w:pPr>
              <w:pStyle w:val="Level4"/>
              <w:numPr>
                <w:ilvl w:val="0"/>
                <w:numId w:val="100"/>
              </w:numPr>
              <w:spacing w:before="60" w:after="60"/>
              <w:ind w:left="2237"/>
              <w:rPr>
                <w:rFonts w:cs="Arial"/>
              </w:rPr>
            </w:pPr>
            <w:r w:rsidRPr="00A67277">
              <w:rPr>
                <w:rStyle w:val="shorttext"/>
                <w:rFonts w:cs="Arial"/>
                <w:lang w:val="id-ID"/>
              </w:rPr>
              <w:t>dihitung untuk memastikan bahwa :</w:t>
            </w:r>
          </w:p>
        </w:tc>
      </w:tr>
      <w:tr w:rsidR="00862B0B" w:rsidRPr="00A67277" w14:paraId="1EDD0F95" w14:textId="77777777" w:rsidTr="00862B0B">
        <w:tc>
          <w:tcPr>
            <w:tcW w:w="2270" w:type="pct"/>
          </w:tcPr>
          <w:p w14:paraId="28B8FFCB" w14:textId="015798EC" w:rsidR="00862B0B" w:rsidRPr="00A67277" w:rsidRDefault="00862B0B" w:rsidP="00862B0B">
            <w:pPr>
              <w:pStyle w:val="Level5"/>
              <w:numPr>
                <w:ilvl w:val="4"/>
                <w:numId w:val="443"/>
              </w:numPr>
              <w:spacing w:before="60" w:after="60"/>
            </w:pPr>
            <w:r w:rsidRPr="00A67277">
              <w:t>the IBE has the same Base Case Equity IRR; and; and</w:t>
            </w:r>
          </w:p>
          <w:p w14:paraId="5C39D447" w14:textId="77777777" w:rsidR="00862B0B" w:rsidRPr="00A67277" w:rsidRDefault="00862B0B" w:rsidP="00862B0B">
            <w:pPr>
              <w:spacing w:before="60" w:after="60"/>
              <w:rPr>
                <w:rFonts w:ascii="Arial" w:hAnsi="Arial" w:cs="Arial"/>
                <w:sz w:val="21"/>
                <w:szCs w:val="21"/>
              </w:rPr>
            </w:pPr>
          </w:p>
        </w:tc>
        <w:tc>
          <w:tcPr>
            <w:tcW w:w="169" w:type="pct"/>
          </w:tcPr>
          <w:p w14:paraId="31919736" w14:textId="77777777" w:rsidR="00862B0B" w:rsidRPr="00A67277" w:rsidRDefault="00862B0B" w:rsidP="00862B0B">
            <w:pPr>
              <w:spacing w:before="60" w:after="60"/>
              <w:rPr>
                <w:rFonts w:ascii="Arial" w:hAnsi="Arial" w:cs="Arial"/>
                <w:sz w:val="21"/>
                <w:szCs w:val="21"/>
              </w:rPr>
            </w:pPr>
          </w:p>
        </w:tc>
        <w:tc>
          <w:tcPr>
            <w:tcW w:w="2561" w:type="pct"/>
            <w:gridSpan w:val="2"/>
          </w:tcPr>
          <w:p w14:paraId="3962D047" w14:textId="18924445" w:rsidR="00862B0B" w:rsidRPr="00A67277" w:rsidRDefault="00862B0B" w:rsidP="00862B0B">
            <w:pPr>
              <w:pStyle w:val="Level5"/>
              <w:numPr>
                <w:ilvl w:val="0"/>
                <w:numId w:val="101"/>
              </w:numPr>
              <w:spacing w:before="60" w:after="60"/>
              <w:ind w:left="2777" w:hanging="540"/>
              <w:rPr>
                <w:rFonts w:cs="Arial"/>
              </w:rPr>
            </w:pPr>
            <w:r w:rsidRPr="00A67277">
              <w:rPr>
                <w:rFonts w:cs="Arial"/>
              </w:rPr>
              <w:t>BUP memiliki Posisi Dasar Ekuitas IRR yang sama; dan</w:t>
            </w:r>
          </w:p>
        </w:tc>
      </w:tr>
      <w:tr w:rsidR="00862B0B" w:rsidRPr="00A67277" w14:paraId="24DE7D8D" w14:textId="77777777" w:rsidTr="00862B0B">
        <w:tc>
          <w:tcPr>
            <w:tcW w:w="2270" w:type="pct"/>
          </w:tcPr>
          <w:p w14:paraId="21AB8E2A" w14:textId="77777777" w:rsidR="00862B0B" w:rsidRPr="00A67277" w:rsidRDefault="00862B0B" w:rsidP="00862B0B">
            <w:pPr>
              <w:pStyle w:val="Level5"/>
              <w:numPr>
                <w:ilvl w:val="4"/>
                <w:numId w:val="443"/>
              </w:numPr>
              <w:tabs>
                <w:tab w:val="clear" w:pos="2835"/>
              </w:tabs>
              <w:spacing w:before="60" w:after="60"/>
              <w:ind w:left="2880" w:hanging="720"/>
            </w:pPr>
            <w:r w:rsidRPr="00A67277">
              <w:t xml:space="preserve">the IBE is able to comply with the financial covenants stipulated in the Financing Documents to the extent that the IBE would be in compliance with such financial covenants if such Estimated Change in Project Cost had not been incurred or realised; and </w:t>
            </w:r>
          </w:p>
        </w:tc>
        <w:tc>
          <w:tcPr>
            <w:tcW w:w="169" w:type="pct"/>
          </w:tcPr>
          <w:p w14:paraId="4D799C3A" w14:textId="77777777" w:rsidR="00862B0B" w:rsidRPr="00A67277" w:rsidRDefault="00862B0B" w:rsidP="00862B0B">
            <w:pPr>
              <w:spacing w:before="60" w:after="60"/>
              <w:rPr>
                <w:rFonts w:ascii="Arial" w:hAnsi="Arial" w:cs="Arial"/>
                <w:sz w:val="21"/>
                <w:szCs w:val="21"/>
              </w:rPr>
            </w:pPr>
          </w:p>
        </w:tc>
        <w:tc>
          <w:tcPr>
            <w:tcW w:w="2561" w:type="pct"/>
            <w:gridSpan w:val="2"/>
          </w:tcPr>
          <w:p w14:paraId="4D6B3509" w14:textId="77777777" w:rsidR="00862B0B" w:rsidRPr="00A67277" w:rsidRDefault="00862B0B" w:rsidP="00862B0B">
            <w:pPr>
              <w:pStyle w:val="Level5"/>
              <w:numPr>
                <w:ilvl w:val="0"/>
                <w:numId w:val="101"/>
              </w:numPr>
              <w:spacing w:before="60" w:after="60"/>
              <w:ind w:left="2777" w:hanging="540"/>
              <w:rPr>
                <w:rFonts w:cs="Arial"/>
              </w:rPr>
            </w:pPr>
            <w:r w:rsidRPr="00A67277">
              <w:rPr>
                <w:rFonts w:cs="Arial"/>
              </w:rPr>
              <w:t>BUP dapat mematuhi janji-janji keuangan yang diatur dalam Dokumen Pembiayaan sepanjang BUP akan mematuhi janji-janji keuangan jika Perkiraan Perubahan Terhadap Biaya Proyek tersebut tidak terjadi atau terealisasi; dan</w:t>
            </w:r>
          </w:p>
        </w:tc>
      </w:tr>
      <w:tr w:rsidR="00862B0B" w:rsidRPr="00A67277" w14:paraId="2F525E34" w14:textId="77777777" w:rsidTr="00862B0B">
        <w:tc>
          <w:tcPr>
            <w:tcW w:w="2270" w:type="pct"/>
          </w:tcPr>
          <w:p w14:paraId="0683578D" w14:textId="77777777" w:rsidR="00862B0B" w:rsidRPr="00A67277" w:rsidRDefault="00862B0B" w:rsidP="00862B0B">
            <w:pPr>
              <w:pStyle w:val="Level4"/>
              <w:numPr>
                <w:ilvl w:val="0"/>
                <w:numId w:val="99"/>
              </w:numPr>
              <w:spacing w:before="60" w:after="60"/>
              <w:ind w:left="2160" w:hanging="557"/>
            </w:pPr>
            <w:r w:rsidRPr="00A67277">
              <w:t>retroactive to the date upon which such costs or savings in the Estimated Change in Project Cost were incurred or realised.</w:t>
            </w:r>
          </w:p>
        </w:tc>
        <w:tc>
          <w:tcPr>
            <w:tcW w:w="169" w:type="pct"/>
          </w:tcPr>
          <w:p w14:paraId="77C28114" w14:textId="77777777" w:rsidR="00862B0B" w:rsidRPr="00A67277" w:rsidRDefault="00862B0B" w:rsidP="00862B0B">
            <w:pPr>
              <w:spacing w:before="60" w:after="60"/>
              <w:rPr>
                <w:rFonts w:ascii="Arial" w:hAnsi="Arial" w:cs="Arial"/>
                <w:sz w:val="21"/>
                <w:szCs w:val="21"/>
              </w:rPr>
            </w:pPr>
          </w:p>
        </w:tc>
        <w:tc>
          <w:tcPr>
            <w:tcW w:w="2561" w:type="pct"/>
            <w:gridSpan w:val="2"/>
          </w:tcPr>
          <w:p w14:paraId="7BDED9B1" w14:textId="77777777" w:rsidR="00862B0B" w:rsidRPr="00A67277" w:rsidRDefault="00862B0B" w:rsidP="00862B0B">
            <w:pPr>
              <w:pStyle w:val="Level4"/>
              <w:numPr>
                <w:ilvl w:val="0"/>
                <w:numId w:val="100"/>
              </w:numPr>
              <w:spacing w:before="60" w:after="60"/>
              <w:ind w:left="2237"/>
              <w:rPr>
                <w:rFonts w:cs="Arial"/>
                <w:lang w:val="id-ID"/>
              </w:rPr>
            </w:pPr>
            <w:r w:rsidRPr="00A67277">
              <w:rPr>
                <w:rStyle w:val="shorttext"/>
                <w:rFonts w:cs="Arial"/>
                <w:lang w:val="id-ID"/>
              </w:rPr>
              <w:t>berlaku surut sejak saat dimana biaya dan penghematan pada Perkiraan Perubahan Terhadap Biaya Proyek tersebut terjadi atau terealisasi</w:t>
            </w:r>
          </w:p>
        </w:tc>
      </w:tr>
      <w:tr w:rsidR="00862B0B" w:rsidRPr="00A67277" w14:paraId="228D1050" w14:textId="77777777" w:rsidTr="00862B0B">
        <w:tc>
          <w:tcPr>
            <w:tcW w:w="2270" w:type="pct"/>
          </w:tcPr>
          <w:p w14:paraId="05F4B0F5" w14:textId="77777777" w:rsidR="00862B0B" w:rsidRPr="00A67277" w:rsidRDefault="00862B0B" w:rsidP="00862B0B">
            <w:pPr>
              <w:pStyle w:val="Level3"/>
              <w:numPr>
                <w:ilvl w:val="2"/>
                <w:numId w:val="509"/>
              </w:numPr>
              <w:tabs>
                <w:tab w:val="clear" w:pos="1417"/>
              </w:tabs>
              <w:spacing w:before="60" w:after="60"/>
              <w:ind w:left="1620" w:hanging="360"/>
            </w:pPr>
            <w:r w:rsidRPr="00A67277">
              <w:t>If within one (1) Month following the commencement of negotiation referred to in paragraph (a), the Parties are unable to agree on the method of compensation appropriate, the Parties agree that the Dispute regarding the appropriate method of compensation shall be referred to a Third Party Expert appointed in accordance with the provisions of Clause 28.2 (Referral to a Third Party Expert). The Parties shall use their best efforts to cause the Third Party Expert to render his determination of the appropriate method of compensation not later than one (1) Month after being appointed. Pending such determination, the terms of this Agreement then in effect shall remain in effect.</w:t>
            </w:r>
          </w:p>
          <w:p w14:paraId="17356619" w14:textId="77777777" w:rsidR="00862B0B" w:rsidRPr="00A67277" w:rsidRDefault="00862B0B" w:rsidP="00862B0B">
            <w:pPr>
              <w:spacing w:before="60" w:after="60"/>
              <w:rPr>
                <w:rFonts w:ascii="Arial" w:hAnsi="Arial" w:cs="Arial"/>
                <w:sz w:val="21"/>
                <w:szCs w:val="21"/>
              </w:rPr>
            </w:pPr>
          </w:p>
          <w:p w14:paraId="769A7E4F" w14:textId="77777777" w:rsidR="00862B0B" w:rsidRPr="00A67277" w:rsidRDefault="00862B0B" w:rsidP="00862B0B">
            <w:pPr>
              <w:tabs>
                <w:tab w:val="left" w:pos="3417"/>
              </w:tabs>
              <w:spacing w:before="60" w:after="60"/>
              <w:rPr>
                <w:rFonts w:ascii="Arial" w:hAnsi="Arial" w:cs="Arial"/>
                <w:sz w:val="21"/>
                <w:szCs w:val="21"/>
              </w:rPr>
            </w:pPr>
          </w:p>
        </w:tc>
        <w:tc>
          <w:tcPr>
            <w:tcW w:w="169" w:type="pct"/>
          </w:tcPr>
          <w:p w14:paraId="1FEC8381" w14:textId="77777777" w:rsidR="00862B0B" w:rsidRPr="00A67277" w:rsidRDefault="00862B0B" w:rsidP="00862B0B">
            <w:pPr>
              <w:spacing w:before="60" w:after="60"/>
              <w:rPr>
                <w:rFonts w:ascii="Arial" w:hAnsi="Arial" w:cs="Arial"/>
                <w:sz w:val="21"/>
                <w:szCs w:val="21"/>
              </w:rPr>
            </w:pPr>
          </w:p>
        </w:tc>
        <w:tc>
          <w:tcPr>
            <w:tcW w:w="2561" w:type="pct"/>
            <w:gridSpan w:val="2"/>
          </w:tcPr>
          <w:p w14:paraId="4F7DA76E" w14:textId="77777777" w:rsidR="00862B0B" w:rsidRPr="00A67277" w:rsidRDefault="00862B0B" w:rsidP="00862B0B">
            <w:pPr>
              <w:pStyle w:val="Level3"/>
              <w:numPr>
                <w:ilvl w:val="0"/>
                <w:numId w:val="96"/>
              </w:numPr>
              <w:tabs>
                <w:tab w:val="left" w:pos="3045"/>
              </w:tabs>
              <w:spacing w:before="60" w:after="60"/>
              <w:ind w:left="1695" w:hanging="585"/>
              <w:rPr>
                <w:rFonts w:cs="Arial"/>
              </w:rPr>
            </w:pPr>
            <w:r w:rsidRPr="00A67277">
              <w:rPr>
                <w:rFonts w:cs="Arial"/>
              </w:rPr>
              <w:t>Jika dalam satu (1) Bulan setelah dimulainya negosiasi sebagaimana dimaksud pada paragraf (a), Para Pihak tidak dapat menyetujui metode kompensasi yang sesuai, Para Pihak sepakat bahwa Sengketa mengenai metode kompensasi yang sesuai harus dirujuk kepada Ahli Independen yang ditunjuk sesuai dengan ketentuan Pasal 28.2 (Rujukan Kepada Ahli Independen). Para Pihak harus menggunakan usaha terbaik mereka untuk menyebabkan Ahli Independen memberikan penetapan mengenai metode kompensasi yang sesuai selambat-lambatnya satu (1) Bulan setelah ditunjuk. Sementara menunggu penetapan tersebut, ketentuan-ketentuan dalam Perjanjian ini tetap berlaku.</w:t>
            </w:r>
          </w:p>
        </w:tc>
      </w:tr>
      <w:tr w:rsidR="00862B0B" w:rsidRPr="00A67277" w14:paraId="0982586D" w14:textId="77777777" w:rsidTr="00862B0B">
        <w:tc>
          <w:tcPr>
            <w:tcW w:w="2270" w:type="pct"/>
          </w:tcPr>
          <w:p w14:paraId="18B78F60" w14:textId="77777777" w:rsidR="00862B0B" w:rsidRPr="00A67277" w:rsidRDefault="00862B0B" w:rsidP="00862B0B">
            <w:pPr>
              <w:pStyle w:val="Level3"/>
              <w:numPr>
                <w:ilvl w:val="2"/>
                <w:numId w:val="444"/>
              </w:numPr>
              <w:spacing w:before="60" w:after="60"/>
            </w:pPr>
            <w:r w:rsidRPr="00A67277">
              <w:t>Notwithstanding the provisions of Clause 28 (</w:t>
            </w:r>
            <w:r w:rsidRPr="00A67277">
              <w:rPr>
                <w:i/>
              </w:rPr>
              <w:t>Settlement of Disputes</w:t>
            </w:r>
            <w:r w:rsidRPr="00A67277">
              <w:t>) of this Agreement, any determination of compensation may be referred by either Party to arbitration in accordance with the provisions of Clause 28.3 (</w:t>
            </w:r>
            <w:r w:rsidRPr="00A67277">
              <w:rPr>
                <w:i/>
              </w:rPr>
              <w:t>Arbitration</w:t>
            </w:r>
            <w:r w:rsidRPr="00A67277">
              <w:t>) of the Agreement. During the pendency of any such arbitration, the determination of the Third Party Expert shall be binding on the Parties. In the event that an arbitral panel renders a decision contrary to the decision of the Third Party Expert, the compensation shall be adjusted as appropriate to reflect the decision of the arbitral panel.</w:t>
            </w:r>
          </w:p>
          <w:p w14:paraId="55042632" w14:textId="77777777" w:rsidR="00862B0B" w:rsidRPr="00A67277" w:rsidRDefault="00862B0B" w:rsidP="00862B0B">
            <w:pPr>
              <w:spacing w:before="60" w:after="60"/>
              <w:rPr>
                <w:rFonts w:ascii="Arial" w:hAnsi="Arial" w:cs="Arial"/>
                <w:sz w:val="21"/>
                <w:szCs w:val="21"/>
              </w:rPr>
            </w:pPr>
          </w:p>
        </w:tc>
        <w:tc>
          <w:tcPr>
            <w:tcW w:w="169" w:type="pct"/>
          </w:tcPr>
          <w:p w14:paraId="1B3A4194" w14:textId="77777777" w:rsidR="00862B0B" w:rsidRPr="00A67277" w:rsidRDefault="00862B0B" w:rsidP="00862B0B">
            <w:pPr>
              <w:spacing w:before="60" w:after="60"/>
              <w:rPr>
                <w:rFonts w:ascii="Arial" w:hAnsi="Arial" w:cs="Arial"/>
                <w:sz w:val="21"/>
                <w:szCs w:val="21"/>
              </w:rPr>
            </w:pPr>
          </w:p>
        </w:tc>
        <w:tc>
          <w:tcPr>
            <w:tcW w:w="2561" w:type="pct"/>
            <w:gridSpan w:val="2"/>
          </w:tcPr>
          <w:p w14:paraId="24F29672" w14:textId="77777777" w:rsidR="00862B0B" w:rsidRPr="00A67277" w:rsidRDefault="00862B0B" w:rsidP="00862B0B">
            <w:pPr>
              <w:pStyle w:val="Level3"/>
              <w:numPr>
                <w:ilvl w:val="0"/>
                <w:numId w:val="96"/>
              </w:numPr>
              <w:tabs>
                <w:tab w:val="left" w:pos="3045"/>
              </w:tabs>
              <w:spacing w:before="60" w:after="60"/>
              <w:ind w:left="1695" w:hanging="585"/>
              <w:rPr>
                <w:rFonts w:cs="Arial"/>
              </w:rPr>
            </w:pPr>
            <w:r w:rsidRPr="00A67277">
              <w:rPr>
                <w:rFonts w:cs="Arial"/>
              </w:rPr>
              <w:t>Tanpa mengurangi ketentuan Pasal 28 (Penyelesaian Sengketa) dari Perjanjian ini, setiap penetapan kompensasi dapat dirujuk oleh salah satu Pihak ke arbitrase sesuai dengan ketentuan Pasal 28.3 (Arbitrase) dari Perjanjian ini. Selama menunggu proses arbitrase tersebut, penetapan Ahli Independen akan mengikat Para Pihak. Dalam hal majelis arbitrase membuat keputusan yang bertentangan dengan keputusan Ahli Independen, kompensasi harus disesuaikan sebagaimana mestinya dengan mencerminkan keputusan majelis arbitrase.</w:t>
            </w:r>
          </w:p>
        </w:tc>
      </w:tr>
      <w:tr w:rsidR="00862B0B" w:rsidRPr="00A67277" w14:paraId="0BBAC730" w14:textId="77777777" w:rsidTr="00862B0B">
        <w:tc>
          <w:tcPr>
            <w:tcW w:w="2270" w:type="pct"/>
          </w:tcPr>
          <w:p w14:paraId="68870C3C" w14:textId="77777777" w:rsidR="00862B0B" w:rsidRPr="00A67277" w:rsidRDefault="00862B0B" w:rsidP="00862B0B">
            <w:pPr>
              <w:pStyle w:val="Heading1"/>
              <w:numPr>
                <w:ilvl w:val="0"/>
                <w:numId w:val="4"/>
              </w:numPr>
              <w:spacing w:before="60" w:after="60"/>
              <w:ind w:left="447" w:hanging="447"/>
            </w:pPr>
            <w:r w:rsidRPr="00A67277">
              <w:t>Modifications</w:t>
            </w:r>
          </w:p>
        </w:tc>
        <w:tc>
          <w:tcPr>
            <w:tcW w:w="169" w:type="pct"/>
          </w:tcPr>
          <w:p w14:paraId="1FED544F" w14:textId="77777777" w:rsidR="00862B0B" w:rsidRPr="00A67277" w:rsidRDefault="00862B0B" w:rsidP="00862B0B">
            <w:pPr>
              <w:spacing w:before="60" w:after="60"/>
              <w:rPr>
                <w:rFonts w:ascii="Arial" w:hAnsi="Arial" w:cs="Arial"/>
                <w:sz w:val="21"/>
                <w:szCs w:val="21"/>
              </w:rPr>
            </w:pPr>
          </w:p>
        </w:tc>
        <w:tc>
          <w:tcPr>
            <w:tcW w:w="2561" w:type="pct"/>
            <w:gridSpan w:val="2"/>
          </w:tcPr>
          <w:p w14:paraId="6EC80D80" w14:textId="77777777" w:rsidR="00862B0B" w:rsidRPr="00A67277" w:rsidRDefault="00862B0B" w:rsidP="00862B0B">
            <w:pPr>
              <w:pStyle w:val="CentredHeading"/>
              <w:numPr>
                <w:ilvl w:val="0"/>
                <w:numId w:val="432"/>
              </w:numPr>
              <w:spacing w:before="60" w:after="60"/>
              <w:ind w:left="483" w:hanging="425"/>
              <w:jc w:val="left"/>
              <w:rPr>
                <w:rFonts w:cs="Arial"/>
                <w:lang w:val="en-US" w:eastAsia="en-US"/>
              </w:rPr>
            </w:pPr>
            <w:r w:rsidRPr="00A67277">
              <w:rPr>
                <w:rFonts w:cs="Arial"/>
                <w:lang w:val="en-US" w:eastAsia="en-US"/>
              </w:rPr>
              <w:t>Modifikasi</w:t>
            </w:r>
          </w:p>
        </w:tc>
      </w:tr>
      <w:tr w:rsidR="00862B0B" w:rsidRPr="00A67277" w14:paraId="5E4416C8" w14:textId="77777777" w:rsidTr="00862B0B">
        <w:tc>
          <w:tcPr>
            <w:tcW w:w="2270" w:type="pct"/>
          </w:tcPr>
          <w:p w14:paraId="17782E45" w14:textId="77777777" w:rsidR="00862B0B" w:rsidRPr="00A67277" w:rsidRDefault="00862B0B" w:rsidP="00862B0B">
            <w:pPr>
              <w:pStyle w:val="Heading2"/>
              <w:numPr>
                <w:ilvl w:val="0"/>
                <w:numId w:val="102"/>
              </w:numPr>
              <w:spacing w:before="60" w:after="60"/>
              <w:ind w:left="1014" w:hanging="567"/>
              <w:outlineLvl w:val="1"/>
              <w:rPr>
                <w:rFonts w:ascii="Arial" w:hAnsi="Arial" w:cs="Arial"/>
                <w:b/>
                <w:color w:val="auto"/>
                <w:sz w:val="21"/>
                <w:szCs w:val="21"/>
              </w:rPr>
            </w:pPr>
            <w:r w:rsidRPr="00A67277">
              <w:rPr>
                <w:rFonts w:ascii="Arial" w:hAnsi="Arial" w:cs="Arial"/>
                <w:b/>
                <w:color w:val="auto"/>
                <w:sz w:val="21"/>
                <w:szCs w:val="21"/>
              </w:rPr>
              <w:t>Modification Notice</w:t>
            </w:r>
          </w:p>
        </w:tc>
        <w:tc>
          <w:tcPr>
            <w:tcW w:w="169" w:type="pct"/>
          </w:tcPr>
          <w:p w14:paraId="7893B886" w14:textId="77777777" w:rsidR="00862B0B" w:rsidRPr="00A67277" w:rsidRDefault="00862B0B" w:rsidP="00862B0B">
            <w:pPr>
              <w:spacing w:before="60" w:after="60"/>
              <w:rPr>
                <w:rFonts w:ascii="Arial" w:hAnsi="Arial" w:cs="Arial"/>
                <w:sz w:val="21"/>
                <w:szCs w:val="21"/>
              </w:rPr>
            </w:pPr>
          </w:p>
        </w:tc>
        <w:tc>
          <w:tcPr>
            <w:tcW w:w="2561" w:type="pct"/>
            <w:gridSpan w:val="2"/>
          </w:tcPr>
          <w:p w14:paraId="561AD401" w14:textId="77777777" w:rsidR="00862B0B" w:rsidRPr="00A67277" w:rsidRDefault="00862B0B" w:rsidP="00862B0B">
            <w:pPr>
              <w:pStyle w:val="Heading2"/>
              <w:numPr>
                <w:ilvl w:val="1"/>
                <w:numId w:val="432"/>
              </w:numPr>
              <w:spacing w:before="60" w:after="60"/>
              <w:ind w:left="1050" w:hanging="567"/>
              <w:outlineLvl w:val="1"/>
              <w:rPr>
                <w:rFonts w:ascii="Arial" w:hAnsi="Arial" w:cs="Arial"/>
                <w:b/>
                <w:color w:val="auto"/>
                <w:sz w:val="21"/>
                <w:szCs w:val="21"/>
              </w:rPr>
            </w:pPr>
            <w:r w:rsidRPr="00A67277">
              <w:rPr>
                <w:rFonts w:ascii="Arial" w:hAnsi="Arial" w:cs="Arial"/>
                <w:b/>
                <w:color w:val="auto"/>
                <w:sz w:val="21"/>
                <w:szCs w:val="21"/>
              </w:rPr>
              <w:t xml:space="preserve">Pemberitahuan Modifikasi </w:t>
            </w:r>
          </w:p>
        </w:tc>
      </w:tr>
      <w:tr w:rsidR="00862B0B" w:rsidRPr="00A67277" w14:paraId="361943D6" w14:textId="77777777" w:rsidTr="00862B0B">
        <w:tc>
          <w:tcPr>
            <w:tcW w:w="2270" w:type="pct"/>
          </w:tcPr>
          <w:p w14:paraId="752AF07D" w14:textId="77777777" w:rsidR="00862B0B" w:rsidRPr="00A67277" w:rsidRDefault="00862B0B" w:rsidP="00862B0B">
            <w:pPr>
              <w:pStyle w:val="Level3"/>
              <w:numPr>
                <w:ilvl w:val="2"/>
                <w:numId w:val="511"/>
              </w:numPr>
              <w:tabs>
                <w:tab w:val="clear" w:pos="1417"/>
              </w:tabs>
              <w:spacing w:before="60" w:after="60"/>
              <w:ind w:hanging="403"/>
            </w:pPr>
            <w:r w:rsidRPr="00A67277">
              <w:t xml:space="preserve">If a Party requires a </w:t>
            </w:r>
            <w:r w:rsidRPr="00A67277">
              <w:rPr>
                <w:szCs w:val="24"/>
                <w:u w:color="0000FF"/>
              </w:rPr>
              <w:t>Modification</w:t>
            </w:r>
            <w:r w:rsidRPr="00A67277">
              <w:t>, the Party deliver to the other Party a notice specifying the Modification being requested (“</w:t>
            </w:r>
            <w:r w:rsidRPr="00A67277">
              <w:rPr>
                <w:b/>
              </w:rPr>
              <w:t>Modification Notice”)</w:t>
            </w:r>
            <w:r w:rsidRPr="00A67277">
              <w:t>.</w:t>
            </w:r>
          </w:p>
          <w:p w14:paraId="0B58D297" w14:textId="77777777" w:rsidR="00862B0B" w:rsidRPr="00A67277" w:rsidRDefault="00862B0B" w:rsidP="00862B0B">
            <w:pPr>
              <w:spacing w:before="60" w:after="60"/>
              <w:rPr>
                <w:rFonts w:ascii="Arial" w:hAnsi="Arial" w:cs="Arial"/>
                <w:sz w:val="21"/>
                <w:szCs w:val="21"/>
              </w:rPr>
            </w:pPr>
          </w:p>
        </w:tc>
        <w:tc>
          <w:tcPr>
            <w:tcW w:w="169" w:type="pct"/>
          </w:tcPr>
          <w:p w14:paraId="6993A2F9" w14:textId="77777777" w:rsidR="00862B0B" w:rsidRPr="00A67277" w:rsidRDefault="00862B0B" w:rsidP="00862B0B">
            <w:pPr>
              <w:spacing w:before="60" w:after="60"/>
              <w:rPr>
                <w:rFonts w:ascii="Arial" w:hAnsi="Arial" w:cs="Arial"/>
                <w:sz w:val="21"/>
                <w:szCs w:val="21"/>
              </w:rPr>
            </w:pPr>
          </w:p>
        </w:tc>
        <w:tc>
          <w:tcPr>
            <w:tcW w:w="2561" w:type="pct"/>
            <w:gridSpan w:val="2"/>
          </w:tcPr>
          <w:p w14:paraId="5FE02C88" w14:textId="77777777" w:rsidR="00862B0B" w:rsidRPr="00A67277" w:rsidRDefault="00862B0B" w:rsidP="00862B0B">
            <w:pPr>
              <w:pStyle w:val="Level3"/>
              <w:numPr>
                <w:ilvl w:val="0"/>
                <w:numId w:val="103"/>
              </w:numPr>
              <w:spacing w:before="60" w:after="60"/>
              <w:ind w:left="1475" w:hanging="425"/>
              <w:rPr>
                <w:rFonts w:cs="Arial"/>
              </w:rPr>
            </w:pPr>
            <w:r w:rsidRPr="00A67277">
              <w:rPr>
                <w:rFonts w:cs="Arial"/>
                <w:lang w:val="id-ID"/>
              </w:rPr>
              <w:t xml:space="preserve">Jika </w:t>
            </w:r>
            <w:r w:rsidRPr="00A67277">
              <w:rPr>
                <w:rFonts w:cs="Arial"/>
                <w:lang w:val="en-US"/>
              </w:rPr>
              <w:t xml:space="preserve">salah satu PIhak </w:t>
            </w:r>
            <w:r w:rsidRPr="00A67277">
              <w:rPr>
                <w:rFonts w:cs="Arial"/>
                <w:lang w:val="id-ID"/>
              </w:rPr>
              <w:t xml:space="preserve">membutuhkan </w:t>
            </w:r>
            <w:r w:rsidRPr="00A67277">
              <w:rPr>
                <w:rFonts w:cs="Arial"/>
                <w:lang w:val="en-US"/>
              </w:rPr>
              <w:t>Modifikasi</w:t>
            </w:r>
            <w:r w:rsidRPr="00A67277">
              <w:rPr>
                <w:rFonts w:cs="Arial"/>
                <w:lang w:val="id-ID"/>
              </w:rPr>
              <w:t xml:space="preserve">, </w:t>
            </w:r>
            <w:r w:rsidRPr="00A67277">
              <w:rPr>
                <w:rFonts w:cs="Arial"/>
                <w:lang w:val="en-US"/>
              </w:rPr>
              <w:t xml:space="preserve">Pihak tersebut </w:t>
            </w:r>
            <w:r w:rsidRPr="00A67277">
              <w:rPr>
                <w:rFonts w:cs="Arial"/>
                <w:lang w:val="id-ID"/>
              </w:rPr>
              <w:t>harus menyampaikan</w:t>
            </w:r>
            <w:r w:rsidRPr="00A67277">
              <w:rPr>
                <w:rFonts w:cs="Arial"/>
                <w:lang w:val="en-US"/>
              </w:rPr>
              <w:t xml:space="preserve"> </w:t>
            </w:r>
            <w:r w:rsidRPr="00A67277">
              <w:rPr>
                <w:rFonts w:cs="Arial"/>
                <w:lang w:val="id-ID"/>
              </w:rPr>
              <w:t xml:space="preserve"> kepada </w:t>
            </w:r>
            <w:r w:rsidRPr="00A67277">
              <w:rPr>
                <w:rFonts w:cs="Arial"/>
                <w:lang w:val="en-US"/>
              </w:rPr>
              <w:t>Pihak lainnya p</w:t>
            </w:r>
            <w:r w:rsidRPr="00A67277">
              <w:rPr>
                <w:rFonts w:cs="Arial"/>
                <w:lang w:val="id-ID"/>
              </w:rPr>
              <w:t xml:space="preserve">emberitahuan </w:t>
            </w:r>
            <w:r w:rsidRPr="00A67277">
              <w:rPr>
                <w:rFonts w:cs="Arial"/>
                <w:lang w:val="en-US"/>
              </w:rPr>
              <w:t>mengenai Modifikasi yang diminta (“</w:t>
            </w:r>
            <w:r w:rsidRPr="00A67277">
              <w:rPr>
                <w:rFonts w:cs="Arial"/>
                <w:b/>
                <w:lang w:val="en-US"/>
              </w:rPr>
              <w:t>Pemberitahuan Modifikasi</w:t>
            </w:r>
            <w:r w:rsidRPr="00A67277">
              <w:rPr>
                <w:rFonts w:cs="Arial"/>
                <w:lang w:val="en-US"/>
              </w:rPr>
              <w:t>”)</w:t>
            </w:r>
            <w:r w:rsidRPr="00A67277">
              <w:rPr>
                <w:rFonts w:cs="Arial"/>
              </w:rPr>
              <w:t>.</w:t>
            </w:r>
          </w:p>
        </w:tc>
      </w:tr>
      <w:tr w:rsidR="00862B0B" w:rsidRPr="00A67277" w14:paraId="09A6BEE9" w14:textId="77777777" w:rsidTr="00862B0B">
        <w:tc>
          <w:tcPr>
            <w:tcW w:w="2270" w:type="pct"/>
          </w:tcPr>
          <w:p w14:paraId="024C27D6" w14:textId="77777777" w:rsidR="00862B0B" w:rsidRPr="00A67277" w:rsidRDefault="00862B0B" w:rsidP="00862B0B">
            <w:pPr>
              <w:pStyle w:val="Level3"/>
              <w:numPr>
                <w:ilvl w:val="2"/>
                <w:numId w:val="511"/>
              </w:numPr>
              <w:tabs>
                <w:tab w:val="clear" w:pos="1417"/>
              </w:tabs>
              <w:spacing w:before="60" w:after="60"/>
              <w:ind w:hanging="403"/>
            </w:pPr>
            <w:r w:rsidRPr="00A67277">
              <w:t>Modification Notice shall be provided in writing and shall set out the variation in the Works and/or Service required.</w:t>
            </w:r>
          </w:p>
          <w:p w14:paraId="3EA0EDF8" w14:textId="77777777" w:rsidR="00862B0B" w:rsidRPr="00A67277" w:rsidRDefault="00862B0B" w:rsidP="00862B0B">
            <w:pPr>
              <w:spacing w:before="60" w:after="60"/>
              <w:ind w:left="1417" w:hanging="403"/>
              <w:rPr>
                <w:rFonts w:ascii="Arial" w:eastAsia="Arial Unicode MS" w:hAnsi="Arial" w:cs="Times New Roman"/>
                <w:sz w:val="21"/>
                <w:szCs w:val="21"/>
                <w:lang w:val="en-GB" w:eastAsia="en-GB"/>
              </w:rPr>
            </w:pPr>
          </w:p>
        </w:tc>
        <w:tc>
          <w:tcPr>
            <w:tcW w:w="169" w:type="pct"/>
          </w:tcPr>
          <w:p w14:paraId="3ED629E6" w14:textId="77777777" w:rsidR="00862B0B" w:rsidRPr="00A67277" w:rsidRDefault="00862B0B" w:rsidP="00862B0B">
            <w:pPr>
              <w:spacing w:before="60" w:after="60"/>
              <w:rPr>
                <w:rFonts w:ascii="Arial" w:hAnsi="Arial" w:cs="Arial"/>
                <w:sz w:val="21"/>
                <w:szCs w:val="21"/>
              </w:rPr>
            </w:pPr>
          </w:p>
        </w:tc>
        <w:tc>
          <w:tcPr>
            <w:tcW w:w="2561" w:type="pct"/>
            <w:gridSpan w:val="2"/>
          </w:tcPr>
          <w:p w14:paraId="39122F20"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Pemberitahuan Modifikasi harus diberikan secara tertulis dan harus menjelaskan perubahan terhadap Pekerjaan dan/atau Layanan yang diperlukan.</w:t>
            </w:r>
          </w:p>
        </w:tc>
      </w:tr>
      <w:tr w:rsidR="00862B0B" w:rsidRPr="00A67277" w14:paraId="421122BC" w14:textId="77777777" w:rsidTr="00862B0B">
        <w:tc>
          <w:tcPr>
            <w:tcW w:w="2270" w:type="pct"/>
          </w:tcPr>
          <w:p w14:paraId="5CF6B3C7" w14:textId="77777777" w:rsidR="00862B0B" w:rsidRPr="00A67277" w:rsidDel="00D32484" w:rsidRDefault="00862B0B" w:rsidP="00862B0B">
            <w:pPr>
              <w:pStyle w:val="Level3"/>
              <w:numPr>
                <w:ilvl w:val="2"/>
                <w:numId w:val="511"/>
              </w:numPr>
              <w:tabs>
                <w:tab w:val="clear" w:pos="1417"/>
              </w:tabs>
              <w:spacing w:before="60" w:after="60"/>
              <w:ind w:hanging="403"/>
            </w:pPr>
            <w:r w:rsidRPr="00A67277">
              <w:t xml:space="preserve">The GCA and the IBE shall meet to discuss the Modification Notice within [●] Days after receipt of such Modification Notice by the other Party. </w:t>
            </w:r>
          </w:p>
        </w:tc>
        <w:tc>
          <w:tcPr>
            <w:tcW w:w="169" w:type="pct"/>
          </w:tcPr>
          <w:p w14:paraId="7F5BCFE7" w14:textId="77777777" w:rsidR="00862B0B" w:rsidRPr="00A67277" w:rsidRDefault="00862B0B" w:rsidP="00862B0B">
            <w:pPr>
              <w:spacing w:before="60" w:after="60"/>
              <w:rPr>
                <w:rFonts w:ascii="Arial" w:hAnsi="Arial" w:cs="Arial"/>
                <w:sz w:val="21"/>
                <w:szCs w:val="21"/>
              </w:rPr>
            </w:pPr>
          </w:p>
        </w:tc>
        <w:tc>
          <w:tcPr>
            <w:tcW w:w="2561" w:type="pct"/>
            <w:gridSpan w:val="2"/>
          </w:tcPr>
          <w:p w14:paraId="0043BF5E"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 xml:space="preserve">PJPK dan BUP harus bertemu untuk membahas Pemberitahuan Modifikasi dalam [●] Hari setelah diterimanya Pemberitahuan Modifikasi oleh Pihak lainnya. </w:t>
            </w:r>
          </w:p>
        </w:tc>
      </w:tr>
      <w:tr w:rsidR="00862B0B" w:rsidRPr="00A67277" w14:paraId="272E7BA0" w14:textId="77777777" w:rsidTr="00862B0B">
        <w:tc>
          <w:tcPr>
            <w:tcW w:w="2270" w:type="pct"/>
          </w:tcPr>
          <w:p w14:paraId="266E58DF" w14:textId="77777777" w:rsidR="00862B0B" w:rsidRPr="00A67277" w:rsidRDefault="00862B0B" w:rsidP="00862B0B">
            <w:pPr>
              <w:pStyle w:val="Level3"/>
              <w:numPr>
                <w:ilvl w:val="2"/>
                <w:numId w:val="511"/>
              </w:numPr>
              <w:tabs>
                <w:tab w:val="clear" w:pos="1417"/>
              </w:tabs>
              <w:spacing w:before="60" w:after="60"/>
              <w:ind w:hanging="403"/>
            </w:pPr>
            <w:r w:rsidRPr="00A67277">
              <w:t>If the Parties agree with the Modification, then IBE shall calculate the estimated change in costs and expenses attributed to the Project that would result directly from the implementation of the proposed Modification (“</w:t>
            </w:r>
            <w:r w:rsidRPr="00A67277">
              <w:rPr>
                <w:b/>
              </w:rPr>
              <w:t>Modification Estimate</w:t>
            </w:r>
            <w:r w:rsidRPr="00A67277">
              <w:t>”).  IBE shall submit the the Modification Estimate to GCA within:</w:t>
            </w:r>
          </w:p>
        </w:tc>
        <w:tc>
          <w:tcPr>
            <w:tcW w:w="169" w:type="pct"/>
          </w:tcPr>
          <w:p w14:paraId="72542B51" w14:textId="77777777" w:rsidR="00862B0B" w:rsidRPr="00A67277" w:rsidRDefault="00862B0B" w:rsidP="00862B0B">
            <w:pPr>
              <w:spacing w:before="60" w:after="60"/>
              <w:rPr>
                <w:rFonts w:ascii="Arial" w:hAnsi="Arial" w:cs="Arial"/>
                <w:sz w:val="21"/>
                <w:szCs w:val="21"/>
              </w:rPr>
            </w:pPr>
          </w:p>
        </w:tc>
        <w:tc>
          <w:tcPr>
            <w:tcW w:w="2561" w:type="pct"/>
            <w:gridSpan w:val="2"/>
          </w:tcPr>
          <w:p w14:paraId="220EA722" w14:textId="06C5BAD0"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Jika Para Pihak sepakat dengan Modifikasi, maka  BUP harus menghitung perkiraan perubahan biaya dan pengeluaran yang terkait dengan Proyek yang akan terdampak langsung karena pelaksanaan Modifikasi yang diusulkan (</w:t>
            </w:r>
            <w:r w:rsidRPr="00A67277">
              <w:rPr>
                <w:rFonts w:cs="Arial"/>
                <w:lang w:val="en-US"/>
              </w:rPr>
              <w:t>“</w:t>
            </w:r>
            <w:r w:rsidRPr="00A67277">
              <w:rPr>
                <w:rFonts w:cs="Arial"/>
                <w:b/>
                <w:lang w:val="id-ID"/>
              </w:rPr>
              <w:t>Perkiraan Modifikasi</w:t>
            </w:r>
            <w:r w:rsidRPr="00A67277">
              <w:rPr>
                <w:rFonts w:cs="Arial"/>
                <w:lang w:val="en-US"/>
              </w:rPr>
              <w:t>”</w:t>
            </w:r>
            <w:r w:rsidRPr="00A67277">
              <w:rPr>
                <w:rFonts w:cs="Arial"/>
                <w:lang w:val="id-ID"/>
              </w:rPr>
              <w:t xml:space="preserve">).  BUP harus menyediakan </w:t>
            </w:r>
            <w:r w:rsidRPr="00A67277">
              <w:rPr>
                <w:rFonts w:cs="Arial"/>
                <w:lang w:val="en-US"/>
              </w:rPr>
              <w:t xml:space="preserve">Perkiraan Modifikasi kepada </w:t>
            </w:r>
            <w:r w:rsidRPr="00A67277">
              <w:rPr>
                <w:rFonts w:cs="Arial"/>
                <w:lang w:val="id-ID"/>
              </w:rPr>
              <w:t>PJPK dalam:</w:t>
            </w:r>
          </w:p>
        </w:tc>
      </w:tr>
      <w:tr w:rsidR="00862B0B" w:rsidRPr="00A67277" w14:paraId="744C6148" w14:textId="77777777" w:rsidTr="00862B0B">
        <w:tc>
          <w:tcPr>
            <w:tcW w:w="2270" w:type="pct"/>
          </w:tcPr>
          <w:p w14:paraId="3D496C69" w14:textId="77777777" w:rsidR="00862B0B" w:rsidRPr="00A67277" w:rsidRDefault="00862B0B" w:rsidP="00862B0B">
            <w:pPr>
              <w:pStyle w:val="Level4"/>
              <w:numPr>
                <w:ilvl w:val="0"/>
                <w:numId w:val="104"/>
              </w:numPr>
              <w:spacing w:before="60" w:after="60"/>
              <w:ind w:left="1865" w:hanging="425"/>
            </w:pPr>
            <w:r w:rsidRPr="00A67277">
              <w:t>(if such Modification does not include major capital investment), twenty-one (21) Days of the agreement of the Parties as referred to in paragraph (d); or</w:t>
            </w:r>
          </w:p>
          <w:p w14:paraId="44D0D654" w14:textId="77777777" w:rsidR="00862B0B" w:rsidRPr="00A67277" w:rsidRDefault="00862B0B" w:rsidP="00862B0B">
            <w:pPr>
              <w:pStyle w:val="Level4"/>
              <w:tabs>
                <w:tab w:val="clear" w:pos="2126"/>
              </w:tabs>
              <w:spacing w:before="60" w:after="60"/>
              <w:ind w:left="2160" w:firstLine="0"/>
            </w:pPr>
          </w:p>
        </w:tc>
        <w:tc>
          <w:tcPr>
            <w:tcW w:w="169" w:type="pct"/>
          </w:tcPr>
          <w:p w14:paraId="1ABB3AB8" w14:textId="77777777" w:rsidR="00862B0B" w:rsidRPr="00A67277" w:rsidRDefault="00862B0B" w:rsidP="00862B0B">
            <w:pPr>
              <w:spacing w:before="60" w:after="60"/>
              <w:rPr>
                <w:rFonts w:ascii="Arial" w:hAnsi="Arial" w:cs="Arial"/>
                <w:sz w:val="21"/>
                <w:szCs w:val="21"/>
              </w:rPr>
            </w:pPr>
          </w:p>
        </w:tc>
        <w:tc>
          <w:tcPr>
            <w:tcW w:w="2561" w:type="pct"/>
            <w:gridSpan w:val="2"/>
          </w:tcPr>
          <w:p w14:paraId="1BC87565" w14:textId="6A9C8052" w:rsidR="00862B0B" w:rsidRPr="00A67277" w:rsidRDefault="00862B0B" w:rsidP="00862B0B">
            <w:pPr>
              <w:pStyle w:val="Level4"/>
              <w:numPr>
                <w:ilvl w:val="0"/>
                <w:numId w:val="105"/>
              </w:numPr>
              <w:spacing w:before="60" w:after="60"/>
              <w:ind w:left="1900" w:hanging="425"/>
              <w:rPr>
                <w:rFonts w:cs="Arial"/>
              </w:rPr>
            </w:pPr>
            <w:r w:rsidRPr="00A67277">
              <w:rPr>
                <w:rFonts w:cs="Arial"/>
              </w:rPr>
              <w:t>(jika Modifikasi tersebut tidak termasuk investasi modal signifikan), dua puluh satu (21) Hari sejak kesepakatan Para Pihak sebagaimana dimaksud pada paragraf (d); atau</w:t>
            </w:r>
          </w:p>
        </w:tc>
      </w:tr>
      <w:tr w:rsidR="00862B0B" w:rsidRPr="00A67277" w14:paraId="737FD462" w14:textId="77777777" w:rsidTr="00862B0B">
        <w:tc>
          <w:tcPr>
            <w:tcW w:w="2270" w:type="pct"/>
          </w:tcPr>
          <w:p w14:paraId="313CECD6" w14:textId="77777777" w:rsidR="00862B0B" w:rsidRPr="00A67277" w:rsidRDefault="00862B0B" w:rsidP="00862B0B">
            <w:pPr>
              <w:pStyle w:val="Level4"/>
              <w:numPr>
                <w:ilvl w:val="0"/>
                <w:numId w:val="104"/>
              </w:numPr>
              <w:spacing w:before="60" w:after="60"/>
              <w:ind w:left="1865" w:hanging="425"/>
            </w:pPr>
            <w:r w:rsidRPr="00A67277">
              <w:t>(if such Modification includes major capital investment), sixty (60) Days of the  agreement of the Parties as referred to in paragraph (d),</w:t>
            </w:r>
          </w:p>
          <w:p w14:paraId="095693F4" w14:textId="77777777" w:rsidR="00862B0B" w:rsidRPr="00A67277" w:rsidRDefault="00862B0B" w:rsidP="00862B0B">
            <w:pPr>
              <w:pStyle w:val="Level4"/>
              <w:tabs>
                <w:tab w:val="clear" w:pos="2126"/>
              </w:tabs>
              <w:spacing w:before="60" w:after="60"/>
              <w:ind w:left="1865" w:hanging="425"/>
            </w:pPr>
          </w:p>
        </w:tc>
        <w:tc>
          <w:tcPr>
            <w:tcW w:w="169" w:type="pct"/>
          </w:tcPr>
          <w:p w14:paraId="5976B2AF" w14:textId="77777777" w:rsidR="00862B0B" w:rsidRPr="00A67277" w:rsidRDefault="00862B0B" w:rsidP="00862B0B">
            <w:pPr>
              <w:spacing w:before="60" w:after="60"/>
              <w:rPr>
                <w:rFonts w:ascii="Arial" w:hAnsi="Arial" w:cs="Arial"/>
                <w:sz w:val="21"/>
                <w:szCs w:val="21"/>
              </w:rPr>
            </w:pPr>
          </w:p>
        </w:tc>
        <w:tc>
          <w:tcPr>
            <w:tcW w:w="2561" w:type="pct"/>
            <w:gridSpan w:val="2"/>
          </w:tcPr>
          <w:p w14:paraId="39B1C282" w14:textId="10F3C3ED" w:rsidR="00862B0B" w:rsidRPr="00A67277" w:rsidRDefault="00862B0B" w:rsidP="00862B0B">
            <w:pPr>
              <w:pStyle w:val="Level4"/>
              <w:numPr>
                <w:ilvl w:val="0"/>
                <w:numId w:val="105"/>
              </w:numPr>
              <w:spacing w:before="60" w:after="60"/>
              <w:ind w:left="1900" w:hanging="425"/>
              <w:rPr>
                <w:rFonts w:cs="Arial"/>
              </w:rPr>
            </w:pPr>
            <w:r w:rsidRPr="00A67277">
              <w:rPr>
                <w:rFonts w:cs="Arial"/>
              </w:rPr>
              <w:t>(jika Modifikasi tersebut termasuk investasi modal signifikan), enam puluh (60) Hari sejak  kesepakatan Para Pihak sebagaimana dimaksud pada paragraf (d),</w:t>
            </w:r>
          </w:p>
        </w:tc>
      </w:tr>
      <w:tr w:rsidR="00862B0B" w:rsidRPr="00A67277" w14:paraId="4CF6024D" w14:textId="77777777" w:rsidTr="00862B0B">
        <w:tc>
          <w:tcPr>
            <w:tcW w:w="2270" w:type="pct"/>
          </w:tcPr>
          <w:p w14:paraId="0A03A7AB" w14:textId="77777777" w:rsidR="00862B0B" w:rsidRPr="00A67277" w:rsidRDefault="00862B0B" w:rsidP="00862B0B">
            <w:pPr>
              <w:pStyle w:val="Level4"/>
              <w:tabs>
                <w:tab w:val="clear" w:pos="2126"/>
              </w:tabs>
              <w:spacing w:before="60" w:after="60"/>
              <w:ind w:left="1440" w:firstLine="0"/>
            </w:pPr>
            <w:r w:rsidRPr="00A67277">
              <w:t xml:space="preserve">provided that such any Modification will be regarded to include major capital investment if Estimated Change in Project Cost is greater than </w:t>
            </w:r>
            <w:r w:rsidRPr="00A67277">
              <w:rPr>
                <w:szCs w:val="24"/>
              </w:rPr>
              <w:t>[●]; and</w:t>
            </w:r>
          </w:p>
          <w:p w14:paraId="49440C89" w14:textId="77777777" w:rsidR="00862B0B" w:rsidRPr="00A67277" w:rsidRDefault="00862B0B" w:rsidP="00862B0B">
            <w:pPr>
              <w:spacing w:before="60" w:after="60"/>
              <w:rPr>
                <w:rFonts w:ascii="Arial" w:hAnsi="Arial" w:cs="Arial"/>
                <w:sz w:val="21"/>
                <w:szCs w:val="21"/>
              </w:rPr>
            </w:pPr>
          </w:p>
        </w:tc>
        <w:tc>
          <w:tcPr>
            <w:tcW w:w="169" w:type="pct"/>
          </w:tcPr>
          <w:p w14:paraId="52A1AD33" w14:textId="77777777" w:rsidR="00862B0B" w:rsidRPr="00A67277" w:rsidRDefault="00862B0B" w:rsidP="00862B0B">
            <w:pPr>
              <w:spacing w:before="60" w:after="60"/>
              <w:rPr>
                <w:rFonts w:ascii="Arial" w:hAnsi="Arial" w:cs="Arial"/>
                <w:sz w:val="21"/>
                <w:szCs w:val="21"/>
              </w:rPr>
            </w:pPr>
          </w:p>
        </w:tc>
        <w:tc>
          <w:tcPr>
            <w:tcW w:w="2561" w:type="pct"/>
            <w:gridSpan w:val="2"/>
          </w:tcPr>
          <w:p w14:paraId="1F7E57AB" w14:textId="72B0116B" w:rsidR="00862B0B" w:rsidRPr="00A67277" w:rsidRDefault="00862B0B" w:rsidP="00862B0B">
            <w:pPr>
              <w:pStyle w:val="Level4"/>
              <w:tabs>
                <w:tab w:val="clear" w:pos="2126"/>
              </w:tabs>
              <w:spacing w:before="60" w:after="60"/>
              <w:ind w:left="1475" w:firstLine="0"/>
              <w:rPr>
                <w:rFonts w:cs="Arial"/>
              </w:rPr>
            </w:pPr>
            <w:r w:rsidRPr="00A67277">
              <w:rPr>
                <w:rFonts w:cs="Arial"/>
                <w:u w:color="0000FF"/>
              </w:rPr>
              <w:t>dengan</w:t>
            </w:r>
            <w:r w:rsidRPr="00A67277">
              <w:rPr>
                <w:rFonts w:cs="Arial"/>
              </w:rPr>
              <w:t xml:space="preserve"> ketentuan bahwa Modifikasi tersebut akan dianggap termasuk investasi modal signifikan jika Perkiraan Modifikasi dalam Biaya Proyek lebih besar daripada [●]; dan</w:t>
            </w:r>
          </w:p>
        </w:tc>
      </w:tr>
      <w:tr w:rsidR="00862B0B" w:rsidRPr="00A67277" w14:paraId="2EF8EAA8" w14:textId="77777777" w:rsidTr="00862B0B">
        <w:tc>
          <w:tcPr>
            <w:tcW w:w="2270" w:type="pct"/>
          </w:tcPr>
          <w:p w14:paraId="14C3333E" w14:textId="77777777" w:rsidR="00862B0B" w:rsidRPr="00A67277" w:rsidRDefault="00862B0B" w:rsidP="00862B0B">
            <w:pPr>
              <w:pStyle w:val="Level3"/>
              <w:numPr>
                <w:ilvl w:val="2"/>
                <w:numId w:val="511"/>
              </w:numPr>
              <w:tabs>
                <w:tab w:val="clear" w:pos="1417"/>
              </w:tabs>
              <w:spacing w:before="60" w:after="60"/>
              <w:ind w:hanging="403"/>
            </w:pPr>
            <w:r w:rsidRPr="00A67277">
              <w:t>Modification Estimate shall be delivered to GCA by providing below information:</w:t>
            </w:r>
          </w:p>
        </w:tc>
        <w:tc>
          <w:tcPr>
            <w:tcW w:w="169" w:type="pct"/>
          </w:tcPr>
          <w:p w14:paraId="1F91A140" w14:textId="77777777" w:rsidR="00862B0B" w:rsidRPr="00A67277" w:rsidRDefault="00862B0B" w:rsidP="00862B0B">
            <w:pPr>
              <w:spacing w:before="60" w:after="60"/>
              <w:rPr>
                <w:rFonts w:ascii="Arial" w:hAnsi="Arial" w:cs="Arial"/>
                <w:sz w:val="21"/>
                <w:szCs w:val="21"/>
              </w:rPr>
            </w:pPr>
          </w:p>
        </w:tc>
        <w:tc>
          <w:tcPr>
            <w:tcW w:w="2561" w:type="pct"/>
            <w:gridSpan w:val="2"/>
          </w:tcPr>
          <w:p w14:paraId="30E3D1EB"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Perkiraan Modifikasi harus disampaikan kepada PJPK disertai dengan informasi sebagai berikut:</w:t>
            </w:r>
          </w:p>
        </w:tc>
      </w:tr>
      <w:tr w:rsidR="00862B0B" w:rsidRPr="00A67277" w14:paraId="6300BE90" w14:textId="77777777" w:rsidTr="00862B0B">
        <w:tc>
          <w:tcPr>
            <w:tcW w:w="2270" w:type="pct"/>
          </w:tcPr>
          <w:p w14:paraId="1E4EF10C" w14:textId="77777777" w:rsidR="00862B0B" w:rsidRPr="00A67277" w:rsidRDefault="00862B0B" w:rsidP="00862B0B">
            <w:pPr>
              <w:pStyle w:val="Level4"/>
              <w:numPr>
                <w:ilvl w:val="0"/>
                <w:numId w:val="106"/>
              </w:numPr>
              <w:spacing w:before="60" w:after="60"/>
              <w:ind w:left="1865" w:hanging="425"/>
            </w:pPr>
            <w:r w:rsidRPr="00A67277">
              <w:t xml:space="preserve">whether relief from compliance with any of its obligations is required (including the obligations of the IBE to achieve the Milestones by the applicable Milestone Dates and/or to meet the requirements of the </w:t>
            </w:r>
            <w:r w:rsidRPr="00A67277">
              <w:rPr>
                <w:rFonts w:cs="Arial"/>
              </w:rPr>
              <w:t xml:space="preserve"> Key Performance Indicators</w:t>
            </w:r>
            <w:r w:rsidRPr="00A67277">
              <w:rPr>
                <w:szCs w:val="24"/>
                <w:u w:color="0000FF"/>
              </w:rPr>
              <w:t xml:space="preserve"> and/or the Design and Technical Specifications</w:t>
            </w:r>
            <w:r w:rsidRPr="00A67277">
              <w:t>), during or as a result of the implementation of the proposed Modification;</w:t>
            </w:r>
          </w:p>
          <w:p w14:paraId="55820DCF" w14:textId="77777777" w:rsidR="00862B0B" w:rsidRPr="00A67277" w:rsidRDefault="00862B0B" w:rsidP="00862B0B">
            <w:pPr>
              <w:spacing w:before="60" w:after="60"/>
              <w:rPr>
                <w:rFonts w:ascii="Arial" w:hAnsi="Arial" w:cs="Arial"/>
                <w:sz w:val="21"/>
                <w:szCs w:val="21"/>
              </w:rPr>
            </w:pPr>
          </w:p>
        </w:tc>
        <w:tc>
          <w:tcPr>
            <w:tcW w:w="169" w:type="pct"/>
          </w:tcPr>
          <w:p w14:paraId="79589DBB" w14:textId="77777777" w:rsidR="00862B0B" w:rsidRPr="00A67277" w:rsidRDefault="00862B0B" w:rsidP="00862B0B">
            <w:pPr>
              <w:spacing w:before="60" w:after="60"/>
              <w:rPr>
                <w:rFonts w:ascii="Arial" w:hAnsi="Arial" w:cs="Arial"/>
                <w:sz w:val="21"/>
                <w:szCs w:val="21"/>
              </w:rPr>
            </w:pPr>
          </w:p>
        </w:tc>
        <w:tc>
          <w:tcPr>
            <w:tcW w:w="2561" w:type="pct"/>
            <w:gridSpan w:val="2"/>
          </w:tcPr>
          <w:p w14:paraId="57A7FF7A" w14:textId="77777777" w:rsidR="00862B0B" w:rsidRPr="00A67277" w:rsidRDefault="00862B0B" w:rsidP="00862B0B">
            <w:pPr>
              <w:pStyle w:val="Level4"/>
              <w:numPr>
                <w:ilvl w:val="0"/>
                <w:numId w:val="107"/>
              </w:numPr>
              <w:spacing w:before="60" w:after="60"/>
              <w:ind w:left="1900" w:hanging="425"/>
              <w:rPr>
                <w:rFonts w:cs="Arial"/>
              </w:rPr>
            </w:pPr>
            <w:r w:rsidRPr="00A67277">
              <w:rPr>
                <w:rFonts w:cs="Arial"/>
                <w:lang w:val="id-ID"/>
              </w:rPr>
              <w:t xml:space="preserve">apakah diperlukannya pembebasan dari kewajibannya (termasuk kewajiban BUP untuk mencapai Pencapaian pada Tanggal Pencapaian yang berlaku dan/atau untuk memenuhi persyaratan </w:t>
            </w:r>
            <w:r w:rsidRPr="00A67277">
              <w:rPr>
                <w:rFonts w:cs="Arial"/>
                <w:lang w:val="en-US"/>
              </w:rPr>
              <w:t xml:space="preserve">Indikator Kinerja Utama </w:t>
            </w:r>
            <w:r w:rsidRPr="00A67277">
              <w:rPr>
                <w:rFonts w:cs="Arial"/>
                <w:lang w:val="id-ID"/>
              </w:rPr>
              <w:t xml:space="preserve">dan/atau Spesifikasi Desain dan Teknis), selama atau sebagai hasil dari pelaksanaan </w:t>
            </w:r>
            <w:r w:rsidRPr="00A67277">
              <w:rPr>
                <w:rFonts w:cs="Arial"/>
                <w:lang w:val="en-US"/>
              </w:rPr>
              <w:t xml:space="preserve">Modifikasi </w:t>
            </w:r>
            <w:r w:rsidRPr="00A67277">
              <w:rPr>
                <w:rFonts w:cs="Arial"/>
                <w:lang w:val="id-ID"/>
              </w:rPr>
              <w:t>yang diusulkan</w:t>
            </w:r>
            <w:r w:rsidRPr="00A67277">
              <w:rPr>
                <w:rFonts w:cs="Arial"/>
              </w:rPr>
              <w:t>;</w:t>
            </w:r>
          </w:p>
        </w:tc>
      </w:tr>
      <w:tr w:rsidR="00862B0B" w:rsidRPr="00A67277" w14:paraId="1D939833" w14:textId="77777777" w:rsidTr="00862B0B">
        <w:tc>
          <w:tcPr>
            <w:tcW w:w="2270" w:type="pct"/>
          </w:tcPr>
          <w:p w14:paraId="2E9B92F3" w14:textId="55ED1088" w:rsidR="00862B0B" w:rsidRPr="00A67277" w:rsidRDefault="00862B0B" w:rsidP="00862B0B">
            <w:pPr>
              <w:pStyle w:val="Level4"/>
              <w:numPr>
                <w:ilvl w:val="0"/>
                <w:numId w:val="106"/>
              </w:numPr>
              <w:spacing w:before="60" w:after="60"/>
              <w:ind w:left="1865" w:hanging="425"/>
            </w:pPr>
            <w:r w:rsidRPr="00A67277">
              <w:t xml:space="preserve">any change in </w:t>
            </w:r>
            <w:r>
              <w:t>Service Fee</w:t>
            </w:r>
            <w:r w:rsidRPr="00A67277">
              <w:t>;</w:t>
            </w:r>
          </w:p>
          <w:p w14:paraId="216138B0"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29C88B8F" w14:textId="77777777" w:rsidR="00862B0B" w:rsidRPr="00A67277" w:rsidRDefault="00862B0B" w:rsidP="00862B0B">
            <w:pPr>
              <w:spacing w:before="60" w:after="60"/>
              <w:rPr>
                <w:rFonts w:ascii="Arial" w:hAnsi="Arial" w:cs="Arial"/>
                <w:sz w:val="21"/>
                <w:szCs w:val="21"/>
              </w:rPr>
            </w:pPr>
          </w:p>
        </w:tc>
        <w:tc>
          <w:tcPr>
            <w:tcW w:w="2561" w:type="pct"/>
            <w:gridSpan w:val="2"/>
          </w:tcPr>
          <w:p w14:paraId="0D9EBBB4" w14:textId="02A01DC2"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 xml:space="preserve">setiap perubahan dalam Biaya </w:t>
            </w:r>
            <w:r w:rsidRPr="00A67277">
              <w:rPr>
                <w:rFonts w:cs="Arial"/>
                <w:lang w:val="en-US"/>
              </w:rPr>
              <w:t>Layanan</w:t>
            </w:r>
            <w:r w:rsidRPr="00A67277">
              <w:rPr>
                <w:rFonts w:cs="Arial"/>
                <w:lang w:val="id-ID"/>
              </w:rPr>
              <w:t>;</w:t>
            </w:r>
          </w:p>
        </w:tc>
      </w:tr>
      <w:tr w:rsidR="00862B0B" w:rsidRPr="00A67277" w14:paraId="1F83A7DD" w14:textId="77777777" w:rsidTr="00862B0B">
        <w:tc>
          <w:tcPr>
            <w:tcW w:w="2270" w:type="pct"/>
          </w:tcPr>
          <w:p w14:paraId="42428BA8" w14:textId="77777777" w:rsidR="00862B0B" w:rsidRPr="00A67277" w:rsidRDefault="00862B0B" w:rsidP="00862B0B">
            <w:pPr>
              <w:pStyle w:val="Level4"/>
              <w:numPr>
                <w:ilvl w:val="0"/>
                <w:numId w:val="106"/>
              </w:numPr>
              <w:spacing w:before="60" w:after="60"/>
              <w:ind w:left="1865" w:hanging="425"/>
            </w:pPr>
            <w:r w:rsidRPr="00A67277">
              <w:t>any impact on the performance of the Project Operations;</w:t>
            </w:r>
          </w:p>
        </w:tc>
        <w:tc>
          <w:tcPr>
            <w:tcW w:w="169" w:type="pct"/>
          </w:tcPr>
          <w:p w14:paraId="0DF48F8A" w14:textId="77777777" w:rsidR="00862B0B" w:rsidRPr="00A67277" w:rsidRDefault="00862B0B" w:rsidP="00862B0B">
            <w:pPr>
              <w:spacing w:before="60" w:after="60"/>
              <w:rPr>
                <w:rFonts w:ascii="Arial" w:hAnsi="Arial" w:cs="Arial"/>
                <w:sz w:val="21"/>
                <w:szCs w:val="21"/>
              </w:rPr>
            </w:pPr>
          </w:p>
        </w:tc>
        <w:tc>
          <w:tcPr>
            <w:tcW w:w="2561" w:type="pct"/>
            <w:gridSpan w:val="2"/>
          </w:tcPr>
          <w:p w14:paraId="7A335CFF"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dampak apapun terhadap kinerja Penyelenggaraan Proyek;</w:t>
            </w:r>
          </w:p>
        </w:tc>
      </w:tr>
      <w:tr w:rsidR="00862B0B" w:rsidRPr="00A67277" w14:paraId="7AF6CB84" w14:textId="77777777" w:rsidTr="00862B0B">
        <w:tc>
          <w:tcPr>
            <w:tcW w:w="2270" w:type="pct"/>
          </w:tcPr>
          <w:p w14:paraId="18CB7B44" w14:textId="77777777" w:rsidR="00862B0B" w:rsidRPr="00A67277" w:rsidRDefault="00862B0B" w:rsidP="00862B0B">
            <w:pPr>
              <w:pStyle w:val="Level4"/>
              <w:numPr>
                <w:ilvl w:val="0"/>
                <w:numId w:val="106"/>
              </w:numPr>
              <w:spacing w:before="60" w:after="60"/>
              <w:ind w:left="1865" w:hanging="425"/>
            </w:pPr>
            <w:r w:rsidRPr="00A67277">
              <w:t>any amendment required to this Agreement and/or any Project Agreements as a result of the implementation of the proposed Modification;</w:t>
            </w:r>
          </w:p>
          <w:p w14:paraId="51449919"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4FB2332A" w14:textId="77777777" w:rsidR="00862B0B" w:rsidRPr="00A67277" w:rsidRDefault="00862B0B" w:rsidP="00862B0B">
            <w:pPr>
              <w:spacing w:before="60" w:after="60"/>
              <w:rPr>
                <w:rFonts w:ascii="Arial" w:hAnsi="Arial" w:cs="Arial"/>
                <w:sz w:val="21"/>
                <w:szCs w:val="21"/>
              </w:rPr>
            </w:pPr>
          </w:p>
        </w:tc>
        <w:tc>
          <w:tcPr>
            <w:tcW w:w="2561" w:type="pct"/>
            <w:gridSpan w:val="2"/>
          </w:tcPr>
          <w:p w14:paraId="0261BF5C"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setiap amandemen yang disyaratkan terhadap Perjanjian ini dan/atau Perjanjian Proyek apa pun sebagai akibat dari pelaksanaan Modifikasi yang diusulkan;</w:t>
            </w:r>
          </w:p>
        </w:tc>
      </w:tr>
      <w:tr w:rsidR="00862B0B" w:rsidRPr="00A67277" w14:paraId="1FD38CE9" w14:textId="77777777" w:rsidTr="00862B0B">
        <w:tc>
          <w:tcPr>
            <w:tcW w:w="2270" w:type="pct"/>
          </w:tcPr>
          <w:p w14:paraId="68EA6F67" w14:textId="77777777" w:rsidR="00862B0B" w:rsidRPr="00A67277" w:rsidRDefault="00862B0B" w:rsidP="00862B0B">
            <w:pPr>
              <w:pStyle w:val="Level4"/>
              <w:numPr>
                <w:ilvl w:val="0"/>
                <w:numId w:val="106"/>
              </w:numPr>
              <w:spacing w:before="60" w:after="60"/>
              <w:ind w:left="1865" w:hanging="425"/>
            </w:pPr>
            <w:r w:rsidRPr="00A67277">
              <w:t>any change in forecasted revenue from the Project that would result from the implementation of the proposed Modification;</w:t>
            </w:r>
          </w:p>
          <w:p w14:paraId="04C0BB48"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70DD6C1B" w14:textId="77777777" w:rsidR="00862B0B" w:rsidRPr="00A67277" w:rsidRDefault="00862B0B" w:rsidP="00862B0B">
            <w:pPr>
              <w:spacing w:before="60" w:after="60"/>
              <w:rPr>
                <w:rFonts w:ascii="Arial" w:hAnsi="Arial" w:cs="Arial"/>
                <w:sz w:val="21"/>
                <w:szCs w:val="21"/>
              </w:rPr>
            </w:pPr>
          </w:p>
        </w:tc>
        <w:tc>
          <w:tcPr>
            <w:tcW w:w="2561" w:type="pct"/>
            <w:gridSpan w:val="2"/>
          </w:tcPr>
          <w:p w14:paraId="7989356D"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setiap perubahan pendapatan yang diperkirakan dari Proyek yang akan dihasilkan dari pelaksanaan Modifikasi yang diusulkan;</w:t>
            </w:r>
          </w:p>
        </w:tc>
      </w:tr>
      <w:tr w:rsidR="00862B0B" w:rsidRPr="00A67277" w14:paraId="75397481" w14:textId="77777777" w:rsidTr="00862B0B">
        <w:tc>
          <w:tcPr>
            <w:tcW w:w="2270" w:type="pct"/>
          </w:tcPr>
          <w:p w14:paraId="11D1994B" w14:textId="77777777" w:rsidR="00862B0B" w:rsidRPr="00A67277" w:rsidRDefault="00862B0B" w:rsidP="00862B0B">
            <w:pPr>
              <w:pStyle w:val="Level4"/>
              <w:numPr>
                <w:ilvl w:val="0"/>
                <w:numId w:val="106"/>
              </w:numPr>
              <w:spacing w:before="60" w:after="60"/>
              <w:ind w:left="1865" w:hanging="425"/>
            </w:pPr>
            <w:r w:rsidRPr="00A67277">
              <w:t>any capital expenditure in accordance with the Accounting Principles (“</w:t>
            </w:r>
            <w:r w:rsidRPr="00A67277">
              <w:rPr>
                <w:b/>
              </w:rPr>
              <w:t>Modification Capital Expenditure</w:t>
            </w:r>
            <w:r w:rsidRPr="00A67277">
              <w:t>”) that would be required or no longer required as a result of the implementation of the proposed Modification and any other Estimated Change in Project Cost;</w:t>
            </w:r>
          </w:p>
          <w:p w14:paraId="30F29323"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650364BA" w14:textId="77777777" w:rsidR="00862B0B" w:rsidRPr="00A67277" w:rsidRDefault="00862B0B" w:rsidP="00862B0B">
            <w:pPr>
              <w:spacing w:before="60" w:after="60"/>
              <w:rPr>
                <w:rFonts w:ascii="Arial" w:hAnsi="Arial" w:cs="Arial"/>
                <w:sz w:val="21"/>
                <w:szCs w:val="21"/>
              </w:rPr>
            </w:pPr>
          </w:p>
        </w:tc>
        <w:tc>
          <w:tcPr>
            <w:tcW w:w="2561" w:type="pct"/>
            <w:gridSpan w:val="2"/>
          </w:tcPr>
          <w:p w14:paraId="4E3C2A8E" w14:textId="67992A28"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setiap pengeluaran modal sesuai dengan Prinsip-Prinsip Akuntansi (“</w:t>
            </w:r>
            <w:r w:rsidRPr="00A67277">
              <w:rPr>
                <w:rFonts w:cs="Arial"/>
                <w:b/>
                <w:lang w:val="id-ID"/>
              </w:rPr>
              <w:t>Biaya Modal Modifikasi</w:t>
            </w:r>
            <w:r w:rsidRPr="00A67277">
              <w:rPr>
                <w:rFonts w:cs="Arial"/>
                <w:lang w:val="id-ID"/>
              </w:rPr>
              <w:t>”) yang diperl</w:t>
            </w:r>
            <w:r w:rsidRPr="00A67277">
              <w:rPr>
                <w:rFonts w:cs="Arial"/>
                <w:lang w:val="en-US"/>
              </w:rPr>
              <w:t>u</w:t>
            </w:r>
            <w:r w:rsidRPr="00A67277">
              <w:rPr>
                <w:rFonts w:cs="Arial"/>
                <w:lang w:val="id-ID"/>
              </w:rPr>
              <w:t>kan atau tidak lagi diperlukan sebagai akibat dari pelaksanaan Modifikasi yang diusulkan dan Perkiraan Perubahan Terhadap Biaya Proyek lainnya;</w:t>
            </w:r>
          </w:p>
        </w:tc>
      </w:tr>
      <w:tr w:rsidR="00862B0B" w:rsidRPr="00A67277" w14:paraId="4B434410" w14:textId="77777777" w:rsidTr="00862B0B">
        <w:tc>
          <w:tcPr>
            <w:tcW w:w="2270" w:type="pct"/>
          </w:tcPr>
          <w:p w14:paraId="383780C9" w14:textId="77777777" w:rsidR="00862B0B" w:rsidRPr="00A67277" w:rsidRDefault="00862B0B" w:rsidP="00862B0B">
            <w:pPr>
              <w:pStyle w:val="Level4"/>
              <w:numPr>
                <w:ilvl w:val="0"/>
                <w:numId w:val="106"/>
              </w:numPr>
              <w:spacing w:before="60" w:after="60"/>
              <w:ind w:left="1865" w:hanging="425"/>
            </w:pPr>
            <w:r w:rsidRPr="00A67277">
              <w:t>proposal for the sharing of payment or financing of the Modification Capital Expenditure with the GCA;</w:t>
            </w:r>
          </w:p>
          <w:p w14:paraId="445465AD"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74CD82B3" w14:textId="77777777" w:rsidR="00862B0B" w:rsidRPr="00A67277" w:rsidRDefault="00862B0B" w:rsidP="00862B0B">
            <w:pPr>
              <w:spacing w:before="60" w:after="60"/>
              <w:rPr>
                <w:rFonts w:ascii="Arial" w:hAnsi="Arial" w:cs="Arial"/>
                <w:sz w:val="21"/>
                <w:szCs w:val="21"/>
              </w:rPr>
            </w:pPr>
          </w:p>
        </w:tc>
        <w:tc>
          <w:tcPr>
            <w:tcW w:w="2561" w:type="pct"/>
            <w:gridSpan w:val="2"/>
          </w:tcPr>
          <w:p w14:paraId="0B1BF99A"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 xml:space="preserve">proposal untuk pembagian pembayaran atau pembiayaan Biaya Modal </w:t>
            </w:r>
            <w:r w:rsidRPr="00A67277">
              <w:rPr>
                <w:rFonts w:cs="Arial"/>
                <w:lang w:val="en-US"/>
              </w:rPr>
              <w:t xml:space="preserve">Modifikasi </w:t>
            </w:r>
            <w:r w:rsidRPr="00A67277">
              <w:rPr>
                <w:rFonts w:cs="Arial"/>
                <w:lang w:val="id-ID"/>
              </w:rPr>
              <w:t>dengan PJPK;</w:t>
            </w:r>
          </w:p>
        </w:tc>
      </w:tr>
      <w:tr w:rsidR="00862B0B" w:rsidRPr="00A67277" w14:paraId="2720C661" w14:textId="77777777" w:rsidTr="00862B0B">
        <w:tc>
          <w:tcPr>
            <w:tcW w:w="2270" w:type="pct"/>
          </w:tcPr>
          <w:p w14:paraId="6E96FFB6" w14:textId="77777777" w:rsidR="00862B0B" w:rsidRPr="00A67277" w:rsidRDefault="00862B0B" w:rsidP="00862B0B">
            <w:pPr>
              <w:pStyle w:val="Level4"/>
              <w:numPr>
                <w:ilvl w:val="0"/>
                <w:numId w:val="106"/>
              </w:numPr>
              <w:spacing w:before="60" w:after="60"/>
              <w:ind w:left="1865" w:hanging="425"/>
            </w:pPr>
            <w:r w:rsidRPr="00A67277">
              <w:t xml:space="preserve">any Authorisations which would be required as a result of the implementation of the proposed Modification; and </w:t>
            </w:r>
          </w:p>
        </w:tc>
        <w:tc>
          <w:tcPr>
            <w:tcW w:w="169" w:type="pct"/>
          </w:tcPr>
          <w:p w14:paraId="31DCEA85" w14:textId="77777777" w:rsidR="00862B0B" w:rsidRPr="00A67277" w:rsidRDefault="00862B0B" w:rsidP="00862B0B">
            <w:pPr>
              <w:spacing w:before="60" w:after="60"/>
              <w:rPr>
                <w:rFonts w:ascii="Arial" w:hAnsi="Arial" w:cs="Arial"/>
                <w:sz w:val="21"/>
                <w:szCs w:val="21"/>
              </w:rPr>
            </w:pPr>
          </w:p>
        </w:tc>
        <w:tc>
          <w:tcPr>
            <w:tcW w:w="2561" w:type="pct"/>
            <w:gridSpan w:val="2"/>
          </w:tcPr>
          <w:p w14:paraId="031DBE78"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setiap Persetujuan yang diperlukan sebagai akibat dari pelaksanaan Modifikasi yang diusulkan; dan</w:t>
            </w:r>
          </w:p>
        </w:tc>
      </w:tr>
      <w:tr w:rsidR="00862B0B" w:rsidRPr="00A67277" w14:paraId="08A35C4F" w14:textId="77777777" w:rsidTr="00862B0B">
        <w:tc>
          <w:tcPr>
            <w:tcW w:w="2270" w:type="pct"/>
          </w:tcPr>
          <w:p w14:paraId="2F674757" w14:textId="77777777" w:rsidR="00862B0B" w:rsidRPr="00A67277" w:rsidRDefault="00862B0B" w:rsidP="00862B0B">
            <w:pPr>
              <w:pStyle w:val="Level4"/>
              <w:numPr>
                <w:ilvl w:val="0"/>
                <w:numId w:val="106"/>
              </w:numPr>
              <w:spacing w:before="60" w:after="60"/>
              <w:ind w:left="1865" w:hanging="425"/>
            </w:pPr>
            <w:r w:rsidRPr="00A67277">
              <w:t>a proposed method of certification of any aspects of the Project required by the proposed Modification (to the extent that such method of certification would deviate from the terms contained in this Agreement).</w:t>
            </w:r>
          </w:p>
          <w:p w14:paraId="2828A5C1"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3A6BAC17" w14:textId="77777777" w:rsidR="00862B0B" w:rsidRPr="00A67277" w:rsidRDefault="00862B0B" w:rsidP="00862B0B">
            <w:pPr>
              <w:spacing w:before="60" w:after="60"/>
              <w:rPr>
                <w:rFonts w:ascii="Arial" w:hAnsi="Arial" w:cs="Arial"/>
                <w:sz w:val="21"/>
                <w:szCs w:val="21"/>
              </w:rPr>
            </w:pPr>
          </w:p>
        </w:tc>
        <w:tc>
          <w:tcPr>
            <w:tcW w:w="2561" w:type="pct"/>
            <w:gridSpan w:val="2"/>
          </w:tcPr>
          <w:p w14:paraId="4FB5B310" w14:textId="77777777" w:rsidR="00862B0B" w:rsidRPr="00A67277" w:rsidRDefault="00862B0B" w:rsidP="00862B0B">
            <w:pPr>
              <w:pStyle w:val="Level4"/>
              <w:numPr>
                <w:ilvl w:val="0"/>
                <w:numId w:val="107"/>
              </w:numPr>
              <w:spacing w:before="60" w:after="60"/>
              <w:ind w:left="1900" w:hanging="425"/>
              <w:rPr>
                <w:rFonts w:cs="Arial"/>
                <w:lang w:val="id-ID"/>
              </w:rPr>
            </w:pPr>
            <w:r w:rsidRPr="00A67277">
              <w:rPr>
                <w:rFonts w:cs="Arial"/>
                <w:lang w:val="id-ID"/>
              </w:rPr>
              <w:t>sebuah metode sertifikasi yang diusulkan untuk setiap aspek Proyek yang disyaratkan dalam Modifikasi yang diusulkan (sejauh metode sertifikasi tersebut akan menyimpang dari ketentuan yang telah termuat dalam Perjanjian ini).</w:t>
            </w:r>
          </w:p>
        </w:tc>
      </w:tr>
      <w:tr w:rsidR="00862B0B" w:rsidRPr="00A67277" w14:paraId="2B070F6C" w14:textId="77777777" w:rsidTr="00862B0B">
        <w:tc>
          <w:tcPr>
            <w:tcW w:w="2270" w:type="pct"/>
          </w:tcPr>
          <w:p w14:paraId="7E1900F6" w14:textId="77777777" w:rsidR="00862B0B" w:rsidRPr="00A67277" w:rsidRDefault="00862B0B" w:rsidP="00862B0B">
            <w:pPr>
              <w:pStyle w:val="Level3"/>
              <w:numPr>
                <w:ilvl w:val="2"/>
                <w:numId w:val="511"/>
              </w:numPr>
              <w:tabs>
                <w:tab w:val="clear" w:pos="1417"/>
              </w:tabs>
              <w:spacing w:before="60" w:after="60"/>
              <w:ind w:hanging="403"/>
            </w:pPr>
            <w:r w:rsidRPr="00A67277">
              <w:t>The IBE shall include with the Modification Estimate evidence demonstrating that:</w:t>
            </w:r>
          </w:p>
        </w:tc>
        <w:tc>
          <w:tcPr>
            <w:tcW w:w="169" w:type="pct"/>
          </w:tcPr>
          <w:p w14:paraId="2046DB66" w14:textId="77777777" w:rsidR="00862B0B" w:rsidRPr="00A67277" w:rsidRDefault="00862B0B" w:rsidP="00862B0B">
            <w:pPr>
              <w:spacing w:before="60" w:after="60"/>
              <w:rPr>
                <w:rFonts w:ascii="Arial" w:hAnsi="Arial" w:cs="Arial"/>
                <w:sz w:val="21"/>
                <w:szCs w:val="21"/>
              </w:rPr>
            </w:pPr>
          </w:p>
        </w:tc>
        <w:tc>
          <w:tcPr>
            <w:tcW w:w="2561" w:type="pct"/>
            <w:gridSpan w:val="2"/>
          </w:tcPr>
          <w:p w14:paraId="595B9F9C"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BUP harus menyertakan bukti Perkiraan Modifikasi yang menunjukkan bahwa:</w:t>
            </w:r>
          </w:p>
        </w:tc>
      </w:tr>
      <w:tr w:rsidR="00862B0B" w:rsidRPr="00A67277" w14:paraId="7E8631CA" w14:textId="77777777" w:rsidTr="00862B0B">
        <w:tc>
          <w:tcPr>
            <w:tcW w:w="2270" w:type="pct"/>
          </w:tcPr>
          <w:p w14:paraId="48E75D5A" w14:textId="77777777" w:rsidR="00862B0B" w:rsidRPr="00A67277" w:rsidRDefault="00862B0B" w:rsidP="00862B0B">
            <w:pPr>
              <w:pStyle w:val="Level4"/>
              <w:numPr>
                <w:ilvl w:val="0"/>
                <w:numId w:val="108"/>
              </w:numPr>
              <w:spacing w:before="60" w:after="60"/>
              <w:ind w:left="1865" w:hanging="425"/>
            </w:pPr>
            <w:r w:rsidRPr="00A67277">
              <w:t>if the IBE does not intend to use its own resources to implement any Modification, the IBE shall comply with Good Industry Practice with the objective of ensuring that it obtains best value for money (taking into account all relevant circumstances including, in particular, the requirement that the IBE should be left in a no better and no worse position as a result of the implementation of the Modification in Works and/or Service) when procuring any work, services, supplies, materials or equipment required in relation to the Modification;</w:t>
            </w:r>
          </w:p>
          <w:p w14:paraId="6EF52B98" w14:textId="77777777" w:rsidR="00862B0B" w:rsidRPr="00A67277" w:rsidRDefault="00862B0B" w:rsidP="00862B0B">
            <w:pPr>
              <w:spacing w:before="60" w:after="60"/>
              <w:rPr>
                <w:rFonts w:ascii="Arial" w:hAnsi="Arial" w:cs="Arial"/>
                <w:sz w:val="21"/>
                <w:szCs w:val="21"/>
              </w:rPr>
            </w:pPr>
          </w:p>
        </w:tc>
        <w:tc>
          <w:tcPr>
            <w:tcW w:w="169" w:type="pct"/>
          </w:tcPr>
          <w:p w14:paraId="4E96679F" w14:textId="77777777" w:rsidR="00862B0B" w:rsidRPr="00A67277" w:rsidRDefault="00862B0B" w:rsidP="00862B0B">
            <w:pPr>
              <w:spacing w:before="60" w:after="60"/>
              <w:rPr>
                <w:rFonts w:ascii="Arial" w:hAnsi="Arial" w:cs="Arial"/>
                <w:sz w:val="21"/>
                <w:szCs w:val="21"/>
              </w:rPr>
            </w:pPr>
          </w:p>
        </w:tc>
        <w:tc>
          <w:tcPr>
            <w:tcW w:w="2561" w:type="pct"/>
            <w:gridSpan w:val="2"/>
          </w:tcPr>
          <w:p w14:paraId="7B120CE9" w14:textId="77777777" w:rsidR="00862B0B" w:rsidRPr="00A67277" w:rsidRDefault="00862B0B" w:rsidP="00862B0B">
            <w:pPr>
              <w:pStyle w:val="Level4"/>
              <w:numPr>
                <w:ilvl w:val="0"/>
                <w:numId w:val="109"/>
              </w:numPr>
              <w:spacing w:before="60" w:after="60"/>
              <w:ind w:left="1900" w:hanging="425"/>
              <w:rPr>
                <w:rFonts w:cs="Arial"/>
              </w:rPr>
            </w:pPr>
            <w:r w:rsidRPr="00A67277">
              <w:rPr>
                <w:rFonts w:cs="Arial"/>
              </w:rPr>
              <w:t xml:space="preserve">jika BUP tidak bermaksud menggunakan sumber dayanya sendiri untuk melaksanakan Modifikasi, BUP harus mematuhi Praktek Industri Yang Baik dengan tujuan untuk memastikan memperoleh </w:t>
            </w:r>
            <w:r w:rsidRPr="00A67277">
              <w:rPr>
                <w:rFonts w:cs="Arial"/>
                <w:i/>
              </w:rPr>
              <w:t>value for money</w:t>
            </w:r>
            <w:r w:rsidRPr="00A67277">
              <w:rPr>
                <w:rFonts w:cs="Arial"/>
              </w:rPr>
              <w:t xml:space="preserve"> terbaik (dengan mempertimbangkan semua keadaan yang relevan termasuk, khususnya, persyaratan bahwa BUP harus berada dalam posisi yang tidak lebih baik dan lebih buruk sebagai akibat dari pelaksanaan Modifikasi terhadap Pekerjaan dan/atau Layanan) saat mendapatkan setiap pekerjaan, jasa, persediaan, material atau peralatan apa pun yang diperlukan terkait dengan Modifikasi;</w:t>
            </w:r>
          </w:p>
        </w:tc>
      </w:tr>
      <w:tr w:rsidR="00862B0B" w:rsidRPr="00A67277" w14:paraId="62C5E005" w14:textId="77777777" w:rsidTr="00862B0B">
        <w:tc>
          <w:tcPr>
            <w:tcW w:w="2270" w:type="pct"/>
          </w:tcPr>
          <w:p w14:paraId="7D3108FE" w14:textId="77777777" w:rsidR="00862B0B" w:rsidRPr="00A67277" w:rsidRDefault="00862B0B" w:rsidP="00862B0B">
            <w:pPr>
              <w:pStyle w:val="Level4"/>
              <w:numPr>
                <w:ilvl w:val="0"/>
                <w:numId w:val="108"/>
              </w:numPr>
              <w:spacing w:before="60" w:after="60"/>
              <w:ind w:left="1865" w:hanging="425"/>
            </w:pPr>
            <w:r w:rsidRPr="00A67277">
              <w:t>the IBE has used all reasonable endeavours to minimise, and procure that the IBE's sub-contractors minimise (including by the use of competitive quotes, to the extent reasonably practicable), any increase in costs and to maximise, and procure that such sub-contractors maximises, any reduction of costs;</w:t>
            </w:r>
          </w:p>
          <w:p w14:paraId="5D32E6CB"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04CCD098" w14:textId="77777777" w:rsidR="00862B0B" w:rsidRPr="00A67277" w:rsidRDefault="00862B0B" w:rsidP="00862B0B">
            <w:pPr>
              <w:spacing w:before="60" w:after="60"/>
              <w:rPr>
                <w:rFonts w:ascii="Arial" w:hAnsi="Arial" w:cs="Arial"/>
                <w:sz w:val="21"/>
                <w:szCs w:val="21"/>
              </w:rPr>
            </w:pPr>
          </w:p>
        </w:tc>
        <w:tc>
          <w:tcPr>
            <w:tcW w:w="2561" w:type="pct"/>
            <w:gridSpan w:val="2"/>
          </w:tcPr>
          <w:p w14:paraId="406AF856" w14:textId="77777777" w:rsidR="00862B0B" w:rsidRPr="00A67277" w:rsidRDefault="00862B0B" w:rsidP="00862B0B">
            <w:pPr>
              <w:pStyle w:val="Level4"/>
              <w:numPr>
                <w:ilvl w:val="0"/>
                <w:numId w:val="109"/>
              </w:numPr>
              <w:spacing w:before="60" w:after="60"/>
              <w:ind w:left="1900" w:hanging="425"/>
              <w:rPr>
                <w:rFonts w:cs="Arial"/>
              </w:rPr>
            </w:pPr>
            <w:r w:rsidRPr="00A67277">
              <w:rPr>
                <w:rFonts w:cs="Arial"/>
              </w:rPr>
              <w:t>BUP telah menggunakan semua upaya yang wajar untuk meminimalkan, dan menyebabkan subkontraktor BUP meminimalkan (termasuk dengan menggunakan penawaran kompetitif, sejauh dapat dilakukan secara wajar), setiap kenaikan biaya dan untuk memaksimalkan, dan mendapatkan bahwa subkontraktor tersebut memaksimalkan, pengurangan biaya;</w:t>
            </w:r>
          </w:p>
        </w:tc>
      </w:tr>
      <w:tr w:rsidR="00862B0B" w:rsidRPr="00A67277" w14:paraId="7C878D1C" w14:textId="77777777" w:rsidTr="00862B0B">
        <w:tc>
          <w:tcPr>
            <w:tcW w:w="2270" w:type="pct"/>
          </w:tcPr>
          <w:p w14:paraId="5C30056B" w14:textId="77777777" w:rsidR="00862B0B" w:rsidRPr="00A67277" w:rsidRDefault="00862B0B" w:rsidP="00862B0B">
            <w:pPr>
              <w:pStyle w:val="Level4"/>
              <w:numPr>
                <w:ilvl w:val="0"/>
                <w:numId w:val="108"/>
              </w:numPr>
              <w:spacing w:before="60" w:after="60"/>
              <w:ind w:left="1865" w:hanging="425"/>
            </w:pPr>
            <w:r w:rsidRPr="00A67277">
              <w:t>subject to paragraph (g), the IBE has, to the extent reasonably practicable, sought competitive quotes from persons other than such sub-contractors, the Shareholders and their respective Affiliates in pursuance of its obligation under sub-paragraph (ii) or required that the sub-contractors procures such competitive quotes; and</w:t>
            </w:r>
          </w:p>
          <w:p w14:paraId="394CBF66"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p w14:paraId="50578A9D"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p w14:paraId="496D8BB7"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p w14:paraId="0A95CDCA" w14:textId="77777777" w:rsidR="00862B0B" w:rsidRPr="00A67277" w:rsidRDefault="00862B0B" w:rsidP="00862B0B">
            <w:pPr>
              <w:spacing w:before="60" w:after="60"/>
              <w:ind w:left="1865" w:hanging="425"/>
              <w:jc w:val="right"/>
              <w:rPr>
                <w:rFonts w:ascii="Arial" w:eastAsia="Arial Unicode MS" w:hAnsi="Arial" w:cs="Times New Roman"/>
                <w:sz w:val="21"/>
                <w:szCs w:val="21"/>
                <w:lang w:val="en-GB" w:eastAsia="en-GB"/>
              </w:rPr>
            </w:pPr>
          </w:p>
        </w:tc>
        <w:tc>
          <w:tcPr>
            <w:tcW w:w="169" w:type="pct"/>
          </w:tcPr>
          <w:p w14:paraId="30047DD9" w14:textId="77777777" w:rsidR="00862B0B" w:rsidRPr="00A67277" w:rsidRDefault="00862B0B" w:rsidP="00862B0B">
            <w:pPr>
              <w:spacing w:before="60" w:after="60"/>
              <w:rPr>
                <w:rFonts w:ascii="Arial" w:hAnsi="Arial" w:cs="Arial"/>
                <w:sz w:val="21"/>
                <w:szCs w:val="21"/>
              </w:rPr>
            </w:pPr>
          </w:p>
        </w:tc>
        <w:tc>
          <w:tcPr>
            <w:tcW w:w="2561" w:type="pct"/>
            <w:gridSpan w:val="2"/>
          </w:tcPr>
          <w:p w14:paraId="375CC1E7" w14:textId="77777777" w:rsidR="00862B0B" w:rsidRPr="00A67277" w:rsidRDefault="00862B0B" w:rsidP="00862B0B">
            <w:pPr>
              <w:pStyle w:val="Level4"/>
              <w:numPr>
                <w:ilvl w:val="0"/>
                <w:numId w:val="109"/>
              </w:numPr>
              <w:spacing w:before="60" w:after="60"/>
              <w:ind w:left="1900" w:hanging="425"/>
              <w:rPr>
                <w:rFonts w:cs="Arial"/>
              </w:rPr>
            </w:pPr>
            <w:r w:rsidRPr="00A67277">
              <w:rPr>
                <w:rFonts w:cs="Arial"/>
              </w:rPr>
              <w:t>tunduk pada paragraf (g), BUP telah, sepanjang dimungkinkan secara wajar, mencari penawaran kompetitif dari orang-orang selain subkontraktor tersebut, Pemegang Saham dan Afiliasi mereka masing-masing sesuai dengan kewajibannya berdasarkan paragraf (ii) atau telah mensyaratkan sub-kontraktor tersebut untuk mendapatkan penawaran yang kompetitif; dan</w:t>
            </w:r>
          </w:p>
        </w:tc>
      </w:tr>
      <w:tr w:rsidR="00862B0B" w:rsidRPr="00A67277" w14:paraId="2B82E60B" w14:textId="77777777" w:rsidTr="00862B0B">
        <w:tc>
          <w:tcPr>
            <w:tcW w:w="2270" w:type="pct"/>
          </w:tcPr>
          <w:p w14:paraId="773D7556" w14:textId="77777777" w:rsidR="00862B0B" w:rsidRPr="00A67277" w:rsidRDefault="00862B0B" w:rsidP="00862B0B">
            <w:pPr>
              <w:pStyle w:val="Level4"/>
              <w:numPr>
                <w:ilvl w:val="0"/>
                <w:numId w:val="108"/>
              </w:numPr>
              <w:spacing w:before="60" w:after="60"/>
              <w:ind w:left="1865" w:hanging="425"/>
            </w:pPr>
            <w:r w:rsidRPr="00A67277">
              <w:t>the proposed Modification will be implemented in the most cost effective manner, including showing that when such expenditure is incurred, Change in Law and other events or impacts or delays that are foreseeable at that time have been taken into account by the IBE.</w:t>
            </w:r>
          </w:p>
          <w:p w14:paraId="0BCB625A"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1488BEC9" w14:textId="77777777" w:rsidR="00862B0B" w:rsidRPr="00A67277" w:rsidRDefault="00862B0B" w:rsidP="00862B0B">
            <w:pPr>
              <w:spacing w:before="60" w:after="60"/>
              <w:rPr>
                <w:rFonts w:ascii="Arial" w:hAnsi="Arial" w:cs="Arial"/>
                <w:sz w:val="21"/>
                <w:szCs w:val="21"/>
              </w:rPr>
            </w:pPr>
          </w:p>
        </w:tc>
        <w:tc>
          <w:tcPr>
            <w:tcW w:w="2561" w:type="pct"/>
            <w:gridSpan w:val="2"/>
          </w:tcPr>
          <w:p w14:paraId="5D0BDF50" w14:textId="77777777" w:rsidR="00862B0B" w:rsidRPr="00A67277" w:rsidRDefault="00862B0B" w:rsidP="00862B0B">
            <w:pPr>
              <w:pStyle w:val="Level4"/>
              <w:numPr>
                <w:ilvl w:val="0"/>
                <w:numId w:val="109"/>
              </w:numPr>
              <w:spacing w:before="60" w:after="60"/>
              <w:ind w:left="1900" w:hanging="425"/>
              <w:rPr>
                <w:rFonts w:cs="Arial"/>
              </w:rPr>
            </w:pPr>
            <w:r w:rsidRPr="00A67277">
              <w:rPr>
                <w:rFonts w:cs="Arial"/>
              </w:rPr>
              <w:t>Modifikasi yang diusulkan akan dilaksanakan dengan biaya yang paling efektif, termasuk menunjukkan bahwa pada saat pengeluaran tersebut terjadi, Perubahan Hukum dan peristiwa lain atau dampak atau keterlambatan yang dapat diperkirakan pada saat itu telah dipertimbangkan oleh BUP.</w:t>
            </w:r>
          </w:p>
        </w:tc>
      </w:tr>
      <w:tr w:rsidR="00862B0B" w:rsidRPr="00A67277" w14:paraId="55FC6F37" w14:textId="77777777" w:rsidTr="00862B0B">
        <w:tc>
          <w:tcPr>
            <w:tcW w:w="2270" w:type="pct"/>
          </w:tcPr>
          <w:p w14:paraId="57BFEFA3" w14:textId="77777777" w:rsidR="00862B0B" w:rsidRPr="00A67277" w:rsidRDefault="00862B0B" w:rsidP="00862B0B">
            <w:pPr>
              <w:pStyle w:val="Level3"/>
              <w:numPr>
                <w:ilvl w:val="2"/>
                <w:numId w:val="511"/>
              </w:numPr>
              <w:tabs>
                <w:tab w:val="clear" w:pos="1417"/>
              </w:tabs>
              <w:spacing w:before="60" w:after="60"/>
              <w:ind w:hanging="403"/>
            </w:pPr>
            <w:r w:rsidRPr="00A67277">
              <w:t>Where the IBE has not sought competitive quotes in respect of the goods and/or services and/or works which form part of the Modification Estimate:</w:t>
            </w:r>
          </w:p>
        </w:tc>
        <w:tc>
          <w:tcPr>
            <w:tcW w:w="169" w:type="pct"/>
          </w:tcPr>
          <w:p w14:paraId="79593087" w14:textId="77777777" w:rsidR="00862B0B" w:rsidRPr="00A67277" w:rsidRDefault="00862B0B" w:rsidP="00862B0B">
            <w:pPr>
              <w:spacing w:before="60" w:after="60"/>
              <w:rPr>
                <w:rFonts w:ascii="Arial" w:hAnsi="Arial" w:cs="Arial"/>
                <w:sz w:val="21"/>
                <w:szCs w:val="21"/>
              </w:rPr>
            </w:pPr>
          </w:p>
        </w:tc>
        <w:tc>
          <w:tcPr>
            <w:tcW w:w="2561" w:type="pct"/>
            <w:gridSpan w:val="2"/>
          </w:tcPr>
          <w:p w14:paraId="6DA7B5F5"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Apabila BUP tidak mencari harga penawaran yang kompetitif sehubungan dengan barang dan/atau jasa dan/atau pekerjaan yang merupakan bagian dari Perkiraan Modifikasi:</w:t>
            </w:r>
          </w:p>
        </w:tc>
      </w:tr>
      <w:tr w:rsidR="00862B0B" w:rsidRPr="00A67277" w14:paraId="2015A4AB" w14:textId="77777777" w:rsidTr="00862B0B">
        <w:tc>
          <w:tcPr>
            <w:tcW w:w="2270" w:type="pct"/>
          </w:tcPr>
          <w:p w14:paraId="50436A85" w14:textId="77777777" w:rsidR="00862B0B" w:rsidRPr="00A67277" w:rsidRDefault="00862B0B" w:rsidP="00862B0B">
            <w:pPr>
              <w:pStyle w:val="Level4"/>
              <w:numPr>
                <w:ilvl w:val="0"/>
                <w:numId w:val="110"/>
              </w:numPr>
              <w:spacing w:before="60" w:after="60"/>
              <w:ind w:left="1865" w:hanging="442"/>
            </w:pPr>
            <w:r w:rsidRPr="00A67277">
              <w:t>GCA may, at its own cost, benchmark the cost of such goods and/or services and/or works by comparing the cost of such goods and/or services and/or works with the costs generally payable to suppliers for goods and/or services and/or works of similar nature to those set out in the Modification Estimate;</w:t>
            </w:r>
          </w:p>
          <w:p w14:paraId="455A4C7A" w14:textId="77777777" w:rsidR="00862B0B" w:rsidRPr="00A67277" w:rsidRDefault="00862B0B" w:rsidP="00862B0B">
            <w:pPr>
              <w:spacing w:before="60" w:after="60"/>
              <w:rPr>
                <w:rFonts w:ascii="Arial" w:hAnsi="Arial" w:cs="Arial"/>
                <w:sz w:val="21"/>
                <w:szCs w:val="21"/>
              </w:rPr>
            </w:pPr>
          </w:p>
        </w:tc>
        <w:tc>
          <w:tcPr>
            <w:tcW w:w="169" w:type="pct"/>
          </w:tcPr>
          <w:p w14:paraId="3434CE32" w14:textId="77777777" w:rsidR="00862B0B" w:rsidRPr="00A67277" w:rsidRDefault="00862B0B" w:rsidP="00862B0B">
            <w:pPr>
              <w:spacing w:before="60" w:after="60"/>
              <w:rPr>
                <w:rFonts w:ascii="Arial" w:hAnsi="Arial" w:cs="Arial"/>
                <w:sz w:val="21"/>
                <w:szCs w:val="21"/>
              </w:rPr>
            </w:pPr>
          </w:p>
        </w:tc>
        <w:tc>
          <w:tcPr>
            <w:tcW w:w="2561" w:type="pct"/>
            <w:gridSpan w:val="2"/>
          </w:tcPr>
          <w:p w14:paraId="68D720E3" w14:textId="77777777" w:rsidR="00862B0B" w:rsidRPr="00A67277" w:rsidRDefault="00862B0B" w:rsidP="00862B0B">
            <w:pPr>
              <w:pStyle w:val="Level4"/>
              <w:numPr>
                <w:ilvl w:val="0"/>
                <w:numId w:val="111"/>
              </w:numPr>
              <w:spacing w:before="60" w:after="60"/>
              <w:ind w:left="1900" w:hanging="425"/>
              <w:rPr>
                <w:rFonts w:cs="Arial"/>
              </w:rPr>
            </w:pPr>
            <w:r w:rsidRPr="00A67277">
              <w:rPr>
                <w:rFonts w:cs="Arial"/>
              </w:rPr>
              <w:t>PJPK dapat, dengan biaya sendiri, mengupayakan mendapatkan pembanding terhadap biaya barang dan/atau jasa dan/atau pekerjaan tersebut dengan membandingkan biaya barang dan/atau jasa dan/atau pekerjaan tersebut dengan biaya yang umumnya dibayarkan kepada penyedia barang dan/atau jasa dan/atau pekerjaan yang serupa dengan yang dimuat dalam Perkiraan Modifikasi;</w:t>
            </w:r>
          </w:p>
        </w:tc>
      </w:tr>
      <w:tr w:rsidR="00862B0B" w:rsidRPr="00A67277" w14:paraId="7A236B2C" w14:textId="77777777" w:rsidTr="00862B0B">
        <w:tc>
          <w:tcPr>
            <w:tcW w:w="2270" w:type="pct"/>
          </w:tcPr>
          <w:p w14:paraId="795B05CA" w14:textId="77777777" w:rsidR="00862B0B" w:rsidRPr="00A67277" w:rsidRDefault="00862B0B" w:rsidP="00862B0B">
            <w:pPr>
              <w:pStyle w:val="Level4"/>
              <w:numPr>
                <w:ilvl w:val="0"/>
                <w:numId w:val="110"/>
              </w:numPr>
              <w:spacing w:before="60" w:after="60"/>
              <w:ind w:left="1865" w:hanging="442"/>
            </w:pPr>
            <w:r w:rsidRPr="00A67277">
              <w:t>the IBE shall co-operate with GCA in such benchmarking exercise and provide such information as GCA may require in connection therewith;</w:t>
            </w:r>
          </w:p>
        </w:tc>
        <w:tc>
          <w:tcPr>
            <w:tcW w:w="169" w:type="pct"/>
          </w:tcPr>
          <w:p w14:paraId="33FA1623" w14:textId="77777777" w:rsidR="00862B0B" w:rsidRPr="00A67277" w:rsidRDefault="00862B0B" w:rsidP="00862B0B">
            <w:pPr>
              <w:spacing w:before="60" w:after="60"/>
              <w:rPr>
                <w:rFonts w:ascii="Arial" w:hAnsi="Arial" w:cs="Arial"/>
                <w:sz w:val="21"/>
                <w:szCs w:val="21"/>
              </w:rPr>
            </w:pPr>
          </w:p>
        </w:tc>
        <w:tc>
          <w:tcPr>
            <w:tcW w:w="2561" w:type="pct"/>
            <w:gridSpan w:val="2"/>
          </w:tcPr>
          <w:p w14:paraId="1C300B04" w14:textId="77777777" w:rsidR="00862B0B" w:rsidRPr="00A67277" w:rsidRDefault="00862B0B" w:rsidP="00862B0B">
            <w:pPr>
              <w:pStyle w:val="Level4"/>
              <w:numPr>
                <w:ilvl w:val="0"/>
                <w:numId w:val="111"/>
              </w:numPr>
              <w:spacing w:before="60" w:after="60"/>
              <w:ind w:left="1900" w:hanging="425"/>
              <w:rPr>
                <w:rFonts w:cs="Arial"/>
              </w:rPr>
            </w:pPr>
            <w:r w:rsidRPr="00A67277">
              <w:rPr>
                <w:rFonts w:cs="Arial"/>
              </w:rPr>
              <w:t>BUP harus bekerja sama dengan PJPK dalam upaya untuk mendapatkan pembanding tersebut dan memberikan informasi yang mungkin diminta oleh PJPK sehubungan dengan hal tersebut;</w:t>
            </w:r>
          </w:p>
        </w:tc>
      </w:tr>
      <w:tr w:rsidR="00862B0B" w:rsidRPr="00A67277" w14:paraId="576F5487" w14:textId="77777777" w:rsidTr="00862B0B">
        <w:tc>
          <w:tcPr>
            <w:tcW w:w="2270" w:type="pct"/>
          </w:tcPr>
          <w:p w14:paraId="37DE5D39" w14:textId="50FDE707" w:rsidR="00862B0B" w:rsidRPr="00A67277" w:rsidRDefault="00862B0B" w:rsidP="00862B0B">
            <w:pPr>
              <w:pStyle w:val="Level4"/>
              <w:numPr>
                <w:ilvl w:val="0"/>
                <w:numId w:val="110"/>
              </w:numPr>
              <w:spacing w:before="60" w:after="60"/>
              <w:ind w:left="1865" w:hanging="442"/>
            </w:pPr>
            <w:r w:rsidRPr="00A67277">
              <w:t>where the results of such benchmarking exercise demonstrate that the cost generally payable to suppliers of goods and/or services and/or works of similar nature to those set out in the Modification Estimate is less than the cost of the goods and/or services and/or works set out in the Modification Estimate, the IBE shall reduce the Modification Estimate accordingly so that such costs are equal to the costs demonstrated by the benchmarking exercise;</w:t>
            </w:r>
          </w:p>
        </w:tc>
        <w:tc>
          <w:tcPr>
            <w:tcW w:w="169" w:type="pct"/>
          </w:tcPr>
          <w:p w14:paraId="68AB2BAC" w14:textId="77777777" w:rsidR="00862B0B" w:rsidRPr="00A67277" w:rsidRDefault="00862B0B" w:rsidP="00862B0B">
            <w:pPr>
              <w:spacing w:before="60" w:after="60"/>
              <w:rPr>
                <w:rFonts w:ascii="Arial" w:hAnsi="Arial" w:cs="Arial"/>
                <w:sz w:val="21"/>
                <w:szCs w:val="21"/>
              </w:rPr>
            </w:pPr>
          </w:p>
        </w:tc>
        <w:tc>
          <w:tcPr>
            <w:tcW w:w="2561" w:type="pct"/>
            <w:gridSpan w:val="2"/>
          </w:tcPr>
          <w:p w14:paraId="09B748C5" w14:textId="77777777" w:rsidR="00862B0B" w:rsidRPr="00A67277" w:rsidRDefault="00862B0B" w:rsidP="00862B0B">
            <w:pPr>
              <w:pStyle w:val="Level4"/>
              <w:numPr>
                <w:ilvl w:val="0"/>
                <w:numId w:val="111"/>
              </w:numPr>
              <w:spacing w:before="60" w:after="60"/>
              <w:ind w:left="1900" w:hanging="425"/>
              <w:rPr>
                <w:rFonts w:cs="Arial"/>
              </w:rPr>
            </w:pPr>
            <w:r w:rsidRPr="00A67277">
              <w:rPr>
                <w:rFonts w:cs="Arial"/>
              </w:rPr>
              <w:t xml:space="preserve">dimana hasil dari upaya mendapatkan pembanding tersebut menunjukkan bahwa biaya yang umumnya dibayarkan kepada penyedia barang dan/atau jasa dan/atau pekerjaan yang serupa dengan yang dimuat dalam Perkiraan Modifikasi kurang dari biaya barang dan/atau jasa dan/atau pekerjaan yang dicantumkan dalam Perkiraan Modifikasi, BUP harus mengurangi Perkiraan Modifikasi sehingga biaya tersebut sama dengan biaya yang dihasilkan dalam upaya mendapatkan pembanding; </w:t>
            </w:r>
          </w:p>
        </w:tc>
      </w:tr>
      <w:tr w:rsidR="00862B0B" w:rsidRPr="00A67277" w14:paraId="20813AD1" w14:textId="77777777" w:rsidTr="00862B0B">
        <w:tc>
          <w:tcPr>
            <w:tcW w:w="2270" w:type="pct"/>
          </w:tcPr>
          <w:p w14:paraId="650AAA43" w14:textId="77777777" w:rsidR="00862B0B" w:rsidRPr="00A67277" w:rsidRDefault="00862B0B" w:rsidP="00862B0B">
            <w:pPr>
              <w:pStyle w:val="Level4"/>
              <w:numPr>
                <w:ilvl w:val="0"/>
                <w:numId w:val="110"/>
              </w:numPr>
              <w:spacing w:before="60" w:after="60"/>
              <w:ind w:left="1865" w:hanging="442"/>
            </w:pPr>
            <w:r w:rsidRPr="00A67277">
              <w:t>if the Modification Estimate is reduced, the IBE shall reimburse to GCA, within thirty (30) Days of receipt of a written demand therefore, GCA’s reasonable costs incurred in connection with such benchmarking exercise; and</w:t>
            </w:r>
          </w:p>
          <w:p w14:paraId="6532C9C5" w14:textId="77777777" w:rsidR="00862B0B" w:rsidRPr="00A67277" w:rsidRDefault="00862B0B" w:rsidP="00862B0B">
            <w:pPr>
              <w:spacing w:before="60" w:after="60"/>
              <w:ind w:left="1865" w:hanging="442"/>
              <w:jc w:val="right"/>
              <w:rPr>
                <w:rFonts w:ascii="Arial" w:eastAsia="Arial Unicode MS" w:hAnsi="Arial" w:cs="Times New Roman"/>
                <w:sz w:val="21"/>
                <w:szCs w:val="21"/>
                <w:lang w:val="en-GB" w:eastAsia="en-GB"/>
              </w:rPr>
            </w:pPr>
          </w:p>
        </w:tc>
        <w:tc>
          <w:tcPr>
            <w:tcW w:w="169" w:type="pct"/>
          </w:tcPr>
          <w:p w14:paraId="687366F3" w14:textId="77777777" w:rsidR="00862B0B" w:rsidRPr="00A67277" w:rsidRDefault="00862B0B" w:rsidP="00862B0B">
            <w:pPr>
              <w:spacing w:before="60" w:after="60"/>
              <w:rPr>
                <w:rFonts w:ascii="Arial" w:hAnsi="Arial" w:cs="Arial"/>
                <w:sz w:val="21"/>
                <w:szCs w:val="21"/>
              </w:rPr>
            </w:pPr>
          </w:p>
        </w:tc>
        <w:tc>
          <w:tcPr>
            <w:tcW w:w="2561" w:type="pct"/>
            <w:gridSpan w:val="2"/>
          </w:tcPr>
          <w:p w14:paraId="2E41770F" w14:textId="77777777" w:rsidR="00862B0B" w:rsidRPr="00A67277" w:rsidRDefault="00862B0B" w:rsidP="00862B0B">
            <w:pPr>
              <w:pStyle w:val="Level4"/>
              <w:numPr>
                <w:ilvl w:val="0"/>
                <w:numId w:val="111"/>
              </w:numPr>
              <w:spacing w:before="60" w:after="60"/>
              <w:ind w:left="1900" w:hanging="425"/>
              <w:rPr>
                <w:rFonts w:cs="Arial"/>
              </w:rPr>
            </w:pPr>
            <w:r w:rsidRPr="00A67277">
              <w:rPr>
                <w:rFonts w:cs="Arial"/>
              </w:rPr>
              <w:t>jika Perkiraan Modifikasi berkurang, BUP harus membayar kembali kepada PJPK, dalam jangka waktu tiga puluh (30) Hari sejak menerima permintaan tertulis daripadanya, biaya PJPK sewajarnya yang timbul sehubungan dengan pelaksanaan perbandingan tersebut; dan</w:t>
            </w:r>
          </w:p>
        </w:tc>
      </w:tr>
      <w:tr w:rsidR="00862B0B" w:rsidRPr="00A67277" w14:paraId="5B787952" w14:textId="77777777" w:rsidTr="00862B0B">
        <w:tc>
          <w:tcPr>
            <w:tcW w:w="2270" w:type="pct"/>
          </w:tcPr>
          <w:p w14:paraId="18BA1887" w14:textId="77777777" w:rsidR="00862B0B" w:rsidRPr="00A67277" w:rsidRDefault="00862B0B" w:rsidP="00862B0B">
            <w:pPr>
              <w:pStyle w:val="Level4"/>
              <w:numPr>
                <w:ilvl w:val="0"/>
                <w:numId w:val="110"/>
              </w:numPr>
              <w:spacing w:before="60" w:after="60"/>
              <w:ind w:left="1865" w:hanging="442"/>
            </w:pPr>
            <w:r w:rsidRPr="00A67277">
              <w:t>if the Parties are unable to reach agreement as to the outcome of such benchmarking exercise, the matter shall be resolved pursuant to Clause 28 (Settlement of Disputes) of this Agreement on the referral of either Party.</w:t>
            </w:r>
          </w:p>
          <w:p w14:paraId="364BBA27" w14:textId="77777777" w:rsidR="00862B0B" w:rsidRPr="00A67277" w:rsidRDefault="00862B0B" w:rsidP="00862B0B">
            <w:pPr>
              <w:spacing w:before="60" w:after="60"/>
              <w:ind w:left="1865" w:hanging="442"/>
              <w:rPr>
                <w:rFonts w:ascii="Arial" w:eastAsia="Arial Unicode MS" w:hAnsi="Arial" w:cs="Times New Roman"/>
                <w:sz w:val="21"/>
                <w:szCs w:val="21"/>
                <w:lang w:val="en-GB" w:eastAsia="en-GB"/>
              </w:rPr>
            </w:pPr>
          </w:p>
        </w:tc>
        <w:tc>
          <w:tcPr>
            <w:tcW w:w="169" w:type="pct"/>
          </w:tcPr>
          <w:p w14:paraId="12312C1C" w14:textId="77777777" w:rsidR="00862B0B" w:rsidRPr="00A67277" w:rsidRDefault="00862B0B" w:rsidP="00862B0B">
            <w:pPr>
              <w:spacing w:before="60" w:after="60"/>
              <w:rPr>
                <w:rFonts w:ascii="Arial" w:hAnsi="Arial" w:cs="Arial"/>
                <w:sz w:val="21"/>
                <w:szCs w:val="21"/>
              </w:rPr>
            </w:pPr>
          </w:p>
        </w:tc>
        <w:tc>
          <w:tcPr>
            <w:tcW w:w="2561" w:type="pct"/>
            <w:gridSpan w:val="2"/>
          </w:tcPr>
          <w:p w14:paraId="0375DBA8" w14:textId="77777777" w:rsidR="00862B0B" w:rsidRPr="00A67277" w:rsidRDefault="00862B0B" w:rsidP="00862B0B">
            <w:pPr>
              <w:pStyle w:val="Level4"/>
              <w:numPr>
                <w:ilvl w:val="0"/>
                <w:numId w:val="111"/>
              </w:numPr>
              <w:spacing w:before="60" w:after="60"/>
              <w:ind w:left="1900" w:hanging="425"/>
              <w:rPr>
                <w:rFonts w:cs="Arial"/>
              </w:rPr>
            </w:pPr>
            <w:r w:rsidRPr="00A67277">
              <w:rPr>
                <w:rFonts w:cs="Arial"/>
              </w:rPr>
              <w:t>jika Para Pihak tidak dapat mencapai kesepakatan mengenai hasil dari upaya mendapatkan pembanding</w:t>
            </w:r>
            <w:r w:rsidRPr="00A67277" w:rsidDel="009B6AED">
              <w:rPr>
                <w:rFonts w:cs="Arial"/>
              </w:rPr>
              <w:t xml:space="preserve"> </w:t>
            </w:r>
            <w:r w:rsidRPr="00A67277">
              <w:rPr>
                <w:rFonts w:cs="Arial"/>
              </w:rPr>
              <w:t>tersebut, hal harus diselesaikan sesuai dengan Pasal 28 (Penyelesaian Sengketa) dari Perjanjian ini atas rujukan salah satu Pihak.</w:t>
            </w:r>
          </w:p>
        </w:tc>
      </w:tr>
      <w:tr w:rsidR="00862B0B" w:rsidRPr="00A67277" w14:paraId="0812DB2C" w14:textId="77777777" w:rsidTr="00862B0B">
        <w:tc>
          <w:tcPr>
            <w:tcW w:w="2270" w:type="pct"/>
          </w:tcPr>
          <w:p w14:paraId="37D32EF5" w14:textId="77777777" w:rsidR="00862B0B" w:rsidRPr="00A67277" w:rsidRDefault="00862B0B" w:rsidP="00862B0B">
            <w:pPr>
              <w:pStyle w:val="Level3"/>
              <w:numPr>
                <w:ilvl w:val="2"/>
                <w:numId w:val="511"/>
              </w:numPr>
              <w:tabs>
                <w:tab w:val="clear" w:pos="1417"/>
              </w:tabs>
              <w:spacing w:before="60" w:after="60"/>
              <w:ind w:hanging="403"/>
            </w:pPr>
            <w:r w:rsidRPr="00A67277">
              <w:t xml:space="preserve">Without prejudice to paragraph (g), as soon as reasonably practicable after GCA receives the Modification Estimate, the Parties shall discuss in good faith and agree the issues set out in the Modification Estimate. </w:t>
            </w:r>
          </w:p>
        </w:tc>
        <w:tc>
          <w:tcPr>
            <w:tcW w:w="169" w:type="pct"/>
          </w:tcPr>
          <w:p w14:paraId="3BBD439F" w14:textId="77777777" w:rsidR="00862B0B" w:rsidRPr="00A67277" w:rsidRDefault="00862B0B" w:rsidP="00862B0B">
            <w:pPr>
              <w:spacing w:before="60" w:after="60"/>
              <w:rPr>
                <w:rFonts w:ascii="Arial" w:hAnsi="Arial" w:cs="Arial"/>
                <w:sz w:val="21"/>
                <w:szCs w:val="21"/>
              </w:rPr>
            </w:pPr>
          </w:p>
        </w:tc>
        <w:tc>
          <w:tcPr>
            <w:tcW w:w="2561" w:type="pct"/>
            <w:gridSpan w:val="2"/>
          </w:tcPr>
          <w:p w14:paraId="66D803B3" w14:textId="77777777" w:rsidR="00862B0B" w:rsidRPr="00A67277" w:rsidRDefault="00862B0B" w:rsidP="00862B0B">
            <w:pPr>
              <w:pStyle w:val="Level3"/>
              <w:numPr>
                <w:ilvl w:val="0"/>
                <w:numId w:val="103"/>
              </w:numPr>
              <w:spacing w:before="60" w:after="60"/>
              <w:ind w:left="1475" w:hanging="425"/>
              <w:rPr>
                <w:rFonts w:cs="Arial"/>
                <w:lang w:val="id-ID"/>
              </w:rPr>
            </w:pPr>
            <w:r w:rsidRPr="00A67277">
              <w:rPr>
                <w:rFonts w:cs="Arial"/>
                <w:lang w:val="id-ID"/>
              </w:rPr>
              <w:t xml:space="preserve">Tanpa mengurangi ketentuan pda paragraf (g), sesegera mungkin setelah PJPK menerima Perkiraan Modifikasi, Para Pihak akan membahas dengan itikad baik dan menyetujui hal-hal yang dimuat dalam Perkiraan Modifikasi. </w:t>
            </w:r>
          </w:p>
        </w:tc>
      </w:tr>
      <w:tr w:rsidR="00862B0B" w:rsidRPr="00A67277" w14:paraId="0C9A2CC7" w14:textId="77777777" w:rsidTr="00862B0B">
        <w:tc>
          <w:tcPr>
            <w:tcW w:w="2270" w:type="pct"/>
          </w:tcPr>
          <w:p w14:paraId="566EE519" w14:textId="77777777" w:rsidR="00862B0B" w:rsidRPr="00A67277" w:rsidRDefault="00862B0B" w:rsidP="00862B0B">
            <w:pPr>
              <w:pStyle w:val="Heading2"/>
              <w:numPr>
                <w:ilvl w:val="0"/>
                <w:numId w:val="102"/>
              </w:numPr>
              <w:spacing w:before="60" w:after="60"/>
              <w:ind w:left="1014" w:hanging="567"/>
              <w:outlineLvl w:val="1"/>
              <w:rPr>
                <w:rFonts w:ascii="Arial" w:hAnsi="Arial" w:cs="Arial"/>
                <w:b/>
                <w:color w:val="auto"/>
                <w:sz w:val="21"/>
                <w:szCs w:val="21"/>
              </w:rPr>
            </w:pPr>
            <w:r w:rsidRPr="00A67277">
              <w:rPr>
                <w:rFonts w:ascii="Arial" w:hAnsi="Arial" w:cs="Arial"/>
                <w:b/>
                <w:color w:val="auto"/>
                <w:sz w:val="21"/>
                <w:szCs w:val="21"/>
              </w:rPr>
              <w:t>Compensation for Modification</w:t>
            </w:r>
          </w:p>
        </w:tc>
        <w:tc>
          <w:tcPr>
            <w:tcW w:w="169" w:type="pct"/>
          </w:tcPr>
          <w:p w14:paraId="7757E02C" w14:textId="77777777" w:rsidR="00862B0B" w:rsidRPr="00A67277" w:rsidRDefault="00862B0B" w:rsidP="00862B0B">
            <w:pPr>
              <w:spacing w:before="60" w:after="60"/>
              <w:rPr>
                <w:rFonts w:ascii="Arial" w:hAnsi="Arial" w:cs="Arial"/>
                <w:sz w:val="21"/>
                <w:szCs w:val="21"/>
              </w:rPr>
            </w:pPr>
          </w:p>
        </w:tc>
        <w:tc>
          <w:tcPr>
            <w:tcW w:w="2561" w:type="pct"/>
            <w:gridSpan w:val="2"/>
          </w:tcPr>
          <w:p w14:paraId="013FEE00" w14:textId="77777777" w:rsidR="00862B0B" w:rsidRPr="00A67277" w:rsidRDefault="00862B0B" w:rsidP="00862B0B">
            <w:pPr>
              <w:pStyle w:val="Heading2"/>
              <w:numPr>
                <w:ilvl w:val="1"/>
                <w:numId w:val="432"/>
              </w:numPr>
              <w:spacing w:before="60" w:after="60"/>
              <w:ind w:left="1050" w:hanging="567"/>
              <w:outlineLvl w:val="1"/>
              <w:rPr>
                <w:rFonts w:ascii="Arial" w:hAnsi="Arial" w:cs="Arial"/>
                <w:b/>
                <w:color w:val="auto"/>
                <w:sz w:val="21"/>
                <w:szCs w:val="21"/>
              </w:rPr>
            </w:pPr>
            <w:r w:rsidRPr="00A67277">
              <w:rPr>
                <w:rFonts w:ascii="Arial" w:hAnsi="Arial" w:cs="Arial"/>
                <w:b/>
                <w:color w:val="auto"/>
                <w:sz w:val="21"/>
                <w:szCs w:val="21"/>
              </w:rPr>
              <w:t>Kompensasi Atas Modifikasi</w:t>
            </w:r>
          </w:p>
        </w:tc>
      </w:tr>
      <w:tr w:rsidR="00862B0B" w:rsidRPr="00A67277" w14:paraId="0FFDC3B8" w14:textId="77777777" w:rsidTr="00862B0B">
        <w:tc>
          <w:tcPr>
            <w:tcW w:w="2270" w:type="pct"/>
          </w:tcPr>
          <w:p w14:paraId="11B4794E" w14:textId="77777777" w:rsidR="00862B0B" w:rsidRPr="00A67277" w:rsidRDefault="00862B0B" w:rsidP="00862B0B">
            <w:pPr>
              <w:pStyle w:val="Level3"/>
              <w:numPr>
                <w:ilvl w:val="2"/>
                <w:numId w:val="512"/>
              </w:numPr>
              <w:tabs>
                <w:tab w:val="clear" w:pos="1417"/>
              </w:tabs>
              <w:spacing w:before="60" w:after="60"/>
              <w:ind w:hanging="403"/>
            </w:pPr>
            <w:r w:rsidRPr="00A67277">
              <w:t xml:space="preserve">After a Modification Estimate has been agreed by the Parties, the Parties shall negotiate in good faith to agree on the method of compensation appropriate, which may include: </w:t>
            </w:r>
          </w:p>
        </w:tc>
        <w:tc>
          <w:tcPr>
            <w:tcW w:w="169" w:type="pct"/>
          </w:tcPr>
          <w:p w14:paraId="539E6E5A" w14:textId="77777777" w:rsidR="00862B0B" w:rsidRPr="00A67277" w:rsidRDefault="00862B0B" w:rsidP="00862B0B">
            <w:pPr>
              <w:spacing w:before="60" w:after="60"/>
              <w:rPr>
                <w:rFonts w:ascii="Arial" w:hAnsi="Arial" w:cs="Arial"/>
                <w:sz w:val="21"/>
                <w:szCs w:val="21"/>
              </w:rPr>
            </w:pPr>
          </w:p>
        </w:tc>
        <w:tc>
          <w:tcPr>
            <w:tcW w:w="2561" w:type="pct"/>
            <w:gridSpan w:val="2"/>
          </w:tcPr>
          <w:p w14:paraId="7FFC600D" w14:textId="77777777" w:rsidR="00862B0B" w:rsidRPr="00A67277" w:rsidRDefault="00862B0B" w:rsidP="00862B0B">
            <w:pPr>
              <w:pStyle w:val="Level3"/>
              <w:numPr>
                <w:ilvl w:val="0"/>
                <w:numId w:val="113"/>
              </w:numPr>
              <w:spacing w:before="60" w:after="60"/>
              <w:ind w:left="1450" w:hanging="400"/>
              <w:rPr>
                <w:rFonts w:cs="Arial"/>
              </w:rPr>
            </w:pPr>
            <w:r w:rsidRPr="00A67277">
              <w:rPr>
                <w:rFonts w:cs="Arial"/>
              </w:rPr>
              <w:t>Setelah Perkiraan Modifikasi telah disepakati oleh Para Pihak, Para Pihak harus bernegosiasi dengan itikad baik untuk menyetujui metode kompensasi yang sesuai, yang dapat berbentuk:</w:t>
            </w:r>
          </w:p>
        </w:tc>
      </w:tr>
      <w:tr w:rsidR="00862B0B" w:rsidRPr="00A67277" w14:paraId="19001548" w14:textId="77777777" w:rsidTr="00862B0B">
        <w:tc>
          <w:tcPr>
            <w:tcW w:w="2270" w:type="pct"/>
          </w:tcPr>
          <w:p w14:paraId="154A1A07" w14:textId="53A2419D" w:rsidR="00862B0B" w:rsidRPr="00A67277" w:rsidRDefault="00862B0B" w:rsidP="00862B0B">
            <w:pPr>
              <w:pStyle w:val="Level4"/>
              <w:numPr>
                <w:ilvl w:val="0"/>
                <w:numId w:val="112"/>
              </w:numPr>
              <w:spacing w:before="60" w:after="60"/>
              <w:ind w:left="1865" w:hanging="425"/>
            </w:pPr>
            <w:r w:rsidRPr="00A67277">
              <w:t xml:space="preserve">an adjustment to the </w:t>
            </w:r>
            <w:r>
              <w:t>Service Fee</w:t>
            </w:r>
            <w:r w:rsidRPr="00A67277">
              <w:t>;</w:t>
            </w:r>
          </w:p>
        </w:tc>
        <w:tc>
          <w:tcPr>
            <w:tcW w:w="169" w:type="pct"/>
          </w:tcPr>
          <w:p w14:paraId="56D52A26" w14:textId="77777777" w:rsidR="00862B0B" w:rsidRPr="00A67277" w:rsidRDefault="00862B0B" w:rsidP="00862B0B">
            <w:pPr>
              <w:spacing w:before="60" w:after="60"/>
              <w:rPr>
                <w:rFonts w:ascii="Arial" w:hAnsi="Arial" w:cs="Arial"/>
                <w:sz w:val="21"/>
                <w:szCs w:val="21"/>
              </w:rPr>
            </w:pPr>
          </w:p>
        </w:tc>
        <w:tc>
          <w:tcPr>
            <w:tcW w:w="2561" w:type="pct"/>
            <w:gridSpan w:val="2"/>
          </w:tcPr>
          <w:p w14:paraId="4ABEE911" w14:textId="12BC0F57" w:rsidR="00862B0B" w:rsidRPr="00A67277" w:rsidRDefault="00862B0B" w:rsidP="00862B0B">
            <w:pPr>
              <w:pStyle w:val="Level4"/>
              <w:numPr>
                <w:ilvl w:val="0"/>
                <w:numId w:val="114"/>
              </w:numPr>
              <w:spacing w:before="60" w:after="60"/>
              <w:ind w:left="1900" w:hanging="425"/>
              <w:rPr>
                <w:rFonts w:cs="Arial"/>
              </w:rPr>
            </w:pPr>
            <w:r w:rsidRPr="00A67277">
              <w:rPr>
                <w:rStyle w:val="shorttext"/>
                <w:rFonts w:cs="Arial"/>
                <w:lang w:val="en-ID"/>
              </w:rPr>
              <w:t xml:space="preserve">suatu </w:t>
            </w:r>
            <w:r w:rsidRPr="00A67277">
              <w:rPr>
                <w:rStyle w:val="shorttext"/>
                <w:rFonts w:cs="Arial"/>
                <w:lang w:val="id-ID"/>
              </w:rPr>
              <w:t xml:space="preserve">penyesuaian </w:t>
            </w:r>
            <w:r w:rsidRPr="00A67277">
              <w:rPr>
                <w:rStyle w:val="shorttext"/>
                <w:rFonts w:cs="Arial"/>
                <w:lang w:val="en-US"/>
              </w:rPr>
              <w:t xml:space="preserve">terhadap </w:t>
            </w:r>
            <w:r>
              <w:rPr>
                <w:rStyle w:val="shorttext"/>
                <w:rFonts w:cs="Arial"/>
                <w:lang w:val="en-US"/>
              </w:rPr>
              <w:t>Biaya</w:t>
            </w:r>
            <w:r w:rsidRPr="00A67277">
              <w:rPr>
                <w:rStyle w:val="shorttext"/>
                <w:rFonts w:cs="Arial"/>
                <w:lang w:val="en-US"/>
              </w:rPr>
              <w:t xml:space="preserve"> Layanan;</w:t>
            </w:r>
          </w:p>
        </w:tc>
      </w:tr>
      <w:tr w:rsidR="00862B0B" w:rsidRPr="00A67277" w14:paraId="49EEE5E4" w14:textId="77777777" w:rsidTr="00862B0B">
        <w:tc>
          <w:tcPr>
            <w:tcW w:w="2270" w:type="pct"/>
          </w:tcPr>
          <w:p w14:paraId="333D3869" w14:textId="77777777" w:rsidR="00862B0B" w:rsidRPr="00A67277" w:rsidRDefault="00862B0B" w:rsidP="00862B0B">
            <w:pPr>
              <w:pStyle w:val="Level4"/>
              <w:numPr>
                <w:ilvl w:val="0"/>
                <w:numId w:val="112"/>
              </w:numPr>
              <w:spacing w:before="60" w:after="60"/>
              <w:ind w:left="1865" w:hanging="425"/>
            </w:pPr>
            <w:r w:rsidRPr="00A67277">
              <w:t>a change in the duration of the Term;</w:t>
            </w:r>
          </w:p>
          <w:p w14:paraId="4EA9D209"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63EB7E75" w14:textId="77777777" w:rsidR="00862B0B" w:rsidRPr="00A67277" w:rsidRDefault="00862B0B" w:rsidP="00862B0B">
            <w:pPr>
              <w:spacing w:before="60" w:after="60"/>
              <w:rPr>
                <w:rFonts w:ascii="Arial" w:hAnsi="Arial" w:cs="Arial"/>
                <w:sz w:val="21"/>
                <w:szCs w:val="21"/>
              </w:rPr>
            </w:pPr>
          </w:p>
        </w:tc>
        <w:tc>
          <w:tcPr>
            <w:tcW w:w="2561" w:type="pct"/>
            <w:gridSpan w:val="2"/>
          </w:tcPr>
          <w:p w14:paraId="5C5F2A84" w14:textId="77777777" w:rsidR="00862B0B" w:rsidRPr="00A67277" w:rsidRDefault="00862B0B" w:rsidP="00862B0B">
            <w:pPr>
              <w:pStyle w:val="Level4"/>
              <w:numPr>
                <w:ilvl w:val="0"/>
                <w:numId w:val="114"/>
              </w:numPr>
              <w:spacing w:before="60" w:after="60"/>
              <w:ind w:left="1900" w:hanging="425"/>
              <w:rPr>
                <w:rStyle w:val="shorttext"/>
                <w:rFonts w:cs="Arial"/>
                <w:lang w:val="en-ID"/>
              </w:rPr>
            </w:pPr>
            <w:r w:rsidRPr="00A67277">
              <w:rPr>
                <w:rStyle w:val="shorttext"/>
                <w:rFonts w:cs="Arial"/>
                <w:lang w:val="en-ID"/>
              </w:rPr>
              <w:t xml:space="preserve">suatu perubahan dalam lamanya Jangka Waktu; </w:t>
            </w:r>
          </w:p>
        </w:tc>
      </w:tr>
      <w:tr w:rsidR="00862B0B" w:rsidRPr="00A67277" w14:paraId="3A7D62A2" w14:textId="77777777" w:rsidTr="00862B0B">
        <w:tc>
          <w:tcPr>
            <w:tcW w:w="2270" w:type="pct"/>
          </w:tcPr>
          <w:p w14:paraId="6CF630CB" w14:textId="3E51B6D3" w:rsidR="00862B0B" w:rsidRPr="00A67277" w:rsidRDefault="00862B0B" w:rsidP="00862B0B">
            <w:pPr>
              <w:pStyle w:val="Level4"/>
              <w:numPr>
                <w:ilvl w:val="0"/>
                <w:numId w:val="112"/>
              </w:numPr>
              <w:spacing w:before="60" w:after="60"/>
              <w:ind w:left="1865" w:hanging="425"/>
            </w:pPr>
            <w:r w:rsidRPr="00A67277">
              <w:t>a change in the</w:t>
            </w:r>
            <w:r w:rsidRPr="00A67277">
              <w:rPr>
                <w:rFonts w:cs="Arial"/>
              </w:rPr>
              <w:t xml:space="preserve"> Key Performance Indicators</w:t>
            </w:r>
            <w:r w:rsidRPr="00A67277">
              <w:t>; or</w:t>
            </w:r>
          </w:p>
        </w:tc>
        <w:tc>
          <w:tcPr>
            <w:tcW w:w="169" w:type="pct"/>
          </w:tcPr>
          <w:p w14:paraId="3BBADB33" w14:textId="77777777" w:rsidR="00862B0B" w:rsidRPr="00A67277" w:rsidRDefault="00862B0B" w:rsidP="00862B0B">
            <w:pPr>
              <w:spacing w:before="60" w:after="60"/>
              <w:rPr>
                <w:rFonts w:ascii="Arial" w:hAnsi="Arial" w:cs="Arial"/>
                <w:sz w:val="21"/>
                <w:szCs w:val="21"/>
              </w:rPr>
            </w:pPr>
          </w:p>
        </w:tc>
        <w:tc>
          <w:tcPr>
            <w:tcW w:w="2561" w:type="pct"/>
            <w:gridSpan w:val="2"/>
          </w:tcPr>
          <w:p w14:paraId="0A780C52" w14:textId="77777777" w:rsidR="00862B0B" w:rsidRPr="00A67277" w:rsidRDefault="00862B0B" w:rsidP="00862B0B">
            <w:pPr>
              <w:pStyle w:val="Level4"/>
              <w:numPr>
                <w:ilvl w:val="0"/>
                <w:numId w:val="114"/>
              </w:numPr>
              <w:spacing w:before="60" w:after="60"/>
              <w:ind w:left="1900" w:hanging="425"/>
              <w:rPr>
                <w:rStyle w:val="shorttext"/>
                <w:rFonts w:cs="Arial"/>
                <w:lang w:val="en-ID"/>
              </w:rPr>
            </w:pPr>
            <w:r w:rsidRPr="00A67277">
              <w:rPr>
                <w:rStyle w:val="shorttext"/>
                <w:rFonts w:cs="Arial"/>
                <w:lang w:val="en-ID"/>
              </w:rPr>
              <w:t>suatu perubahan dalam Indikator Kinerja Utama; atau</w:t>
            </w:r>
          </w:p>
        </w:tc>
      </w:tr>
      <w:tr w:rsidR="00862B0B" w:rsidRPr="00A67277" w14:paraId="36A37415" w14:textId="77777777" w:rsidTr="00862B0B">
        <w:tc>
          <w:tcPr>
            <w:tcW w:w="2270" w:type="pct"/>
          </w:tcPr>
          <w:p w14:paraId="773DA735" w14:textId="77777777" w:rsidR="00862B0B" w:rsidRPr="00A67277" w:rsidRDefault="00862B0B" w:rsidP="00862B0B">
            <w:pPr>
              <w:pStyle w:val="Level4"/>
              <w:numPr>
                <w:ilvl w:val="0"/>
                <w:numId w:val="112"/>
              </w:numPr>
              <w:spacing w:before="60" w:after="60"/>
              <w:ind w:left="1865" w:hanging="425"/>
            </w:pPr>
            <w:r w:rsidRPr="00A67277">
              <w:t>a combination of any of sub-paragraph (i), (ii), (iii) and (iv),</w:t>
            </w:r>
          </w:p>
        </w:tc>
        <w:tc>
          <w:tcPr>
            <w:tcW w:w="169" w:type="pct"/>
          </w:tcPr>
          <w:p w14:paraId="13448B9A" w14:textId="77777777" w:rsidR="00862B0B" w:rsidRPr="00A67277" w:rsidRDefault="00862B0B" w:rsidP="00862B0B">
            <w:pPr>
              <w:spacing w:before="60" w:after="60"/>
              <w:rPr>
                <w:rFonts w:ascii="Arial" w:hAnsi="Arial" w:cs="Arial"/>
                <w:sz w:val="21"/>
                <w:szCs w:val="21"/>
              </w:rPr>
            </w:pPr>
          </w:p>
        </w:tc>
        <w:tc>
          <w:tcPr>
            <w:tcW w:w="2561" w:type="pct"/>
            <w:gridSpan w:val="2"/>
          </w:tcPr>
          <w:p w14:paraId="47AC436C" w14:textId="77777777" w:rsidR="00862B0B" w:rsidRPr="00A67277" w:rsidRDefault="00862B0B" w:rsidP="00862B0B">
            <w:pPr>
              <w:pStyle w:val="Level4"/>
              <w:numPr>
                <w:ilvl w:val="0"/>
                <w:numId w:val="114"/>
              </w:numPr>
              <w:spacing w:before="60" w:after="60"/>
              <w:ind w:left="1900" w:hanging="425"/>
              <w:rPr>
                <w:rStyle w:val="shorttext"/>
                <w:rFonts w:cs="Arial"/>
                <w:lang w:val="en-ID"/>
              </w:rPr>
            </w:pPr>
            <w:r w:rsidRPr="00A67277">
              <w:rPr>
                <w:rStyle w:val="shorttext"/>
                <w:rFonts w:cs="Arial"/>
                <w:lang w:val="en-ID"/>
              </w:rPr>
              <w:t xml:space="preserve">kombinasi dari sub-paragraf (i), (ii), (iii) dan (iv), </w:t>
            </w:r>
          </w:p>
        </w:tc>
      </w:tr>
      <w:tr w:rsidR="00862B0B" w:rsidRPr="00A67277" w14:paraId="34FE02BB" w14:textId="77777777" w:rsidTr="00862B0B">
        <w:tc>
          <w:tcPr>
            <w:tcW w:w="2270" w:type="pct"/>
          </w:tcPr>
          <w:p w14:paraId="37A9080C" w14:textId="5FDFA4FD" w:rsidR="00862B0B" w:rsidRPr="00A67277" w:rsidRDefault="00862B0B" w:rsidP="00862B0B">
            <w:pPr>
              <w:pStyle w:val="Body4"/>
              <w:spacing w:before="60" w:after="60"/>
              <w:ind w:left="1440"/>
            </w:pPr>
            <w:r w:rsidRPr="00A67277">
              <w:t xml:space="preserve">to reflect the actual Estimated Change in Project Costs resulting from the Modification. </w:t>
            </w:r>
          </w:p>
        </w:tc>
        <w:tc>
          <w:tcPr>
            <w:tcW w:w="169" w:type="pct"/>
          </w:tcPr>
          <w:p w14:paraId="6AA67399" w14:textId="77777777" w:rsidR="00862B0B" w:rsidRPr="00A67277" w:rsidRDefault="00862B0B" w:rsidP="00862B0B">
            <w:pPr>
              <w:spacing w:before="60" w:after="60"/>
              <w:rPr>
                <w:rFonts w:ascii="Arial" w:hAnsi="Arial" w:cs="Arial"/>
                <w:sz w:val="21"/>
                <w:szCs w:val="21"/>
              </w:rPr>
            </w:pPr>
          </w:p>
        </w:tc>
        <w:tc>
          <w:tcPr>
            <w:tcW w:w="2561" w:type="pct"/>
            <w:gridSpan w:val="2"/>
          </w:tcPr>
          <w:p w14:paraId="0EAD9A1D" w14:textId="77777777" w:rsidR="00862B0B" w:rsidRPr="00A67277" w:rsidRDefault="00862B0B" w:rsidP="00862B0B">
            <w:pPr>
              <w:pStyle w:val="Level3"/>
              <w:spacing w:before="60" w:after="60"/>
              <w:ind w:left="1450"/>
              <w:rPr>
                <w:rFonts w:cs="Arial"/>
              </w:rPr>
            </w:pPr>
            <w:r w:rsidRPr="00A67277">
              <w:rPr>
                <w:rFonts w:cs="Arial"/>
              </w:rPr>
              <w:t xml:space="preserve">untuk mencerminkan hasil aktual dari Perkiraan Perubahan Terhadap Biaya Proyek sebagai hasil dari Modifikasi. </w:t>
            </w:r>
          </w:p>
        </w:tc>
      </w:tr>
      <w:tr w:rsidR="00862B0B" w:rsidRPr="00A67277" w14:paraId="4058E465" w14:textId="77777777" w:rsidTr="00862B0B">
        <w:tc>
          <w:tcPr>
            <w:tcW w:w="2270" w:type="pct"/>
          </w:tcPr>
          <w:p w14:paraId="0FBBA29E" w14:textId="77777777" w:rsidR="00862B0B" w:rsidRPr="00A67277" w:rsidRDefault="00862B0B" w:rsidP="00862B0B">
            <w:pPr>
              <w:pStyle w:val="Level3"/>
              <w:numPr>
                <w:ilvl w:val="2"/>
                <w:numId w:val="512"/>
              </w:numPr>
              <w:tabs>
                <w:tab w:val="clear" w:pos="1417"/>
              </w:tabs>
              <w:spacing w:before="60" w:after="60"/>
              <w:ind w:hanging="403"/>
            </w:pPr>
            <w:r w:rsidRPr="00A67277">
              <w:t>The compensation as referred in paragraph (a) shall be:</w:t>
            </w:r>
          </w:p>
        </w:tc>
        <w:tc>
          <w:tcPr>
            <w:tcW w:w="169" w:type="pct"/>
          </w:tcPr>
          <w:p w14:paraId="2C5A4358" w14:textId="77777777" w:rsidR="00862B0B" w:rsidRPr="00A67277" w:rsidRDefault="00862B0B" w:rsidP="00862B0B">
            <w:pPr>
              <w:spacing w:before="60" w:after="60"/>
              <w:rPr>
                <w:rFonts w:ascii="Arial" w:hAnsi="Arial" w:cs="Arial"/>
                <w:sz w:val="21"/>
                <w:szCs w:val="21"/>
              </w:rPr>
            </w:pPr>
          </w:p>
        </w:tc>
        <w:tc>
          <w:tcPr>
            <w:tcW w:w="2561" w:type="pct"/>
            <w:gridSpan w:val="2"/>
          </w:tcPr>
          <w:p w14:paraId="1DD6466F" w14:textId="77777777" w:rsidR="00862B0B" w:rsidRPr="00A67277" w:rsidRDefault="00862B0B" w:rsidP="00862B0B">
            <w:pPr>
              <w:pStyle w:val="Level3"/>
              <w:numPr>
                <w:ilvl w:val="0"/>
                <w:numId w:val="113"/>
              </w:numPr>
              <w:spacing w:before="60" w:after="60"/>
              <w:ind w:left="1450" w:hanging="400"/>
              <w:rPr>
                <w:rFonts w:cs="Arial"/>
              </w:rPr>
            </w:pPr>
            <w:r w:rsidRPr="00A67277">
              <w:rPr>
                <w:rFonts w:cs="Arial"/>
              </w:rPr>
              <w:t>Kompensasi sebagaimana dimaksud pada paragraf (a) akan:</w:t>
            </w:r>
          </w:p>
        </w:tc>
      </w:tr>
      <w:tr w:rsidR="00862B0B" w:rsidRPr="00A67277" w14:paraId="3B019993" w14:textId="77777777" w:rsidTr="00862B0B">
        <w:tc>
          <w:tcPr>
            <w:tcW w:w="2270" w:type="pct"/>
          </w:tcPr>
          <w:p w14:paraId="2D3EC8E4" w14:textId="77777777" w:rsidR="00862B0B" w:rsidRPr="00A67277" w:rsidRDefault="00862B0B" w:rsidP="00862B0B">
            <w:pPr>
              <w:pStyle w:val="Level4"/>
              <w:numPr>
                <w:ilvl w:val="0"/>
                <w:numId w:val="115"/>
              </w:numPr>
              <w:spacing w:before="60" w:after="60"/>
              <w:ind w:left="1865" w:hanging="425"/>
            </w:pPr>
            <w:r w:rsidRPr="00A67277">
              <w:t>calculated to ensure that:</w:t>
            </w:r>
          </w:p>
        </w:tc>
        <w:tc>
          <w:tcPr>
            <w:tcW w:w="169" w:type="pct"/>
          </w:tcPr>
          <w:p w14:paraId="5CAD9045" w14:textId="77777777" w:rsidR="00862B0B" w:rsidRPr="00A67277" w:rsidRDefault="00862B0B" w:rsidP="00862B0B">
            <w:pPr>
              <w:spacing w:before="60" w:after="60"/>
              <w:rPr>
                <w:rFonts w:ascii="Arial" w:hAnsi="Arial" w:cs="Arial"/>
                <w:sz w:val="21"/>
                <w:szCs w:val="21"/>
              </w:rPr>
            </w:pPr>
          </w:p>
        </w:tc>
        <w:tc>
          <w:tcPr>
            <w:tcW w:w="2561" w:type="pct"/>
            <w:gridSpan w:val="2"/>
          </w:tcPr>
          <w:p w14:paraId="09847ED0" w14:textId="77777777" w:rsidR="00862B0B" w:rsidRPr="00A67277" w:rsidRDefault="00862B0B" w:rsidP="00862B0B">
            <w:pPr>
              <w:pStyle w:val="Level4"/>
              <w:numPr>
                <w:ilvl w:val="0"/>
                <w:numId w:val="116"/>
              </w:numPr>
              <w:spacing w:before="60" w:after="60"/>
              <w:ind w:left="1869" w:hanging="394"/>
              <w:rPr>
                <w:rFonts w:cs="Arial"/>
              </w:rPr>
            </w:pPr>
            <w:r w:rsidRPr="00A67277">
              <w:rPr>
                <w:rStyle w:val="shorttext"/>
                <w:rFonts w:cs="Arial"/>
                <w:lang w:val="id-ID"/>
              </w:rPr>
              <w:t>dihitung untuk memastikannya</w:t>
            </w:r>
            <w:r w:rsidRPr="00A67277">
              <w:rPr>
                <w:rFonts w:cs="Arial"/>
              </w:rPr>
              <w:t>:</w:t>
            </w:r>
          </w:p>
        </w:tc>
      </w:tr>
      <w:tr w:rsidR="00862B0B" w:rsidRPr="00A67277" w14:paraId="16325A69" w14:textId="77777777" w:rsidTr="00862B0B">
        <w:tc>
          <w:tcPr>
            <w:tcW w:w="2270" w:type="pct"/>
          </w:tcPr>
          <w:p w14:paraId="476D7617" w14:textId="77777777" w:rsidR="00862B0B" w:rsidRPr="00A67277" w:rsidRDefault="00862B0B" w:rsidP="00862B0B">
            <w:pPr>
              <w:pStyle w:val="Level5"/>
              <w:numPr>
                <w:ilvl w:val="4"/>
                <w:numId w:val="445"/>
              </w:numPr>
              <w:tabs>
                <w:tab w:val="clear" w:pos="2835"/>
              </w:tabs>
              <w:spacing w:before="60" w:after="60"/>
              <w:ind w:left="2290" w:hanging="425"/>
            </w:pPr>
            <w:r w:rsidRPr="00A67277">
              <w:t>the IBE has the same Base Case Equity IRR; and</w:t>
            </w:r>
          </w:p>
        </w:tc>
        <w:tc>
          <w:tcPr>
            <w:tcW w:w="169" w:type="pct"/>
          </w:tcPr>
          <w:p w14:paraId="4D583A74" w14:textId="77777777" w:rsidR="00862B0B" w:rsidRPr="00A67277" w:rsidRDefault="00862B0B" w:rsidP="00862B0B">
            <w:pPr>
              <w:spacing w:before="60" w:after="60"/>
              <w:rPr>
                <w:rFonts w:ascii="Arial" w:hAnsi="Arial" w:cs="Arial"/>
                <w:sz w:val="21"/>
                <w:szCs w:val="21"/>
              </w:rPr>
            </w:pPr>
          </w:p>
        </w:tc>
        <w:tc>
          <w:tcPr>
            <w:tcW w:w="2561" w:type="pct"/>
            <w:gridSpan w:val="2"/>
          </w:tcPr>
          <w:p w14:paraId="4CC755C6" w14:textId="77777777" w:rsidR="00862B0B" w:rsidRPr="00A67277" w:rsidRDefault="00862B0B" w:rsidP="00862B0B">
            <w:pPr>
              <w:pStyle w:val="Level5"/>
              <w:numPr>
                <w:ilvl w:val="0"/>
                <w:numId w:val="117"/>
              </w:numPr>
              <w:spacing w:before="60" w:after="60"/>
              <w:ind w:left="2326" w:hanging="426"/>
              <w:rPr>
                <w:rFonts w:cs="Arial"/>
              </w:rPr>
            </w:pPr>
            <w:r w:rsidRPr="00A67277">
              <w:rPr>
                <w:rFonts w:cs="Arial"/>
              </w:rPr>
              <w:t>BUP memiliki Posisi Dasar Ekuitas IRR yang sama; dan</w:t>
            </w:r>
          </w:p>
        </w:tc>
      </w:tr>
      <w:tr w:rsidR="00862B0B" w:rsidRPr="00A67277" w14:paraId="7448A8B8" w14:textId="77777777" w:rsidTr="00862B0B">
        <w:tc>
          <w:tcPr>
            <w:tcW w:w="2270" w:type="pct"/>
          </w:tcPr>
          <w:p w14:paraId="24C31A94" w14:textId="77777777" w:rsidR="00862B0B" w:rsidRPr="00A67277" w:rsidRDefault="00862B0B" w:rsidP="00862B0B">
            <w:pPr>
              <w:pStyle w:val="Level5"/>
              <w:numPr>
                <w:ilvl w:val="4"/>
                <w:numId w:val="445"/>
              </w:numPr>
              <w:tabs>
                <w:tab w:val="clear" w:pos="2835"/>
              </w:tabs>
              <w:spacing w:before="60" w:after="60"/>
              <w:ind w:left="2290" w:hanging="425"/>
            </w:pPr>
            <w:r w:rsidRPr="00A67277">
              <w:t xml:space="preserve">the IBE is able to comply with the financial covenants stipulated in the Financing Documents (as renegotiated if necessary) to the extent that the IBE would be in compliance with such financial covenants if Modification had not been implemented (without adjusting for any actual variances from the Financial Model); and </w:t>
            </w:r>
          </w:p>
        </w:tc>
        <w:tc>
          <w:tcPr>
            <w:tcW w:w="169" w:type="pct"/>
          </w:tcPr>
          <w:p w14:paraId="6BDF6E96" w14:textId="77777777" w:rsidR="00862B0B" w:rsidRPr="00A67277" w:rsidRDefault="00862B0B" w:rsidP="00862B0B">
            <w:pPr>
              <w:spacing w:before="60" w:after="60"/>
              <w:rPr>
                <w:rFonts w:ascii="Arial" w:hAnsi="Arial" w:cs="Arial"/>
                <w:sz w:val="21"/>
                <w:szCs w:val="21"/>
              </w:rPr>
            </w:pPr>
          </w:p>
        </w:tc>
        <w:tc>
          <w:tcPr>
            <w:tcW w:w="2561" w:type="pct"/>
            <w:gridSpan w:val="2"/>
          </w:tcPr>
          <w:p w14:paraId="75A273FD" w14:textId="46B93595" w:rsidR="00862B0B" w:rsidRPr="00A67277" w:rsidRDefault="00862B0B" w:rsidP="00862B0B">
            <w:pPr>
              <w:pStyle w:val="Level5"/>
              <w:numPr>
                <w:ilvl w:val="0"/>
                <w:numId w:val="117"/>
              </w:numPr>
              <w:spacing w:before="60" w:after="60"/>
              <w:ind w:left="2326" w:hanging="426"/>
              <w:rPr>
                <w:rFonts w:cs="Arial"/>
              </w:rPr>
            </w:pPr>
            <w:r w:rsidRPr="00A67277">
              <w:rPr>
                <w:rFonts w:cs="Arial"/>
              </w:rPr>
              <w:t xml:space="preserve">BUP dapat mematuhi janji-janji keuangan yang diatur dalam Dokumen Pembiayaan (sebagaimana dinegosiasi ulang jika diperlukan) sepanjang BUP akan mematuhi janji-janji keuangan tersebut jika Modifikasi belum dilaksanakan (tanpa penyesuaian perubahan actual dari Model Keuangan); dan </w:t>
            </w:r>
          </w:p>
        </w:tc>
      </w:tr>
      <w:tr w:rsidR="00862B0B" w:rsidRPr="00A67277" w14:paraId="029F1AE8" w14:textId="77777777" w:rsidTr="00862B0B">
        <w:tc>
          <w:tcPr>
            <w:tcW w:w="2270" w:type="pct"/>
          </w:tcPr>
          <w:p w14:paraId="227D85C5" w14:textId="77777777" w:rsidR="00862B0B" w:rsidRPr="00A67277" w:rsidRDefault="00862B0B" w:rsidP="00862B0B">
            <w:pPr>
              <w:pStyle w:val="Level4"/>
              <w:numPr>
                <w:ilvl w:val="0"/>
                <w:numId w:val="115"/>
              </w:numPr>
              <w:spacing w:before="60" w:after="60"/>
              <w:ind w:left="1865" w:hanging="425"/>
            </w:pPr>
            <w:r w:rsidRPr="00A67277">
              <w:t>retroactive to the date upon which such costs or savings in the Estimated Change in Project Cost were incurred or realised.</w:t>
            </w:r>
          </w:p>
          <w:p w14:paraId="448191D6"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39C48C38" w14:textId="77777777" w:rsidR="00862B0B" w:rsidRPr="00A67277" w:rsidRDefault="00862B0B" w:rsidP="00862B0B">
            <w:pPr>
              <w:spacing w:before="60" w:after="60"/>
              <w:rPr>
                <w:rFonts w:ascii="Arial" w:hAnsi="Arial" w:cs="Arial"/>
                <w:sz w:val="21"/>
                <w:szCs w:val="21"/>
              </w:rPr>
            </w:pPr>
          </w:p>
        </w:tc>
        <w:tc>
          <w:tcPr>
            <w:tcW w:w="2561" w:type="pct"/>
            <w:gridSpan w:val="2"/>
          </w:tcPr>
          <w:p w14:paraId="44441324" w14:textId="77777777" w:rsidR="00862B0B" w:rsidRPr="00A67277" w:rsidRDefault="00862B0B" w:rsidP="00862B0B">
            <w:pPr>
              <w:pStyle w:val="Level4"/>
              <w:numPr>
                <w:ilvl w:val="0"/>
                <w:numId w:val="116"/>
              </w:numPr>
              <w:spacing w:before="60" w:after="60"/>
              <w:ind w:left="1869" w:hanging="394"/>
              <w:rPr>
                <w:rStyle w:val="shorttext"/>
                <w:lang w:val="id-ID"/>
              </w:rPr>
            </w:pPr>
            <w:r w:rsidRPr="00A67277">
              <w:rPr>
                <w:rStyle w:val="shorttext"/>
                <w:rFonts w:cs="Arial"/>
                <w:lang w:val="id-ID"/>
              </w:rPr>
              <w:t>berlaku surut sejak saat dimana biaya dan penghematan Perkiraan Perubahan Terhadap Biaya Proyek tersebut terjadi atau terealisasi.</w:t>
            </w:r>
          </w:p>
        </w:tc>
      </w:tr>
      <w:tr w:rsidR="00862B0B" w:rsidRPr="00A67277" w14:paraId="46FD34C0" w14:textId="77777777" w:rsidTr="00862B0B">
        <w:tc>
          <w:tcPr>
            <w:tcW w:w="2270" w:type="pct"/>
          </w:tcPr>
          <w:p w14:paraId="2CD7ED0E" w14:textId="77777777" w:rsidR="00862B0B" w:rsidRPr="00A67277" w:rsidRDefault="00862B0B" w:rsidP="00862B0B">
            <w:pPr>
              <w:pStyle w:val="Level3"/>
              <w:numPr>
                <w:ilvl w:val="2"/>
                <w:numId w:val="512"/>
              </w:numPr>
              <w:tabs>
                <w:tab w:val="clear" w:pos="1417"/>
              </w:tabs>
              <w:spacing w:before="60" w:after="60"/>
              <w:ind w:hanging="403"/>
            </w:pPr>
            <w:r w:rsidRPr="00A67277">
              <w:t>If within one (1) Month following the negotiation, the Parties are unable to agree on the method of compensation appropriate, the Parties agree that the Dispute regarding the appropriate method of compensation shall be referred to a Third Party Expert appointed in accordance with the provisions of Clause 28.2 (Referral to a Third Party Expert) of this Agreement. The Parties shall use their best efforts to cause the Third Party Expert to render his determination of the appropriate method of compensation not later than one (1) Month after being appointed. Pending such determination, the terms of this Agreement then in effect shall remain in effect.</w:t>
            </w:r>
          </w:p>
          <w:p w14:paraId="72AE0375" w14:textId="77777777" w:rsidR="00862B0B" w:rsidRPr="00A67277" w:rsidRDefault="00862B0B" w:rsidP="00862B0B">
            <w:pPr>
              <w:spacing w:before="60" w:after="60"/>
              <w:ind w:left="1417" w:hanging="403"/>
              <w:rPr>
                <w:rFonts w:ascii="Arial" w:eastAsia="Arial Unicode MS" w:hAnsi="Arial" w:cs="Times New Roman"/>
                <w:sz w:val="21"/>
                <w:szCs w:val="21"/>
                <w:lang w:val="en-GB" w:eastAsia="en-GB"/>
              </w:rPr>
            </w:pPr>
          </w:p>
        </w:tc>
        <w:tc>
          <w:tcPr>
            <w:tcW w:w="169" w:type="pct"/>
          </w:tcPr>
          <w:p w14:paraId="18C79A64" w14:textId="77777777" w:rsidR="00862B0B" w:rsidRPr="00A67277" w:rsidRDefault="00862B0B" w:rsidP="00862B0B">
            <w:pPr>
              <w:spacing w:before="60" w:after="60"/>
              <w:rPr>
                <w:rFonts w:ascii="Arial" w:hAnsi="Arial" w:cs="Arial"/>
                <w:sz w:val="21"/>
                <w:szCs w:val="21"/>
              </w:rPr>
            </w:pPr>
          </w:p>
        </w:tc>
        <w:tc>
          <w:tcPr>
            <w:tcW w:w="2561" w:type="pct"/>
            <w:gridSpan w:val="2"/>
          </w:tcPr>
          <w:p w14:paraId="3C7A9D9C" w14:textId="77777777" w:rsidR="00862B0B" w:rsidRPr="00A67277" w:rsidRDefault="00862B0B" w:rsidP="00862B0B">
            <w:pPr>
              <w:pStyle w:val="Level3"/>
              <w:numPr>
                <w:ilvl w:val="0"/>
                <w:numId w:val="113"/>
              </w:numPr>
              <w:spacing w:before="60" w:after="60"/>
              <w:ind w:left="1450" w:hanging="400"/>
              <w:rPr>
                <w:rFonts w:cs="Arial"/>
              </w:rPr>
            </w:pPr>
            <w:r w:rsidRPr="00A67277">
              <w:rPr>
                <w:rFonts w:cs="Arial"/>
              </w:rPr>
              <w:t>Jika dalam satu (1) Bulan setelah negosiasi, Para Pihak tidak dapat menyetujui metode kompensasi yang sesuai, Para Pihak sepakat bahwa Sengketa mengenai metode kompensasi yang sesuai harus dirujuk kepada Ahli Independen yang ditunjuk sesuai dengan ketentuan Pasal 28.2 (Rujukan Kepada Ahli Independen) dari Perjanjian ini. Para Pihak harus menggunakan usaha terbaik mereka untuk menyebabkan Ahli Independen memberikan penetapan mengenai metode kompensasi yang sesuai selambat-lambatnya satu (1) Bulan setelah ditunjuk. Sementara menunggu keputusan tersebut, ketentuan-ketentuan dalam Perjanjian ini tetap berlaku.</w:t>
            </w:r>
          </w:p>
        </w:tc>
      </w:tr>
      <w:tr w:rsidR="00862B0B" w:rsidRPr="00A67277" w14:paraId="5B5C65F4" w14:textId="77777777" w:rsidTr="00862B0B">
        <w:tc>
          <w:tcPr>
            <w:tcW w:w="2270" w:type="pct"/>
          </w:tcPr>
          <w:p w14:paraId="7ADD83BC" w14:textId="77777777" w:rsidR="00862B0B" w:rsidRPr="00A67277" w:rsidRDefault="00862B0B" w:rsidP="00862B0B">
            <w:pPr>
              <w:pStyle w:val="Level3"/>
              <w:numPr>
                <w:ilvl w:val="2"/>
                <w:numId w:val="512"/>
              </w:numPr>
              <w:tabs>
                <w:tab w:val="clear" w:pos="1417"/>
              </w:tabs>
              <w:spacing w:before="60" w:after="60"/>
              <w:ind w:hanging="403"/>
            </w:pPr>
            <w:r w:rsidRPr="00A67277">
              <w:t>Notwithstanding the provisions of Clause 28 (Settlement of Disputes) of this Agreement, any determination of compensation may be referred by either Party to arbitration in accordance with the provisions of Clause 28.3 (Arbitration) of the Agreement. During the pendency of any such arbitration, the determination of the Third Party Expert shall be binding on the Parties. In the event that an arbitral panel renders a decision contrary to the decision of the Third Party Expert, the compensation shall be adjusted as appropriate to reflect the decision of the arbitral panel.</w:t>
            </w:r>
          </w:p>
        </w:tc>
        <w:tc>
          <w:tcPr>
            <w:tcW w:w="169" w:type="pct"/>
          </w:tcPr>
          <w:p w14:paraId="1F13C945" w14:textId="77777777" w:rsidR="00862B0B" w:rsidRPr="00A67277" w:rsidRDefault="00862B0B" w:rsidP="00862B0B">
            <w:pPr>
              <w:spacing w:before="60" w:after="60"/>
              <w:rPr>
                <w:rFonts w:ascii="Arial" w:hAnsi="Arial" w:cs="Arial"/>
                <w:sz w:val="21"/>
                <w:szCs w:val="21"/>
              </w:rPr>
            </w:pPr>
          </w:p>
        </w:tc>
        <w:tc>
          <w:tcPr>
            <w:tcW w:w="2561" w:type="pct"/>
            <w:gridSpan w:val="2"/>
          </w:tcPr>
          <w:p w14:paraId="551D2D36" w14:textId="77777777" w:rsidR="00862B0B" w:rsidRPr="00A67277" w:rsidRDefault="00862B0B" w:rsidP="00862B0B">
            <w:pPr>
              <w:pStyle w:val="Level3"/>
              <w:numPr>
                <w:ilvl w:val="0"/>
                <w:numId w:val="113"/>
              </w:numPr>
              <w:spacing w:before="60" w:after="60"/>
              <w:ind w:left="1450" w:hanging="400"/>
              <w:rPr>
                <w:rFonts w:cs="Arial"/>
              </w:rPr>
            </w:pPr>
            <w:r w:rsidRPr="00A67277">
              <w:rPr>
                <w:rFonts w:cs="Arial"/>
              </w:rPr>
              <w:t>Tanpa Mengurangi ketentuan Pasal 28 (Penyelesaian Sengketa) dari Perjanjian ini, setiap penetapan kompensasi dapat dirujuk oleh salah satu Pihak ke arbitrase sesuai dengan ketentuan Pasal 28.3 (Arbitrase) dari Perjanjian ini. Selama menunggu proses arbitrase tersebut, penetapan Ahli Independen akan mengikat Para Pihak. Dalam hal majelis arbitrase membuat keputusan yang bertentangan dengan keputusan Ahli Independen, kompensasi harus disesuaikan sebagaimana mestinya untuk mencerminkan keputusan majelis arbitrase.</w:t>
            </w:r>
          </w:p>
        </w:tc>
      </w:tr>
      <w:tr w:rsidR="00862B0B" w:rsidRPr="00A67277" w14:paraId="5A5702A4" w14:textId="77777777" w:rsidTr="00862B0B">
        <w:tc>
          <w:tcPr>
            <w:tcW w:w="2270" w:type="pct"/>
          </w:tcPr>
          <w:p w14:paraId="02C02CB8" w14:textId="77777777" w:rsidR="00862B0B" w:rsidRPr="00A67277" w:rsidRDefault="00862B0B" w:rsidP="00862B0B">
            <w:pPr>
              <w:pStyle w:val="Heading1"/>
              <w:numPr>
                <w:ilvl w:val="0"/>
                <w:numId w:val="432"/>
              </w:numPr>
              <w:spacing w:before="60" w:after="60"/>
              <w:ind w:left="306" w:hanging="284"/>
            </w:pPr>
            <w:r w:rsidRPr="00A67277">
              <w:t xml:space="preserve">Default </w:t>
            </w:r>
          </w:p>
        </w:tc>
        <w:tc>
          <w:tcPr>
            <w:tcW w:w="169" w:type="pct"/>
          </w:tcPr>
          <w:p w14:paraId="2180319D" w14:textId="77777777" w:rsidR="00862B0B" w:rsidRPr="00A67277" w:rsidRDefault="00862B0B" w:rsidP="00862B0B">
            <w:pPr>
              <w:spacing w:before="60" w:after="60"/>
              <w:rPr>
                <w:rFonts w:ascii="Arial" w:hAnsi="Arial" w:cs="Arial"/>
                <w:sz w:val="21"/>
                <w:szCs w:val="21"/>
              </w:rPr>
            </w:pPr>
          </w:p>
        </w:tc>
        <w:tc>
          <w:tcPr>
            <w:tcW w:w="2561" w:type="pct"/>
            <w:gridSpan w:val="2"/>
          </w:tcPr>
          <w:p w14:paraId="4DFC124D" w14:textId="77777777" w:rsidR="00862B0B" w:rsidRPr="00A67277" w:rsidRDefault="00862B0B" w:rsidP="00862B0B">
            <w:pPr>
              <w:pStyle w:val="CentredHeading"/>
              <w:numPr>
                <w:ilvl w:val="0"/>
                <w:numId w:val="510"/>
              </w:numPr>
              <w:spacing w:before="60" w:after="60"/>
              <w:ind w:left="483" w:hanging="425"/>
              <w:jc w:val="left"/>
              <w:rPr>
                <w:rFonts w:cs="Arial"/>
                <w:lang w:val="en-US" w:eastAsia="en-US"/>
              </w:rPr>
            </w:pPr>
            <w:r w:rsidRPr="00A67277">
              <w:rPr>
                <w:rFonts w:cs="Arial"/>
                <w:lang w:val="en-US" w:eastAsia="en-US"/>
              </w:rPr>
              <w:t xml:space="preserve">Cidera Janji </w:t>
            </w:r>
          </w:p>
        </w:tc>
      </w:tr>
      <w:tr w:rsidR="00862B0B" w:rsidRPr="00A67277" w14:paraId="2FA50618" w14:textId="77777777" w:rsidTr="00862B0B">
        <w:tc>
          <w:tcPr>
            <w:tcW w:w="2270" w:type="pct"/>
          </w:tcPr>
          <w:p w14:paraId="570D3248" w14:textId="77777777" w:rsidR="00862B0B" w:rsidRPr="00A67277" w:rsidRDefault="00862B0B" w:rsidP="00862B0B">
            <w:pPr>
              <w:pStyle w:val="Heading1"/>
              <w:numPr>
                <w:ilvl w:val="0"/>
                <w:numId w:val="118"/>
              </w:numPr>
              <w:spacing w:before="60" w:after="60"/>
              <w:ind w:left="1014" w:hanging="283"/>
            </w:pPr>
            <w:r w:rsidRPr="00A67277">
              <w:t>Default by IBE</w:t>
            </w:r>
          </w:p>
        </w:tc>
        <w:tc>
          <w:tcPr>
            <w:tcW w:w="169" w:type="pct"/>
          </w:tcPr>
          <w:p w14:paraId="304ED2CB" w14:textId="77777777" w:rsidR="00862B0B" w:rsidRPr="00A67277" w:rsidRDefault="00862B0B" w:rsidP="00862B0B">
            <w:pPr>
              <w:spacing w:before="60" w:after="60"/>
              <w:rPr>
                <w:rFonts w:ascii="Arial" w:hAnsi="Arial" w:cs="Arial"/>
                <w:sz w:val="21"/>
                <w:szCs w:val="21"/>
              </w:rPr>
            </w:pPr>
          </w:p>
        </w:tc>
        <w:tc>
          <w:tcPr>
            <w:tcW w:w="2561" w:type="pct"/>
            <w:gridSpan w:val="2"/>
          </w:tcPr>
          <w:p w14:paraId="5AF97908" w14:textId="77777777" w:rsidR="00862B0B" w:rsidRPr="00A67277" w:rsidRDefault="00862B0B" w:rsidP="00862B0B">
            <w:pPr>
              <w:pStyle w:val="Heading2"/>
              <w:numPr>
                <w:ilvl w:val="0"/>
                <w:numId w:val="16"/>
              </w:numPr>
              <w:spacing w:before="60" w:after="60"/>
              <w:ind w:left="1050" w:hanging="567"/>
              <w:outlineLvl w:val="1"/>
              <w:rPr>
                <w:rFonts w:ascii="Arial" w:hAnsi="Arial" w:cs="Arial"/>
                <w:b/>
                <w:color w:val="auto"/>
                <w:sz w:val="21"/>
                <w:szCs w:val="21"/>
              </w:rPr>
            </w:pPr>
            <w:r w:rsidRPr="00A67277">
              <w:rPr>
                <w:rFonts w:ascii="Arial" w:eastAsia="Times New Roman" w:hAnsi="Arial" w:cs="Arial"/>
                <w:b/>
                <w:color w:val="auto"/>
                <w:sz w:val="21"/>
                <w:szCs w:val="21"/>
              </w:rPr>
              <w:t>Cidera Janji oleh BUP</w:t>
            </w:r>
          </w:p>
        </w:tc>
      </w:tr>
      <w:tr w:rsidR="00862B0B" w:rsidRPr="00A67277" w14:paraId="698F6008" w14:textId="77777777" w:rsidTr="00862B0B">
        <w:tc>
          <w:tcPr>
            <w:tcW w:w="2270" w:type="pct"/>
          </w:tcPr>
          <w:p w14:paraId="68E7868E" w14:textId="77777777" w:rsidR="00862B0B" w:rsidRPr="00A67277" w:rsidRDefault="00862B0B" w:rsidP="00862B0B">
            <w:pPr>
              <w:pStyle w:val="Body2"/>
              <w:numPr>
                <w:ilvl w:val="0"/>
                <w:numId w:val="446"/>
              </w:numPr>
              <w:spacing w:before="60" w:after="60"/>
              <w:ind w:left="1440" w:hanging="426"/>
            </w:pPr>
            <w:r w:rsidRPr="00A67277">
              <w:t>Each of the events described below shall be a Default by IBE:</w:t>
            </w:r>
          </w:p>
        </w:tc>
        <w:tc>
          <w:tcPr>
            <w:tcW w:w="169" w:type="pct"/>
          </w:tcPr>
          <w:p w14:paraId="1521EC80" w14:textId="77777777" w:rsidR="00862B0B" w:rsidRPr="00A67277" w:rsidRDefault="00862B0B" w:rsidP="00862B0B">
            <w:pPr>
              <w:spacing w:before="60" w:after="60"/>
              <w:rPr>
                <w:rFonts w:ascii="Arial" w:hAnsi="Arial" w:cs="Arial"/>
                <w:sz w:val="21"/>
                <w:szCs w:val="21"/>
              </w:rPr>
            </w:pPr>
          </w:p>
        </w:tc>
        <w:tc>
          <w:tcPr>
            <w:tcW w:w="2561" w:type="pct"/>
            <w:gridSpan w:val="2"/>
          </w:tcPr>
          <w:p w14:paraId="517AA817" w14:textId="77777777" w:rsidR="00862B0B" w:rsidRPr="00A67277" w:rsidRDefault="00862B0B" w:rsidP="00862B0B">
            <w:pPr>
              <w:pStyle w:val="Body2"/>
              <w:numPr>
                <w:ilvl w:val="0"/>
                <w:numId w:val="447"/>
              </w:numPr>
              <w:spacing w:before="60" w:after="60"/>
              <w:ind w:left="1475" w:hanging="425"/>
              <w:rPr>
                <w:rFonts w:cs="Arial"/>
              </w:rPr>
            </w:pPr>
            <w:r w:rsidRPr="00A67277">
              <w:rPr>
                <w:rFonts w:cs="Arial"/>
              </w:rPr>
              <w:t>Setiap peristiwa-peristiwa dibawah ini merupakan Cidera Janji oleh BUP:</w:t>
            </w:r>
          </w:p>
        </w:tc>
      </w:tr>
      <w:tr w:rsidR="00862B0B" w:rsidRPr="00A67277" w14:paraId="5FBD15D1" w14:textId="77777777" w:rsidTr="00862B0B">
        <w:tc>
          <w:tcPr>
            <w:tcW w:w="2270" w:type="pct"/>
          </w:tcPr>
          <w:p w14:paraId="3C63FF67" w14:textId="21C20E3C" w:rsidR="00862B0B" w:rsidRPr="00A67277" w:rsidRDefault="00862B0B" w:rsidP="00862B0B">
            <w:pPr>
              <w:pStyle w:val="Level3"/>
              <w:numPr>
                <w:ilvl w:val="0"/>
                <w:numId w:val="119"/>
              </w:numPr>
              <w:spacing w:before="60" w:after="60"/>
              <w:ind w:left="1865" w:hanging="425"/>
            </w:pPr>
            <w:r w:rsidRPr="00A67277">
              <w:t xml:space="preserve">the failure of the IBE to achieve the Commercial Operation Date within </w:t>
            </w:r>
            <w:r w:rsidRPr="00A67277">
              <w:rPr>
                <w:rFonts w:cs="Arial"/>
              </w:rPr>
              <w:t xml:space="preserve"> one hundred and eighty (180)</w:t>
            </w:r>
            <w:r>
              <w:rPr>
                <w:rFonts w:cs="Arial"/>
              </w:rPr>
              <w:t xml:space="preserve"> Days</w:t>
            </w:r>
            <w:r w:rsidRPr="00A67277">
              <w:rPr>
                <w:rFonts w:cs="Arial"/>
              </w:rPr>
              <w:t xml:space="preserve"> </w:t>
            </w:r>
            <w:r w:rsidRPr="00A67277">
              <w:t>after the Scheduled Commercial Operation Date, subject to any extension to such date to which the IBE is entitled to pursuant to this Agreement;</w:t>
            </w:r>
          </w:p>
        </w:tc>
        <w:tc>
          <w:tcPr>
            <w:tcW w:w="169" w:type="pct"/>
          </w:tcPr>
          <w:p w14:paraId="6349ECDB" w14:textId="77777777" w:rsidR="00862B0B" w:rsidRPr="00A67277" w:rsidRDefault="00862B0B" w:rsidP="00862B0B">
            <w:pPr>
              <w:spacing w:before="60" w:after="60"/>
              <w:rPr>
                <w:rFonts w:ascii="Arial" w:hAnsi="Arial" w:cs="Arial"/>
                <w:sz w:val="21"/>
                <w:szCs w:val="21"/>
              </w:rPr>
            </w:pPr>
          </w:p>
        </w:tc>
        <w:tc>
          <w:tcPr>
            <w:tcW w:w="2561" w:type="pct"/>
            <w:gridSpan w:val="2"/>
          </w:tcPr>
          <w:p w14:paraId="2610709E" w14:textId="1F647984" w:rsidR="00862B0B" w:rsidRPr="00A67277" w:rsidRDefault="00862B0B" w:rsidP="00862B0B">
            <w:pPr>
              <w:pStyle w:val="Level3"/>
              <w:numPr>
                <w:ilvl w:val="0"/>
                <w:numId w:val="120"/>
              </w:numPr>
              <w:spacing w:before="60" w:after="60"/>
              <w:ind w:left="1900" w:hanging="425"/>
              <w:rPr>
                <w:rFonts w:cs="Arial"/>
              </w:rPr>
            </w:pPr>
            <w:r w:rsidRPr="00A67277">
              <w:rPr>
                <w:rFonts w:cs="Arial"/>
              </w:rPr>
              <w:t xml:space="preserve">kegagalan dari BUP untuk mencapai Tanggal Operasi Komersional dalam  seratus delapan puluh (180) Hari sejak Tanggal Operasi Komersial Yang Dijadwalkan, tunduk kepada seluruh perpanjangan yang mana BUP berhak berdasarkan Perjanjian ini. </w:t>
            </w:r>
          </w:p>
        </w:tc>
      </w:tr>
      <w:tr w:rsidR="00862B0B" w:rsidRPr="00A67277" w14:paraId="1CF39BE0" w14:textId="77777777" w:rsidTr="00862B0B">
        <w:trPr>
          <w:gridAfter w:val="1"/>
          <w:wAfter w:w="47" w:type="pct"/>
        </w:trPr>
        <w:tc>
          <w:tcPr>
            <w:tcW w:w="2270" w:type="pct"/>
          </w:tcPr>
          <w:p w14:paraId="73FAEA82" w14:textId="4A49703E" w:rsidR="00862B0B" w:rsidRPr="00A67277" w:rsidRDefault="00862B0B" w:rsidP="00862B0B">
            <w:pPr>
              <w:pStyle w:val="Level3"/>
              <w:numPr>
                <w:ilvl w:val="0"/>
                <w:numId w:val="119"/>
              </w:numPr>
              <w:spacing w:before="60" w:after="60"/>
              <w:ind w:left="1865" w:hanging="425"/>
            </w:pPr>
            <w:r w:rsidRPr="00A67277">
              <w:t>the failure by the IBE to provide the Services for a continuous period of [twenty-four (24) hours]</w:t>
            </w:r>
            <w:r w:rsidRPr="00A67277">
              <w:rPr>
                <w:vertAlign w:val="superscript"/>
              </w:rPr>
              <w:footnoteReference w:id="17"/>
            </w:r>
            <w:r w:rsidRPr="00A67277">
              <w:t xml:space="preserve"> or more, without the written consent of GCA, except as excused by a Legitimate Circumstance; </w:t>
            </w:r>
          </w:p>
        </w:tc>
        <w:tc>
          <w:tcPr>
            <w:tcW w:w="169" w:type="pct"/>
          </w:tcPr>
          <w:p w14:paraId="7C037987" w14:textId="77777777" w:rsidR="00862B0B" w:rsidRPr="00A67277" w:rsidRDefault="00862B0B" w:rsidP="00862B0B">
            <w:pPr>
              <w:spacing w:before="60" w:after="60"/>
              <w:rPr>
                <w:rFonts w:ascii="Arial" w:hAnsi="Arial" w:cs="Arial"/>
                <w:sz w:val="21"/>
                <w:szCs w:val="21"/>
              </w:rPr>
            </w:pPr>
          </w:p>
        </w:tc>
        <w:tc>
          <w:tcPr>
            <w:tcW w:w="2514" w:type="pct"/>
          </w:tcPr>
          <w:p w14:paraId="2C5A3D6F" w14:textId="7E63CF90" w:rsidR="00862B0B" w:rsidRPr="00A67277" w:rsidRDefault="00862B0B" w:rsidP="00862B0B">
            <w:pPr>
              <w:pStyle w:val="Level3"/>
              <w:numPr>
                <w:ilvl w:val="0"/>
                <w:numId w:val="120"/>
              </w:numPr>
              <w:spacing w:before="60" w:after="60"/>
              <w:ind w:left="1900" w:hanging="425"/>
              <w:rPr>
                <w:rFonts w:cs="Arial"/>
              </w:rPr>
            </w:pPr>
            <w:r w:rsidRPr="00A67277">
              <w:rPr>
                <w:rFonts w:cs="Arial"/>
              </w:rPr>
              <w:t>kegagalan BUP untuk menyediakan Layanan selama periode [dua puluh empat (24) jam]</w:t>
            </w:r>
            <w:r w:rsidRPr="00A67277">
              <w:rPr>
                <w:rFonts w:cs="Arial"/>
                <w:vertAlign w:val="superscript"/>
              </w:rPr>
              <w:footnoteReference w:id="18"/>
            </w:r>
            <w:r w:rsidRPr="00A67277">
              <w:rPr>
                <w:rFonts w:cs="Arial"/>
              </w:rPr>
              <w:t xml:space="preserve">  terus menerus atau lebih, tanpa persetujuan tertulis dari PJPK, kecuali sebagaimana dibebaskan karena Keadaan Yang Memaafkan.</w:t>
            </w:r>
          </w:p>
        </w:tc>
      </w:tr>
      <w:tr w:rsidR="00862B0B" w:rsidRPr="00A67277" w14:paraId="3F09BA3B" w14:textId="77777777" w:rsidTr="00862B0B">
        <w:trPr>
          <w:gridAfter w:val="1"/>
          <w:wAfter w:w="47" w:type="pct"/>
        </w:trPr>
        <w:tc>
          <w:tcPr>
            <w:tcW w:w="2270" w:type="pct"/>
          </w:tcPr>
          <w:p w14:paraId="48AF9DF7" w14:textId="77777777" w:rsidR="00862B0B" w:rsidRPr="00A67277" w:rsidRDefault="00862B0B" w:rsidP="00862B0B">
            <w:pPr>
              <w:pStyle w:val="Level3"/>
              <w:numPr>
                <w:ilvl w:val="0"/>
                <w:numId w:val="119"/>
              </w:numPr>
              <w:spacing w:before="60" w:after="60"/>
              <w:ind w:left="1865" w:hanging="425"/>
            </w:pPr>
            <w:r w:rsidRPr="00A67277">
              <w:t>the IBE suffers an Insolvency Event;</w:t>
            </w:r>
          </w:p>
        </w:tc>
        <w:tc>
          <w:tcPr>
            <w:tcW w:w="169" w:type="pct"/>
          </w:tcPr>
          <w:p w14:paraId="144BF269" w14:textId="77777777" w:rsidR="00862B0B" w:rsidRPr="00A67277" w:rsidRDefault="00862B0B" w:rsidP="00862B0B">
            <w:pPr>
              <w:spacing w:before="60" w:after="60"/>
              <w:rPr>
                <w:rFonts w:ascii="Arial" w:hAnsi="Arial" w:cs="Arial"/>
                <w:sz w:val="21"/>
                <w:szCs w:val="21"/>
              </w:rPr>
            </w:pPr>
          </w:p>
        </w:tc>
        <w:tc>
          <w:tcPr>
            <w:tcW w:w="2514" w:type="pct"/>
          </w:tcPr>
          <w:p w14:paraId="409F6C47" w14:textId="77777777" w:rsidR="00862B0B" w:rsidRPr="00A67277" w:rsidRDefault="00862B0B" w:rsidP="00862B0B">
            <w:pPr>
              <w:pStyle w:val="Level3"/>
              <w:numPr>
                <w:ilvl w:val="0"/>
                <w:numId w:val="120"/>
              </w:numPr>
              <w:spacing w:before="60" w:after="60"/>
              <w:ind w:left="1900" w:hanging="425"/>
              <w:rPr>
                <w:rFonts w:cs="Arial"/>
              </w:rPr>
            </w:pPr>
            <w:r w:rsidRPr="00A67277">
              <w:rPr>
                <w:rFonts w:cs="Arial"/>
              </w:rPr>
              <w:t>BUP mengalami Peristiwa Insolvensi;</w:t>
            </w:r>
          </w:p>
        </w:tc>
      </w:tr>
      <w:tr w:rsidR="00862B0B" w:rsidRPr="00A67277" w14:paraId="6B3EA4C7" w14:textId="77777777" w:rsidTr="00862B0B">
        <w:trPr>
          <w:gridAfter w:val="1"/>
          <w:wAfter w:w="47" w:type="pct"/>
        </w:trPr>
        <w:tc>
          <w:tcPr>
            <w:tcW w:w="2270" w:type="pct"/>
          </w:tcPr>
          <w:p w14:paraId="733A4C7C" w14:textId="6515DE98" w:rsidR="00862B0B" w:rsidRPr="00A67277" w:rsidRDefault="00862B0B" w:rsidP="00862B0B">
            <w:pPr>
              <w:pStyle w:val="Level3"/>
              <w:numPr>
                <w:ilvl w:val="0"/>
                <w:numId w:val="119"/>
              </w:numPr>
              <w:spacing w:before="60" w:after="60"/>
              <w:ind w:left="1865" w:hanging="425"/>
            </w:pPr>
            <w:r w:rsidRPr="00A67277">
              <w:t>a representation and warranty of the IBE contained in Clause 27.1 (Representations and Warranties of IBE) is not true, correct and complete when made;</w:t>
            </w:r>
          </w:p>
        </w:tc>
        <w:tc>
          <w:tcPr>
            <w:tcW w:w="169" w:type="pct"/>
          </w:tcPr>
          <w:p w14:paraId="1E953632" w14:textId="77777777" w:rsidR="00862B0B" w:rsidRPr="00A67277" w:rsidRDefault="00862B0B" w:rsidP="00862B0B">
            <w:pPr>
              <w:spacing w:before="60" w:after="60"/>
              <w:rPr>
                <w:rFonts w:ascii="Arial" w:hAnsi="Arial" w:cs="Arial"/>
                <w:sz w:val="21"/>
                <w:szCs w:val="21"/>
              </w:rPr>
            </w:pPr>
          </w:p>
        </w:tc>
        <w:tc>
          <w:tcPr>
            <w:tcW w:w="2514" w:type="pct"/>
          </w:tcPr>
          <w:p w14:paraId="5D4CED76" w14:textId="561ECDBC" w:rsidR="00862B0B" w:rsidRPr="00A67277" w:rsidRDefault="00862B0B" w:rsidP="00862B0B">
            <w:pPr>
              <w:pStyle w:val="Level3"/>
              <w:numPr>
                <w:ilvl w:val="0"/>
                <w:numId w:val="120"/>
              </w:numPr>
              <w:spacing w:before="60" w:after="60"/>
              <w:ind w:left="1900" w:hanging="425"/>
              <w:rPr>
                <w:rFonts w:cs="Arial"/>
              </w:rPr>
            </w:pPr>
            <w:r w:rsidRPr="00A67277">
              <w:rPr>
                <w:rFonts w:cs="Arial"/>
              </w:rPr>
              <w:t>pernyataan dan Jaminan BUP yang dalam Pasal 27.1 (Pernyataan dan Jaminan BUP) tidak benar, tidak tepat dan tidak lengkap pada saat diberikan;</w:t>
            </w:r>
          </w:p>
        </w:tc>
      </w:tr>
      <w:tr w:rsidR="00862B0B" w:rsidRPr="00A67277" w14:paraId="68AF0E7C" w14:textId="77777777" w:rsidTr="00862B0B">
        <w:trPr>
          <w:gridAfter w:val="1"/>
          <w:wAfter w:w="47" w:type="pct"/>
        </w:trPr>
        <w:tc>
          <w:tcPr>
            <w:tcW w:w="2270" w:type="pct"/>
          </w:tcPr>
          <w:p w14:paraId="5D44491F" w14:textId="77777777" w:rsidR="00862B0B" w:rsidRPr="00A67277" w:rsidRDefault="00862B0B" w:rsidP="00862B0B">
            <w:pPr>
              <w:pStyle w:val="Level3"/>
              <w:numPr>
                <w:ilvl w:val="0"/>
                <w:numId w:val="119"/>
              </w:numPr>
              <w:spacing w:before="60" w:after="60"/>
              <w:ind w:left="1865" w:hanging="425"/>
            </w:pPr>
            <w:r w:rsidRPr="00A67277">
              <w:t>the IBE breaches Clause 5.2 (Restrictions on Transfer of Equity); or</w:t>
            </w:r>
          </w:p>
        </w:tc>
        <w:tc>
          <w:tcPr>
            <w:tcW w:w="169" w:type="pct"/>
          </w:tcPr>
          <w:p w14:paraId="1FB61A95" w14:textId="77777777" w:rsidR="00862B0B" w:rsidRPr="00A67277" w:rsidRDefault="00862B0B" w:rsidP="00862B0B">
            <w:pPr>
              <w:spacing w:before="60" w:after="60"/>
              <w:rPr>
                <w:rFonts w:ascii="Arial" w:hAnsi="Arial" w:cs="Arial"/>
                <w:sz w:val="21"/>
                <w:szCs w:val="21"/>
              </w:rPr>
            </w:pPr>
          </w:p>
        </w:tc>
        <w:tc>
          <w:tcPr>
            <w:tcW w:w="2514" w:type="pct"/>
          </w:tcPr>
          <w:p w14:paraId="28268452" w14:textId="77777777" w:rsidR="00862B0B" w:rsidRPr="00A67277" w:rsidRDefault="00862B0B" w:rsidP="00862B0B">
            <w:pPr>
              <w:pStyle w:val="Level3"/>
              <w:numPr>
                <w:ilvl w:val="0"/>
                <w:numId w:val="120"/>
              </w:numPr>
              <w:spacing w:before="60" w:after="60"/>
              <w:ind w:left="1900" w:hanging="425"/>
              <w:rPr>
                <w:rFonts w:cs="Arial"/>
              </w:rPr>
            </w:pPr>
            <w:r w:rsidRPr="00A67277">
              <w:rPr>
                <w:rFonts w:cs="Arial"/>
              </w:rPr>
              <w:t>BUP melanggar Pasal 5.2 (Batasan Pengalihan Ekuitas); atau</w:t>
            </w:r>
          </w:p>
        </w:tc>
      </w:tr>
      <w:tr w:rsidR="00862B0B" w:rsidRPr="00A67277" w14:paraId="3DC1BD1F" w14:textId="77777777" w:rsidTr="00862B0B">
        <w:trPr>
          <w:gridAfter w:val="1"/>
          <w:wAfter w:w="47" w:type="pct"/>
        </w:trPr>
        <w:tc>
          <w:tcPr>
            <w:tcW w:w="2270" w:type="pct"/>
          </w:tcPr>
          <w:p w14:paraId="1ECB9CF1" w14:textId="77777777" w:rsidR="00862B0B" w:rsidRPr="00A67277" w:rsidRDefault="00862B0B" w:rsidP="00862B0B">
            <w:pPr>
              <w:pStyle w:val="Level3"/>
              <w:numPr>
                <w:ilvl w:val="0"/>
                <w:numId w:val="119"/>
              </w:numPr>
              <w:spacing w:before="60" w:after="60"/>
              <w:ind w:left="1865" w:hanging="425"/>
            </w:pPr>
            <w:r w:rsidRPr="00A67277">
              <w:t>the breach by the IBE of any of its material obligations under this Agreement (other than such breach referred to in paragraphs (a) to (g) which is not remedied within thirty (30) Business Days after notice from GCA to the IBE stating that such a breach has occurred, identifying the breach in question in reasonable detail and demanding remedy thereof.</w:t>
            </w:r>
          </w:p>
        </w:tc>
        <w:tc>
          <w:tcPr>
            <w:tcW w:w="169" w:type="pct"/>
          </w:tcPr>
          <w:p w14:paraId="045080A1" w14:textId="77777777" w:rsidR="00862B0B" w:rsidRPr="00A67277" w:rsidRDefault="00862B0B" w:rsidP="00862B0B">
            <w:pPr>
              <w:spacing w:before="60" w:after="60"/>
              <w:rPr>
                <w:rFonts w:ascii="Arial" w:hAnsi="Arial" w:cs="Arial"/>
                <w:sz w:val="21"/>
                <w:szCs w:val="21"/>
              </w:rPr>
            </w:pPr>
          </w:p>
        </w:tc>
        <w:tc>
          <w:tcPr>
            <w:tcW w:w="2514" w:type="pct"/>
          </w:tcPr>
          <w:p w14:paraId="1F634102" w14:textId="5D9BFC70" w:rsidR="00862B0B" w:rsidRPr="00A67277" w:rsidRDefault="00862B0B" w:rsidP="00862B0B">
            <w:pPr>
              <w:pStyle w:val="Level3"/>
              <w:numPr>
                <w:ilvl w:val="0"/>
                <w:numId w:val="120"/>
              </w:numPr>
              <w:spacing w:before="60" w:after="60"/>
              <w:ind w:left="1900" w:hanging="425"/>
              <w:rPr>
                <w:rFonts w:cs="Arial"/>
              </w:rPr>
            </w:pPr>
            <w:r w:rsidRPr="00A67277">
              <w:rPr>
                <w:rFonts w:cs="Arial"/>
              </w:rPr>
              <w:t>pelanggaran oleh BUP terhadap kewajiban-kewajiban material</w:t>
            </w:r>
            <w:r>
              <w:rPr>
                <w:rFonts w:cs="Arial"/>
              </w:rPr>
              <w:t>nya</w:t>
            </w:r>
            <w:r w:rsidRPr="00A67277">
              <w:rPr>
                <w:rFonts w:cs="Arial"/>
              </w:rPr>
              <w:t xml:space="preserve"> berdasarkan Perjanjian ini (selain dari pelanggaran yang diatur dalam paragraf (a) sampai (g) yang tidak diperbaiki selama tiga puluh (30) Hari Kerja setalah pemberitahuan dari PJPK kepada BUP yang menyatakan bahwa telah terjadi pelanggaran, mengidentifikasikan perincian pelanggaran dan meminta perbaikan terhadapnya.</w:t>
            </w:r>
          </w:p>
        </w:tc>
      </w:tr>
      <w:tr w:rsidR="00862B0B" w:rsidRPr="00A67277" w14:paraId="4090044A" w14:textId="77777777" w:rsidTr="00862B0B">
        <w:trPr>
          <w:gridAfter w:val="1"/>
          <w:wAfter w:w="47" w:type="pct"/>
        </w:trPr>
        <w:tc>
          <w:tcPr>
            <w:tcW w:w="2270" w:type="pct"/>
          </w:tcPr>
          <w:p w14:paraId="4C812E78" w14:textId="77777777" w:rsidR="00862B0B" w:rsidRPr="00A67277" w:rsidRDefault="00862B0B" w:rsidP="00862B0B">
            <w:pPr>
              <w:pStyle w:val="Body2"/>
              <w:numPr>
                <w:ilvl w:val="0"/>
                <w:numId w:val="446"/>
              </w:numPr>
              <w:spacing w:before="60" w:after="60"/>
              <w:ind w:left="1440" w:hanging="426"/>
            </w:pPr>
            <w:r w:rsidRPr="00A67277">
              <w:t>As soon as practicable after receiving notice from the GCA that a Default by IBE has occurred, the IBE must cure such Default within the period of sixty (60) Days after the receipt of such notice.</w:t>
            </w:r>
          </w:p>
          <w:p w14:paraId="12E09421" w14:textId="77777777" w:rsidR="00862B0B" w:rsidRPr="00A67277" w:rsidRDefault="00862B0B" w:rsidP="00862B0B">
            <w:pPr>
              <w:spacing w:before="60" w:after="60"/>
              <w:ind w:left="1440"/>
              <w:rPr>
                <w:rFonts w:ascii="Arial" w:eastAsia="Arial Unicode MS" w:hAnsi="Arial" w:cs="Times New Roman"/>
                <w:sz w:val="21"/>
                <w:szCs w:val="21"/>
                <w:lang w:val="en-GB" w:eastAsia="en-GB"/>
              </w:rPr>
            </w:pPr>
          </w:p>
        </w:tc>
        <w:tc>
          <w:tcPr>
            <w:tcW w:w="169" w:type="pct"/>
          </w:tcPr>
          <w:p w14:paraId="4C9F63FE" w14:textId="77777777" w:rsidR="00862B0B" w:rsidRPr="00A67277" w:rsidRDefault="00862B0B" w:rsidP="00862B0B">
            <w:pPr>
              <w:spacing w:before="60" w:after="60"/>
              <w:rPr>
                <w:rFonts w:ascii="Arial" w:hAnsi="Arial" w:cs="Arial"/>
                <w:sz w:val="21"/>
                <w:szCs w:val="21"/>
              </w:rPr>
            </w:pPr>
          </w:p>
        </w:tc>
        <w:tc>
          <w:tcPr>
            <w:tcW w:w="2514" w:type="pct"/>
          </w:tcPr>
          <w:p w14:paraId="19CBF559" w14:textId="77777777" w:rsidR="00862B0B" w:rsidRPr="00A67277" w:rsidRDefault="00862B0B" w:rsidP="00862B0B">
            <w:pPr>
              <w:pStyle w:val="Body2"/>
              <w:numPr>
                <w:ilvl w:val="0"/>
                <w:numId w:val="447"/>
              </w:numPr>
              <w:spacing w:before="60" w:after="60"/>
              <w:ind w:left="1475" w:hanging="425"/>
              <w:rPr>
                <w:rFonts w:cs="Arial"/>
              </w:rPr>
            </w:pPr>
            <w:r w:rsidRPr="00A67277">
              <w:rPr>
                <w:rFonts w:cs="Arial"/>
              </w:rPr>
              <w:t>Segera setelah dapat dilakukan setelah menerima pemberitahuan dari PJPK bahwa suatu Cidera Janji oleh BUP telah terjadi, BUP harus memulihkan Cidera Janji tersebut dalam waktu enam puluh (60) Hari setelah penerimaan pemberitahuan tersebut.</w:t>
            </w:r>
          </w:p>
        </w:tc>
      </w:tr>
      <w:tr w:rsidR="00862B0B" w:rsidRPr="00A67277" w14:paraId="3302F956" w14:textId="77777777" w:rsidTr="00862B0B">
        <w:trPr>
          <w:gridAfter w:val="1"/>
          <w:wAfter w:w="47" w:type="pct"/>
        </w:trPr>
        <w:tc>
          <w:tcPr>
            <w:tcW w:w="2270" w:type="pct"/>
          </w:tcPr>
          <w:p w14:paraId="7001641F" w14:textId="67288E69" w:rsidR="00862B0B" w:rsidRPr="00A67277" w:rsidRDefault="00862B0B" w:rsidP="00862B0B">
            <w:pPr>
              <w:pStyle w:val="Heading1"/>
              <w:numPr>
                <w:ilvl w:val="0"/>
                <w:numId w:val="118"/>
              </w:numPr>
              <w:spacing w:before="60" w:after="60"/>
              <w:ind w:left="1014" w:hanging="567"/>
            </w:pPr>
            <w:r w:rsidRPr="00A67277">
              <w:t>Default by GCA</w:t>
            </w:r>
          </w:p>
        </w:tc>
        <w:tc>
          <w:tcPr>
            <w:tcW w:w="169" w:type="pct"/>
          </w:tcPr>
          <w:p w14:paraId="006ADFEB" w14:textId="77777777" w:rsidR="00862B0B" w:rsidRPr="00A67277" w:rsidRDefault="00862B0B" w:rsidP="00862B0B">
            <w:pPr>
              <w:spacing w:before="60" w:after="60"/>
              <w:rPr>
                <w:rFonts w:ascii="Arial" w:hAnsi="Arial" w:cs="Arial"/>
                <w:sz w:val="21"/>
                <w:szCs w:val="21"/>
              </w:rPr>
            </w:pPr>
          </w:p>
        </w:tc>
        <w:tc>
          <w:tcPr>
            <w:tcW w:w="2514" w:type="pct"/>
          </w:tcPr>
          <w:p w14:paraId="1F1CE828" w14:textId="77777777" w:rsidR="00862B0B" w:rsidRPr="00A67277" w:rsidRDefault="00862B0B" w:rsidP="00862B0B">
            <w:pPr>
              <w:pStyle w:val="Heading2"/>
              <w:numPr>
                <w:ilvl w:val="0"/>
                <w:numId w:val="16"/>
              </w:numPr>
              <w:spacing w:before="60" w:after="60"/>
              <w:ind w:left="1050" w:hanging="567"/>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Cidera Janji oleh PJPK</w:t>
            </w:r>
          </w:p>
        </w:tc>
      </w:tr>
      <w:tr w:rsidR="00862B0B" w:rsidRPr="00A67277" w14:paraId="6833BD2B" w14:textId="77777777" w:rsidTr="00862B0B">
        <w:trPr>
          <w:gridAfter w:val="1"/>
          <w:wAfter w:w="47" w:type="pct"/>
        </w:trPr>
        <w:tc>
          <w:tcPr>
            <w:tcW w:w="2270" w:type="pct"/>
          </w:tcPr>
          <w:p w14:paraId="14241D11" w14:textId="77777777" w:rsidR="00862B0B" w:rsidRPr="00A67277" w:rsidRDefault="00862B0B" w:rsidP="00862B0B">
            <w:pPr>
              <w:pStyle w:val="Body2"/>
              <w:numPr>
                <w:ilvl w:val="0"/>
                <w:numId w:val="464"/>
              </w:numPr>
              <w:spacing w:before="60" w:after="60"/>
              <w:ind w:left="1440" w:hanging="426"/>
            </w:pPr>
            <w:r w:rsidRPr="00A67277">
              <w:t>Each of the events described below shall be a Default by GCA:</w:t>
            </w:r>
          </w:p>
        </w:tc>
        <w:tc>
          <w:tcPr>
            <w:tcW w:w="169" w:type="pct"/>
          </w:tcPr>
          <w:p w14:paraId="487BD594" w14:textId="77777777" w:rsidR="00862B0B" w:rsidRPr="00A67277" w:rsidRDefault="00862B0B" w:rsidP="00862B0B">
            <w:pPr>
              <w:spacing w:before="60" w:after="60"/>
              <w:rPr>
                <w:rFonts w:ascii="Arial" w:hAnsi="Arial" w:cs="Arial"/>
                <w:sz w:val="21"/>
                <w:szCs w:val="21"/>
              </w:rPr>
            </w:pPr>
          </w:p>
        </w:tc>
        <w:tc>
          <w:tcPr>
            <w:tcW w:w="2514" w:type="pct"/>
          </w:tcPr>
          <w:p w14:paraId="51BD5A08" w14:textId="77777777" w:rsidR="00862B0B" w:rsidRPr="00A67277" w:rsidRDefault="00862B0B" w:rsidP="00862B0B">
            <w:pPr>
              <w:pStyle w:val="Level1"/>
              <w:numPr>
                <w:ilvl w:val="0"/>
                <w:numId w:val="448"/>
              </w:numPr>
              <w:spacing w:before="60" w:after="60"/>
              <w:ind w:left="1475" w:hanging="425"/>
              <w:rPr>
                <w:rFonts w:cs="Arial"/>
              </w:rPr>
            </w:pPr>
            <w:r w:rsidRPr="00A67277">
              <w:rPr>
                <w:rFonts w:cs="Arial"/>
              </w:rPr>
              <w:t xml:space="preserve">Setiap peristiwa-peristiwa dibawah ini merupakan Cidera Janji oleh PJPK: </w:t>
            </w:r>
          </w:p>
        </w:tc>
      </w:tr>
      <w:tr w:rsidR="00862B0B" w:rsidRPr="00A67277" w14:paraId="09C652CC" w14:textId="77777777" w:rsidTr="00862B0B">
        <w:trPr>
          <w:gridAfter w:val="1"/>
          <w:wAfter w:w="47" w:type="pct"/>
        </w:trPr>
        <w:tc>
          <w:tcPr>
            <w:tcW w:w="2270" w:type="pct"/>
          </w:tcPr>
          <w:p w14:paraId="23ED19C7" w14:textId="77777777" w:rsidR="00862B0B" w:rsidRPr="00A67277" w:rsidRDefault="00862B0B" w:rsidP="00862B0B">
            <w:pPr>
              <w:pStyle w:val="Level3"/>
              <w:numPr>
                <w:ilvl w:val="2"/>
                <w:numId w:val="449"/>
              </w:numPr>
              <w:tabs>
                <w:tab w:val="clear" w:pos="1417"/>
              </w:tabs>
              <w:spacing w:before="60" w:after="60"/>
              <w:ind w:left="1865" w:hanging="425"/>
            </w:pPr>
            <w:r w:rsidRPr="00A67277">
              <w:t>an amount exceeding [</w:t>
            </w:r>
            <w:r w:rsidRPr="00A67277">
              <w:sym w:font="Symbol" w:char="F0B7"/>
            </w:r>
            <w:r w:rsidRPr="00A67277">
              <w:t>]</w:t>
            </w:r>
            <w:r w:rsidRPr="00A67277">
              <w:rPr>
                <w:rStyle w:val="FootnoteReference"/>
              </w:rPr>
              <w:footnoteReference w:id="19"/>
            </w:r>
            <w:r w:rsidRPr="00A67277">
              <w:t xml:space="preserve"> in aggregate owed by GCA to the IBE remains unpaid for ten (10) Days from the due date for payment;</w:t>
            </w:r>
          </w:p>
          <w:p w14:paraId="5A02A422" w14:textId="77777777" w:rsidR="00862B0B" w:rsidRPr="00A67277" w:rsidRDefault="00862B0B" w:rsidP="00862B0B">
            <w:pPr>
              <w:spacing w:before="60" w:after="60"/>
              <w:rPr>
                <w:rFonts w:ascii="Arial" w:hAnsi="Arial" w:cs="Arial"/>
                <w:sz w:val="21"/>
                <w:szCs w:val="21"/>
              </w:rPr>
            </w:pPr>
          </w:p>
        </w:tc>
        <w:tc>
          <w:tcPr>
            <w:tcW w:w="169" w:type="pct"/>
          </w:tcPr>
          <w:p w14:paraId="325F9913" w14:textId="77777777" w:rsidR="00862B0B" w:rsidRPr="00A67277" w:rsidRDefault="00862B0B" w:rsidP="00862B0B">
            <w:pPr>
              <w:spacing w:before="60" w:after="60"/>
              <w:rPr>
                <w:rFonts w:ascii="Arial" w:hAnsi="Arial" w:cs="Arial"/>
                <w:sz w:val="21"/>
                <w:szCs w:val="21"/>
              </w:rPr>
            </w:pPr>
          </w:p>
        </w:tc>
        <w:tc>
          <w:tcPr>
            <w:tcW w:w="2514" w:type="pct"/>
          </w:tcPr>
          <w:p w14:paraId="188036E3" w14:textId="77777777" w:rsidR="00862B0B" w:rsidRPr="00A67277" w:rsidRDefault="00862B0B" w:rsidP="00862B0B">
            <w:pPr>
              <w:pStyle w:val="Level3"/>
              <w:numPr>
                <w:ilvl w:val="0"/>
                <w:numId w:val="121"/>
              </w:numPr>
              <w:spacing w:before="60" w:after="60"/>
              <w:ind w:left="1900" w:hanging="425"/>
              <w:rPr>
                <w:rFonts w:cs="Arial"/>
                <w:lang w:val="id-ID" w:eastAsia="en-US"/>
              </w:rPr>
            </w:pPr>
            <w:r w:rsidRPr="00A67277">
              <w:rPr>
                <w:rFonts w:cs="Arial"/>
              </w:rPr>
              <w:t>jumlah yang melebihi [</w:t>
            </w:r>
            <w:r w:rsidRPr="00A67277">
              <w:rPr>
                <w:rFonts w:cs="Arial"/>
              </w:rPr>
              <w:sym w:font="Symbol" w:char="F0B7"/>
            </w:r>
            <w:r w:rsidRPr="00A67277">
              <w:rPr>
                <w:rFonts w:cs="Arial"/>
              </w:rPr>
              <w:t>]</w:t>
            </w:r>
            <w:r w:rsidRPr="00A67277">
              <w:rPr>
                <w:rStyle w:val="FootnoteReference"/>
                <w:rFonts w:cs="Arial"/>
              </w:rPr>
              <w:footnoteReference w:id="20"/>
            </w:r>
            <w:r w:rsidRPr="00A67277">
              <w:rPr>
                <w:rFonts w:cs="Arial"/>
              </w:rPr>
              <w:t xml:space="preserve"> </w:t>
            </w:r>
            <w:r w:rsidRPr="00A67277">
              <w:rPr>
                <w:rFonts w:cs="Arial"/>
                <w:lang w:val="id-ID" w:eastAsia="en-US"/>
              </w:rPr>
              <w:t xml:space="preserve">secara keseluruhan yang </w:t>
            </w:r>
            <w:r w:rsidRPr="00A67277">
              <w:rPr>
                <w:rFonts w:cs="Arial"/>
                <w:lang w:val="en-US" w:eastAsia="en-US"/>
              </w:rPr>
              <w:t xml:space="preserve">harus </w:t>
            </w:r>
            <w:r w:rsidRPr="00A67277">
              <w:rPr>
                <w:rFonts w:cs="Arial"/>
                <w:lang w:val="id-ID" w:eastAsia="en-US"/>
              </w:rPr>
              <w:t>dibayarkan oleh PJPK kepada BUP tetap tidak dibayar selama sepuluh (10) Hari sejak tanggal jatuh tempo pembayaran;</w:t>
            </w:r>
          </w:p>
        </w:tc>
      </w:tr>
      <w:tr w:rsidR="00862B0B" w:rsidRPr="00A67277" w14:paraId="201119F5" w14:textId="77777777" w:rsidTr="00862B0B">
        <w:trPr>
          <w:gridAfter w:val="1"/>
          <w:wAfter w:w="47" w:type="pct"/>
        </w:trPr>
        <w:tc>
          <w:tcPr>
            <w:tcW w:w="2270" w:type="pct"/>
          </w:tcPr>
          <w:p w14:paraId="186315A8" w14:textId="19EC4310" w:rsidR="00862B0B" w:rsidRPr="00A67277" w:rsidRDefault="00862B0B" w:rsidP="00862B0B">
            <w:pPr>
              <w:pStyle w:val="Level3"/>
              <w:numPr>
                <w:ilvl w:val="2"/>
                <w:numId w:val="449"/>
              </w:numPr>
              <w:tabs>
                <w:tab w:val="clear" w:pos="1417"/>
              </w:tabs>
              <w:spacing w:before="60" w:after="60"/>
              <w:ind w:left="1865" w:hanging="425"/>
            </w:pPr>
            <w:r w:rsidRPr="00A67277">
              <w:t>there is any material breach of GCA Consent Letter by GCA which has a material adverse effect on the IBE;</w:t>
            </w:r>
          </w:p>
        </w:tc>
        <w:tc>
          <w:tcPr>
            <w:tcW w:w="169" w:type="pct"/>
          </w:tcPr>
          <w:p w14:paraId="2C4294B1" w14:textId="77777777" w:rsidR="00862B0B" w:rsidRPr="00A67277" w:rsidRDefault="00862B0B" w:rsidP="00862B0B">
            <w:pPr>
              <w:spacing w:before="60" w:after="60"/>
              <w:rPr>
                <w:rFonts w:ascii="Arial" w:hAnsi="Arial" w:cs="Arial"/>
                <w:sz w:val="21"/>
                <w:szCs w:val="21"/>
              </w:rPr>
            </w:pPr>
          </w:p>
        </w:tc>
        <w:tc>
          <w:tcPr>
            <w:tcW w:w="2514" w:type="pct"/>
          </w:tcPr>
          <w:p w14:paraId="114F08CB" w14:textId="17D58C64" w:rsidR="00862B0B" w:rsidRPr="00A67277" w:rsidRDefault="00862B0B" w:rsidP="00862B0B">
            <w:pPr>
              <w:pStyle w:val="Level3"/>
              <w:numPr>
                <w:ilvl w:val="0"/>
                <w:numId w:val="121"/>
              </w:numPr>
              <w:spacing w:before="60" w:after="60"/>
              <w:ind w:left="1900" w:hanging="425"/>
              <w:rPr>
                <w:rFonts w:cs="Arial"/>
                <w:lang w:val="en-US" w:eastAsia="en-US"/>
              </w:rPr>
            </w:pPr>
            <w:r w:rsidRPr="00A67277">
              <w:rPr>
                <w:rFonts w:cs="Arial"/>
                <w:lang w:val="en-US" w:eastAsia="en-US"/>
              </w:rPr>
              <w:t>terdapat pelanggaran yang material atas Surat Persetujuan PJPK oleh PJPK yang memiliki dampak merugikan secara material terhadap BUP;</w:t>
            </w:r>
          </w:p>
        </w:tc>
      </w:tr>
      <w:tr w:rsidR="00862B0B" w:rsidRPr="00A67277" w14:paraId="474B8B9F" w14:textId="77777777" w:rsidTr="00862B0B">
        <w:trPr>
          <w:gridAfter w:val="1"/>
          <w:wAfter w:w="47" w:type="pct"/>
        </w:trPr>
        <w:tc>
          <w:tcPr>
            <w:tcW w:w="2270" w:type="pct"/>
          </w:tcPr>
          <w:p w14:paraId="61B82969" w14:textId="2272BCDE" w:rsidR="00862B0B" w:rsidRPr="00A67277" w:rsidRDefault="00862B0B" w:rsidP="00862B0B">
            <w:pPr>
              <w:pStyle w:val="Level3"/>
              <w:numPr>
                <w:ilvl w:val="2"/>
                <w:numId w:val="449"/>
              </w:numPr>
              <w:tabs>
                <w:tab w:val="clear" w:pos="1417"/>
              </w:tabs>
              <w:spacing w:before="60" w:after="60"/>
              <w:ind w:left="1865" w:hanging="425"/>
            </w:pPr>
            <w:r w:rsidRPr="00A67277">
              <w:t>a representation and warranty of the GCA contained in Clause 27.2 (Representations and Warranties of GCA) is not true, correct and complete when made;</w:t>
            </w:r>
          </w:p>
        </w:tc>
        <w:tc>
          <w:tcPr>
            <w:tcW w:w="169" w:type="pct"/>
          </w:tcPr>
          <w:p w14:paraId="71199894" w14:textId="77777777" w:rsidR="00862B0B" w:rsidRPr="00A67277" w:rsidRDefault="00862B0B" w:rsidP="00862B0B">
            <w:pPr>
              <w:spacing w:before="60" w:after="60"/>
              <w:rPr>
                <w:rFonts w:ascii="Arial" w:hAnsi="Arial" w:cs="Arial"/>
                <w:sz w:val="21"/>
                <w:szCs w:val="21"/>
              </w:rPr>
            </w:pPr>
          </w:p>
        </w:tc>
        <w:tc>
          <w:tcPr>
            <w:tcW w:w="2514" w:type="pct"/>
          </w:tcPr>
          <w:p w14:paraId="7DFF5422" w14:textId="62AB75F9" w:rsidR="00862B0B" w:rsidRPr="00A67277" w:rsidRDefault="00862B0B" w:rsidP="00862B0B">
            <w:pPr>
              <w:pStyle w:val="Level3"/>
              <w:numPr>
                <w:ilvl w:val="0"/>
                <w:numId w:val="121"/>
              </w:numPr>
              <w:spacing w:before="60" w:after="60"/>
              <w:ind w:left="1900" w:hanging="425"/>
              <w:rPr>
                <w:rFonts w:cs="Arial"/>
                <w:lang w:val="en-US" w:eastAsia="en-US"/>
              </w:rPr>
            </w:pPr>
            <w:r w:rsidRPr="00A67277">
              <w:rPr>
                <w:rFonts w:cs="Arial"/>
              </w:rPr>
              <w:t>pernyataan dan Jaminan PJPK dalam Pasal 27.2 (Pernyataan dan Jaminan PJPK) tidak benar, tidak tepat dan tidak lengkap pada saat diberikan;</w:t>
            </w:r>
          </w:p>
        </w:tc>
      </w:tr>
      <w:tr w:rsidR="00862B0B" w:rsidRPr="00A67277" w14:paraId="7CD5757A" w14:textId="77777777" w:rsidTr="00862B0B">
        <w:trPr>
          <w:gridAfter w:val="1"/>
          <w:wAfter w:w="47" w:type="pct"/>
        </w:trPr>
        <w:tc>
          <w:tcPr>
            <w:tcW w:w="2270" w:type="pct"/>
          </w:tcPr>
          <w:p w14:paraId="4B1D870C" w14:textId="77777777" w:rsidR="00862B0B" w:rsidRPr="00A67277" w:rsidRDefault="00862B0B" w:rsidP="00862B0B">
            <w:pPr>
              <w:pStyle w:val="Level3"/>
              <w:numPr>
                <w:ilvl w:val="2"/>
                <w:numId w:val="449"/>
              </w:numPr>
              <w:tabs>
                <w:tab w:val="clear" w:pos="1417"/>
              </w:tabs>
              <w:spacing w:before="60" w:after="60"/>
              <w:ind w:left="1865" w:hanging="425"/>
            </w:pPr>
            <w:r w:rsidRPr="00A67277">
              <w:t>GCA has expropriated or compulsorily acquired the Project assets or land or any share or interest of the shareholders in the IBE other than GCA Voluntary Take-over Event;</w:t>
            </w:r>
          </w:p>
        </w:tc>
        <w:tc>
          <w:tcPr>
            <w:tcW w:w="169" w:type="pct"/>
          </w:tcPr>
          <w:p w14:paraId="46D2B64B" w14:textId="77777777" w:rsidR="00862B0B" w:rsidRPr="00A67277" w:rsidRDefault="00862B0B" w:rsidP="00862B0B">
            <w:pPr>
              <w:spacing w:before="60" w:after="60"/>
              <w:rPr>
                <w:rFonts w:ascii="Arial" w:hAnsi="Arial" w:cs="Arial"/>
                <w:sz w:val="21"/>
                <w:szCs w:val="21"/>
              </w:rPr>
            </w:pPr>
          </w:p>
        </w:tc>
        <w:tc>
          <w:tcPr>
            <w:tcW w:w="2514" w:type="pct"/>
          </w:tcPr>
          <w:p w14:paraId="1CA83A68" w14:textId="77777777" w:rsidR="00862B0B" w:rsidRPr="00A67277" w:rsidRDefault="00862B0B" w:rsidP="00862B0B">
            <w:pPr>
              <w:pStyle w:val="Level3"/>
              <w:numPr>
                <w:ilvl w:val="0"/>
                <w:numId w:val="121"/>
              </w:numPr>
              <w:spacing w:before="60" w:after="60"/>
              <w:ind w:left="1900" w:hanging="425"/>
              <w:rPr>
                <w:rFonts w:cs="Arial"/>
                <w:lang w:val="en-US" w:eastAsia="en-US"/>
              </w:rPr>
            </w:pPr>
            <w:r w:rsidRPr="00A67277">
              <w:rPr>
                <w:rFonts w:cs="Arial"/>
                <w:lang w:val="en-US" w:eastAsia="en-US"/>
              </w:rPr>
              <w:t>PJPK telah mengambil alih atau secara paksa mengakuisisi aset atau tanah Proyek atau saham atau kepentingan pemegang saham di BUP selain Peristiwa Pengambilalihan Sukarela PJPK;</w:t>
            </w:r>
          </w:p>
        </w:tc>
      </w:tr>
      <w:tr w:rsidR="00862B0B" w:rsidRPr="00A67277" w14:paraId="7F796F56" w14:textId="77777777" w:rsidTr="00862B0B">
        <w:trPr>
          <w:gridAfter w:val="1"/>
          <w:wAfter w:w="47" w:type="pct"/>
        </w:trPr>
        <w:tc>
          <w:tcPr>
            <w:tcW w:w="2270" w:type="pct"/>
          </w:tcPr>
          <w:p w14:paraId="2408D763" w14:textId="77777777" w:rsidR="00862B0B" w:rsidRPr="00A67277" w:rsidRDefault="00862B0B" w:rsidP="00862B0B">
            <w:pPr>
              <w:pStyle w:val="Level3"/>
              <w:numPr>
                <w:ilvl w:val="2"/>
                <w:numId w:val="449"/>
              </w:numPr>
              <w:tabs>
                <w:tab w:val="clear" w:pos="1417"/>
              </w:tabs>
              <w:spacing w:before="60" w:after="60"/>
              <w:ind w:left="1865" w:hanging="425"/>
            </w:pPr>
            <w:r w:rsidRPr="00A67277">
              <w:t xml:space="preserve">the breach by the GCA of any of its material obligations under this Agreement (other than such breach referred to in paragraphs (i) to (iii) which is not remedied within thirty (30) Business Days after notice from IBE to the GCA stating that such a breach has occurred, identifying the breach in question in reasonable detail and demanding remedy thereof. </w:t>
            </w:r>
          </w:p>
          <w:p w14:paraId="023BB36E"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p w14:paraId="475F3ADB"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p w14:paraId="2B61D0BC" w14:textId="77777777" w:rsidR="00862B0B" w:rsidRPr="00A67277" w:rsidRDefault="00862B0B" w:rsidP="00862B0B">
            <w:pPr>
              <w:tabs>
                <w:tab w:val="left" w:pos="3451"/>
              </w:tabs>
              <w:spacing w:before="60" w:after="60"/>
              <w:ind w:left="1865" w:hanging="425"/>
              <w:rPr>
                <w:rFonts w:ascii="Arial" w:eastAsia="Arial Unicode MS" w:hAnsi="Arial" w:cs="Times New Roman"/>
                <w:sz w:val="21"/>
                <w:szCs w:val="21"/>
                <w:lang w:val="en-GB" w:eastAsia="en-GB"/>
              </w:rPr>
            </w:pPr>
            <w:r w:rsidRPr="00A67277">
              <w:rPr>
                <w:rFonts w:ascii="Arial" w:eastAsia="Arial Unicode MS" w:hAnsi="Arial" w:cs="Times New Roman"/>
                <w:sz w:val="21"/>
                <w:szCs w:val="21"/>
                <w:lang w:val="en-GB" w:eastAsia="en-GB"/>
              </w:rPr>
              <w:tab/>
            </w:r>
          </w:p>
        </w:tc>
        <w:tc>
          <w:tcPr>
            <w:tcW w:w="169" w:type="pct"/>
          </w:tcPr>
          <w:p w14:paraId="6291795D" w14:textId="77777777" w:rsidR="00862B0B" w:rsidRPr="00A67277" w:rsidRDefault="00862B0B" w:rsidP="00862B0B">
            <w:pPr>
              <w:spacing w:before="60" w:after="60"/>
              <w:rPr>
                <w:rFonts w:ascii="Arial" w:hAnsi="Arial" w:cs="Arial"/>
                <w:sz w:val="21"/>
                <w:szCs w:val="21"/>
              </w:rPr>
            </w:pPr>
          </w:p>
        </w:tc>
        <w:tc>
          <w:tcPr>
            <w:tcW w:w="2514" w:type="pct"/>
          </w:tcPr>
          <w:p w14:paraId="01E9C00D" w14:textId="77777777" w:rsidR="00862B0B" w:rsidRPr="00A67277" w:rsidRDefault="00862B0B" w:rsidP="00862B0B">
            <w:pPr>
              <w:pStyle w:val="Level3"/>
              <w:numPr>
                <w:ilvl w:val="0"/>
                <w:numId w:val="121"/>
              </w:numPr>
              <w:spacing w:before="60" w:after="60"/>
              <w:ind w:left="1900" w:hanging="425"/>
              <w:rPr>
                <w:rFonts w:cs="Arial"/>
                <w:lang w:val="en-US" w:eastAsia="en-US"/>
              </w:rPr>
            </w:pPr>
            <w:r w:rsidRPr="00A67277">
              <w:rPr>
                <w:rFonts w:cs="Arial"/>
                <w:lang w:val="en-US" w:eastAsia="en-US"/>
              </w:rPr>
              <w:t>pelanggaran oleh PJPK terhadap kewajiban-kewajibannya yang material berdasarkan Perjanjian ini (selain dari pelanggaran yang diatur dalam paragraf (i) sampai (ii)) yang tidak diperbaiki selama tiga puluh (30) Hari Kerja setelah pemberitahuan dari BUP kepada PJPK yang menyatakan bahwa telah terjadi pelanggaran, mengindentifikasikan perincian pelanggaran dan meminta perbaikan terhadapnya.</w:t>
            </w:r>
          </w:p>
        </w:tc>
      </w:tr>
      <w:tr w:rsidR="00862B0B" w:rsidRPr="00A67277" w14:paraId="07D02C8D" w14:textId="77777777" w:rsidTr="00862B0B">
        <w:trPr>
          <w:gridAfter w:val="1"/>
          <w:wAfter w:w="47" w:type="pct"/>
        </w:trPr>
        <w:tc>
          <w:tcPr>
            <w:tcW w:w="2270" w:type="pct"/>
          </w:tcPr>
          <w:p w14:paraId="70B1346C" w14:textId="77777777" w:rsidR="00862B0B" w:rsidRPr="00A67277" w:rsidRDefault="00862B0B" w:rsidP="00862B0B">
            <w:pPr>
              <w:pStyle w:val="Body2"/>
              <w:numPr>
                <w:ilvl w:val="0"/>
                <w:numId w:val="464"/>
              </w:numPr>
              <w:spacing w:before="60" w:after="60"/>
              <w:ind w:left="1440" w:hanging="426"/>
            </w:pPr>
            <w:r w:rsidRPr="00A67277">
              <w:t>As soon as practicable after receiving notice from the IBE that a Default by GCA has occurred, the GCA must cure such Default within the period of  sixty (60) Days after the receipt of such notice.</w:t>
            </w:r>
          </w:p>
        </w:tc>
        <w:tc>
          <w:tcPr>
            <w:tcW w:w="169" w:type="pct"/>
          </w:tcPr>
          <w:p w14:paraId="5934FFA8" w14:textId="77777777" w:rsidR="00862B0B" w:rsidRPr="00A67277" w:rsidRDefault="00862B0B" w:rsidP="00862B0B">
            <w:pPr>
              <w:spacing w:before="60" w:after="60"/>
              <w:rPr>
                <w:rFonts w:ascii="Arial" w:hAnsi="Arial" w:cs="Arial"/>
                <w:sz w:val="21"/>
                <w:szCs w:val="21"/>
              </w:rPr>
            </w:pPr>
          </w:p>
        </w:tc>
        <w:tc>
          <w:tcPr>
            <w:tcW w:w="2514" w:type="pct"/>
          </w:tcPr>
          <w:p w14:paraId="6140A393" w14:textId="77777777" w:rsidR="00862B0B" w:rsidRPr="00A67277" w:rsidRDefault="00862B0B" w:rsidP="00862B0B">
            <w:pPr>
              <w:pStyle w:val="Level1"/>
              <w:numPr>
                <w:ilvl w:val="0"/>
                <w:numId w:val="448"/>
              </w:numPr>
              <w:spacing w:before="60" w:after="60"/>
              <w:ind w:left="1475" w:hanging="425"/>
              <w:rPr>
                <w:rFonts w:cs="Arial"/>
              </w:rPr>
            </w:pPr>
            <w:r w:rsidRPr="00A67277">
              <w:rPr>
                <w:rFonts w:cs="Arial"/>
              </w:rPr>
              <w:t>Segera setelah dapat dilakukan setelah menerima pemberitahuan dari BUP bahwa suatu Cidera Janji oleh PJPK telah terjadi, PJPK harus memulihkan Cidera Janji tersebut dalam waktu  enam puluh (60) Hari setelah penerimaan pemberitahuan tersebut.</w:t>
            </w:r>
          </w:p>
        </w:tc>
      </w:tr>
      <w:tr w:rsidR="00862B0B" w:rsidRPr="00A67277" w14:paraId="35FD0850" w14:textId="77777777" w:rsidTr="00862B0B">
        <w:trPr>
          <w:gridAfter w:val="1"/>
          <w:wAfter w:w="47" w:type="pct"/>
        </w:trPr>
        <w:tc>
          <w:tcPr>
            <w:tcW w:w="2270" w:type="pct"/>
          </w:tcPr>
          <w:p w14:paraId="5849D126" w14:textId="77777777" w:rsidR="00862B0B" w:rsidRPr="00A67277" w:rsidRDefault="00862B0B" w:rsidP="00862B0B">
            <w:pPr>
              <w:pStyle w:val="Heading1"/>
              <w:numPr>
                <w:ilvl w:val="0"/>
                <w:numId w:val="432"/>
              </w:numPr>
              <w:spacing w:before="60" w:after="60"/>
              <w:ind w:left="426" w:hanging="426"/>
              <w:jc w:val="left"/>
            </w:pPr>
            <w:r w:rsidRPr="00A67277">
              <w:t>TERMINATION</w:t>
            </w:r>
          </w:p>
        </w:tc>
        <w:tc>
          <w:tcPr>
            <w:tcW w:w="169" w:type="pct"/>
          </w:tcPr>
          <w:p w14:paraId="22E973ED" w14:textId="77777777" w:rsidR="00862B0B" w:rsidRPr="00A67277" w:rsidRDefault="00862B0B" w:rsidP="00862B0B">
            <w:pPr>
              <w:spacing w:before="60" w:after="60"/>
              <w:rPr>
                <w:rFonts w:ascii="Arial" w:hAnsi="Arial" w:cs="Arial"/>
                <w:sz w:val="21"/>
                <w:szCs w:val="21"/>
              </w:rPr>
            </w:pPr>
          </w:p>
        </w:tc>
        <w:tc>
          <w:tcPr>
            <w:tcW w:w="2514" w:type="pct"/>
          </w:tcPr>
          <w:p w14:paraId="71110BC2" w14:textId="499E3C7C" w:rsidR="00862B0B" w:rsidRPr="00A67277" w:rsidRDefault="00862B0B" w:rsidP="00862B0B">
            <w:pPr>
              <w:pStyle w:val="CentredHeading"/>
              <w:numPr>
                <w:ilvl w:val="0"/>
                <w:numId w:val="537"/>
              </w:numPr>
              <w:spacing w:before="60" w:after="60"/>
              <w:ind w:left="483" w:hanging="483"/>
              <w:jc w:val="left"/>
              <w:rPr>
                <w:rFonts w:eastAsia="Times New Roman" w:cs="Arial"/>
              </w:rPr>
            </w:pPr>
            <w:r w:rsidRPr="00A67277">
              <w:rPr>
                <w:rFonts w:eastAsia="Times New Roman" w:cs="Arial"/>
              </w:rPr>
              <w:t>Pengakhiran</w:t>
            </w:r>
          </w:p>
        </w:tc>
      </w:tr>
      <w:tr w:rsidR="00862B0B" w:rsidRPr="00A67277" w14:paraId="2CDC3709" w14:textId="77777777" w:rsidTr="00862B0B">
        <w:trPr>
          <w:gridAfter w:val="1"/>
          <w:wAfter w:w="47" w:type="pct"/>
        </w:trPr>
        <w:tc>
          <w:tcPr>
            <w:tcW w:w="2270" w:type="pct"/>
          </w:tcPr>
          <w:p w14:paraId="4734C233" w14:textId="77777777" w:rsidR="00862B0B" w:rsidRPr="00A67277" w:rsidRDefault="00862B0B" w:rsidP="00862B0B">
            <w:pPr>
              <w:pStyle w:val="Heading1"/>
              <w:numPr>
                <w:ilvl w:val="0"/>
                <w:numId w:val="546"/>
              </w:numPr>
              <w:spacing w:before="60" w:after="60"/>
              <w:ind w:left="993" w:hanging="567"/>
            </w:pPr>
            <w:r w:rsidRPr="00A67277">
              <w:t>Remedial Procedures and Termination upon Default</w:t>
            </w:r>
          </w:p>
        </w:tc>
        <w:tc>
          <w:tcPr>
            <w:tcW w:w="169" w:type="pct"/>
          </w:tcPr>
          <w:p w14:paraId="4E0AEFE6" w14:textId="77777777" w:rsidR="00862B0B" w:rsidRPr="00A67277" w:rsidRDefault="00862B0B" w:rsidP="00862B0B">
            <w:pPr>
              <w:spacing w:before="60" w:after="60"/>
              <w:rPr>
                <w:rFonts w:ascii="Arial" w:hAnsi="Arial" w:cs="Arial"/>
                <w:sz w:val="21"/>
                <w:szCs w:val="21"/>
              </w:rPr>
            </w:pPr>
          </w:p>
        </w:tc>
        <w:tc>
          <w:tcPr>
            <w:tcW w:w="2514" w:type="pct"/>
          </w:tcPr>
          <w:p w14:paraId="14A22E70" w14:textId="77777777" w:rsidR="00862B0B" w:rsidRPr="00A67277" w:rsidRDefault="00862B0B" w:rsidP="00862B0B">
            <w:pPr>
              <w:pStyle w:val="Heading2"/>
              <w:numPr>
                <w:ilvl w:val="0"/>
                <w:numId w:val="547"/>
              </w:numPr>
              <w:spacing w:before="60" w:after="60"/>
              <w:ind w:left="1024" w:hanging="567"/>
              <w:jc w:val="both"/>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Prosedur Pemulihan dan Pengakhiran karena Cidera Janji</w:t>
            </w:r>
          </w:p>
        </w:tc>
      </w:tr>
      <w:tr w:rsidR="00862B0B" w:rsidRPr="00A67277" w14:paraId="3E903ACE" w14:textId="77777777" w:rsidTr="00862B0B">
        <w:trPr>
          <w:gridAfter w:val="1"/>
          <w:wAfter w:w="47" w:type="pct"/>
        </w:trPr>
        <w:tc>
          <w:tcPr>
            <w:tcW w:w="2270" w:type="pct"/>
          </w:tcPr>
          <w:p w14:paraId="17381E87" w14:textId="77777777" w:rsidR="00862B0B" w:rsidRPr="00A67277" w:rsidRDefault="00862B0B" w:rsidP="00862B0B">
            <w:pPr>
              <w:pStyle w:val="Body2"/>
              <w:spacing w:before="60" w:after="60"/>
              <w:ind w:left="1014"/>
            </w:pPr>
            <w:r w:rsidRPr="00A67277">
              <w:t>Upon the occurrence of a Default by IBE or Default by GCA, the following procedures shall apply:</w:t>
            </w:r>
          </w:p>
          <w:p w14:paraId="5EF7D4BE" w14:textId="77777777" w:rsidR="00862B0B" w:rsidRPr="00A67277" w:rsidRDefault="00862B0B" w:rsidP="00862B0B">
            <w:pPr>
              <w:tabs>
                <w:tab w:val="left" w:pos="3054"/>
              </w:tabs>
              <w:spacing w:before="60" w:after="60"/>
              <w:ind w:left="1014"/>
              <w:rPr>
                <w:rFonts w:ascii="Arial" w:eastAsia="Arial Unicode MS" w:hAnsi="Arial" w:cs="Times New Roman"/>
                <w:sz w:val="21"/>
                <w:szCs w:val="21"/>
                <w:lang w:val="en-GB" w:eastAsia="en-GB"/>
              </w:rPr>
            </w:pPr>
            <w:r w:rsidRPr="00A67277">
              <w:rPr>
                <w:rFonts w:ascii="Arial" w:eastAsia="Arial Unicode MS" w:hAnsi="Arial" w:cs="Times New Roman"/>
                <w:sz w:val="21"/>
                <w:szCs w:val="21"/>
                <w:lang w:val="en-GB" w:eastAsia="en-GB"/>
              </w:rPr>
              <w:tab/>
            </w:r>
          </w:p>
        </w:tc>
        <w:tc>
          <w:tcPr>
            <w:tcW w:w="169" w:type="pct"/>
          </w:tcPr>
          <w:p w14:paraId="64A96399" w14:textId="77777777" w:rsidR="00862B0B" w:rsidRPr="00A67277" w:rsidRDefault="00862B0B" w:rsidP="00862B0B">
            <w:pPr>
              <w:spacing w:before="60" w:after="60"/>
              <w:rPr>
                <w:rFonts w:ascii="Arial" w:hAnsi="Arial" w:cs="Arial"/>
                <w:sz w:val="21"/>
                <w:szCs w:val="21"/>
              </w:rPr>
            </w:pPr>
          </w:p>
        </w:tc>
        <w:tc>
          <w:tcPr>
            <w:tcW w:w="2514" w:type="pct"/>
          </w:tcPr>
          <w:p w14:paraId="515ED7F9" w14:textId="77777777" w:rsidR="00862B0B" w:rsidRPr="00A67277" w:rsidRDefault="00862B0B" w:rsidP="00862B0B">
            <w:pPr>
              <w:pStyle w:val="Body2"/>
              <w:spacing w:before="60" w:after="60"/>
              <w:ind w:left="1050"/>
              <w:rPr>
                <w:rFonts w:cs="Arial"/>
              </w:rPr>
            </w:pPr>
            <w:r w:rsidRPr="00A67277">
              <w:rPr>
                <w:rFonts w:cs="Arial"/>
              </w:rPr>
              <w:t>Pada saat peristiwa Cidera Janji oleh BUP atau Cidera Janji oleh PJPK, prosedur-prosedur berikut akan berlaku:</w:t>
            </w:r>
          </w:p>
        </w:tc>
      </w:tr>
      <w:tr w:rsidR="00862B0B" w:rsidRPr="00A67277" w14:paraId="098B5577" w14:textId="77777777" w:rsidTr="00862B0B">
        <w:trPr>
          <w:gridAfter w:val="1"/>
          <w:wAfter w:w="47" w:type="pct"/>
        </w:trPr>
        <w:tc>
          <w:tcPr>
            <w:tcW w:w="2270" w:type="pct"/>
          </w:tcPr>
          <w:p w14:paraId="3E2CD863" w14:textId="77777777" w:rsidR="00862B0B" w:rsidRPr="00A67277" w:rsidRDefault="00862B0B" w:rsidP="00862B0B">
            <w:pPr>
              <w:pStyle w:val="Body2"/>
              <w:numPr>
                <w:ilvl w:val="0"/>
                <w:numId w:val="465"/>
              </w:numPr>
              <w:spacing w:before="60" w:after="60"/>
              <w:ind w:left="1440" w:hanging="426"/>
            </w:pPr>
            <w:r w:rsidRPr="00A67277">
              <w:t>The Party not in Default may give a default notice (</w:t>
            </w:r>
            <w:r w:rsidRPr="00A67277">
              <w:rPr>
                <w:b/>
              </w:rPr>
              <w:t>Default Notice</w:t>
            </w:r>
            <w:r w:rsidRPr="00A67277">
              <w:t>) to the other Party, specifying:</w:t>
            </w:r>
          </w:p>
          <w:p w14:paraId="597628DA" w14:textId="77777777" w:rsidR="00862B0B" w:rsidRPr="00A67277" w:rsidRDefault="00862B0B" w:rsidP="00862B0B">
            <w:pPr>
              <w:spacing w:before="60" w:after="60"/>
              <w:rPr>
                <w:rFonts w:ascii="Arial" w:hAnsi="Arial" w:cs="Arial"/>
                <w:sz w:val="21"/>
                <w:szCs w:val="21"/>
              </w:rPr>
            </w:pPr>
          </w:p>
        </w:tc>
        <w:tc>
          <w:tcPr>
            <w:tcW w:w="169" w:type="pct"/>
          </w:tcPr>
          <w:p w14:paraId="250A19B3" w14:textId="77777777" w:rsidR="00862B0B" w:rsidRPr="00A67277" w:rsidRDefault="00862B0B" w:rsidP="00862B0B">
            <w:pPr>
              <w:spacing w:before="60" w:after="60"/>
              <w:rPr>
                <w:rFonts w:ascii="Arial" w:hAnsi="Arial" w:cs="Arial"/>
                <w:sz w:val="21"/>
                <w:szCs w:val="21"/>
              </w:rPr>
            </w:pPr>
          </w:p>
        </w:tc>
        <w:tc>
          <w:tcPr>
            <w:tcW w:w="2514" w:type="pct"/>
          </w:tcPr>
          <w:p w14:paraId="0F88AE17" w14:textId="5683436D" w:rsidR="00862B0B" w:rsidRPr="00A67277" w:rsidRDefault="00862B0B" w:rsidP="00862B0B">
            <w:pPr>
              <w:pStyle w:val="Level3"/>
              <w:numPr>
                <w:ilvl w:val="0"/>
                <w:numId w:val="123"/>
              </w:numPr>
              <w:spacing w:before="60" w:after="60"/>
              <w:ind w:left="1475" w:hanging="425"/>
              <w:rPr>
                <w:rFonts w:cs="Arial"/>
              </w:rPr>
            </w:pPr>
            <w:r w:rsidRPr="00A67277">
              <w:rPr>
                <w:rFonts w:cs="Arial"/>
              </w:rPr>
              <w:t>Pihak yang tidak melakukan Cidera Janji akan memberikan pemberitahuan cidera janji (</w:t>
            </w:r>
            <w:r w:rsidRPr="00A67277">
              <w:rPr>
                <w:rFonts w:cs="Arial"/>
                <w:b/>
              </w:rPr>
              <w:t>Pemberitahuan Cidera Janji</w:t>
            </w:r>
            <w:r w:rsidRPr="00A67277">
              <w:rPr>
                <w:rFonts w:cs="Arial"/>
              </w:rPr>
              <w:t>) kepada pihak lainnya, menetapkan:</w:t>
            </w:r>
          </w:p>
        </w:tc>
      </w:tr>
      <w:tr w:rsidR="00862B0B" w:rsidRPr="00A67277" w14:paraId="00A22E4D" w14:textId="77777777" w:rsidTr="00862B0B">
        <w:trPr>
          <w:gridAfter w:val="1"/>
          <w:wAfter w:w="47" w:type="pct"/>
        </w:trPr>
        <w:tc>
          <w:tcPr>
            <w:tcW w:w="2270" w:type="pct"/>
          </w:tcPr>
          <w:p w14:paraId="415A770B" w14:textId="77777777" w:rsidR="00862B0B" w:rsidRPr="00A67277" w:rsidRDefault="00862B0B" w:rsidP="00862B0B">
            <w:pPr>
              <w:pStyle w:val="Level4"/>
              <w:numPr>
                <w:ilvl w:val="0"/>
                <w:numId w:val="122"/>
              </w:numPr>
              <w:spacing w:before="60" w:after="60"/>
              <w:ind w:left="1865" w:hanging="425"/>
            </w:pPr>
            <w:r w:rsidRPr="00A67277">
              <w:t>in reasonable detail the Default giving rise to the Default Notice; and</w:t>
            </w:r>
          </w:p>
          <w:p w14:paraId="4695BF68" w14:textId="77777777" w:rsidR="00862B0B" w:rsidRPr="00A67277" w:rsidRDefault="00862B0B" w:rsidP="00862B0B">
            <w:pPr>
              <w:spacing w:before="60" w:after="60"/>
              <w:rPr>
                <w:rFonts w:ascii="Arial" w:hAnsi="Arial" w:cs="Arial"/>
                <w:sz w:val="21"/>
                <w:szCs w:val="21"/>
              </w:rPr>
            </w:pPr>
          </w:p>
        </w:tc>
        <w:tc>
          <w:tcPr>
            <w:tcW w:w="169" w:type="pct"/>
          </w:tcPr>
          <w:p w14:paraId="79DCCD86" w14:textId="77777777" w:rsidR="00862B0B" w:rsidRPr="00A67277" w:rsidRDefault="00862B0B" w:rsidP="00862B0B">
            <w:pPr>
              <w:spacing w:before="60" w:after="60"/>
              <w:rPr>
                <w:rFonts w:ascii="Arial" w:hAnsi="Arial" w:cs="Arial"/>
                <w:sz w:val="21"/>
                <w:szCs w:val="21"/>
              </w:rPr>
            </w:pPr>
          </w:p>
        </w:tc>
        <w:tc>
          <w:tcPr>
            <w:tcW w:w="2514" w:type="pct"/>
          </w:tcPr>
          <w:p w14:paraId="26C5783B" w14:textId="77777777" w:rsidR="00862B0B" w:rsidRPr="00A67277" w:rsidRDefault="00862B0B" w:rsidP="00862B0B">
            <w:pPr>
              <w:pStyle w:val="Level4"/>
              <w:numPr>
                <w:ilvl w:val="0"/>
                <w:numId w:val="124"/>
              </w:numPr>
              <w:spacing w:before="60" w:after="60"/>
              <w:ind w:left="1900" w:hanging="425"/>
              <w:rPr>
                <w:rFonts w:cs="Arial"/>
              </w:rPr>
            </w:pPr>
            <w:r w:rsidRPr="00A67277">
              <w:rPr>
                <w:rFonts w:cs="Arial"/>
              </w:rPr>
              <w:t>Cidera Janji dengan rincian yang wajar yang mendasari diberikannya Pemberitahuan Cidera Janji; dan</w:t>
            </w:r>
          </w:p>
        </w:tc>
      </w:tr>
      <w:tr w:rsidR="00862B0B" w:rsidRPr="00A67277" w14:paraId="4D4465C3" w14:textId="77777777" w:rsidTr="00862B0B">
        <w:trPr>
          <w:gridAfter w:val="1"/>
          <w:wAfter w:w="47" w:type="pct"/>
        </w:trPr>
        <w:tc>
          <w:tcPr>
            <w:tcW w:w="2270" w:type="pct"/>
          </w:tcPr>
          <w:p w14:paraId="68D702A8" w14:textId="77777777" w:rsidR="00862B0B" w:rsidRPr="00A67277" w:rsidRDefault="00862B0B" w:rsidP="00862B0B">
            <w:pPr>
              <w:pStyle w:val="Level4"/>
              <w:numPr>
                <w:ilvl w:val="0"/>
                <w:numId w:val="122"/>
              </w:numPr>
              <w:spacing w:before="60" w:after="60"/>
              <w:ind w:left="1865" w:hanging="425"/>
            </w:pPr>
            <w:r w:rsidRPr="00A67277">
              <w:t>the Applicable Cure Period.</w:t>
            </w:r>
          </w:p>
          <w:p w14:paraId="1B8DDA33"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2BF89C70" w14:textId="77777777" w:rsidR="00862B0B" w:rsidRPr="00A67277" w:rsidRDefault="00862B0B" w:rsidP="00862B0B">
            <w:pPr>
              <w:spacing w:before="60" w:after="60"/>
              <w:rPr>
                <w:rFonts w:ascii="Arial" w:hAnsi="Arial" w:cs="Arial"/>
                <w:sz w:val="21"/>
                <w:szCs w:val="21"/>
              </w:rPr>
            </w:pPr>
          </w:p>
        </w:tc>
        <w:tc>
          <w:tcPr>
            <w:tcW w:w="2514" w:type="pct"/>
          </w:tcPr>
          <w:p w14:paraId="7B963A38" w14:textId="44304202" w:rsidR="00862B0B" w:rsidRPr="00A67277" w:rsidRDefault="00862B0B" w:rsidP="00862B0B">
            <w:pPr>
              <w:pStyle w:val="Level4"/>
              <w:numPr>
                <w:ilvl w:val="0"/>
                <w:numId w:val="124"/>
              </w:numPr>
              <w:spacing w:before="60" w:after="60"/>
              <w:ind w:left="1900" w:hanging="425"/>
              <w:rPr>
                <w:rFonts w:cs="Arial"/>
              </w:rPr>
            </w:pPr>
            <w:r w:rsidRPr="00A67277">
              <w:rPr>
                <w:rFonts w:cs="Arial"/>
              </w:rPr>
              <w:t>Jangka Waktu Pemulihan Yang Berlaku.</w:t>
            </w:r>
          </w:p>
        </w:tc>
      </w:tr>
      <w:tr w:rsidR="00862B0B" w:rsidRPr="00A67277" w14:paraId="2EFB488B" w14:textId="77777777" w:rsidTr="00862B0B">
        <w:trPr>
          <w:gridAfter w:val="1"/>
          <w:wAfter w:w="47" w:type="pct"/>
        </w:trPr>
        <w:tc>
          <w:tcPr>
            <w:tcW w:w="2270" w:type="pct"/>
          </w:tcPr>
          <w:p w14:paraId="5400C793" w14:textId="77777777" w:rsidR="00862B0B" w:rsidRPr="00A67277" w:rsidRDefault="00862B0B" w:rsidP="00862B0B">
            <w:pPr>
              <w:pStyle w:val="Body2"/>
              <w:numPr>
                <w:ilvl w:val="0"/>
                <w:numId w:val="465"/>
              </w:numPr>
              <w:spacing w:before="60" w:after="60"/>
              <w:ind w:left="1440" w:hanging="426"/>
            </w:pPr>
            <w:r w:rsidRPr="00A67277">
              <w:t>During the Applicable Cure the Parties shall consult with each other as to what steps shall be taken with a view to mitigating the consequences of, and curing, the Default.</w:t>
            </w:r>
          </w:p>
        </w:tc>
        <w:tc>
          <w:tcPr>
            <w:tcW w:w="169" w:type="pct"/>
          </w:tcPr>
          <w:p w14:paraId="3CF53529" w14:textId="77777777" w:rsidR="00862B0B" w:rsidRPr="00A67277" w:rsidRDefault="00862B0B" w:rsidP="00862B0B">
            <w:pPr>
              <w:spacing w:before="60" w:after="60"/>
              <w:rPr>
                <w:rFonts w:ascii="Arial" w:hAnsi="Arial" w:cs="Arial"/>
                <w:sz w:val="21"/>
                <w:szCs w:val="21"/>
              </w:rPr>
            </w:pPr>
          </w:p>
        </w:tc>
        <w:tc>
          <w:tcPr>
            <w:tcW w:w="2514" w:type="pct"/>
          </w:tcPr>
          <w:p w14:paraId="260528CF" w14:textId="77777777" w:rsidR="00862B0B" w:rsidRPr="00A67277" w:rsidRDefault="00862B0B" w:rsidP="00862B0B">
            <w:pPr>
              <w:pStyle w:val="Level3"/>
              <w:numPr>
                <w:ilvl w:val="0"/>
                <w:numId w:val="123"/>
              </w:numPr>
              <w:spacing w:before="60" w:after="60"/>
              <w:ind w:left="1475" w:hanging="425"/>
              <w:rPr>
                <w:rFonts w:cs="Arial"/>
              </w:rPr>
            </w:pPr>
            <w:r w:rsidRPr="00A67277">
              <w:rPr>
                <w:rFonts w:cs="Arial"/>
              </w:rPr>
              <w:t>Selama Jangka Waktu Pemulihan Yang Berlaku, Para Pihak harus berkonsultasi satu sama lain mengenai langkah-langkah yang diambil dengan maksud untuk mengurangi konsekuensi dari, dan memperbaiki, Cidera Janji.</w:t>
            </w:r>
          </w:p>
        </w:tc>
      </w:tr>
      <w:tr w:rsidR="00862B0B" w:rsidRPr="00A67277" w14:paraId="508A261F" w14:textId="77777777" w:rsidTr="00862B0B">
        <w:trPr>
          <w:gridAfter w:val="1"/>
          <w:wAfter w:w="47" w:type="pct"/>
        </w:trPr>
        <w:tc>
          <w:tcPr>
            <w:tcW w:w="2270" w:type="pct"/>
          </w:tcPr>
          <w:p w14:paraId="791AD0F0" w14:textId="0A612118" w:rsidR="00862B0B" w:rsidRPr="00D458F5" w:rsidRDefault="00862B0B" w:rsidP="00862B0B">
            <w:pPr>
              <w:pStyle w:val="Body2"/>
              <w:numPr>
                <w:ilvl w:val="0"/>
                <w:numId w:val="465"/>
              </w:numPr>
              <w:spacing w:before="60" w:after="60"/>
              <w:ind w:left="1440" w:hanging="426"/>
            </w:pPr>
            <w:r w:rsidRPr="00D458F5">
              <w:t>If the Default was committed by the IBE and that Default remains unremedied at the end of the Applicable Cure Period, GCA may terminate this Agreement by giving a written notice (</w:t>
            </w:r>
            <w:r w:rsidRPr="00D458F5">
              <w:rPr>
                <w:b/>
              </w:rPr>
              <w:t>Termination Notice</w:t>
            </w:r>
            <w:r w:rsidRPr="00D458F5">
              <w:t>) of not less than two (2) Month to the IBE; and upon which GCA shall takeover the Facility in accordance with Clause 24.6(b) (</w:t>
            </w:r>
            <w:r w:rsidRPr="00D458F5">
              <w:rPr>
                <w:i/>
              </w:rPr>
              <w:t>Consequences of Termination other than upon Expiration of Term</w:t>
            </w:r>
            <w:r w:rsidRPr="00D458F5">
              <w:t>).</w:t>
            </w:r>
          </w:p>
          <w:p w14:paraId="14CE7C3A" w14:textId="77777777" w:rsidR="00862B0B" w:rsidRPr="00D458F5" w:rsidRDefault="00862B0B" w:rsidP="00862B0B">
            <w:pPr>
              <w:pStyle w:val="Level3"/>
              <w:spacing w:before="60" w:after="60"/>
              <w:ind w:left="1440" w:hanging="426"/>
            </w:pPr>
          </w:p>
        </w:tc>
        <w:tc>
          <w:tcPr>
            <w:tcW w:w="169" w:type="pct"/>
          </w:tcPr>
          <w:p w14:paraId="50808C6B" w14:textId="77777777" w:rsidR="00862B0B" w:rsidRPr="00D458F5" w:rsidRDefault="00862B0B" w:rsidP="00862B0B">
            <w:pPr>
              <w:spacing w:before="60" w:after="60"/>
              <w:rPr>
                <w:rFonts w:ascii="Arial" w:hAnsi="Arial" w:cs="Arial"/>
                <w:sz w:val="21"/>
                <w:szCs w:val="21"/>
              </w:rPr>
            </w:pPr>
          </w:p>
        </w:tc>
        <w:tc>
          <w:tcPr>
            <w:tcW w:w="2514" w:type="pct"/>
          </w:tcPr>
          <w:p w14:paraId="6E97CC6B" w14:textId="3AEBF87E" w:rsidR="00862B0B" w:rsidRPr="00A67277" w:rsidRDefault="00862B0B" w:rsidP="00862B0B">
            <w:pPr>
              <w:pStyle w:val="Level3"/>
              <w:numPr>
                <w:ilvl w:val="0"/>
                <w:numId w:val="123"/>
              </w:numPr>
              <w:spacing w:before="60" w:after="60"/>
              <w:ind w:left="1475" w:hanging="425"/>
              <w:rPr>
                <w:rFonts w:cs="Arial"/>
              </w:rPr>
            </w:pPr>
            <w:r w:rsidRPr="00A67277">
              <w:rPr>
                <w:rFonts w:cs="Arial"/>
              </w:rPr>
              <w:t>Apabila Cidera Janji dilakukan oleh BUP dan Cidera Janji tersebut belum diperbaiki hingga berakhirnya Jangka Waktu Pemulihan Yang Berlaku  PJPK dapat mengakhiri Perjanjian ini dengan memberikan pemberitahuan tertulis (</w:t>
            </w:r>
            <w:r w:rsidRPr="00A67277">
              <w:rPr>
                <w:rFonts w:cs="Arial"/>
                <w:b/>
              </w:rPr>
              <w:t>Pemberitahuan Pengakhiran</w:t>
            </w:r>
            <w:r w:rsidRPr="00A67277">
              <w:rPr>
                <w:rFonts w:cs="Arial"/>
              </w:rPr>
              <w:t>) tidak kurang dari dua (2) Bulan sebelumnya kepada BUP; dan terhadap hal tersebut, PJPK mengambil alih Fasilitas berdasarkan Pasal 24.6(b) (</w:t>
            </w:r>
            <w:r w:rsidRPr="00A67277">
              <w:rPr>
                <w:rFonts w:cs="Arial"/>
                <w:i/>
              </w:rPr>
              <w:t>Konsekuensi Pengakhiran selain karena Daluarsa Jangka Waktu Perjanjian</w:t>
            </w:r>
            <w:r w:rsidRPr="00A67277">
              <w:rPr>
                <w:rFonts w:cs="Arial"/>
              </w:rPr>
              <w:t>).</w:t>
            </w:r>
          </w:p>
        </w:tc>
      </w:tr>
      <w:tr w:rsidR="00862B0B" w:rsidRPr="00A67277" w14:paraId="629CBBA7" w14:textId="77777777" w:rsidTr="00862B0B">
        <w:trPr>
          <w:gridAfter w:val="1"/>
          <w:wAfter w:w="47" w:type="pct"/>
        </w:trPr>
        <w:tc>
          <w:tcPr>
            <w:tcW w:w="2270" w:type="pct"/>
          </w:tcPr>
          <w:p w14:paraId="5EE559D6" w14:textId="53A524EB" w:rsidR="00862B0B" w:rsidRPr="00A67277" w:rsidRDefault="00862B0B" w:rsidP="00862B0B">
            <w:pPr>
              <w:pStyle w:val="Body2"/>
              <w:numPr>
                <w:ilvl w:val="0"/>
                <w:numId w:val="465"/>
              </w:numPr>
              <w:spacing w:before="60" w:after="60"/>
              <w:ind w:left="1440" w:hanging="426"/>
            </w:pPr>
            <w:r w:rsidRPr="00A67277">
              <w:t xml:space="preserve">If the Default was committed by GCA and that Default remains un-remedied at the end of the </w:t>
            </w:r>
            <w:r w:rsidRPr="00C07F6B">
              <w:t xml:space="preserve">Applicable </w:t>
            </w:r>
            <w:r w:rsidRPr="00AD000B">
              <w:t xml:space="preserve">Cure </w:t>
            </w:r>
            <w:r w:rsidRPr="00C07F6B">
              <w:t>Period the</w:t>
            </w:r>
            <w:r w:rsidRPr="00A67277">
              <w:t xml:space="preserve"> IBE may terminate this Agreement by giving a Termination Notice of not less than one (1) Month to GCA, upon which GCA shall takeover the Facility in accordance with Clause 24.6(a) (</w:t>
            </w:r>
            <w:r w:rsidRPr="00A67277">
              <w:rPr>
                <w:i/>
              </w:rPr>
              <w:t>Consequences of Termination other than upon Expiration of Term</w:t>
            </w:r>
            <w:r w:rsidRPr="00A67277">
              <w:t>).</w:t>
            </w:r>
          </w:p>
          <w:p w14:paraId="1FB45A22" w14:textId="77777777" w:rsidR="00862B0B" w:rsidRPr="00A67277" w:rsidRDefault="00862B0B" w:rsidP="00862B0B">
            <w:pPr>
              <w:spacing w:before="60" w:after="60"/>
              <w:ind w:left="1440" w:hanging="426"/>
              <w:rPr>
                <w:rFonts w:ascii="Arial" w:eastAsia="Arial Unicode MS" w:hAnsi="Arial" w:cs="Times New Roman"/>
                <w:sz w:val="21"/>
                <w:szCs w:val="21"/>
                <w:lang w:val="en-GB" w:eastAsia="en-GB"/>
              </w:rPr>
            </w:pPr>
          </w:p>
        </w:tc>
        <w:tc>
          <w:tcPr>
            <w:tcW w:w="169" w:type="pct"/>
          </w:tcPr>
          <w:p w14:paraId="64F299B3" w14:textId="77777777" w:rsidR="00862B0B" w:rsidRPr="00A67277" w:rsidRDefault="00862B0B" w:rsidP="00862B0B">
            <w:pPr>
              <w:spacing w:before="60" w:after="60"/>
              <w:rPr>
                <w:rFonts w:ascii="Arial" w:hAnsi="Arial" w:cs="Arial"/>
                <w:sz w:val="21"/>
                <w:szCs w:val="21"/>
              </w:rPr>
            </w:pPr>
          </w:p>
        </w:tc>
        <w:tc>
          <w:tcPr>
            <w:tcW w:w="2514" w:type="pct"/>
          </w:tcPr>
          <w:p w14:paraId="49FF4F94" w14:textId="4B3F4B71" w:rsidR="00862B0B" w:rsidRPr="00A67277" w:rsidRDefault="00862B0B" w:rsidP="00862B0B">
            <w:pPr>
              <w:pStyle w:val="Level3"/>
              <w:numPr>
                <w:ilvl w:val="0"/>
                <w:numId w:val="123"/>
              </w:numPr>
              <w:spacing w:before="60" w:after="60"/>
              <w:ind w:left="1475" w:hanging="425"/>
              <w:rPr>
                <w:rFonts w:cs="Arial"/>
              </w:rPr>
            </w:pPr>
            <w:r w:rsidRPr="00A67277">
              <w:rPr>
                <w:rFonts w:cs="Arial"/>
              </w:rPr>
              <w:t>Apabila Cidera Janji dilakukan oleh PJPK dan Cidera Janji tersebut belum diperbaiki hingga berakhirnya Jangka Waktu Pemulihan Yang Berlaku BUP dapat mengakhiri Perjanjian ini dengan memberikan Pemberitahuan Pengakhiran tidak kurang dari satu (1) Bulan sebelumnya kepada PJPK; dan terhadap hal tersebut, PJPK wajib mengambil alih Fasilitas berdasarkan Pasal 24.6(a) (</w:t>
            </w:r>
            <w:r w:rsidRPr="00A67277">
              <w:rPr>
                <w:rFonts w:cs="Arial"/>
                <w:i/>
              </w:rPr>
              <w:t>Konsekuensi Pengakhiran selain karena Daluarsa Jangka Waktu Perjanjian</w:t>
            </w:r>
            <w:r w:rsidRPr="00A67277">
              <w:rPr>
                <w:rFonts w:cs="Arial"/>
              </w:rPr>
              <w:t>).</w:t>
            </w:r>
          </w:p>
        </w:tc>
      </w:tr>
      <w:tr w:rsidR="00862B0B" w:rsidRPr="00A67277" w14:paraId="3708CB68" w14:textId="77777777" w:rsidTr="00862B0B">
        <w:trPr>
          <w:gridAfter w:val="1"/>
          <w:wAfter w:w="47" w:type="pct"/>
        </w:trPr>
        <w:tc>
          <w:tcPr>
            <w:tcW w:w="2270" w:type="pct"/>
          </w:tcPr>
          <w:p w14:paraId="31D7DC2C" w14:textId="77777777" w:rsidR="00862B0B" w:rsidRPr="00A67277" w:rsidRDefault="00862B0B" w:rsidP="00862B0B">
            <w:pPr>
              <w:pStyle w:val="Heading1"/>
              <w:numPr>
                <w:ilvl w:val="0"/>
                <w:numId w:val="546"/>
              </w:numPr>
              <w:spacing w:before="60" w:after="60"/>
              <w:ind w:left="1014" w:hanging="567"/>
            </w:pPr>
            <w:r w:rsidRPr="00A67277">
              <w:t>Termination upon Prolonged Political Event</w:t>
            </w:r>
          </w:p>
        </w:tc>
        <w:tc>
          <w:tcPr>
            <w:tcW w:w="169" w:type="pct"/>
          </w:tcPr>
          <w:p w14:paraId="41264A0B" w14:textId="77777777" w:rsidR="00862B0B" w:rsidRPr="00A67277" w:rsidRDefault="00862B0B" w:rsidP="00862B0B">
            <w:pPr>
              <w:spacing w:before="60" w:after="60"/>
              <w:rPr>
                <w:rFonts w:ascii="Arial" w:hAnsi="Arial" w:cs="Arial"/>
                <w:sz w:val="21"/>
                <w:szCs w:val="21"/>
              </w:rPr>
            </w:pPr>
          </w:p>
        </w:tc>
        <w:tc>
          <w:tcPr>
            <w:tcW w:w="2514" w:type="pct"/>
          </w:tcPr>
          <w:p w14:paraId="74F35B77" w14:textId="77777777" w:rsidR="00862B0B" w:rsidRPr="00A67277" w:rsidRDefault="00862B0B" w:rsidP="00862B0B">
            <w:pPr>
              <w:pStyle w:val="Heading2"/>
              <w:numPr>
                <w:ilvl w:val="0"/>
                <w:numId w:val="547"/>
              </w:numPr>
              <w:spacing w:before="60" w:after="60"/>
              <w:ind w:left="1050" w:hanging="567"/>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Pengakhiran karena Peristiwa Politik Berkepanjangan</w:t>
            </w:r>
          </w:p>
        </w:tc>
      </w:tr>
      <w:tr w:rsidR="00862B0B" w:rsidRPr="00A67277" w14:paraId="6F6B9316" w14:textId="77777777" w:rsidTr="00862B0B">
        <w:trPr>
          <w:gridAfter w:val="1"/>
          <w:wAfter w:w="47" w:type="pct"/>
        </w:trPr>
        <w:tc>
          <w:tcPr>
            <w:tcW w:w="2270" w:type="pct"/>
          </w:tcPr>
          <w:p w14:paraId="67703344" w14:textId="77777777" w:rsidR="00862B0B" w:rsidRPr="00A67277" w:rsidRDefault="00862B0B" w:rsidP="00862B0B">
            <w:pPr>
              <w:pStyle w:val="Level3"/>
              <w:numPr>
                <w:ilvl w:val="2"/>
                <w:numId w:val="467"/>
              </w:numPr>
              <w:tabs>
                <w:tab w:val="clear" w:pos="1417"/>
              </w:tabs>
              <w:spacing w:before="60" w:after="60"/>
              <w:ind w:left="1440" w:hanging="426"/>
            </w:pPr>
            <w:r w:rsidRPr="00A67277">
              <w:t>If an Event of Government Action or Inaction subsists for a continuous period of more than one hundred and eighty (180) Days, a Party may in its discretion terminate this Agreement by issuing a written termination notice to the other Party which shall take effect [thirty (30)] Days after its receipt. If, at the end of this [thirty (30)]-Day period, the Event of Government Action or Inaction continues, the Agreement shall be terminated, upon which GCA shall takeover the Facility in accordance with the relevant provisions of Clause 24.6(a) (</w:t>
            </w:r>
            <w:r w:rsidRPr="00A67277">
              <w:rPr>
                <w:i/>
              </w:rPr>
              <w:t>Consequences of Termination other than upon Expiration of Term</w:t>
            </w:r>
            <w:r w:rsidRPr="00A67277">
              <w:t>).</w:t>
            </w:r>
          </w:p>
          <w:p w14:paraId="566B936A" w14:textId="77777777" w:rsidR="00862B0B" w:rsidRPr="00A67277" w:rsidRDefault="00862B0B" w:rsidP="00862B0B">
            <w:pPr>
              <w:spacing w:before="60" w:after="60"/>
              <w:rPr>
                <w:rFonts w:ascii="Arial" w:hAnsi="Arial" w:cs="Arial"/>
                <w:sz w:val="21"/>
                <w:szCs w:val="21"/>
              </w:rPr>
            </w:pPr>
          </w:p>
          <w:p w14:paraId="78032FEF" w14:textId="77777777" w:rsidR="00862B0B" w:rsidRPr="00A67277" w:rsidRDefault="00862B0B" w:rsidP="00862B0B">
            <w:pPr>
              <w:spacing w:before="60" w:after="60"/>
              <w:rPr>
                <w:rFonts w:ascii="Arial" w:hAnsi="Arial" w:cs="Arial"/>
                <w:sz w:val="21"/>
                <w:szCs w:val="21"/>
              </w:rPr>
            </w:pPr>
          </w:p>
          <w:p w14:paraId="2D52C947" w14:textId="77777777" w:rsidR="00862B0B" w:rsidRPr="00A67277" w:rsidRDefault="00862B0B" w:rsidP="00862B0B">
            <w:pPr>
              <w:spacing w:before="60" w:after="60"/>
              <w:rPr>
                <w:rFonts w:ascii="Arial" w:hAnsi="Arial" w:cs="Arial"/>
                <w:sz w:val="21"/>
                <w:szCs w:val="21"/>
              </w:rPr>
            </w:pPr>
          </w:p>
          <w:p w14:paraId="5C008088" w14:textId="77777777" w:rsidR="00862B0B" w:rsidRPr="00A67277" w:rsidRDefault="00862B0B" w:rsidP="00862B0B">
            <w:pPr>
              <w:tabs>
                <w:tab w:val="left" w:pos="2905"/>
              </w:tabs>
              <w:spacing w:before="60" w:after="60"/>
              <w:rPr>
                <w:rFonts w:ascii="Arial" w:hAnsi="Arial" w:cs="Arial"/>
                <w:sz w:val="21"/>
                <w:szCs w:val="21"/>
              </w:rPr>
            </w:pPr>
            <w:r w:rsidRPr="00A67277">
              <w:rPr>
                <w:rFonts w:ascii="Arial" w:hAnsi="Arial" w:cs="Arial"/>
                <w:sz w:val="21"/>
                <w:szCs w:val="21"/>
              </w:rPr>
              <w:tab/>
            </w:r>
          </w:p>
        </w:tc>
        <w:tc>
          <w:tcPr>
            <w:tcW w:w="169" w:type="pct"/>
          </w:tcPr>
          <w:p w14:paraId="1A4FD626" w14:textId="77777777" w:rsidR="00862B0B" w:rsidRPr="00A67277" w:rsidRDefault="00862B0B" w:rsidP="00862B0B">
            <w:pPr>
              <w:spacing w:before="60" w:after="60"/>
              <w:rPr>
                <w:rFonts w:ascii="Arial" w:hAnsi="Arial" w:cs="Arial"/>
                <w:sz w:val="21"/>
                <w:szCs w:val="21"/>
              </w:rPr>
            </w:pPr>
          </w:p>
        </w:tc>
        <w:tc>
          <w:tcPr>
            <w:tcW w:w="2514" w:type="pct"/>
          </w:tcPr>
          <w:p w14:paraId="03D72322" w14:textId="77777777" w:rsidR="00862B0B" w:rsidRPr="00A67277" w:rsidRDefault="00862B0B" w:rsidP="00862B0B">
            <w:pPr>
              <w:pStyle w:val="Level3"/>
              <w:numPr>
                <w:ilvl w:val="2"/>
                <w:numId w:val="466"/>
              </w:numPr>
              <w:tabs>
                <w:tab w:val="clear" w:pos="1417"/>
              </w:tabs>
              <w:spacing w:before="60" w:after="60"/>
              <w:ind w:left="1475" w:hanging="425"/>
              <w:rPr>
                <w:rFonts w:cs="Arial"/>
              </w:rPr>
            </w:pPr>
            <w:r w:rsidRPr="00A67277">
              <w:rPr>
                <w:rFonts w:cs="Arial"/>
              </w:rPr>
              <w:t>Apabila Peristiwa Tindakan atau Tidak Bertindaknya Pemerintah terus terjadi selama periode yang terus menerus lebih dari seratus delapan puluh (180) Hari, salah satu Pihak dapat atas kebijakannya sendiri mengakhiri Perjanjian ini dengan memberikan Pemberitahuan Pengakhiran kepada Pihak lainnya yang akan berlaku tiga puluh hari (30) Hari setelah pemberitahuan tersebut diterima. Apabila setelah berakhirnya periode tiga puluh (30) Hari, Peristiwa Tindakan atau Tidak Bertindaknya Pemerintah tetap berlanjut, Perjanjian ini akan berakhir, dan terhadap hal tersebut</w:t>
            </w:r>
            <w:r w:rsidRPr="00A67277" w:rsidDel="00693671">
              <w:rPr>
                <w:rFonts w:cs="Arial"/>
              </w:rPr>
              <w:t xml:space="preserve"> </w:t>
            </w:r>
            <w:r w:rsidRPr="00A67277">
              <w:rPr>
                <w:rFonts w:cs="Arial"/>
              </w:rPr>
              <w:t>PJPK mengambil alih Fasilitas sesuai dengan ketentuan yang relevan dari Pasal 24.6(a) (</w:t>
            </w:r>
            <w:r w:rsidRPr="00A67277">
              <w:rPr>
                <w:rFonts w:cs="Arial"/>
                <w:i/>
              </w:rPr>
              <w:t>Konsekuensi Pengakhiran selain karena Daluarsa Jangka Waktu Perjanjian</w:t>
            </w:r>
            <w:r w:rsidRPr="00A67277">
              <w:rPr>
                <w:rFonts w:cs="Arial"/>
              </w:rPr>
              <w:t>).</w:t>
            </w:r>
          </w:p>
        </w:tc>
      </w:tr>
      <w:tr w:rsidR="00862B0B" w:rsidRPr="00A67277" w14:paraId="09DA62BE" w14:textId="77777777" w:rsidTr="00862B0B">
        <w:trPr>
          <w:gridAfter w:val="1"/>
          <w:wAfter w:w="47" w:type="pct"/>
        </w:trPr>
        <w:tc>
          <w:tcPr>
            <w:tcW w:w="2270" w:type="pct"/>
          </w:tcPr>
          <w:p w14:paraId="0CF694A1" w14:textId="563E10F5" w:rsidR="00862B0B" w:rsidRPr="00A67277" w:rsidRDefault="00862B0B" w:rsidP="00862B0B">
            <w:pPr>
              <w:pStyle w:val="Level3"/>
              <w:numPr>
                <w:ilvl w:val="2"/>
                <w:numId w:val="467"/>
              </w:numPr>
              <w:tabs>
                <w:tab w:val="clear" w:pos="1417"/>
              </w:tabs>
              <w:spacing w:before="60" w:after="60"/>
              <w:ind w:left="1440" w:hanging="426"/>
            </w:pPr>
            <w:r w:rsidRPr="00A67277">
              <w:t xml:space="preserve">If a </w:t>
            </w:r>
            <w:r>
              <w:t xml:space="preserve"> Qualifying</w:t>
            </w:r>
            <w:r w:rsidRPr="00A67277" w:rsidDel="000C0AB9">
              <w:t xml:space="preserve"> </w:t>
            </w:r>
            <w:r w:rsidRPr="00A67277">
              <w:t xml:space="preserve"> Change in Law:</w:t>
            </w:r>
          </w:p>
        </w:tc>
        <w:tc>
          <w:tcPr>
            <w:tcW w:w="169" w:type="pct"/>
          </w:tcPr>
          <w:p w14:paraId="6AB08BAC" w14:textId="77777777" w:rsidR="00862B0B" w:rsidRPr="00A67277" w:rsidRDefault="00862B0B" w:rsidP="00862B0B">
            <w:pPr>
              <w:spacing w:before="60" w:after="60"/>
              <w:rPr>
                <w:rFonts w:ascii="Arial" w:hAnsi="Arial" w:cs="Arial"/>
                <w:sz w:val="21"/>
                <w:szCs w:val="21"/>
              </w:rPr>
            </w:pPr>
          </w:p>
        </w:tc>
        <w:tc>
          <w:tcPr>
            <w:tcW w:w="2514" w:type="pct"/>
          </w:tcPr>
          <w:p w14:paraId="11EB459D" w14:textId="261D57DA" w:rsidR="00862B0B" w:rsidRPr="00A67277" w:rsidRDefault="00862B0B" w:rsidP="00862B0B">
            <w:pPr>
              <w:pStyle w:val="Level3"/>
              <w:numPr>
                <w:ilvl w:val="2"/>
                <w:numId w:val="466"/>
              </w:numPr>
              <w:tabs>
                <w:tab w:val="clear" w:pos="1417"/>
              </w:tabs>
              <w:spacing w:before="60" w:after="60"/>
              <w:ind w:left="1475" w:hanging="425"/>
              <w:rPr>
                <w:rFonts w:cs="Arial"/>
              </w:rPr>
            </w:pPr>
            <w:r w:rsidRPr="00A67277">
              <w:rPr>
                <w:rFonts w:cs="Arial"/>
              </w:rPr>
              <w:t xml:space="preserve">Apabila Perubahan Hukum Yang </w:t>
            </w:r>
            <w:r w:rsidRPr="006E5E36">
              <w:rPr>
                <w:rFonts w:cs="Arial"/>
                <w:bCs/>
              </w:rPr>
              <w:t xml:space="preserve"> Memenuhi Syarat</w:t>
            </w:r>
            <w:r w:rsidRPr="00A67277" w:rsidDel="000C0AB9">
              <w:rPr>
                <w:rFonts w:cs="Arial"/>
              </w:rPr>
              <w:t xml:space="preserve"> </w:t>
            </w:r>
            <w:r w:rsidRPr="00A67277">
              <w:rPr>
                <w:rFonts w:cs="Arial"/>
              </w:rPr>
              <w:t>:</w:t>
            </w:r>
          </w:p>
        </w:tc>
      </w:tr>
      <w:tr w:rsidR="00862B0B" w:rsidRPr="00A67277" w14:paraId="0DC7165B" w14:textId="77777777" w:rsidTr="00862B0B">
        <w:trPr>
          <w:gridAfter w:val="1"/>
          <w:wAfter w:w="47" w:type="pct"/>
        </w:trPr>
        <w:tc>
          <w:tcPr>
            <w:tcW w:w="2270" w:type="pct"/>
          </w:tcPr>
          <w:p w14:paraId="1A0ACA2C" w14:textId="77777777" w:rsidR="00862B0B" w:rsidRPr="00A67277" w:rsidRDefault="00862B0B" w:rsidP="00862B0B">
            <w:pPr>
              <w:pStyle w:val="Level4"/>
              <w:numPr>
                <w:ilvl w:val="3"/>
                <w:numId w:val="450"/>
              </w:numPr>
              <w:tabs>
                <w:tab w:val="clear" w:pos="2126"/>
              </w:tabs>
              <w:spacing w:before="60" w:after="60"/>
              <w:ind w:left="1865" w:hanging="425"/>
            </w:pPr>
            <w:r w:rsidRPr="00A67277">
              <w:t xml:space="preserve">results in the IBE not being able to achieve the Commercial Operation Date </w:t>
            </w:r>
            <w:r w:rsidRPr="00A67277">
              <w:rPr>
                <w:rFonts w:hint="eastAsia"/>
              </w:rPr>
              <w:t xml:space="preserve">within </w:t>
            </w:r>
            <w:r w:rsidRPr="00A67277">
              <w:t>one hundred and eighty (180) Days</w:t>
            </w:r>
            <w:r w:rsidRPr="00A67277">
              <w:rPr>
                <w:rFonts w:hint="eastAsia"/>
              </w:rPr>
              <w:t xml:space="preserve"> after the </w:t>
            </w:r>
            <w:r w:rsidRPr="00A67277">
              <w:t>S</w:t>
            </w:r>
            <w:r w:rsidRPr="00A67277">
              <w:rPr>
                <w:rFonts w:hint="eastAsia"/>
              </w:rPr>
              <w:t xml:space="preserve">cheduled </w:t>
            </w:r>
            <w:r w:rsidRPr="00A67277">
              <w:t>Commercial Operation Date</w:t>
            </w:r>
            <w:r w:rsidRPr="00A67277">
              <w:rPr>
                <w:rFonts w:hint="eastAsia"/>
              </w:rPr>
              <w:t>; or</w:t>
            </w:r>
          </w:p>
          <w:p w14:paraId="2AFAC7D6" w14:textId="77777777" w:rsidR="00862B0B" w:rsidRPr="00A67277" w:rsidRDefault="00862B0B" w:rsidP="00862B0B">
            <w:pPr>
              <w:spacing w:before="60" w:after="60"/>
              <w:jc w:val="center"/>
              <w:rPr>
                <w:rFonts w:ascii="Arial" w:hAnsi="Arial" w:cs="Arial"/>
                <w:sz w:val="21"/>
                <w:szCs w:val="21"/>
              </w:rPr>
            </w:pPr>
          </w:p>
        </w:tc>
        <w:tc>
          <w:tcPr>
            <w:tcW w:w="169" w:type="pct"/>
          </w:tcPr>
          <w:p w14:paraId="71D12C03" w14:textId="77777777" w:rsidR="00862B0B" w:rsidRPr="00A67277" w:rsidRDefault="00862B0B" w:rsidP="00862B0B">
            <w:pPr>
              <w:spacing w:before="60" w:after="60"/>
              <w:rPr>
                <w:rFonts w:ascii="Arial" w:hAnsi="Arial" w:cs="Arial"/>
                <w:sz w:val="21"/>
                <w:szCs w:val="21"/>
              </w:rPr>
            </w:pPr>
          </w:p>
        </w:tc>
        <w:tc>
          <w:tcPr>
            <w:tcW w:w="2514" w:type="pct"/>
          </w:tcPr>
          <w:p w14:paraId="0092760A" w14:textId="4EC01FA9" w:rsidR="00862B0B" w:rsidRPr="00A67277" w:rsidRDefault="00862B0B" w:rsidP="00862B0B">
            <w:pPr>
              <w:pStyle w:val="Level4"/>
              <w:numPr>
                <w:ilvl w:val="0"/>
                <w:numId w:val="126"/>
              </w:numPr>
              <w:spacing w:before="60" w:after="60"/>
              <w:ind w:left="1900" w:hanging="425"/>
              <w:rPr>
                <w:rFonts w:cs="Arial"/>
              </w:rPr>
            </w:pPr>
            <w:r w:rsidRPr="00A67277">
              <w:rPr>
                <w:rFonts w:cs="Arial"/>
              </w:rPr>
              <w:t>mengakibatkan BUP tidak dapat mencapai Tanggal Operasi Komersial dalam waktu seratus delapan puluh (180) Hari setelah Tanggal Operasi Komersial Yang Dijadwalkan; atau</w:t>
            </w:r>
          </w:p>
        </w:tc>
      </w:tr>
      <w:tr w:rsidR="00862B0B" w:rsidRPr="00A67277" w14:paraId="386EEC9B" w14:textId="77777777" w:rsidTr="00862B0B">
        <w:trPr>
          <w:gridAfter w:val="1"/>
          <w:wAfter w:w="47" w:type="pct"/>
        </w:trPr>
        <w:tc>
          <w:tcPr>
            <w:tcW w:w="2270" w:type="pct"/>
          </w:tcPr>
          <w:p w14:paraId="29B167CB" w14:textId="77777777" w:rsidR="00862B0B" w:rsidRPr="00A67277" w:rsidRDefault="00862B0B" w:rsidP="00862B0B">
            <w:pPr>
              <w:pStyle w:val="Level4"/>
              <w:numPr>
                <w:ilvl w:val="3"/>
                <w:numId w:val="450"/>
              </w:numPr>
              <w:tabs>
                <w:tab w:val="clear" w:pos="2126"/>
              </w:tabs>
              <w:spacing w:before="60" w:after="60"/>
              <w:ind w:left="1865" w:hanging="425"/>
            </w:pPr>
            <w:r w:rsidRPr="00A67277">
              <w:t xml:space="preserve">prevents a Party from performing its material obligations under this Agreement for a </w:t>
            </w:r>
            <w:r w:rsidRPr="00A67277">
              <w:rPr>
                <w:rFonts w:hint="eastAsia"/>
              </w:rPr>
              <w:t xml:space="preserve">period of </w:t>
            </w:r>
            <w:r w:rsidRPr="00A67277">
              <w:t xml:space="preserve">one hundred and eighty (180) </w:t>
            </w:r>
            <w:r w:rsidRPr="00A67277">
              <w:rPr>
                <w:rFonts w:hint="eastAsia"/>
              </w:rPr>
              <w:t xml:space="preserve">consecutive </w:t>
            </w:r>
            <w:r w:rsidRPr="00A67277">
              <w:t>Days</w:t>
            </w:r>
            <w:r w:rsidRPr="00A67277">
              <w:rPr>
                <w:rFonts w:hint="eastAsia"/>
              </w:rPr>
              <w:t>,</w:t>
            </w:r>
          </w:p>
        </w:tc>
        <w:tc>
          <w:tcPr>
            <w:tcW w:w="169" w:type="pct"/>
          </w:tcPr>
          <w:p w14:paraId="15E7A7B6" w14:textId="77777777" w:rsidR="00862B0B" w:rsidRPr="00A67277" w:rsidRDefault="00862B0B" w:rsidP="00862B0B">
            <w:pPr>
              <w:spacing w:before="60" w:after="60"/>
              <w:rPr>
                <w:rFonts w:ascii="Arial" w:hAnsi="Arial" w:cs="Arial"/>
                <w:sz w:val="21"/>
                <w:szCs w:val="21"/>
              </w:rPr>
            </w:pPr>
          </w:p>
        </w:tc>
        <w:tc>
          <w:tcPr>
            <w:tcW w:w="2514" w:type="pct"/>
          </w:tcPr>
          <w:p w14:paraId="73199B7D" w14:textId="77777777" w:rsidR="00862B0B" w:rsidRPr="00A67277" w:rsidRDefault="00862B0B" w:rsidP="00862B0B">
            <w:pPr>
              <w:pStyle w:val="Level4"/>
              <w:numPr>
                <w:ilvl w:val="0"/>
                <w:numId w:val="126"/>
              </w:numPr>
              <w:spacing w:before="60" w:after="60"/>
              <w:ind w:left="1900" w:hanging="425"/>
              <w:rPr>
                <w:rFonts w:cs="Arial"/>
              </w:rPr>
            </w:pPr>
            <w:r w:rsidRPr="00A67277">
              <w:rPr>
                <w:rFonts w:cs="Arial"/>
              </w:rPr>
              <w:t>mencegah salah satu Pihak untuk melakukan kewajiban materialnya berdasarkan Perjanjian ini untuk jangka waktu seratus delapan puluh (180) Hari berturut-turut,</w:t>
            </w:r>
          </w:p>
        </w:tc>
      </w:tr>
      <w:tr w:rsidR="00862B0B" w:rsidRPr="00A67277" w14:paraId="20B2ACE6" w14:textId="77777777" w:rsidTr="00862B0B">
        <w:trPr>
          <w:gridAfter w:val="1"/>
          <w:wAfter w:w="47" w:type="pct"/>
        </w:trPr>
        <w:tc>
          <w:tcPr>
            <w:tcW w:w="2270" w:type="pct"/>
          </w:tcPr>
          <w:p w14:paraId="1277BE9E" w14:textId="3B8B6B97" w:rsidR="00862B0B" w:rsidRPr="00A67277" w:rsidRDefault="00862B0B" w:rsidP="00862B0B">
            <w:pPr>
              <w:pStyle w:val="Body2"/>
              <w:spacing w:before="60" w:after="60"/>
              <w:ind w:left="1440"/>
            </w:pPr>
            <w:r w:rsidRPr="00A67277">
              <w:t>either Party may in its discretion terminate this Agreement by issuing a written termination notice which shall take effect [sixty (60)] Days after rece</w:t>
            </w:r>
            <w:r>
              <w:t>i</w:t>
            </w:r>
            <w:r w:rsidRPr="00A67277">
              <w:t xml:space="preserve">pt of such termination notice. If, at the end of this sixty (60)] )]-Day period, the </w:t>
            </w:r>
            <w:r>
              <w:t xml:space="preserve"> Qualifying</w:t>
            </w:r>
            <w:r w:rsidRPr="00A67277" w:rsidDel="000C0AB9">
              <w:t xml:space="preserve"> </w:t>
            </w:r>
            <w:r w:rsidRPr="00A67277">
              <w:t>Change in Law continues, the Agreement, upon which GCA shall takeover the Facility in accordance with the relevant provisions of Clause 24.6(a) (</w:t>
            </w:r>
            <w:r w:rsidRPr="00A67277">
              <w:rPr>
                <w:i/>
              </w:rPr>
              <w:t>Consequences of Termination other than upon Expiration of Term</w:t>
            </w:r>
            <w:r w:rsidRPr="00A67277">
              <w:t>).</w:t>
            </w:r>
          </w:p>
        </w:tc>
        <w:tc>
          <w:tcPr>
            <w:tcW w:w="169" w:type="pct"/>
          </w:tcPr>
          <w:p w14:paraId="16D871BE" w14:textId="77777777" w:rsidR="00862B0B" w:rsidRPr="00A67277" w:rsidRDefault="00862B0B" w:rsidP="00862B0B">
            <w:pPr>
              <w:spacing w:before="60" w:after="60"/>
              <w:rPr>
                <w:rFonts w:ascii="Arial" w:hAnsi="Arial" w:cs="Arial"/>
                <w:sz w:val="21"/>
                <w:szCs w:val="21"/>
              </w:rPr>
            </w:pPr>
          </w:p>
        </w:tc>
        <w:tc>
          <w:tcPr>
            <w:tcW w:w="2514" w:type="pct"/>
          </w:tcPr>
          <w:p w14:paraId="08903E4C" w14:textId="6EAB477C" w:rsidR="00862B0B" w:rsidRPr="00A67277" w:rsidRDefault="00862B0B" w:rsidP="00862B0B">
            <w:pPr>
              <w:pStyle w:val="Level3"/>
              <w:spacing w:before="60" w:after="60"/>
              <w:ind w:left="1475"/>
              <w:rPr>
                <w:rFonts w:cs="Arial"/>
              </w:rPr>
            </w:pPr>
            <w:r w:rsidRPr="00A67277">
              <w:rPr>
                <w:rFonts w:cs="Arial"/>
              </w:rPr>
              <w:t xml:space="preserve">salah satu Pihak berdasarkan kebijaksanaannya sendiri dapat mengakhiri Perjanjian ini dengan memberikan Pemberitahuan Pengakhiran tertulis yang akan diberlakukan [enam puluh (60)] Hari setelah menerima Pemberitahuan Pengakhiran tersebut. Apabila setelah berakhirnya periode ini [tiga puluh (30)] Hari, Perubahan Hukum Yang </w:t>
            </w:r>
            <w:r w:rsidRPr="006E5E36">
              <w:rPr>
                <w:rFonts w:cs="Arial"/>
                <w:bCs/>
              </w:rPr>
              <w:t xml:space="preserve"> Memenuhi Syarat</w:t>
            </w:r>
            <w:r w:rsidRPr="00A67277" w:rsidDel="000C0AB9">
              <w:rPr>
                <w:rFonts w:cs="Arial"/>
              </w:rPr>
              <w:t xml:space="preserve"> </w:t>
            </w:r>
            <w:r w:rsidRPr="00A67277">
              <w:rPr>
                <w:rFonts w:cs="Arial"/>
              </w:rPr>
              <w:t>tetap berlanjut, Perjanjian akan berakhir, dan terhadap hal tersebut,</w:t>
            </w:r>
            <w:r w:rsidRPr="00A67277" w:rsidDel="00693671">
              <w:rPr>
                <w:rFonts w:cs="Arial"/>
              </w:rPr>
              <w:t xml:space="preserve"> </w:t>
            </w:r>
            <w:r w:rsidRPr="00A67277">
              <w:rPr>
                <w:rFonts w:cs="Arial"/>
              </w:rPr>
              <w:t>PJPK mengambil alih Fasilitas sesuai dengan ketentuan yang relevan dengan Pasal 24.6(a) (</w:t>
            </w:r>
            <w:r w:rsidRPr="00A67277">
              <w:rPr>
                <w:rFonts w:cs="Arial"/>
                <w:i/>
              </w:rPr>
              <w:t>Konsekuensi Pengakhiran selain karena Daluarsa Jangka Waktu Perjanjian</w:t>
            </w:r>
            <w:r w:rsidRPr="00A67277">
              <w:rPr>
                <w:rFonts w:cs="Arial"/>
              </w:rPr>
              <w:t>).</w:t>
            </w:r>
          </w:p>
        </w:tc>
      </w:tr>
      <w:tr w:rsidR="00862B0B" w:rsidRPr="00A67277" w14:paraId="63ABF5FB" w14:textId="77777777" w:rsidTr="00862B0B">
        <w:trPr>
          <w:gridAfter w:val="1"/>
          <w:wAfter w:w="47" w:type="pct"/>
        </w:trPr>
        <w:tc>
          <w:tcPr>
            <w:tcW w:w="2270" w:type="pct"/>
          </w:tcPr>
          <w:p w14:paraId="019FAB61" w14:textId="77777777" w:rsidR="00862B0B" w:rsidRPr="00A67277" w:rsidRDefault="00862B0B" w:rsidP="00862B0B">
            <w:pPr>
              <w:pStyle w:val="Heading1"/>
              <w:numPr>
                <w:ilvl w:val="0"/>
                <w:numId w:val="546"/>
              </w:numPr>
              <w:spacing w:before="60" w:after="60"/>
              <w:ind w:left="1014" w:hanging="567"/>
            </w:pPr>
            <w:r w:rsidRPr="00A67277">
              <w:t>Termination upon GCA Voluntary Take-over Event</w:t>
            </w:r>
          </w:p>
        </w:tc>
        <w:tc>
          <w:tcPr>
            <w:tcW w:w="169" w:type="pct"/>
          </w:tcPr>
          <w:p w14:paraId="657E6813" w14:textId="77777777" w:rsidR="00862B0B" w:rsidRPr="00A67277" w:rsidRDefault="00862B0B" w:rsidP="00862B0B">
            <w:pPr>
              <w:spacing w:before="60" w:after="60"/>
              <w:rPr>
                <w:rFonts w:ascii="Arial" w:hAnsi="Arial" w:cs="Arial"/>
                <w:sz w:val="21"/>
                <w:szCs w:val="21"/>
              </w:rPr>
            </w:pPr>
          </w:p>
        </w:tc>
        <w:tc>
          <w:tcPr>
            <w:tcW w:w="2514" w:type="pct"/>
          </w:tcPr>
          <w:p w14:paraId="3D6B97D1" w14:textId="77777777" w:rsidR="00862B0B" w:rsidRPr="00A67277" w:rsidRDefault="00862B0B" w:rsidP="00862B0B">
            <w:pPr>
              <w:pStyle w:val="Heading2"/>
              <w:numPr>
                <w:ilvl w:val="0"/>
                <w:numId w:val="547"/>
              </w:numPr>
              <w:spacing w:before="60" w:after="60"/>
              <w:ind w:left="1050" w:hanging="567"/>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Pengakhiran karena Peristiwa Pengambilalihan Sukarela PJPK</w:t>
            </w:r>
          </w:p>
        </w:tc>
      </w:tr>
      <w:tr w:rsidR="00862B0B" w:rsidRPr="00A67277" w14:paraId="04423E10" w14:textId="77777777" w:rsidTr="00862B0B">
        <w:trPr>
          <w:gridAfter w:val="1"/>
          <w:wAfter w:w="47" w:type="pct"/>
        </w:trPr>
        <w:tc>
          <w:tcPr>
            <w:tcW w:w="2270" w:type="pct"/>
          </w:tcPr>
          <w:p w14:paraId="57087BD8" w14:textId="77777777" w:rsidR="00862B0B" w:rsidRPr="00A67277" w:rsidRDefault="00862B0B" w:rsidP="00862B0B">
            <w:pPr>
              <w:pStyle w:val="Body2"/>
              <w:spacing w:before="60" w:after="60"/>
              <w:ind w:left="1014"/>
            </w:pPr>
            <w:r w:rsidRPr="00A67277">
              <w:t>GCA shall be entitled to voluntarily terminate this Agreement (</w:t>
            </w:r>
            <w:r w:rsidRPr="00A67277">
              <w:rPr>
                <w:b/>
              </w:rPr>
              <w:t>GCA Voluntary Take-over Event</w:t>
            </w:r>
            <w:r w:rsidRPr="00A67277">
              <w:t>) at any time after six (6) Months’ written notice to the IBE, upon which GCA shall takeover the Facility in accordance with the relevant provisions of Clause 24.6(a) (</w:t>
            </w:r>
            <w:r w:rsidRPr="00A67277">
              <w:rPr>
                <w:i/>
              </w:rPr>
              <w:t>Consequences of Termination other than upon Expiration of Term</w:t>
            </w:r>
            <w:r w:rsidRPr="00A67277">
              <w:t>).</w:t>
            </w:r>
          </w:p>
        </w:tc>
        <w:tc>
          <w:tcPr>
            <w:tcW w:w="169" w:type="pct"/>
          </w:tcPr>
          <w:p w14:paraId="7B83E941" w14:textId="77777777" w:rsidR="00862B0B" w:rsidRPr="00A67277" w:rsidRDefault="00862B0B" w:rsidP="00862B0B">
            <w:pPr>
              <w:spacing w:before="60" w:after="60"/>
              <w:rPr>
                <w:rFonts w:ascii="Arial" w:hAnsi="Arial" w:cs="Arial"/>
                <w:sz w:val="21"/>
                <w:szCs w:val="21"/>
              </w:rPr>
            </w:pPr>
          </w:p>
        </w:tc>
        <w:tc>
          <w:tcPr>
            <w:tcW w:w="2514" w:type="pct"/>
          </w:tcPr>
          <w:p w14:paraId="0E985003" w14:textId="77777777" w:rsidR="00862B0B" w:rsidRPr="00A67277" w:rsidRDefault="00862B0B" w:rsidP="00862B0B">
            <w:pPr>
              <w:pStyle w:val="Level1"/>
              <w:tabs>
                <w:tab w:val="clear" w:pos="889"/>
              </w:tabs>
              <w:spacing w:before="60" w:after="60"/>
              <w:ind w:left="1050" w:firstLine="0"/>
              <w:rPr>
                <w:rFonts w:cs="Arial"/>
                <w:lang w:val="en-US" w:eastAsia="en-US"/>
              </w:rPr>
            </w:pPr>
            <w:r w:rsidRPr="00A67277">
              <w:rPr>
                <w:rFonts w:cs="Arial"/>
                <w:lang w:val="id-ID" w:eastAsia="en-US"/>
              </w:rPr>
              <w:t>PJPK berhak secara sukarela</w:t>
            </w:r>
            <w:r w:rsidRPr="00A67277">
              <w:rPr>
                <w:rFonts w:cs="Arial"/>
                <w:lang w:val="en-US" w:eastAsia="en-US"/>
              </w:rPr>
              <w:t xml:space="preserve"> untuk</w:t>
            </w:r>
            <w:r w:rsidRPr="00A67277">
              <w:rPr>
                <w:rFonts w:cs="Arial"/>
                <w:lang w:val="id-ID" w:eastAsia="en-US"/>
              </w:rPr>
              <w:t xml:space="preserve"> men</w:t>
            </w:r>
            <w:r w:rsidRPr="00A67277">
              <w:rPr>
                <w:rFonts w:cs="Arial"/>
                <w:lang w:val="en-US" w:eastAsia="en-US"/>
              </w:rPr>
              <w:t>gakhiri</w:t>
            </w:r>
            <w:r w:rsidRPr="00A67277">
              <w:rPr>
                <w:rFonts w:cs="Arial"/>
                <w:lang w:val="id-ID" w:eastAsia="en-US"/>
              </w:rPr>
              <w:t xml:space="preserve"> Perjanjian ini (</w:t>
            </w:r>
            <w:r w:rsidRPr="00A67277">
              <w:rPr>
                <w:rFonts w:cs="Arial"/>
                <w:b/>
                <w:lang w:val="id-ID" w:eastAsia="en-US"/>
              </w:rPr>
              <w:t>Peristiwa Pengambilalihan Sukarela PJPK</w:t>
            </w:r>
            <w:r w:rsidRPr="00A67277">
              <w:rPr>
                <w:rFonts w:cs="Arial"/>
                <w:lang w:val="id-ID" w:eastAsia="en-US"/>
              </w:rPr>
              <w:t>) setiap saat setelah</w:t>
            </w:r>
            <w:r w:rsidRPr="00A67277">
              <w:rPr>
                <w:rFonts w:cs="Arial"/>
                <w:lang w:val="en-US" w:eastAsia="en-US"/>
              </w:rPr>
              <w:t xml:space="preserve"> memberikan</w:t>
            </w:r>
            <w:r w:rsidRPr="00A67277">
              <w:rPr>
                <w:rFonts w:cs="Arial"/>
                <w:lang w:val="id-ID" w:eastAsia="en-US"/>
              </w:rPr>
              <w:t xml:space="preserve"> pemberitahuan tertulis enam (6) bulan</w:t>
            </w:r>
            <w:r w:rsidRPr="00A67277">
              <w:rPr>
                <w:rFonts w:cs="Arial"/>
                <w:lang w:val="en-US" w:eastAsia="en-US"/>
              </w:rPr>
              <w:t xml:space="preserve"> sebelumnya </w:t>
            </w:r>
            <w:r w:rsidRPr="00A67277">
              <w:rPr>
                <w:rFonts w:cs="Arial"/>
                <w:lang w:val="id-ID" w:eastAsia="en-US"/>
              </w:rPr>
              <w:t xml:space="preserve">kepada BUP, </w:t>
            </w:r>
            <w:r w:rsidRPr="00A67277">
              <w:rPr>
                <w:rFonts w:cs="Arial"/>
              </w:rPr>
              <w:t>dan terhadap hal tersebut</w:t>
            </w:r>
            <w:r w:rsidRPr="00A67277" w:rsidDel="00693671">
              <w:rPr>
                <w:rFonts w:cs="Arial"/>
                <w:lang w:val="id-ID" w:eastAsia="en-US"/>
              </w:rPr>
              <w:t xml:space="preserve"> </w:t>
            </w:r>
            <w:r w:rsidRPr="00A67277">
              <w:rPr>
                <w:rFonts w:cs="Arial"/>
                <w:lang w:val="id-ID" w:eastAsia="en-US"/>
              </w:rPr>
              <w:t xml:space="preserve">PJPK berkewajiban untuk </w:t>
            </w:r>
            <w:r w:rsidRPr="00A67277">
              <w:rPr>
                <w:rFonts w:cs="Arial"/>
                <w:lang w:val="en-US" w:eastAsia="en-US"/>
              </w:rPr>
              <w:t xml:space="preserve">mengambilalih Fasilitas </w:t>
            </w:r>
            <w:r w:rsidRPr="00A67277">
              <w:rPr>
                <w:rFonts w:cs="Arial"/>
                <w:lang w:val="id-ID" w:eastAsia="en-US"/>
              </w:rPr>
              <w:t>sesuai dengan ketentuan yang relevan dari Pasal 2</w:t>
            </w:r>
            <w:r w:rsidRPr="00A67277">
              <w:rPr>
                <w:rFonts w:cs="Arial"/>
                <w:lang w:val="en-ID" w:eastAsia="en-US"/>
              </w:rPr>
              <w:t>4</w:t>
            </w:r>
            <w:r w:rsidRPr="00A67277">
              <w:rPr>
                <w:rFonts w:cs="Arial"/>
                <w:lang w:val="id-ID" w:eastAsia="en-US"/>
              </w:rPr>
              <w:t>.</w:t>
            </w:r>
            <w:r w:rsidRPr="00A67277">
              <w:rPr>
                <w:rFonts w:cs="Arial"/>
                <w:lang w:val="en-US" w:eastAsia="en-US"/>
              </w:rPr>
              <w:t>6</w:t>
            </w:r>
            <w:r w:rsidRPr="00A67277">
              <w:rPr>
                <w:rFonts w:cs="Arial"/>
                <w:lang w:val="id-ID" w:eastAsia="en-US"/>
              </w:rPr>
              <w:t>(a) (</w:t>
            </w:r>
            <w:r w:rsidRPr="00A67277">
              <w:rPr>
                <w:rFonts w:cs="Arial"/>
                <w:i/>
                <w:lang w:val="id-ID" w:eastAsia="en-US"/>
              </w:rPr>
              <w:t>Konsekuensi Pengakhiran selain karena Daluarsa Jangka Waktu Perjanjian</w:t>
            </w:r>
            <w:r w:rsidRPr="00A67277">
              <w:rPr>
                <w:rFonts w:cs="Arial"/>
                <w:lang w:val="id-ID" w:eastAsia="en-US"/>
              </w:rPr>
              <w:t>)</w:t>
            </w:r>
            <w:r w:rsidRPr="00A67277">
              <w:rPr>
                <w:rFonts w:cs="Arial"/>
                <w:lang w:val="en-US" w:eastAsia="en-US"/>
              </w:rPr>
              <w:t>.</w:t>
            </w:r>
          </w:p>
        </w:tc>
      </w:tr>
      <w:tr w:rsidR="00862B0B" w:rsidRPr="00A67277" w14:paraId="07CE32DA" w14:textId="77777777" w:rsidTr="00862B0B">
        <w:trPr>
          <w:gridAfter w:val="1"/>
          <w:wAfter w:w="47" w:type="pct"/>
        </w:trPr>
        <w:tc>
          <w:tcPr>
            <w:tcW w:w="2270" w:type="pct"/>
          </w:tcPr>
          <w:p w14:paraId="7C539D69" w14:textId="77777777" w:rsidR="00862B0B" w:rsidRPr="00A67277" w:rsidRDefault="00862B0B" w:rsidP="00862B0B">
            <w:pPr>
              <w:pStyle w:val="Heading1"/>
              <w:numPr>
                <w:ilvl w:val="0"/>
                <w:numId w:val="546"/>
              </w:numPr>
              <w:spacing w:before="60" w:after="60"/>
              <w:ind w:left="1014" w:hanging="567"/>
            </w:pPr>
            <w:r w:rsidRPr="00A67277">
              <w:t>Termination upon Prolonged Force Majeure</w:t>
            </w:r>
          </w:p>
        </w:tc>
        <w:tc>
          <w:tcPr>
            <w:tcW w:w="169" w:type="pct"/>
          </w:tcPr>
          <w:p w14:paraId="2ECACECA" w14:textId="77777777" w:rsidR="00862B0B" w:rsidRPr="00A67277" w:rsidRDefault="00862B0B" w:rsidP="00862B0B">
            <w:pPr>
              <w:spacing w:before="60" w:after="60"/>
              <w:rPr>
                <w:rFonts w:ascii="Arial" w:hAnsi="Arial" w:cs="Arial"/>
                <w:sz w:val="21"/>
                <w:szCs w:val="21"/>
              </w:rPr>
            </w:pPr>
          </w:p>
        </w:tc>
        <w:tc>
          <w:tcPr>
            <w:tcW w:w="2514" w:type="pct"/>
          </w:tcPr>
          <w:p w14:paraId="356BE8C9" w14:textId="77777777" w:rsidR="00862B0B" w:rsidRPr="00A67277" w:rsidRDefault="00862B0B" w:rsidP="00862B0B">
            <w:pPr>
              <w:pStyle w:val="Heading2"/>
              <w:numPr>
                <w:ilvl w:val="0"/>
                <w:numId w:val="547"/>
              </w:numPr>
              <w:spacing w:before="60" w:after="60"/>
              <w:ind w:left="1050" w:hanging="567"/>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Pengakhiran karena Keadaan Kahar Berkepanjangan</w:t>
            </w:r>
          </w:p>
        </w:tc>
      </w:tr>
      <w:tr w:rsidR="00862B0B" w:rsidRPr="00A67277" w14:paraId="4DD2744E" w14:textId="77777777" w:rsidTr="00862B0B">
        <w:trPr>
          <w:gridAfter w:val="1"/>
          <w:wAfter w:w="47" w:type="pct"/>
        </w:trPr>
        <w:tc>
          <w:tcPr>
            <w:tcW w:w="2270" w:type="pct"/>
          </w:tcPr>
          <w:p w14:paraId="0C8181C8" w14:textId="77777777" w:rsidR="00862B0B" w:rsidRPr="00A67277" w:rsidRDefault="00862B0B" w:rsidP="00862B0B">
            <w:pPr>
              <w:pStyle w:val="Level3"/>
              <w:numPr>
                <w:ilvl w:val="2"/>
                <w:numId w:val="468"/>
              </w:numPr>
              <w:tabs>
                <w:tab w:val="clear" w:pos="1417"/>
              </w:tabs>
              <w:spacing w:before="60" w:after="60"/>
              <w:ind w:left="1440" w:hanging="426"/>
            </w:pPr>
            <w:r w:rsidRPr="00A67277">
              <w:t>In case of a Force Majeure Event affecting IBE, the IBE may terminate this Agreement if  a Force Majeure Event prevents IBE from performing any of its obligations under this Agreement for a continuous period of one hundred and eighty (180) Days,  upon which GCA shall takeover the Facility in accordance with the relevant provisions of Clause 24.6(c) (</w:t>
            </w:r>
            <w:r w:rsidRPr="00A67277">
              <w:rPr>
                <w:i/>
              </w:rPr>
              <w:t>Consequences of Termination other than upon Expiration of Term</w:t>
            </w:r>
            <w:r w:rsidRPr="00A67277">
              <w:t>).</w:t>
            </w:r>
          </w:p>
        </w:tc>
        <w:tc>
          <w:tcPr>
            <w:tcW w:w="169" w:type="pct"/>
          </w:tcPr>
          <w:p w14:paraId="5F5C8C0D" w14:textId="77777777" w:rsidR="00862B0B" w:rsidRPr="00A67277" w:rsidRDefault="00862B0B" w:rsidP="00862B0B">
            <w:pPr>
              <w:spacing w:before="60" w:after="60"/>
              <w:rPr>
                <w:rFonts w:ascii="Arial" w:hAnsi="Arial" w:cs="Arial"/>
                <w:sz w:val="21"/>
                <w:szCs w:val="21"/>
              </w:rPr>
            </w:pPr>
          </w:p>
        </w:tc>
        <w:tc>
          <w:tcPr>
            <w:tcW w:w="2514" w:type="pct"/>
          </w:tcPr>
          <w:p w14:paraId="7C75C9FA" w14:textId="77777777" w:rsidR="00862B0B" w:rsidRPr="00A67277" w:rsidRDefault="00862B0B" w:rsidP="00862B0B">
            <w:pPr>
              <w:pStyle w:val="Level3"/>
              <w:numPr>
                <w:ilvl w:val="0"/>
                <w:numId w:val="127"/>
              </w:numPr>
              <w:spacing w:before="60" w:after="60"/>
              <w:ind w:left="1475" w:hanging="425"/>
              <w:rPr>
                <w:rFonts w:cs="Arial"/>
              </w:rPr>
            </w:pPr>
            <w:r w:rsidRPr="00A67277">
              <w:rPr>
                <w:rFonts w:cs="Arial"/>
              </w:rPr>
              <w:t xml:space="preserve">Dalam hal suatu Peristiwa Keadaan Kahar menimpa BUP, maka BUP dapat mengakhiri Perjanjian ini apabila </w:t>
            </w:r>
            <w:r w:rsidRPr="00A67277">
              <w:rPr>
                <w:rFonts w:cs="Arial"/>
                <w:lang w:val="en-US" w:eastAsia="en-US"/>
              </w:rPr>
              <w:t xml:space="preserve"> suatu P</w:t>
            </w:r>
            <w:r w:rsidRPr="00A67277">
              <w:rPr>
                <w:rFonts w:cs="Arial"/>
                <w:lang w:val="id-ID" w:eastAsia="en-US"/>
              </w:rPr>
              <w:t xml:space="preserve">eristiwa </w:t>
            </w:r>
            <w:r w:rsidRPr="00A67277">
              <w:rPr>
                <w:rFonts w:cs="Arial"/>
              </w:rPr>
              <w:t>Keadaan</w:t>
            </w:r>
            <w:r w:rsidRPr="00A67277">
              <w:rPr>
                <w:rFonts w:cs="Arial"/>
                <w:lang w:val="id-ID" w:eastAsia="en-US"/>
              </w:rPr>
              <w:t xml:space="preserve"> Kahar mencegah BUP</w:t>
            </w:r>
            <w:r w:rsidRPr="00A67277">
              <w:rPr>
                <w:rFonts w:cs="Arial"/>
                <w:lang w:val="en-US" w:eastAsia="en-US"/>
              </w:rPr>
              <w:t xml:space="preserve"> untuk</w:t>
            </w:r>
            <w:r w:rsidRPr="00A67277">
              <w:rPr>
                <w:rFonts w:cs="Arial"/>
                <w:lang w:val="id-ID" w:eastAsia="en-US"/>
              </w:rPr>
              <w:t xml:space="preserve"> melakukan kewajibannya berdasarkan Perjanjian ini </w:t>
            </w:r>
            <w:r w:rsidRPr="00A67277">
              <w:rPr>
                <w:rFonts w:cs="Arial"/>
                <w:lang w:val="en-US" w:eastAsia="en-US"/>
              </w:rPr>
              <w:t xml:space="preserve">secara terus-menerus dalam waktu </w:t>
            </w:r>
            <w:r w:rsidRPr="00A67277">
              <w:rPr>
                <w:rFonts w:cs="Arial"/>
                <w:lang w:val="id-ID" w:eastAsia="en-US"/>
              </w:rPr>
              <w:t>selama seratus delapan puluh (180) Hari</w:t>
            </w:r>
            <w:r w:rsidRPr="00A67277">
              <w:rPr>
                <w:rFonts w:cs="Arial"/>
                <w:lang w:val="en-US" w:eastAsia="en-US"/>
              </w:rPr>
              <w:t>,</w:t>
            </w:r>
            <w:r w:rsidRPr="00A67277">
              <w:rPr>
                <w:rFonts w:cs="Arial"/>
                <w:lang w:val="id-ID" w:eastAsia="en-US"/>
              </w:rPr>
              <w:t xml:space="preserve"> dan</w:t>
            </w:r>
            <w:r w:rsidRPr="00A67277">
              <w:rPr>
                <w:rFonts w:cs="Arial"/>
                <w:lang w:val="en-US" w:eastAsia="en-US"/>
              </w:rPr>
              <w:t xml:space="preserve"> </w:t>
            </w:r>
            <w:r w:rsidRPr="00A67277">
              <w:rPr>
                <w:rFonts w:cs="Arial"/>
              </w:rPr>
              <w:t xml:space="preserve"> terhadap hal tersebut</w:t>
            </w:r>
            <w:r w:rsidRPr="00A67277" w:rsidDel="00693671">
              <w:rPr>
                <w:rFonts w:cs="Arial"/>
                <w:lang w:val="id-ID" w:eastAsia="en-US"/>
              </w:rPr>
              <w:t xml:space="preserve"> </w:t>
            </w:r>
            <w:r w:rsidRPr="00A67277">
              <w:rPr>
                <w:rFonts w:cs="Arial"/>
                <w:lang w:val="id-ID" w:eastAsia="en-US"/>
              </w:rPr>
              <w:t xml:space="preserve">PJPK </w:t>
            </w:r>
            <w:r w:rsidRPr="00A67277">
              <w:rPr>
                <w:rFonts w:cs="Arial"/>
                <w:lang w:val="en-US" w:eastAsia="en-US"/>
              </w:rPr>
              <w:t xml:space="preserve">mengambil alih Fasilitas </w:t>
            </w:r>
            <w:r w:rsidRPr="00A67277">
              <w:rPr>
                <w:rFonts w:cs="Arial"/>
                <w:lang w:val="id-ID" w:eastAsia="en-US"/>
              </w:rPr>
              <w:t>sesuai dengan ketentuan yang relevan dari Pasal 2</w:t>
            </w:r>
            <w:r w:rsidRPr="00A67277">
              <w:rPr>
                <w:rFonts w:cs="Arial"/>
                <w:lang w:val="en-ID" w:eastAsia="en-US"/>
              </w:rPr>
              <w:t>4</w:t>
            </w:r>
            <w:r w:rsidRPr="00A67277">
              <w:rPr>
                <w:rFonts w:cs="Arial"/>
                <w:lang w:val="id-ID" w:eastAsia="en-US"/>
              </w:rPr>
              <w:t>.</w:t>
            </w:r>
            <w:r w:rsidRPr="00A67277">
              <w:rPr>
                <w:rFonts w:cs="Arial"/>
                <w:lang w:val="en-US" w:eastAsia="en-US"/>
              </w:rPr>
              <w:t>6</w:t>
            </w:r>
            <w:r w:rsidRPr="00A67277">
              <w:rPr>
                <w:rFonts w:cs="Arial"/>
                <w:lang w:val="id-ID" w:eastAsia="en-US"/>
              </w:rPr>
              <w:t>(c) (</w:t>
            </w:r>
            <w:r w:rsidRPr="00A67277">
              <w:rPr>
                <w:rFonts w:cs="Arial"/>
                <w:i/>
                <w:lang w:val="id-ID" w:eastAsia="en-US"/>
              </w:rPr>
              <w:t>Konsekuensi Pengakhiran selain karena Daluarsa Jangka Waktu Perjanjian</w:t>
            </w:r>
            <w:r w:rsidRPr="00A67277">
              <w:rPr>
                <w:rFonts w:cs="Arial"/>
                <w:lang w:val="id-ID" w:eastAsia="en-US"/>
              </w:rPr>
              <w:t>).</w:t>
            </w:r>
          </w:p>
        </w:tc>
      </w:tr>
      <w:tr w:rsidR="00862B0B" w:rsidRPr="00A67277" w14:paraId="421B5297" w14:textId="77777777" w:rsidTr="00862B0B">
        <w:trPr>
          <w:gridAfter w:val="1"/>
          <w:wAfter w:w="47" w:type="pct"/>
        </w:trPr>
        <w:tc>
          <w:tcPr>
            <w:tcW w:w="2270" w:type="pct"/>
          </w:tcPr>
          <w:p w14:paraId="1DC4B12D" w14:textId="77777777" w:rsidR="00862B0B" w:rsidRPr="00A67277" w:rsidRDefault="00862B0B" w:rsidP="00862B0B">
            <w:pPr>
              <w:pStyle w:val="Level3"/>
              <w:numPr>
                <w:ilvl w:val="2"/>
                <w:numId w:val="468"/>
              </w:numPr>
              <w:tabs>
                <w:tab w:val="clear" w:pos="1417"/>
              </w:tabs>
              <w:spacing w:before="60" w:after="60"/>
              <w:ind w:left="1440" w:hanging="426"/>
            </w:pPr>
            <w:r w:rsidRPr="00A67277">
              <w:t>In case of a Force Majeure Event affecting GCA, GCA may terminate this Agreement if:</w:t>
            </w:r>
          </w:p>
        </w:tc>
        <w:tc>
          <w:tcPr>
            <w:tcW w:w="169" w:type="pct"/>
          </w:tcPr>
          <w:p w14:paraId="1DCDC0D9" w14:textId="77777777" w:rsidR="00862B0B" w:rsidRPr="00A67277" w:rsidRDefault="00862B0B" w:rsidP="00862B0B">
            <w:pPr>
              <w:spacing w:before="60" w:after="60"/>
              <w:rPr>
                <w:rFonts w:ascii="Arial" w:hAnsi="Arial" w:cs="Arial"/>
                <w:sz w:val="21"/>
                <w:szCs w:val="21"/>
              </w:rPr>
            </w:pPr>
          </w:p>
        </w:tc>
        <w:tc>
          <w:tcPr>
            <w:tcW w:w="2514" w:type="pct"/>
          </w:tcPr>
          <w:p w14:paraId="796C12D4" w14:textId="77777777" w:rsidR="00862B0B" w:rsidRPr="00A67277" w:rsidRDefault="00862B0B" w:rsidP="00862B0B">
            <w:pPr>
              <w:pStyle w:val="Level3"/>
              <w:numPr>
                <w:ilvl w:val="0"/>
                <w:numId w:val="127"/>
              </w:numPr>
              <w:spacing w:before="60" w:after="60"/>
              <w:ind w:left="1475" w:hanging="425"/>
              <w:rPr>
                <w:rFonts w:cs="Arial"/>
              </w:rPr>
            </w:pPr>
            <w:r w:rsidRPr="00A67277">
              <w:rPr>
                <w:rFonts w:cs="Arial"/>
              </w:rPr>
              <w:t>Jika suatu Keadaan Kahar menimpa PJPK, maka PJPK dapat mengakhiri Perjanjian ini apabila:</w:t>
            </w:r>
          </w:p>
        </w:tc>
      </w:tr>
      <w:tr w:rsidR="00862B0B" w:rsidRPr="00A67277" w14:paraId="68DE0E95" w14:textId="77777777" w:rsidTr="00862B0B">
        <w:trPr>
          <w:gridAfter w:val="1"/>
          <w:wAfter w:w="47" w:type="pct"/>
        </w:trPr>
        <w:tc>
          <w:tcPr>
            <w:tcW w:w="2270" w:type="pct"/>
          </w:tcPr>
          <w:p w14:paraId="2D3C4333" w14:textId="77777777" w:rsidR="00862B0B" w:rsidRPr="00A67277" w:rsidRDefault="00862B0B" w:rsidP="00862B0B">
            <w:pPr>
              <w:pStyle w:val="Level4"/>
              <w:numPr>
                <w:ilvl w:val="0"/>
                <w:numId w:val="125"/>
              </w:numPr>
              <w:spacing w:before="60" w:after="60"/>
              <w:ind w:left="1865" w:hanging="425"/>
            </w:pPr>
            <w:r w:rsidRPr="00A67277">
              <w:t>a Force Majeure Event prevents GCA from performing any of its obligations under this Agreement for a continuous period of one hundred and eighty (180) Days (including events described in Clause 20.3(j) (</w:t>
            </w:r>
            <w:r w:rsidRPr="00A67277">
              <w:rPr>
                <w:i/>
              </w:rPr>
              <w:t>Effect of Force Majeure</w:t>
            </w:r>
            <w:r w:rsidRPr="00A67277">
              <w:t>)); or</w:t>
            </w:r>
          </w:p>
          <w:p w14:paraId="7BEAB4EB" w14:textId="77777777" w:rsidR="00862B0B" w:rsidRPr="00A67277" w:rsidRDefault="00862B0B" w:rsidP="00862B0B">
            <w:pPr>
              <w:spacing w:before="60" w:after="60"/>
              <w:rPr>
                <w:rFonts w:ascii="Arial" w:hAnsi="Arial" w:cs="Arial"/>
                <w:sz w:val="21"/>
                <w:szCs w:val="21"/>
              </w:rPr>
            </w:pPr>
          </w:p>
        </w:tc>
        <w:tc>
          <w:tcPr>
            <w:tcW w:w="169" w:type="pct"/>
          </w:tcPr>
          <w:p w14:paraId="762BA0D1" w14:textId="77777777" w:rsidR="00862B0B" w:rsidRPr="00A67277" w:rsidRDefault="00862B0B" w:rsidP="00862B0B">
            <w:pPr>
              <w:spacing w:before="60" w:after="60"/>
              <w:rPr>
                <w:rFonts w:ascii="Arial" w:hAnsi="Arial" w:cs="Arial"/>
                <w:sz w:val="21"/>
                <w:szCs w:val="21"/>
              </w:rPr>
            </w:pPr>
          </w:p>
        </w:tc>
        <w:tc>
          <w:tcPr>
            <w:tcW w:w="2514" w:type="pct"/>
          </w:tcPr>
          <w:p w14:paraId="02C55F1A" w14:textId="77777777" w:rsidR="00862B0B" w:rsidRPr="00A67277" w:rsidRDefault="00862B0B" w:rsidP="00862B0B">
            <w:pPr>
              <w:pStyle w:val="Level4"/>
              <w:numPr>
                <w:ilvl w:val="0"/>
                <w:numId w:val="128"/>
              </w:numPr>
              <w:spacing w:before="60" w:after="60"/>
              <w:ind w:left="1900" w:hanging="425"/>
              <w:rPr>
                <w:rFonts w:cs="Arial"/>
              </w:rPr>
            </w:pPr>
            <w:r w:rsidRPr="00A67277">
              <w:rPr>
                <w:rFonts w:cs="Arial"/>
                <w:lang w:val="en-US" w:eastAsia="en-US"/>
              </w:rPr>
              <w:t>suatu P</w:t>
            </w:r>
            <w:r w:rsidRPr="00A67277">
              <w:rPr>
                <w:rFonts w:cs="Arial"/>
                <w:lang w:val="id-ID" w:eastAsia="en-US"/>
              </w:rPr>
              <w:t xml:space="preserve">eristiwa </w:t>
            </w:r>
            <w:r w:rsidRPr="00A67277">
              <w:rPr>
                <w:rFonts w:cs="Arial"/>
              </w:rPr>
              <w:t>Keadaan</w:t>
            </w:r>
            <w:r w:rsidRPr="00A67277">
              <w:rPr>
                <w:rFonts w:cs="Arial"/>
                <w:lang w:val="id-ID" w:eastAsia="en-US"/>
              </w:rPr>
              <w:t xml:space="preserve"> Kahar mencegah PJPK </w:t>
            </w:r>
            <w:r w:rsidRPr="00A67277">
              <w:rPr>
                <w:rFonts w:cs="Arial"/>
                <w:lang w:val="en-US" w:eastAsia="en-US"/>
              </w:rPr>
              <w:t xml:space="preserve">untuk </w:t>
            </w:r>
            <w:r w:rsidRPr="00A67277">
              <w:rPr>
                <w:rFonts w:cs="Arial"/>
                <w:lang w:val="id-ID" w:eastAsia="en-US"/>
              </w:rPr>
              <w:t xml:space="preserve">melakukan kewajibannya berdasarkan Perjanjian ini </w:t>
            </w:r>
            <w:r w:rsidRPr="00A67277">
              <w:rPr>
                <w:rFonts w:cs="Arial"/>
                <w:lang w:val="en-US" w:eastAsia="en-US"/>
              </w:rPr>
              <w:t xml:space="preserve">secara terus-menerus dalam waktu </w:t>
            </w:r>
            <w:r w:rsidRPr="00A67277">
              <w:rPr>
                <w:rFonts w:cs="Arial"/>
                <w:lang w:val="id-ID" w:eastAsia="en-US"/>
              </w:rPr>
              <w:t>selama seratus delapan puluh (180) Har</w:t>
            </w:r>
            <w:r w:rsidRPr="00A67277">
              <w:rPr>
                <w:rFonts w:cs="Arial"/>
                <w:lang w:val="en-ID" w:eastAsia="en-US"/>
              </w:rPr>
              <w:t>i (termasuk peristiwa yang tercantum dalam Pasal 20.3(j) (</w:t>
            </w:r>
            <w:r w:rsidRPr="00A67277">
              <w:rPr>
                <w:rFonts w:cs="Arial"/>
                <w:i/>
                <w:lang w:val="en-ID" w:eastAsia="en-US"/>
              </w:rPr>
              <w:t>Dampak Keadaan Kahar</w:t>
            </w:r>
            <w:r w:rsidRPr="00A67277">
              <w:rPr>
                <w:rFonts w:cs="Arial"/>
                <w:lang w:val="en-ID" w:eastAsia="en-US"/>
              </w:rPr>
              <w:t>)</w:t>
            </w:r>
            <w:r w:rsidRPr="00A67277">
              <w:rPr>
                <w:rFonts w:cs="Arial"/>
                <w:lang w:val="id-ID" w:eastAsia="en-US"/>
              </w:rPr>
              <w:t>; atau</w:t>
            </w:r>
            <w:r w:rsidRPr="00A67277" w:rsidDel="00A418E4">
              <w:rPr>
                <w:rFonts w:cs="Arial"/>
              </w:rPr>
              <w:t xml:space="preserve"> </w:t>
            </w:r>
          </w:p>
        </w:tc>
      </w:tr>
      <w:tr w:rsidR="00862B0B" w:rsidRPr="00A67277" w14:paraId="51004B32" w14:textId="77777777" w:rsidTr="00862B0B">
        <w:trPr>
          <w:gridAfter w:val="1"/>
          <w:wAfter w:w="47" w:type="pct"/>
        </w:trPr>
        <w:tc>
          <w:tcPr>
            <w:tcW w:w="2270" w:type="pct"/>
          </w:tcPr>
          <w:p w14:paraId="29E2556E" w14:textId="77777777" w:rsidR="00862B0B" w:rsidRPr="00A67277" w:rsidRDefault="00862B0B" w:rsidP="00862B0B">
            <w:pPr>
              <w:pStyle w:val="Body4"/>
              <w:spacing w:before="60" w:after="60"/>
              <w:ind w:left="1620"/>
            </w:pPr>
            <w:r w:rsidRPr="00A67277">
              <w:t>upon which GCA shall takeover the Facility in accordance with the relevant provisions of Clause 24.6(a) (</w:t>
            </w:r>
            <w:r w:rsidRPr="00A67277">
              <w:rPr>
                <w:i/>
              </w:rPr>
              <w:t>Consequences of Termination other than upon Expiration of Term</w:t>
            </w:r>
            <w:r w:rsidRPr="00A67277">
              <w:t>).</w:t>
            </w:r>
          </w:p>
        </w:tc>
        <w:tc>
          <w:tcPr>
            <w:tcW w:w="169" w:type="pct"/>
          </w:tcPr>
          <w:p w14:paraId="6AF42BA2" w14:textId="77777777" w:rsidR="00862B0B" w:rsidRPr="00A67277" w:rsidRDefault="00862B0B" w:rsidP="00862B0B">
            <w:pPr>
              <w:spacing w:before="60" w:after="60"/>
              <w:rPr>
                <w:rFonts w:ascii="Arial" w:hAnsi="Arial" w:cs="Arial"/>
                <w:sz w:val="21"/>
                <w:szCs w:val="21"/>
              </w:rPr>
            </w:pPr>
          </w:p>
        </w:tc>
        <w:tc>
          <w:tcPr>
            <w:tcW w:w="2514" w:type="pct"/>
          </w:tcPr>
          <w:p w14:paraId="343ADB6A" w14:textId="77777777" w:rsidR="00862B0B" w:rsidRPr="00A67277" w:rsidRDefault="00862B0B" w:rsidP="00862B0B">
            <w:pPr>
              <w:pStyle w:val="Level3"/>
              <w:spacing w:before="60" w:after="60"/>
              <w:ind w:left="1475"/>
              <w:rPr>
                <w:rFonts w:cs="Arial"/>
              </w:rPr>
            </w:pPr>
            <w:r w:rsidRPr="00A67277">
              <w:rPr>
                <w:rFonts w:cs="Arial"/>
              </w:rPr>
              <w:t>dan terhadap hal tersebut</w:t>
            </w:r>
            <w:r w:rsidRPr="00A67277" w:rsidDel="00693671">
              <w:rPr>
                <w:rFonts w:cs="Arial"/>
                <w:lang w:val="id-ID" w:eastAsia="en-US"/>
              </w:rPr>
              <w:t xml:space="preserve"> </w:t>
            </w:r>
            <w:r w:rsidRPr="00A67277">
              <w:rPr>
                <w:rFonts w:cs="Arial"/>
                <w:lang w:val="id-ID" w:eastAsia="en-US"/>
              </w:rPr>
              <w:t xml:space="preserve">PJPK </w:t>
            </w:r>
            <w:r w:rsidRPr="00A67277">
              <w:rPr>
                <w:rFonts w:cs="Arial"/>
              </w:rPr>
              <w:t>berkewajiban</w:t>
            </w:r>
            <w:r w:rsidRPr="00A67277">
              <w:rPr>
                <w:rFonts w:cs="Arial"/>
                <w:lang w:val="id-ID" w:eastAsia="en-US"/>
              </w:rPr>
              <w:t xml:space="preserve"> untuk </w:t>
            </w:r>
            <w:r w:rsidRPr="00A67277">
              <w:rPr>
                <w:rFonts w:cs="Arial"/>
                <w:lang w:val="en-US" w:eastAsia="en-US"/>
              </w:rPr>
              <w:t xml:space="preserve">mengambil alih Fasilitas </w:t>
            </w:r>
            <w:r w:rsidRPr="00A67277">
              <w:rPr>
                <w:rFonts w:cs="Arial"/>
                <w:lang w:val="id-ID" w:eastAsia="en-US"/>
              </w:rPr>
              <w:t>sesuai dengan ketentuan yang relevan dari Pasal 2</w:t>
            </w:r>
            <w:r w:rsidRPr="00A67277">
              <w:rPr>
                <w:rFonts w:cs="Arial"/>
                <w:lang w:val="en-ID" w:eastAsia="en-US"/>
              </w:rPr>
              <w:t>4</w:t>
            </w:r>
            <w:r w:rsidRPr="00A67277">
              <w:rPr>
                <w:rFonts w:cs="Arial"/>
                <w:lang w:val="id-ID" w:eastAsia="en-US"/>
              </w:rPr>
              <w:t>.</w:t>
            </w:r>
            <w:r w:rsidRPr="00A67277">
              <w:rPr>
                <w:rFonts w:cs="Arial"/>
                <w:lang w:val="en-ID" w:eastAsia="en-US"/>
              </w:rPr>
              <w:t>6</w:t>
            </w:r>
            <w:r w:rsidRPr="00A67277">
              <w:rPr>
                <w:rFonts w:cs="Arial"/>
                <w:lang w:val="id-ID" w:eastAsia="en-US"/>
              </w:rPr>
              <w:t>(</w:t>
            </w:r>
            <w:r w:rsidRPr="00A67277">
              <w:rPr>
                <w:rFonts w:cs="Arial"/>
                <w:lang w:val="en-US" w:eastAsia="en-US"/>
              </w:rPr>
              <w:t>a</w:t>
            </w:r>
            <w:r w:rsidRPr="00A67277">
              <w:rPr>
                <w:rFonts w:cs="Arial"/>
                <w:lang w:val="id-ID" w:eastAsia="en-US"/>
              </w:rPr>
              <w:t>) (</w:t>
            </w:r>
            <w:r w:rsidRPr="00A67277">
              <w:rPr>
                <w:rFonts w:cs="Arial"/>
                <w:i/>
                <w:lang w:val="id-ID" w:eastAsia="en-US"/>
              </w:rPr>
              <w:t>Konsekuensi Pengakhiran selain karena Daluarsa Jangka Waktu Perjanjian</w:t>
            </w:r>
            <w:r w:rsidRPr="00A67277">
              <w:rPr>
                <w:rFonts w:cs="Arial"/>
                <w:lang w:val="id-ID" w:eastAsia="en-US"/>
              </w:rPr>
              <w:t>).</w:t>
            </w:r>
          </w:p>
        </w:tc>
      </w:tr>
      <w:tr w:rsidR="00862B0B" w:rsidRPr="00A67277" w14:paraId="50A88C96" w14:textId="77777777" w:rsidTr="00862B0B">
        <w:trPr>
          <w:gridAfter w:val="1"/>
          <w:wAfter w:w="47" w:type="pct"/>
        </w:trPr>
        <w:tc>
          <w:tcPr>
            <w:tcW w:w="2270" w:type="pct"/>
          </w:tcPr>
          <w:p w14:paraId="1351A744" w14:textId="77777777" w:rsidR="00862B0B" w:rsidRPr="00A67277" w:rsidRDefault="00862B0B" w:rsidP="00862B0B">
            <w:pPr>
              <w:pStyle w:val="Level3"/>
              <w:numPr>
                <w:ilvl w:val="2"/>
                <w:numId w:val="468"/>
              </w:numPr>
              <w:tabs>
                <w:tab w:val="clear" w:pos="1417"/>
              </w:tabs>
              <w:spacing w:before="60" w:after="60"/>
              <w:ind w:left="1440" w:hanging="426"/>
            </w:pPr>
            <w:r w:rsidRPr="00A67277">
              <w:t>If a Party has the right to terminate this Agreement pursuant to this Clause 24.5 (</w:t>
            </w:r>
            <w:r w:rsidRPr="00A67277">
              <w:rPr>
                <w:i/>
              </w:rPr>
              <w:t>Termination upon Prolonged Force Majeure</w:t>
            </w:r>
            <w:r w:rsidRPr="00A67277">
              <w:t>), it may give a Termination Notice to the other Party specifying the date on which the Party giving the Termination Notice proposes to terminate this Agreement, which date shall not be less than two (2) Months after the date of the Termination Notice. Upon the occurrence of such date, without prejudice to any accrued rights and subject to the satisfaction of any payment or performance obligations under Clause 24.6 (</w:t>
            </w:r>
            <w:r w:rsidRPr="00A67277">
              <w:rPr>
                <w:i/>
              </w:rPr>
              <w:t>Consequences of Termination other than upon Expiration of Term</w:t>
            </w:r>
            <w:r w:rsidRPr="00A67277">
              <w:t>), this Agreement shall terminate.</w:t>
            </w:r>
          </w:p>
          <w:p w14:paraId="3E8A96F9" w14:textId="77777777" w:rsidR="00862B0B" w:rsidRPr="00A67277" w:rsidRDefault="00862B0B" w:rsidP="00862B0B">
            <w:pPr>
              <w:spacing w:before="60" w:after="60"/>
              <w:rPr>
                <w:rFonts w:ascii="Arial" w:hAnsi="Arial" w:cs="Arial"/>
                <w:sz w:val="21"/>
                <w:szCs w:val="21"/>
              </w:rPr>
            </w:pPr>
          </w:p>
        </w:tc>
        <w:tc>
          <w:tcPr>
            <w:tcW w:w="169" w:type="pct"/>
          </w:tcPr>
          <w:p w14:paraId="65CE9BEE" w14:textId="77777777" w:rsidR="00862B0B" w:rsidRPr="00A67277" w:rsidRDefault="00862B0B" w:rsidP="00862B0B">
            <w:pPr>
              <w:spacing w:before="60" w:after="60"/>
              <w:rPr>
                <w:rFonts w:ascii="Arial" w:hAnsi="Arial" w:cs="Arial"/>
                <w:sz w:val="21"/>
                <w:szCs w:val="21"/>
              </w:rPr>
            </w:pPr>
          </w:p>
        </w:tc>
        <w:tc>
          <w:tcPr>
            <w:tcW w:w="2514" w:type="pct"/>
          </w:tcPr>
          <w:p w14:paraId="4240F29F" w14:textId="77777777" w:rsidR="00862B0B" w:rsidRPr="00A67277" w:rsidRDefault="00862B0B" w:rsidP="00862B0B">
            <w:pPr>
              <w:pStyle w:val="Level3"/>
              <w:numPr>
                <w:ilvl w:val="0"/>
                <w:numId w:val="127"/>
              </w:numPr>
              <w:spacing w:before="60" w:after="60"/>
              <w:ind w:left="1475" w:hanging="425"/>
              <w:rPr>
                <w:rFonts w:cs="Arial"/>
              </w:rPr>
            </w:pPr>
            <w:r w:rsidRPr="00A67277">
              <w:rPr>
                <w:rFonts w:cs="Arial"/>
              </w:rPr>
              <w:t>Jika suatu Pihak memiliki hak untuk menghentikan Perjanjian ini berdasarkan Pasal 24.4 (</w:t>
            </w:r>
            <w:r w:rsidRPr="00A67277">
              <w:rPr>
                <w:rFonts w:cs="Arial"/>
                <w:i/>
              </w:rPr>
              <w:t>Pengakhiran karena Keadaan Kahar Berkepanjangan</w:t>
            </w:r>
            <w:r w:rsidRPr="00A67277">
              <w:rPr>
                <w:rFonts w:cs="Arial"/>
              </w:rPr>
              <w:t>), Pihak tersebut dapat menyampaikan Pemberitahuan Pengakhiran kepada Pihak lain dengan menetapkan tanggal dimana Pihak yang memberikan Pemberitahuan Pengakhiran mengusulkan untuk mengakhiri Perjanjian ini, dimana tanggal pengakhiran tersebut tidak boleh kurang dari dua (2) Bulan setelah tanggal Pemberitahuan Pengakhiran. Pada tanggal tersebut, tanpa mengurangi hak-hak pembayaran dan memenuhi setiap kewajiban pembayaran dan pelaksanaan kewajiban berdasarkan Pasal 24.6 (</w:t>
            </w:r>
            <w:r w:rsidRPr="00A67277">
              <w:rPr>
                <w:rFonts w:cs="Arial"/>
                <w:i/>
              </w:rPr>
              <w:t>Konsekuensi Pengakhiran selain karena Daluarsa Jangka Waktu Perjanjian</w:t>
            </w:r>
            <w:r w:rsidRPr="00A67277">
              <w:rPr>
                <w:rFonts w:cs="Arial"/>
              </w:rPr>
              <w:t>), Perjanjian ini akan berakhir.</w:t>
            </w:r>
          </w:p>
        </w:tc>
      </w:tr>
      <w:tr w:rsidR="00862B0B" w:rsidRPr="00A67277" w14:paraId="30E11E00" w14:textId="77777777" w:rsidTr="00862B0B">
        <w:trPr>
          <w:gridAfter w:val="1"/>
          <w:wAfter w:w="47" w:type="pct"/>
        </w:trPr>
        <w:tc>
          <w:tcPr>
            <w:tcW w:w="2270" w:type="pct"/>
          </w:tcPr>
          <w:p w14:paraId="6D2633A0" w14:textId="77777777" w:rsidR="00862B0B" w:rsidRPr="00A67277" w:rsidRDefault="00862B0B" w:rsidP="00862B0B">
            <w:pPr>
              <w:pStyle w:val="Heading1"/>
              <w:numPr>
                <w:ilvl w:val="0"/>
                <w:numId w:val="546"/>
              </w:numPr>
              <w:spacing w:before="60" w:after="60"/>
              <w:ind w:left="1014" w:hanging="567"/>
            </w:pPr>
            <w:r w:rsidRPr="00A67277">
              <w:t>Termination Upon Expiration of Term</w:t>
            </w:r>
          </w:p>
        </w:tc>
        <w:tc>
          <w:tcPr>
            <w:tcW w:w="169" w:type="pct"/>
          </w:tcPr>
          <w:p w14:paraId="6D9778DC" w14:textId="77777777" w:rsidR="00862B0B" w:rsidRPr="00A67277" w:rsidRDefault="00862B0B" w:rsidP="00862B0B">
            <w:pPr>
              <w:spacing w:before="60" w:after="60"/>
              <w:rPr>
                <w:rFonts w:ascii="Arial" w:hAnsi="Arial" w:cs="Arial"/>
                <w:sz w:val="21"/>
                <w:szCs w:val="21"/>
              </w:rPr>
            </w:pPr>
          </w:p>
        </w:tc>
        <w:tc>
          <w:tcPr>
            <w:tcW w:w="2514" w:type="pct"/>
          </w:tcPr>
          <w:p w14:paraId="670473F3" w14:textId="77777777" w:rsidR="00862B0B" w:rsidRPr="00A67277" w:rsidRDefault="00862B0B" w:rsidP="00862B0B">
            <w:pPr>
              <w:pStyle w:val="Heading2"/>
              <w:numPr>
                <w:ilvl w:val="0"/>
                <w:numId w:val="547"/>
              </w:numPr>
              <w:spacing w:before="60" w:after="60"/>
              <w:ind w:left="1050" w:hanging="567"/>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Pengakhiran karena Daluarsa Jangka Waktu Perjanjian</w:t>
            </w:r>
          </w:p>
        </w:tc>
      </w:tr>
      <w:tr w:rsidR="00862B0B" w:rsidRPr="00A67277" w14:paraId="5C9B752D" w14:textId="77777777" w:rsidTr="00862B0B">
        <w:trPr>
          <w:gridAfter w:val="1"/>
          <w:wAfter w:w="47" w:type="pct"/>
        </w:trPr>
        <w:tc>
          <w:tcPr>
            <w:tcW w:w="2270" w:type="pct"/>
          </w:tcPr>
          <w:p w14:paraId="4748AEFB" w14:textId="77777777" w:rsidR="00862B0B" w:rsidRPr="00A67277" w:rsidRDefault="00862B0B" w:rsidP="00862B0B">
            <w:pPr>
              <w:pStyle w:val="Body2"/>
              <w:spacing w:before="60" w:after="60"/>
              <w:ind w:left="1014"/>
            </w:pPr>
            <w:r w:rsidRPr="00A67277">
              <w:t>Unless terminated earlier in accordance with the provisions of this Agreement, this Agreement shall terminate on the last Day of the Term.</w:t>
            </w:r>
          </w:p>
        </w:tc>
        <w:tc>
          <w:tcPr>
            <w:tcW w:w="169" w:type="pct"/>
          </w:tcPr>
          <w:p w14:paraId="4A6DA9E0" w14:textId="77777777" w:rsidR="00862B0B" w:rsidRPr="00A67277" w:rsidRDefault="00862B0B" w:rsidP="00862B0B">
            <w:pPr>
              <w:spacing w:before="60" w:after="60"/>
              <w:rPr>
                <w:rFonts w:ascii="Arial" w:hAnsi="Arial" w:cs="Arial"/>
                <w:sz w:val="21"/>
                <w:szCs w:val="21"/>
              </w:rPr>
            </w:pPr>
          </w:p>
        </w:tc>
        <w:tc>
          <w:tcPr>
            <w:tcW w:w="2514" w:type="pct"/>
          </w:tcPr>
          <w:p w14:paraId="6C1AD648" w14:textId="77777777" w:rsidR="00862B0B" w:rsidRPr="00A67277" w:rsidRDefault="00862B0B" w:rsidP="00862B0B">
            <w:pPr>
              <w:pStyle w:val="Level1"/>
              <w:tabs>
                <w:tab w:val="clear" w:pos="889"/>
              </w:tabs>
              <w:spacing w:before="60" w:after="60"/>
              <w:ind w:left="1050" w:firstLine="0"/>
              <w:rPr>
                <w:rFonts w:cs="Arial"/>
              </w:rPr>
            </w:pPr>
            <w:r w:rsidRPr="00A67277">
              <w:rPr>
                <w:rFonts w:cs="Arial"/>
              </w:rPr>
              <w:t>Selain pengakhiran lebih awal berdasarkan ketentuan dalam Perjanjian ini, Perjanjian ini akan berakhir pada Hari terakhir dari Jangka Waktu.</w:t>
            </w:r>
          </w:p>
        </w:tc>
      </w:tr>
      <w:tr w:rsidR="00862B0B" w:rsidRPr="00A67277" w14:paraId="0B20978D" w14:textId="77777777" w:rsidTr="00862B0B">
        <w:trPr>
          <w:gridAfter w:val="1"/>
          <w:wAfter w:w="47" w:type="pct"/>
        </w:trPr>
        <w:tc>
          <w:tcPr>
            <w:tcW w:w="2270" w:type="pct"/>
          </w:tcPr>
          <w:p w14:paraId="52EB2446" w14:textId="77777777" w:rsidR="00862B0B" w:rsidRPr="00A67277" w:rsidRDefault="00862B0B" w:rsidP="00862B0B">
            <w:pPr>
              <w:pStyle w:val="Heading1"/>
              <w:numPr>
                <w:ilvl w:val="0"/>
                <w:numId w:val="546"/>
              </w:numPr>
              <w:spacing w:before="60" w:after="60"/>
              <w:ind w:left="1014" w:hanging="567"/>
            </w:pPr>
            <w:r w:rsidRPr="00A67277">
              <w:t>Consequences of Termination other than upon Expiration of Term</w:t>
            </w:r>
          </w:p>
        </w:tc>
        <w:tc>
          <w:tcPr>
            <w:tcW w:w="169" w:type="pct"/>
          </w:tcPr>
          <w:p w14:paraId="21DB84F9" w14:textId="77777777" w:rsidR="00862B0B" w:rsidRPr="00A67277" w:rsidRDefault="00862B0B" w:rsidP="00862B0B">
            <w:pPr>
              <w:spacing w:before="60" w:after="60"/>
              <w:rPr>
                <w:rFonts w:ascii="Arial" w:hAnsi="Arial" w:cs="Arial"/>
                <w:sz w:val="21"/>
                <w:szCs w:val="21"/>
              </w:rPr>
            </w:pPr>
          </w:p>
        </w:tc>
        <w:tc>
          <w:tcPr>
            <w:tcW w:w="2514" w:type="pct"/>
          </w:tcPr>
          <w:p w14:paraId="7D88FB60" w14:textId="77777777" w:rsidR="00862B0B" w:rsidRPr="00A67277" w:rsidRDefault="00862B0B" w:rsidP="00862B0B">
            <w:pPr>
              <w:pStyle w:val="Heading2"/>
              <w:numPr>
                <w:ilvl w:val="0"/>
                <w:numId w:val="547"/>
              </w:numPr>
              <w:spacing w:before="60" w:after="60"/>
              <w:ind w:left="1050" w:hanging="567"/>
              <w:jc w:val="both"/>
              <w:outlineLvl w:val="1"/>
              <w:rPr>
                <w:rFonts w:ascii="Arial" w:eastAsia="Times New Roman" w:hAnsi="Arial" w:cs="Arial"/>
                <w:b/>
                <w:color w:val="auto"/>
                <w:sz w:val="21"/>
                <w:szCs w:val="21"/>
              </w:rPr>
            </w:pPr>
            <w:r w:rsidRPr="00A67277">
              <w:rPr>
                <w:rFonts w:ascii="Arial" w:eastAsia="Times New Roman" w:hAnsi="Arial" w:cs="Arial"/>
                <w:b/>
                <w:color w:val="auto"/>
                <w:sz w:val="21"/>
                <w:szCs w:val="21"/>
              </w:rPr>
              <w:t>Konsekuensi Pengakhiran selain karena Daluarsa Jangka Waktu Perjanjian</w:t>
            </w:r>
          </w:p>
        </w:tc>
      </w:tr>
      <w:tr w:rsidR="00862B0B" w:rsidRPr="00A67277" w14:paraId="6114C6C7" w14:textId="77777777" w:rsidTr="00862B0B">
        <w:trPr>
          <w:gridAfter w:val="1"/>
          <w:wAfter w:w="47" w:type="pct"/>
        </w:trPr>
        <w:tc>
          <w:tcPr>
            <w:tcW w:w="2270" w:type="pct"/>
          </w:tcPr>
          <w:p w14:paraId="7C62B17E" w14:textId="77777777" w:rsidR="00862B0B" w:rsidRPr="00A67277" w:rsidRDefault="00862B0B" w:rsidP="00862B0B">
            <w:pPr>
              <w:pStyle w:val="Level3"/>
              <w:numPr>
                <w:ilvl w:val="2"/>
                <w:numId w:val="513"/>
              </w:numPr>
              <w:tabs>
                <w:tab w:val="clear" w:pos="1417"/>
              </w:tabs>
              <w:spacing w:before="60" w:after="60"/>
              <w:ind w:hanging="403"/>
            </w:pPr>
            <w:r w:rsidRPr="00A67277">
              <w:t>In the event of termination of this Agreement due to:</w:t>
            </w:r>
          </w:p>
        </w:tc>
        <w:tc>
          <w:tcPr>
            <w:tcW w:w="169" w:type="pct"/>
          </w:tcPr>
          <w:p w14:paraId="71403498" w14:textId="77777777" w:rsidR="00862B0B" w:rsidRPr="00A67277" w:rsidRDefault="00862B0B" w:rsidP="00862B0B">
            <w:pPr>
              <w:spacing w:before="60" w:after="60"/>
              <w:rPr>
                <w:rFonts w:ascii="Arial" w:hAnsi="Arial" w:cs="Arial"/>
                <w:sz w:val="21"/>
                <w:szCs w:val="21"/>
              </w:rPr>
            </w:pPr>
          </w:p>
        </w:tc>
        <w:tc>
          <w:tcPr>
            <w:tcW w:w="2514" w:type="pct"/>
          </w:tcPr>
          <w:p w14:paraId="472E94F1" w14:textId="77777777" w:rsidR="00862B0B" w:rsidRPr="00A67277" w:rsidRDefault="00862B0B" w:rsidP="00862B0B">
            <w:pPr>
              <w:pStyle w:val="Level3"/>
              <w:numPr>
                <w:ilvl w:val="0"/>
                <w:numId w:val="130"/>
              </w:numPr>
              <w:spacing w:before="60" w:after="60"/>
              <w:ind w:left="1475" w:hanging="425"/>
              <w:rPr>
                <w:rFonts w:cs="Arial"/>
              </w:rPr>
            </w:pPr>
            <w:r w:rsidRPr="00A67277">
              <w:rPr>
                <w:rFonts w:cs="Arial"/>
              </w:rPr>
              <w:t>Dalam hal pengakhiran Perjanjian ini karena:</w:t>
            </w:r>
          </w:p>
        </w:tc>
      </w:tr>
      <w:tr w:rsidR="00862B0B" w:rsidRPr="00A67277" w14:paraId="27A9474C" w14:textId="77777777" w:rsidTr="00862B0B">
        <w:trPr>
          <w:gridAfter w:val="1"/>
          <w:wAfter w:w="47" w:type="pct"/>
        </w:trPr>
        <w:tc>
          <w:tcPr>
            <w:tcW w:w="2270" w:type="pct"/>
          </w:tcPr>
          <w:p w14:paraId="751AA957" w14:textId="77777777" w:rsidR="00862B0B" w:rsidRPr="00A67277" w:rsidRDefault="00862B0B" w:rsidP="00862B0B">
            <w:pPr>
              <w:pStyle w:val="Level4"/>
              <w:numPr>
                <w:ilvl w:val="0"/>
                <w:numId w:val="129"/>
              </w:numPr>
              <w:spacing w:before="60" w:after="60"/>
              <w:ind w:left="1865" w:hanging="425"/>
            </w:pPr>
            <w:r w:rsidRPr="00A67277">
              <w:t>Default by GCA pursuant to Clause 24.1 (</w:t>
            </w:r>
            <w:r w:rsidRPr="00A67277">
              <w:rPr>
                <w:rStyle w:val="Heading2Text"/>
                <w:b w:val="0"/>
                <w:bCs/>
                <w:i/>
                <w:szCs w:val="24"/>
              </w:rPr>
              <w:t>Remedial Procedures and Termination upon Default</w:t>
            </w:r>
            <w:r w:rsidRPr="00A67277">
              <w:t xml:space="preserve">); </w:t>
            </w:r>
          </w:p>
        </w:tc>
        <w:tc>
          <w:tcPr>
            <w:tcW w:w="169" w:type="pct"/>
          </w:tcPr>
          <w:p w14:paraId="1ADF61C6" w14:textId="77777777" w:rsidR="00862B0B" w:rsidRPr="00A67277" w:rsidRDefault="00862B0B" w:rsidP="00862B0B">
            <w:pPr>
              <w:spacing w:before="60" w:after="60"/>
              <w:rPr>
                <w:rFonts w:ascii="Arial" w:hAnsi="Arial" w:cs="Arial"/>
                <w:sz w:val="21"/>
                <w:szCs w:val="21"/>
              </w:rPr>
            </w:pPr>
          </w:p>
        </w:tc>
        <w:tc>
          <w:tcPr>
            <w:tcW w:w="2514" w:type="pct"/>
          </w:tcPr>
          <w:p w14:paraId="06B6A374" w14:textId="77777777" w:rsidR="00862B0B" w:rsidRPr="00A67277" w:rsidRDefault="00862B0B" w:rsidP="00862B0B">
            <w:pPr>
              <w:pStyle w:val="Level4"/>
              <w:numPr>
                <w:ilvl w:val="0"/>
                <w:numId w:val="131"/>
              </w:numPr>
              <w:spacing w:before="60" w:after="60"/>
              <w:ind w:left="1900" w:hanging="425"/>
              <w:rPr>
                <w:rFonts w:cs="Arial"/>
              </w:rPr>
            </w:pPr>
            <w:r w:rsidRPr="00A67277">
              <w:rPr>
                <w:rFonts w:cs="Arial"/>
              </w:rPr>
              <w:t>Cidera Janji oleh PJPK berdasarkan to Pasal 24.1 (</w:t>
            </w:r>
            <w:r w:rsidRPr="00A67277">
              <w:rPr>
                <w:rStyle w:val="Heading2Text"/>
                <w:rFonts w:cs="Arial"/>
                <w:b w:val="0"/>
                <w:bCs/>
                <w:i/>
              </w:rPr>
              <w:t>Prosedur Pemulihan dan Pengakhiran karena Cidera Janji</w:t>
            </w:r>
            <w:r w:rsidRPr="00A67277">
              <w:rPr>
                <w:rFonts w:cs="Arial"/>
              </w:rPr>
              <w:t xml:space="preserve">); </w:t>
            </w:r>
          </w:p>
        </w:tc>
      </w:tr>
      <w:tr w:rsidR="00862B0B" w:rsidRPr="00A67277" w14:paraId="7B83B27D" w14:textId="77777777" w:rsidTr="00862B0B">
        <w:trPr>
          <w:gridAfter w:val="1"/>
          <w:wAfter w:w="47" w:type="pct"/>
        </w:trPr>
        <w:tc>
          <w:tcPr>
            <w:tcW w:w="2270" w:type="pct"/>
          </w:tcPr>
          <w:p w14:paraId="24210441" w14:textId="77777777" w:rsidR="00862B0B" w:rsidRPr="00A67277" w:rsidRDefault="00862B0B" w:rsidP="00862B0B">
            <w:pPr>
              <w:pStyle w:val="Level4"/>
              <w:numPr>
                <w:ilvl w:val="0"/>
                <w:numId w:val="129"/>
              </w:numPr>
              <w:spacing w:before="60" w:after="60"/>
              <w:ind w:left="1865" w:hanging="425"/>
            </w:pPr>
            <w:r w:rsidRPr="00A67277">
              <w:t>Prolonged Political Event pursuant to Clause 24.2 (Termination upon Prolonged Political Event);</w:t>
            </w:r>
          </w:p>
        </w:tc>
        <w:tc>
          <w:tcPr>
            <w:tcW w:w="169" w:type="pct"/>
          </w:tcPr>
          <w:p w14:paraId="21ACFCB2" w14:textId="77777777" w:rsidR="00862B0B" w:rsidRPr="00A67277" w:rsidRDefault="00862B0B" w:rsidP="00862B0B">
            <w:pPr>
              <w:spacing w:before="60" w:after="60"/>
              <w:rPr>
                <w:rFonts w:ascii="Arial" w:hAnsi="Arial" w:cs="Arial"/>
                <w:sz w:val="21"/>
                <w:szCs w:val="21"/>
              </w:rPr>
            </w:pPr>
          </w:p>
        </w:tc>
        <w:tc>
          <w:tcPr>
            <w:tcW w:w="2514" w:type="pct"/>
          </w:tcPr>
          <w:p w14:paraId="0466EC4B" w14:textId="77777777" w:rsidR="00862B0B" w:rsidRPr="00A67277" w:rsidRDefault="00862B0B" w:rsidP="00862B0B">
            <w:pPr>
              <w:pStyle w:val="Level4"/>
              <w:numPr>
                <w:ilvl w:val="0"/>
                <w:numId w:val="131"/>
              </w:numPr>
              <w:spacing w:before="60" w:after="60"/>
              <w:ind w:left="1900" w:hanging="425"/>
              <w:rPr>
                <w:rFonts w:cs="Arial"/>
              </w:rPr>
            </w:pPr>
            <w:r w:rsidRPr="00A67277">
              <w:rPr>
                <w:rFonts w:cs="Arial"/>
              </w:rPr>
              <w:t>Peristiwa Politik yang berkepanjangan berdasarkan Pasal 24.2 (Pengakhiran karena Peristiwa Politik Berkepanjangan);</w:t>
            </w:r>
          </w:p>
        </w:tc>
      </w:tr>
      <w:tr w:rsidR="00862B0B" w:rsidRPr="00A67277" w14:paraId="2999F20A" w14:textId="77777777" w:rsidTr="00862B0B">
        <w:trPr>
          <w:gridAfter w:val="1"/>
          <w:wAfter w:w="47" w:type="pct"/>
        </w:trPr>
        <w:tc>
          <w:tcPr>
            <w:tcW w:w="2270" w:type="pct"/>
          </w:tcPr>
          <w:p w14:paraId="06635CED" w14:textId="77777777" w:rsidR="00862B0B" w:rsidRPr="00A67277" w:rsidRDefault="00862B0B" w:rsidP="00862B0B">
            <w:pPr>
              <w:pStyle w:val="Level4"/>
              <w:numPr>
                <w:ilvl w:val="0"/>
                <w:numId w:val="129"/>
              </w:numPr>
              <w:spacing w:before="60" w:after="60"/>
              <w:ind w:left="1865" w:hanging="425"/>
            </w:pPr>
            <w:r w:rsidRPr="00A67277">
              <w:t>GCA Voluntary Take-over Event pursuant to Clause 24.3 (Termination upon GCA Voluntary Take-over Event);</w:t>
            </w:r>
          </w:p>
        </w:tc>
        <w:tc>
          <w:tcPr>
            <w:tcW w:w="169" w:type="pct"/>
          </w:tcPr>
          <w:p w14:paraId="2CF098C9" w14:textId="77777777" w:rsidR="00862B0B" w:rsidRPr="00A67277" w:rsidRDefault="00862B0B" w:rsidP="00862B0B">
            <w:pPr>
              <w:spacing w:before="60" w:after="60"/>
              <w:rPr>
                <w:rFonts w:ascii="Arial" w:hAnsi="Arial" w:cs="Arial"/>
                <w:sz w:val="21"/>
                <w:szCs w:val="21"/>
              </w:rPr>
            </w:pPr>
          </w:p>
        </w:tc>
        <w:tc>
          <w:tcPr>
            <w:tcW w:w="2514" w:type="pct"/>
          </w:tcPr>
          <w:p w14:paraId="252222B3" w14:textId="77777777" w:rsidR="00862B0B" w:rsidRPr="00A67277" w:rsidRDefault="00862B0B" w:rsidP="00862B0B">
            <w:pPr>
              <w:pStyle w:val="Level4"/>
              <w:numPr>
                <w:ilvl w:val="0"/>
                <w:numId w:val="131"/>
              </w:numPr>
              <w:spacing w:before="60" w:after="60"/>
              <w:ind w:left="1900" w:hanging="425"/>
              <w:rPr>
                <w:rFonts w:cs="Arial"/>
              </w:rPr>
            </w:pPr>
            <w:r w:rsidRPr="00A67277">
              <w:rPr>
                <w:rFonts w:cs="Arial"/>
              </w:rPr>
              <w:t>Peristiwa Pengambilalihan Sukarela PJPK berdasarkan Pasal 24.3 (Pengakhiran karena Peristiwa Pengambilalihan Sukarela PJPK);</w:t>
            </w:r>
          </w:p>
        </w:tc>
      </w:tr>
      <w:tr w:rsidR="00862B0B" w:rsidRPr="00A67277" w14:paraId="67DC705A" w14:textId="77777777" w:rsidTr="00862B0B">
        <w:trPr>
          <w:gridAfter w:val="1"/>
          <w:wAfter w:w="47" w:type="pct"/>
        </w:trPr>
        <w:tc>
          <w:tcPr>
            <w:tcW w:w="2270" w:type="pct"/>
          </w:tcPr>
          <w:p w14:paraId="11E72847" w14:textId="77777777" w:rsidR="00862B0B" w:rsidRPr="00A67277" w:rsidRDefault="00862B0B" w:rsidP="00862B0B">
            <w:pPr>
              <w:pStyle w:val="Level4"/>
              <w:numPr>
                <w:ilvl w:val="0"/>
                <w:numId w:val="129"/>
              </w:numPr>
              <w:spacing w:before="60" w:after="60"/>
              <w:ind w:left="1865" w:hanging="425"/>
            </w:pPr>
            <w:r w:rsidRPr="00A67277">
              <w:t>Prolonged Force Majeure Event affecting GCA pursuant to Clause 24.4(b) (Termination upon Prolonged Force Majeure);</w:t>
            </w:r>
          </w:p>
          <w:p w14:paraId="6C00D992" w14:textId="77777777" w:rsidR="00862B0B" w:rsidRPr="00A67277" w:rsidRDefault="00862B0B" w:rsidP="00862B0B">
            <w:pPr>
              <w:spacing w:before="60" w:after="60"/>
              <w:ind w:left="1865" w:hanging="425"/>
              <w:rPr>
                <w:rFonts w:ascii="Arial" w:eastAsia="Arial Unicode MS" w:hAnsi="Arial" w:cs="Times New Roman"/>
                <w:sz w:val="21"/>
                <w:szCs w:val="21"/>
                <w:lang w:val="en-GB" w:eastAsia="en-GB"/>
              </w:rPr>
            </w:pPr>
          </w:p>
        </w:tc>
        <w:tc>
          <w:tcPr>
            <w:tcW w:w="169" w:type="pct"/>
          </w:tcPr>
          <w:p w14:paraId="77A7B590" w14:textId="77777777" w:rsidR="00862B0B" w:rsidRPr="00A67277" w:rsidRDefault="00862B0B" w:rsidP="00862B0B">
            <w:pPr>
              <w:spacing w:before="60" w:after="60"/>
              <w:rPr>
                <w:rFonts w:ascii="Arial" w:hAnsi="Arial" w:cs="Arial"/>
                <w:sz w:val="21"/>
                <w:szCs w:val="21"/>
              </w:rPr>
            </w:pPr>
          </w:p>
        </w:tc>
        <w:tc>
          <w:tcPr>
            <w:tcW w:w="2514" w:type="pct"/>
          </w:tcPr>
          <w:p w14:paraId="77ED5B82" w14:textId="77777777" w:rsidR="00862B0B" w:rsidRPr="00A67277" w:rsidRDefault="00862B0B" w:rsidP="00862B0B">
            <w:pPr>
              <w:pStyle w:val="Level4"/>
              <w:numPr>
                <w:ilvl w:val="0"/>
                <w:numId w:val="131"/>
              </w:numPr>
              <w:spacing w:before="60" w:after="60"/>
              <w:ind w:left="1900" w:hanging="425"/>
              <w:rPr>
                <w:rFonts w:cs="Arial"/>
              </w:rPr>
            </w:pPr>
            <w:r w:rsidRPr="00A67277">
              <w:rPr>
                <w:rFonts w:cs="Arial"/>
              </w:rPr>
              <w:t>Peristiwa Keadaan Kahar menimpa PJPK berdasarkan Pasal 24.4(b) (Pengakhiran karena Peristiwa Keadaan Kahar Berkepanjangan);</w:t>
            </w:r>
          </w:p>
        </w:tc>
      </w:tr>
      <w:tr w:rsidR="00862B0B" w:rsidRPr="00A67277" w14:paraId="7C7B204B" w14:textId="77777777" w:rsidTr="00862B0B">
        <w:trPr>
          <w:gridAfter w:val="1"/>
          <w:wAfter w:w="47" w:type="pct"/>
        </w:trPr>
        <w:tc>
          <w:tcPr>
            <w:tcW w:w="2270" w:type="pct"/>
          </w:tcPr>
          <w:p w14:paraId="0ECF1CB7" w14:textId="29C08621" w:rsidR="00862B0B" w:rsidRPr="00A67277" w:rsidRDefault="00862B0B" w:rsidP="00862B0B">
            <w:pPr>
              <w:pStyle w:val="Level4"/>
              <w:tabs>
                <w:tab w:val="clear" w:pos="2126"/>
              </w:tabs>
              <w:spacing w:before="60" w:after="60"/>
              <w:ind w:left="1440" w:firstLine="0"/>
            </w:pPr>
            <w:r w:rsidRPr="00A67277">
              <w:t>GCA shall takeover the Facility for Termination Cost A determined in accordance with section 2.1 (Termination Cost A) of Appendix 14 (Termination Payment).</w:t>
            </w:r>
          </w:p>
        </w:tc>
        <w:tc>
          <w:tcPr>
            <w:tcW w:w="169" w:type="pct"/>
          </w:tcPr>
          <w:p w14:paraId="3A8D6129" w14:textId="77777777" w:rsidR="00862B0B" w:rsidRPr="00A67277" w:rsidRDefault="00862B0B" w:rsidP="00862B0B">
            <w:pPr>
              <w:spacing w:before="60" w:after="60"/>
              <w:rPr>
                <w:rFonts w:ascii="Arial" w:hAnsi="Arial" w:cs="Arial"/>
                <w:sz w:val="21"/>
                <w:szCs w:val="21"/>
              </w:rPr>
            </w:pPr>
          </w:p>
        </w:tc>
        <w:tc>
          <w:tcPr>
            <w:tcW w:w="2514" w:type="pct"/>
          </w:tcPr>
          <w:p w14:paraId="5CD54313" w14:textId="59E66C0A" w:rsidR="00862B0B" w:rsidRPr="00A67277" w:rsidRDefault="00862B0B" w:rsidP="00862B0B">
            <w:pPr>
              <w:pStyle w:val="Level4"/>
              <w:tabs>
                <w:tab w:val="clear" w:pos="2126"/>
              </w:tabs>
              <w:spacing w:before="60" w:after="60"/>
              <w:ind w:left="1440" w:firstLine="0"/>
              <w:rPr>
                <w:rFonts w:cs="Arial"/>
              </w:rPr>
            </w:pPr>
            <w:r w:rsidRPr="00A67277">
              <w:rPr>
                <w:rFonts w:cs="Arial"/>
              </w:rPr>
              <w:t>PJPK wajib mengambil alih Fasilitas dengan Biaya Pengakhiran A yang ditentukan berdasarkan ketentuan dalam bagian 2.1 (Biaya Pengakhiran A) dari Lampiran 14 (Pembayaran Pengakhiran).</w:t>
            </w:r>
          </w:p>
        </w:tc>
      </w:tr>
      <w:tr w:rsidR="00862B0B" w:rsidRPr="00A67277" w14:paraId="61D658C6" w14:textId="77777777" w:rsidTr="00862B0B">
        <w:trPr>
          <w:gridAfter w:val="1"/>
          <w:wAfter w:w="47" w:type="pct"/>
        </w:trPr>
        <w:tc>
          <w:tcPr>
            <w:tcW w:w="2270" w:type="pct"/>
          </w:tcPr>
          <w:p w14:paraId="1A92C8C5" w14:textId="77CBA37B" w:rsidR="00862B0B" w:rsidRPr="00A67277" w:rsidRDefault="00862B0B" w:rsidP="00862B0B">
            <w:pPr>
              <w:pStyle w:val="Level3"/>
              <w:numPr>
                <w:ilvl w:val="2"/>
                <w:numId w:val="513"/>
              </w:numPr>
              <w:tabs>
                <w:tab w:val="clear" w:pos="1417"/>
              </w:tabs>
              <w:spacing w:before="60" w:after="60"/>
              <w:ind w:hanging="403"/>
            </w:pPr>
            <w:r w:rsidRPr="00A67277">
              <w:t>In the event of termination of this Agreement due to Default by IBE pursuant to Clause 24.1 (</w:t>
            </w:r>
            <w:r w:rsidRPr="00A67277">
              <w:rPr>
                <w:i/>
              </w:rPr>
              <w:t>Remedial Procedures and Termination upon Default</w:t>
            </w:r>
            <w:r w:rsidRPr="00A67277">
              <w:t>), GCA shall takeover the Facility for Termination Cost B determined in accordance with Section 2.2 (Termination Cost B) of Appendix 14 (</w:t>
            </w:r>
            <w:r w:rsidRPr="00A67277">
              <w:rPr>
                <w:i/>
              </w:rPr>
              <w:t>Termination Payment</w:t>
            </w:r>
            <w:r w:rsidRPr="00A67277">
              <w:t>).</w:t>
            </w:r>
          </w:p>
        </w:tc>
        <w:tc>
          <w:tcPr>
            <w:tcW w:w="169" w:type="pct"/>
          </w:tcPr>
          <w:p w14:paraId="0C2CFA39" w14:textId="77777777" w:rsidR="00862B0B" w:rsidRPr="00A67277" w:rsidRDefault="00862B0B" w:rsidP="00862B0B">
            <w:pPr>
              <w:spacing w:before="60" w:after="60"/>
              <w:rPr>
                <w:rFonts w:ascii="Arial" w:hAnsi="Arial" w:cs="Arial"/>
                <w:sz w:val="21"/>
                <w:szCs w:val="21"/>
              </w:rPr>
            </w:pPr>
          </w:p>
        </w:tc>
        <w:tc>
          <w:tcPr>
            <w:tcW w:w="2514" w:type="pct"/>
          </w:tcPr>
          <w:p w14:paraId="34880937" w14:textId="5A4B9C72" w:rsidR="00862B0B" w:rsidRPr="00A67277" w:rsidRDefault="00862B0B" w:rsidP="00862B0B">
            <w:pPr>
              <w:pStyle w:val="Level3"/>
              <w:numPr>
                <w:ilvl w:val="0"/>
                <w:numId w:val="130"/>
              </w:numPr>
              <w:spacing w:before="60" w:after="60"/>
              <w:ind w:left="1475" w:hanging="425"/>
              <w:rPr>
                <w:rFonts w:cs="Arial"/>
              </w:rPr>
            </w:pPr>
            <w:r w:rsidRPr="00A67277">
              <w:rPr>
                <w:rFonts w:cs="Arial"/>
              </w:rPr>
              <w:t>Dalam hal pengakhiran Perjanjian ini karena Cidera Janji BUP berdasarkan Pasal 24.1 (</w:t>
            </w:r>
            <w:r w:rsidRPr="00A67277">
              <w:rPr>
                <w:rFonts w:cs="Arial"/>
                <w:i/>
              </w:rPr>
              <w:t>Prosedur Pemulihan dan Pengakhiran karena Cidera Janji</w:t>
            </w:r>
            <w:r w:rsidRPr="00A67277">
              <w:rPr>
                <w:rFonts w:cs="Arial"/>
              </w:rPr>
              <w:t>), PJPK mengambil alih Fasilitas dengan Biaya Pengakhiran B yang ditentukan berdasarkan ketentuan dalam Bagian 2.2 (Biaya Pengakhiran B) dari Lampiran 14 (</w:t>
            </w:r>
            <w:r w:rsidRPr="00A67277">
              <w:rPr>
                <w:rFonts w:cs="Arial"/>
                <w:i/>
              </w:rPr>
              <w:t>Pembayaran Pengakhiran</w:t>
            </w:r>
            <w:r w:rsidRPr="00A67277">
              <w:rPr>
                <w:rFonts w:cs="Arial"/>
              </w:rPr>
              <w:t>).</w:t>
            </w:r>
          </w:p>
        </w:tc>
      </w:tr>
      <w:tr w:rsidR="00862B0B" w:rsidRPr="00A67277" w14:paraId="0D040618" w14:textId="77777777" w:rsidTr="00862B0B">
        <w:trPr>
          <w:gridAfter w:val="1"/>
          <w:wAfter w:w="47" w:type="pct"/>
        </w:trPr>
        <w:tc>
          <w:tcPr>
            <w:tcW w:w="2270" w:type="pct"/>
          </w:tcPr>
          <w:p w14:paraId="77187CF1" w14:textId="21BD9782" w:rsidR="00862B0B" w:rsidRPr="00A67277" w:rsidRDefault="00862B0B" w:rsidP="00862B0B">
            <w:pPr>
              <w:pStyle w:val="Level3"/>
              <w:numPr>
                <w:ilvl w:val="2"/>
                <w:numId w:val="513"/>
              </w:numPr>
              <w:tabs>
                <w:tab w:val="clear" w:pos="1417"/>
              </w:tabs>
              <w:spacing w:before="60" w:after="60"/>
              <w:ind w:hanging="403"/>
            </w:pPr>
            <w:r w:rsidRPr="00A67277">
              <w:t>In the event of termination of this Agreement due to Force Majeure Event (other than Force Majeure Event impacting on GCA) pursuant to Clause 24.4(a) (Termination Upon Prolonged Force Majeure), GCA shall takeover the Facility for Termination Cost C determined in accordance with Section 2.3 (Termination Cost C) of Appendix 14 (</w:t>
            </w:r>
            <w:r w:rsidRPr="00A67277">
              <w:rPr>
                <w:i/>
              </w:rPr>
              <w:t>Termination Payment</w:t>
            </w:r>
            <w:r w:rsidRPr="00A67277">
              <w:t>).</w:t>
            </w:r>
          </w:p>
        </w:tc>
        <w:tc>
          <w:tcPr>
            <w:tcW w:w="169" w:type="pct"/>
          </w:tcPr>
          <w:p w14:paraId="017E21AA" w14:textId="77777777" w:rsidR="00862B0B" w:rsidRPr="00A67277" w:rsidRDefault="00862B0B" w:rsidP="00862B0B">
            <w:pPr>
              <w:spacing w:before="60" w:after="60"/>
              <w:rPr>
                <w:rFonts w:ascii="Arial" w:hAnsi="Arial" w:cs="Arial"/>
                <w:sz w:val="21"/>
                <w:szCs w:val="21"/>
              </w:rPr>
            </w:pPr>
          </w:p>
        </w:tc>
        <w:tc>
          <w:tcPr>
            <w:tcW w:w="2514" w:type="pct"/>
          </w:tcPr>
          <w:p w14:paraId="5EDE30D3" w14:textId="016A24C1" w:rsidR="00862B0B" w:rsidRPr="00A67277" w:rsidRDefault="00862B0B" w:rsidP="00862B0B">
            <w:pPr>
              <w:pStyle w:val="Level3"/>
              <w:numPr>
                <w:ilvl w:val="0"/>
                <w:numId w:val="130"/>
              </w:numPr>
              <w:spacing w:before="60" w:after="60"/>
              <w:ind w:left="1475" w:hanging="425"/>
              <w:rPr>
                <w:rFonts w:cs="Arial"/>
              </w:rPr>
            </w:pPr>
            <w:r w:rsidRPr="00A67277">
              <w:rPr>
                <w:rFonts w:cs="Arial"/>
              </w:rPr>
              <w:t>Dalam hal pengakhiran Perjanjian ini karena Peristiwa Keadaan Kahar (selain Peristiwa Keadaan Kahar yang menimpa PJPK) berdasarkan Pasal 24.4(a) (Pengakhiran karena Keadaan Kahar Berkepanjangan), PJPK mengambil alih Proyek dengan Biaya Pengakhiran C yang ditentukan berdasarkan ketentuan dalam bagian 2.3 (Biaya Pengakhiran C) dari Lampiran 14 (</w:t>
            </w:r>
            <w:r w:rsidRPr="00A67277">
              <w:rPr>
                <w:rFonts w:cs="Arial"/>
                <w:i/>
              </w:rPr>
              <w:t>Pembayaran Pengakhiran</w:t>
            </w:r>
            <w:r w:rsidRPr="00A67277">
              <w:rPr>
                <w:rFonts w:cs="Arial"/>
              </w:rPr>
              <w:t>).</w:t>
            </w:r>
          </w:p>
        </w:tc>
      </w:tr>
      <w:tr w:rsidR="00862B0B" w:rsidRPr="00A67277" w14:paraId="249AED37" w14:textId="77777777" w:rsidTr="00862B0B">
        <w:trPr>
          <w:gridAfter w:val="1"/>
          <w:wAfter w:w="47" w:type="pct"/>
        </w:trPr>
        <w:tc>
          <w:tcPr>
            <w:tcW w:w="2270" w:type="pct"/>
          </w:tcPr>
          <w:p w14:paraId="6E6A73D3" w14:textId="77777777" w:rsidR="00862B0B" w:rsidRPr="00A67277" w:rsidRDefault="00862B0B" w:rsidP="00862B0B">
            <w:pPr>
              <w:pStyle w:val="Heading1"/>
              <w:numPr>
                <w:ilvl w:val="0"/>
                <w:numId w:val="546"/>
              </w:numPr>
              <w:spacing w:before="60" w:after="60"/>
              <w:ind w:left="1260" w:hanging="720"/>
              <w:rPr>
                <w:rFonts w:cs="Arial"/>
              </w:rPr>
            </w:pPr>
            <w:r w:rsidRPr="00A67277">
              <w:t>Waiver of Indonesian Civil Code</w:t>
            </w:r>
          </w:p>
        </w:tc>
        <w:tc>
          <w:tcPr>
            <w:tcW w:w="169" w:type="pct"/>
          </w:tcPr>
          <w:p w14:paraId="04EA4CD5" w14:textId="77777777" w:rsidR="00862B0B" w:rsidRPr="00A67277" w:rsidRDefault="00862B0B" w:rsidP="00862B0B">
            <w:pPr>
              <w:spacing w:before="60" w:after="60"/>
              <w:rPr>
                <w:rFonts w:ascii="Arial" w:hAnsi="Arial" w:cs="Arial"/>
                <w:sz w:val="21"/>
                <w:szCs w:val="21"/>
              </w:rPr>
            </w:pPr>
          </w:p>
        </w:tc>
        <w:tc>
          <w:tcPr>
            <w:tcW w:w="2514" w:type="pct"/>
          </w:tcPr>
          <w:p w14:paraId="2B923F80" w14:textId="77777777" w:rsidR="00862B0B" w:rsidRPr="00A67277" w:rsidRDefault="00862B0B" w:rsidP="00862B0B">
            <w:pPr>
              <w:pStyle w:val="Heading2"/>
              <w:numPr>
                <w:ilvl w:val="0"/>
                <w:numId w:val="547"/>
              </w:numPr>
              <w:spacing w:before="60" w:after="60"/>
              <w:ind w:left="1332" w:hanging="720"/>
              <w:outlineLvl w:val="1"/>
              <w:rPr>
                <w:rFonts w:ascii="Arial" w:hAnsi="Arial" w:cs="Arial"/>
                <w:color w:val="auto"/>
                <w:sz w:val="21"/>
                <w:szCs w:val="21"/>
              </w:rPr>
            </w:pPr>
            <w:r w:rsidRPr="00A67277">
              <w:rPr>
                <w:rFonts w:ascii="Arial" w:eastAsia="Times New Roman" w:hAnsi="Arial" w:cs="Arial"/>
                <w:b/>
                <w:color w:val="auto"/>
                <w:sz w:val="21"/>
                <w:szCs w:val="21"/>
              </w:rPr>
              <w:t>Pengesampingan Ketentuan Kitab Undang-Undang Hukum Perdata</w:t>
            </w:r>
          </w:p>
        </w:tc>
      </w:tr>
      <w:tr w:rsidR="00862B0B" w:rsidRPr="00A67277" w14:paraId="23BA4CC0" w14:textId="77777777" w:rsidTr="00862B0B">
        <w:trPr>
          <w:gridAfter w:val="1"/>
          <w:wAfter w:w="47" w:type="pct"/>
        </w:trPr>
        <w:tc>
          <w:tcPr>
            <w:tcW w:w="2270" w:type="pct"/>
          </w:tcPr>
          <w:p w14:paraId="668B170B" w14:textId="77777777" w:rsidR="00862B0B" w:rsidRPr="00A67277" w:rsidRDefault="00862B0B" w:rsidP="00862B0B">
            <w:pPr>
              <w:pStyle w:val="Body2"/>
              <w:spacing w:before="60" w:after="60"/>
              <w:ind w:left="1260"/>
            </w:pPr>
            <w:r w:rsidRPr="00A67277">
              <w:t>The Parties irrevocably waive the application of Article 1266 of the Indonesian Civil Code to the extent required to allow termination of this Agreement in accordance with this Clause 24 (Default and Termination) without a judge or court approval.</w:t>
            </w:r>
          </w:p>
          <w:p w14:paraId="00FFE674" w14:textId="77777777" w:rsidR="00862B0B" w:rsidRPr="00A67277" w:rsidRDefault="00862B0B" w:rsidP="00862B0B">
            <w:pPr>
              <w:spacing w:before="60" w:after="60"/>
              <w:rPr>
                <w:rFonts w:ascii="Arial" w:hAnsi="Arial" w:cs="Arial"/>
                <w:sz w:val="21"/>
                <w:szCs w:val="21"/>
              </w:rPr>
            </w:pPr>
          </w:p>
        </w:tc>
        <w:tc>
          <w:tcPr>
            <w:tcW w:w="169" w:type="pct"/>
          </w:tcPr>
          <w:p w14:paraId="7438A15E" w14:textId="77777777" w:rsidR="00862B0B" w:rsidRPr="00A67277" w:rsidRDefault="00862B0B" w:rsidP="00862B0B">
            <w:pPr>
              <w:spacing w:before="60" w:after="60"/>
              <w:rPr>
                <w:rFonts w:ascii="Arial" w:hAnsi="Arial" w:cs="Arial"/>
                <w:sz w:val="21"/>
                <w:szCs w:val="21"/>
              </w:rPr>
            </w:pPr>
          </w:p>
        </w:tc>
        <w:tc>
          <w:tcPr>
            <w:tcW w:w="2514" w:type="pct"/>
          </w:tcPr>
          <w:p w14:paraId="3B9379F4" w14:textId="1297E14C" w:rsidR="00862B0B" w:rsidRPr="00A67277" w:rsidRDefault="00862B0B" w:rsidP="00862B0B">
            <w:pPr>
              <w:pStyle w:val="Body2"/>
              <w:spacing w:before="60" w:after="60"/>
              <w:ind w:left="1332"/>
              <w:rPr>
                <w:rFonts w:cs="Arial"/>
              </w:rPr>
            </w:pPr>
            <w:r w:rsidRPr="00A67277">
              <w:rPr>
                <w:rFonts w:cs="Arial"/>
              </w:rPr>
              <w:t>Para Pihak dengan tidak dapat ditarik kembali mengesampingkan penerapan ketentuan Pasal 1266 dari Kitab Undang-Undang Hukum Perdata sepanjang diperlukan untuk menizinkan pengakhiran Perjanjian ini sesuai ketentuan Pasal 24 (</w:t>
            </w:r>
            <w:r w:rsidRPr="00A67277">
              <w:rPr>
                <w:rFonts w:cs="Arial"/>
                <w:i/>
              </w:rPr>
              <w:t>Cidera Janji dan Pengakhiran</w:t>
            </w:r>
            <w:r w:rsidRPr="00A67277">
              <w:rPr>
                <w:rFonts w:cs="Arial"/>
              </w:rPr>
              <w:t>) tanpa diperlukannya persetujuan hakim atau pengadilan.</w:t>
            </w:r>
          </w:p>
        </w:tc>
      </w:tr>
      <w:tr w:rsidR="00862B0B" w:rsidRPr="00A67277" w14:paraId="03B46D05" w14:textId="77777777" w:rsidTr="00862B0B">
        <w:trPr>
          <w:gridAfter w:val="1"/>
          <w:wAfter w:w="47" w:type="pct"/>
        </w:trPr>
        <w:tc>
          <w:tcPr>
            <w:tcW w:w="2270" w:type="pct"/>
          </w:tcPr>
          <w:p w14:paraId="3D1F23B0" w14:textId="77777777" w:rsidR="00862B0B" w:rsidRPr="00A67277" w:rsidRDefault="00862B0B" w:rsidP="00862B0B">
            <w:pPr>
              <w:pStyle w:val="Heading1"/>
              <w:numPr>
                <w:ilvl w:val="0"/>
                <w:numId w:val="432"/>
              </w:numPr>
              <w:spacing w:before="60" w:after="60"/>
              <w:ind w:left="567" w:hanging="567"/>
            </w:pPr>
            <w:r w:rsidRPr="00A67277">
              <w:t xml:space="preserve">Hand-over of the Project </w:t>
            </w:r>
          </w:p>
        </w:tc>
        <w:tc>
          <w:tcPr>
            <w:tcW w:w="169" w:type="pct"/>
          </w:tcPr>
          <w:p w14:paraId="6EA8EAC8" w14:textId="77777777" w:rsidR="00862B0B" w:rsidRPr="00A67277" w:rsidRDefault="00862B0B" w:rsidP="00862B0B">
            <w:pPr>
              <w:spacing w:before="60" w:after="60"/>
              <w:rPr>
                <w:rFonts w:ascii="Arial" w:hAnsi="Arial" w:cs="Arial"/>
                <w:sz w:val="21"/>
                <w:szCs w:val="21"/>
              </w:rPr>
            </w:pPr>
          </w:p>
        </w:tc>
        <w:tc>
          <w:tcPr>
            <w:tcW w:w="2514" w:type="pct"/>
          </w:tcPr>
          <w:p w14:paraId="6143DE4F" w14:textId="77777777" w:rsidR="00862B0B" w:rsidRPr="00A67277" w:rsidRDefault="00862B0B" w:rsidP="00862B0B">
            <w:pPr>
              <w:pStyle w:val="CentredHeading"/>
              <w:numPr>
                <w:ilvl w:val="0"/>
                <w:numId w:val="537"/>
              </w:numPr>
              <w:spacing w:before="60" w:after="60"/>
              <w:ind w:left="483" w:hanging="483"/>
              <w:jc w:val="left"/>
              <w:rPr>
                <w:rFonts w:cs="Arial"/>
              </w:rPr>
            </w:pPr>
            <w:r w:rsidRPr="00A67277">
              <w:rPr>
                <w:rFonts w:cs="Arial"/>
                <w:lang w:val="en-US" w:eastAsia="en-US"/>
              </w:rPr>
              <w:t xml:space="preserve">Penyerahan Kembali Proyek </w:t>
            </w:r>
          </w:p>
        </w:tc>
      </w:tr>
      <w:tr w:rsidR="00862B0B" w:rsidRPr="00A67277" w14:paraId="001CDE11" w14:textId="77777777" w:rsidTr="00862B0B">
        <w:trPr>
          <w:gridAfter w:val="1"/>
          <w:wAfter w:w="47" w:type="pct"/>
        </w:trPr>
        <w:tc>
          <w:tcPr>
            <w:tcW w:w="2270" w:type="pct"/>
          </w:tcPr>
          <w:p w14:paraId="3BC71702" w14:textId="77777777" w:rsidR="00862B0B" w:rsidRPr="00A67277" w:rsidRDefault="00862B0B" w:rsidP="00862B0B">
            <w:pPr>
              <w:pStyle w:val="Heading2"/>
              <w:numPr>
                <w:ilvl w:val="0"/>
                <w:numId w:val="132"/>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Preparation for Transfer</w:t>
            </w:r>
          </w:p>
        </w:tc>
        <w:tc>
          <w:tcPr>
            <w:tcW w:w="169" w:type="pct"/>
          </w:tcPr>
          <w:p w14:paraId="5FCA786C" w14:textId="77777777" w:rsidR="00862B0B" w:rsidRPr="00A67277" w:rsidRDefault="00862B0B" w:rsidP="00862B0B">
            <w:pPr>
              <w:spacing w:before="60" w:after="60"/>
              <w:rPr>
                <w:rFonts w:ascii="Arial" w:hAnsi="Arial" w:cs="Arial"/>
                <w:sz w:val="21"/>
                <w:szCs w:val="21"/>
              </w:rPr>
            </w:pPr>
          </w:p>
        </w:tc>
        <w:tc>
          <w:tcPr>
            <w:tcW w:w="2514" w:type="pct"/>
          </w:tcPr>
          <w:p w14:paraId="757AB91F" w14:textId="77777777" w:rsidR="00862B0B" w:rsidRPr="00A67277" w:rsidRDefault="00862B0B" w:rsidP="00862B0B">
            <w:pPr>
              <w:pStyle w:val="Heading2"/>
              <w:numPr>
                <w:ilvl w:val="0"/>
                <w:numId w:val="17"/>
              </w:numPr>
              <w:tabs>
                <w:tab w:val="left" w:pos="1152"/>
              </w:tabs>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Persiapan Penyerahan</w:t>
            </w:r>
          </w:p>
        </w:tc>
      </w:tr>
      <w:tr w:rsidR="00862B0B" w:rsidRPr="00A67277" w14:paraId="49C523EF" w14:textId="77777777" w:rsidTr="00862B0B">
        <w:trPr>
          <w:gridAfter w:val="1"/>
          <w:wAfter w:w="47" w:type="pct"/>
        </w:trPr>
        <w:tc>
          <w:tcPr>
            <w:tcW w:w="2270" w:type="pct"/>
          </w:tcPr>
          <w:p w14:paraId="6E7FD2C4" w14:textId="4ACD30C7" w:rsidR="00862B0B" w:rsidRPr="00A67277" w:rsidRDefault="00862B0B" w:rsidP="00862B0B">
            <w:pPr>
              <w:pStyle w:val="Level3"/>
              <w:numPr>
                <w:ilvl w:val="2"/>
                <w:numId w:val="514"/>
              </w:numPr>
              <w:tabs>
                <w:tab w:val="clear" w:pos="1417"/>
              </w:tabs>
              <w:spacing w:before="60" w:after="60"/>
              <w:ind w:left="1581" w:hanging="567"/>
            </w:pPr>
            <w:r w:rsidRPr="00A67277">
              <w:t>One (1) year prior to the Expiry Date, the IBE shall deliver to the GCA, or its designee, a plan setting out the anticipated work, costs and activities associated with the final maintenance of the Facility, training of replacement staff and transfer of the Facility (“</w:t>
            </w:r>
            <w:r w:rsidRPr="00A67277">
              <w:rPr>
                <w:b/>
              </w:rPr>
              <w:t>Handback Plan</w:t>
            </w:r>
            <w:r w:rsidRPr="00A67277">
              <w:t>”).</w:t>
            </w:r>
          </w:p>
        </w:tc>
        <w:tc>
          <w:tcPr>
            <w:tcW w:w="169" w:type="pct"/>
          </w:tcPr>
          <w:p w14:paraId="38C5A9EF" w14:textId="77777777" w:rsidR="00862B0B" w:rsidRPr="00A67277" w:rsidRDefault="00862B0B" w:rsidP="00862B0B">
            <w:pPr>
              <w:spacing w:before="60" w:after="60"/>
              <w:rPr>
                <w:rFonts w:ascii="Arial" w:hAnsi="Arial" w:cs="Arial"/>
                <w:sz w:val="21"/>
                <w:szCs w:val="21"/>
              </w:rPr>
            </w:pPr>
          </w:p>
        </w:tc>
        <w:tc>
          <w:tcPr>
            <w:tcW w:w="2514" w:type="pct"/>
          </w:tcPr>
          <w:p w14:paraId="1214F9F0" w14:textId="5848C324" w:rsidR="00862B0B" w:rsidRPr="00A67277" w:rsidRDefault="00862B0B" w:rsidP="00862B0B">
            <w:pPr>
              <w:pStyle w:val="Level2"/>
              <w:numPr>
                <w:ilvl w:val="0"/>
                <w:numId w:val="133"/>
              </w:numPr>
              <w:spacing w:before="60" w:after="60"/>
              <w:ind w:left="1692" w:hanging="540"/>
              <w:rPr>
                <w:rFonts w:eastAsia="Times New Roman" w:cs="Arial"/>
                <w:lang w:val="id-ID" w:eastAsia="en-US"/>
              </w:rPr>
            </w:pPr>
            <w:r w:rsidRPr="00A67277">
              <w:rPr>
                <w:rFonts w:cs="Arial"/>
              </w:rPr>
              <w:t xml:space="preserve">Satu (1) Tahun sebelum Tanggal Daluarsa Perjanjian, BUP harus menyerahkan kepada PJPK, atau personilnya yang ditunjuk, sebuah rencana untuk menentukan pekerjaan, biaya dan aktivitas yang diantisipasi yang terkait dengan perbaikan terakhir atas Fasilitas, pelatihan staf pengganti dan pengalihan Fasilitas </w:t>
            </w:r>
            <w:r w:rsidRPr="00A67277">
              <w:rPr>
                <w:rFonts w:cs="Arial"/>
                <w:b/>
              </w:rPr>
              <w:t>(“Rencana Penyerahan”)</w:t>
            </w:r>
            <w:r w:rsidRPr="00A67277">
              <w:rPr>
                <w:rFonts w:cs="Arial"/>
              </w:rPr>
              <w:t>.</w:t>
            </w:r>
          </w:p>
        </w:tc>
      </w:tr>
      <w:tr w:rsidR="00862B0B" w:rsidRPr="00A67277" w14:paraId="5E108285" w14:textId="77777777" w:rsidTr="00862B0B">
        <w:trPr>
          <w:gridAfter w:val="1"/>
          <w:wAfter w:w="47" w:type="pct"/>
        </w:trPr>
        <w:tc>
          <w:tcPr>
            <w:tcW w:w="2270" w:type="pct"/>
          </w:tcPr>
          <w:p w14:paraId="2B00670F" w14:textId="77777777" w:rsidR="00862B0B" w:rsidRPr="00A67277" w:rsidRDefault="00862B0B" w:rsidP="00862B0B">
            <w:pPr>
              <w:pStyle w:val="Level3"/>
              <w:numPr>
                <w:ilvl w:val="2"/>
                <w:numId w:val="514"/>
              </w:numPr>
              <w:tabs>
                <w:tab w:val="clear" w:pos="1417"/>
              </w:tabs>
              <w:spacing w:before="60" w:after="60"/>
              <w:ind w:left="1603" w:hanging="534"/>
            </w:pPr>
            <w:r w:rsidRPr="00A67277">
              <w:t xml:space="preserve">If the GCA intends to commission a procurement of successor implementing business entity to continue the Project Operations after the Expiry Date, then the IBE shall provide reasonable assistance to the GCA, including without limitation to provide access and data to the bidders or nominated successor implementing business entity as the case may be. For such purpose, the GCA shall provide written notification to the IBE, stating its intention for the procurement as early as possible to allow the IBE in arranging necessary preparations. </w:t>
            </w:r>
          </w:p>
        </w:tc>
        <w:tc>
          <w:tcPr>
            <w:tcW w:w="169" w:type="pct"/>
          </w:tcPr>
          <w:p w14:paraId="497E7F1E" w14:textId="77777777" w:rsidR="00862B0B" w:rsidRPr="00A67277" w:rsidRDefault="00862B0B" w:rsidP="00862B0B">
            <w:pPr>
              <w:spacing w:before="60" w:after="60"/>
              <w:rPr>
                <w:rFonts w:ascii="Arial" w:hAnsi="Arial" w:cs="Arial"/>
                <w:sz w:val="21"/>
                <w:szCs w:val="21"/>
              </w:rPr>
            </w:pPr>
          </w:p>
        </w:tc>
        <w:tc>
          <w:tcPr>
            <w:tcW w:w="2514" w:type="pct"/>
          </w:tcPr>
          <w:p w14:paraId="14DF857B" w14:textId="77777777" w:rsidR="00862B0B" w:rsidRPr="00A67277" w:rsidRDefault="00862B0B" w:rsidP="00862B0B">
            <w:pPr>
              <w:pStyle w:val="Level2"/>
              <w:numPr>
                <w:ilvl w:val="0"/>
                <w:numId w:val="133"/>
              </w:numPr>
              <w:spacing w:before="60" w:after="60"/>
              <w:ind w:left="1692" w:hanging="540"/>
              <w:rPr>
                <w:rFonts w:eastAsia="Times New Roman" w:cs="Arial"/>
                <w:lang w:val="id-ID" w:eastAsia="en-US"/>
              </w:rPr>
            </w:pPr>
            <w:r w:rsidRPr="00A67277">
              <w:rPr>
                <w:rFonts w:cs="Arial"/>
              </w:rPr>
              <w:t>Jika PJPK hendak untuk memulai pengadaan untuk badan usaha pelaksana yang akan meneruskan Penyelenggaraan Proyek setelah Tanggal Daluarsa Perjanjian, maka BUP harus memberikan bantuan yang wajar kepada PJPK, termasuk tanpa batasan untuk memberikan akses dan data kepada para peserta lelang atau badan usaha pelaksana terkait, sebagaimana kasusnya. Untuk tujuan tersebut, PJPK harus memberikan pemberitahuan tertulis kepada BUP, menyatakan keinginannya untuk melakukan pengadaan secepatnya sehingga BUP dapat mengatur persiapan-persiapan yang diperlukan.</w:t>
            </w:r>
          </w:p>
        </w:tc>
      </w:tr>
      <w:tr w:rsidR="00862B0B" w:rsidRPr="00A67277" w14:paraId="2A8448D1" w14:textId="77777777" w:rsidTr="00862B0B">
        <w:trPr>
          <w:gridAfter w:val="1"/>
          <w:wAfter w:w="47" w:type="pct"/>
        </w:trPr>
        <w:tc>
          <w:tcPr>
            <w:tcW w:w="2270" w:type="pct"/>
          </w:tcPr>
          <w:p w14:paraId="3A6C030E" w14:textId="77777777" w:rsidR="00862B0B" w:rsidRPr="00A67277" w:rsidRDefault="00862B0B" w:rsidP="00862B0B">
            <w:pPr>
              <w:pStyle w:val="Heading2"/>
              <w:numPr>
                <w:ilvl w:val="0"/>
                <w:numId w:val="132"/>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Training of GCA’s Personnel</w:t>
            </w:r>
          </w:p>
        </w:tc>
        <w:tc>
          <w:tcPr>
            <w:tcW w:w="169" w:type="pct"/>
          </w:tcPr>
          <w:p w14:paraId="5CBE08A6" w14:textId="77777777" w:rsidR="00862B0B" w:rsidRPr="00A67277" w:rsidRDefault="00862B0B" w:rsidP="00862B0B">
            <w:pPr>
              <w:spacing w:before="60" w:after="60"/>
              <w:rPr>
                <w:rFonts w:ascii="Arial" w:hAnsi="Arial" w:cs="Arial"/>
                <w:sz w:val="21"/>
                <w:szCs w:val="21"/>
              </w:rPr>
            </w:pPr>
          </w:p>
        </w:tc>
        <w:tc>
          <w:tcPr>
            <w:tcW w:w="2514" w:type="pct"/>
          </w:tcPr>
          <w:p w14:paraId="015EBCF9" w14:textId="77777777" w:rsidR="00862B0B" w:rsidRPr="00A67277" w:rsidRDefault="00862B0B" w:rsidP="00862B0B">
            <w:pPr>
              <w:pStyle w:val="Heading2"/>
              <w:numPr>
                <w:ilvl w:val="0"/>
                <w:numId w:val="17"/>
              </w:numPr>
              <w:tabs>
                <w:tab w:val="left" w:pos="1152"/>
              </w:tabs>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Pelatihan Personil PJPK</w:t>
            </w:r>
          </w:p>
        </w:tc>
      </w:tr>
      <w:tr w:rsidR="00862B0B" w:rsidRPr="00A67277" w14:paraId="52BD0FFF" w14:textId="77777777" w:rsidTr="00862B0B">
        <w:trPr>
          <w:gridAfter w:val="1"/>
          <w:wAfter w:w="47" w:type="pct"/>
        </w:trPr>
        <w:tc>
          <w:tcPr>
            <w:tcW w:w="2270" w:type="pct"/>
          </w:tcPr>
          <w:p w14:paraId="2FEA41C9" w14:textId="3D95A37F" w:rsidR="00862B0B" w:rsidRPr="00A67277" w:rsidRDefault="00862B0B" w:rsidP="00862B0B">
            <w:pPr>
              <w:pStyle w:val="Level2"/>
              <w:spacing w:before="60" w:after="60"/>
              <w:ind w:left="1063" w:hanging="5"/>
            </w:pPr>
            <w:r w:rsidRPr="00A67277">
              <w:t xml:space="preserve">No later than twelve (12) Months prior to the Expiry Date, the IBE at its sole cost and expense, shall initiate with GCA the development of a training program, including the preparation and use of training materials, for GCA personnel or </w:t>
            </w:r>
            <w:r>
              <w:t xml:space="preserve">their </w:t>
            </w:r>
            <w:r w:rsidRPr="00A67277">
              <w:t>successor implementing business entity or personnel designated by GCA. The training program shall begin at least eight (8) Months prior to the Expiry Date and shall provide formal and on-the-job training at the Site for an adequate number of GCA personnel or successor implementing business entity in relation to the operation and maintenance of the Project.</w:t>
            </w:r>
          </w:p>
          <w:p w14:paraId="48EA826A" w14:textId="77777777" w:rsidR="00862B0B" w:rsidRPr="00A67277" w:rsidRDefault="00862B0B" w:rsidP="00862B0B">
            <w:pPr>
              <w:spacing w:before="60" w:after="60"/>
              <w:rPr>
                <w:rFonts w:ascii="Arial" w:hAnsi="Arial" w:cs="Arial"/>
                <w:sz w:val="21"/>
                <w:szCs w:val="21"/>
              </w:rPr>
            </w:pPr>
          </w:p>
          <w:p w14:paraId="6799FC27" w14:textId="77777777" w:rsidR="00862B0B" w:rsidRPr="00A67277" w:rsidRDefault="00862B0B" w:rsidP="00862B0B">
            <w:pPr>
              <w:tabs>
                <w:tab w:val="left" w:pos="3396"/>
              </w:tabs>
              <w:spacing w:before="60" w:after="60"/>
              <w:rPr>
                <w:rFonts w:ascii="Arial" w:hAnsi="Arial" w:cs="Arial"/>
                <w:sz w:val="21"/>
                <w:szCs w:val="21"/>
              </w:rPr>
            </w:pPr>
          </w:p>
        </w:tc>
        <w:tc>
          <w:tcPr>
            <w:tcW w:w="169" w:type="pct"/>
          </w:tcPr>
          <w:p w14:paraId="196B4C05" w14:textId="77777777" w:rsidR="00862B0B" w:rsidRPr="00A67277" w:rsidRDefault="00862B0B" w:rsidP="00862B0B">
            <w:pPr>
              <w:spacing w:before="60" w:after="60"/>
              <w:rPr>
                <w:rFonts w:ascii="Arial" w:hAnsi="Arial" w:cs="Arial"/>
                <w:sz w:val="21"/>
                <w:szCs w:val="21"/>
              </w:rPr>
            </w:pPr>
          </w:p>
        </w:tc>
        <w:tc>
          <w:tcPr>
            <w:tcW w:w="2514" w:type="pct"/>
          </w:tcPr>
          <w:p w14:paraId="44502C37" w14:textId="77777777" w:rsidR="00862B0B" w:rsidRPr="00A67277" w:rsidRDefault="00862B0B" w:rsidP="00862B0B">
            <w:pPr>
              <w:pStyle w:val="Level2"/>
              <w:spacing w:before="60" w:after="60"/>
              <w:ind w:left="1152" w:firstLine="0"/>
              <w:rPr>
                <w:rFonts w:cs="Arial"/>
              </w:rPr>
            </w:pPr>
            <w:r w:rsidRPr="00A67277">
              <w:rPr>
                <w:rFonts w:cs="Arial"/>
              </w:rPr>
              <w:t>Tidak lebih dari dua belas (12) Bulan sebelum Tanggal Daluarsa Perjanjian, BUP atas biaya dan pengeluarannya sendiri, harus memulai pengembangan suatu program pelatihan bersama-sama dengan PJPK, untuk personil PJPK atau badan usaha pelaksana penerus atau personil yang ditunjuk oleh PJPK. Program pelatihan akan dimulai paling sedikit delapan (8) Bulan sebelum Tanggal Daluarsa Perjanjian dan memberikan pelatihan formal dan pelatihan lapangan (</w:t>
            </w:r>
            <w:r w:rsidRPr="00A67277">
              <w:rPr>
                <w:rFonts w:cs="Arial"/>
                <w:i/>
              </w:rPr>
              <w:t>on-the-job training</w:t>
            </w:r>
            <w:r w:rsidRPr="00A67277">
              <w:rPr>
                <w:rFonts w:cs="Arial"/>
              </w:rPr>
              <w:t>) di Lokasi untuk jumlah personil PJPK atau badan usaha pelaksana penerus yang memadai sehubungan dengan operasi dan pemeliharaan Proyek.</w:t>
            </w:r>
          </w:p>
        </w:tc>
      </w:tr>
      <w:tr w:rsidR="00862B0B" w:rsidRPr="00A67277" w14:paraId="00E01354" w14:textId="77777777" w:rsidTr="00862B0B">
        <w:trPr>
          <w:gridAfter w:val="1"/>
          <w:wAfter w:w="47" w:type="pct"/>
        </w:trPr>
        <w:tc>
          <w:tcPr>
            <w:tcW w:w="2270" w:type="pct"/>
          </w:tcPr>
          <w:p w14:paraId="3A1B978F" w14:textId="77777777" w:rsidR="00862B0B" w:rsidRPr="00A67277" w:rsidRDefault="00862B0B" w:rsidP="00862B0B">
            <w:pPr>
              <w:pStyle w:val="Heading2"/>
              <w:numPr>
                <w:ilvl w:val="0"/>
                <w:numId w:val="132"/>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Inventories</w:t>
            </w:r>
          </w:p>
        </w:tc>
        <w:tc>
          <w:tcPr>
            <w:tcW w:w="169" w:type="pct"/>
          </w:tcPr>
          <w:p w14:paraId="4F920E55" w14:textId="77777777" w:rsidR="00862B0B" w:rsidRPr="00A67277" w:rsidRDefault="00862B0B" w:rsidP="00862B0B">
            <w:pPr>
              <w:spacing w:before="60" w:after="60"/>
              <w:rPr>
                <w:rFonts w:ascii="Arial" w:hAnsi="Arial" w:cs="Arial"/>
                <w:sz w:val="21"/>
                <w:szCs w:val="21"/>
              </w:rPr>
            </w:pPr>
          </w:p>
        </w:tc>
        <w:tc>
          <w:tcPr>
            <w:tcW w:w="2514" w:type="pct"/>
          </w:tcPr>
          <w:p w14:paraId="313CB45D" w14:textId="77777777" w:rsidR="00862B0B" w:rsidRPr="00A67277" w:rsidRDefault="00862B0B" w:rsidP="00862B0B">
            <w:pPr>
              <w:pStyle w:val="Heading2"/>
              <w:numPr>
                <w:ilvl w:val="0"/>
                <w:numId w:val="17"/>
              </w:numPr>
              <w:tabs>
                <w:tab w:val="left" w:pos="1152"/>
              </w:tabs>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Inventaris</w:t>
            </w:r>
          </w:p>
        </w:tc>
      </w:tr>
      <w:tr w:rsidR="00862B0B" w:rsidRPr="00A67277" w14:paraId="78E6E010" w14:textId="77777777" w:rsidTr="00862B0B">
        <w:trPr>
          <w:gridAfter w:val="1"/>
          <w:wAfter w:w="47" w:type="pct"/>
        </w:trPr>
        <w:tc>
          <w:tcPr>
            <w:tcW w:w="2270" w:type="pct"/>
          </w:tcPr>
          <w:p w14:paraId="2F523231" w14:textId="77777777" w:rsidR="00862B0B" w:rsidRPr="00A67277" w:rsidRDefault="00862B0B" w:rsidP="00862B0B">
            <w:pPr>
              <w:pStyle w:val="Level3"/>
              <w:numPr>
                <w:ilvl w:val="2"/>
                <w:numId w:val="515"/>
              </w:numPr>
              <w:tabs>
                <w:tab w:val="clear" w:pos="1417"/>
              </w:tabs>
              <w:spacing w:before="60" w:after="60"/>
              <w:ind w:left="1581" w:hanging="425"/>
            </w:pPr>
            <w:r w:rsidRPr="00A67277">
              <w:t>No later than six (6) Months prior to the Expiry Date, GCA and the IBE shall meet and agree on (a) transfer and security arrangements and (b) the inventories for all equipment, vehicles, spare parts and other materials potentially required for the continued operation of the Facility after the Expiry Date.</w:t>
            </w:r>
          </w:p>
        </w:tc>
        <w:tc>
          <w:tcPr>
            <w:tcW w:w="169" w:type="pct"/>
          </w:tcPr>
          <w:p w14:paraId="7F5C4FE0" w14:textId="77777777" w:rsidR="00862B0B" w:rsidRPr="00A67277" w:rsidRDefault="00862B0B" w:rsidP="00862B0B">
            <w:pPr>
              <w:spacing w:before="60" w:after="60"/>
              <w:rPr>
                <w:rFonts w:ascii="Arial" w:hAnsi="Arial" w:cs="Arial"/>
                <w:sz w:val="21"/>
                <w:szCs w:val="21"/>
              </w:rPr>
            </w:pPr>
          </w:p>
        </w:tc>
        <w:tc>
          <w:tcPr>
            <w:tcW w:w="2514" w:type="pct"/>
          </w:tcPr>
          <w:p w14:paraId="1371340F" w14:textId="77777777" w:rsidR="00862B0B" w:rsidRPr="00A67277" w:rsidRDefault="00862B0B" w:rsidP="00862B0B">
            <w:pPr>
              <w:pStyle w:val="Level3"/>
              <w:numPr>
                <w:ilvl w:val="0"/>
                <w:numId w:val="134"/>
              </w:numPr>
              <w:spacing w:before="60" w:after="60"/>
              <w:ind w:left="1692" w:hanging="540"/>
              <w:rPr>
                <w:rFonts w:cs="Arial"/>
              </w:rPr>
            </w:pPr>
            <w:r w:rsidRPr="00A67277">
              <w:rPr>
                <w:rFonts w:cs="Arial"/>
              </w:rPr>
              <w:t xml:space="preserve">Tidak lebih dari enam (6) Bulan sebelum Tanggal Daluarsa Perjanjian, PJPK dan BUP harus memenuhi dan menyetujui (a) pengaturan tentang transfer dan jaminan dan (b) </w:t>
            </w:r>
            <w:r w:rsidRPr="00A67277">
              <w:rPr>
                <w:rFonts w:cs="Arial"/>
                <w:shd w:val="clear" w:color="auto" w:fill="FFFFFF"/>
              </w:rPr>
              <w:t>persediaan untuk semua peralatan, kendaraan, suku cadang, dan material lainnya yang berpotensi diperlukan untuk melanjutkan pengoperasian Fasilitas setelah Tanggal Daluarsa Perjanjian.</w:t>
            </w:r>
          </w:p>
        </w:tc>
      </w:tr>
      <w:tr w:rsidR="00862B0B" w:rsidRPr="00A67277" w14:paraId="13B8DD01" w14:textId="77777777" w:rsidTr="00862B0B">
        <w:trPr>
          <w:gridAfter w:val="1"/>
          <w:wAfter w:w="47" w:type="pct"/>
        </w:trPr>
        <w:tc>
          <w:tcPr>
            <w:tcW w:w="2270" w:type="pct"/>
          </w:tcPr>
          <w:p w14:paraId="4C2EC3FE" w14:textId="77777777" w:rsidR="00862B0B" w:rsidRPr="00A67277" w:rsidRDefault="00862B0B" w:rsidP="00862B0B">
            <w:pPr>
              <w:pStyle w:val="Level3"/>
              <w:numPr>
                <w:ilvl w:val="2"/>
                <w:numId w:val="515"/>
              </w:numPr>
              <w:tabs>
                <w:tab w:val="clear" w:pos="1417"/>
              </w:tabs>
              <w:spacing w:before="60" w:after="60"/>
              <w:ind w:left="1620" w:hanging="551"/>
            </w:pPr>
            <w:r w:rsidRPr="00A67277">
              <w:t>The IBE and GCA shall also agree on the levels of inventory for spare parts, and other materials required for three (3) Months of operation of the Facility at an operating output in accordance with the Key Performance Indicators.</w:t>
            </w:r>
          </w:p>
          <w:p w14:paraId="3921BC9E" w14:textId="77777777" w:rsidR="00862B0B" w:rsidRPr="00A67277" w:rsidRDefault="00862B0B" w:rsidP="00862B0B">
            <w:pPr>
              <w:spacing w:before="60" w:after="60"/>
              <w:rPr>
                <w:rFonts w:ascii="Arial" w:hAnsi="Arial" w:cs="Arial"/>
                <w:sz w:val="21"/>
                <w:szCs w:val="21"/>
              </w:rPr>
            </w:pPr>
          </w:p>
        </w:tc>
        <w:tc>
          <w:tcPr>
            <w:tcW w:w="169" w:type="pct"/>
          </w:tcPr>
          <w:p w14:paraId="5E4DCEF7" w14:textId="77777777" w:rsidR="00862B0B" w:rsidRPr="00A67277" w:rsidRDefault="00862B0B" w:rsidP="00862B0B">
            <w:pPr>
              <w:spacing w:before="60" w:after="60"/>
              <w:rPr>
                <w:rFonts w:ascii="Arial" w:hAnsi="Arial" w:cs="Arial"/>
                <w:sz w:val="21"/>
                <w:szCs w:val="21"/>
              </w:rPr>
            </w:pPr>
          </w:p>
        </w:tc>
        <w:tc>
          <w:tcPr>
            <w:tcW w:w="2514" w:type="pct"/>
          </w:tcPr>
          <w:p w14:paraId="6A09C434" w14:textId="7A73219A" w:rsidR="00862B0B" w:rsidRPr="00A67277" w:rsidRDefault="00862B0B" w:rsidP="00862B0B">
            <w:pPr>
              <w:pStyle w:val="Level3"/>
              <w:numPr>
                <w:ilvl w:val="0"/>
                <w:numId w:val="134"/>
              </w:numPr>
              <w:spacing w:before="60" w:after="60"/>
              <w:ind w:left="1692" w:hanging="540"/>
              <w:rPr>
                <w:rFonts w:cs="Arial"/>
              </w:rPr>
            </w:pPr>
            <w:r w:rsidRPr="00A67277">
              <w:rPr>
                <w:rFonts w:cs="Arial"/>
              </w:rPr>
              <w:t>BUP dan PJPK harus juga menyetujui tingkatan-tingkatan dari suku cadang dan material-material lainnya yang dibutuhkan untuk tiga (3) Bulan pengoperasian Fasilitas untuk menghasilkan keluaran sesuai dengan Indikator Kinerja Utama.</w:t>
            </w:r>
          </w:p>
        </w:tc>
      </w:tr>
      <w:tr w:rsidR="00862B0B" w:rsidRPr="00A67277" w14:paraId="4784D3CB" w14:textId="77777777" w:rsidTr="00862B0B">
        <w:trPr>
          <w:gridAfter w:val="1"/>
          <w:wAfter w:w="47" w:type="pct"/>
        </w:trPr>
        <w:tc>
          <w:tcPr>
            <w:tcW w:w="2270" w:type="pct"/>
          </w:tcPr>
          <w:p w14:paraId="3603283C" w14:textId="77777777" w:rsidR="00862B0B" w:rsidRPr="00A67277" w:rsidRDefault="00862B0B" w:rsidP="00862B0B">
            <w:pPr>
              <w:pStyle w:val="Level3"/>
              <w:numPr>
                <w:ilvl w:val="2"/>
                <w:numId w:val="515"/>
              </w:numPr>
              <w:tabs>
                <w:tab w:val="clear" w:pos="1417"/>
              </w:tabs>
              <w:spacing w:before="60" w:after="60"/>
              <w:ind w:left="1620" w:hanging="551"/>
            </w:pPr>
            <w:r w:rsidRPr="00A67277">
              <w:t>Following the agreement on inventories, the IBE shall take whatever steps that may be required to establish and maintain inventory levels at the agreed levels.</w:t>
            </w:r>
          </w:p>
          <w:p w14:paraId="322B5A78" w14:textId="77777777" w:rsidR="00862B0B" w:rsidRPr="00A67277" w:rsidRDefault="00862B0B" w:rsidP="00862B0B">
            <w:pPr>
              <w:spacing w:before="60" w:after="60"/>
              <w:rPr>
                <w:rFonts w:ascii="Arial" w:hAnsi="Arial" w:cs="Arial"/>
                <w:sz w:val="21"/>
                <w:szCs w:val="21"/>
              </w:rPr>
            </w:pPr>
          </w:p>
        </w:tc>
        <w:tc>
          <w:tcPr>
            <w:tcW w:w="169" w:type="pct"/>
          </w:tcPr>
          <w:p w14:paraId="443A6ACF" w14:textId="77777777" w:rsidR="00862B0B" w:rsidRPr="00A67277" w:rsidRDefault="00862B0B" w:rsidP="00862B0B">
            <w:pPr>
              <w:spacing w:before="60" w:after="60"/>
              <w:rPr>
                <w:rFonts w:ascii="Arial" w:hAnsi="Arial" w:cs="Arial"/>
                <w:sz w:val="21"/>
                <w:szCs w:val="21"/>
              </w:rPr>
            </w:pPr>
          </w:p>
        </w:tc>
        <w:tc>
          <w:tcPr>
            <w:tcW w:w="2514" w:type="pct"/>
          </w:tcPr>
          <w:p w14:paraId="10207067" w14:textId="77777777" w:rsidR="00862B0B" w:rsidRPr="00A67277" w:rsidRDefault="00862B0B" w:rsidP="00862B0B">
            <w:pPr>
              <w:pStyle w:val="Level3"/>
              <w:numPr>
                <w:ilvl w:val="0"/>
                <w:numId w:val="134"/>
              </w:numPr>
              <w:spacing w:before="60" w:after="60"/>
              <w:ind w:left="1692" w:hanging="540"/>
              <w:rPr>
                <w:rFonts w:cs="Arial"/>
                <w:lang w:val="id-ID" w:eastAsia="id-ID"/>
              </w:rPr>
            </w:pPr>
            <w:r w:rsidRPr="00A67277">
              <w:rPr>
                <w:rFonts w:cs="Arial"/>
              </w:rPr>
              <w:t>Setelah adanya kesepakatan mengenai persediaan, BUP harus mengambil langkah-langkah apa pun yang mungkin diperlukan untuk menetapkan dan memelihara tingkat persediaan pada tingkat yang telah disepakati.</w:t>
            </w:r>
          </w:p>
        </w:tc>
      </w:tr>
      <w:tr w:rsidR="00862B0B" w:rsidRPr="00A67277" w14:paraId="0B48B716" w14:textId="77777777" w:rsidTr="00862B0B">
        <w:trPr>
          <w:gridAfter w:val="1"/>
          <w:wAfter w:w="47" w:type="pct"/>
        </w:trPr>
        <w:tc>
          <w:tcPr>
            <w:tcW w:w="2270" w:type="pct"/>
          </w:tcPr>
          <w:p w14:paraId="4DBDEB50" w14:textId="77777777" w:rsidR="00862B0B" w:rsidRPr="00A67277" w:rsidRDefault="00862B0B" w:rsidP="00862B0B">
            <w:pPr>
              <w:pStyle w:val="Heading2"/>
              <w:numPr>
                <w:ilvl w:val="0"/>
                <w:numId w:val="132"/>
              </w:numPr>
              <w:spacing w:before="60" w:after="60"/>
              <w:ind w:left="1063" w:hanging="523"/>
              <w:jc w:val="both"/>
              <w:outlineLvl w:val="1"/>
              <w:rPr>
                <w:rFonts w:ascii="Arial" w:hAnsi="Arial" w:cs="Arial"/>
                <w:b/>
                <w:color w:val="auto"/>
                <w:sz w:val="21"/>
                <w:szCs w:val="21"/>
              </w:rPr>
            </w:pPr>
            <w:r w:rsidRPr="00A67277">
              <w:rPr>
                <w:rFonts w:ascii="Arial" w:hAnsi="Arial" w:cs="Arial"/>
                <w:b/>
                <w:color w:val="auto"/>
                <w:sz w:val="21"/>
                <w:szCs w:val="21"/>
              </w:rPr>
              <w:t>Condition Warranties at Transfer</w:t>
            </w:r>
          </w:p>
        </w:tc>
        <w:tc>
          <w:tcPr>
            <w:tcW w:w="169" w:type="pct"/>
          </w:tcPr>
          <w:p w14:paraId="09F92A5E" w14:textId="77777777" w:rsidR="00862B0B" w:rsidRPr="00A67277" w:rsidRDefault="00862B0B" w:rsidP="00862B0B">
            <w:pPr>
              <w:spacing w:before="60" w:after="60"/>
              <w:rPr>
                <w:rFonts w:ascii="Arial" w:hAnsi="Arial" w:cs="Arial"/>
                <w:sz w:val="21"/>
                <w:szCs w:val="21"/>
              </w:rPr>
            </w:pPr>
          </w:p>
        </w:tc>
        <w:tc>
          <w:tcPr>
            <w:tcW w:w="2514" w:type="pct"/>
          </w:tcPr>
          <w:p w14:paraId="36DB0482" w14:textId="77777777" w:rsidR="00862B0B" w:rsidRPr="00A67277" w:rsidRDefault="00862B0B" w:rsidP="00862B0B">
            <w:pPr>
              <w:pStyle w:val="Heading2"/>
              <w:numPr>
                <w:ilvl w:val="0"/>
                <w:numId w:val="17"/>
              </w:numPr>
              <w:tabs>
                <w:tab w:val="left" w:pos="1152"/>
              </w:tabs>
              <w:spacing w:before="60" w:after="60"/>
              <w:ind w:left="1152" w:hanging="540"/>
              <w:jc w:val="both"/>
              <w:outlineLvl w:val="1"/>
              <w:rPr>
                <w:rFonts w:ascii="Arial" w:hAnsi="Arial" w:cs="Arial"/>
                <w:b/>
                <w:color w:val="auto"/>
                <w:sz w:val="21"/>
                <w:szCs w:val="21"/>
              </w:rPr>
            </w:pPr>
            <w:r w:rsidRPr="00A67277">
              <w:rPr>
                <w:rFonts w:ascii="Arial" w:hAnsi="Arial" w:cs="Arial"/>
                <w:b/>
                <w:color w:val="auto"/>
                <w:sz w:val="21"/>
                <w:szCs w:val="21"/>
              </w:rPr>
              <w:t>Kondisi Jaminan saat Penyerahan</w:t>
            </w:r>
          </w:p>
        </w:tc>
      </w:tr>
      <w:tr w:rsidR="00862B0B" w:rsidRPr="00A67277" w14:paraId="2B7F43E4" w14:textId="77777777" w:rsidTr="00862B0B">
        <w:trPr>
          <w:gridAfter w:val="1"/>
          <w:wAfter w:w="47" w:type="pct"/>
        </w:trPr>
        <w:tc>
          <w:tcPr>
            <w:tcW w:w="2270" w:type="pct"/>
          </w:tcPr>
          <w:p w14:paraId="7FA481E2" w14:textId="2DDD15DF" w:rsidR="00862B0B" w:rsidRPr="00A67277" w:rsidRDefault="00862B0B" w:rsidP="00862B0B">
            <w:pPr>
              <w:pStyle w:val="Level3"/>
              <w:numPr>
                <w:ilvl w:val="0"/>
                <w:numId w:val="135"/>
              </w:numPr>
              <w:spacing w:before="60" w:after="60"/>
              <w:ind w:left="1603" w:hanging="540"/>
            </w:pPr>
            <w:r w:rsidRPr="00A67277">
              <w:t>On the Expiry Date, the Facility shall be in a condition as stipulated in Appendix 17 (</w:t>
            </w:r>
            <w:r w:rsidRPr="00A67277">
              <w:rPr>
                <w:i/>
              </w:rPr>
              <w:t xml:space="preserve">Asset Hand-Over </w:t>
            </w:r>
            <w:r w:rsidRPr="00A67277">
              <w:t>Conditions).</w:t>
            </w:r>
          </w:p>
        </w:tc>
        <w:tc>
          <w:tcPr>
            <w:tcW w:w="169" w:type="pct"/>
          </w:tcPr>
          <w:p w14:paraId="6517B276" w14:textId="77777777" w:rsidR="00862B0B" w:rsidRPr="00A67277" w:rsidRDefault="00862B0B" w:rsidP="00862B0B">
            <w:pPr>
              <w:spacing w:before="60" w:after="60"/>
              <w:rPr>
                <w:rFonts w:ascii="Arial" w:hAnsi="Arial" w:cs="Arial"/>
                <w:sz w:val="21"/>
                <w:szCs w:val="21"/>
              </w:rPr>
            </w:pPr>
          </w:p>
        </w:tc>
        <w:tc>
          <w:tcPr>
            <w:tcW w:w="2514" w:type="pct"/>
          </w:tcPr>
          <w:p w14:paraId="59264058" w14:textId="19AB126E" w:rsidR="00862B0B" w:rsidRPr="00A67277" w:rsidRDefault="00862B0B" w:rsidP="00862B0B">
            <w:pPr>
              <w:pStyle w:val="Level3"/>
              <w:numPr>
                <w:ilvl w:val="0"/>
                <w:numId w:val="136"/>
              </w:numPr>
              <w:spacing w:before="60" w:after="60"/>
              <w:ind w:left="1692" w:hanging="540"/>
              <w:rPr>
                <w:rFonts w:cs="Arial"/>
              </w:rPr>
            </w:pPr>
            <w:r w:rsidRPr="00A67277">
              <w:rPr>
                <w:rFonts w:cs="Arial"/>
                <w:lang w:val="id-ID"/>
              </w:rPr>
              <w:t>Pada</w:t>
            </w:r>
            <w:r w:rsidRPr="00A67277">
              <w:rPr>
                <w:rFonts w:cs="Arial"/>
              </w:rPr>
              <w:t xml:space="preserve"> Tanggal Daluarsa Perjanjian, </w:t>
            </w:r>
            <w:r w:rsidRPr="00A67277">
              <w:rPr>
                <w:rFonts w:cs="Arial"/>
                <w:lang w:val="en-US"/>
              </w:rPr>
              <w:t>Fasilitas</w:t>
            </w:r>
            <w:r w:rsidRPr="00A67277">
              <w:rPr>
                <w:rFonts w:cs="Arial"/>
              </w:rPr>
              <w:t xml:space="preserve"> </w:t>
            </w:r>
            <w:r w:rsidRPr="00A67277">
              <w:rPr>
                <w:rFonts w:cs="Arial"/>
                <w:lang w:val="id-ID"/>
              </w:rPr>
              <w:t>harus</w:t>
            </w:r>
            <w:r w:rsidRPr="00A67277">
              <w:rPr>
                <w:rFonts w:cs="Arial"/>
                <w:lang w:val="en-US"/>
              </w:rPr>
              <w:t xml:space="preserve"> </w:t>
            </w:r>
            <w:r w:rsidRPr="00A67277">
              <w:rPr>
                <w:rFonts w:cs="Arial"/>
                <w:lang w:val="id-ID"/>
              </w:rPr>
              <w:t xml:space="preserve"> dalam kondisi </w:t>
            </w:r>
            <w:r w:rsidRPr="00A67277">
              <w:rPr>
                <w:rFonts w:cs="Arial"/>
                <w:lang w:val="en-ID"/>
              </w:rPr>
              <w:t>sebagaimana diatur dalam Lampiran 17 (</w:t>
            </w:r>
            <w:r w:rsidRPr="00A67277">
              <w:rPr>
                <w:rFonts w:cs="Arial"/>
                <w:i/>
                <w:lang w:val="en-ID"/>
              </w:rPr>
              <w:t xml:space="preserve">Kondisi Penyerahan </w:t>
            </w:r>
            <w:r>
              <w:rPr>
                <w:rFonts w:cs="Arial"/>
                <w:i/>
                <w:lang w:val="en-ID"/>
              </w:rPr>
              <w:t xml:space="preserve">Kembali </w:t>
            </w:r>
            <w:r w:rsidRPr="00A67277">
              <w:rPr>
                <w:rFonts w:cs="Arial"/>
                <w:i/>
                <w:lang w:val="en-ID"/>
              </w:rPr>
              <w:t>Aset</w:t>
            </w:r>
            <w:r w:rsidRPr="00A67277">
              <w:rPr>
                <w:rFonts w:cs="Arial"/>
                <w:lang w:val="en-ID"/>
              </w:rPr>
              <w:t>)</w:t>
            </w:r>
            <w:r w:rsidRPr="00A67277">
              <w:rPr>
                <w:rFonts w:cs="Arial"/>
              </w:rPr>
              <w:t>.</w:t>
            </w:r>
          </w:p>
        </w:tc>
      </w:tr>
      <w:tr w:rsidR="00862B0B" w:rsidRPr="00A67277" w14:paraId="7E8AA807" w14:textId="77777777" w:rsidTr="00862B0B">
        <w:trPr>
          <w:gridAfter w:val="1"/>
          <w:wAfter w:w="47" w:type="pct"/>
        </w:trPr>
        <w:tc>
          <w:tcPr>
            <w:tcW w:w="2270" w:type="pct"/>
          </w:tcPr>
          <w:p w14:paraId="4C5C4616" w14:textId="77777777" w:rsidR="00862B0B" w:rsidRPr="00A67277" w:rsidRDefault="00862B0B" w:rsidP="00862B0B">
            <w:pPr>
              <w:pStyle w:val="Level3"/>
              <w:numPr>
                <w:ilvl w:val="0"/>
                <w:numId w:val="135"/>
              </w:numPr>
              <w:spacing w:before="60" w:after="60"/>
              <w:ind w:left="1603" w:hanging="540"/>
            </w:pPr>
            <w:r w:rsidRPr="00A67277">
              <w:t>On the Expiry Date, the IBE shall provide GCA with a written summary of the condition of the Facility, including a complete listing of any and all conditions that do or could impair the safe operation of the Facility.</w:t>
            </w:r>
          </w:p>
          <w:p w14:paraId="0AF9A60B" w14:textId="77777777" w:rsidR="00862B0B" w:rsidRPr="00A67277" w:rsidRDefault="00862B0B" w:rsidP="00862B0B">
            <w:pPr>
              <w:spacing w:before="60" w:after="60"/>
              <w:rPr>
                <w:rFonts w:ascii="Arial" w:hAnsi="Arial" w:cs="Arial"/>
                <w:sz w:val="21"/>
                <w:szCs w:val="21"/>
              </w:rPr>
            </w:pPr>
          </w:p>
        </w:tc>
        <w:tc>
          <w:tcPr>
            <w:tcW w:w="169" w:type="pct"/>
          </w:tcPr>
          <w:p w14:paraId="2663A4A0" w14:textId="77777777" w:rsidR="00862B0B" w:rsidRPr="00A67277" w:rsidRDefault="00862B0B" w:rsidP="00862B0B">
            <w:pPr>
              <w:spacing w:before="60" w:after="60"/>
              <w:rPr>
                <w:rFonts w:ascii="Arial" w:hAnsi="Arial" w:cs="Arial"/>
                <w:sz w:val="21"/>
                <w:szCs w:val="21"/>
              </w:rPr>
            </w:pPr>
          </w:p>
        </w:tc>
        <w:tc>
          <w:tcPr>
            <w:tcW w:w="2514" w:type="pct"/>
          </w:tcPr>
          <w:p w14:paraId="57AF638B" w14:textId="77777777" w:rsidR="00862B0B" w:rsidRPr="00A67277" w:rsidRDefault="00862B0B" w:rsidP="00862B0B">
            <w:pPr>
              <w:pStyle w:val="Level3"/>
              <w:numPr>
                <w:ilvl w:val="0"/>
                <w:numId w:val="136"/>
              </w:numPr>
              <w:spacing w:before="60" w:after="60"/>
              <w:ind w:left="1692" w:hanging="540"/>
              <w:rPr>
                <w:rFonts w:cs="Arial"/>
              </w:rPr>
            </w:pPr>
            <w:r w:rsidRPr="00A67277">
              <w:rPr>
                <w:rFonts w:cs="Arial"/>
                <w:lang w:val="id-ID"/>
              </w:rPr>
              <w:t xml:space="preserve">Pada Tanggal Daluarsa Perjanjian, BUP harus menyediakan kepada PJPK dengan ringkasan tertulis dari kondisi </w:t>
            </w:r>
            <w:r w:rsidRPr="00A67277">
              <w:rPr>
                <w:rFonts w:cs="Arial"/>
                <w:lang w:val="en-US"/>
              </w:rPr>
              <w:t>Fasilitas</w:t>
            </w:r>
            <w:r w:rsidRPr="00A67277">
              <w:rPr>
                <w:rFonts w:cs="Arial"/>
                <w:lang w:val="id-ID"/>
              </w:rPr>
              <w:t>,  termasuk daftar lengkap dari</w:t>
            </w:r>
            <w:r w:rsidRPr="00A67277">
              <w:rPr>
                <w:rFonts w:cs="Arial"/>
                <w:lang w:val="en-US"/>
              </w:rPr>
              <w:t xml:space="preserve"> </w:t>
            </w:r>
            <w:r w:rsidRPr="00A67277">
              <w:rPr>
                <w:rFonts w:cs="Arial"/>
                <w:lang w:val="id-ID"/>
              </w:rPr>
              <w:t xml:space="preserve"> setiap dan semua kondisi yang dapat mengganggu pengoperasian yang aman dari </w:t>
            </w:r>
            <w:r w:rsidRPr="00A67277">
              <w:rPr>
                <w:rFonts w:cs="Arial"/>
                <w:lang w:val="en-US"/>
              </w:rPr>
              <w:t>Fasilitas.</w:t>
            </w:r>
          </w:p>
        </w:tc>
      </w:tr>
      <w:tr w:rsidR="00862B0B" w:rsidRPr="00A67277" w14:paraId="14561E82" w14:textId="77777777" w:rsidTr="00862B0B">
        <w:trPr>
          <w:gridAfter w:val="1"/>
          <w:wAfter w:w="47" w:type="pct"/>
        </w:trPr>
        <w:tc>
          <w:tcPr>
            <w:tcW w:w="2270" w:type="pct"/>
          </w:tcPr>
          <w:p w14:paraId="285D2143" w14:textId="77777777" w:rsidR="00862B0B" w:rsidRPr="00A67277" w:rsidRDefault="00862B0B" w:rsidP="00862B0B">
            <w:pPr>
              <w:pStyle w:val="Level3"/>
              <w:numPr>
                <w:ilvl w:val="0"/>
                <w:numId w:val="135"/>
              </w:numPr>
              <w:spacing w:before="60" w:after="60"/>
              <w:ind w:left="1603" w:hanging="540"/>
            </w:pPr>
            <w:r w:rsidRPr="00A67277">
              <w:t>In the event of a dispute between GCA and IBE as to the satisfaction of the requirements in paragraph (a) above, such Dispute shall first be discussed by the operating committee (consisting of technical personnel of each Parties) for resolution. If a satisfactory resolution of the Dispute cannot be reached within ten (10) Business Days, such Dispute shall be submitted to a Third Party Expert for resolution in accordance with Clause 28.2 (Referral to a Third Party Expert).</w:t>
            </w:r>
          </w:p>
          <w:p w14:paraId="17D1BF9D" w14:textId="77777777" w:rsidR="00862B0B" w:rsidRPr="00A67277" w:rsidRDefault="00862B0B" w:rsidP="00862B0B">
            <w:pPr>
              <w:spacing w:before="60" w:after="60"/>
              <w:rPr>
                <w:rFonts w:ascii="Arial" w:hAnsi="Arial" w:cs="Arial"/>
                <w:sz w:val="21"/>
                <w:szCs w:val="21"/>
              </w:rPr>
            </w:pPr>
          </w:p>
          <w:p w14:paraId="64B0AD52" w14:textId="77777777" w:rsidR="00862B0B" w:rsidRPr="00A67277" w:rsidRDefault="00862B0B" w:rsidP="00862B0B">
            <w:pPr>
              <w:spacing w:before="60" w:after="60"/>
              <w:rPr>
                <w:rFonts w:ascii="Arial" w:hAnsi="Arial" w:cs="Arial"/>
                <w:sz w:val="21"/>
                <w:szCs w:val="21"/>
              </w:rPr>
            </w:pPr>
          </w:p>
          <w:p w14:paraId="68F600F9" w14:textId="77777777" w:rsidR="00862B0B" w:rsidRPr="00A67277" w:rsidRDefault="00862B0B" w:rsidP="00862B0B">
            <w:pPr>
              <w:tabs>
                <w:tab w:val="left" w:pos="3288"/>
              </w:tabs>
              <w:spacing w:before="60" w:after="60"/>
              <w:rPr>
                <w:rFonts w:ascii="Arial" w:hAnsi="Arial" w:cs="Arial"/>
                <w:sz w:val="21"/>
                <w:szCs w:val="21"/>
              </w:rPr>
            </w:pPr>
            <w:r w:rsidRPr="00A67277">
              <w:rPr>
                <w:rFonts w:ascii="Arial" w:hAnsi="Arial" w:cs="Arial"/>
                <w:sz w:val="21"/>
                <w:szCs w:val="21"/>
              </w:rPr>
              <w:tab/>
            </w:r>
          </w:p>
        </w:tc>
        <w:tc>
          <w:tcPr>
            <w:tcW w:w="169" w:type="pct"/>
          </w:tcPr>
          <w:p w14:paraId="409036A9" w14:textId="77777777" w:rsidR="00862B0B" w:rsidRPr="00A67277" w:rsidRDefault="00862B0B" w:rsidP="00862B0B">
            <w:pPr>
              <w:spacing w:before="60" w:after="60"/>
              <w:rPr>
                <w:rFonts w:ascii="Arial" w:hAnsi="Arial" w:cs="Arial"/>
                <w:sz w:val="21"/>
                <w:szCs w:val="21"/>
              </w:rPr>
            </w:pPr>
          </w:p>
        </w:tc>
        <w:tc>
          <w:tcPr>
            <w:tcW w:w="2514" w:type="pct"/>
          </w:tcPr>
          <w:p w14:paraId="778DC1F0" w14:textId="77777777" w:rsidR="00862B0B" w:rsidRPr="00A67277" w:rsidRDefault="00862B0B" w:rsidP="00862B0B">
            <w:pPr>
              <w:pStyle w:val="Level3"/>
              <w:numPr>
                <w:ilvl w:val="0"/>
                <w:numId w:val="136"/>
              </w:numPr>
              <w:spacing w:before="60" w:after="60"/>
              <w:ind w:left="1692" w:hanging="540"/>
              <w:rPr>
                <w:rFonts w:cs="Arial"/>
                <w:lang w:val="id-ID" w:eastAsia="id-ID"/>
              </w:rPr>
            </w:pPr>
            <w:r w:rsidRPr="00A67277">
              <w:rPr>
                <w:rFonts w:cs="Arial"/>
                <w:lang w:val="id-ID"/>
              </w:rPr>
              <w:t>Dalam hal terjadi sengketa antara PJPK dan BUP untuk memenuhi persyaratan dalam paragraf (a) di atas, Sengketa tersebut pertama-tama harus didiskusikan oleh komite operasional (operating committee) (yang terdiri dari personil teknis masing-masing Pihak) untuk penyelesaiannya. Jika penyelesaian yang memuaskan dari Sengketa ini tidak dapat dicapai dalam waktu sepuluh (10) Hari Kerja, Sengketa tersebut harus diserahkan penyelesaian kepada Ahli Independen sesuai dengan Pasal 28.2 (Rujukan Ahli Independen).</w:t>
            </w:r>
          </w:p>
        </w:tc>
      </w:tr>
      <w:tr w:rsidR="00862B0B" w:rsidRPr="00A67277" w14:paraId="632D3CB0" w14:textId="77777777" w:rsidTr="00862B0B">
        <w:trPr>
          <w:gridAfter w:val="1"/>
          <w:wAfter w:w="47" w:type="pct"/>
        </w:trPr>
        <w:tc>
          <w:tcPr>
            <w:tcW w:w="2270" w:type="pct"/>
          </w:tcPr>
          <w:p w14:paraId="46DD20B1" w14:textId="77777777" w:rsidR="00862B0B" w:rsidRPr="00A67277" w:rsidRDefault="00862B0B" w:rsidP="00862B0B">
            <w:pPr>
              <w:pStyle w:val="Level3"/>
              <w:numPr>
                <w:ilvl w:val="0"/>
                <w:numId w:val="135"/>
              </w:numPr>
              <w:spacing w:before="60" w:after="60"/>
              <w:ind w:left="1603" w:hanging="540"/>
            </w:pPr>
            <w:r w:rsidRPr="00A67277">
              <w:t>For the avoidance of doubt, the IBE makes no warranties over the Project assets on the Transfer Date in the case of early termination of this Agreement in accordance with the provisions of this Agreement.</w:t>
            </w:r>
          </w:p>
          <w:p w14:paraId="2C3BFA5F" w14:textId="77777777" w:rsidR="00862B0B" w:rsidRPr="00A67277" w:rsidRDefault="00862B0B" w:rsidP="00862B0B">
            <w:pPr>
              <w:spacing w:before="60" w:after="60"/>
              <w:jc w:val="right"/>
              <w:rPr>
                <w:rFonts w:ascii="Arial" w:hAnsi="Arial" w:cs="Arial"/>
                <w:sz w:val="21"/>
                <w:szCs w:val="21"/>
              </w:rPr>
            </w:pPr>
          </w:p>
        </w:tc>
        <w:tc>
          <w:tcPr>
            <w:tcW w:w="169" w:type="pct"/>
          </w:tcPr>
          <w:p w14:paraId="1400E0B6" w14:textId="77777777" w:rsidR="00862B0B" w:rsidRPr="00A67277" w:rsidRDefault="00862B0B" w:rsidP="00862B0B">
            <w:pPr>
              <w:spacing w:before="60" w:after="60"/>
              <w:rPr>
                <w:rFonts w:ascii="Arial" w:hAnsi="Arial" w:cs="Arial"/>
                <w:sz w:val="21"/>
                <w:szCs w:val="21"/>
              </w:rPr>
            </w:pPr>
          </w:p>
        </w:tc>
        <w:tc>
          <w:tcPr>
            <w:tcW w:w="2514" w:type="pct"/>
          </w:tcPr>
          <w:p w14:paraId="00B96390" w14:textId="77777777" w:rsidR="00862B0B" w:rsidRPr="00A67277" w:rsidRDefault="00862B0B" w:rsidP="00862B0B">
            <w:pPr>
              <w:pStyle w:val="Level3"/>
              <w:numPr>
                <w:ilvl w:val="0"/>
                <w:numId w:val="136"/>
              </w:numPr>
              <w:spacing w:before="60" w:after="60"/>
              <w:ind w:left="1692" w:hanging="540"/>
              <w:rPr>
                <w:rFonts w:cs="Arial"/>
                <w:lang w:val="id-ID" w:eastAsia="id-ID"/>
              </w:rPr>
            </w:pPr>
            <w:r w:rsidRPr="00A67277">
              <w:rPr>
                <w:rFonts w:cs="Arial"/>
                <w:lang w:val="id-ID"/>
              </w:rPr>
              <w:t>Untuk menghindari keraguan, BUP tidak memberikan jaminan atas aset Proyek pada Tanggal Penyerahan sehubungan dengan pengakhiran lebih awal dari Perjanjian ini berdasarkan Perjanjian ini.</w:t>
            </w:r>
          </w:p>
        </w:tc>
      </w:tr>
      <w:tr w:rsidR="00862B0B" w:rsidRPr="00A67277" w14:paraId="2945928E" w14:textId="77777777" w:rsidTr="00862B0B">
        <w:trPr>
          <w:gridAfter w:val="1"/>
          <w:wAfter w:w="47" w:type="pct"/>
        </w:trPr>
        <w:tc>
          <w:tcPr>
            <w:tcW w:w="2270" w:type="pct"/>
          </w:tcPr>
          <w:p w14:paraId="597E20AD" w14:textId="77777777" w:rsidR="00862B0B" w:rsidRPr="00A67277" w:rsidRDefault="00862B0B" w:rsidP="00862B0B">
            <w:pPr>
              <w:pStyle w:val="Heading2"/>
              <w:numPr>
                <w:ilvl w:val="0"/>
                <w:numId w:val="132"/>
              </w:numPr>
              <w:spacing w:before="60" w:after="60"/>
              <w:ind w:left="1063" w:hanging="523"/>
              <w:outlineLvl w:val="1"/>
              <w:rPr>
                <w:rFonts w:ascii="Arial" w:hAnsi="Arial" w:cs="Arial"/>
                <w:b/>
                <w:color w:val="auto"/>
                <w:sz w:val="21"/>
                <w:szCs w:val="21"/>
              </w:rPr>
            </w:pPr>
            <w:r w:rsidRPr="00A67277">
              <w:rPr>
                <w:rFonts w:ascii="Arial" w:hAnsi="Arial" w:cs="Arial"/>
                <w:b/>
                <w:color w:val="auto"/>
                <w:sz w:val="21"/>
                <w:szCs w:val="21"/>
              </w:rPr>
              <w:t>Transfer Date</w:t>
            </w:r>
          </w:p>
        </w:tc>
        <w:tc>
          <w:tcPr>
            <w:tcW w:w="169" w:type="pct"/>
          </w:tcPr>
          <w:p w14:paraId="56B87200" w14:textId="77777777" w:rsidR="00862B0B" w:rsidRPr="00A67277" w:rsidRDefault="00862B0B" w:rsidP="00862B0B">
            <w:pPr>
              <w:spacing w:before="60" w:after="60"/>
              <w:rPr>
                <w:rFonts w:ascii="Arial" w:hAnsi="Arial" w:cs="Arial"/>
                <w:sz w:val="21"/>
                <w:szCs w:val="21"/>
              </w:rPr>
            </w:pPr>
          </w:p>
        </w:tc>
        <w:tc>
          <w:tcPr>
            <w:tcW w:w="2514" w:type="pct"/>
          </w:tcPr>
          <w:p w14:paraId="7CFA4C14" w14:textId="77777777" w:rsidR="00862B0B" w:rsidRPr="00A67277" w:rsidRDefault="00862B0B" w:rsidP="00862B0B">
            <w:pPr>
              <w:pStyle w:val="Heading2"/>
              <w:numPr>
                <w:ilvl w:val="0"/>
                <w:numId w:val="17"/>
              </w:numPr>
              <w:tabs>
                <w:tab w:val="left" w:pos="1152"/>
              </w:tabs>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Tanggal Penyerahan</w:t>
            </w:r>
          </w:p>
        </w:tc>
      </w:tr>
      <w:tr w:rsidR="00862B0B" w:rsidRPr="00A67277" w14:paraId="098CBD04" w14:textId="77777777" w:rsidTr="00862B0B">
        <w:trPr>
          <w:gridAfter w:val="1"/>
          <w:wAfter w:w="47" w:type="pct"/>
        </w:trPr>
        <w:tc>
          <w:tcPr>
            <w:tcW w:w="2270" w:type="pct"/>
          </w:tcPr>
          <w:p w14:paraId="6D140BA7" w14:textId="3ABE20D2" w:rsidR="00862B0B" w:rsidRPr="00A67277" w:rsidRDefault="00862B0B" w:rsidP="00862B0B">
            <w:pPr>
              <w:pStyle w:val="Level2"/>
              <w:spacing w:before="60" w:after="60"/>
              <w:ind w:left="1063" w:hanging="5"/>
            </w:pPr>
            <w:r w:rsidRPr="00A67277">
              <w:t>Immediately upon the occurrence of the Transfer Date, IBE shall, [in consideration of the payment by GCA of [IDR 10,000], or the Termination Payment (as applicable),  transfer to the GCA, all of IBE’s rights, title and interests in the Project, free and clear of all Encumbrances, including all of IBE's rights, title and interests in:</w:t>
            </w:r>
          </w:p>
          <w:p w14:paraId="350FFD1B" w14:textId="77777777" w:rsidR="00862B0B" w:rsidRPr="00A67277" w:rsidRDefault="00862B0B" w:rsidP="00862B0B">
            <w:pPr>
              <w:spacing w:before="60" w:after="60"/>
              <w:rPr>
                <w:rFonts w:ascii="Arial" w:hAnsi="Arial" w:cs="Arial"/>
                <w:sz w:val="21"/>
                <w:szCs w:val="21"/>
              </w:rPr>
            </w:pPr>
          </w:p>
        </w:tc>
        <w:tc>
          <w:tcPr>
            <w:tcW w:w="169" w:type="pct"/>
          </w:tcPr>
          <w:p w14:paraId="416DBCF7" w14:textId="77777777" w:rsidR="00862B0B" w:rsidRPr="00A67277" w:rsidRDefault="00862B0B" w:rsidP="00862B0B">
            <w:pPr>
              <w:spacing w:before="60" w:after="60"/>
              <w:rPr>
                <w:rFonts w:ascii="Arial" w:hAnsi="Arial" w:cs="Arial"/>
                <w:sz w:val="21"/>
                <w:szCs w:val="21"/>
              </w:rPr>
            </w:pPr>
          </w:p>
        </w:tc>
        <w:tc>
          <w:tcPr>
            <w:tcW w:w="2514" w:type="pct"/>
          </w:tcPr>
          <w:p w14:paraId="29F72680" w14:textId="3F31DEC3" w:rsidR="00862B0B" w:rsidRPr="00A67277" w:rsidRDefault="00862B0B" w:rsidP="00862B0B">
            <w:pPr>
              <w:pStyle w:val="Level1"/>
              <w:tabs>
                <w:tab w:val="clear" w:pos="889"/>
                <w:tab w:val="num" w:pos="1152"/>
              </w:tabs>
              <w:spacing w:before="60" w:after="60"/>
              <w:ind w:left="1152" w:firstLine="0"/>
              <w:rPr>
                <w:rFonts w:cs="Arial"/>
                <w:lang w:val="id-ID" w:eastAsia="id-ID"/>
              </w:rPr>
            </w:pPr>
            <w:r w:rsidRPr="00A67277">
              <w:rPr>
                <w:rFonts w:cs="Arial"/>
                <w:lang w:val="id-ID" w:eastAsia="id-ID"/>
              </w:rPr>
              <w:t xml:space="preserve">Pada Tanggal Penyerahan, BUP harus </w:t>
            </w:r>
            <w:r w:rsidRPr="00A67277">
              <w:rPr>
                <w:rFonts w:cs="Arial"/>
                <w:lang w:val="en-ID" w:eastAsia="id-ID"/>
              </w:rPr>
              <w:t xml:space="preserve">dengan pertimbangan pembayaran oleh PJPK sebesar [Rp. 10,000], atau Pembayaran Pengakhiran (sebagaimana berlaku) </w:t>
            </w:r>
            <w:r w:rsidRPr="00A67277">
              <w:rPr>
                <w:rFonts w:cs="Arial"/>
                <w:lang w:val="id-ID" w:eastAsia="id-ID"/>
              </w:rPr>
              <w:t>menyerahkan kepada PJPK, seluruh hak, kepemilikan dan kepentingan BUP dalam Proyek, bebas dan bersih dari Hak-Hak Jaminan, termasuksemua hak, kepemilikan dan kepentingan BUP pada:</w:t>
            </w:r>
          </w:p>
        </w:tc>
      </w:tr>
      <w:tr w:rsidR="00862B0B" w:rsidRPr="00A67277" w14:paraId="7492D1DF" w14:textId="77777777" w:rsidTr="00862B0B">
        <w:trPr>
          <w:gridAfter w:val="1"/>
          <w:wAfter w:w="47" w:type="pct"/>
        </w:trPr>
        <w:tc>
          <w:tcPr>
            <w:tcW w:w="2270" w:type="pct"/>
          </w:tcPr>
          <w:p w14:paraId="773C04FD" w14:textId="773BBD8C" w:rsidR="00862B0B" w:rsidRPr="00A67277" w:rsidRDefault="00862B0B" w:rsidP="00862B0B">
            <w:pPr>
              <w:pStyle w:val="Level3"/>
              <w:numPr>
                <w:ilvl w:val="2"/>
                <w:numId w:val="516"/>
              </w:numPr>
              <w:tabs>
                <w:tab w:val="clear" w:pos="1417"/>
              </w:tabs>
              <w:spacing w:before="60" w:after="60"/>
              <w:ind w:left="1581" w:hanging="567"/>
            </w:pPr>
            <w:r w:rsidRPr="00A67277">
              <w:t>The Facility (in this case, the MLFF System);</w:t>
            </w:r>
          </w:p>
        </w:tc>
        <w:tc>
          <w:tcPr>
            <w:tcW w:w="169" w:type="pct"/>
          </w:tcPr>
          <w:p w14:paraId="54984323" w14:textId="77777777" w:rsidR="00862B0B" w:rsidRPr="00A67277" w:rsidRDefault="00862B0B" w:rsidP="00862B0B">
            <w:pPr>
              <w:spacing w:before="60" w:after="60"/>
              <w:rPr>
                <w:rFonts w:ascii="Arial" w:hAnsi="Arial" w:cs="Arial"/>
                <w:sz w:val="21"/>
                <w:szCs w:val="21"/>
              </w:rPr>
            </w:pPr>
          </w:p>
        </w:tc>
        <w:tc>
          <w:tcPr>
            <w:tcW w:w="2514" w:type="pct"/>
          </w:tcPr>
          <w:p w14:paraId="70547ED6" w14:textId="59412FA0"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en-US" w:eastAsia="id-ID"/>
              </w:rPr>
              <w:t>Fasilitas (dalam hal ini Sistem MLFF)</w:t>
            </w:r>
            <w:r w:rsidRPr="00A67277">
              <w:rPr>
                <w:rFonts w:cs="Arial"/>
                <w:lang w:val="id-ID" w:eastAsia="id-ID"/>
              </w:rPr>
              <w:t>;</w:t>
            </w:r>
          </w:p>
        </w:tc>
      </w:tr>
      <w:tr w:rsidR="00862B0B" w:rsidRPr="00A67277" w14:paraId="3A6CEDF6" w14:textId="77777777" w:rsidTr="00862B0B">
        <w:trPr>
          <w:gridAfter w:val="1"/>
          <w:wAfter w:w="47" w:type="pct"/>
        </w:trPr>
        <w:tc>
          <w:tcPr>
            <w:tcW w:w="2270" w:type="pct"/>
          </w:tcPr>
          <w:p w14:paraId="14874F55" w14:textId="380112A6" w:rsidR="00862B0B" w:rsidRPr="00A67277" w:rsidRDefault="00862B0B" w:rsidP="00862B0B">
            <w:pPr>
              <w:pStyle w:val="Level3"/>
              <w:numPr>
                <w:ilvl w:val="2"/>
                <w:numId w:val="516"/>
              </w:numPr>
              <w:tabs>
                <w:tab w:val="clear" w:pos="1417"/>
                <w:tab w:val="num" w:pos="1620"/>
              </w:tabs>
              <w:spacing w:before="60" w:after="60"/>
              <w:ind w:left="1603" w:hanging="534"/>
            </w:pPr>
            <w:r w:rsidRPr="00A67277">
              <w:t>the Site;</w:t>
            </w:r>
          </w:p>
        </w:tc>
        <w:tc>
          <w:tcPr>
            <w:tcW w:w="169" w:type="pct"/>
          </w:tcPr>
          <w:p w14:paraId="25FB3989" w14:textId="77777777" w:rsidR="00862B0B" w:rsidRPr="00A67277" w:rsidRDefault="00862B0B" w:rsidP="00862B0B">
            <w:pPr>
              <w:spacing w:before="60" w:after="60"/>
              <w:rPr>
                <w:rFonts w:ascii="Arial" w:hAnsi="Arial" w:cs="Arial"/>
                <w:sz w:val="21"/>
                <w:szCs w:val="21"/>
              </w:rPr>
            </w:pPr>
          </w:p>
        </w:tc>
        <w:tc>
          <w:tcPr>
            <w:tcW w:w="2514" w:type="pct"/>
          </w:tcPr>
          <w:p w14:paraId="31DB0573" w14:textId="0A25B368"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Lokasi</w:t>
            </w:r>
            <w:r w:rsidRPr="00A67277">
              <w:rPr>
                <w:rFonts w:cs="Arial"/>
                <w:lang w:val="en-US" w:eastAsia="id-ID"/>
              </w:rPr>
              <w:t>;</w:t>
            </w:r>
          </w:p>
        </w:tc>
      </w:tr>
      <w:tr w:rsidR="00862B0B" w:rsidRPr="00A67277" w14:paraId="705C63DE" w14:textId="77777777" w:rsidTr="00862B0B">
        <w:trPr>
          <w:gridAfter w:val="1"/>
          <w:wAfter w:w="47" w:type="pct"/>
        </w:trPr>
        <w:tc>
          <w:tcPr>
            <w:tcW w:w="2270" w:type="pct"/>
          </w:tcPr>
          <w:p w14:paraId="7FF1C065"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computerised and non-computerised records, reports, data, files, and information;</w:t>
            </w:r>
          </w:p>
          <w:p w14:paraId="786ECE36" w14:textId="77777777" w:rsidR="00862B0B" w:rsidRPr="00A67277" w:rsidRDefault="00862B0B" w:rsidP="00862B0B">
            <w:pPr>
              <w:spacing w:before="60" w:after="60"/>
              <w:rPr>
                <w:rFonts w:ascii="Arial" w:hAnsi="Arial" w:cs="Arial"/>
                <w:sz w:val="21"/>
                <w:szCs w:val="21"/>
              </w:rPr>
            </w:pPr>
          </w:p>
        </w:tc>
        <w:tc>
          <w:tcPr>
            <w:tcW w:w="169" w:type="pct"/>
          </w:tcPr>
          <w:p w14:paraId="4DE9E0A2" w14:textId="77777777" w:rsidR="00862B0B" w:rsidRPr="00A67277" w:rsidRDefault="00862B0B" w:rsidP="00862B0B">
            <w:pPr>
              <w:spacing w:before="60" w:after="60"/>
              <w:rPr>
                <w:rFonts w:ascii="Arial" w:hAnsi="Arial" w:cs="Arial"/>
                <w:sz w:val="21"/>
                <w:szCs w:val="21"/>
              </w:rPr>
            </w:pPr>
          </w:p>
        </w:tc>
        <w:tc>
          <w:tcPr>
            <w:tcW w:w="2514" w:type="pct"/>
          </w:tcPr>
          <w:p w14:paraId="205B79CD"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catatan-catatan baik yang terkomputerisasi dan tidak terkomp</w:t>
            </w:r>
            <w:r w:rsidRPr="00A67277">
              <w:rPr>
                <w:rFonts w:cs="Arial"/>
                <w:lang w:val="en-US" w:eastAsia="id-ID"/>
              </w:rPr>
              <w:t>u</w:t>
            </w:r>
            <w:r w:rsidRPr="00A67277">
              <w:rPr>
                <w:rFonts w:cs="Arial"/>
                <w:lang w:val="id-ID" w:eastAsia="id-ID"/>
              </w:rPr>
              <w:t>terisasi, laporan-laporan, data, arsip-arsip, dan informasi;</w:t>
            </w:r>
          </w:p>
        </w:tc>
      </w:tr>
      <w:tr w:rsidR="00862B0B" w:rsidRPr="00A67277" w14:paraId="5D1EAB86" w14:textId="77777777" w:rsidTr="00862B0B">
        <w:trPr>
          <w:gridAfter w:val="1"/>
          <w:wAfter w:w="47" w:type="pct"/>
        </w:trPr>
        <w:tc>
          <w:tcPr>
            <w:tcW w:w="2270" w:type="pct"/>
          </w:tcPr>
          <w:p w14:paraId="237036E8"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all drawings, test results, and documents described in the Agreement;</w:t>
            </w:r>
          </w:p>
          <w:p w14:paraId="22F7347B" w14:textId="77777777" w:rsidR="00862B0B" w:rsidRPr="00A67277" w:rsidRDefault="00862B0B" w:rsidP="00862B0B">
            <w:pPr>
              <w:tabs>
                <w:tab w:val="num" w:pos="1620"/>
              </w:tabs>
              <w:spacing w:before="60" w:after="60"/>
              <w:rPr>
                <w:rFonts w:ascii="Arial" w:eastAsia="Arial Unicode MS" w:hAnsi="Arial" w:cs="Times New Roman"/>
                <w:sz w:val="21"/>
                <w:szCs w:val="21"/>
                <w:lang w:val="en-GB" w:eastAsia="en-GB"/>
              </w:rPr>
            </w:pPr>
          </w:p>
        </w:tc>
        <w:tc>
          <w:tcPr>
            <w:tcW w:w="169" w:type="pct"/>
          </w:tcPr>
          <w:p w14:paraId="00A51021" w14:textId="77777777" w:rsidR="00862B0B" w:rsidRPr="00A67277" w:rsidRDefault="00862B0B" w:rsidP="00862B0B">
            <w:pPr>
              <w:spacing w:before="60" w:after="60"/>
              <w:rPr>
                <w:rFonts w:ascii="Arial" w:hAnsi="Arial" w:cs="Arial"/>
                <w:sz w:val="21"/>
                <w:szCs w:val="21"/>
              </w:rPr>
            </w:pPr>
          </w:p>
        </w:tc>
        <w:tc>
          <w:tcPr>
            <w:tcW w:w="2514" w:type="pct"/>
          </w:tcPr>
          <w:p w14:paraId="5768735D"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seluruh gambar-gambar, hasil-hasil pengujian dan dokumen-dokumen sehubungan dengan Perjanjian ini;</w:t>
            </w:r>
          </w:p>
        </w:tc>
      </w:tr>
      <w:tr w:rsidR="00862B0B" w:rsidRPr="00A67277" w14:paraId="5D6C4DE3" w14:textId="77777777" w:rsidTr="00862B0B">
        <w:trPr>
          <w:gridAfter w:val="1"/>
          <w:wAfter w:w="47" w:type="pct"/>
        </w:trPr>
        <w:tc>
          <w:tcPr>
            <w:tcW w:w="2270" w:type="pct"/>
          </w:tcPr>
          <w:p w14:paraId="7CA718D4"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all warranties of equipment, materials and work;</w:t>
            </w:r>
          </w:p>
          <w:p w14:paraId="31708576" w14:textId="77777777" w:rsidR="00862B0B" w:rsidRPr="00A67277" w:rsidRDefault="00862B0B" w:rsidP="00862B0B">
            <w:pPr>
              <w:tabs>
                <w:tab w:val="num" w:pos="1620"/>
              </w:tabs>
              <w:spacing w:before="60" w:after="60"/>
              <w:rPr>
                <w:rFonts w:ascii="Arial" w:eastAsia="Arial Unicode MS" w:hAnsi="Arial" w:cs="Times New Roman"/>
                <w:sz w:val="21"/>
                <w:szCs w:val="21"/>
                <w:lang w:val="en-GB" w:eastAsia="en-GB"/>
              </w:rPr>
            </w:pPr>
          </w:p>
        </w:tc>
        <w:tc>
          <w:tcPr>
            <w:tcW w:w="169" w:type="pct"/>
          </w:tcPr>
          <w:p w14:paraId="44BCD0DD" w14:textId="77777777" w:rsidR="00862B0B" w:rsidRPr="00A67277" w:rsidRDefault="00862B0B" w:rsidP="00862B0B">
            <w:pPr>
              <w:spacing w:before="60" w:after="60"/>
              <w:rPr>
                <w:rFonts w:ascii="Arial" w:hAnsi="Arial" w:cs="Arial"/>
                <w:sz w:val="21"/>
                <w:szCs w:val="21"/>
              </w:rPr>
            </w:pPr>
          </w:p>
        </w:tc>
        <w:tc>
          <w:tcPr>
            <w:tcW w:w="2514" w:type="pct"/>
          </w:tcPr>
          <w:p w14:paraId="1AA595B0"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seluruh jaminan-jaminan dari peralatan, material-material dan pekerjaan;</w:t>
            </w:r>
          </w:p>
        </w:tc>
      </w:tr>
      <w:tr w:rsidR="00862B0B" w:rsidRPr="00A67277" w14:paraId="02E32F55" w14:textId="77777777" w:rsidTr="00862B0B">
        <w:trPr>
          <w:gridAfter w:val="1"/>
          <w:wAfter w:w="47" w:type="pct"/>
        </w:trPr>
        <w:tc>
          <w:tcPr>
            <w:tcW w:w="2270" w:type="pct"/>
          </w:tcPr>
          <w:p w14:paraId="1EF4EC36"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all contract rights and insurance policies;</w:t>
            </w:r>
          </w:p>
          <w:p w14:paraId="351698ED" w14:textId="77777777" w:rsidR="00862B0B" w:rsidRPr="00A67277" w:rsidRDefault="00862B0B" w:rsidP="00862B0B">
            <w:pPr>
              <w:tabs>
                <w:tab w:val="num" w:pos="1620"/>
              </w:tabs>
              <w:spacing w:before="60" w:after="60"/>
              <w:rPr>
                <w:rFonts w:ascii="Arial" w:eastAsia="Arial Unicode MS" w:hAnsi="Arial" w:cs="Times New Roman"/>
                <w:sz w:val="21"/>
                <w:szCs w:val="21"/>
                <w:lang w:val="en-GB" w:eastAsia="en-GB"/>
              </w:rPr>
            </w:pPr>
          </w:p>
        </w:tc>
        <w:tc>
          <w:tcPr>
            <w:tcW w:w="169" w:type="pct"/>
          </w:tcPr>
          <w:p w14:paraId="3EF5969D" w14:textId="77777777" w:rsidR="00862B0B" w:rsidRPr="00A67277" w:rsidRDefault="00862B0B" w:rsidP="00862B0B">
            <w:pPr>
              <w:spacing w:before="60" w:after="60"/>
              <w:rPr>
                <w:rFonts w:ascii="Arial" w:hAnsi="Arial" w:cs="Arial"/>
                <w:sz w:val="21"/>
                <w:szCs w:val="21"/>
              </w:rPr>
            </w:pPr>
          </w:p>
        </w:tc>
        <w:tc>
          <w:tcPr>
            <w:tcW w:w="2514" w:type="pct"/>
          </w:tcPr>
          <w:p w14:paraId="6E9FC8B1"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seuruh hak-hak kontraktual dan polis asuransi;</w:t>
            </w:r>
          </w:p>
        </w:tc>
      </w:tr>
      <w:tr w:rsidR="00862B0B" w:rsidRPr="00A67277" w14:paraId="249A4993" w14:textId="77777777" w:rsidTr="00862B0B">
        <w:trPr>
          <w:gridAfter w:val="1"/>
          <w:wAfter w:w="47" w:type="pct"/>
        </w:trPr>
        <w:tc>
          <w:tcPr>
            <w:tcW w:w="2270" w:type="pct"/>
          </w:tcPr>
          <w:p w14:paraId="609B7B43"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all work in progress under contracts with vendors, suppliers, contractors and subcontractors;</w:t>
            </w:r>
          </w:p>
          <w:p w14:paraId="47D499B3" w14:textId="77777777" w:rsidR="00862B0B" w:rsidRPr="00A67277" w:rsidRDefault="00862B0B" w:rsidP="00862B0B">
            <w:pPr>
              <w:tabs>
                <w:tab w:val="num" w:pos="1620"/>
              </w:tabs>
              <w:spacing w:before="60" w:after="60"/>
              <w:rPr>
                <w:rFonts w:ascii="Arial" w:eastAsia="Arial Unicode MS" w:hAnsi="Arial" w:cs="Times New Roman"/>
                <w:sz w:val="21"/>
                <w:szCs w:val="21"/>
                <w:lang w:val="en-GB" w:eastAsia="en-GB"/>
              </w:rPr>
            </w:pPr>
          </w:p>
        </w:tc>
        <w:tc>
          <w:tcPr>
            <w:tcW w:w="169" w:type="pct"/>
          </w:tcPr>
          <w:p w14:paraId="42194922" w14:textId="77777777" w:rsidR="00862B0B" w:rsidRPr="00A67277" w:rsidRDefault="00862B0B" w:rsidP="00862B0B">
            <w:pPr>
              <w:spacing w:before="60" w:after="60"/>
              <w:rPr>
                <w:rFonts w:ascii="Arial" w:hAnsi="Arial" w:cs="Arial"/>
                <w:sz w:val="21"/>
                <w:szCs w:val="21"/>
              </w:rPr>
            </w:pPr>
          </w:p>
        </w:tc>
        <w:tc>
          <w:tcPr>
            <w:tcW w:w="2514" w:type="pct"/>
          </w:tcPr>
          <w:p w14:paraId="5F1786C6"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seluruh pekerjaan yang sedang berjalan berdasarkan kontrak dengan vendor, pemasok, kontraktor dan subkontraktor;</w:t>
            </w:r>
          </w:p>
        </w:tc>
      </w:tr>
      <w:tr w:rsidR="00862B0B" w:rsidRPr="00A67277" w14:paraId="7F469C27" w14:textId="77777777" w:rsidTr="00862B0B">
        <w:trPr>
          <w:gridAfter w:val="1"/>
          <w:wAfter w:w="47" w:type="pct"/>
        </w:trPr>
        <w:tc>
          <w:tcPr>
            <w:tcW w:w="2270" w:type="pct"/>
          </w:tcPr>
          <w:p w14:paraId="4E05589B" w14:textId="636040AC" w:rsidR="00862B0B" w:rsidRPr="00A67277" w:rsidRDefault="00862B0B" w:rsidP="00862B0B">
            <w:pPr>
              <w:pStyle w:val="Level3"/>
              <w:numPr>
                <w:ilvl w:val="2"/>
                <w:numId w:val="516"/>
              </w:numPr>
              <w:tabs>
                <w:tab w:val="clear" w:pos="1417"/>
                <w:tab w:val="num" w:pos="1620"/>
              </w:tabs>
              <w:spacing w:before="60" w:after="60"/>
              <w:ind w:left="1603" w:hanging="534"/>
            </w:pPr>
            <w:r w:rsidRPr="00A67277">
              <w:t>all rights with respect to any insurance proceeds payable to or for the account of IBE, but unpaid at the date of termination of the Agreementin respect of IBE’s rights, title and interests in the Project; and</w:t>
            </w:r>
          </w:p>
          <w:p w14:paraId="3E2501BC" w14:textId="77777777" w:rsidR="00862B0B" w:rsidRPr="00A67277" w:rsidRDefault="00862B0B" w:rsidP="00862B0B">
            <w:pPr>
              <w:tabs>
                <w:tab w:val="num" w:pos="1620"/>
              </w:tabs>
              <w:spacing w:before="60" w:after="60"/>
              <w:rPr>
                <w:rFonts w:ascii="Arial" w:eastAsia="Arial Unicode MS" w:hAnsi="Arial" w:cs="Times New Roman"/>
                <w:sz w:val="21"/>
                <w:szCs w:val="21"/>
                <w:lang w:val="en-GB" w:eastAsia="en-GB"/>
              </w:rPr>
            </w:pPr>
          </w:p>
        </w:tc>
        <w:tc>
          <w:tcPr>
            <w:tcW w:w="169" w:type="pct"/>
          </w:tcPr>
          <w:p w14:paraId="2CC05174" w14:textId="77777777" w:rsidR="00862B0B" w:rsidRPr="00A67277" w:rsidRDefault="00862B0B" w:rsidP="00862B0B">
            <w:pPr>
              <w:spacing w:before="60" w:after="60"/>
              <w:rPr>
                <w:rFonts w:ascii="Arial" w:hAnsi="Arial" w:cs="Arial"/>
                <w:sz w:val="21"/>
                <w:szCs w:val="21"/>
              </w:rPr>
            </w:pPr>
          </w:p>
        </w:tc>
        <w:tc>
          <w:tcPr>
            <w:tcW w:w="2514" w:type="pct"/>
          </w:tcPr>
          <w:p w14:paraId="6901A5E8"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semua hak sehubungan dengan setiap penerimaan asuransi yang dibayarkan kepada atau untuk kepentingan BUP, namun belum dibayar pada tanggal pengakhiran Perjanjian, sehubungan dengan hak, kepemilikan dan kepentingan BUP atas Proyek; dan</w:t>
            </w:r>
          </w:p>
        </w:tc>
      </w:tr>
      <w:tr w:rsidR="00862B0B" w:rsidRPr="00A67277" w14:paraId="49370236" w14:textId="77777777" w:rsidTr="00862B0B">
        <w:trPr>
          <w:gridAfter w:val="1"/>
          <w:wAfter w:w="47" w:type="pct"/>
        </w:trPr>
        <w:tc>
          <w:tcPr>
            <w:tcW w:w="2270" w:type="pct"/>
          </w:tcPr>
          <w:p w14:paraId="52E1936E" w14:textId="77777777" w:rsidR="00862B0B" w:rsidRPr="00A67277" w:rsidRDefault="00862B0B" w:rsidP="00862B0B">
            <w:pPr>
              <w:pStyle w:val="Level3"/>
              <w:numPr>
                <w:ilvl w:val="2"/>
                <w:numId w:val="516"/>
              </w:numPr>
              <w:tabs>
                <w:tab w:val="clear" w:pos="1417"/>
                <w:tab w:val="num" w:pos="1620"/>
              </w:tabs>
              <w:spacing w:before="60" w:after="60"/>
              <w:ind w:left="1603" w:hanging="534"/>
            </w:pPr>
            <w:r w:rsidRPr="00A67277">
              <w:t>the Project Agreements.</w:t>
            </w:r>
          </w:p>
        </w:tc>
        <w:tc>
          <w:tcPr>
            <w:tcW w:w="169" w:type="pct"/>
          </w:tcPr>
          <w:p w14:paraId="32E1C831" w14:textId="77777777" w:rsidR="00862B0B" w:rsidRPr="00A67277" w:rsidRDefault="00862B0B" w:rsidP="00862B0B">
            <w:pPr>
              <w:spacing w:before="60" w:after="60"/>
              <w:rPr>
                <w:rFonts w:ascii="Arial" w:hAnsi="Arial" w:cs="Arial"/>
                <w:sz w:val="21"/>
                <w:szCs w:val="21"/>
              </w:rPr>
            </w:pPr>
          </w:p>
        </w:tc>
        <w:tc>
          <w:tcPr>
            <w:tcW w:w="2514" w:type="pct"/>
          </w:tcPr>
          <w:p w14:paraId="1AC9C27D" w14:textId="77777777" w:rsidR="00862B0B" w:rsidRPr="00A67277" w:rsidRDefault="00862B0B" w:rsidP="00862B0B">
            <w:pPr>
              <w:pStyle w:val="Level3"/>
              <w:numPr>
                <w:ilvl w:val="0"/>
                <w:numId w:val="461"/>
              </w:numPr>
              <w:spacing w:before="60" w:after="60"/>
              <w:ind w:left="1692" w:hanging="540"/>
              <w:rPr>
                <w:rFonts w:cs="Arial"/>
                <w:lang w:val="id-ID" w:eastAsia="id-ID"/>
              </w:rPr>
            </w:pPr>
            <w:r w:rsidRPr="00A67277">
              <w:rPr>
                <w:rFonts w:cs="Arial"/>
                <w:lang w:val="id-ID" w:eastAsia="id-ID"/>
              </w:rPr>
              <w:t>Perjanjian-Perjanjian Proyek.</w:t>
            </w:r>
          </w:p>
        </w:tc>
      </w:tr>
      <w:tr w:rsidR="00862B0B" w:rsidRPr="00A67277" w14:paraId="14181FBF" w14:textId="77777777" w:rsidTr="00862B0B">
        <w:trPr>
          <w:gridAfter w:val="1"/>
          <w:wAfter w:w="47" w:type="pct"/>
        </w:trPr>
        <w:tc>
          <w:tcPr>
            <w:tcW w:w="2270" w:type="pct"/>
          </w:tcPr>
          <w:p w14:paraId="5E5CB26C" w14:textId="77777777" w:rsidR="00862B0B" w:rsidRPr="00A67277" w:rsidRDefault="00862B0B" w:rsidP="00862B0B">
            <w:pPr>
              <w:pStyle w:val="Heading1"/>
              <w:numPr>
                <w:ilvl w:val="0"/>
                <w:numId w:val="432"/>
              </w:numPr>
              <w:spacing w:before="60" w:after="60"/>
              <w:ind w:left="567" w:hanging="567"/>
            </w:pPr>
            <w:r w:rsidRPr="00A67277">
              <w:t>Asset Ownership</w:t>
            </w:r>
          </w:p>
        </w:tc>
        <w:tc>
          <w:tcPr>
            <w:tcW w:w="169" w:type="pct"/>
          </w:tcPr>
          <w:p w14:paraId="2535CD27" w14:textId="77777777" w:rsidR="00862B0B" w:rsidRPr="00A67277" w:rsidRDefault="00862B0B" w:rsidP="00862B0B">
            <w:pPr>
              <w:spacing w:before="60" w:after="60"/>
              <w:rPr>
                <w:rFonts w:ascii="Arial" w:hAnsi="Arial" w:cs="Arial"/>
                <w:sz w:val="21"/>
                <w:szCs w:val="21"/>
              </w:rPr>
            </w:pPr>
          </w:p>
        </w:tc>
        <w:tc>
          <w:tcPr>
            <w:tcW w:w="2514" w:type="pct"/>
          </w:tcPr>
          <w:p w14:paraId="1C0C0492" w14:textId="77777777" w:rsidR="00862B0B" w:rsidRPr="00A67277" w:rsidRDefault="00862B0B" w:rsidP="00862B0B">
            <w:pPr>
              <w:pStyle w:val="CentredHeading"/>
              <w:numPr>
                <w:ilvl w:val="0"/>
                <w:numId w:val="538"/>
              </w:numPr>
              <w:spacing w:before="60" w:after="60"/>
              <w:ind w:left="483" w:hanging="425"/>
              <w:jc w:val="left"/>
              <w:rPr>
                <w:rFonts w:cs="Arial"/>
              </w:rPr>
            </w:pPr>
            <w:r w:rsidRPr="00A67277">
              <w:rPr>
                <w:rFonts w:cs="Arial"/>
                <w:lang w:val="en-US" w:eastAsia="en-US"/>
              </w:rPr>
              <w:t>Kepemilikan Aset</w:t>
            </w:r>
          </w:p>
        </w:tc>
      </w:tr>
      <w:tr w:rsidR="00862B0B" w:rsidRPr="00A67277" w14:paraId="6CA80AB8" w14:textId="77777777" w:rsidTr="00862B0B">
        <w:trPr>
          <w:gridAfter w:val="1"/>
          <w:wAfter w:w="47" w:type="pct"/>
        </w:trPr>
        <w:tc>
          <w:tcPr>
            <w:tcW w:w="2270" w:type="pct"/>
          </w:tcPr>
          <w:p w14:paraId="7C869988" w14:textId="77777777" w:rsidR="00862B0B" w:rsidRPr="00A67277" w:rsidRDefault="00862B0B" w:rsidP="00862B0B">
            <w:pPr>
              <w:pStyle w:val="Level3"/>
              <w:numPr>
                <w:ilvl w:val="2"/>
                <w:numId w:val="517"/>
              </w:numPr>
              <w:tabs>
                <w:tab w:val="clear" w:pos="1417"/>
              </w:tabs>
              <w:spacing w:before="60" w:after="60"/>
              <w:ind w:left="1080" w:hanging="540"/>
            </w:pPr>
            <w:r w:rsidRPr="00A67277">
              <w:t xml:space="preserve">The Parties recognize that, to the fullest extent permitted by applicable Law, all rights, title and interest in the Facility and any associated equipment and materials which are constructed or procured by the IBE shall be vested in the IBE until the Transfer Date. </w:t>
            </w:r>
          </w:p>
        </w:tc>
        <w:tc>
          <w:tcPr>
            <w:tcW w:w="169" w:type="pct"/>
          </w:tcPr>
          <w:p w14:paraId="52BCEA9F" w14:textId="77777777" w:rsidR="00862B0B" w:rsidRPr="00A67277" w:rsidRDefault="00862B0B" w:rsidP="00862B0B">
            <w:pPr>
              <w:spacing w:before="60" w:after="60"/>
              <w:rPr>
                <w:rFonts w:ascii="Arial" w:hAnsi="Arial" w:cs="Arial"/>
                <w:sz w:val="21"/>
                <w:szCs w:val="21"/>
              </w:rPr>
            </w:pPr>
          </w:p>
        </w:tc>
        <w:tc>
          <w:tcPr>
            <w:tcW w:w="2514" w:type="pct"/>
          </w:tcPr>
          <w:p w14:paraId="3481A51D" w14:textId="77777777" w:rsidR="00862B0B" w:rsidRPr="00A67277" w:rsidRDefault="00862B0B" w:rsidP="00862B0B">
            <w:pPr>
              <w:pStyle w:val="Level3"/>
              <w:numPr>
                <w:ilvl w:val="0"/>
                <w:numId w:val="137"/>
              </w:numPr>
              <w:tabs>
                <w:tab w:val="left" w:pos="1152"/>
              </w:tabs>
              <w:spacing w:before="60" w:after="60"/>
              <w:ind w:left="1152" w:hanging="540"/>
              <w:rPr>
                <w:rFonts w:cs="Arial"/>
                <w:lang w:val="id-ID" w:eastAsia="id-ID"/>
              </w:rPr>
            </w:pPr>
            <w:r w:rsidRPr="00A67277">
              <w:rPr>
                <w:rFonts w:cs="Arial"/>
                <w:lang w:val="id-ID" w:eastAsia="id-ID"/>
              </w:rPr>
              <w:t>Para Pihak mengakui bahwa, sejauh diizinkan oleh Hukum yang berlaku, seluruh hak, kepemilikan dan kepentingan pada Fasilitas dan peralatan dan material terkait yang dibangun atau diadakan oleh BUP merupakan milik BUP sampai Tanggal Penyerahan</w:t>
            </w:r>
            <w:r w:rsidRPr="00A67277">
              <w:rPr>
                <w:rFonts w:cs="Arial"/>
              </w:rPr>
              <w:t xml:space="preserve">. </w:t>
            </w:r>
          </w:p>
        </w:tc>
      </w:tr>
      <w:tr w:rsidR="00862B0B" w:rsidRPr="00A67277" w14:paraId="521F88DD" w14:textId="77777777" w:rsidTr="00862B0B">
        <w:trPr>
          <w:gridAfter w:val="1"/>
          <w:wAfter w:w="47" w:type="pct"/>
        </w:trPr>
        <w:tc>
          <w:tcPr>
            <w:tcW w:w="2270" w:type="pct"/>
          </w:tcPr>
          <w:p w14:paraId="05B03619" w14:textId="77777777" w:rsidR="00862B0B" w:rsidRPr="00A67277" w:rsidRDefault="00862B0B" w:rsidP="00862B0B">
            <w:pPr>
              <w:pStyle w:val="Level3"/>
              <w:numPr>
                <w:ilvl w:val="2"/>
                <w:numId w:val="517"/>
              </w:numPr>
              <w:tabs>
                <w:tab w:val="clear" w:pos="1417"/>
                <w:tab w:val="num" w:pos="1080"/>
              </w:tabs>
              <w:spacing w:before="60" w:after="60"/>
              <w:ind w:left="1080" w:hanging="540"/>
            </w:pPr>
            <w:r w:rsidRPr="00A67277">
              <w:t xml:space="preserve">Unless otherwise expressly stipulated, subject to Clause 30 (Assignment) and GCA Consent Letter, nothing in this Agreement shall be construed as limiting the rights of the IBE to Encumber the Facility owned, procured or constructed by it, or otherwise to assign any of its rights, title and interest in the Project Agreements. </w:t>
            </w:r>
          </w:p>
          <w:p w14:paraId="54181D4B" w14:textId="77777777" w:rsidR="00862B0B" w:rsidRPr="00A67277" w:rsidRDefault="00862B0B" w:rsidP="00862B0B">
            <w:pPr>
              <w:tabs>
                <w:tab w:val="num" w:pos="1080"/>
              </w:tabs>
              <w:spacing w:before="60" w:after="60"/>
              <w:ind w:left="1080" w:hanging="540"/>
              <w:rPr>
                <w:rFonts w:ascii="Arial" w:eastAsia="Arial Unicode MS" w:hAnsi="Arial" w:cs="Times New Roman"/>
                <w:sz w:val="21"/>
                <w:szCs w:val="21"/>
                <w:lang w:val="en-GB" w:eastAsia="en-GB"/>
              </w:rPr>
            </w:pPr>
          </w:p>
        </w:tc>
        <w:tc>
          <w:tcPr>
            <w:tcW w:w="169" w:type="pct"/>
          </w:tcPr>
          <w:p w14:paraId="3C28B9A3" w14:textId="77777777" w:rsidR="00862B0B" w:rsidRPr="00A67277" w:rsidRDefault="00862B0B" w:rsidP="00862B0B">
            <w:pPr>
              <w:spacing w:before="60" w:after="60"/>
              <w:rPr>
                <w:rFonts w:ascii="Arial" w:hAnsi="Arial" w:cs="Arial"/>
                <w:sz w:val="21"/>
                <w:szCs w:val="21"/>
              </w:rPr>
            </w:pPr>
          </w:p>
        </w:tc>
        <w:tc>
          <w:tcPr>
            <w:tcW w:w="2514" w:type="pct"/>
          </w:tcPr>
          <w:p w14:paraId="01667191" w14:textId="77777777" w:rsidR="00862B0B" w:rsidRPr="00A67277" w:rsidRDefault="00862B0B" w:rsidP="00862B0B">
            <w:pPr>
              <w:pStyle w:val="Level3"/>
              <w:numPr>
                <w:ilvl w:val="0"/>
                <w:numId w:val="137"/>
              </w:numPr>
              <w:tabs>
                <w:tab w:val="left" w:pos="1152"/>
              </w:tabs>
              <w:spacing w:before="60" w:after="60"/>
              <w:ind w:left="1152" w:hanging="540"/>
              <w:rPr>
                <w:rFonts w:cs="Arial"/>
                <w:lang w:val="id-ID" w:eastAsia="id-ID"/>
              </w:rPr>
            </w:pPr>
            <w:r w:rsidRPr="00A67277">
              <w:rPr>
                <w:rFonts w:cs="Arial"/>
                <w:lang w:val="id-ID" w:eastAsia="id-ID"/>
              </w:rPr>
              <w:t xml:space="preserve">Kecuali secara tegas dinyatakan lain, tunduk kepada ketentuan Pasal 30 (Pengalihan) dan Surat Persetujuan PJPK, tidak terdapat satu ketentuan pun dalam Perjanjian ini yang dapat dianggap membatasi hak BUP untuk memberikan Pembebanan terhadap </w:t>
            </w:r>
            <w:r w:rsidRPr="00A67277">
              <w:rPr>
                <w:rFonts w:cs="Arial"/>
                <w:lang w:val="en-US" w:eastAsia="id-ID"/>
              </w:rPr>
              <w:t xml:space="preserve">Fasilitas </w:t>
            </w:r>
            <w:r w:rsidRPr="00A67277">
              <w:rPr>
                <w:rFonts w:cs="Arial"/>
                <w:lang w:val="id-ID" w:eastAsia="id-ID"/>
              </w:rPr>
              <w:t>yang dimiliki, diadakan atau dibangun olehnya, atau sebaliknya, untuk mengalihkan hak, kepemilikan dan kepentingannya dalam Perjanjian Proyek.</w:t>
            </w:r>
          </w:p>
        </w:tc>
      </w:tr>
      <w:tr w:rsidR="00862B0B" w:rsidRPr="00A67277" w14:paraId="1C03C856" w14:textId="77777777" w:rsidTr="00862B0B">
        <w:trPr>
          <w:gridAfter w:val="1"/>
          <w:wAfter w:w="47" w:type="pct"/>
        </w:trPr>
        <w:tc>
          <w:tcPr>
            <w:tcW w:w="2270" w:type="pct"/>
          </w:tcPr>
          <w:p w14:paraId="1ED2612D" w14:textId="77777777" w:rsidR="00862B0B" w:rsidRPr="00A67277" w:rsidRDefault="00862B0B" w:rsidP="00862B0B">
            <w:pPr>
              <w:pStyle w:val="Level3"/>
              <w:numPr>
                <w:ilvl w:val="2"/>
                <w:numId w:val="517"/>
              </w:numPr>
              <w:tabs>
                <w:tab w:val="clear" w:pos="1417"/>
                <w:tab w:val="num" w:pos="1080"/>
              </w:tabs>
              <w:spacing w:before="60" w:after="60"/>
              <w:ind w:left="1080" w:hanging="540"/>
            </w:pPr>
            <w:r w:rsidRPr="00A67277">
              <w:t xml:space="preserve">The title of ownership over the Site shall remain vested in the GCA, and nothing in this Agreement shall be construed as the GCA relinquishing its title of ownership over the Site. </w:t>
            </w:r>
          </w:p>
        </w:tc>
        <w:tc>
          <w:tcPr>
            <w:tcW w:w="169" w:type="pct"/>
          </w:tcPr>
          <w:p w14:paraId="07E6C6F4" w14:textId="77777777" w:rsidR="00862B0B" w:rsidRPr="00A67277" w:rsidRDefault="00862B0B" w:rsidP="00862B0B">
            <w:pPr>
              <w:spacing w:before="60" w:after="60"/>
              <w:rPr>
                <w:rFonts w:ascii="Arial" w:hAnsi="Arial" w:cs="Arial"/>
                <w:sz w:val="21"/>
                <w:szCs w:val="21"/>
              </w:rPr>
            </w:pPr>
          </w:p>
        </w:tc>
        <w:tc>
          <w:tcPr>
            <w:tcW w:w="2514" w:type="pct"/>
          </w:tcPr>
          <w:p w14:paraId="3B6B3CAF" w14:textId="77777777" w:rsidR="00862B0B" w:rsidRPr="00A67277" w:rsidRDefault="00862B0B" w:rsidP="00862B0B">
            <w:pPr>
              <w:pStyle w:val="Level3"/>
              <w:numPr>
                <w:ilvl w:val="0"/>
                <w:numId w:val="137"/>
              </w:numPr>
              <w:tabs>
                <w:tab w:val="left" w:pos="1152"/>
              </w:tabs>
              <w:spacing w:before="60" w:after="60"/>
              <w:ind w:left="1152" w:hanging="540"/>
              <w:rPr>
                <w:rFonts w:cs="Arial"/>
                <w:lang w:val="id-ID" w:eastAsia="id-ID"/>
              </w:rPr>
            </w:pPr>
            <w:r w:rsidRPr="00A67277">
              <w:rPr>
                <w:rFonts w:cs="Arial"/>
                <w:lang w:val="id-ID" w:eastAsia="id-ID"/>
              </w:rPr>
              <w:t>Hak kepemilikan atas Lokasi akan tetap berada di PJPK, dan tidak ada satu ketentuan pun dalam Perjanjian ini yang dapat dianggap sebagai PJPK melepaskan hak kepemilikannya atas Lokasi.</w:t>
            </w:r>
          </w:p>
        </w:tc>
      </w:tr>
      <w:tr w:rsidR="00862B0B" w:rsidRPr="00A67277" w14:paraId="271E3C97" w14:textId="77777777" w:rsidTr="00862B0B">
        <w:trPr>
          <w:gridAfter w:val="1"/>
          <w:wAfter w:w="47" w:type="pct"/>
        </w:trPr>
        <w:tc>
          <w:tcPr>
            <w:tcW w:w="2270" w:type="pct"/>
          </w:tcPr>
          <w:p w14:paraId="58295F03" w14:textId="77777777" w:rsidR="00862B0B" w:rsidRPr="00A67277" w:rsidRDefault="00862B0B" w:rsidP="00862B0B">
            <w:pPr>
              <w:pStyle w:val="Heading1"/>
              <w:numPr>
                <w:ilvl w:val="0"/>
                <w:numId w:val="538"/>
              </w:numPr>
              <w:spacing w:before="60" w:after="60"/>
              <w:ind w:left="567" w:hanging="567"/>
            </w:pPr>
            <w:r w:rsidRPr="00A67277">
              <w:t>Representations and Warranties</w:t>
            </w:r>
          </w:p>
        </w:tc>
        <w:tc>
          <w:tcPr>
            <w:tcW w:w="169" w:type="pct"/>
          </w:tcPr>
          <w:p w14:paraId="462ED2C7" w14:textId="77777777" w:rsidR="00862B0B" w:rsidRPr="00A67277" w:rsidRDefault="00862B0B" w:rsidP="00862B0B">
            <w:pPr>
              <w:spacing w:before="60" w:after="60"/>
              <w:rPr>
                <w:rFonts w:ascii="Arial" w:hAnsi="Arial" w:cs="Arial"/>
                <w:sz w:val="21"/>
                <w:szCs w:val="21"/>
              </w:rPr>
            </w:pPr>
          </w:p>
        </w:tc>
        <w:tc>
          <w:tcPr>
            <w:tcW w:w="2514" w:type="pct"/>
          </w:tcPr>
          <w:p w14:paraId="0D58EA39" w14:textId="77777777" w:rsidR="00862B0B" w:rsidRPr="00A67277" w:rsidRDefault="00862B0B" w:rsidP="00862B0B">
            <w:pPr>
              <w:pStyle w:val="CentredHeading"/>
              <w:numPr>
                <w:ilvl w:val="0"/>
                <w:numId w:val="539"/>
              </w:numPr>
              <w:spacing w:before="60" w:after="60"/>
              <w:ind w:left="483" w:hanging="425"/>
              <w:jc w:val="left"/>
              <w:rPr>
                <w:rFonts w:cs="Arial"/>
              </w:rPr>
            </w:pPr>
            <w:r w:rsidRPr="00A67277">
              <w:rPr>
                <w:rFonts w:cs="Arial"/>
                <w:lang w:val="en-US" w:eastAsia="en-US"/>
              </w:rPr>
              <w:t>Pernyataan dan Jaminan</w:t>
            </w:r>
          </w:p>
        </w:tc>
      </w:tr>
      <w:tr w:rsidR="00862B0B" w:rsidRPr="00A67277" w14:paraId="03113C5D" w14:textId="77777777" w:rsidTr="00862B0B">
        <w:trPr>
          <w:gridAfter w:val="1"/>
          <w:wAfter w:w="47" w:type="pct"/>
        </w:trPr>
        <w:tc>
          <w:tcPr>
            <w:tcW w:w="2270" w:type="pct"/>
          </w:tcPr>
          <w:p w14:paraId="4E0722F4" w14:textId="77777777" w:rsidR="00862B0B" w:rsidRPr="00A67277" w:rsidRDefault="00862B0B" w:rsidP="00862B0B">
            <w:pPr>
              <w:pStyle w:val="Heading2"/>
              <w:numPr>
                <w:ilvl w:val="0"/>
                <w:numId w:val="138"/>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Representations and Warranties of the IBE</w:t>
            </w:r>
          </w:p>
        </w:tc>
        <w:tc>
          <w:tcPr>
            <w:tcW w:w="169" w:type="pct"/>
          </w:tcPr>
          <w:p w14:paraId="02D4CA07" w14:textId="77777777" w:rsidR="00862B0B" w:rsidRPr="00A67277" w:rsidRDefault="00862B0B" w:rsidP="00862B0B">
            <w:pPr>
              <w:spacing w:before="60" w:after="60"/>
              <w:rPr>
                <w:rFonts w:ascii="Arial" w:hAnsi="Arial" w:cs="Arial"/>
                <w:sz w:val="21"/>
                <w:szCs w:val="21"/>
              </w:rPr>
            </w:pPr>
          </w:p>
        </w:tc>
        <w:tc>
          <w:tcPr>
            <w:tcW w:w="2514" w:type="pct"/>
          </w:tcPr>
          <w:p w14:paraId="38572AC9" w14:textId="77777777" w:rsidR="00862B0B" w:rsidRPr="00A67277" w:rsidRDefault="00862B0B" w:rsidP="00862B0B">
            <w:pPr>
              <w:pStyle w:val="Heading2"/>
              <w:numPr>
                <w:ilvl w:val="0"/>
                <w:numId w:val="18"/>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Pernyataan dan Jaminan BUP</w:t>
            </w:r>
          </w:p>
        </w:tc>
      </w:tr>
      <w:tr w:rsidR="00862B0B" w:rsidRPr="00A67277" w14:paraId="12617F86" w14:textId="77777777" w:rsidTr="00862B0B">
        <w:trPr>
          <w:gridAfter w:val="1"/>
          <w:wAfter w:w="47" w:type="pct"/>
        </w:trPr>
        <w:tc>
          <w:tcPr>
            <w:tcW w:w="2270" w:type="pct"/>
          </w:tcPr>
          <w:p w14:paraId="47457003" w14:textId="77777777" w:rsidR="00862B0B" w:rsidRPr="00A67277" w:rsidRDefault="00862B0B" w:rsidP="00862B0B">
            <w:pPr>
              <w:pStyle w:val="Heading2"/>
              <w:spacing w:before="60" w:after="60"/>
              <w:ind w:left="1080"/>
              <w:jc w:val="both"/>
              <w:outlineLvl w:val="1"/>
              <w:rPr>
                <w:rFonts w:ascii="Arial" w:hAnsi="Arial" w:cs="Arial"/>
                <w:color w:val="auto"/>
                <w:sz w:val="21"/>
                <w:szCs w:val="21"/>
              </w:rPr>
            </w:pPr>
            <w:r w:rsidRPr="00A67277">
              <w:rPr>
                <w:rFonts w:ascii="Arial" w:hAnsi="Arial" w:cs="Arial"/>
                <w:color w:val="auto"/>
                <w:sz w:val="21"/>
                <w:szCs w:val="21"/>
              </w:rPr>
              <w:t>IBE represents and warrants that:</w:t>
            </w:r>
          </w:p>
          <w:p w14:paraId="4DE6EDB8" w14:textId="77777777" w:rsidR="00862B0B" w:rsidRPr="00A67277" w:rsidRDefault="00862B0B" w:rsidP="00862B0B">
            <w:pPr>
              <w:spacing w:before="60" w:after="60"/>
              <w:rPr>
                <w:rFonts w:ascii="Arial" w:hAnsi="Arial" w:cs="Arial"/>
                <w:sz w:val="21"/>
                <w:szCs w:val="21"/>
              </w:rPr>
            </w:pPr>
          </w:p>
        </w:tc>
        <w:tc>
          <w:tcPr>
            <w:tcW w:w="169" w:type="pct"/>
          </w:tcPr>
          <w:p w14:paraId="2F3A9964" w14:textId="77777777" w:rsidR="00862B0B" w:rsidRPr="00A67277" w:rsidRDefault="00862B0B" w:rsidP="00862B0B">
            <w:pPr>
              <w:spacing w:before="60" w:after="60"/>
              <w:rPr>
                <w:rFonts w:ascii="Arial" w:hAnsi="Arial" w:cs="Arial"/>
                <w:sz w:val="21"/>
                <w:szCs w:val="21"/>
              </w:rPr>
            </w:pPr>
          </w:p>
        </w:tc>
        <w:tc>
          <w:tcPr>
            <w:tcW w:w="2514" w:type="pct"/>
          </w:tcPr>
          <w:p w14:paraId="761B5A3B" w14:textId="77777777" w:rsidR="00862B0B" w:rsidRPr="00A67277" w:rsidRDefault="00862B0B" w:rsidP="00862B0B">
            <w:pPr>
              <w:pStyle w:val="Body2"/>
              <w:spacing w:before="60" w:after="60"/>
              <w:ind w:left="1152"/>
              <w:rPr>
                <w:rFonts w:cs="Arial"/>
              </w:rPr>
            </w:pPr>
            <w:r w:rsidRPr="00A67277">
              <w:rPr>
                <w:rFonts w:cs="Arial"/>
              </w:rPr>
              <w:t xml:space="preserve">BUP </w:t>
            </w:r>
            <w:r w:rsidRPr="00A67277">
              <w:rPr>
                <w:rFonts w:cs="Arial"/>
                <w:lang w:val="id-ID"/>
              </w:rPr>
              <w:t>menyatakan</w:t>
            </w:r>
            <w:r w:rsidRPr="00A67277">
              <w:rPr>
                <w:rFonts w:cs="Arial"/>
              </w:rPr>
              <w:t xml:space="preserve"> </w:t>
            </w:r>
            <w:r w:rsidRPr="00A67277">
              <w:rPr>
                <w:rFonts w:cs="Arial"/>
                <w:lang w:val="id-ID"/>
              </w:rPr>
              <w:t>dan</w:t>
            </w:r>
            <w:r w:rsidRPr="00A67277">
              <w:rPr>
                <w:rFonts w:cs="Arial"/>
              </w:rPr>
              <w:t xml:space="preserve"> </w:t>
            </w:r>
            <w:r w:rsidRPr="00A67277">
              <w:rPr>
                <w:rFonts w:cs="Arial"/>
                <w:lang w:val="id-ID"/>
              </w:rPr>
              <w:t>menjamin</w:t>
            </w:r>
            <w:r w:rsidRPr="00A67277">
              <w:rPr>
                <w:rFonts w:cs="Arial"/>
              </w:rPr>
              <w:t xml:space="preserve"> </w:t>
            </w:r>
            <w:r w:rsidRPr="00A67277">
              <w:rPr>
                <w:rFonts w:cs="Arial"/>
                <w:lang w:val="id-ID"/>
              </w:rPr>
              <w:t>bahwa</w:t>
            </w:r>
            <w:r w:rsidRPr="00A67277">
              <w:rPr>
                <w:rFonts w:cs="Arial"/>
              </w:rPr>
              <w:t>:</w:t>
            </w:r>
          </w:p>
        </w:tc>
      </w:tr>
      <w:tr w:rsidR="00862B0B" w:rsidRPr="00A67277" w14:paraId="449BAC68" w14:textId="77777777" w:rsidTr="00862B0B">
        <w:trPr>
          <w:gridAfter w:val="1"/>
          <w:wAfter w:w="47" w:type="pct"/>
        </w:trPr>
        <w:tc>
          <w:tcPr>
            <w:tcW w:w="2270" w:type="pct"/>
          </w:tcPr>
          <w:p w14:paraId="4165F559" w14:textId="77777777" w:rsidR="00862B0B" w:rsidRPr="00A67277" w:rsidRDefault="00862B0B" w:rsidP="00862B0B">
            <w:pPr>
              <w:pStyle w:val="Level3"/>
              <w:numPr>
                <w:ilvl w:val="2"/>
                <w:numId w:val="518"/>
              </w:numPr>
              <w:tabs>
                <w:tab w:val="clear" w:pos="1417"/>
              </w:tabs>
              <w:spacing w:before="60" w:after="60"/>
              <w:ind w:left="1620" w:hanging="540"/>
            </w:pPr>
            <w:r w:rsidRPr="00A67277">
              <w:t>the IBE is a limited liability company duly organised and validly existing under the laws of the Republic of Indonesia and has all requisite legal power to execute this Agreement and the other Project Agreements to which it is a party and to carry out the terms, conditions and provisions of this Agreement and thereof;</w:t>
            </w:r>
          </w:p>
          <w:p w14:paraId="7F821D9C" w14:textId="77777777" w:rsidR="00862B0B" w:rsidRPr="00A67277" w:rsidRDefault="00862B0B" w:rsidP="00862B0B">
            <w:pPr>
              <w:tabs>
                <w:tab w:val="left" w:pos="3675"/>
              </w:tabs>
              <w:spacing w:before="60" w:after="60"/>
              <w:ind w:left="1620" w:hanging="540"/>
              <w:rPr>
                <w:rFonts w:ascii="Arial" w:eastAsia="Arial Unicode MS" w:hAnsi="Arial" w:cs="Times New Roman"/>
                <w:sz w:val="21"/>
                <w:szCs w:val="21"/>
                <w:lang w:val="en-GB" w:eastAsia="en-GB"/>
              </w:rPr>
            </w:pPr>
            <w:r w:rsidRPr="00A67277">
              <w:rPr>
                <w:rFonts w:ascii="Arial" w:eastAsia="Arial Unicode MS" w:hAnsi="Arial" w:cs="Times New Roman"/>
                <w:sz w:val="21"/>
                <w:szCs w:val="21"/>
                <w:lang w:val="en-GB" w:eastAsia="en-GB"/>
              </w:rPr>
              <w:tab/>
            </w:r>
          </w:p>
        </w:tc>
        <w:tc>
          <w:tcPr>
            <w:tcW w:w="169" w:type="pct"/>
          </w:tcPr>
          <w:p w14:paraId="3DB6F869" w14:textId="77777777" w:rsidR="00862B0B" w:rsidRPr="00A67277" w:rsidRDefault="00862B0B" w:rsidP="00862B0B">
            <w:pPr>
              <w:spacing w:before="60" w:after="60"/>
              <w:rPr>
                <w:rFonts w:ascii="Arial" w:hAnsi="Arial" w:cs="Arial"/>
                <w:sz w:val="21"/>
                <w:szCs w:val="21"/>
              </w:rPr>
            </w:pPr>
          </w:p>
        </w:tc>
        <w:tc>
          <w:tcPr>
            <w:tcW w:w="2514" w:type="pct"/>
          </w:tcPr>
          <w:p w14:paraId="2F64AF09" w14:textId="77777777" w:rsidR="00862B0B" w:rsidRPr="00A67277" w:rsidRDefault="00862B0B" w:rsidP="00862B0B">
            <w:pPr>
              <w:pStyle w:val="Level3"/>
              <w:numPr>
                <w:ilvl w:val="0"/>
                <w:numId w:val="139"/>
              </w:numPr>
              <w:spacing w:before="60" w:after="60"/>
              <w:ind w:left="1692" w:hanging="540"/>
              <w:rPr>
                <w:rFonts w:cs="Arial"/>
                <w:lang w:val="id-ID" w:eastAsia="id-ID"/>
              </w:rPr>
            </w:pPr>
            <w:r w:rsidRPr="00A67277">
              <w:rPr>
                <w:rFonts w:cs="Arial"/>
                <w:lang w:val="id-ID" w:eastAsia="id-ID"/>
              </w:rPr>
              <w:t xml:space="preserve">BUP adalah perseroan terbatas yang diatur dan secara sah berdiri berdasarkan hukum negara Republik Indonesia dan telah memiliki seluruh kekuatan hukum yang diperlukan </w:t>
            </w:r>
            <w:r w:rsidRPr="00A67277">
              <w:rPr>
                <w:rFonts w:cs="Arial"/>
              </w:rPr>
              <w:t>untuk</w:t>
            </w:r>
            <w:r w:rsidRPr="00A67277">
              <w:rPr>
                <w:rFonts w:cs="Arial"/>
                <w:lang w:val="id-ID" w:eastAsia="id-ID"/>
              </w:rPr>
              <w:t xml:space="preserve"> menandatangani Perjanjian ini dan Perjanjian Proyek lainnya dimana BUP merupakan pihak dan untuk melaksanakan ketentuan, syarat dan pengaturan dalam dan berdasarkan Perjanjian ini;</w:t>
            </w:r>
          </w:p>
        </w:tc>
      </w:tr>
      <w:tr w:rsidR="00862B0B" w:rsidRPr="00A67277" w14:paraId="6035BFFD" w14:textId="77777777" w:rsidTr="00862B0B">
        <w:trPr>
          <w:gridAfter w:val="1"/>
          <w:wAfter w:w="47" w:type="pct"/>
        </w:trPr>
        <w:tc>
          <w:tcPr>
            <w:tcW w:w="2270" w:type="pct"/>
          </w:tcPr>
          <w:p w14:paraId="2331FE34" w14:textId="77777777" w:rsidR="00862B0B" w:rsidRPr="00A67277" w:rsidRDefault="00862B0B" w:rsidP="00862B0B">
            <w:pPr>
              <w:pStyle w:val="Level3"/>
              <w:numPr>
                <w:ilvl w:val="2"/>
                <w:numId w:val="518"/>
              </w:numPr>
              <w:tabs>
                <w:tab w:val="clear" w:pos="1417"/>
              </w:tabs>
              <w:spacing w:before="60" w:after="60"/>
              <w:ind w:left="1620" w:hanging="540"/>
            </w:pPr>
            <w:r w:rsidRPr="00A67277">
              <w:t>all legislative, administrative and other governmental action required to authorise the execution and delivery, and to the best of the IBE’s knowledge and belief after due inquiry, all Indonesian legislative, administrative and other governmental action required to authorise the performance by the IBE, of this Agreement and the other Project Agreements to which it is a party and the transactions contemplated hereby and thereby have been taken and are in full force and effect except to the extent of actions which by the terms of such documents are to be taken at a later time and except to the extent that the effectiveness of any other document is conditioned upon the effectiveness of this Agreement;</w:t>
            </w:r>
          </w:p>
        </w:tc>
        <w:tc>
          <w:tcPr>
            <w:tcW w:w="169" w:type="pct"/>
          </w:tcPr>
          <w:p w14:paraId="4FF1E45C" w14:textId="77777777" w:rsidR="00862B0B" w:rsidRPr="00A67277" w:rsidRDefault="00862B0B" w:rsidP="00862B0B">
            <w:pPr>
              <w:spacing w:before="60" w:after="60"/>
              <w:rPr>
                <w:rFonts w:ascii="Arial" w:hAnsi="Arial" w:cs="Arial"/>
                <w:sz w:val="21"/>
                <w:szCs w:val="21"/>
              </w:rPr>
            </w:pPr>
          </w:p>
        </w:tc>
        <w:tc>
          <w:tcPr>
            <w:tcW w:w="2514" w:type="pct"/>
          </w:tcPr>
          <w:p w14:paraId="0DD2849A" w14:textId="77777777" w:rsidR="00862B0B" w:rsidRPr="00A67277" w:rsidRDefault="00862B0B" w:rsidP="00862B0B">
            <w:pPr>
              <w:pStyle w:val="Level3"/>
              <w:numPr>
                <w:ilvl w:val="0"/>
                <w:numId w:val="139"/>
              </w:numPr>
              <w:spacing w:before="60" w:after="60"/>
              <w:ind w:left="1692" w:hanging="540"/>
              <w:rPr>
                <w:rFonts w:cs="Arial"/>
                <w:lang w:val="id-ID" w:eastAsia="id-ID"/>
              </w:rPr>
            </w:pPr>
            <w:r w:rsidRPr="00A67277">
              <w:rPr>
                <w:rFonts w:cs="Arial"/>
                <w:lang w:val="id-ID" w:eastAsia="id-ID"/>
              </w:rPr>
              <w:t>seluruh tindakan legislatif, administratif dan tindakan pemerintah lainnya yang diperlukan untuk penandatanganan dan penyerahan, dan sepanjang sepengetahuan dan keyakinan BUP terbaiknya setelah dilakukan pemeriksaan secara hati-hati, seluruh tindakan legislatif, administratif dan tindakan pemerintah lainnya yang diperlukan untuk pelaksanaan oleh BUP, dari Perjanjian ini dan Perjanjian Proyek lainnya dimana BUP merupakan pihak dan transaksi dimaksud dalam Perjanjian ini atau dalam Perjanjian Proyek tersebut telah diambil dan berlaku penuh kecuali sejauh tindakan yang menurut ketentuan dokumen tersebut harus diambil pada suatu saat nanti dan kecuali sejauh mana efektivitas dokumen lainnya bergantung kepada efektivitas Perjanjian ini;</w:t>
            </w:r>
          </w:p>
        </w:tc>
      </w:tr>
      <w:tr w:rsidR="00862B0B" w:rsidRPr="00A67277" w14:paraId="226E1761" w14:textId="77777777" w:rsidTr="00862B0B">
        <w:trPr>
          <w:gridAfter w:val="1"/>
          <w:wAfter w:w="47" w:type="pct"/>
        </w:trPr>
        <w:tc>
          <w:tcPr>
            <w:tcW w:w="2270" w:type="pct"/>
          </w:tcPr>
          <w:p w14:paraId="09134805" w14:textId="77777777" w:rsidR="00862B0B" w:rsidRPr="00A67277" w:rsidRDefault="00862B0B" w:rsidP="00862B0B">
            <w:pPr>
              <w:pStyle w:val="Level3"/>
              <w:numPr>
                <w:ilvl w:val="2"/>
                <w:numId w:val="518"/>
              </w:numPr>
              <w:tabs>
                <w:tab w:val="clear" w:pos="1417"/>
                <w:tab w:val="num" w:pos="1620"/>
              </w:tabs>
              <w:spacing w:before="60" w:after="60"/>
              <w:ind w:left="1620" w:hanging="540"/>
            </w:pPr>
            <w:r w:rsidRPr="00A67277">
              <w:t xml:space="preserve"> this Agreement and the Project Agreements to which the IBE is a party constitutes the valid, legal and binding obligation of the IBE, enforceable in accordance with the terms thereof except as the enforceability may be limited by applicable bankruptcy, insolvency, reorganization, moratorium or other similar laws affecting creditors’ rights generally;</w:t>
            </w:r>
          </w:p>
        </w:tc>
        <w:tc>
          <w:tcPr>
            <w:tcW w:w="169" w:type="pct"/>
          </w:tcPr>
          <w:p w14:paraId="43BEAC00" w14:textId="77777777" w:rsidR="00862B0B" w:rsidRPr="00A67277" w:rsidRDefault="00862B0B" w:rsidP="00862B0B">
            <w:pPr>
              <w:spacing w:before="60" w:after="60"/>
              <w:rPr>
                <w:rFonts w:ascii="Arial" w:hAnsi="Arial" w:cs="Arial"/>
                <w:sz w:val="21"/>
                <w:szCs w:val="21"/>
              </w:rPr>
            </w:pPr>
          </w:p>
        </w:tc>
        <w:tc>
          <w:tcPr>
            <w:tcW w:w="2514" w:type="pct"/>
          </w:tcPr>
          <w:p w14:paraId="04D96115" w14:textId="77777777" w:rsidR="00862B0B" w:rsidRPr="00A67277" w:rsidRDefault="00862B0B" w:rsidP="00862B0B">
            <w:pPr>
              <w:pStyle w:val="Level3"/>
              <w:numPr>
                <w:ilvl w:val="0"/>
                <w:numId w:val="139"/>
              </w:numPr>
              <w:spacing w:before="60" w:after="60"/>
              <w:ind w:left="1692" w:hanging="540"/>
              <w:rPr>
                <w:rFonts w:cs="Arial"/>
                <w:lang w:val="id-ID" w:eastAsia="id-ID"/>
              </w:rPr>
            </w:pPr>
            <w:r w:rsidRPr="00A67277">
              <w:rPr>
                <w:rFonts w:cs="Arial"/>
                <w:lang w:val="id-ID" w:eastAsia="id-ID"/>
              </w:rPr>
              <w:t xml:space="preserve">Perjanjian ini dan setiap Perjanjian Proyek dimana BUP merupakan pihak menciptakan kewajiban yang mengikat, sah, dan berlaku bagi BUP, dan dapat dilaksanakan sesuai dengan ketentuannya kecuali pelaksanaan yang mungkin dibatasi karena hukum yang berlaku terkait kepailitan, insolvensi, reorganisasi, moratorium, atau </w:t>
            </w:r>
            <w:r w:rsidRPr="00A67277">
              <w:rPr>
                <w:rFonts w:cs="Arial"/>
                <w:lang w:val="en-US" w:eastAsia="id-ID"/>
              </w:rPr>
              <w:t>H</w:t>
            </w:r>
            <w:r w:rsidRPr="00A67277">
              <w:rPr>
                <w:rFonts w:cs="Arial"/>
                <w:lang w:val="id-ID" w:eastAsia="id-ID"/>
              </w:rPr>
              <w:t>ukum sejenis lainnya yang mempengaruhi hak kreditur secara umum;</w:t>
            </w:r>
          </w:p>
        </w:tc>
      </w:tr>
      <w:tr w:rsidR="00862B0B" w:rsidRPr="00A67277" w14:paraId="50AD44D4" w14:textId="77777777" w:rsidTr="00862B0B">
        <w:trPr>
          <w:gridAfter w:val="1"/>
          <w:wAfter w:w="47" w:type="pct"/>
        </w:trPr>
        <w:tc>
          <w:tcPr>
            <w:tcW w:w="2270" w:type="pct"/>
          </w:tcPr>
          <w:p w14:paraId="7483B947" w14:textId="77777777" w:rsidR="00862B0B" w:rsidRPr="00A67277" w:rsidRDefault="00862B0B" w:rsidP="00862B0B">
            <w:pPr>
              <w:pStyle w:val="Level3"/>
              <w:numPr>
                <w:ilvl w:val="2"/>
                <w:numId w:val="518"/>
              </w:numPr>
              <w:tabs>
                <w:tab w:val="clear" w:pos="1417"/>
                <w:tab w:val="num" w:pos="1620"/>
              </w:tabs>
              <w:spacing w:before="60" w:after="60"/>
              <w:ind w:left="1620" w:hanging="540"/>
            </w:pPr>
            <w:r w:rsidRPr="00A67277">
              <w:t>there are no actions, suits or proceedings pending or, to the IBE’s knowledge, threatened, against or affecting the IBE before any court or administrative body or arbitral tribunal that might materially and/or adversely affect the ability of the IBE to meet and carry out its obligations under this Agreement or the Project Agreements to which it is a party; and</w:t>
            </w:r>
          </w:p>
        </w:tc>
        <w:tc>
          <w:tcPr>
            <w:tcW w:w="169" w:type="pct"/>
          </w:tcPr>
          <w:p w14:paraId="7C67DF36" w14:textId="77777777" w:rsidR="00862B0B" w:rsidRPr="00A67277" w:rsidRDefault="00862B0B" w:rsidP="00862B0B">
            <w:pPr>
              <w:spacing w:before="60" w:after="60"/>
              <w:rPr>
                <w:rFonts w:ascii="Arial" w:hAnsi="Arial" w:cs="Arial"/>
                <w:sz w:val="21"/>
                <w:szCs w:val="21"/>
              </w:rPr>
            </w:pPr>
          </w:p>
        </w:tc>
        <w:tc>
          <w:tcPr>
            <w:tcW w:w="2514" w:type="pct"/>
          </w:tcPr>
          <w:p w14:paraId="37EB15BA" w14:textId="77777777" w:rsidR="00862B0B" w:rsidRPr="00A67277" w:rsidRDefault="00862B0B" w:rsidP="00862B0B">
            <w:pPr>
              <w:pStyle w:val="Level3"/>
              <w:numPr>
                <w:ilvl w:val="0"/>
                <w:numId w:val="139"/>
              </w:numPr>
              <w:spacing w:before="60" w:after="60"/>
              <w:ind w:left="1692" w:hanging="540"/>
              <w:rPr>
                <w:rFonts w:cs="Arial"/>
                <w:lang w:val="id-ID" w:eastAsia="id-ID"/>
              </w:rPr>
            </w:pPr>
            <w:r w:rsidRPr="00A67277">
              <w:rPr>
                <w:rFonts w:cs="Arial"/>
                <w:lang w:val="id-ID" w:eastAsia="id-ID"/>
              </w:rPr>
              <w:t>tidak ada tindakan, tuntutan atau proses yang tertunda atau, atas pengetahuan BUP, yang mengancam, melawan atau mempengaruhi BUP di hadapan pengadilan atau badan administratif atau majelis arbitrase yang secara material dan/atau secara merugikan dapat mempengaruhi kemampuan BUP untuk memenuhi dan melaksanakan kewajibannya berdasarkan Perjanjian ini atau Perjanjian Proyek lainya dimana BUP merupakan pihak; dan</w:t>
            </w:r>
          </w:p>
        </w:tc>
      </w:tr>
      <w:tr w:rsidR="00862B0B" w:rsidRPr="00A67277" w14:paraId="21E91327" w14:textId="77777777" w:rsidTr="00862B0B">
        <w:trPr>
          <w:gridAfter w:val="1"/>
          <w:wAfter w:w="47" w:type="pct"/>
        </w:trPr>
        <w:tc>
          <w:tcPr>
            <w:tcW w:w="2270" w:type="pct"/>
          </w:tcPr>
          <w:p w14:paraId="22366510" w14:textId="77777777" w:rsidR="00862B0B" w:rsidRPr="00A67277" w:rsidRDefault="00862B0B" w:rsidP="00862B0B">
            <w:pPr>
              <w:pStyle w:val="Level3"/>
              <w:numPr>
                <w:ilvl w:val="2"/>
                <w:numId w:val="518"/>
              </w:numPr>
              <w:tabs>
                <w:tab w:val="clear" w:pos="1417"/>
                <w:tab w:val="num" w:pos="1620"/>
              </w:tabs>
              <w:spacing w:before="60" w:after="60"/>
              <w:ind w:left="1620" w:hanging="540"/>
            </w:pPr>
            <w:r w:rsidRPr="00A67277">
              <w:t>the execution, delivery and performance by the IBE of this Agreement and the Project Agreements to which it is a party have been duly authorised by all requisite corporate action, and will not contravene any provision of, or constitute a default under, any other agreement or instrument to which it is a party or by which it or its property may be bound.</w:t>
            </w:r>
          </w:p>
        </w:tc>
        <w:tc>
          <w:tcPr>
            <w:tcW w:w="169" w:type="pct"/>
          </w:tcPr>
          <w:p w14:paraId="1BCFEDCF" w14:textId="77777777" w:rsidR="00862B0B" w:rsidRPr="00A67277" w:rsidRDefault="00862B0B" w:rsidP="00862B0B">
            <w:pPr>
              <w:spacing w:before="60" w:after="60"/>
              <w:rPr>
                <w:rFonts w:ascii="Arial" w:hAnsi="Arial" w:cs="Arial"/>
                <w:sz w:val="21"/>
                <w:szCs w:val="21"/>
              </w:rPr>
            </w:pPr>
          </w:p>
        </w:tc>
        <w:tc>
          <w:tcPr>
            <w:tcW w:w="2514" w:type="pct"/>
          </w:tcPr>
          <w:p w14:paraId="12E2CD42" w14:textId="77777777" w:rsidR="00862B0B" w:rsidRPr="00A67277" w:rsidRDefault="00862B0B" w:rsidP="00862B0B">
            <w:pPr>
              <w:pStyle w:val="Level3"/>
              <w:numPr>
                <w:ilvl w:val="0"/>
                <w:numId w:val="139"/>
              </w:numPr>
              <w:spacing w:before="60" w:after="60"/>
              <w:ind w:left="1692" w:hanging="540"/>
              <w:rPr>
                <w:rFonts w:cs="Arial"/>
                <w:lang w:val="id-ID" w:eastAsia="id-ID"/>
              </w:rPr>
            </w:pPr>
            <w:r w:rsidRPr="00A67277">
              <w:rPr>
                <w:rFonts w:cs="Arial"/>
                <w:lang w:val="id-ID" w:eastAsia="id-ID"/>
              </w:rPr>
              <w:t>penandatanganan, penyerahan dan pelaksanaan oleh BUP atas Perjanjian ini dan Perjanjian Proyek dimana BUP merupakan pihak telah disahkan oleh seluruh tindakan korporasi yang diperlukan, dan tidak akan bertentangan dengan ketentuan, atau merupakan cidera janji, dalam setiap perjanjian atau instrumen lain dimana BUP merupakan pihak atau yang terhadapnya BUP atau asetnya terikat.</w:t>
            </w:r>
          </w:p>
        </w:tc>
      </w:tr>
      <w:tr w:rsidR="00862B0B" w:rsidRPr="00A67277" w14:paraId="2C57B2B0" w14:textId="77777777" w:rsidTr="00862B0B">
        <w:trPr>
          <w:gridAfter w:val="1"/>
          <w:wAfter w:w="47" w:type="pct"/>
        </w:trPr>
        <w:tc>
          <w:tcPr>
            <w:tcW w:w="2270" w:type="pct"/>
          </w:tcPr>
          <w:p w14:paraId="05907F29" w14:textId="77777777" w:rsidR="00862B0B" w:rsidRPr="00A67277" w:rsidRDefault="00862B0B" w:rsidP="00862B0B">
            <w:pPr>
              <w:pStyle w:val="Heading2"/>
              <w:numPr>
                <w:ilvl w:val="0"/>
                <w:numId w:val="138"/>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Representations and Warranties of GCA</w:t>
            </w:r>
          </w:p>
        </w:tc>
        <w:tc>
          <w:tcPr>
            <w:tcW w:w="169" w:type="pct"/>
          </w:tcPr>
          <w:p w14:paraId="136B0005" w14:textId="77777777" w:rsidR="00862B0B" w:rsidRPr="00A67277" w:rsidRDefault="00862B0B" w:rsidP="00862B0B">
            <w:pPr>
              <w:spacing w:before="60" w:after="60"/>
              <w:rPr>
                <w:rFonts w:ascii="Arial" w:hAnsi="Arial" w:cs="Arial"/>
                <w:sz w:val="21"/>
                <w:szCs w:val="21"/>
              </w:rPr>
            </w:pPr>
          </w:p>
        </w:tc>
        <w:tc>
          <w:tcPr>
            <w:tcW w:w="2514" w:type="pct"/>
          </w:tcPr>
          <w:p w14:paraId="0AEC752B" w14:textId="77777777" w:rsidR="00862B0B" w:rsidRPr="00A67277" w:rsidRDefault="00862B0B" w:rsidP="00862B0B">
            <w:pPr>
              <w:pStyle w:val="Heading2"/>
              <w:numPr>
                <w:ilvl w:val="0"/>
                <w:numId w:val="18"/>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Pernyataan dan Jaminan PJPK</w:t>
            </w:r>
          </w:p>
        </w:tc>
      </w:tr>
      <w:tr w:rsidR="00862B0B" w:rsidRPr="00A67277" w14:paraId="0994FE6F" w14:textId="77777777" w:rsidTr="00862B0B">
        <w:trPr>
          <w:gridAfter w:val="1"/>
          <w:wAfter w:w="47" w:type="pct"/>
        </w:trPr>
        <w:tc>
          <w:tcPr>
            <w:tcW w:w="2270" w:type="pct"/>
          </w:tcPr>
          <w:p w14:paraId="3B6EC907" w14:textId="77777777" w:rsidR="00862B0B" w:rsidRPr="00A67277" w:rsidRDefault="00862B0B" w:rsidP="00862B0B">
            <w:pPr>
              <w:pStyle w:val="Body2"/>
              <w:spacing w:before="60" w:after="60"/>
              <w:ind w:left="1080"/>
            </w:pPr>
            <w:r w:rsidRPr="00A67277">
              <w:t>GCA represents and warrants that:</w:t>
            </w:r>
          </w:p>
          <w:p w14:paraId="2422E923" w14:textId="77777777" w:rsidR="00862B0B" w:rsidRPr="00A67277" w:rsidRDefault="00862B0B" w:rsidP="00862B0B">
            <w:pPr>
              <w:tabs>
                <w:tab w:val="left" w:pos="3181"/>
              </w:tabs>
              <w:spacing w:before="60" w:after="60"/>
              <w:rPr>
                <w:rFonts w:ascii="Arial" w:hAnsi="Arial" w:cs="Arial"/>
                <w:sz w:val="21"/>
                <w:szCs w:val="21"/>
              </w:rPr>
            </w:pPr>
            <w:r w:rsidRPr="00A67277">
              <w:rPr>
                <w:rFonts w:ascii="Arial" w:hAnsi="Arial" w:cs="Arial"/>
                <w:sz w:val="21"/>
                <w:szCs w:val="21"/>
              </w:rPr>
              <w:tab/>
            </w:r>
          </w:p>
        </w:tc>
        <w:tc>
          <w:tcPr>
            <w:tcW w:w="169" w:type="pct"/>
          </w:tcPr>
          <w:p w14:paraId="6A56A427" w14:textId="77777777" w:rsidR="00862B0B" w:rsidRPr="00A67277" w:rsidRDefault="00862B0B" w:rsidP="00862B0B">
            <w:pPr>
              <w:spacing w:before="60" w:after="60"/>
              <w:rPr>
                <w:rFonts w:ascii="Arial" w:hAnsi="Arial" w:cs="Arial"/>
                <w:sz w:val="21"/>
                <w:szCs w:val="21"/>
              </w:rPr>
            </w:pPr>
          </w:p>
        </w:tc>
        <w:tc>
          <w:tcPr>
            <w:tcW w:w="2514" w:type="pct"/>
          </w:tcPr>
          <w:p w14:paraId="18E44E1A" w14:textId="77777777" w:rsidR="00862B0B" w:rsidRPr="00A67277" w:rsidRDefault="00862B0B" w:rsidP="00862B0B">
            <w:pPr>
              <w:pStyle w:val="Body2"/>
              <w:spacing w:before="60" w:after="60"/>
              <w:ind w:left="1152"/>
              <w:rPr>
                <w:rFonts w:cs="Arial"/>
              </w:rPr>
            </w:pPr>
            <w:r w:rsidRPr="00A67277">
              <w:rPr>
                <w:rFonts w:cs="Arial"/>
              </w:rPr>
              <w:t xml:space="preserve">PJPK </w:t>
            </w:r>
            <w:r w:rsidRPr="00A67277">
              <w:rPr>
                <w:rFonts w:cs="Arial"/>
                <w:lang w:val="id-ID"/>
              </w:rPr>
              <w:t>menyatakan</w:t>
            </w:r>
            <w:r w:rsidRPr="00A67277">
              <w:rPr>
                <w:rFonts w:cs="Arial"/>
              </w:rPr>
              <w:t xml:space="preserve"> </w:t>
            </w:r>
            <w:r w:rsidRPr="00A67277">
              <w:rPr>
                <w:rFonts w:cs="Arial"/>
                <w:lang w:val="id-ID"/>
              </w:rPr>
              <w:t>dan</w:t>
            </w:r>
            <w:r w:rsidRPr="00A67277">
              <w:rPr>
                <w:rFonts w:cs="Arial"/>
              </w:rPr>
              <w:t xml:space="preserve"> </w:t>
            </w:r>
            <w:r w:rsidRPr="00A67277">
              <w:rPr>
                <w:rFonts w:cs="Arial"/>
                <w:lang w:val="id-ID"/>
              </w:rPr>
              <w:t>menjamin</w:t>
            </w:r>
            <w:r w:rsidRPr="00A67277">
              <w:rPr>
                <w:rFonts w:cs="Arial"/>
              </w:rPr>
              <w:t xml:space="preserve"> </w:t>
            </w:r>
            <w:r w:rsidRPr="00A67277">
              <w:rPr>
                <w:rFonts w:cs="Arial"/>
                <w:lang w:val="id-ID"/>
              </w:rPr>
              <w:t>bahwa</w:t>
            </w:r>
            <w:r w:rsidRPr="00A67277">
              <w:rPr>
                <w:rFonts w:cs="Arial"/>
              </w:rPr>
              <w:t>:</w:t>
            </w:r>
          </w:p>
        </w:tc>
      </w:tr>
      <w:tr w:rsidR="00862B0B" w:rsidRPr="00A67277" w14:paraId="76CA8F1F" w14:textId="77777777" w:rsidTr="00862B0B">
        <w:trPr>
          <w:gridAfter w:val="1"/>
          <w:wAfter w:w="47" w:type="pct"/>
        </w:trPr>
        <w:tc>
          <w:tcPr>
            <w:tcW w:w="2270" w:type="pct"/>
          </w:tcPr>
          <w:p w14:paraId="33F1AAA3" w14:textId="77777777" w:rsidR="00862B0B" w:rsidRPr="00A67277" w:rsidRDefault="00862B0B" w:rsidP="00862B0B">
            <w:pPr>
              <w:pStyle w:val="Level3"/>
              <w:numPr>
                <w:ilvl w:val="2"/>
                <w:numId w:val="519"/>
              </w:numPr>
              <w:tabs>
                <w:tab w:val="clear" w:pos="1417"/>
              </w:tabs>
              <w:spacing w:before="60" w:after="60"/>
              <w:ind w:left="1620" w:hanging="540"/>
            </w:pPr>
            <w:r w:rsidRPr="00A67277">
              <w:t>GCA has all requisite legal power to execute this Agreement on behalf of its organisation and to carry out the terms, conditions and provisions of this Agreement and the Project Agreements to which it is a party;</w:t>
            </w:r>
          </w:p>
          <w:p w14:paraId="592BFF89" w14:textId="77777777" w:rsidR="00862B0B" w:rsidRPr="00A67277" w:rsidRDefault="00862B0B" w:rsidP="00862B0B">
            <w:pPr>
              <w:spacing w:before="60" w:after="60"/>
              <w:ind w:left="1620" w:hanging="540"/>
              <w:rPr>
                <w:rFonts w:ascii="Arial" w:eastAsia="Arial Unicode MS" w:hAnsi="Arial" w:cs="Times New Roman"/>
                <w:sz w:val="21"/>
                <w:szCs w:val="21"/>
                <w:lang w:val="en-GB" w:eastAsia="en-GB"/>
              </w:rPr>
            </w:pPr>
          </w:p>
        </w:tc>
        <w:tc>
          <w:tcPr>
            <w:tcW w:w="169" w:type="pct"/>
          </w:tcPr>
          <w:p w14:paraId="07F72030" w14:textId="77777777" w:rsidR="00862B0B" w:rsidRPr="00A67277" w:rsidRDefault="00862B0B" w:rsidP="00862B0B">
            <w:pPr>
              <w:spacing w:before="60" w:after="60"/>
              <w:rPr>
                <w:rFonts w:ascii="Arial" w:hAnsi="Arial" w:cs="Arial"/>
                <w:sz w:val="21"/>
                <w:szCs w:val="21"/>
              </w:rPr>
            </w:pPr>
          </w:p>
        </w:tc>
        <w:tc>
          <w:tcPr>
            <w:tcW w:w="2514" w:type="pct"/>
          </w:tcPr>
          <w:p w14:paraId="2E9A76C1" w14:textId="77777777" w:rsidR="00862B0B" w:rsidRPr="00A67277" w:rsidRDefault="00862B0B" w:rsidP="00862B0B">
            <w:pPr>
              <w:pStyle w:val="Level3"/>
              <w:numPr>
                <w:ilvl w:val="0"/>
                <w:numId w:val="140"/>
              </w:numPr>
              <w:spacing w:before="60" w:after="60"/>
              <w:ind w:left="1692" w:hanging="540"/>
              <w:rPr>
                <w:rFonts w:cs="Arial"/>
                <w:lang w:val="id-ID" w:eastAsia="id-ID"/>
              </w:rPr>
            </w:pPr>
            <w:r w:rsidRPr="00A67277">
              <w:rPr>
                <w:rFonts w:cs="Arial"/>
                <w:lang w:val="id-ID" w:eastAsia="id-ID"/>
              </w:rPr>
              <w:t xml:space="preserve">PJPK memiliki seluruh kekuatan hukum yang diperlukan untuk menandatangani Perjanjian ini </w:t>
            </w:r>
            <w:r w:rsidRPr="00A67277">
              <w:rPr>
                <w:rFonts w:cs="Arial"/>
              </w:rPr>
              <w:t>atas</w:t>
            </w:r>
            <w:r w:rsidRPr="00A67277">
              <w:rPr>
                <w:rFonts w:cs="Arial"/>
                <w:lang w:val="id-ID" w:eastAsia="id-ID"/>
              </w:rPr>
              <w:t xml:space="preserve"> nama </w:t>
            </w:r>
            <w:r w:rsidRPr="00A67277">
              <w:rPr>
                <w:rFonts w:cs="Arial"/>
                <w:lang w:val="en-ID" w:eastAsia="id-ID"/>
              </w:rPr>
              <w:t>organisasinya</w:t>
            </w:r>
            <w:r w:rsidRPr="00A67277">
              <w:rPr>
                <w:rFonts w:cs="Arial"/>
                <w:lang w:val="id-ID" w:eastAsia="id-ID"/>
              </w:rPr>
              <w:t xml:space="preserve"> dan untuk melaksanakan ketentuan, syarat dan pengaturan dalam Perjanjian ini</w:t>
            </w:r>
            <w:r w:rsidRPr="00A67277">
              <w:rPr>
                <w:rFonts w:cs="Arial"/>
                <w:lang w:val="en-ID" w:eastAsia="id-ID"/>
              </w:rPr>
              <w:t xml:space="preserve"> dam Perjanjian Proyek yang mana PJPK merupakan pihak di dalamnya</w:t>
            </w:r>
            <w:r w:rsidRPr="00A67277">
              <w:rPr>
                <w:rFonts w:cs="Arial"/>
                <w:lang w:val="id-ID" w:eastAsia="id-ID"/>
              </w:rPr>
              <w:t>;</w:t>
            </w:r>
          </w:p>
        </w:tc>
      </w:tr>
      <w:tr w:rsidR="00862B0B" w:rsidRPr="00A67277" w14:paraId="49917452" w14:textId="77777777" w:rsidTr="00862B0B">
        <w:trPr>
          <w:gridAfter w:val="1"/>
          <w:wAfter w:w="47" w:type="pct"/>
        </w:trPr>
        <w:tc>
          <w:tcPr>
            <w:tcW w:w="2270" w:type="pct"/>
          </w:tcPr>
          <w:p w14:paraId="53E17D44" w14:textId="77777777" w:rsidR="00862B0B" w:rsidRPr="00A67277" w:rsidRDefault="00862B0B" w:rsidP="00862B0B">
            <w:pPr>
              <w:pStyle w:val="Level3"/>
              <w:numPr>
                <w:ilvl w:val="2"/>
                <w:numId w:val="519"/>
              </w:numPr>
              <w:tabs>
                <w:tab w:val="clear" w:pos="1417"/>
              </w:tabs>
              <w:spacing w:before="60" w:after="60"/>
              <w:ind w:left="1620" w:hanging="540"/>
            </w:pPr>
            <w:r w:rsidRPr="00A67277">
              <w:t>all legislative, administrative or other governmental action required to authorise the execution, delivery and performance by GCA of this Agreement and the other Project Agreements to which it is a party and the transactions contemplated hereby and thereby have been taken and are in full force and effect except to the extent of actions which by the terms of such documents are to be taken at a later time and except to the extent that the effectiveness of any other document is conditioned upon the effectiveness of this Agreement;</w:t>
            </w:r>
          </w:p>
        </w:tc>
        <w:tc>
          <w:tcPr>
            <w:tcW w:w="169" w:type="pct"/>
          </w:tcPr>
          <w:p w14:paraId="0C8F6DDA" w14:textId="77777777" w:rsidR="00862B0B" w:rsidRPr="00A67277" w:rsidRDefault="00862B0B" w:rsidP="00862B0B">
            <w:pPr>
              <w:spacing w:before="60" w:after="60"/>
              <w:rPr>
                <w:rFonts w:ascii="Arial" w:hAnsi="Arial" w:cs="Arial"/>
                <w:sz w:val="21"/>
                <w:szCs w:val="21"/>
              </w:rPr>
            </w:pPr>
          </w:p>
        </w:tc>
        <w:tc>
          <w:tcPr>
            <w:tcW w:w="2514" w:type="pct"/>
          </w:tcPr>
          <w:p w14:paraId="7575F6FE" w14:textId="77777777" w:rsidR="00862B0B" w:rsidRPr="00A67277" w:rsidRDefault="00862B0B" w:rsidP="00862B0B">
            <w:pPr>
              <w:pStyle w:val="Level3"/>
              <w:numPr>
                <w:ilvl w:val="0"/>
                <w:numId w:val="140"/>
              </w:numPr>
              <w:spacing w:before="60" w:after="60"/>
              <w:ind w:left="1692" w:hanging="540"/>
              <w:rPr>
                <w:rFonts w:cs="Arial"/>
                <w:lang w:val="id-ID" w:eastAsia="id-ID"/>
              </w:rPr>
            </w:pPr>
            <w:r w:rsidRPr="00A67277">
              <w:rPr>
                <w:rFonts w:cs="Arial"/>
                <w:lang w:val="id-ID" w:eastAsia="id-ID"/>
              </w:rPr>
              <w:t>seluruh tindakan legislatif, administratif dan tindakan pemerintah lainnya yang diperlukan untuk penandatanganan, penyerahan dan pelaksanaan oleh PJPK dari Perjanjian ini dan Perjanjian Proyek lainnya yang mana PJPK merupakan pihak dan transaksi dimaksud dalam Perjanjian ini atau dalam Perjanjian Proyek tersebut telah diambil dan berlaku penuh kecuali sejauh mana tindakan yang menurut persyaratan dalam dokumen-dokumen tersebut harus diambil pada suatu saat nanti dan kecuali sejauh mana efektivitas dokumen lainnya bergantung kepada efektivitas Perjanjian ini</w:t>
            </w:r>
          </w:p>
        </w:tc>
      </w:tr>
      <w:tr w:rsidR="00862B0B" w:rsidRPr="00A67277" w14:paraId="38108549" w14:textId="77777777" w:rsidTr="00862B0B">
        <w:trPr>
          <w:gridAfter w:val="1"/>
          <w:wAfter w:w="47" w:type="pct"/>
        </w:trPr>
        <w:tc>
          <w:tcPr>
            <w:tcW w:w="2270" w:type="pct"/>
          </w:tcPr>
          <w:p w14:paraId="6C2845FA" w14:textId="77777777" w:rsidR="00862B0B" w:rsidRPr="00A67277" w:rsidRDefault="00862B0B" w:rsidP="00862B0B">
            <w:pPr>
              <w:pStyle w:val="Level3"/>
              <w:numPr>
                <w:ilvl w:val="2"/>
                <w:numId w:val="519"/>
              </w:numPr>
              <w:tabs>
                <w:tab w:val="clear" w:pos="1417"/>
              </w:tabs>
              <w:spacing w:before="60" w:after="60"/>
              <w:ind w:left="1620" w:hanging="540"/>
            </w:pPr>
            <w:r w:rsidRPr="00A67277">
              <w:t>this Agreement constitutes the valid, legal and binding obligation of the GCA, enforceable in accordance with the terms of this Agreement and the Project Agreements to which it is a party except as the enforceability may be limited by applicable bankruptcy, insolvency, reorganization, moratorium or other similar laws affecting creditors’ rights generally;</w:t>
            </w:r>
          </w:p>
        </w:tc>
        <w:tc>
          <w:tcPr>
            <w:tcW w:w="169" w:type="pct"/>
          </w:tcPr>
          <w:p w14:paraId="60118001" w14:textId="77777777" w:rsidR="00862B0B" w:rsidRPr="00A67277" w:rsidRDefault="00862B0B" w:rsidP="00862B0B">
            <w:pPr>
              <w:spacing w:before="60" w:after="60"/>
              <w:rPr>
                <w:rFonts w:ascii="Arial" w:hAnsi="Arial" w:cs="Arial"/>
                <w:sz w:val="21"/>
                <w:szCs w:val="21"/>
              </w:rPr>
            </w:pPr>
          </w:p>
        </w:tc>
        <w:tc>
          <w:tcPr>
            <w:tcW w:w="2514" w:type="pct"/>
          </w:tcPr>
          <w:p w14:paraId="1A688DB1" w14:textId="77777777" w:rsidR="00862B0B" w:rsidRPr="00A67277" w:rsidRDefault="00862B0B" w:rsidP="00862B0B">
            <w:pPr>
              <w:pStyle w:val="Level3"/>
              <w:numPr>
                <w:ilvl w:val="0"/>
                <w:numId w:val="140"/>
              </w:numPr>
              <w:spacing w:before="60" w:after="60"/>
              <w:ind w:left="1692" w:hanging="540"/>
              <w:rPr>
                <w:rFonts w:cs="Arial"/>
                <w:lang w:val="id-ID" w:eastAsia="id-ID"/>
              </w:rPr>
            </w:pPr>
            <w:r w:rsidRPr="00A67277">
              <w:rPr>
                <w:rFonts w:cs="Arial"/>
                <w:lang w:val="id-ID" w:eastAsia="id-ID"/>
              </w:rPr>
              <w:t>Perjanjian ini menciptakan kewajiban yang mengikat, sah dan berlaku bagi PJPK, dapat dilaksanakan sesuai dengan ketentuan dalam Perjanjian ini dan Perjanjian Proyek dimana PJPK merupakan pihak kecuali pelaksanaan yang mungkin dibatasi karena hukum yang berlaku terkait kepailitan, insolvensi, reorganisasi, moratorium atau hukum sejenis lainnya yang mempengaruhi hak kreditur secara umum;</w:t>
            </w:r>
          </w:p>
        </w:tc>
      </w:tr>
      <w:tr w:rsidR="00862B0B" w:rsidRPr="00A67277" w14:paraId="4D7FE061" w14:textId="77777777" w:rsidTr="00862B0B">
        <w:trPr>
          <w:gridAfter w:val="1"/>
          <w:wAfter w:w="47" w:type="pct"/>
        </w:trPr>
        <w:tc>
          <w:tcPr>
            <w:tcW w:w="2270" w:type="pct"/>
          </w:tcPr>
          <w:p w14:paraId="6CD60E05" w14:textId="77777777" w:rsidR="00862B0B" w:rsidRPr="00A67277" w:rsidRDefault="00862B0B" w:rsidP="00862B0B">
            <w:pPr>
              <w:pStyle w:val="Level3"/>
              <w:numPr>
                <w:ilvl w:val="2"/>
                <w:numId w:val="519"/>
              </w:numPr>
              <w:tabs>
                <w:tab w:val="clear" w:pos="1417"/>
              </w:tabs>
              <w:spacing w:before="60" w:after="60"/>
              <w:ind w:left="1620" w:hanging="540"/>
            </w:pPr>
            <w:r w:rsidRPr="00A67277">
              <w:t>there are no actions, suits or proceedings pending or, to GCA’s knowledge, threatened, against or affecting GCA before any court or administrative body or arbitral tribunal which might materially and adversely affect the ability of GCA to meet and carry out its obligations under this Agreement; and</w:t>
            </w:r>
          </w:p>
        </w:tc>
        <w:tc>
          <w:tcPr>
            <w:tcW w:w="169" w:type="pct"/>
          </w:tcPr>
          <w:p w14:paraId="6AE4C11D" w14:textId="77777777" w:rsidR="00862B0B" w:rsidRPr="00A67277" w:rsidRDefault="00862B0B" w:rsidP="00862B0B">
            <w:pPr>
              <w:spacing w:before="60" w:after="60"/>
              <w:rPr>
                <w:rFonts w:ascii="Arial" w:hAnsi="Arial" w:cs="Arial"/>
                <w:sz w:val="21"/>
                <w:szCs w:val="21"/>
              </w:rPr>
            </w:pPr>
          </w:p>
        </w:tc>
        <w:tc>
          <w:tcPr>
            <w:tcW w:w="2514" w:type="pct"/>
          </w:tcPr>
          <w:p w14:paraId="64D15391" w14:textId="77777777" w:rsidR="00862B0B" w:rsidRPr="00A67277" w:rsidRDefault="00862B0B" w:rsidP="00862B0B">
            <w:pPr>
              <w:pStyle w:val="Level3"/>
              <w:numPr>
                <w:ilvl w:val="0"/>
                <w:numId w:val="140"/>
              </w:numPr>
              <w:spacing w:before="60" w:after="60"/>
              <w:ind w:left="1692" w:hanging="540"/>
              <w:rPr>
                <w:rFonts w:cs="Arial"/>
                <w:lang w:val="id-ID" w:eastAsia="id-ID"/>
              </w:rPr>
            </w:pPr>
            <w:r w:rsidRPr="00A67277">
              <w:rPr>
                <w:rFonts w:cs="Arial"/>
                <w:lang w:val="id-ID" w:eastAsia="id-ID"/>
              </w:rPr>
              <w:t>tidak ada tindakan, tuntutan atau proses yang tertunda atau, atas pengetahuan PJPK, yang mengancam, melawan atau mempengaruhi PJPK di hadapan pengadilan atau badan administratif atau majelis arbitrase yang secara material dan merugikan dapat mempengaruhi kemampuan PJPK untuk memenuhi dan melaksanakan kewajibannya berdasarkan Perjanjian ini; dan</w:t>
            </w:r>
          </w:p>
        </w:tc>
      </w:tr>
      <w:tr w:rsidR="00862B0B" w:rsidRPr="00A67277" w14:paraId="19AC6B03" w14:textId="77777777" w:rsidTr="00862B0B">
        <w:trPr>
          <w:gridAfter w:val="1"/>
          <w:wAfter w:w="47" w:type="pct"/>
        </w:trPr>
        <w:tc>
          <w:tcPr>
            <w:tcW w:w="2270" w:type="pct"/>
          </w:tcPr>
          <w:p w14:paraId="3DCFC8FF" w14:textId="77777777" w:rsidR="00862B0B" w:rsidRPr="00A67277" w:rsidRDefault="00862B0B" w:rsidP="00862B0B">
            <w:pPr>
              <w:pStyle w:val="Level3"/>
              <w:numPr>
                <w:ilvl w:val="2"/>
                <w:numId w:val="519"/>
              </w:numPr>
              <w:tabs>
                <w:tab w:val="clear" w:pos="1417"/>
              </w:tabs>
              <w:spacing w:before="60" w:after="60"/>
              <w:ind w:left="1620" w:hanging="540"/>
            </w:pPr>
            <w:r w:rsidRPr="00A67277">
              <w:t>the execution, delivery and performance of this Agreement and the Project Agreements to which it is a party by GCA have been duly authorised by all requisite action, and will not contravene any provision of, or constitute a default under, any other agreement or instrument to which it is a party or by which it or its property may be bound.</w:t>
            </w:r>
          </w:p>
        </w:tc>
        <w:tc>
          <w:tcPr>
            <w:tcW w:w="169" w:type="pct"/>
          </w:tcPr>
          <w:p w14:paraId="675EBDB8" w14:textId="77777777" w:rsidR="00862B0B" w:rsidRPr="00A67277" w:rsidRDefault="00862B0B" w:rsidP="00862B0B">
            <w:pPr>
              <w:spacing w:before="60" w:after="60"/>
              <w:rPr>
                <w:rFonts w:ascii="Arial" w:hAnsi="Arial" w:cs="Arial"/>
                <w:sz w:val="21"/>
                <w:szCs w:val="21"/>
              </w:rPr>
            </w:pPr>
          </w:p>
        </w:tc>
        <w:tc>
          <w:tcPr>
            <w:tcW w:w="2514" w:type="pct"/>
          </w:tcPr>
          <w:p w14:paraId="38A128F1" w14:textId="77777777" w:rsidR="00862B0B" w:rsidRPr="00A67277" w:rsidRDefault="00862B0B" w:rsidP="00862B0B">
            <w:pPr>
              <w:pStyle w:val="Level3"/>
              <w:numPr>
                <w:ilvl w:val="0"/>
                <w:numId w:val="140"/>
              </w:numPr>
              <w:spacing w:before="60" w:after="60"/>
              <w:ind w:left="1692" w:hanging="540"/>
              <w:rPr>
                <w:rFonts w:cs="Arial"/>
                <w:lang w:val="id-ID" w:eastAsia="id-ID"/>
              </w:rPr>
            </w:pPr>
            <w:r w:rsidRPr="00A67277">
              <w:rPr>
                <w:rFonts w:cs="Arial"/>
                <w:lang w:val="id-ID" w:eastAsia="id-ID"/>
              </w:rPr>
              <w:t>penandatanganan, penyerahan dan pelaksanaan Perjanjian ini oleh PJPK telah disahkan oleh seluruh semua tindakan korporasi yang diperlukan, dan tidak akan bertentangan dengan ketentuan, atau merupakan cidera janji, dalam setiap perjanjian atau instrumen lain dimana PJPK merupakan pihak atau yang terhadapnya PJPK atau asetnya terikat.</w:t>
            </w:r>
          </w:p>
        </w:tc>
      </w:tr>
      <w:tr w:rsidR="00862B0B" w:rsidRPr="00A67277" w14:paraId="7104B6F8" w14:textId="77777777" w:rsidTr="00862B0B">
        <w:trPr>
          <w:gridAfter w:val="1"/>
          <w:wAfter w:w="47" w:type="pct"/>
        </w:trPr>
        <w:tc>
          <w:tcPr>
            <w:tcW w:w="2270" w:type="pct"/>
          </w:tcPr>
          <w:p w14:paraId="0692142E" w14:textId="77777777" w:rsidR="00862B0B" w:rsidRPr="00A67277" w:rsidRDefault="00862B0B" w:rsidP="00862B0B">
            <w:pPr>
              <w:pStyle w:val="Heading1"/>
              <w:numPr>
                <w:ilvl w:val="0"/>
                <w:numId w:val="539"/>
              </w:numPr>
              <w:spacing w:before="60" w:after="60"/>
              <w:ind w:left="567" w:hanging="567"/>
            </w:pPr>
            <w:r w:rsidRPr="00A67277">
              <w:t>Settlement of Disputes</w:t>
            </w:r>
          </w:p>
        </w:tc>
        <w:tc>
          <w:tcPr>
            <w:tcW w:w="169" w:type="pct"/>
          </w:tcPr>
          <w:p w14:paraId="2D1CE421" w14:textId="77777777" w:rsidR="00862B0B" w:rsidRPr="00A67277" w:rsidRDefault="00862B0B" w:rsidP="00862B0B">
            <w:pPr>
              <w:spacing w:before="60" w:after="60"/>
              <w:rPr>
                <w:rFonts w:ascii="Arial" w:hAnsi="Arial" w:cs="Arial"/>
                <w:sz w:val="21"/>
                <w:szCs w:val="21"/>
              </w:rPr>
            </w:pPr>
          </w:p>
        </w:tc>
        <w:tc>
          <w:tcPr>
            <w:tcW w:w="2514" w:type="pct"/>
          </w:tcPr>
          <w:p w14:paraId="4868A167" w14:textId="77777777" w:rsidR="00862B0B" w:rsidRPr="00A67277" w:rsidRDefault="00862B0B" w:rsidP="00862B0B">
            <w:pPr>
              <w:pStyle w:val="CentredHeading"/>
              <w:numPr>
                <w:ilvl w:val="0"/>
                <w:numId w:val="540"/>
              </w:numPr>
              <w:spacing w:before="60" w:after="60"/>
              <w:ind w:left="483" w:hanging="425"/>
              <w:jc w:val="left"/>
              <w:rPr>
                <w:rFonts w:cs="Arial"/>
              </w:rPr>
            </w:pPr>
            <w:r w:rsidRPr="00A67277">
              <w:rPr>
                <w:rFonts w:cs="Arial"/>
                <w:lang w:val="en-US" w:eastAsia="en-US"/>
              </w:rPr>
              <w:t>Penyelesaian Sengketa</w:t>
            </w:r>
          </w:p>
        </w:tc>
      </w:tr>
      <w:tr w:rsidR="00862B0B" w:rsidRPr="00A67277" w14:paraId="7E9FED3C" w14:textId="77777777" w:rsidTr="00862B0B">
        <w:trPr>
          <w:gridAfter w:val="1"/>
          <w:wAfter w:w="47" w:type="pct"/>
        </w:trPr>
        <w:tc>
          <w:tcPr>
            <w:tcW w:w="2270" w:type="pct"/>
          </w:tcPr>
          <w:p w14:paraId="5CEC3E08" w14:textId="77777777" w:rsidR="00862B0B" w:rsidRPr="00A67277" w:rsidRDefault="00862B0B" w:rsidP="00862B0B">
            <w:pPr>
              <w:pStyle w:val="Heading2"/>
              <w:numPr>
                <w:ilvl w:val="0"/>
                <w:numId w:val="141"/>
              </w:numPr>
              <w:spacing w:before="60" w:after="60"/>
              <w:ind w:left="1080" w:hanging="540"/>
              <w:jc w:val="both"/>
              <w:outlineLvl w:val="1"/>
              <w:rPr>
                <w:rFonts w:ascii="Arial" w:hAnsi="Arial" w:cs="Arial"/>
                <w:b/>
                <w:color w:val="auto"/>
                <w:sz w:val="21"/>
                <w:szCs w:val="21"/>
              </w:rPr>
            </w:pPr>
            <w:r w:rsidRPr="00A67277">
              <w:rPr>
                <w:rFonts w:ascii="Arial" w:hAnsi="Arial" w:cs="Arial"/>
                <w:b/>
                <w:color w:val="auto"/>
                <w:sz w:val="21"/>
                <w:szCs w:val="21"/>
              </w:rPr>
              <w:t>Mutual Discussions and Mediation</w:t>
            </w:r>
          </w:p>
        </w:tc>
        <w:tc>
          <w:tcPr>
            <w:tcW w:w="169" w:type="pct"/>
          </w:tcPr>
          <w:p w14:paraId="6E148F25" w14:textId="77777777" w:rsidR="00862B0B" w:rsidRPr="00A67277" w:rsidRDefault="00862B0B" w:rsidP="00862B0B">
            <w:pPr>
              <w:spacing w:before="60" w:after="60"/>
              <w:rPr>
                <w:rFonts w:ascii="Arial" w:hAnsi="Arial" w:cs="Arial"/>
                <w:sz w:val="21"/>
                <w:szCs w:val="21"/>
              </w:rPr>
            </w:pPr>
          </w:p>
        </w:tc>
        <w:tc>
          <w:tcPr>
            <w:tcW w:w="2514" w:type="pct"/>
          </w:tcPr>
          <w:p w14:paraId="25C48145" w14:textId="77777777" w:rsidR="00862B0B" w:rsidRPr="00A67277" w:rsidRDefault="00862B0B" w:rsidP="00862B0B">
            <w:pPr>
              <w:pStyle w:val="Heading2"/>
              <w:numPr>
                <w:ilvl w:val="0"/>
                <w:numId w:val="19"/>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Musyawarah dan Mediasi</w:t>
            </w:r>
          </w:p>
        </w:tc>
      </w:tr>
      <w:tr w:rsidR="00862B0B" w:rsidRPr="00A67277" w14:paraId="6A360800" w14:textId="77777777" w:rsidTr="00862B0B">
        <w:trPr>
          <w:gridAfter w:val="1"/>
          <w:wAfter w:w="47" w:type="pct"/>
        </w:trPr>
        <w:tc>
          <w:tcPr>
            <w:tcW w:w="2270" w:type="pct"/>
          </w:tcPr>
          <w:p w14:paraId="585D0757" w14:textId="77777777" w:rsidR="00862B0B" w:rsidRPr="00A67277" w:rsidRDefault="00862B0B" w:rsidP="00862B0B">
            <w:pPr>
              <w:pStyle w:val="Level3"/>
              <w:numPr>
                <w:ilvl w:val="2"/>
                <w:numId w:val="520"/>
              </w:numPr>
              <w:tabs>
                <w:tab w:val="clear" w:pos="1417"/>
                <w:tab w:val="num" w:pos="1620"/>
              </w:tabs>
              <w:spacing w:before="60" w:after="60"/>
              <w:ind w:left="1620" w:hanging="551"/>
            </w:pPr>
            <w:r w:rsidRPr="00A67277">
              <w:t xml:space="preserve">If any Dispute or difference of any kind whatsoever shall arise between the Parties in connection with, or arising out of, this Agreement (including, without limitation, the breach, termination or validity of this Agreement) (a </w:t>
            </w:r>
            <w:r w:rsidRPr="00A67277">
              <w:rPr>
                <w:b/>
                <w:bCs/>
              </w:rPr>
              <w:t>Dispute</w:t>
            </w:r>
            <w:r w:rsidRPr="00A67277">
              <w:t>), the Parties shall attempt, for a period of one (1) Month after the receipt by one Party of a written notice from the other Party of the existence of the Dispute, to settle such Dispute in the first instance by mutual discussions between the Parties. To this end, upon receipt of written notification that a Dispute exists, each of the IBE and GCA shall designate in writing to the other a representative who shall be authorised to resolve by an agreement between them any Dispute.</w:t>
            </w:r>
          </w:p>
        </w:tc>
        <w:tc>
          <w:tcPr>
            <w:tcW w:w="169" w:type="pct"/>
          </w:tcPr>
          <w:p w14:paraId="03EF67DB" w14:textId="77777777" w:rsidR="00862B0B" w:rsidRPr="00A67277" w:rsidRDefault="00862B0B" w:rsidP="00862B0B">
            <w:pPr>
              <w:spacing w:before="60" w:after="60"/>
              <w:rPr>
                <w:rFonts w:ascii="Arial" w:hAnsi="Arial" w:cs="Arial"/>
                <w:sz w:val="21"/>
                <w:szCs w:val="21"/>
              </w:rPr>
            </w:pPr>
          </w:p>
        </w:tc>
        <w:tc>
          <w:tcPr>
            <w:tcW w:w="2514" w:type="pct"/>
          </w:tcPr>
          <w:p w14:paraId="126FE878" w14:textId="77777777" w:rsidR="00862B0B" w:rsidRPr="00A67277" w:rsidRDefault="00862B0B" w:rsidP="00862B0B">
            <w:pPr>
              <w:pStyle w:val="Level3"/>
              <w:numPr>
                <w:ilvl w:val="0"/>
                <w:numId w:val="142"/>
              </w:numPr>
              <w:spacing w:before="60" w:after="60"/>
              <w:ind w:left="1692" w:hanging="540"/>
              <w:rPr>
                <w:rFonts w:cs="Arial"/>
                <w:lang w:val="id-ID" w:eastAsia="id-ID"/>
              </w:rPr>
            </w:pPr>
            <w:r w:rsidRPr="00A67277">
              <w:rPr>
                <w:rFonts w:cs="Arial"/>
                <w:lang w:val="id-ID" w:eastAsia="id-ID"/>
              </w:rPr>
              <w:t xml:space="preserve">Apabila terdapat Sengketa atau perbedaan dalam bentuk apapun yang timbul diantara Para Pihak sehubungan dengan atau yang timbul dari Perjanjian ini (termasuk, namun tidak terbatas pada, </w:t>
            </w:r>
            <w:r w:rsidRPr="00A67277">
              <w:rPr>
                <w:rFonts w:cs="Arial"/>
              </w:rPr>
              <w:t>pelanggaran</w:t>
            </w:r>
            <w:r w:rsidRPr="00A67277">
              <w:rPr>
                <w:rFonts w:cs="Arial"/>
                <w:lang w:val="id-ID" w:eastAsia="id-ID"/>
              </w:rPr>
              <w:t>, pengakhiran atau keabsahan Perjanjian ini) (</w:t>
            </w:r>
            <w:r w:rsidRPr="00A67277">
              <w:rPr>
                <w:rFonts w:cs="Arial"/>
                <w:b/>
                <w:lang w:val="id-ID" w:eastAsia="id-ID"/>
              </w:rPr>
              <w:t>Sengketa</w:t>
            </w:r>
            <w:r w:rsidRPr="00A67277">
              <w:rPr>
                <w:rFonts w:cs="Arial"/>
                <w:lang w:val="id-ID" w:eastAsia="id-ID"/>
              </w:rPr>
              <w:t>), Para Pihak harus mengupayakan, untuk jangka waktu satu (1) bulan setelah diterimanya oleh salah satu Pihak suatu pemberitahuan tertulis dari Pihak lainnya mengenai adanya Sengketa, untuk menyelesaikan Sengketa tersebut pada tahap pertama melalui musyarawah diantara Para Pihak. Untuk tujuan ini, setelah menerima pemberitahuan tertulis mengenai keberadaan Sengketa, masing-masing BUP dan PJPK harus menunjuk perwakilannya secara tertulis kepada Pihak lainnya yang diberi wewenang untuk menyelesaikan Sengketa melalui suatu kesepakatan diantara mereka.</w:t>
            </w:r>
          </w:p>
        </w:tc>
      </w:tr>
      <w:tr w:rsidR="00862B0B" w:rsidRPr="00A67277" w14:paraId="020963CA" w14:textId="77777777" w:rsidTr="00862B0B">
        <w:trPr>
          <w:gridAfter w:val="1"/>
          <w:wAfter w:w="47" w:type="pct"/>
        </w:trPr>
        <w:tc>
          <w:tcPr>
            <w:tcW w:w="2270" w:type="pct"/>
          </w:tcPr>
          <w:p w14:paraId="35DDE1FC" w14:textId="6AA03AC3" w:rsidR="00862B0B" w:rsidRPr="00A67277" w:rsidRDefault="00862B0B" w:rsidP="00862B0B">
            <w:pPr>
              <w:pStyle w:val="Level3"/>
              <w:numPr>
                <w:ilvl w:val="2"/>
                <w:numId w:val="520"/>
              </w:numPr>
              <w:tabs>
                <w:tab w:val="clear" w:pos="1417"/>
                <w:tab w:val="num" w:pos="1620"/>
              </w:tabs>
              <w:spacing w:before="60" w:after="60"/>
              <w:ind w:left="1620" w:hanging="551"/>
            </w:pPr>
            <w:r w:rsidRPr="00A67277">
              <w:t>If the Dispute cannot be settled by mutual discussion within the one (1) Month period provided in paragraph (a), the Parties shall conduct a non-binding mediation for a period of one (1) Month from the date on which either Party initiates such mediation proceedings. The Parties agree to promptly meet and confer for the purpose of selecting a mediator. If the Parties cannot agree upon a mediator, each Party shall designate a mediator and those mediators shall select a third mediator who shall act as the head mediator. In the event that the two mediators are unable to agree on a third head mediator within a period of ten (10) Business Days then, without prejudice to either Party’s right to refer the Dispute to a Third Party Expert or to arbitration pursuant to Clauses 28.2 (</w:t>
            </w:r>
            <w:r w:rsidRPr="00A67277">
              <w:rPr>
                <w:i/>
              </w:rPr>
              <w:t>Referral to a Third Party Expert</w:t>
            </w:r>
            <w:r w:rsidRPr="00A67277">
              <w:t>) or 28.3 (</w:t>
            </w:r>
            <w:r w:rsidRPr="00A67277">
              <w:rPr>
                <w:i/>
              </w:rPr>
              <w:t>Arbitration</w:t>
            </w:r>
            <w:r w:rsidRPr="00A67277">
              <w:t>), the non-binding mediation process shall cease.</w:t>
            </w:r>
          </w:p>
        </w:tc>
        <w:tc>
          <w:tcPr>
            <w:tcW w:w="169" w:type="pct"/>
          </w:tcPr>
          <w:p w14:paraId="1C334F4D" w14:textId="77777777" w:rsidR="00862B0B" w:rsidRPr="00A67277" w:rsidRDefault="00862B0B" w:rsidP="00862B0B">
            <w:pPr>
              <w:spacing w:before="60" w:after="60"/>
              <w:rPr>
                <w:rFonts w:ascii="Arial" w:hAnsi="Arial" w:cs="Arial"/>
                <w:sz w:val="21"/>
                <w:szCs w:val="21"/>
              </w:rPr>
            </w:pPr>
          </w:p>
        </w:tc>
        <w:tc>
          <w:tcPr>
            <w:tcW w:w="2514" w:type="pct"/>
          </w:tcPr>
          <w:p w14:paraId="7775ECC6" w14:textId="1FFB2AD3" w:rsidR="00862B0B" w:rsidRPr="00A67277" w:rsidRDefault="00862B0B" w:rsidP="00862B0B">
            <w:pPr>
              <w:pStyle w:val="Level3"/>
              <w:numPr>
                <w:ilvl w:val="0"/>
                <w:numId w:val="142"/>
              </w:numPr>
              <w:spacing w:before="60" w:after="60"/>
              <w:ind w:left="1692" w:hanging="540"/>
              <w:rPr>
                <w:rFonts w:cs="Arial"/>
                <w:lang w:val="id-ID" w:eastAsia="id-ID"/>
              </w:rPr>
            </w:pPr>
            <w:r w:rsidRPr="00A67277">
              <w:rPr>
                <w:rFonts w:cs="Arial"/>
                <w:lang w:val="id-ID" w:eastAsia="id-ID"/>
              </w:rPr>
              <w:t>Jika Sengketa tidak dapat diselesaikan melalui musyawarah dalam jangka waktu 1 (satu) Bulan berdasarkan paragraf (a), Para Pihak harus melakukan mediasi yang tidak mengikat untuk jangka waktu satu (1) Bulan sejak tanggal dimana salah satu pihak memulai proses mediasi tersebut. Para Pihak setuju untuk segera bertemu dan berunding untuk tujuan memilih mediator. Jika Para Pihak tidak dapat menyetujui mediator, setiap Pihak harus menunjuk seorang mediator dan mediator tersebut harus memilih mediator ketiga yang akan bertindak sebagai mediator ketua. Dalam hal kedua mediator tidak dapat menyetujui mediator ketua dalam jangka waktu sepuluh (10) Hari Kerja, tanpa mengurangi hak salah satu Pihak untuk merujuk Sengketa kepada Ahli Independen atau arbitrase sesuai dengan Pasal 28.2 (</w:t>
            </w:r>
            <w:r w:rsidRPr="00A67277">
              <w:rPr>
                <w:rFonts w:cs="Arial"/>
                <w:i/>
                <w:lang w:val="id-ID" w:eastAsia="id-ID"/>
              </w:rPr>
              <w:t>Rujukan ke Ahli Independen</w:t>
            </w:r>
            <w:r w:rsidRPr="00A67277">
              <w:rPr>
                <w:rFonts w:cs="Arial"/>
                <w:lang w:val="id-ID" w:eastAsia="id-ID"/>
              </w:rPr>
              <w:t>) atau 2</w:t>
            </w:r>
            <w:r w:rsidRPr="00A67277">
              <w:rPr>
                <w:rFonts w:cs="Arial"/>
                <w:lang w:val="en-US" w:eastAsia="id-ID"/>
              </w:rPr>
              <w:t>8</w:t>
            </w:r>
            <w:r w:rsidRPr="00A67277">
              <w:rPr>
                <w:rFonts w:cs="Arial"/>
                <w:lang w:val="id-ID" w:eastAsia="id-ID"/>
              </w:rPr>
              <w:t>.3 (</w:t>
            </w:r>
            <w:r w:rsidRPr="00A67277">
              <w:rPr>
                <w:rFonts w:cs="Arial"/>
                <w:i/>
                <w:lang w:val="id-ID" w:eastAsia="id-ID"/>
              </w:rPr>
              <w:t>Arbitrase</w:t>
            </w:r>
            <w:r w:rsidRPr="00A67277">
              <w:rPr>
                <w:rFonts w:cs="Arial"/>
                <w:lang w:val="id-ID" w:eastAsia="id-ID"/>
              </w:rPr>
              <w:t>), proses mediasi yang tidak mengikat akan berhenti.</w:t>
            </w:r>
          </w:p>
        </w:tc>
      </w:tr>
      <w:tr w:rsidR="00862B0B" w:rsidRPr="00A67277" w14:paraId="5E75FD8D" w14:textId="77777777" w:rsidTr="00862B0B">
        <w:trPr>
          <w:gridAfter w:val="1"/>
          <w:wAfter w:w="47" w:type="pct"/>
        </w:trPr>
        <w:tc>
          <w:tcPr>
            <w:tcW w:w="2270" w:type="pct"/>
          </w:tcPr>
          <w:p w14:paraId="3D45F99A" w14:textId="77777777" w:rsidR="00862B0B" w:rsidRPr="00A67277" w:rsidRDefault="00862B0B" w:rsidP="00862B0B">
            <w:pPr>
              <w:pStyle w:val="Level3"/>
              <w:numPr>
                <w:ilvl w:val="2"/>
                <w:numId w:val="520"/>
              </w:numPr>
              <w:tabs>
                <w:tab w:val="clear" w:pos="1417"/>
                <w:tab w:val="num" w:pos="1620"/>
              </w:tabs>
              <w:spacing w:before="60" w:after="60"/>
              <w:ind w:left="1620" w:hanging="551"/>
            </w:pPr>
            <w:r w:rsidRPr="00A67277">
              <w:t>The mediation shall be conducted in such place and in accordance with such procedure and on such terms as the Parties may agree upon or, in the event of disagreement, in such place and on such terms and procedure as may be decided by the sole mediator or head mediator, as the case may be. Each Party shall bear its own costs and expenses incurred in the mediation and the Parties shall equally bear the costs and expenses of the mediator(s).</w:t>
            </w:r>
          </w:p>
        </w:tc>
        <w:tc>
          <w:tcPr>
            <w:tcW w:w="169" w:type="pct"/>
          </w:tcPr>
          <w:p w14:paraId="40854BC9" w14:textId="77777777" w:rsidR="00862B0B" w:rsidRPr="00A67277" w:rsidRDefault="00862B0B" w:rsidP="00862B0B">
            <w:pPr>
              <w:spacing w:before="60" w:after="60"/>
              <w:rPr>
                <w:rFonts w:ascii="Arial" w:hAnsi="Arial" w:cs="Arial"/>
                <w:sz w:val="21"/>
                <w:szCs w:val="21"/>
              </w:rPr>
            </w:pPr>
          </w:p>
        </w:tc>
        <w:tc>
          <w:tcPr>
            <w:tcW w:w="2514" w:type="pct"/>
          </w:tcPr>
          <w:p w14:paraId="54B92965" w14:textId="77777777" w:rsidR="00862B0B" w:rsidRPr="00A67277" w:rsidRDefault="00862B0B" w:rsidP="00862B0B">
            <w:pPr>
              <w:pStyle w:val="Level3"/>
              <w:numPr>
                <w:ilvl w:val="0"/>
                <w:numId w:val="142"/>
              </w:numPr>
              <w:spacing w:before="60" w:after="60"/>
              <w:ind w:left="1692" w:hanging="540"/>
              <w:rPr>
                <w:rFonts w:cs="Arial"/>
                <w:lang w:val="id-ID" w:eastAsia="id-ID"/>
              </w:rPr>
            </w:pPr>
            <w:r w:rsidRPr="00A67277">
              <w:rPr>
                <w:rFonts w:cs="Arial"/>
                <w:lang w:val="id-ID" w:eastAsia="id-ID"/>
              </w:rPr>
              <w:t>Mediasi harus dilakukan di tempat dan sesuai dengan prosedur tersebut dan dengan cara seperti yang dapat disetujui oleh Para Pihak atau, jika terjadi perselisihan, di tempat dan atas persyaratan dan prosedur yang dapat diputuskan oleh mediator tunggal atau mediator kepala, sebagaimani kasusnya. Masing-masing Pihak menanggung biaya dan pengeluarannya sendiri yang dikeluarkan dalam proses mediasi dan Para Pihak sama-sama menanggung biaya dan pengeluaran (para) mediator.</w:t>
            </w:r>
          </w:p>
        </w:tc>
      </w:tr>
      <w:tr w:rsidR="00862B0B" w:rsidRPr="00A67277" w14:paraId="6839C8CF" w14:textId="77777777" w:rsidTr="00862B0B">
        <w:trPr>
          <w:gridAfter w:val="1"/>
          <w:wAfter w:w="47" w:type="pct"/>
        </w:trPr>
        <w:tc>
          <w:tcPr>
            <w:tcW w:w="2270" w:type="pct"/>
          </w:tcPr>
          <w:p w14:paraId="6F8CFFB5" w14:textId="77777777" w:rsidR="00862B0B" w:rsidRPr="00A67277" w:rsidRDefault="00862B0B" w:rsidP="00862B0B">
            <w:pPr>
              <w:pStyle w:val="Level3"/>
              <w:numPr>
                <w:ilvl w:val="2"/>
                <w:numId w:val="520"/>
              </w:numPr>
              <w:tabs>
                <w:tab w:val="clear" w:pos="1417"/>
                <w:tab w:val="num" w:pos="1620"/>
              </w:tabs>
              <w:spacing w:before="60" w:after="60"/>
              <w:ind w:left="1620" w:hanging="551"/>
            </w:pPr>
            <w:r w:rsidRPr="00A67277">
              <w:t>If the Dispute is resolved successfully through mediation within the one (1) Month referred to in paragraph (b), the resolution will be documented by a written agreement executed by the Parties. If the mediation does not successfully resolve the Dispute within the one (1) Month period referred to in paragraph (b) the mediator(s) shall provide written notice to the Parties confirming the same.</w:t>
            </w:r>
          </w:p>
          <w:p w14:paraId="0F3ABBC4" w14:textId="77777777" w:rsidR="00862B0B" w:rsidRPr="00A67277" w:rsidRDefault="00862B0B" w:rsidP="00862B0B">
            <w:pPr>
              <w:tabs>
                <w:tab w:val="num" w:pos="1620"/>
              </w:tabs>
              <w:spacing w:before="60" w:after="60"/>
              <w:ind w:left="1620" w:hanging="551"/>
              <w:rPr>
                <w:rFonts w:ascii="Arial" w:eastAsia="Arial Unicode MS" w:hAnsi="Arial" w:cs="Times New Roman"/>
                <w:sz w:val="21"/>
                <w:szCs w:val="21"/>
                <w:lang w:val="en-GB" w:eastAsia="en-GB"/>
              </w:rPr>
            </w:pPr>
          </w:p>
        </w:tc>
        <w:tc>
          <w:tcPr>
            <w:tcW w:w="169" w:type="pct"/>
          </w:tcPr>
          <w:p w14:paraId="5B420F2A" w14:textId="77777777" w:rsidR="00862B0B" w:rsidRPr="00A67277" w:rsidRDefault="00862B0B" w:rsidP="00862B0B">
            <w:pPr>
              <w:spacing w:before="60" w:after="60"/>
              <w:rPr>
                <w:rFonts w:ascii="Arial" w:hAnsi="Arial" w:cs="Arial"/>
                <w:sz w:val="21"/>
                <w:szCs w:val="21"/>
              </w:rPr>
            </w:pPr>
          </w:p>
        </w:tc>
        <w:tc>
          <w:tcPr>
            <w:tcW w:w="2514" w:type="pct"/>
          </w:tcPr>
          <w:p w14:paraId="104CAA9B" w14:textId="77777777" w:rsidR="00862B0B" w:rsidRPr="00A67277" w:rsidRDefault="00862B0B" w:rsidP="00862B0B">
            <w:pPr>
              <w:pStyle w:val="Level3"/>
              <w:numPr>
                <w:ilvl w:val="0"/>
                <w:numId w:val="142"/>
              </w:numPr>
              <w:spacing w:before="60" w:after="60"/>
              <w:ind w:left="1692" w:hanging="540"/>
              <w:rPr>
                <w:rFonts w:cs="Arial"/>
                <w:lang w:val="id-ID" w:eastAsia="id-ID"/>
              </w:rPr>
            </w:pPr>
            <w:r w:rsidRPr="00A67277">
              <w:rPr>
                <w:rFonts w:cs="Arial"/>
                <w:lang w:val="id-ID" w:eastAsia="id-ID"/>
              </w:rPr>
              <w:t>Apabila Sengketa berhasil diselesaikan melalui mediasi dalam satu (1) Bulan yang disebut dalam paragraf (b), penyelesaian tersebut harus didokumentasikan dengan kesepakatan tertulis yang dilakukan oleh Para Pihak. Jika proses mediasi tidak berhasil menyelesaikan Sengketa dalam periode satu (1) Bulan sebagaimana dimaksud pada paragraf (b), (para) mediator harus memberikan pemberitahuan tertulis kepada Para Pihak yang mengonfirmasi hal yang tersebut.</w:t>
            </w:r>
          </w:p>
        </w:tc>
      </w:tr>
      <w:tr w:rsidR="00862B0B" w:rsidRPr="00A67277" w14:paraId="489FAE0A" w14:textId="77777777" w:rsidTr="00862B0B">
        <w:trPr>
          <w:gridAfter w:val="1"/>
          <w:wAfter w:w="47" w:type="pct"/>
        </w:trPr>
        <w:tc>
          <w:tcPr>
            <w:tcW w:w="2270" w:type="pct"/>
          </w:tcPr>
          <w:p w14:paraId="0BD99880" w14:textId="77777777" w:rsidR="00862B0B" w:rsidRPr="00A67277" w:rsidRDefault="00862B0B" w:rsidP="00862B0B">
            <w:pPr>
              <w:pStyle w:val="Heading2"/>
              <w:numPr>
                <w:ilvl w:val="0"/>
                <w:numId w:val="141"/>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Referral to a Third Party Expert</w:t>
            </w:r>
          </w:p>
        </w:tc>
        <w:tc>
          <w:tcPr>
            <w:tcW w:w="169" w:type="pct"/>
          </w:tcPr>
          <w:p w14:paraId="35BC1E2C" w14:textId="77777777" w:rsidR="00862B0B" w:rsidRPr="00A67277" w:rsidRDefault="00862B0B" w:rsidP="00862B0B">
            <w:pPr>
              <w:spacing w:before="60" w:after="60"/>
              <w:rPr>
                <w:rFonts w:ascii="Arial" w:hAnsi="Arial" w:cs="Arial"/>
                <w:sz w:val="21"/>
                <w:szCs w:val="21"/>
              </w:rPr>
            </w:pPr>
          </w:p>
        </w:tc>
        <w:tc>
          <w:tcPr>
            <w:tcW w:w="2514" w:type="pct"/>
          </w:tcPr>
          <w:p w14:paraId="0CDE5641" w14:textId="77777777" w:rsidR="00862B0B" w:rsidRPr="00A67277" w:rsidRDefault="00862B0B" w:rsidP="00862B0B">
            <w:pPr>
              <w:pStyle w:val="Heading2"/>
              <w:numPr>
                <w:ilvl w:val="0"/>
                <w:numId w:val="19"/>
              </w:numPr>
              <w:spacing w:before="60" w:after="60"/>
              <w:ind w:left="1152" w:hanging="540"/>
              <w:jc w:val="both"/>
              <w:outlineLvl w:val="1"/>
              <w:rPr>
                <w:rFonts w:ascii="Arial" w:hAnsi="Arial" w:cs="Arial"/>
                <w:color w:val="auto"/>
                <w:sz w:val="21"/>
                <w:szCs w:val="21"/>
              </w:rPr>
            </w:pPr>
            <w:r w:rsidRPr="00A67277">
              <w:rPr>
                <w:rFonts w:ascii="Arial" w:hAnsi="Arial" w:cs="Arial"/>
                <w:b/>
                <w:color w:val="auto"/>
                <w:sz w:val="21"/>
                <w:szCs w:val="21"/>
              </w:rPr>
              <w:t>Rujukan kepada Ahli Independen</w:t>
            </w:r>
          </w:p>
        </w:tc>
      </w:tr>
      <w:tr w:rsidR="00862B0B" w:rsidRPr="00A67277" w14:paraId="63B8BA4F" w14:textId="77777777" w:rsidTr="00862B0B">
        <w:trPr>
          <w:gridAfter w:val="1"/>
          <w:wAfter w:w="47" w:type="pct"/>
        </w:trPr>
        <w:tc>
          <w:tcPr>
            <w:tcW w:w="2270" w:type="pct"/>
          </w:tcPr>
          <w:p w14:paraId="30E498D7" w14:textId="77777777" w:rsidR="00862B0B" w:rsidRPr="00A67277" w:rsidRDefault="00862B0B" w:rsidP="00862B0B">
            <w:pPr>
              <w:pStyle w:val="Level3"/>
              <w:numPr>
                <w:ilvl w:val="2"/>
                <w:numId w:val="521"/>
              </w:numPr>
              <w:tabs>
                <w:tab w:val="clear" w:pos="1417"/>
              </w:tabs>
              <w:spacing w:before="60" w:after="60"/>
            </w:pPr>
            <w:r w:rsidRPr="00A67277">
              <w:t>If the Dispute cannot be settled by mutual discussion within the one (1) Month period provided in Clause 28.1(a) (</w:t>
            </w:r>
            <w:r w:rsidRPr="00A67277">
              <w:rPr>
                <w:rFonts w:eastAsia="Times New Roman"/>
                <w:i/>
              </w:rPr>
              <w:t>Mutual Discussions and Mediation</w:t>
            </w:r>
            <w:r w:rsidRPr="00A67277">
              <w:t>) or by mediation within the one (1) Month period provided in Clause 28.1(b) (</w:t>
            </w:r>
            <w:r w:rsidRPr="00A67277">
              <w:rPr>
                <w:rFonts w:eastAsia="Times New Roman"/>
                <w:i/>
              </w:rPr>
              <w:t>Mutual Discussions and Mediation</w:t>
            </w:r>
            <w:r w:rsidRPr="00A67277">
              <w:t>) and either (a) referral to a Third Party Expert is specifically required by this Agreement, or (b) the Parties so further agree in writing, the factual and/or technical issues in the Dispute (or part thereof) (“</w:t>
            </w:r>
            <w:r w:rsidRPr="00A67277">
              <w:rPr>
                <w:rFonts w:eastAsia="Times New Roman"/>
                <w:b/>
              </w:rPr>
              <w:t>Factual Issue</w:t>
            </w:r>
            <w:r w:rsidRPr="00A67277">
              <w:t>(</w:t>
            </w:r>
            <w:r w:rsidRPr="00A67277">
              <w:rPr>
                <w:rFonts w:eastAsia="Times New Roman"/>
                <w:b/>
              </w:rPr>
              <w:t>s</w:t>
            </w:r>
            <w:r w:rsidRPr="00A67277">
              <w:t>)”) shall be referred to Third Party Expert. (the “</w:t>
            </w:r>
            <w:r w:rsidRPr="00A67277">
              <w:rPr>
                <w:rFonts w:eastAsia="Times New Roman"/>
                <w:b/>
              </w:rPr>
              <w:t>Expert Proceeding”</w:t>
            </w:r>
            <w:r w:rsidRPr="00A67277">
              <w:t>).</w:t>
            </w:r>
          </w:p>
        </w:tc>
        <w:tc>
          <w:tcPr>
            <w:tcW w:w="169" w:type="pct"/>
          </w:tcPr>
          <w:p w14:paraId="4CC83676" w14:textId="77777777" w:rsidR="00862B0B" w:rsidRPr="00A67277" w:rsidRDefault="00862B0B" w:rsidP="00862B0B">
            <w:pPr>
              <w:spacing w:before="60" w:after="60"/>
              <w:rPr>
                <w:rFonts w:ascii="Arial" w:hAnsi="Arial" w:cs="Arial"/>
                <w:sz w:val="21"/>
                <w:szCs w:val="21"/>
              </w:rPr>
            </w:pPr>
          </w:p>
        </w:tc>
        <w:tc>
          <w:tcPr>
            <w:tcW w:w="2514" w:type="pct"/>
          </w:tcPr>
          <w:p w14:paraId="37DE3C36" w14:textId="7E9DE08B" w:rsidR="00862B0B" w:rsidRPr="00A67277" w:rsidRDefault="00862B0B" w:rsidP="00862B0B">
            <w:pPr>
              <w:pStyle w:val="Level3"/>
              <w:numPr>
                <w:ilvl w:val="0"/>
                <w:numId w:val="143"/>
              </w:numPr>
              <w:spacing w:before="60" w:after="60"/>
              <w:ind w:left="1692" w:hanging="540"/>
              <w:rPr>
                <w:rFonts w:cs="Arial"/>
              </w:rPr>
            </w:pPr>
            <w:r w:rsidRPr="00A67277">
              <w:rPr>
                <w:rFonts w:cs="Arial"/>
                <w:shd w:val="clear" w:color="auto" w:fill="FFFFFF"/>
              </w:rPr>
              <w:t>Jika Sengketa tidak dapat diselesaikan melalui musyawarah dalam jangka waktu satu (1) Bulan berdasarkan Pasal 28.1(a) (</w:t>
            </w:r>
            <w:r w:rsidRPr="00A67277">
              <w:rPr>
                <w:rFonts w:cs="Arial"/>
                <w:i/>
                <w:shd w:val="clear" w:color="auto" w:fill="FFFFFF"/>
                <w:lang w:val="id-ID"/>
              </w:rPr>
              <w:t>Musyawarah dan Mediasi</w:t>
            </w:r>
            <w:r w:rsidRPr="00A67277">
              <w:rPr>
                <w:rFonts w:cs="Arial"/>
                <w:shd w:val="clear" w:color="auto" w:fill="FFFFFF"/>
              </w:rPr>
              <w:t>) atau melalui proses mediasi dalam jangka waktu satu (1) Bulan berdasarkan Pasal 28.1(b) (</w:t>
            </w:r>
            <w:r w:rsidRPr="00A67277">
              <w:rPr>
                <w:rFonts w:cs="Arial"/>
                <w:i/>
                <w:shd w:val="clear" w:color="auto" w:fill="FFFFFF"/>
                <w:lang w:val="id-ID"/>
              </w:rPr>
              <w:t>Musyawarah</w:t>
            </w:r>
            <w:r w:rsidRPr="00A67277">
              <w:rPr>
                <w:rFonts w:cs="Arial"/>
                <w:i/>
                <w:shd w:val="clear" w:color="auto" w:fill="FFFFFF"/>
              </w:rPr>
              <w:t xml:space="preserve"> dan Mediasi</w:t>
            </w:r>
            <w:r w:rsidRPr="00A67277">
              <w:rPr>
                <w:rFonts w:cs="Arial"/>
                <w:shd w:val="clear" w:color="auto" w:fill="FFFFFF"/>
              </w:rPr>
              <w:t>) dan (a) rujukan kepada Ahli Independen secara khusus disyaratkan berdasarkan Perjanjian ini, atau (b) Para Pihak menyepakatinya secara tertulis, masalah faktual dan / atau teknis terkait dengan Sengketa (atau bagian daripadanya) (“</w:t>
            </w:r>
            <w:r w:rsidRPr="00A67277">
              <w:rPr>
                <w:rFonts w:cs="Arial"/>
                <w:b/>
                <w:shd w:val="clear" w:color="auto" w:fill="FFFFFF"/>
              </w:rPr>
              <w:t>Permasalahan Faktual”</w:t>
            </w:r>
            <w:r w:rsidRPr="00A67277">
              <w:rPr>
                <w:rFonts w:cs="Arial"/>
                <w:shd w:val="clear" w:color="auto" w:fill="FFFFFF"/>
              </w:rPr>
              <w:t>) harus dirujuk</w:t>
            </w:r>
            <w:r w:rsidRPr="00A67277">
              <w:rPr>
                <w:rFonts w:cs="Arial"/>
                <w:shd w:val="clear" w:color="auto" w:fill="FFFFFF"/>
                <w:lang w:val="id-ID"/>
              </w:rPr>
              <w:t xml:space="preserve"> kepada Ahli Independen</w:t>
            </w:r>
            <w:r w:rsidRPr="00A67277">
              <w:rPr>
                <w:rFonts w:cs="Arial"/>
                <w:shd w:val="clear" w:color="auto" w:fill="FFFFFF"/>
              </w:rPr>
              <w:t xml:space="preserve"> (“</w:t>
            </w:r>
            <w:r w:rsidRPr="00A67277">
              <w:rPr>
                <w:rFonts w:cs="Arial"/>
                <w:b/>
                <w:shd w:val="clear" w:color="auto" w:fill="FFFFFF"/>
              </w:rPr>
              <w:t>Proses Ahli”</w:t>
            </w:r>
            <w:r w:rsidRPr="00A67277">
              <w:rPr>
                <w:rFonts w:cs="Arial"/>
                <w:shd w:val="clear" w:color="auto" w:fill="FFFFFF"/>
              </w:rPr>
              <w:t>).</w:t>
            </w:r>
          </w:p>
        </w:tc>
      </w:tr>
      <w:tr w:rsidR="00862B0B" w:rsidRPr="00A67277" w14:paraId="291DB8B9" w14:textId="77777777" w:rsidTr="00862B0B">
        <w:trPr>
          <w:gridAfter w:val="1"/>
          <w:wAfter w:w="47" w:type="pct"/>
        </w:trPr>
        <w:tc>
          <w:tcPr>
            <w:tcW w:w="2270" w:type="pct"/>
          </w:tcPr>
          <w:p w14:paraId="40D0489C" w14:textId="77777777" w:rsidR="00862B0B" w:rsidRPr="00A67277" w:rsidRDefault="00862B0B" w:rsidP="00862B0B">
            <w:pPr>
              <w:pStyle w:val="Level3"/>
              <w:numPr>
                <w:ilvl w:val="2"/>
                <w:numId w:val="521"/>
              </w:numPr>
              <w:tabs>
                <w:tab w:val="clear" w:pos="1417"/>
                <w:tab w:val="num" w:pos="1620"/>
              </w:tabs>
              <w:spacing w:before="60" w:after="60"/>
              <w:ind w:left="1620" w:hanging="540"/>
              <w:rPr>
                <w:rFonts w:eastAsia="Times New Roman"/>
              </w:rPr>
            </w:pPr>
            <w:r w:rsidRPr="00A67277">
              <w:rPr>
                <w:rFonts w:eastAsia="Times New Roman"/>
              </w:rPr>
              <w:t xml:space="preserve">The Third Party Expert shall not act as an arbitrator. </w:t>
            </w:r>
          </w:p>
        </w:tc>
        <w:tc>
          <w:tcPr>
            <w:tcW w:w="169" w:type="pct"/>
          </w:tcPr>
          <w:p w14:paraId="117E4F55" w14:textId="77777777" w:rsidR="00862B0B" w:rsidRPr="00A67277" w:rsidRDefault="00862B0B" w:rsidP="00862B0B">
            <w:pPr>
              <w:spacing w:before="60" w:after="60"/>
              <w:rPr>
                <w:rFonts w:ascii="Arial" w:hAnsi="Arial" w:cs="Arial"/>
                <w:sz w:val="21"/>
                <w:szCs w:val="21"/>
              </w:rPr>
            </w:pPr>
          </w:p>
        </w:tc>
        <w:tc>
          <w:tcPr>
            <w:tcW w:w="2514" w:type="pct"/>
          </w:tcPr>
          <w:p w14:paraId="35B62E5F" w14:textId="77777777" w:rsidR="00862B0B" w:rsidRPr="00A67277" w:rsidRDefault="00862B0B" w:rsidP="00862B0B">
            <w:pPr>
              <w:pStyle w:val="Level3"/>
              <w:numPr>
                <w:ilvl w:val="0"/>
                <w:numId w:val="143"/>
              </w:numPr>
              <w:spacing w:before="60" w:after="60"/>
              <w:ind w:left="1692" w:hanging="540"/>
              <w:rPr>
                <w:rFonts w:cs="Arial"/>
                <w:shd w:val="clear" w:color="auto" w:fill="FFFFFF"/>
              </w:rPr>
            </w:pPr>
            <w:r w:rsidRPr="00A67277">
              <w:rPr>
                <w:rFonts w:cs="Arial"/>
                <w:shd w:val="clear" w:color="auto" w:fill="FFFFFF"/>
              </w:rPr>
              <w:t xml:space="preserve">Ahli Independen tidak bertindak sebagai arbiter. </w:t>
            </w:r>
          </w:p>
        </w:tc>
      </w:tr>
      <w:tr w:rsidR="00862B0B" w:rsidRPr="00A67277" w14:paraId="0E86CF72" w14:textId="77777777" w:rsidTr="00862B0B">
        <w:trPr>
          <w:gridAfter w:val="1"/>
          <w:wAfter w:w="47" w:type="pct"/>
        </w:trPr>
        <w:tc>
          <w:tcPr>
            <w:tcW w:w="2270" w:type="pct"/>
          </w:tcPr>
          <w:p w14:paraId="74444C3F" w14:textId="162732CB" w:rsidR="00862B0B" w:rsidRPr="00A67277" w:rsidRDefault="00862B0B" w:rsidP="00862B0B">
            <w:pPr>
              <w:pStyle w:val="Level3"/>
              <w:numPr>
                <w:ilvl w:val="2"/>
                <w:numId w:val="521"/>
              </w:numPr>
              <w:tabs>
                <w:tab w:val="clear" w:pos="1417"/>
                <w:tab w:val="num" w:pos="1620"/>
              </w:tabs>
              <w:spacing w:before="60" w:after="60"/>
              <w:ind w:left="1620" w:hanging="540"/>
              <w:rPr>
                <w:rFonts w:eastAsia="Times New Roman"/>
              </w:rPr>
            </w:pPr>
            <w:r w:rsidRPr="00A67277">
              <w:rPr>
                <w:rFonts w:eastAsia="Times New Roman"/>
              </w:rPr>
              <w:t>If the Third Party Expert does not render the Expert’s Report within a period of three (3) Months of completion of the hearing or such longer or shorter period as the Parties may agree in writing, either Party may, upon giving notice to the other, terminate such appointment, and a new Third Party Expert shall be appointed who shall resolve the Dispute in accordance with this Clause 28.2 (</w:t>
            </w:r>
            <w:r w:rsidRPr="00A67277">
              <w:rPr>
                <w:rFonts w:eastAsia="Times New Roman"/>
                <w:i/>
              </w:rPr>
              <w:t>Referral to a Third Party Expert</w:t>
            </w:r>
            <w:r w:rsidRPr="00A67277">
              <w:rPr>
                <w:rFonts w:eastAsia="Times New Roman"/>
              </w:rPr>
              <w:t>). If the Factual Issue(s) is/are not resolved by one or more Third Party Experts within one (1) Year after receipt by the Third Party Expert, or enforcement of this Clause 28.2 (</w:t>
            </w:r>
            <w:r w:rsidRPr="00A67277">
              <w:rPr>
                <w:rFonts w:eastAsia="Times New Roman"/>
                <w:i/>
              </w:rPr>
              <w:t>Referral to a Third Party Expert</w:t>
            </w:r>
            <w:r w:rsidRPr="00A67277">
              <w:rPr>
                <w:rFonts w:eastAsia="Times New Roman"/>
              </w:rPr>
              <w:t>) or of any Expert’s Report under this Clause 28.2 (Referral to a Third Party Expert) is denied for any reason, then either Party may refer the Dispute for arbitration in accordance with Clause 28.3 (Arbitration).</w:t>
            </w:r>
          </w:p>
        </w:tc>
        <w:tc>
          <w:tcPr>
            <w:tcW w:w="169" w:type="pct"/>
          </w:tcPr>
          <w:p w14:paraId="7B2E122E" w14:textId="77777777" w:rsidR="00862B0B" w:rsidRPr="00A67277" w:rsidRDefault="00862B0B" w:rsidP="00862B0B">
            <w:pPr>
              <w:spacing w:before="60" w:after="60"/>
              <w:rPr>
                <w:rFonts w:ascii="Arial" w:hAnsi="Arial" w:cs="Arial"/>
                <w:sz w:val="21"/>
                <w:szCs w:val="21"/>
              </w:rPr>
            </w:pPr>
          </w:p>
        </w:tc>
        <w:tc>
          <w:tcPr>
            <w:tcW w:w="2514" w:type="pct"/>
          </w:tcPr>
          <w:p w14:paraId="317C744F" w14:textId="0282C776" w:rsidR="00862B0B" w:rsidRPr="00A67277" w:rsidRDefault="00862B0B" w:rsidP="00862B0B">
            <w:pPr>
              <w:pStyle w:val="Level3"/>
              <w:numPr>
                <w:ilvl w:val="0"/>
                <w:numId w:val="143"/>
              </w:numPr>
              <w:spacing w:before="60" w:after="60"/>
              <w:ind w:left="1692" w:hanging="540"/>
              <w:rPr>
                <w:rFonts w:cs="Arial"/>
                <w:shd w:val="clear" w:color="auto" w:fill="FFFFFF"/>
              </w:rPr>
            </w:pPr>
            <w:r w:rsidRPr="00A67277">
              <w:rPr>
                <w:rFonts w:cs="Arial"/>
                <w:shd w:val="clear" w:color="auto" w:fill="FFFFFF"/>
              </w:rPr>
              <w:t>Jika Ahli Independen tidak memberikan Laporan Ahli dalam jangka waktu tiga (3) Bulan sejak diselesaikannya sidang atau suatu jangka waktu yang lebih lama atau lebih pendek yang disetujui oleh Pihak secara tertulis, salah satu Pihak dapat, dengan memberikan pemberitahuan kepada yang lain, mengakhiri penunjukkan Ahli Independen tersebut, dan seorang Ahli Independen yang baru harus ditunjuk yang akan menyelesaikan Sengketa sesuai dengan Pasal 28.2 (</w:t>
            </w:r>
            <w:r w:rsidRPr="00A67277">
              <w:rPr>
                <w:rFonts w:cs="Arial"/>
                <w:i/>
                <w:shd w:val="clear" w:color="auto" w:fill="FFFFFF"/>
              </w:rPr>
              <w:t>Rujukan kepada Ahli Independen</w:t>
            </w:r>
            <w:r w:rsidRPr="00A67277">
              <w:rPr>
                <w:rFonts w:cs="Arial"/>
                <w:shd w:val="clear" w:color="auto" w:fill="FFFFFF"/>
              </w:rPr>
              <w:t>) ini. Jika Permasalahan Faktual tidak diselesaikan oleh satu atau beberapa Ahli Independen dalam jangka waktu satu (1) Tahun setelah diterimanya oleh Ahli Independen atau Laporan Ahli berdasarkan Pasal 28.2 ini (</w:t>
            </w:r>
            <w:r w:rsidRPr="00A67277">
              <w:rPr>
                <w:rFonts w:cs="Arial"/>
                <w:i/>
                <w:shd w:val="clear" w:color="auto" w:fill="FFFFFF"/>
              </w:rPr>
              <w:t>Rujukan kepada Ahli Independen</w:t>
            </w:r>
            <w:r w:rsidRPr="00A67277">
              <w:rPr>
                <w:rFonts w:cs="Arial"/>
                <w:shd w:val="clear" w:color="auto" w:fill="FFFFFF"/>
              </w:rPr>
              <w:t>) ini ditolak dengan alasan apapun, maka salah satu Pihak dapat merujuk Sengketa untuk diselesaikan melalui proses arbitrase sesuai dengan Pasal 28.3 (Arbitrase).</w:t>
            </w:r>
          </w:p>
        </w:tc>
      </w:tr>
      <w:tr w:rsidR="00862B0B" w:rsidRPr="00A67277" w14:paraId="3F722445" w14:textId="77777777" w:rsidTr="00862B0B">
        <w:trPr>
          <w:gridAfter w:val="1"/>
          <w:wAfter w:w="47" w:type="pct"/>
        </w:trPr>
        <w:tc>
          <w:tcPr>
            <w:tcW w:w="2270" w:type="pct"/>
          </w:tcPr>
          <w:p w14:paraId="64D10C99" w14:textId="77777777" w:rsidR="00862B0B" w:rsidRPr="00A67277" w:rsidRDefault="00862B0B" w:rsidP="00862B0B">
            <w:pPr>
              <w:pStyle w:val="Heading2"/>
              <w:numPr>
                <w:ilvl w:val="0"/>
                <w:numId w:val="141"/>
              </w:numPr>
              <w:spacing w:before="60" w:after="60"/>
              <w:ind w:left="1080" w:hanging="540"/>
              <w:outlineLvl w:val="1"/>
              <w:rPr>
                <w:rFonts w:ascii="Arial" w:hAnsi="Arial" w:cs="Arial"/>
                <w:color w:val="auto"/>
                <w:sz w:val="21"/>
                <w:szCs w:val="21"/>
              </w:rPr>
            </w:pPr>
            <w:r w:rsidRPr="00A67277">
              <w:rPr>
                <w:rFonts w:ascii="Arial" w:hAnsi="Arial" w:cs="Arial"/>
                <w:b/>
                <w:color w:val="auto"/>
                <w:sz w:val="21"/>
                <w:szCs w:val="21"/>
              </w:rPr>
              <w:t>Arbitration</w:t>
            </w:r>
            <w:r w:rsidRPr="00A67277">
              <w:rPr>
                <w:rFonts w:ascii="Arial" w:hAnsi="Arial" w:cs="Arial"/>
                <w:b/>
                <w:color w:val="auto"/>
                <w:sz w:val="21"/>
                <w:szCs w:val="21"/>
                <w:vertAlign w:val="superscript"/>
              </w:rPr>
              <w:t xml:space="preserve"> </w:t>
            </w:r>
          </w:p>
        </w:tc>
        <w:tc>
          <w:tcPr>
            <w:tcW w:w="169" w:type="pct"/>
          </w:tcPr>
          <w:p w14:paraId="42DD2EA9" w14:textId="77777777" w:rsidR="00862B0B" w:rsidRPr="00A67277" w:rsidRDefault="00862B0B" w:rsidP="00862B0B">
            <w:pPr>
              <w:spacing w:before="60" w:after="60"/>
              <w:rPr>
                <w:rFonts w:ascii="Arial" w:hAnsi="Arial" w:cs="Arial"/>
                <w:sz w:val="21"/>
                <w:szCs w:val="21"/>
              </w:rPr>
            </w:pPr>
          </w:p>
        </w:tc>
        <w:tc>
          <w:tcPr>
            <w:tcW w:w="2514" w:type="pct"/>
          </w:tcPr>
          <w:p w14:paraId="3A53E482" w14:textId="77777777" w:rsidR="00862B0B" w:rsidRPr="00A67277" w:rsidRDefault="00862B0B" w:rsidP="00862B0B">
            <w:pPr>
              <w:pStyle w:val="Heading2"/>
              <w:numPr>
                <w:ilvl w:val="0"/>
                <w:numId w:val="19"/>
              </w:numPr>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 xml:space="preserve">Arbitrase </w:t>
            </w:r>
          </w:p>
        </w:tc>
      </w:tr>
      <w:tr w:rsidR="00862B0B" w:rsidRPr="00A67277" w14:paraId="7577D4F5" w14:textId="77777777" w:rsidTr="00862B0B">
        <w:trPr>
          <w:gridAfter w:val="1"/>
          <w:wAfter w:w="47" w:type="pct"/>
        </w:trPr>
        <w:tc>
          <w:tcPr>
            <w:tcW w:w="2270" w:type="pct"/>
          </w:tcPr>
          <w:p w14:paraId="18E64B21" w14:textId="77777777" w:rsidR="00862B0B" w:rsidRPr="00A67277" w:rsidRDefault="00862B0B" w:rsidP="00862B0B">
            <w:pPr>
              <w:pStyle w:val="Level3"/>
              <w:numPr>
                <w:ilvl w:val="2"/>
                <w:numId w:val="522"/>
              </w:numPr>
              <w:tabs>
                <w:tab w:val="clear" w:pos="1417"/>
              </w:tabs>
              <w:spacing w:before="60" w:after="60"/>
            </w:pPr>
            <w:r w:rsidRPr="00A67277">
              <w:t>Any Dispute arising out of or in connection with this Agreement, including any question regarding its existence, validity or termination, which cannot be settled within one (1) Month by mutual discussions as contemplated by Clause 28.1(a) (</w:t>
            </w:r>
            <w:r w:rsidRPr="00A67277">
              <w:rPr>
                <w:rFonts w:eastAsia="Times New Roman"/>
                <w:i/>
              </w:rPr>
              <w:t>Mutual Discussions and Mediation</w:t>
            </w:r>
            <w:r w:rsidRPr="00A67277">
              <w:t>) or by mediation with the one (1) Month period provided in Clause 28.1(b) (</w:t>
            </w:r>
            <w:r w:rsidRPr="00A67277">
              <w:rPr>
                <w:rFonts w:eastAsia="Times New Roman"/>
                <w:i/>
              </w:rPr>
              <w:t>Mutual Discussions and Mediation</w:t>
            </w:r>
            <w:r w:rsidRPr="00A67277">
              <w:t>), and referral to a Third Party Expert is not elected by the Parties pursuant to Clause 28.2 (</w:t>
            </w:r>
            <w:r w:rsidRPr="00A67277">
              <w:rPr>
                <w:rFonts w:eastAsia="Times New Roman"/>
                <w:i/>
              </w:rPr>
              <w:t>Referral to a Third Party Expert</w:t>
            </w:r>
            <w:r w:rsidRPr="00A67277">
              <w:t>), or if a Party so requests in accordance with Clause 28.1(c) (</w:t>
            </w:r>
            <w:r w:rsidRPr="00A67277">
              <w:rPr>
                <w:rFonts w:eastAsia="Times New Roman"/>
                <w:i/>
              </w:rPr>
              <w:t>Mutual Discussions and Mediation</w:t>
            </w:r>
            <w:r w:rsidRPr="00A67277">
              <w:t>), shall be referred to and finally resolved by arbitration administered by Indonesian National Board of Arbitration (Badan Arbitrase Nasional Indonesia atau “</w:t>
            </w:r>
            <w:r w:rsidRPr="00A67277">
              <w:rPr>
                <w:b/>
              </w:rPr>
              <w:t>BANI</w:t>
            </w:r>
            <w:r w:rsidRPr="00A67277">
              <w:t>”) in accordance with the rules and procedures of BANI for the time being in force (“</w:t>
            </w:r>
            <w:r w:rsidRPr="00A67277">
              <w:rPr>
                <w:b/>
              </w:rPr>
              <w:t>BANI</w:t>
            </w:r>
            <w:r w:rsidRPr="00A67277">
              <w:t xml:space="preserve"> </w:t>
            </w:r>
            <w:r w:rsidRPr="00A67277">
              <w:rPr>
                <w:b/>
              </w:rPr>
              <w:t>Rules”</w:t>
            </w:r>
            <w:r w:rsidRPr="00A67277">
              <w:t>), which rules are deemed to be incorporated by reference in this Clause 28.3 (</w:t>
            </w:r>
            <w:r w:rsidRPr="00A67277">
              <w:rPr>
                <w:rFonts w:eastAsia="Times New Roman"/>
                <w:i/>
              </w:rPr>
              <w:t>Arbitration</w:t>
            </w:r>
            <w:r w:rsidRPr="00A67277">
              <w:t>).</w:t>
            </w:r>
          </w:p>
        </w:tc>
        <w:tc>
          <w:tcPr>
            <w:tcW w:w="169" w:type="pct"/>
          </w:tcPr>
          <w:p w14:paraId="55DCDF38" w14:textId="77777777" w:rsidR="00862B0B" w:rsidRPr="00A67277" w:rsidRDefault="00862B0B" w:rsidP="00862B0B">
            <w:pPr>
              <w:spacing w:before="60" w:after="60"/>
              <w:rPr>
                <w:rFonts w:ascii="Arial" w:hAnsi="Arial" w:cs="Arial"/>
                <w:sz w:val="21"/>
                <w:szCs w:val="21"/>
              </w:rPr>
            </w:pPr>
          </w:p>
        </w:tc>
        <w:tc>
          <w:tcPr>
            <w:tcW w:w="2514" w:type="pct"/>
          </w:tcPr>
          <w:p w14:paraId="156C43F5"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Sengketa yang timbul dari atau sehubungan dengan Perjanjian ini, termasuk pertanyaan mengenai keberadaan, validitas atau pengakhiran Perjanjian ini, yang tidak dapat diselesaikan dalam satu (1) Bulan melalui musyawarah berdasarkan Pasal 2</w:t>
            </w:r>
            <w:r w:rsidRPr="00A67277">
              <w:rPr>
                <w:rFonts w:cs="Arial"/>
                <w:lang w:val="en-ID" w:eastAsia="id-ID"/>
              </w:rPr>
              <w:t>8</w:t>
            </w:r>
            <w:r w:rsidRPr="00A67277">
              <w:rPr>
                <w:rFonts w:cs="Arial"/>
                <w:lang w:val="id-ID" w:eastAsia="id-ID"/>
              </w:rPr>
              <w:t>.1(a) (</w:t>
            </w:r>
            <w:r w:rsidRPr="00A67277">
              <w:rPr>
                <w:rFonts w:cs="Arial"/>
                <w:i/>
                <w:lang w:val="id-ID" w:eastAsia="id-ID"/>
              </w:rPr>
              <w:t>Musyawarah dan Medias</w:t>
            </w:r>
            <w:r w:rsidRPr="00A67277">
              <w:rPr>
                <w:rFonts w:cs="Arial"/>
                <w:lang w:val="id-ID" w:eastAsia="id-ID"/>
              </w:rPr>
              <w:t>i) atau melalui proses mediasi dengan jangka waktu satu (1) Bulan berdasarkan Pasal 2</w:t>
            </w:r>
            <w:r w:rsidRPr="00A67277">
              <w:rPr>
                <w:rFonts w:cs="Arial"/>
                <w:lang w:val="en-ID" w:eastAsia="id-ID"/>
              </w:rPr>
              <w:t>8</w:t>
            </w:r>
            <w:r w:rsidRPr="00A67277">
              <w:rPr>
                <w:rFonts w:cs="Arial"/>
                <w:lang w:val="id-ID" w:eastAsia="id-ID"/>
              </w:rPr>
              <w:t>.1(b) (</w:t>
            </w:r>
            <w:r w:rsidRPr="00A67277">
              <w:rPr>
                <w:rFonts w:cs="Arial"/>
                <w:i/>
                <w:lang w:val="id-ID" w:eastAsia="id-ID"/>
              </w:rPr>
              <w:t>Musyawarah dan Mediasi</w:t>
            </w:r>
            <w:r w:rsidRPr="00A67277">
              <w:rPr>
                <w:rFonts w:cs="Arial"/>
                <w:lang w:val="id-ID" w:eastAsia="id-ID"/>
              </w:rPr>
              <w:t>), dan rujukan kepada Ahli Independen tidak dipilih oleh Para Pihak berdasarkan Pasal 2</w:t>
            </w:r>
            <w:r w:rsidRPr="00A67277">
              <w:rPr>
                <w:rFonts w:cs="Arial"/>
                <w:lang w:val="en-ID" w:eastAsia="id-ID"/>
              </w:rPr>
              <w:t>8</w:t>
            </w:r>
            <w:r w:rsidRPr="00A67277">
              <w:rPr>
                <w:rFonts w:cs="Arial"/>
                <w:lang w:val="id-ID" w:eastAsia="id-ID"/>
              </w:rPr>
              <w:t>.2 (</w:t>
            </w:r>
            <w:r w:rsidRPr="00A67277">
              <w:rPr>
                <w:rFonts w:cs="Arial"/>
                <w:i/>
                <w:lang w:val="id-ID" w:eastAsia="id-ID"/>
              </w:rPr>
              <w:t>Rujukan Ahli Independen</w:t>
            </w:r>
            <w:r w:rsidRPr="00A67277">
              <w:rPr>
                <w:rFonts w:cs="Arial"/>
                <w:lang w:val="id-ID" w:eastAsia="id-ID"/>
              </w:rPr>
              <w:t>), atau jika Pihak menghendakinya sesuai dengan Pasal 2</w:t>
            </w:r>
            <w:r w:rsidRPr="00A67277">
              <w:rPr>
                <w:rFonts w:cs="Arial"/>
                <w:lang w:val="en-ID" w:eastAsia="id-ID"/>
              </w:rPr>
              <w:t>8</w:t>
            </w:r>
            <w:r w:rsidRPr="00A67277">
              <w:rPr>
                <w:rFonts w:cs="Arial"/>
                <w:lang w:val="id-ID" w:eastAsia="id-ID"/>
              </w:rPr>
              <w:t>.1(</w:t>
            </w:r>
            <w:r w:rsidRPr="00A67277">
              <w:rPr>
                <w:rFonts w:cs="Arial"/>
                <w:lang w:val="en-ID" w:eastAsia="id-ID"/>
              </w:rPr>
              <w:t>c</w:t>
            </w:r>
            <w:r w:rsidRPr="00A67277">
              <w:rPr>
                <w:rFonts w:cs="Arial"/>
                <w:lang w:val="id-ID" w:eastAsia="id-ID"/>
              </w:rPr>
              <w:t>) (</w:t>
            </w:r>
            <w:r w:rsidRPr="00A67277">
              <w:rPr>
                <w:rFonts w:cs="Arial"/>
                <w:i/>
                <w:lang w:val="id-ID" w:eastAsia="id-ID"/>
              </w:rPr>
              <w:t>Musyawarah dan Mediasi</w:t>
            </w:r>
            <w:r w:rsidRPr="00A67277">
              <w:rPr>
                <w:rFonts w:cs="Arial"/>
                <w:lang w:val="id-ID" w:eastAsia="id-ID"/>
              </w:rPr>
              <w:t xml:space="preserve">), harus dirujuk dan akhirnya diselesaikan melalui proses arbitrase yang diadministrasi oleh </w:t>
            </w:r>
            <w:r w:rsidRPr="00A67277">
              <w:rPr>
                <w:rFonts w:cs="Arial"/>
                <w:lang w:val="en-US" w:eastAsia="id-ID"/>
              </w:rPr>
              <w:t>Badan Arbitrase Nasional Indonesia (“</w:t>
            </w:r>
            <w:r w:rsidRPr="00A67277">
              <w:rPr>
                <w:rFonts w:cs="Arial"/>
                <w:b/>
                <w:lang w:val="en-US" w:eastAsia="id-ID"/>
              </w:rPr>
              <w:t>BANI</w:t>
            </w:r>
            <w:r w:rsidRPr="00A67277">
              <w:rPr>
                <w:rFonts w:cs="Arial"/>
                <w:lang w:val="en-US" w:eastAsia="id-ID"/>
              </w:rPr>
              <w:t xml:space="preserve">”) </w:t>
            </w:r>
            <w:r w:rsidRPr="00A67277">
              <w:rPr>
                <w:rFonts w:cs="Arial"/>
                <w:lang w:val="id-ID" w:eastAsia="id-ID"/>
              </w:rPr>
              <w:t xml:space="preserve">sesuai dengan </w:t>
            </w:r>
            <w:r w:rsidRPr="00A67277">
              <w:rPr>
                <w:rFonts w:cs="Arial"/>
                <w:lang w:val="en-US" w:eastAsia="id-ID"/>
              </w:rPr>
              <w:t>p</w:t>
            </w:r>
            <w:r w:rsidRPr="00A67277">
              <w:rPr>
                <w:rFonts w:cs="Arial"/>
                <w:lang w:val="id-ID" w:eastAsia="id-ID"/>
              </w:rPr>
              <w:t xml:space="preserve">eraturan </w:t>
            </w:r>
            <w:r w:rsidRPr="00A67277">
              <w:rPr>
                <w:rFonts w:cs="Arial"/>
                <w:lang w:val="en-US" w:eastAsia="id-ID"/>
              </w:rPr>
              <w:t xml:space="preserve">dan prosedur </w:t>
            </w:r>
            <w:r w:rsidRPr="00A67277">
              <w:rPr>
                <w:rFonts w:cs="Arial"/>
              </w:rPr>
              <w:t xml:space="preserve">BANI </w:t>
            </w:r>
            <w:r w:rsidRPr="00A67277">
              <w:rPr>
                <w:rFonts w:cs="Arial"/>
                <w:lang w:val="id-ID" w:eastAsia="id-ID"/>
              </w:rPr>
              <w:t>yang pada saat itu berlaku</w:t>
            </w:r>
            <w:r w:rsidRPr="00A67277">
              <w:rPr>
                <w:rFonts w:cs="Arial"/>
                <w:lang w:val="en-US" w:eastAsia="id-ID"/>
              </w:rPr>
              <w:t xml:space="preserve"> </w:t>
            </w:r>
            <w:r w:rsidRPr="00A67277">
              <w:rPr>
                <w:rFonts w:cs="Arial"/>
                <w:lang w:val="id-ID" w:eastAsia="id-ID"/>
              </w:rPr>
              <w:t>(</w:t>
            </w:r>
            <w:r w:rsidRPr="00A67277">
              <w:rPr>
                <w:rFonts w:cs="Arial"/>
                <w:lang w:val="en-US" w:eastAsia="id-ID"/>
              </w:rPr>
              <w:t>“</w:t>
            </w:r>
            <w:r w:rsidRPr="00A67277">
              <w:rPr>
                <w:rFonts w:cs="Arial"/>
                <w:b/>
                <w:lang w:val="id-ID" w:eastAsia="id-ID"/>
              </w:rPr>
              <w:t xml:space="preserve">Peraturan </w:t>
            </w:r>
            <w:r w:rsidRPr="00A67277">
              <w:rPr>
                <w:rFonts w:cs="Arial"/>
                <w:b/>
              </w:rPr>
              <w:t>BANI</w:t>
            </w:r>
            <w:r w:rsidRPr="00A67277">
              <w:rPr>
                <w:rFonts w:cs="Arial"/>
                <w:lang w:val="en-US" w:eastAsia="id-ID"/>
              </w:rPr>
              <w:t>”</w:t>
            </w:r>
            <w:r w:rsidRPr="00A67277">
              <w:rPr>
                <w:rFonts w:cs="Arial"/>
                <w:lang w:val="id-ID" w:eastAsia="id-ID"/>
              </w:rPr>
              <w:t>), peraturan mana akan dianggap menjadi satu kesatuan melalui rujukan dalam Pasal 2</w:t>
            </w:r>
            <w:r w:rsidRPr="00A67277">
              <w:rPr>
                <w:rFonts w:cs="Arial"/>
                <w:lang w:val="en-ID" w:eastAsia="id-ID"/>
              </w:rPr>
              <w:t>8</w:t>
            </w:r>
            <w:r w:rsidRPr="00A67277">
              <w:rPr>
                <w:rFonts w:cs="Arial"/>
                <w:lang w:val="id-ID" w:eastAsia="id-ID"/>
              </w:rPr>
              <w:t>.3 (</w:t>
            </w:r>
            <w:r w:rsidRPr="00A67277">
              <w:rPr>
                <w:rFonts w:cs="Arial"/>
                <w:i/>
                <w:lang w:val="id-ID" w:eastAsia="id-ID"/>
              </w:rPr>
              <w:t>Arbitrase</w:t>
            </w:r>
            <w:r w:rsidRPr="00A67277">
              <w:rPr>
                <w:rFonts w:cs="Arial"/>
                <w:lang w:val="id-ID" w:eastAsia="id-ID"/>
              </w:rPr>
              <w:t>) ini.</w:t>
            </w:r>
          </w:p>
        </w:tc>
      </w:tr>
      <w:tr w:rsidR="00862B0B" w:rsidRPr="00A67277" w14:paraId="42B950D6" w14:textId="77777777" w:rsidTr="00862B0B">
        <w:trPr>
          <w:gridAfter w:val="1"/>
          <w:wAfter w:w="47" w:type="pct"/>
        </w:trPr>
        <w:tc>
          <w:tcPr>
            <w:tcW w:w="2270" w:type="pct"/>
          </w:tcPr>
          <w:p w14:paraId="1131BBBC" w14:textId="77777777" w:rsidR="00862B0B" w:rsidRPr="00A67277" w:rsidRDefault="00862B0B" w:rsidP="00862B0B">
            <w:pPr>
              <w:pStyle w:val="Level3"/>
              <w:numPr>
                <w:ilvl w:val="2"/>
                <w:numId w:val="522"/>
              </w:numPr>
              <w:tabs>
                <w:tab w:val="clear" w:pos="1417"/>
              </w:tabs>
              <w:spacing w:before="60" w:after="60"/>
              <w:ind w:left="1620" w:hanging="540"/>
            </w:pPr>
            <w:r w:rsidRPr="00A67277">
              <w:t>The place and seat of the arbitration shall be in Jakarta, Indonesia.</w:t>
            </w:r>
          </w:p>
        </w:tc>
        <w:tc>
          <w:tcPr>
            <w:tcW w:w="169" w:type="pct"/>
          </w:tcPr>
          <w:p w14:paraId="3BFBD12C" w14:textId="77777777" w:rsidR="00862B0B" w:rsidRPr="00A67277" w:rsidRDefault="00862B0B" w:rsidP="00862B0B">
            <w:pPr>
              <w:spacing w:before="60" w:after="60"/>
              <w:rPr>
                <w:rFonts w:ascii="Arial" w:hAnsi="Arial" w:cs="Arial"/>
                <w:sz w:val="21"/>
                <w:szCs w:val="21"/>
              </w:rPr>
            </w:pPr>
          </w:p>
        </w:tc>
        <w:tc>
          <w:tcPr>
            <w:tcW w:w="2514" w:type="pct"/>
          </w:tcPr>
          <w:p w14:paraId="46944F77"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Tempat dan kedudukan arbitrase adalah di Jakarta, Indonesia.</w:t>
            </w:r>
          </w:p>
        </w:tc>
      </w:tr>
      <w:tr w:rsidR="00862B0B" w:rsidRPr="00A67277" w14:paraId="36E11E86" w14:textId="77777777" w:rsidTr="00862B0B">
        <w:trPr>
          <w:gridAfter w:val="1"/>
          <w:wAfter w:w="47" w:type="pct"/>
        </w:trPr>
        <w:tc>
          <w:tcPr>
            <w:tcW w:w="2270" w:type="pct"/>
          </w:tcPr>
          <w:p w14:paraId="5A5EFBF4" w14:textId="77777777" w:rsidR="00862B0B" w:rsidRPr="00A67277" w:rsidRDefault="00862B0B" w:rsidP="00862B0B">
            <w:pPr>
              <w:pStyle w:val="Level3"/>
              <w:numPr>
                <w:ilvl w:val="2"/>
                <w:numId w:val="522"/>
              </w:numPr>
              <w:tabs>
                <w:tab w:val="clear" w:pos="1417"/>
              </w:tabs>
              <w:spacing w:before="60" w:after="60"/>
              <w:ind w:left="1620" w:hanging="540"/>
            </w:pPr>
            <w:r w:rsidRPr="00A67277">
              <w:t>The Tribunal shall consist of three (3) arbitrators. Each Party will appoint an arbitrator within one (1) Month of the date of a request to initiate arbitration, and these Party-appointed arbitrators will then jointly appoint a third arbitrator within one (1) Month of the date of the appointment of the second arbitrator, to act as Chairman of the Tribunal. Arbitrators not appointed within the time limits set forth in the preceding provision shall be appointed by the Head of BANI.</w:t>
            </w:r>
          </w:p>
        </w:tc>
        <w:tc>
          <w:tcPr>
            <w:tcW w:w="169" w:type="pct"/>
          </w:tcPr>
          <w:p w14:paraId="08F4B428" w14:textId="77777777" w:rsidR="00862B0B" w:rsidRPr="00A67277" w:rsidRDefault="00862B0B" w:rsidP="00862B0B">
            <w:pPr>
              <w:spacing w:before="60" w:after="60"/>
              <w:rPr>
                <w:rFonts w:ascii="Arial" w:hAnsi="Arial" w:cs="Arial"/>
                <w:sz w:val="21"/>
                <w:szCs w:val="21"/>
              </w:rPr>
            </w:pPr>
          </w:p>
        </w:tc>
        <w:tc>
          <w:tcPr>
            <w:tcW w:w="2514" w:type="pct"/>
          </w:tcPr>
          <w:p w14:paraId="2EB02751"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 xml:space="preserve">Majelis Arbitrase terdiri dari tiga (3) arbiter. Masing-masing Pihak akan menunjuk seorang arbiter dalam jangka waktu satu (1) Bulan sejak tanggal permintaan untuk penyelesaian melalui arbitrase, dan kedua arbiter yang masing-masing ditunjuk oleh Para Pihak tersebut kemudian secara bersama-sama akan menunjuk seorang arbiter ketiga dalam satu (1) Bulan sejak tanggal pengangkatan arbitrator kedua, untuk bertindak sebagai Ketua Majelis Arbitrase. Arbiter yang tidak ditunjuk dalam jangka waktu yang ditentukan dalam ketentuan sebelumnya harus ditunjuk oleh </w:t>
            </w:r>
            <w:r w:rsidRPr="00A67277">
              <w:rPr>
                <w:rFonts w:cs="Arial"/>
                <w:lang w:val="en-US" w:eastAsia="id-ID"/>
              </w:rPr>
              <w:t>Ketua BANI</w:t>
            </w:r>
            <w:r w:rsidRPr="00A67277">
              <w:rPr>
                <w:rFonts w:cs="Arial"/>
                <w:lang w:val="id-ID" w:eastAsia="id-ID"/>
              </w:rPr>
              <w:t>.</w:t>
            </w:r>
          </w:p>
        </w:tc>
      </w:tr>
      <w:tr w:rsidR="00862B0B" w:rsidRPr="00A67277" w14:paraId="322F0C1E" w14:textId="77777777" w:rsidTr="00862B0B">
        <w:trPr>
          <w:gridAfter w:val="1"/>
          <w:wAfter w:w="47" w:type="pct"/>
        </w:trPr>
        <w:tc>
          <w:tcPr>
            <w:tcW w:w="2270" w:type="pct"/>
          </w:tcPr>
          <w:p w14:paraId="755CDB2F" w14:textId="10B62CA8" w:rsidR="00862B0B" w:rsidRPr="00A67277" w:rsidRDefault="00862B0B" w:rsidP="00862B0B">
            <w:pPr>
              <w:pStyle w:val="Level3"/>
              <w:numPr>
                <w:ilvl w:val="2"/>
                <w:numId w:val="522"/>
              </w:numPr>
              <w:tabs>
                <w:tab w:val="clear" w:pos="1417"/>
              </w:tabs>
              <w:spacing w:before="60" w:after="60"/>
              <w:ind w:left="1620" w:hanging="540"/>
            </w:pPr>
            <w:r w:rsidRPr="00A67277">
              <w:t xml:space="preserve">The arbitration shall be conducted in the Indonesian language. All documents submitted in connection with such proceedings shall be in the Indonesian and/or English language. If a document has been executed in both English and Bahasa Indonesia, the Parties shall submit both language versions </w:t>
            </w:r>
            <w:r>
              <w:t xml:space="preserve">of the document </w:t>
            </w:r>
            <w:r w:rsidRPr="00A67277">
              <w:t>to the proceedings (but without prejudice to the prevailing language agreed in the Agreement). Subject to the foregoing, if documents are submitted in a language other than English, then such documents shall be accompanied by a certified Indonesian translation.</w:t>
            </w:r>
          </w:p>
        </w:tc>
        <w:tc>
          <w:tcPr>
            <w:tcW w:w="169" w:type="pct"/>
          </w:tcPr>
          <w:p w14:paraId="0651987B" w14:textId="77777777" w:rsidR="00862B0B" w:rsidRPr="00A67277" w:rsidRDefault="00862B0B" w:rsidP="00862B0B">
            <w:pPr>
              <w:spacing w:before="60" w:after="60"/>
              <w:rPr>
                <w:rFonts w:ascii="Arial" w:hAnsi="Arial" w:cs="Arial"/>
                <w:sz w:val="21"/>
                <w:szCs w:val="21"/>
              </w:rPr>
            </w:pPr>
          </w:p>
        </w:tc>
        <w:tc>
          <w:tcPr>
            <w:tcW w:w="2514" w:type="pct"/>
          </w:tcPr>
          <w:p w14:paraId="03536AA6"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 xml:space="preserve">Arbitrase harus dilakukan dalam Bahasa Indonesia. Seluruh dokumen yang diajukan sehubungan dengan proses tersebut harus dalam Bahasa </w:t>
            </w:r>
            <w:r w:rsidRPr="00A67277">
              <w:rPr>
                <w:rFonts w:cs="Arial"/>
                <w:lang w:val="en-US" w:eastAsia="id-ID"/>
              </w:rPr>
              <w:t xml:space="preserve">Indonesia dan/atau </w:t>
            </w:r>
            <w:r w:rsidRPr="00A67277">
              <w:rPr>
                <w:rFonts w:cs="Arial"/>
                <w:lang w:val="id-ID" w:eastAsia="id-ID"/>
              </w:rPr>
              <w:t xml:space="preserve">Inggris. Jika suatu dokumen telah ditandatangani dalam dua bahasa yaitu Bahasa Inggris dan bahasa Indonesia, Para Pihak harus menyampaikan kedua versi bahasa tersebut ke proses persidangan (namun tanpa prasangka terhadap bahasa yang berlaku yang disetujui dalam Perjanjian). Tunduk pada ketentuan sebelumnya, jika dokumen diajukan dalam bahasa selain Bahasa Inggris, maka dokumen tersebut harus disertai terjemahan resmi Bahasa </w:t>
            </w:r>
            <w:r w:rsidRPr="00A67277">
              <w:rPr>
                <w:rFonts w:cs="Arial"/>
                <w:lang w:val="en-US" w:eastAsia="id-ID"/>
              </w:rPr>
              <w:t xml:space="preserve">Indonesia </w:t>
            </w:r>
            <w:r w:rsidRPr="00A67277">
              <w:rPr>
                <w:rFonts w:cs="Arial"/>
                <w:lang w:val="id-ID" w:eastAsia="id-ID"/>
              </w:rPr>
              <w:t>yang disahkan.</w:t>
            </w:r>
          </w:p>
        </w:tc>
      </w:tr>
      <w:tr w:rsidR="00862B0B" w:rsidRPr="00A67277" w14:paraId="4EED04D0" w14:textId="77777777" w:rsidTr="00862B0B">
        <w:trPr>
          <w:gridAfter w:val="1"/>
          <w:wAfter w:w="47" w:type="pct"/>
        </w:trPr>
        <w:tc>
          <w:tcPr>
            <w:tcW w:w="2270" w:type="pct"/>
          </w:tcPr>
          <w:p w14:paraId="51F09C03" w14:textId="77777777" w:rsidR="00862B0B" w:rsidRPr="00A67277" w:rsidRDefault="00862B0B" w:rsidP="00862B0B">
            <w:pPr>
              <w:pStyle w:val="Level3"/>
              <w:numPr>
                <w:ilvl w:val="2"/>
                <w:numId w:val="522"/>
              </w:numPr>
              <w:tabs>
                <w:tab w:val="clear" w:pos="1417"/>
              </w:tabs>
              <w:spacing w:before="60" w:after="60"/>
              <w:ind w:left="1620" w:hanging="540"/>
            </w:pPr>
            <w:r w:rsidRPr="00A67277">
              <w:t>Both Parties undertake to implement the arbitration award by the Tribunal.</w:t>
            </w:r>
          </w:p>
        </w:tc>
        <w:tc>
          <w:tcPr>
            <w:tcW w:w="169" w:type="pct"/>
          </w:tcPr>
          <w:p w14:paraId="169E0A04" w14:textId="77777777" w:rsidR="00862B0B" w:rsidRPr="00A67277" w:rsidRDefault="00862B0B" w:rsidP="00862B0B">
            <w:pPr>
              <w:spacing w:before="60" w:after="60"/>
              <w:rPr>
                <w:rFonts w:ascii="Arial" w:hAnsi="Arial" w:cs="Arial"/>
                <w:sz w:val="21"/>
                <w:szCs w:val="21"/>
              </w:rPr>
            </w:pPr>
          </w:p>
        </w:tc>
        <w:tc>
          <w:tcPr>
            <w:tcW w:w="2514" w:type="pct"/>
          </w:tcPr>
          <w:p w14:paraId="47F2F6A5"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Kedua Pihak berjanji untuk melaksanakan putusan arbitrase oleh Majelis Arbitrase.</w:t>
            </w:r>
          </w:p>
        </w:tc>
      </w:tr>
      <w:tr w:rsidR="00862B0B" w:rsidRPr="00A67277" w14:paraId="55A5BAA6" w14:textId="77777777" w:rsidTr="00862B0B">
        <w:trPr>
          <w:gridAfter w:val="1"/>
          <w:wAfter w:w="47" w:type="pct"/>
        </w:trPr>
        <w:tc>
          <w:tcPr>
            <w:tcW w:w="2270" w:type="pct"/>
          </w:tcPr>
          <w:p w14:paraId="75DE767A" w14:textId="77777777" w:rsidR="00862B0B" w:rsidRPr="00A67277" w:rsidRDefault="00862B0B" w:rsidP="00862B0B">
            <w:pPr>
              <w:pStyle w:val="Level3"/>
              <w:numPr>
                <w:ilvl w:val="2"/>
                <w:numId w:val="522"/>
              </w:numPr>
              <w:tabs>
                <w:tab w:val="clear" w:pos="1417"/>
              </w:tabs>
              <w:spacing w:before="60" w:after="60"/>
              <w:ind w:left="1620" w:hanging="540"/>
            </w:pPr>
            <w:r w:rsidRPr="00A67277">
              <w:t xml:space="preserve">The award rendered by the Tribunal shall apportion the costs of the arbitration. </w:t>
            </w:r>
          </w:p>
        </w:tc>
        <w:tc>
          <w:tcPr>
            <w:tcW w:w="169" w:type="pct"/>
          </w:tcPr>
          <w:p w14:paraId="72741B21" w14:textId="77777777" w:rsidR="00862B0B" w:rsidRPr="00A67277" w:rsidRDefault="00862B0B" w:rsidP="00862B0B">
            <w:pPr>
              <w:spacing w:before="60" w:after="60"/>
              <w:rPr>
                <w:rFonts w:ascii="Arial" w:hAnsi="Arial" w:cs="Arial"/>
                <w:sz w:val="21"/>
                <w:szCs w:val="21"/>
              </w:rPr>
            </w:pPr>
          </w:p>
        </w:tc>
        <w:tc>
          <w:tcPr>
            <w:tcW w:w="2514" w:type="pct"/>
          </w:tcPr>
          <w:p w14:paraId="6B41C815"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 xml:space="preserve">Putusan yang diberikan oleh Majelis Arbitrase harus membagi secara adil biaya arbitrase. </w:t>
            </w:r>
          </w:p>
        </w:tc>
      </w:tr>
      <w:tr w:rsidR="00862B0B" w:rsidRPr="00A67277" w14:paraId="4216FE68" w14:textId="77777777" w:rsidTr="00862B0B">
        <w:trPr>
          <w:gridAfter w:val="1"/>
          <w:wAfter w:w="47" w:type="pct"/>
        </w:trPr>
        <w:tc>
          <w:tcPr>
            <w:tcW w:w="2270" w:type="pct"/>
          </w:tcPr>
          <w:p w14:paraId="51F6573B" w14:textId="77777777" w:rsidR="00862B0B" w:rsidRPr="00A67277" w:rsidRDefault="00862B0B" w:rsidP="00862B0B">
            <w:pPr>
              <w:pStyle w:val="Level3"/>
              <w:numPr>
                <w:ilvl w:val="2"/>
                <w:numId w:val="522"/>
              </w:numPr>
              <w:tabs>
                <w:tab w:val="clear" w:pos="1417"/>
              </w:tabs>
              <w:spacing w:before="60" w:after="60"/>
              <w:ind w:left="1620" w:hanging="540"/>
            </w:pPr>
            <w:r w:rsidRPr="00A67277">
              <w:t xml:space="preserve">The Parties agree that the Tribunal need not be bound by strict rules of law where they consider the application thereof to particular matters to be inconsistent with the spirit of this Agreement and the underlying intent of the Parties, and as to such matters their conclusions shall reflect their judgment of the correct interpretation of all relevant terms of this Agreement and the correct and just enforcement of this Agreement in accordance with such terms. </w:t>
            </w:r>
          </w:p>
        </w:tc>
        <w:tc>
          <w:tcPr>
            <w:tcW w:w="169" w:type="pct"/>
          </w:tcPr>
          <w:p w14:paraId="727D65F8" w14:textId="77777777" w:rsidR="00862B0B" w:rsidRPr="00A67277" w:rsidRDefault="00862B0B" w:rsidP="00862B0B">
            <w:pPr>
              <w:spacing w:before="60" w:after="60"/>
              <w:rPr>
                <w:rFonts w:ascii="Arial" w:hAnsi="Arial" w:cs="Arial"/>
                <w:sz w:val="21"/>
                <w:szCs w:val="21"/>
              </w:rPr>
            </w:pPr>
          </w:p>
        </w:tc>
        <w:tc>
          <w:tcPr>
            <w:tcW w:w="2514" w:type="pct"/>
          </w:tcPr>
          <w:p w14:paraId="4FBDDEBE"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Para Pihak sepakat bahwa Majelis Arbitrase tidak perlu terikat dengan sepenuhnya terhadap penerapan hukum secara sempit (</w:t>
            </w:r>
            <w:r w:rsidRPr="00A67277">
              <w:rPr>
                <w:rFonts w:cs="Arial"/>
                <w:i/>
                <w:lang w:val="id-ID" w:eastAsia="id-ID"/>
              </w:rPr>
              <w:t>strict rules of law</w:t>
            </w:r>
            <w:r w:rsidRPr="00A67277">
              <w:rPr>
                <w:rFonts w:cs="Arial"/>
                <w:lang w:val="id-ID" w:eastAsia="id-ID"/>
              </w:rPr>
              <w:t xml:space="preserve">) jika mereka menganggap bahwa penerapan terhadap hal-hal tertentu tidak sesuai dengan semangat Perjanjian ini dan maksud Para Pihak yang mendasari Perjanjian, dan sehubungan dengan hal-hal tersebut kesimpulan mereka harus mencerminkan penilaian mereka atas interpretasi yang benar atas seluruh ketentuan Perjanjian ini dan penegakan yang benar dan adil dari Perjanjian ini sesuai dengan ketentuan-ketentuan tersebut. </w:t>
            </w:r>
          </w:p>
        </w:tc>
      </w:tr>
      <w:tr w:rsidR="00862B0B" w:rsidRPr="00A67277" w14:paraId="7FD4A76D" w14:textId="77777777" w:rsidTr="00862B0B">
        <w:trPr>
          <w:gridAfter w:val="1"/>
          <w:wAfter w:w="47" w:type="pct"/>
        </w:trPr>
        <w:tc>
          <w:tcPr>
            <w:tcW w:w="2270" w:type="pct"/>
          </w:tcPr>
          <w:p w14:paraId="072ABE64" w14:textId="77777777" w:rsidR="00862B0B" w:rsidRPr="00A67277" w:rsidRDefault="00862B0B" w:rsidP="00862B0B">
            <w:pPr>
              <w:pStyle w:val="Level3"/>
              <w:numPr>
                <w:ilvl w:val="2"/>
                <w:numId w:val="522"/>
              </w:numPr>
              <w:tabs>
                <w:tab w:val="clear" w:pos="1417"/>
              </w:tabs>
              <w:spacing w:before="60" w:after="60"/>
              <w:ind w:left="1620" w:hanging="540"/>
            </w:pPr>
            <w:r w:rsidRPr="00A67277">
              <w:t>Any award rendered shall be in writing and shall set forth in reasonable detail the facts of the Dispute and the reasons for the Tribunal’s decision(s).</w:t>
            </w:r>
          </w:p>
        </w:tc>
        <w:tc>
          <w:tcPr>
            <w:tcW w:w="169" w:type="pct"/>
          </w:tcPr>
          <w:p w14:paraId="0DD6B74E" w14:textId="77777777" w:rsidR="00862B0B" w:rsidRPr="00A67277" w:rsidRDefault="00862B0B" w:rsidP="00862B0B">
            <w:pPr>
              <w:spacing w:before="60" w:after="60"/>
              <w:rPr>
                <w:rFonts w:ascii="Arial" w:hAnsi="Arial" w:cs="Arial"/>
                <w:sz w:val="21"/>
                <w:szCs w:val="21"/>
              </w:rPr>
            </w:pPr>
          </w:p>
        </w:tc>
        <w:tc>
          <w:tcPr>
            <w:tcW w:w="2514" w:type="pct"/>
          </w:tcPr>
          <w:p w14:paraId="0142EEED"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Setiap putusan yang diberikan harus dibuat secara tertulis dan harus secara rinci menjelaskan fakta-fakta Sengketa dan alasan putusan Majelis Arbitrase tersebut.</w:t>
            </w:r>
          </w:p>
        </w:tc>
      </w:tr>
      <w:tr w:rsidR="00862B0B" w:rsidRPr="00A67277" w14:paraId="0982DF9E" w14:textId="77777777" w:rsidTr="00862B0B">
        <w:trPr>
          <w:gridAfter w:val="1"/>
          <w:wAfter w:w="47" w:type="pct"/>
        </w:trPr>
        <w:tc>
          <w:tcPr>
            <w:tcW w:w="2270" w:type="pct"/>
          </w:tcPr>
          <w:p w14:paraId="1C27FCAF" w14:textId="3588D4AA" w:rsidR="00862B0B" w:rsidRPr="00A67277" w:rsidRDefault="00862B0B" w:rsidP="00862B0B">
            <w:pPr>
              <w:pStyle w:val="Level3"/>
              <w:numPr>
                <w:ilvl w:val="2"/>
                <w:numId w:val="522"/>
              </w:numPr>
              <w:tabs>
                <w:tab w:val="clear" w:pos="1417"/>
              </w:tabs>
              <w:spacing w:before="60" w:after="60"/>
              <w:ind w:left="1620" w:hanging="540"/>
            </w:pPr>
            <w:r w:rsidRPr="00A67277">
              <w:t xml:space="preserve">The award(s) rendered in any arbitration commenced hereunder shall be final and binding upon the Parties and judgment thereon may be entered in any court having jurisdiction for its enforcement. To the fullest extent permitted by applicable Law, the Parties waive any right of appeal from any decision or award of the Tribunal and agree that neither Party shall appeal to any court from a decision or against an award by the Tribunal. In addition, the Parties agree that neither Party shall have any right to commence or maintain any suit or legal proceeding concerning </w:t>
            </w:r>
            <w:r>
              <w:t>the</w:t>
            </w:r>
            <w:r w:rsidRPr="00A67277">
              <w:t xml:space="preserve"> Dispute (</w:t>
            </w:r>
            <w:r>
              <w:t xml:space="preserve">except the </w:t>
            </w:r>
            <w:r w:rsidRPr="00A67277">
              <w:t xml:space="preserve"> rights to seek interim relief in accordance with the </w:t>
            </w:r>
            <w:r>
              <w:t xml:space="preserve">applicable </w:t>
            </w:r>
            <w:r w:rsidRPr="00A67277">
              <w:t xml:space="preserve">law </w:t>
            </w:r>
            <w:r>
              <w:t>at</w:t>
            </w:r>
            <w:r w:rsidRPr="00A67277">
              <w:t xml:space="preserve"> the </w:t>
            </w:r>
            <w:r>
              <w:t>place</w:t>
            </w:r>
            <w:r w:rsidRPr="00A67277">
              <w:t xml:space="preserve"> of the arbitration) until the Dispute has been determined in accordance with the arbitration procedure provided for herein and then only to enforce or facilitate the execution of the award rendered in such arbitration.</w:t>
            </w:r>
          </w:p>
        </w:tc>
        <w:tc>
          <w:tcPr>
            <w:tcW w:w="169" w:type="pct"/>
          </w:tcPr>
          <w:p w14:paraId="45157CCC" w14:textId="77777777" w:rsidR="00862B0B" w:rsidRPr="00A67277" w:rsidRDefault="00862B0B" w:rsidP="00862B0B">
            <w:pPr>
              <w:spacing w:before="60" w:after="60"/>
              <w:rPr>
                <w:rFonts w:ascii="Arial" w:hAnsi="Arial" w:cs="Arial"/>
                <w:sz w:val="21"/>
                <w:szCs w:val="21"/>
              </w:rPr>
            </w:pPr>
          </w:p>
        </w:tc>
        <w:tc>
          <w:tcPr>
            <w:tcW w:w="2514" w:type="pct"/>
          </w:tcPr>
          <w:p w14:paraId="646172ED"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Putusan yang diberikan dalam proses arbitrase bersifat final dan mengikat Para Pihak dan keputusannya dapat didaftarkan di pengadilan manapun yang memiliki yurisdiksi terhadap penegakannya. Sejauh diizinkan oleh Hukum yang berlaku, Para Pihak mengesampingkan setiap hak untuk melakukan banding terhadap putusan Majelis Arbitrase dan setuju bahwa kedua Pihak tidak akan mengajukan banding ke pengadilan manapun terhadap putusan dari Majelis Arbitrase tersebut. Selain itu, Para Pihak sepakat bahwa tidak satupun Pihak berhak untuk memulai suatu tuntutan atau proses hukum apapun mengenai Sengketa tersebut (kecuali hak untuk mendapatkan perlindungan sementara sesuai dengan hukum yang berlaku di tempat arbitrase) sampai Sengketa telah diselesaikan berdasarkan prosedur arbitrase yang diatur dalam Perjanjian ini dan kemudian hanya akan menegakkan atau memfasilitasi pelaksanaan putusan yang diberikan dalam arbitrase tersebut.</w:t>
            </w:r>
          </w:p>
        </w:tc>
      </w:tr>
      <w:tr w:rsidR="00862B0B" w:rsidRPr="00A67277" w14:paraId="2717D21C" w14:textId="77777777" w:rsidTr="00862B0B">
        <w:trPr>
          <w:gridAfter w:val="1"/>
          <w:wAfter w:w="47" w:type="pct"/>
        </w:trPr>
        <w:tc>
          <w:tcPr>
            <w:tcW w:w="2270" w:type="pct"/>
          </w:tcPr>
          <w:p w14:paraId="7CC96AFD" w14:textId="3BE252C3" w:rsidR="00862B0B" w:rsidRPr="00A67277" w:rsidRDefault="00862B0B" w:rsidP="00862B0B">
            <w:pPr>
              <w:pStyle w:val="Level3"/>
              <w:numPr>
                <w:ilvl w:val="2"/>
                <w:numId w:val="522"/>
              </w:numPr>
              <w:tabs>
                <w:tab w:val="clear" w:pos="1417"/>
              </w:tabs>
              <w:spacing w:before="60" w:after="60"/>
              <w:ind w:left="1620" w:hanging="540"/>
            </w:pPr>
            <w:r>
              <w:t xml:space="preserve">Whilst waiting for the </w:t>
            </w:r>
            <w:r w:rsidRPr="00A67277">
              <w:t>of any Expert proceeding or arbitration</w:t>
            </w:r>
            <w:r>
              <w:t xml:space="preserve"> to take place</w:t>
            </w:r>
            <w:r w:rsidRPr="00A67277">
              <w:t xml:space="preserve">, the IBE and the GCA shall continue to perform their obligations </w:t>
            </w:r>
            <w:r>
              <w:t xml:space="preserve">under </w:t>
            </w:r>
            <w:r w:rsidRPr="00A67277">
              <w:t>the provisions of this Agreement.</w:t>
            </w:r>
          </w:p>
        </w:tc>
        <w:tc>
          <w:tcPr>
            <w:tcW w:w="169" w:type="pct"/>
          </w:tcPr>
          <w:p w14:paraId="561A6DC3" w14:textId="77777777" w:rsidR="00862B0B" w:rsidRPr="00A67277" w:rsidRDefault="00862B0B" w:rsidP="00862B0B">
            <w:pPr>
              <w:spacing w:before="60" w:after="60"/>
              <w:rPr>
                <w:rFonts w:ascii="Arial" w:hAnsi="Arial" w:cs="Arial"/>
                <w:sz w:val="21"/>
                <w:szCs w:val="21"/>
              </w:rPr>
            </w:pPr>
          </w:p>
        </w:tc>
        <w:tc>
          <w:tcPr>
            <w:tcW w:w="2514" w:type="pct"/>
          </w:tcPr>
          <w:p w14:paraId="4EF1A370" w14:textId="77777777" w:rsidR="00862B0B" w:rsidRPr="00A67277" w:rsidRDefault="00862B0B" w:rsidP="00862B0B">
            <w:pPr>
              <w:pStyle w:val="Level3"/>
              <w:numPr>
                <w:ilvl w:val="0"/>
                <w:numId w:val="144"/>
              </w:numPr>
              <w:spacing w:before="60" w:after="60"/>
              <w:ind w:left="1692" w:hanging="540"/>
              <w:rPr>
                <w:rFonts w:cs="Arial"/>
                <w:lang w:val="id-ID" w:eastAsia="id-ID"/>
              </w:rPr>
            </w:pPr>
            <w:r w:rsidRPr="00A67277">
              <w:rPr>
                <w:rFonts w:cs="Arial"/>
                <w:lang w:val="id-ID" w:eastAsia="id-ID"/>
              </w:rPr>
              <w:t>Selama menunggu berlangsungnya proses Ahli atau proses arbitrase, BUP dan PJPK harus terus melaksanakan kewajiban-kewajibannya untuk melaksanakan kewajiban-kewajibannya berdasarkan ketentuan dalam Perjanjian ini.</w:t>
            </w:r>
          </w:p>
        </w:tc>
      </w:tr>
      <w:tr w:rsidR="00862B0B" w:rsidRPr="00A67277" w14:paraId="2F7EED75" w14:textId="77777777" w:rsidTr="00862B0B">
        <w:trPr>
          <w:gridAfter w:val="1"/>
          <w:wAfter w:w="47" w:type="pct"/>
        </w:trPr>
        <w:tc>
          <w:tcPr>
            <w:tcW w:w="2270" w:type="pct"/>
          </w:tcPr>
          <w:p w14:paraId="57E44E84" w14:textId="77777777" w:rsidR="00862B0B" w:rsidRPr="00A67277" w:rsidRDefault="00862B0B" w:rsidP="00862B0B">
            <w:pPr>
              <w:pStyle w:val="Heading1"/>
              <w:numPr>
                <w:ilvl w:val="0"/>
                <w:numId w:val="540"/>
              </w:numPr>
              <w:spacing w:before="60" w:after="60"/>
              <w:ind w:left="567" w:hanging="567"/>
            </w:pPr>
            <w:r w:rsidRPr="00A67277">
              <w:t>Intellectual Property</w:t>
            </w:r>
          </w:p>
        </w:tc>
        <w:tc>
          <w:tcPr>
            <w:tcW w:w="169" w:type="pct"/>
          </w:tcPr>
          <w:p w14:paraId="6CA50FB1" w14:textId="77777777" w:rsidR="00862B0B" w:rsidRPr="00A67277" w:rsidRDefault="00862B0B" w:rsidP="00862B0B">
            <w:pPr>
              <w:spacing w:before="60" w:after="60"/>
              <w:rPr>
                <w:rFonts w:ascii="Arial" w:hAnsi="Arial" w:cs="Arial"/>
                <w:sz w:val="21"/>
                <w:szCs w:val="21"/>
              </w:rPr>
            </w:pPr>
          </w:p>
        </w:tc>
        <w:tc>
          <w:tcPr>
            <w:tcW w:w="2514" w:type="pct"/>
          </w:tcPr>
          <w:p w14:paraId="1357EF2B" w14:textId="77777777" w:rsidR="00862B0B" w:rsidRPr="00A67277" w:rsidRDefault="00862B0B" w:rsidP="00862B0B">
            <w:pPr>
              <w:pStyle w:val="CentredHeading"/>
              <w:numPr>
                <w:ilvl w:val="0"/>
                <w:numId w:val="541"/>
              </w:numPr>
              <w:spacing w:before="60" w:after="60"/>
              <w:ind w:left="483" w:hanging="425"/>
              <w:jc w:val="left"/>
              <w:rPr>
                <w:rFonts w:cs="Arial"/>
              </w:rPr>
            </w:pPr>
            <w:r w:rsidRPr="00A67277">
              <w:rPr>
                <w:rFonts w:cs="Arial"/>
                <w:lang w:val="en-US" w:eastAsia="en-US"/>
              </w:rPr>
              <w:t>Hak Atas Kekayaan Intelektual</w:t>
            </w:r>
          </w:p>
        </w:tc>
      </w:tr>
      <w:tr w:rsidR="00862B0B" w:rsidRPr="00A67277" w14:paraId="373773B6" w14:textId="77777777" w:rsidTr="00862B0B">
        <w:trPr>
          <w:gridAfter w:val="1"/>
          <w:wAfter w:w="47" w:type="pct"/>
        </w:trPr>
        <w:tc>
          <w:tcPr>
            <w:tcW w:w="2270" w:type="pct"/>
          </w:tcPr>
          <w:p w14:paraId="33687B1F" w14:textId="77777777" w:rsidR="00862B0B" w:rsidRPr="00A67277" w:rsidRDefault="00862B0B" w:rsidP="00862B0B">
            <w:pPr>
              <w:pStyle w:val="Level3"/>
              <w:numPr>
                <w:ilvl w:val="2"/>
                <w:numId w:val="523"/>
              </w:numPr>
              <w:tabs>
                <w:tab w:val="clear" w:pos="1417"/>
                <w:tab w:val="num" w:pos="1620"/>
              </w:tabs>
              <w:spacing w:before="60" w:after="60"/>
              <w:ind w:left="1260" w:hanging="540"/>
            </w:pPr>
            <w:r w:rsidRPr="00A67277">
              <w:t>The IBE represents and warrants that none of the Intellectual Property rights in all plans, drawings, designs, specifications and all other documents used for the construction of the Project violates any applicable Laws or infringes any Intellectual Property rights owned by third parties.</w:t>
            </w:r>
          </w:p>
        </w:tc>
        <w:tc>
          <w:tcPr>
            <w:tcW w:w="169" w:type="pct"/>
          </w:tcPr>
          <w:p w14:paraId="4A481107" w14:textId="77777777" w:rsidR="00862B0B" w:rsidRPr="00A67277" w:rsidRDefault="00862B0B" w:rsidP="00862B0B">
            <w:pPr>
              <w:spacing w:before="60" w:after="60"/>
              <w:rPr>
                <w:rFonts w:ascii="Arial" w:hAnsi="Arial" w:cs="Arial"/>
                <w:sz w:val="21"/>
                <w:szCs w:val="21"/>
              </w:rPr>
            </w:pPr>
          </w:p>
        </w:tc>
        <w:tc>
          <w:tcPr>
            <w:tcW w:w="2514" w:type="pct"/>
          </w:tcPr>
          <w:p w14:paraId="49C21F4C" w14:textId="77777777" w:rsidR="00862B0B" w:rsidRPr="00A67277" w:rsidRDefault="00862B0B" w:rsidP="00862B0B">
            <w:pPr>
              <w:pStyle w:val="Level3"/>
              <w:numPr>
                <w:ilvl w:val="0"/>
                <w:numId w:val="146"/>
              </w:numPr>
              <w:tabs>
                <w:tab w:val="left" w:pos="1692"/>
              </w:tabs>
              <w:spacing w:before="60" w:after="60"/>
              <w:ind w:left="1260" w:hanging="540"/>
              <w:rPr>
                <w:rFonts w:cs="Arial"/>
                <w:lang w:val="id-ID" w:eastAsia="id-ID"/>
              </w:rPr>
            </w:pPr>
            <w:r w:rsidRPr="00A67277">
              <w:rPr>
                <w:rFonts w:cs="Arial"/>
                <w:lang w:val="id-ID" w:eastAsia="id-ID"/>
              </w:rPr>
              <w:t xml:space="preserve">BUP menyatakan dan menjamin bahwa </w:t>
            </w:r>
            <w:r w:rsidRPr="00A67277">
              <w:rPr>
                <w:rFonts w:cs="Arial"/>
              </w:rPr>
              <w:t>tidak</w:t>
            </w:r>
            <w:r w:rsidRPr="00A67277">
              <w:rPr>
                <w:rFonts w:cs="Arial"/>
                <w:lang w:val="id-ID" w:eastAsia="id-ID"/>
              </w:rPr>
              <w:t xml:space="preserve"> satupun Hak Atas Kekayaan Intelektual dalam semua rencana, gambar, desain, spesifikasi dan semua dokumen lainnya yang digunakan untuk pembangunan Proyek melanggar Hukum yang berlaku atau melanggar Hak Atas Kekayaan Intelektual yang dimiliki oleh pihak ketiga. </w:t>
            </w:r>
          </w:p>
        </w:tc>
      </w:tr>
      <w:tr w:rsidR="00862B0B" w:rsidRPr="00A67277" w14:paraId="32636CDB" w14:textId="77777777" w:rsidTr="00862B0B">
        <w:trPr>
          <w:gridAfter w:val="1"/>
          <w:wAfter w:w="47" w:type="pct"/>
        </w:trPr>
        <w:tc>
          <w:tcPr>
            <w:tcW w:w="2270" w:type="pct"/>
          </w:tcPr>
          <w:p w14:paraId="655EE36F" w14:textId="77777777" w:rsidR="00862B0B" w:rsidRPr="00A67277" w:rsidRDefault="00862B0B" w:rsidP="00862B0B">
            <w:pPr>
              <w:pStyle w:val="Level3"/>
              <w:numPr>
                <w:ilvl w:val="2"/>
                <w:numId w:val="523"/>
              </w:numPr>
              <w:tabs>
                <w:tab w:val="clear" w:pos="1417"/>
                <w:tab w:val="num" w:pos="1620"/>
              </w:tabs>
              <w:spacing w:before="60" w:after="60"/>
              <w:ind w:left="1260" w:hanging="540"/>
            </w:pPr>
            <w:r w:rsidRPr="00A67277">
              <w:t>The representation and warranty set out in paragraph (a) is made by the IBE on the Effective Date and is deemed to be repeated by the IBE on each Day up to and including the Expiry Date or, if earlier, the Termination Date.</w:t>
            </w:r>
          </w:p>
        </w:tc>
        <w:tc>
          <w:tcPr>
            <w:tcW w:w="169" w:type="pct"/>
          </w:tcPr>
          <w:p w14:paraId="0447FCC2" w14:textId="77777777" w:rsidR="00862B0B" w:rsidRPr="00A67277" w:rsidRDefault="00862B0B" w:rsidP="00862B0B">
            <w:pPr>
              <w:spacing w:before="60" w:after="60"/>
              <w:rPr>
                <w:rFonts w:ascii="Arial" w:hAnsi="Arial" w:cs="Arial"/>
                <w:sz w:val="21"/>
                <w:szCs w:val="21"/>
              </w:rPr>
            </w:pPr>
          </w:p>
        </w:tc>
        <w:tc>
          <w:tcPr>
            <w:tcW w:w="2514" w:type="pct"/>
          </w:tcPr>
          <w:p w14:paraId="58B85360" w14:textId="77777777" w:rsidR="00862B0B" w:rsidRPr="00A67277" w:rsidRDefault="00862B0B" w:rsidP="00862B0B">
            <w:pPr>
              <w:pStyle w:val="Level3"/>
              <w:numPr>
                <w:ilvl w:val="0"/>
                <w:numId w:val="146"/>
              </w:numPr>
              <w:tabs>
                <w:tab w:val="left" w:pos="1692"/>
              </w:tabs>
              <w:spacing w:before="60" w:after="60"/>
              <w:ind w:left="1260" w:hanging="540"/>
              <w:rPr>
                <w:rFonts w:cs="Arial"/>
                <w:lang w:val="id-ID" w:eastAsia="id-ID"/>
              </w:rPr>
            </w:pPr>
            <w:r w:rsidRPr="00A67277">
              <w:rPr>
                <w:rFonts w:cs="Arial"/>
                <w:lang w:val="id-ID" w:eastAsia="id-ID"/>
              </w:rPr>
              <w:t>Pernyataan dan jaminan yang diatur dalam paragraf paragraf (a) dibuat oleh BUP pada Tanggal Efektif dan dianggap diulang oleh BUP pada setiap Hari sampai dengan dan termasuk Tanggal Daluarsa Perjanjian, atau jika sebelumnya, Tanggal Pengakhiran.</w:t>
            </w:r>
          </w:p>
        </w:tc>
      </w:tr>
      <w:tr w:rsidR="00862B0B" w:rsidRPr="00A67277" w14:paraId="639DFB1E" w14:textId="77777777" w:rsidTr="00862B0B">
        <w:trPr>
          <w:gridAfter w:val="1"/>
          <w:wAfter w:w="47" w:type="pct"/>
        </w:trPr>
        <w:tc>
          <w:tcPr>
            <w:tcW w:w="2270" w:type="pct"/>
          </w:tcPr>
          <w:p w14:paraId="2B53E560" w14:textId="77777777" w:rsidR="00862B0B" w:rsidRPr="00A67277" w:rsidRDefault="00862B0B" w:rsidP="00862B0B">
            <w:pPr>
              <w:pStyle w:val="Level3"/>
              <w:numPr>
                <w:ilvl w:val="2"/>
                <w:numId w:val="523"/>
              </w:numPr>
              <w:tabs>
                <w:tab w:val="clear" w:pos="1417"/>
                <w:tab w:val="num" w:pos="1620"/>
              </w:tabs>
              <w:spacing w:before="60" w:after="60"/>
              <w:ind w:left="1260" w:hanging="540"/>
            </w:pPr>
            <w:r w:rsidRPr="00A67277">
              <w:t>In the event that any third party brings any charge and/or claim against the IBE or GCA arising out of or relating to the use or infringement of property, copyright, design rights and all other Intellectual Property rights in connection with the Project:</w:t>
            </w:r>
          </w:p>
        </w:tc>
        <w:tc>
          <w:tcPr>
            <w:tcW w:w="169" w:type="pct"/>
          </w:tcPr>
          <w:p w14:paraId="4C936938" w14:textId="77777777" w:rsidR="00862B0B" w:rsidRPr="00A67277" w:rsidRDefault="00862B0B" w:rsidP="00862B0B">
            <w:pPr>
              <w:spacing w:before="60" w:after="60"/>
              <w:rPr>
                <w:rFonts w:ascii="Arial" w:hAnsi="Arial" w:cs="Arial"/>
                <w:sz w:val="21"/>
                <w:szCs w:val="21"/>
              </w:rPr>
            </w:pPr>
          </w:p>
        </w:tc>
        <w:tc>
          <w:tcPr>
            <w:tcW w:w="2514" w:type="pct"/>
          </w:tcPr>
          <w:p w14:paraId="4E385EE9" w14:textId="77777777" w:rsidR="00862B0B" w:rsidRPr="00A67277" w:rsidRDefault="00862B0B" w:rsidP="00862B0B">
            <w:pPr>
              <w:pStyle w:val="Level3"/>
              <w:numPr>
                <w:ilvl w:val="0"/>
                <w:numId w:val="146"/>
              </w:numPr>
              <w:tabs>
                <w:tab w:val="left" w:pos="1692"/>
              </w:tabs>
              <w:spacing w:before="60" w:after="60"/>
              <w:ind w:left="1260" w:hanging="540"/>
              <w:rPr>
                <w:rFonts w:cs="Arial"/>
                <w:lang w:val="id-ID" w:eastAsia="id-ID"/>
              </w:rPr>
            </w:pPr>
            <w:r w:rsidRPr="00A67277">
              <w:rPr>
                <w:rFonts w:cs="Arial"/>
                <w:lang w:val="id-ID" w:eastAsia="id-ID"/>
              </w:rPr>
              <w:t>Dalam hal terdapat pihak ketiga mengajukan tuntutan dan / atau klaim terhadap BUP atau PJPK yang timbul dari atau terkait dengan penggunaan atau pelanggaran hak kepemilikan, hak cipta, hak desain dan hak Hak Atas Kekayaan Intelektual lainnya sehubungan dengan Proyek:</w:t>
            </w:r>
          </w:p>
        </w:tc>
      </w:tr>
      <w:tr w:rsidR="00862B0B" w:rsidRPr="00A67277" w14:paraId="33B71F08" w14:textId="77777777" w:rsidTr="00862B0B">
        <w:trPr>
          <w:gridAfter w:val="1"/>
          <w:wAfter w:w="47" w:type="pct"/>
        </w:trPr>
        <w:tc>
          <w:tcPr>
            <w:tcW w:w="2270" w:type="pct"/>
          </w:tcPr>
          <w:p w14:paraId="3EB78C02" w14:textId="77777777" w:rsidR="00862B0B" w:rsidRPr="00A67277" w:rsidRDefault="00862B0B" w:rsidP="00862B0B">
            <w:pPr>
              <w:pStyle w:val="Level4"/>
              <w:numPr>
                <w:ilvl w:val="0"/>
                <w:numId w:val="145"/>
              </w:numPr>
              <w:spacing w:before="60" w:after="60"/>
              <w:ind w:left="1980" w:hanging="540"/>
            </w:pPr>
            <w:r w:rsidRPr="00A67277">
              <w:t>the IBE agrees to defend, indemnify and hold harmless GCA from and against any and all such third party charges or Claims;</w:t>
            </w:r>
            <w:r w:rsidRPr="00A67277">
              <w:rPr>
                <w:rFonts w:eastAsia="Times New Roman"/>
              </w:rPr>
              <w:t xml:space="preserve"> and</w:t>
            </w:r>
          </w:p>
          <w:p w14:paraId="228307F6" w14:textId="77777777" w:rsidR="00862B0B" w:rsidRPr="00A67277" w:rsidRDefault="00862B0B" w:rsidP="00862B0B">
            <w:pPr>
              <w:spacing w:before="60" w:after="60"/>
              <w:rPr>
                <w:rFonts w:ascii="Arial" w:hAnsi="Arial" w:cs="Arial"/>
                <w:sz w:val="21"/>
                <w:szCs w:val="21"/>
              </w:rPr>
            </w:pPr>
          </w:p>
        </w:tc>
        <w:tc>
          <w:tcPr>
            <w:tcW w:w="169" w:type="pct"/>
          </w:tcPr>
          <w:p w14:paraId="17D53D0A" w14:textId="77777777" w:rsidR="00862B0B" w:rsidRPr="00A67277" w:rsidRDefault="00862B0B" w:rsidP="00862B0B">
            <w:pPr>
              <w:spacing w:before="60" w:after="60"/>
              <w:rPr>
                <w:rFonts w:ascii="Arial" w:hAnsi="Arial" w:cs="Arial"/>
                <w:sz w:val="21"/>
                <w:szCs w:val="21"/>
              </w:rPr>
            </w:pPr>
          </w:p>
        </w:tc>
        <w:tc>
          <w:tcPr>
            <w:tcW w:w="2514" w:type="pct"/>
          </w:tcPr>
          <w:p w14:paraId="6A9365D9" w14:textId="77777777" w:rsidR="00862B0B" w:rsidRPr="00A67277" w:rsidRDefault="00862B0B" w:rsidP="00862B0B">
            <w:pPr>
              <w:pStyle w:val="Level4"/>
              <w:numPr>
                <w:ilvl w:val="0"/>
                <w:numId w:val="147"/>
              </w:numPr>
              <w:spacing w:before="60" w:after="60"/>
              <w:ind w:left="1980" w:hanging="540"/>
              <w:rPr>
                <w:rFonts w:cs="Arial"/>
                <w:lang w:val="id-ID" w:eastAsia="id-ID"/>
              </w:rPr>
            </w:pPr>
            <w:r w:rsidRPr="00A67277">
              <w:rPr>
                <w:rFonts w:cs="Arial"/>
                <w:lang w:val="id-ID" w:eastAsia="id-ID"/>
              </w:rPr>
              <w:t>BUP setuju untuk membela, mengganti rugi dan membebaskan PJPK dari dan terhadap setiap dan seluruh tuntutan pihak ketiga atau klaim tersebut; dan</w:t>
            </w:r>
          </w:p>
        </w:tc>
      </w:tr>
      <w:tr w:rsidR="00862B0B" w:rsidRPr="00A67277" w14:paraId="3A62C4D7" w14:textId="77777777" w:rsidTr="00862B0B">
        <w:trPr>
          <w:gridAfter w:val="1"/>
          <w:wAfter w:w="47" w:type="pct"/>
        </w:trPr>
        <w:tc>
          <w:tcPr>
            <w:tcW w:w="2270" w:type="pct"/>
          </w:tcPr>
          <w:p w14:paraId="132E50A6" w14:textId="01E22C55" w:rsidR="00862B0B" w:rsidRPr="00A67277" w:rsidRDefault="00862B0B" w:rsidP="00862B0B">
            <w:pPr>
              <w:pStyle w:val="Level4"/>
              <w:numPr>
                <w:ilvl w:val="0"/>
                <w:numId w:val="145"/>
              </w:numPr>
              <w:spacing w:before="60" w:after="60"/>
              <w:ind w:left="1980" w:hanging="540"/>
            </w:pPr>
            <w:r>
              <w:t>whilst awaiting legal proceedings against the t</w:t>
            </w:r>
            <w:r w:rsidRPr="00A67277">
              <w:t xml:space="preserve">hird and/or as part of the settlement process in respect </w:t>
            </w:r>
            <w:r>
              <w:t xml:space="preserve">to the proceedings against </w:t>
            </w:r>
            <w:r w:rsidRPr="00A67277">
              <w:t>such third party</w:t>
            </w:r>
            <w:r>
              <w:t>,</w:t>
            </w:r>
            <w:r w:rsidRPr="00A67277">
              <w:t xml:space="preserve"> the IBE shall ensure that the Project shall continue to be </w:t>
            </w:r>
            <w:r>
              <w:t>carried out</w:t>
            </w:r>
            <w:r w:rsidRPr="00A67277">
              <w:t xml:space="preserve"> and shall use its best effort to obtain the appropriate property, copyright, design rights and all other Intellectual Property rights from the relevant third party in order for the IBE and/or GCA (as the case may be) to be able to continue to make full use of and derive benefit from the relevant property, copyright, design rights or other Intellectual Property rights.</w:t>
            </w:r>
          </w:p>
        </w:tc>
        <w:tc>
          <w:tcPr>
            <w:tcW w:w="169" w:type="pct"/>
          </w:tcPr>
          <w:p w14:paraId="72D8A281" w14:textId="77777777" w:rsidR="00862B0B" w:rsidRPr="00A67277" w:rsidRDefault="00862B0B" w:rsidP="00862B0B">
            <w:pPr>
              <w:spacing w:before="60" w:after="60"/>
              <w:rPr>
                <w:rFonts w:ascii="Arial" w:hAnsi="Arial" w:cs="Arial"/>
                <w:sz w:val="21"/>
                <w:szCs w:val="21"/>
              </w:rPr>
            </w:pPr>
          </w:p>
        </w:tc>
        <w:tc>
          <w:tcPr>
            <w:tcW w:w="2514" w:type="pct"/>
          </w:tcPr>
          <w:p w14:paraId="7BDF2386" w14:textId="77777777" w:rsidR="00862B0B" w:rsidRPr="00A67277" w:rsidRDefault="00862B0B" w:rsidP="00862B0B">
            <w:pPr>
              <w:pStyle w:val="Level4"/>
              <w:numPr>
                <w:ilvl w:val="0"/>
                <w:numId w:val="147"/>
              </w:numPr>
              <w:spacing w:before="60" w:after="60"/>
              <w:ind w:left="1980" w:hanging="540"/>
              <w:rPr>
                <w:rFonts w:cs="Arial"/>
                <w:lang w:val="id-ID" w:eastAsia="id-ID"/>
              </w:rPr>
            </w:pPr>
            <w:r w:rsidRPr="00A67277">
              <w:rPr>
                <w:rFonts w:cs="Arial"/>
                <w:lang w:val="id-ID" w:eastAsia="id-ID"/>
              </w:rPr>
              <w:t>selama menunggu proses hukum menghadapi pihak ketiga tersebut dan / atau sebagai bagian dari proses penyelesaian sehubungan dengan proses hukum menghadapi pihak ketiga tersebut, BUP harus memastikan bahwa Proyek akan terus dilaksanakan dan harus menggunakan usaha terbaiknya untuk mendapatkan secara wajar hak kepemilikan, hak cipta, hak desain dan Hak Atas Kekayaan Intelektual lainnya dari pihak ketiga yang terkait agar BUP dan / atau PJPK (sebagaimana kasusnya) dapat terus memanfaatkan dan memperoleh manfaat dari hak kepemilikan, hak cipta, hak desain atau Hak Atas Kekayaan Intelektual lainnya yang relevan.</w:t>
            </w:r>
          </w:p>
        </w:tc>
      </w:tr>
      <w:tr w:rsidR="00862B0B" w:rsidRPr="00A67277" w14:paraId="3C81EBB9" w14:textId="77777777" w:rsidTr="00862B0B">
        <w:trPr>
          <w:gridAfter w:val="1"/>
          <w:wAfter w:w="47" w:type="pct"/>
        </w:trPr>
        <w:tc>
          <w:tcPr>
            <w:tcW w:w="2270" w:type="pct"/>
          </w:tcPr>
          <w:p w14:paraId="7A263B00" w14:textId="08615829" w:rsidR="00862B0B" w:rsidRPr="00A67277" w:rsidRDefault="00862B0B" w:rsidP="00862B0B">
            <w:pPr>
              <w:pStyle w:val="Level3"/>
              <w:numPr>
                <w:ilvl w:val="2"/>
                <w:numId w:val="523"/>
              </w:numPr>
              <w:tabs>
                <w:tab w:val="clear" w:pos="1417"/>
                <w:tab w:val="num" w:pos="1620"/>
              </w:tabs>
              <w:spacing w:before="60" w:after="60"/>
              <w:ind w:left="1260" w:hanging="540"/>
            </w:pPr>
            <w:r w:rsidRPr="00A67277">
              <w:t xml:space="preserve">The IBE shall use its best endeavours </w:t>
            </w:r>
            <w:r>
              <w:t xml:space="preserve">based on the </w:t>
            </w:r>
            <w:r w:rsidRPr="00A67277">
              <w:t>t</w:t>
            </w:r>
            <w:r>
              <w:t xml:space="preserve">he </w:t>
            </w:r>
            <w:r w:rsidRPr="00A67277">
              <w:t xml:space="preserve">EPC Contract </w:t>
            </w:r>
            <w:r>
              <w:t xml:space="preserve">to provide </w:t>
            </w:r>
            <w:r w:rsidRPr="00A67277">
              <w:t xml:space="preserve">give a </w:t>
            </w:r>
            <w:r>
              <w:t xml:space="preserve">statements and guarantees </w:t>
            </w:r>
            <w:r w:rsidRPr="00A67277">
              <w:t xml:space="preserve"> that </w:t>
            </w:r>
            <w:r>
              <w:t xml:space="preserve">are in accordance with </w:t>
            </w:r>
            <w:r w:rsidRPr="00A67277">
              <w:t>paragraph (a) together with a corresponding indemnity to that set out in paragraph (c) in favour of the IBE and GCA.</w:t>
            </w:r>
          </w:p>
        </w:tc>
        <w:tc>
          <w:tcPr>
            <w:tcW w:w="169" w:type="pct"/>
          </w:tcPr>
          <w:p w14:paraId="27B27978" w14:textId="77777777" w:rsidR="00862B0B" w:rsidRPr="00A67277" w:rsidRDefault="00862B0B" w:rsidP="00862B0B">
            <w:pPr>
              <w:spacing w:before="60" w:after="60"/>
              <w:rPr>
                <w:rFonts w:ascii="Arial" w:hAnsi="Arial" w:cs="Arial"/>
                <w:sz w:val="21"/>
                <w:szCs w:val="21"/>
              </w:rPr>
            </w:pPr>
          </w:p>
        </w:tc>
        <w:tc>
          <w:tcPr>
            <w:tcW w:w="2514" w:type="pct"/>
          </w:tcPr>
          <w:p w14:paraId="04EABDD9" w14:textId="77777777" w:rsidR="00862B0B" w:rsidRPr="00A67277" w:rsidRDefault="00862B0B" w:rsidP="00862B0B">
            <w:pPr>
              <w:pStyle w:val="Level3"/>
              <w:numPr>
                <w:ilvl w:val="0"/>
                <w:numId w:val="146"/>
              </w:numPr>
              <w:tabs>
                <w:tab w:val="left" w:pos="1692"/>
              </w:tabs>
              <w:spacing w:before="60" w:after="60"/>
              <w:ind w:left="1260" w:hanging="540"/>
              <w:rPr>
                <w:rFonts w:cs="Arial"/>
                <w:lang w:val="id-ID" w:eastAsia="id-ID"/>
              </w:rPr>
            </w:pPr>
            <w:r w:rsidRPr="00A67277">
              <w:rPr>
                <w:rFonts w:cs="Arial"/>
                <w:lang w:val="id-ID" w:eastAsia="id-ID"/>
              </w:rPr>
              <w:t>BUP harus menggunakan usaha terbaiknya berdasarkan Kontrak EPC untuk menyebabkan Kontraktor EPC memberikan pernyataan dan jaminan yang sesuai dengan yang ditetapkan dalam paragraf (a) bersama-sama dengan janji penggantian kerugian yang sesuai dengan yang ditetapkan dalam paragraf (c) untuk kepentingan BUP dan PJPK.</w:t>
            </w:r>
          </w:p>
        </w:tc>
      </w:tr>
      <w:tr w:rsidR="00862B0B" w:rsidRPr="00A67277" w14:paraId="18F90019" w14:textId="77777777" w:rsidTr="00862B0B">
        <w:trPr>
          <w:gridAfter w:val="1"/>
          <w:wAfter w:w="47" w:type="pct"/>
        </w:trPr>
        <w:tc>
          <w:tcPr>
            <w:tcW w:w="2270" w:type="pct"/>
          </w:tcPr>
          <w:p w14:paraId="587BEB1A" w14:textId="59CB02C4" w:rsidR="00862B0B" w:rsidRPr="00A67277" w:rsidRDefault="00862B0B" w:rsidP="00862B0B">
            <w:pPr>
              <w:pStyle w:val="Level3"/>
              <w:numPr>
                <w:ilvl w:val="2"/>
                <w:numId w:val="523"/>
              </w:numPr>
              <w:tabs>
                <w:tab w:val="clear" w:pos="1417"/>
              </w:tabs>
              <w:spacing w:before="60" w:after="60"/>
              <w:ind w:left="1168" w:hanging="459"/>
            </w:pPr>
            <w:r w:rsidRPr="00A67277">
              <w:t xml:space="preserve">The IBE shall provide and be deemed to </w:t>
            </w:r>
            <w:r>
              <w:t xml:space="preserve">have granted </w:t>
            </w:r>
            <w:r w:rsidRPr="00A67277">
              <w:t>to the GCA all Intellectual Property Rights royalty free, no</w:t>
            </w:r>
            <w:r>
              <w:t>t</w:t>
            </w:r>
            <w:r w:rsidRPr="00A67277">
              <w:t>-exclusive</w:t>
            </w:r>
            <w:r>
              <w:t>ly</w:t>
            </w:r>
            <w:r w:rsidRPr="00A67277">
              <w:t xml:space="preserve"> to use the Intellectual Property Rights by the GCA in order to operate the Facility after the Transfer Date.</w:t>
            </w:r>
          </w:p>
        </w:tc>
        <w:tc>
          <w:tcPr>
            <w:tcW w:w="169" w:type="pct"/>
          </w:tcPr>
          <w:p w14:paraId="24F73657" w14:textId="77777777" w:rsidR="00862B0B" w:rsidRPr="00A67277" w:rsidRDefault="00862B0B" w:rsidP="00862B0B">
            <w:pPr>
              <w:spacing w:before="60" w:after="60"/>
              <w:rPr>
                <w:rFonts w:ascii="Arial" w:hAnsi="Arial" w:cs="Arial"/>
                <w:sz w:val="21"/>
                <w:szCs w:val="21"/>
              </w:rPr>
            </w:pPr>
          </w:p>
        </w:tc>
        <w:tc>
          <w:tcPr>
            <w:tcW w:w="2514" w:type="pct"/>
          </w:tcPr>
          <w:p w14:paraId="3AEC5EAE" w14:textId="22907954" w:rsidR="00862B0B" w:rsidRPr="00A67277" w:rsidRDefault="00862B0B" w:rsidP="00862B0B">
            <w:pPr>
              <w:pStyle w:val="Level3"/>
              <w:numPr>
                <w:ilvl w:val="0"/>
                <w:numId w:val="146"/>
              </w:numPr>
              <w:spacing w:before="60" w:after="60"/>
              <w:ind w:left="1200" w:hanging="480"/>
              <w:rPr>
                <w:rFonts w:cs="Arial"/>
                <w:lang w:val="id-ID" w:eastAsia="id-ID"/>
              </w:rPr>
            </w:pPr>
            <w:r w:rsidRPr="00A67277">
              <w:rPr>
                <w:rFonts w:cs="Arial"/>
                <w:lang w:val="id-ID" w:eastAsia="id-ID"/>
              </w:rPr>
              <w:t xml:space="preserve">BUP harus menyediakan dan dianggap telah memberikan kepada PJPK seluruh Hak Kekayaan Intelektual tanpa royalti, tidak eksklusif untuk menggunakan Hak Kekayaan Intelektual oleh PJPK dalam rangka pengoperasian </w:t>
            </w:r>
            <w:r w:rsidRPr="00A67277">
              <w:rPr>
                <w:rFonts w:cs="Arial"/>
                <w:lang w:val="en-US" w:eastAsia="id-ID"/>
              </w:rPr>
              <w:t xml:space="preserve">Fasilitas </w:t>
            </w:r>
            <w:r w:rsidRPr="00A67277">
              <w:rPr>
                <w:rFonts w:cs="Arial"/>
                <w:lang w:val="id-ID" w:eastAsia="id-ID"/>
              </w:rPr>
              <w:t xml:space="preserve">setelah Tanggal </w:t>
            </w:r>
            <w:r w:rsidRPr="00A67277">
              <w:rPr>
                <w:rFonts w:cs="Arial"/>
                <w:lang w:val="en-US" w:eastAsia="id-ID"/>
              </w:rPr>
              <w:t xml:space="preserve">Penyerahan. </w:t>
            </w:r>
          </w:p>
        </w:tc>
      </w:tr>
      <w:tr w:rsidR="00862B0B" w:rsidRPr="00A67277" w14:paraId="1AB8F97D" w14:textId="77777777" w:rsidTr="00862B0B">
        <w:trPr>
          <w:gridAfter w:val="1"/>
          <w:wAfter w:w="47" w:type="pct"/>
        </w:trPr>
        <w:tc>
          <w:tcPr>
            <w:tcW w:w="2270" w:type="pct"/>
          </w:tcPr>
          <w:p w14:paraId="5F3CF365" w14:textId="77777777" w:rsidR="00862B0B" w:rsidRPr="00A67277" w:rsidRDefault="00862B0B" w:rsidP="00862B0B">
            <w:pPr>
              <w:pStyle w:val="Heading1"/>
              <w:numPr>
                <w:ilvl w:val="0"/>
                <w:numId w:val="541"/>
              </w:numPr>
              <w:spacing w:before="60" w:after="60"/>
              <w:ind w:left="567" w:hanging="567"/>
            </w:pPr>
            <w:r w:rsidRPr="00A67277">
              <w:t>Assignment</w:t>
            </w:r>
          </w:p>
        </w:tc>
        <w:tc>
          <w:tcPr>
            <w:tcW w:w="169" w:type="pct"/>
          </w:tcPr>
          <w:p w14:paraId="405245B4" w14:textId="77777777" w:rsidR="00862B0B" w:rsidRPr="00A67277" w:rsidRDefault="00862B0B" w:rsidP="00862B0B">
            <w:pPr>
              <w:spacing w:before="60" w:after="60"/>
              <w:rPr>
                <w:rFonts w:ascii="Arial" w:hAnsi="Arial" w:cs="Arial"/>
                <w:sz w:val="21"/>
                <w:szCs w:val="21"/>
              </w:rPr>
            </w:pPr>
          </w:p>
        </w:tc>
        <w:tc>
          <w:tcPr>
            <w:tcW w:w="2514" w:type="pct"/>
          </w:tcPr>
          <w:p w14:paraId="2F48E654" w14:textId="77777777" w:rsidR="00862B0B" w:rsidRPr="00A67277" w:rsidRDefault="00862B0B" w:rsidP="00862B0B">
            <w:pPr>
              <w:pStyle w:val="CentredHeading"/>
              <w:numPr>
                <w:ilvl w:val="0"/>
                <w:numId w:val="542"/>
              </w:numPr>
              <w:spacing w:before="60" w:after="60"/>
              <w:ind w:left="483" w:hanging="425"/>
              <w:jc w:val="left"/>
              <w:rPr>
                <w:rFonts w:cs="Arial"/>
              </w:rPr>
            </w:pPr>
            <w:r w:rsidRPr="00A67277">
              <w:rPr>
                <w:rFonts w:cs="Arial"/>
                <w:lang w:val="en-US" w:eastAsia="en-US"/>
              </w:rPr>
              <w:t>Pengalihan</w:t>
            </w:r>
          </w:p>
        </w:tc>
      </w:tr>
      <w:tr w:rsidR="00862B0B" w:rsidRPr="00A67277" w14:paraId="31BBE515" w14:textId="77777777" w:rsidTr="00862B0B">
        <w:trPr>
          <w:gridAfter w:val="1"/>
          <w:wAfter w:w="47" w:type="pct"/>
        </w:trPr>
        <w:tc>
          <w:tcPr>
            <w:tcW w:w="2270" w:type="pct"/>
          </w:tcPr>
          <w:p w14:paraId="4547E323" w14:textId="5C35FB48" w:rsidR="00862B0B" w:rsidRPr="00A67277" w:rsidRDefault="00862B0B" w:rsidP="00862B0B">
            <w:pPr>
              <w:pStyle w:val="Level3"/>
              <w:numPr>
                <w:ilvl w:val="2"/>
                <w:numId w:val="524"/>
              </w:numPr>
              <w:tabs>
                <w:tab w:val="clear" w:pos="1417"/>
              </w:tabs>
              <w:spacing w:before="60" w:after="60"/>
            </w:pPr>
            <w:r w:rsidRPr="00A67277">
              <w:t xml:space="preserve">Neither Party may sell, assign, novate or otherwise transfer its rights or obligations under or pursuant to this Agreement without the prior written consent of the other Party, except that for the purpose of financing the Project, the IBE may assign or create a </w:t>
            </w:r>
            <w:r>
              <w:t>guarantees</w:t>
            </w:r>
            <w:r w:rsidRPr="00A67277">
              <w:t xml:space="preserve"> over its rights and interest under or pursuant to this Agreement, any other Project Agreements to which it is a party, the Project, the right to use of land within the Site, the moveable property and Intellectual Property of the IBE, or the revenues or any of the rights or assets of the IBE, in accordance with the GCA Consent Letter.</w:t>
            </w:r>
          </w:p>
        </w:tc>
        <w:tc>
          <w:tcPr>
            <w:tcW w:w="169" w:type="pct"/>
          </w:tcPr>
          <w:p w14:paraId="71E18E6D" w14:textId="77777777" w:rsidR="00862B0B" w:rsidRPr="00A67277" w:rsidRDefault="00862B0B" w:rsidP="00862B0B">
            <w:pPr>
              <w:spacing w:before="60" w:after="60"/>
              <w:rPr>
                <w:rFonts w:ascii="Arial" w:hAnsi="Arial" w:cs="Arial"/>
                <w:sz w:val="21"/>
                <w:szCs w:val="21"/>
              </w:rPr>
            </w:pPr>
          </w:p>
        </w:tc>
        <w:tc>
          <w:tcPr>
            <w:tcW w:w="2514" w:type="pct"/>
          </w:tcPr>
          <w:p w14:paraId="7521EE32" w14:textId="77777777" w:rsidR="00862B0B" w:rsidRPr="00A67277" w:rsidRDefault="00862B0B" w:rsidP="00862B0B">
            <w:pPr>
              <w:pStyle w:val="Level3"/>
              <w:numPr>
                <w:ilvl w:val="0"/>
                <w:numId w:val="148"/>
              </w:numPr>
              <w:tabs>
                <w:tab w:val="left" w:pos="1692"/>
              </w:tabs>
              <w:spacing w:before="60" w:after="60"/>
              <w:ind w:left="1260" w:hanging="540"/>
              <w:rPr>
                <w:rFonts w:cs="Arial"/>
                <w:lang w:val="id-ID" w:eastAsia="id-ID"/>
              </w:rPr>
            </w:pPr>
            <w:r w:rsidRPr="00A67277">
              <w:rPr>
                <w:rFonts w:cs="Arial"/>
                <w:lang w:val="id-ID" w:eastAsia="id-ID"/>
              </w:rPr>
              <w:t>Masing-masing Pihak dilarang untuk menjual, mengalihkan, melakukan novasi atau dengan cara lain menyerahkan hak atau kewajibannya berdasarkan atau menurut Perjanjian ini tanpa persetujuan tertulis dari Pihak lainnya, kecuali bahwa untuk tujuan membiayai Proyek, BUP dapat mengalihkan atau menciptakan jaminan sehubungan dengan hak dan kepentingannya berdasarkan atau sehubungan dengan Perjanjian ini, Perjanjian Proyek lainnya dimana BUP merupakan pihak, hak untuk menggunakan tanah di dalam Lokasi, benda bergerak dan Hak Atas Kekayaan Intelektual dari BUP, atau pendapatan atau hak atau aset BUP, berdasarkan Surat Persetujuan PJPK.</w:t>
            </w:r>
          </w:p>
        </w:tc>
      </w:tr>
      <w:tr w:rsidR="00862B0B" w:rsidRPr="00A67277" w14:paraId="1FF95272" w14:textId="77777777" w:rsidTr="00862B0B">
        <w:trPr>
          <w:gridAfter w:val="1"/>
          <w:wAfter w:w="47" w:type="pct"/>
        </w:trPr>
        <w:tc>
          <w:tcPr>
            <w:tcW w:w="2270" w:type="pct"/>
          </w:tcPr>
          <w:p w14:paraId="10502648" w14:textId="77777777" w:rsidR="00862B0B" w:rsidRPr="00A67277" w:rsidRDefault="00862B0B" w:rsidP="00862B0B">
            <w:pPr>
              <w:pStyle w:val="Level3"/>
              <w:numPr>
                <w:ilvl w:val="2"/>
                <w:numId w:val="524"/>
              </w:numPr>
              <w:tabs>
                <w:tab w:val="clear" w:pos="1417"/>
                <w:tab w:val="num" w:pos="1620"/>
              </w:tabs>
              <w:spacing w:before="60" w:after="60"/>
              <w:ind w:left="1260" w:hanging="540"/>
            </w:pPr>
            <w:r w:rsidRPr="00A67277">
              <w:t>Any actual, attempted or purported sale, assignment or other transfer by a Party of any of its rights or obligations or interests in, under or pursuant to this Agreement that does not comply with the terms of this Clause 30 (Assignment) shall be null, void and of no force or effect.</w:t>
            </w:r>
          </w:p>
        </w:tc>
        <w:tc>
          <w:tcPr>
            <w:tcW w:w="169" w:type="pct"/>
          </w:tcPr>
          <w:p w14:paraId="6DD94EDA" w14:textId="77777777" w:rsidR="00862B0B" w:rsidRPr="00A67277" w:rsidRDefault="00862B0B" w:rsidP="00862B0B">
            <w:pPr>
              <w:spacing w:before="60" w:after="60"/>
              <w:rPr>
                <w:rFonts w:ascii="Arial" w:hAnsi="Arial" w:cs="Arial"/>
                <w:sz w:val="21"/>
                <w:szCs w:val="21"/>
              </w:rPr>
            </w:pPr>
          </w:p>
        </w:tc>
        <w:tc>
          <w:tcPr>
            <w:tcW w:w="2514" w:type="pct"/>
          </w:tcPr>
          <w:p w14:paraId="44B2F1F6" w14:textId="77777777" w:rsidR="00862B0B" w:rsidRPr="00A67277" w:rsidRDefault="00862B0B" w:rsidP="00862B0B">
            <w:pPr>
              <w:pStyle w:val="Level3"/>
              <w:numPr>
                <w:ilvl w:val="0"/>
                <w:numId w:val="148"/>
              </w:numPr>
              <w:tabs>
                <w:tab w:val="left" w:pos="1692"/>
              </w:tabs>
              <w:spacing w:before="60" w:after="60"/>
              <w:ind w:left="1260" w:hanging="540"/>
              <w:rPr>
                <w:rFonts w:cs="Arial"/>
                <w:lang w:val="id-ID" w:eastAsia="id-ID"/>
              </w:rPr>
            </w:pPr>
            <w:r w:rsidRPr="00A67277">
              <w:rPr>
                <w:rFonts w:cs="Arial"/>
                <w:lang w:val="id-ID" w:eastAsia="id-ID"/>
              </w:rPr>
              <w:t>Setiap tindakan nyata, upaya atau percobaan untuk penjualan, pengalihan atau penyerahan lainnya oleh salah satu Pihak atas hak dan kewajibannya dalam, sehubungan atau berdasarkan Perjanjian ini yang tidak sesuai dengan ketentuan Pasal 30 (Pengalihan) ini</w:t>
            </w:r>
            <w:r w:rsidRPr="00A67277">
              <w:rPr>
                <w:rFonts w:cs="Arial"/>
                <w:lang w:val="en-US" w:eastAsia="id-ID"/>
              </w:rPr>
              <w:t xml:space="preserve"> </w:t>
            </w:r>
            <w:r w:rsidRPr="00A67277">
              <w:rPr>
                <w:rFonts w:cs="Arial"/>
                <w:lang w:val="id-ID" w:eastAsia="id-ID"/>
              </w:rPr>
              <w:t>harus dianggap batal, tidak berlaku dan tidak memiliki pengaruh atau kekuatan hukum.</w:t>
            </w:r>
          </w:p>
        </w:tc>
      </w:tr>
      <w:tr w:rsidR="00862B0B" w:rsidRPr="00A67277" w14:paraId="09C62915" w14:textId="77777777" w:rsidTr="00862B0B">
        <w:trPr>
          <w:gridAfter w:val="1"/>
          <w:wAfter w:w="47" w:type="pct"/>
        </w:trPr>
        <w:tc>
          <w:tcPr>
            <w:tcW w:w="2270" w:type="pct"/>
          </w:tcPr>
          <w:p w14:paraId="3ADC9E5B" w14:textId="77777777" w:rsidR="00862B0B" w:rsidRPr="00A67277" w:rsidRDefault="00862B0B" w:rsidP="00862B0B">
            <w:pPr>
              <w:pStyle w:val="Heading1"/>
              <w:numPr>
                <w:ilvl w:val="0"/>
                <w:numId w:val="542"/>
              </w:numPr>
              <w:spacing w:before="60" w:after="60"/>
              <w:ind w:left="567" w:hanging="567"/>
            </w:pPr>
            <w:r w:rsidRPr="00A67277">
              <w:t>Monitoring, Records, Reports, Audit</w:t>
            </w:r>
          </w:p>
        </w:tc>
        <w:tc>
          <w:tcPr>
            <w:tcW w:w="169" w:type="pct"/>
          </w:tcPr>
          <w:p w14:paraId="3CB3D2B7" w14:textId="77777777" w:rsidR="00862B0B" w:rsidRPr="00A67277" w:rsidRDefault="00862B0B" w:rsidP="00862B0B">
            <w:pPr>
              <w:spacing w:before="60" w:after="60"/>
              <w:rPr>
                <w:rFonts w:ascii="Arial" w:hAnsi="Arial" w:cs="Arial"/>
                <w:sz w:val="21"/>
                <w:szCs w:val="21"/>
              </w:rPr>
            </w:pPr>
          </w:p>
        </w:tc>
        <w:tc>
          <w:tcPr>
            <w:tcW w:w="2514" w:type="pct"/>
          </w:tcPr>
          <w:p w14:paraId="59A77F29" w14:textId="77777777" w:rsidR="00862B0B" w:rsidRPr="00A67277" w:rsidRDefault="00862B0B" w:rsidP="00862B0B">
            <w:pPr>
              <w:pStyle w:val="CentredHeading"/>
              <w:numPr>
                <w:ilvl w:val="0"/>
                <w:numId w:val="543"/>
              </w:numPr>
              <w:spacing w:before="60" w:after="60"/>
              <w:ind w:left="483" w:hanging="483"/>
              <w:jc w:val="left"/>
              <w:rPr>
                <w:rFonts w:cs="Arial"/>
                <w:lang w:val="en-US" w:eastAsia="en-US"/>
              </w:rPr>
            </w:pPr>
            <w:r w:rsidRPr="00A67277">
              <w:rPr>
                <w:rFonts w:cs="Arial"/>
                <w:lang w:val="en-US" w:eastAsia="en-US"/>
              </w:rPr>
              <w:t>Pengawasan, Catatan, Laporan, Audit</w:t>
            </w:r>
          </w:p>
        </w:tc>
      </w:tr>
      <w:tr w:rsidR="00862B0B" w:rsidRPr="00A67277" w14:paraId="4B7CDCE2" w14:textId="77777777" w:rsidTr="00862B0B">
        <w:trPr>
          <w:gridAfter w:val="1"/>
          <w:wAfter w:w="47" w:type="pct"/>
        </w:trPr>
        <w:tc>
          <w:tcPr>
            <w:tcW w:w="2270" w:type="pct"/>
          </w:tcPr>
          <w:p w14:paraId="1222AE4C" w14:textId="77777777" w:rsidR="00862B0B" w:rsidRPr="00A67277" w:rsidRDefault="00862B0B" w:rsidP="00862B0B">
            <w:pPr>
              <w:pStyle w:val="Heading2"/>
              <w:numPr>
                <w:ilvl w:val="0"/>
                <w:numId w:val="149"/>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Monitoring Rights; Reports</w:t>
            </w:r>
          </w:p>
          <w:p w14:paraId="57855EC4" w14:textId="77777777" w:rsidR="00862B0B" w:rsidRPr="00A67277" w:rsidRDefault="00862B0B" w:rsidP="00862B0B">
            <w:pPr>
              <w:spacing w:before="60" w:after="60"/>
              <w:ind w:left="1136" w:hanging="630"/>
              <w:rPr>
                <w:rFonts w:ascii="Arial" w:hAnsi="Arial" w:cs="Arial"/>
                <w:b/>
                <w:sz w:val="21"/>
                <w:szCs w:val="21"/>
              </w:rPr>
            </w:pPr>
          </w:p>
        </w:tc>
        <w:tc>
          <w:tcPr>
            <w:tcW w:w="169" w:type="pct"/>
          </w:tcPr>
          <w:p w14:paraId="32917825" w14:textId="77777777" w:rsidR="00862B0B" w:rsidRPr="00A67277" w:rsidRDefault="00862B0B" w:rsidP="00862B0B">
            <w:pPr>
              <w:spacing w:before="60" w:after="60"/>
              <w:rPr>
                <w:rFonts w:ascii="Arial" w:hAnsi="Arial" w:cs="Arial"/>
                <w:sz w:val="21"/>
                <w:szCs w:val="21"/>
              </w:rPr>
            </w:pPr>
          </w:p>
        </w:tc>
        <w:tc>
          <w:tcPr>
            <w:tcW w:w="2514" w:type="pct"/>
          </w:tcPr>
          <w:p w14:paraId="11BAEF59" w14:textId="77777777" w:rsidR="00862B0B" w:rsidRPr="00A67277" w:rsidRDefault="00862B0B" w:rsidP="00862B0B">
            <w:pPr>
              <w:pStyle w:val="Heading2"/>
              <w:numPr>
                <w:ilvl w:val="0"/>
                <w:numId w:val="20"/>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Hak Pengawasan; Laporan-Laporan</w:t>
            </w:r>
          </w:p>
        </w:tc>
      </w:tr>
      <w:tr w:rsidR="00862B0B" w:rsidRPr="00A67277" w14:paraId="6E1CB410" w14:textId="77777777" w:rsidTr="00862B0B">
        <w:trPr>
          <w:gridAfter w:val="1"/>
          <w:wAfter w:w="47" w:type="pct"/>
        </w:trPr>
        <w:tc>
          <w:tcPr>
            <w:tcW w:w="2270" w:type="pct"/>
          </w:tcPr>
          <w:p w14:paraId="1032A2BF" w14:textId="77777777" w:rsidR="00862B0B" w:rsidRPr="00A67277" w:rsidRDefault="00862B0B" w:rsidP="00862B0B">
            <w:pPr>
              <w:pStyle w:val="Level3"/>
              <w:numPr>
                <w:ilvl w:val="2"/>
                <w:numId w:val="525"/>
              </w:numPr>
              <w:tabs>
                <w:tab w:val="clear" w:pos="1417"/>
                <w:tab w:val="num" w:pos="1620"/>
              </w:tabs>
              <w:spacing w:before="60" w:after="60"/>
              <w:ind w:left="1620" w:hanging="540"/>
            </w:pPr>
            <w:r w:rsidRPr="00A67277">
              <w:t>The Independent Supervisory Consultant and/or GCA shall have the right to:</w:t>
            </w:r>
          </w:p>
        </w:tc>
        <w:tc>
          <w:tcPr>
            <w:tcW w:w="169" w:type="pct"/>
          </w:tcPr>
          <w:p w14:paraId="019A284C" w14:textId="77777777" w:rsidR="00862B0B" w:rsidRPr="00A67277" w:rsidRDefault="00862B0B" w:rsidP="00862B0B">
            <w:pPr>
              <w:spacing w:before="60" w:after="60"/>
              <w:rPr>
                <w:rFonts w:ascii="Arial" w:hAnsi="Arial" w:cs="Arial"/>
                <w:sz w:val="21"/>
                <w:szCs w:val="21"/>
              </w:rPr>
            </w:pPr>
          </w:p>
        </w:tc>
        <w:tc>
          <w:tcPr>
            <w:tcW w:w="2514" w:type="pct"/>
          </w:tcPr>
          <w:p w14:paraId="120893D9" w14:textId="77777777" w:rsidR="00862B0B" w:rsidRPr="00A67277" w:rsidRDefault="00862B0B" w:rsidP="00862B0B">
            <w:pPr>
              <w:pStyle w:val="Level3"/>
              <w:numPr>
                <w:ilvl w:val="0"/>
                <w:numId w:val="151"/>
              </w:numPr>
              <w:spacing w:before="60" w:after="60"/>
              <w:ind w:left="1692" w:hanging="540"/>
              <w:rPr>
                <w:rFonts w:cs="Arial"/>
              </w:rPr>
            </w:pPr>
            <w:r w:rsidRPr="00A67277">
              <w:rPr>
                <w:rFonts w:cs="Arial"/>
              </w:rPr>
              <w:t xml:space="preserve">Konsultan Pengawas Independen dan/atau PJPK berhak untuk: </w:t>
            </w:r>
          </w:p>
        </w:tc>
      </w:tr>
      <w:tr w:rsidR="00862B0B" w:rsidRPr="00A67277" w14:paraId="3E9575AC" w14:textId="77777777" w:rsidTr="00862B0B">
        <w:trPr>
          <w:gridAfter w:val="1"/>
          <w:wAfter w:w="47" w:type="pct"/>
        </w:trPr>
        <w:tc>
          <w:tcPr>
            <w:tcW w:w="2270" w:type="pct"/>
          </w:tcPr>
          <w:p w14:paraId="5E34B30C" w14:textId="77777777" w:rsidR="00862B0B" w:rsidRPr="00A67277" w:rsidRDefault="00862B0B" w:rsidP="00862B0B">
            <w:pPr>
              <w:pStyle w:val="Level4"/>
              <w:numPr>
                <w:ilvl w:val="0"/>
                <w:numId w:val="150"/>
              </w:numPr>
              <w:spacing w:before="60" w:after="60"/>
              <w:ind w:left="2160" w:hanging="540"/>
            </w:pPr>
            <w:r w:rsidRPr="00A67277">
              <w:t>enter the Site and inspect the Project;</w:t>
            </w:r>
          </w:p>
          <w:p w14:paraId="26C5C4E1" w14:textId="77777777" w:rsidR="00862B0B" w:rsidRPr="00A67277" w:rsidRDefault="00862B0B" w:rsidP="00862B0B">
            <w:pPr>
              <w:spacing w:before="60" w:after="60"/>
              <w:rPr>
                <w:rFonts w:ascii="Arial" w:hAnsi="Arial" w:cs="Arial"/>
                <w:sz w:val="21"/>
                <w:szCs w:val="21"/>
              </w:rPr>
            </w:pPr>
          </w:p>
        </w:tc>
        <w:tc>
          <w:tcPr>
            <w:tcW w:w="169" w:type="pct"/>
          </w:tcPr>
          <w:p w14:paraId="0C1EA656" w14:textId="77777777" w:rsidR="00862B0B" w:rsidRPr="00A67277" w:rsidRDefault="00862B0B" w:rsidP="00862B0B">
            <w:pPr>
              <w:spacing w:before="60" w:after="60"/>
              <w:rPr>
                <w:rFonts w:ascii="Arial" w:hAnsi="Arial" w:cs="Arial"/>
                <w:sz w:val="21"/>
                <w:szCs w:val="21"/>
              </w:rPr>
            </w:pPr>
          </w:p>
        </w:tc>
        <w:tc>
          <w:tcPr>
            <w:tcW w:w="2514" w:type="pct"/>
          </w:tcPr>
          <w:p w14:paraId="0EDFE65F" w14:textId="77777777" w:rsidR="00862B0B" w:rsidRPr="00A67277" w:rsidRDefault="00862B0B" w:rsidP="00862B0B">
            <w:pPr>
              <w:pStyle w:val="Level4"/>
              <w:numPr>
                <w:ilvl w:val="0"/>
                <w:numId w:val="152"/>
              </w:numPr>
              <w:spacing w:before="60" w:after="60"/>
              <w:ind w:left="2232" w:hanging="540"/>
              <w:rPr>
                <w:rFonts w:cs="Arial"/>
              </w:rPr>
            </w:pPr>
            <w:r w:rsidRPr="00A67277">
              <w:rPr>
                <w:rFonts w:cs="Arial"/>
              </w:rPr>
              <w:t>memasuki Lokasi dan menginspeksi Proyek;</w:t>
            </w:r>
          </w:p>
        </w:tc>
      </w:tr>
      <w:tr w:rsidR="00862B0B" w:rsidRPr="00A67277" w14:paraId="7473935D" w14:textId="77777777" w:rsidTr="00862B0B">
        <w:trPr>
          <w:gridAfter w:val="1"/>
          <w:wAfter w:w="47" w:type="pct"/>
        </w:trPr>
        <w:tc>
          <w:tcPr>
            <w:tcW w:w="2270" w:type="pct"/>
          </w:tcPr>
          <w:p w14:paraId="06D012F1" w14:textId="77777777" w:rsidR="00862B0B" w:rsidRPr="00A67277" w:rsidRDefault="00862B0B" w:rsidP="00862B0B">
            <w:pPr>
              <w:pStyle w:val="Level4"/>
              <w:numPr>
                <w:ilvl w:val="0"/>
                <w:numId w:val="150"/>
              </w:numPr>
              <w:spacing w:before="60" w:after="60"/>
              <w:ind w:left="2160" w:hanging="540"/>
            </w:pPr>
            <w:r w:rsidRPr="00A67277">
              <w:t>monitor the Project, the Works and/or the Services;</w:t>
            </w:r>
          </w:p>
        </w:tc>
        <w:tc>
          <w:tcPr>
            <w:tcW w:w="169" w:type="pct"/>
          </w:tcPr>
          <w:p w14:paraId="777357A7" w14:textId="77777777" w:rsidR="00862B0B" w:rsidRPr="00A67277" w:rsidRDefault="00862B0B" w:rsidP="00862B0B">
            <w:pPr>
              <w:spacing w:before="60" w:after="60"/>
              <w:rPr>
                <w:rFonts w:ascii="Arial" w:hAnsi="Arial" w:cs="Arial"/>
                <w:sz w:val="21"/>
                <w:szCs w:val="21"/>
              </w:rPr>
            </w:pPr>
          </w:p>
        </w:tc>
        <w:tc>
          <w:tcPr>
            <w:tcW w:w="2514" w:type="pct"/>
          </w:tcPr>
          <w:p w14:paraId="1EF69309" w14:textId="77777777" w:rsidR="00862B0B" w:rsidRPr="00A67277" w:rsidRDefault="00862B0B" w:rsidP="00862B0B">
            <w:pPr>
              <w:pStyle w:val="Level4"/>
              <w:numPr>
                <w:ilvl w:val="0"/>
                <w:numId w:val="152"/>
              </w:numPr>
              <w:spacing w:before="60" w:after="60"/>
              <w:ind w:left="2232" w:hanging="540"/>
              <w:rPr>
                <w:rFonts w:cs="Arial"/>
              </w:rPr>
            </w:pPr>
            <w:r w:rsidRPr="00A67277">
              <w:rPr>
                <w:rFonts w:cs="Arial"/>
              </w:rPr>
              <w:t>mengawasi Proyek dan Pekerjaan dan/atau Layanan;</w:t>
            </w:r>
          </w:p>
        </w:tc>
      </w:tr>
      <w:tr w:rsidR="00862B0B" w:rsidRPr="00A67277" w14:paraId="78A2AB58" w14:textId="77777777" w:rsidTr="00862B0B">
        <w:trPr>
          <w:gridAfter w:val="1"/>
          <w:wAfter w:w="47" w:type="pct"/>
        </w:trPr>
        <w:tc>
          <w:tcPr>
            <w:tcW w:w="2270" w:type="pct"/>
          </w:tcPr>
          <w:p w14:paraId="10E9417C" w14:textId="77777777" w:rsidR="00862B0B" w:rsidRPr="00A67277" w:rsidRDefault="00862B0B" w:rsidP="00862B0B">
            <w:pPr>
              <w:pStyle w:val="Level4"/>
              <w:numPr>
                <w:ilvl w:val="0"/>
                <w:numId w:val="150"/>
              </w:numPr>
              <w:spacing w:before="60" w:after="60"/>
              <w:ind w:left="2160" w:hanging="540"/>
            </w:pPr>
            <w:r w:rsidRPr="00A67277">
              <w:t xml:space="preserve">review and make copies including electronic copies as reasonably requested by the Independent Supervisory Consultant and/or GCA of all materials required to be obtained and retained by the IBE pursuant to Clause 18.9 (Drawings, Test Results, etc.) (other than Proprietary Information of the IBE or others) and all materials pertinent to the exercise of the Independent Supervisory Consultant's and/or GCA’s audit rights pursuant to Clause 31.2 (Books and Records: Audit). </w:t>
            </w:r>
          </w:p>
          <w:p w14:paraId="5F81FEB2" w14:textId="77777777" w:rsidR="00862B0B" w:rsidRPr="00A67277" w:rsidRDefault="00862B0B" w:rsidP="00862B0B">
            <w:pPr>
              <w:spacing w:before="60" w:after="60"/>
              <w:ind w:left="2160" w:hanging="540"/>
              <w:rPr>
                <w:rFonts w:ascii="Arial" w:eastAsia="Arial Unicode MS" w:hAnsi="Arial" w:cs="Times New Roman"/>
                <w:sz w:val="21"/>
                <w:szCs w:val="21"/>
                <w:lang w:val="en-GB" w:eastAsia="en-GB"/>
              </w:rPr>
            </w:pPr>
          </w:p>
        </w:tc>
        <w:tc>
          <w:tcPr>
            <w:tcW w:w="169" w:type="pct"/>
          </w:tcPr>
          <w:p w14:paraId="1914EBE7" w14:textId="77777777" w:rsidR="00862B0B" w:rsidRPr="00A67277" w:rsidRDefault="00862B0B" w:rsidP="00862B0B">
            <w:pPr>
              <w:spacing w:before="60" w:after="60"/>
              <w:rPr>
                <w:rFonts w:ascii="Arial" w:hAnsi="Arial" w:cs="Arial"/>
                <w:sz w:val="21"/>
                <w:szCs w:val="21"/>
              </w:rPr>
            </w:pPr>
          </w:p>
        </w:tc>
        <w:tc>
          <w:tcPr>
            <w:tcW w:w="2514" w:type="pct"/>
          </w:tcPr>
          <w:p w14:paraId="52AAAC59" w14:textId="77777777" w:rsidR="00862B0B" w:rsidRPr="00A67277" w:rsidRDefault="00862B0B" w:rsidP="00862B0B">
            <w:pPr>
              <w:pStyle w:val="Level4"/>
              <w:numPr>
                <w:ilvl w:val="0"/>
                <w:numId w:val="152"/>
              </w:numPr>
              <w:spacing w:before="60" w:after="60"/>
              <w:ind w:left="2232" w:hanging="540"/>
              <w:rPr>
                <w:rFonts w:cs="Arial"/>
              </w:rPr>
            </w:pPr>
            <w:r w:rsidRPr="00A67277">
              <w:rPr>
                <w:rFonts w:cs="Arial"/>
              </w:rPr>
              <w:t>meninjau dan membuat salinan-salinan termasuk salinan elektronik yang secara wajar diminta oleh Konsultan Pengawas Independen dan/atau PJPK dari seluruh material-material yang harus didapatkan dan disimpan oleh BUP sesuai dengan Pasal 18.9 (Gambar, Hasil Pengujian, dll) (selain dari Informasi Kemilikan dari BUP atau pihak lain) dan seluruh material-material berkaitan dengan pelaksanaan hak pemeriksaan Konsultan Pengawas Independen dan/atau PJPK berdasarkan Pasal 31.2 (Buku dan Catatan; Audit).</w:t>
            </w:r>
          </w:p>
        </w:tc>
      </w:tr>
      <w:tr w:rsidR="00862B0B" w:rsidRPr="00A67277" w14:paraId="1B3519F9" w14:textId="77777777" w:rsidTr="00862B0B">
        <w:trPr>
          <w:gridAfter w:val="1"/>
          <w:wAfter w:w="47" w:type="pct"/>
        </w:trPr>
        <w:tc>
          <w:tcPr>
            <w:tcW w:w="2270" w:type="pct"/>
          </w:tcPr>
          <w:p w14:paraId="13944715" w14:textId="77777777" w:rsidR="00862B0B" w:rsidRPr="00A67277" w:rsidRDefault="00862B0B" w:rsidP="00862B0B">
            <w:pPr>
              <w:pStyle w:val="Level3"/>
              <w:numPr>
                <w:ilvl w:val="2"/>
                <w:numId w:val="525"/>
              </w:numPr>
              <w:tabs>
                <w:tab w:val="clear" w:pos="1417"/>
                <w:tab w:val="num" w:pos="1620"/>
              </w:tabs>
              <w:spacing w:before="60" w:after="60"/>
              <w:ind w:left="1620" w:hanging="540"/>
            </w:pPr>
            <w:r w:rsidRPr="00A67277">
              <w:t>The IBE shall permit the Independent Supervisory Consultant and/or GCA to conduct such monitoring and review during normal business hours upon reasonable notice to the IBE. Such monitoring and review shall be conducted in the presence of and, in the case of inquiries addressed to the IBE’s employees and Contractors, through IBE’s representative or such other person designated by the IBE for this purpose.</w:t>
            </w:r>
          </w:p>
          <w:p w14:paraId="3A77AAB3" w14:textId="77777777" w:rsidR="00862B0B" w:rsidRPr="00A67277" w:rsidRDefault="00862B0B" w:rsidP="00862B0B">
            <w:pPr>
              <w:tabs>
                <w:tab w:val="num" w:pos="1620"/>
              </w:tabs>
              <w:spacing w:before="60" w:after="60"/>
              <w:ind w:left="1620"/>
              <w:rPr>
                <w:rFonts w:ascii="Arial" w:eastAsia="Arial Unicode MS" w:hAnsi="Arial" w:cs="Times New Roman"/>
                <w:sz w:val="21"/>
                <w:szCs w:val="21"/>
                <w:lang w:val="en-GB" w:eastAsia="en-GB"/>
              </w:rPr>
            </w:pPr>
          </w:p>
        </w:tc>
        <w:tc>
          <w:tcPr>
            <w:tcW w:w="169" w:type="pct"/>
          </w:tcPr>
          <w:p w14:paraId="1BDC661A" w14:textId="77777777" w:rsidR="00862B0B" w:rsidRPr="00A67277" w:rsidRDefault="00862B0B" w:rsidP="00862B0B">
            <w:pPr>
              <w:spacing w:before="60" w:after="60"/>
              <w:rPr>
                <w:rFonts w:ascii="Arial" w:hAnsi="Arial" w:cs="Arial"/>
                <w:sz w:val="21"/>
                <w:szCs w:val="21"/>
              </w:rPr>
            </w:pPr>
          </w:p>
        </w:tc>
        <w:tc>
          <w:tcPr>
            <w:tcW w:w="2514" w:type="pct"/>
          </w:tcPr>
          <w:p w14:paraId="7145BB73" w14:textId="77777777" w:rsidR="00862B0B" w:rsidRPr="00A67277" w:rsidRDefault="00862B0B" w:rsidP="00862B0B">
            <w:pPr>
              <w:pStyle w:val="Level3"/>
              <w:numPr>
                <w:ilvl w:val="0"/>
                <w:numId w:val="151"/>
              </w:numPr>
              <w:spacing w:before="60" w:after="60"/>
              <w:ind w:left="1692" w:hanging="540"/>
              <w:rPr>
                <w:rFonts w:cs="Arial"/>
              </w:rPr>
            </w:pPr>
            <w:r w:rsidRPr="00A67277">
              <w:rPr>
                <w:rFonts w:cs="Arial"/>
              </w:rPr>
              <w:t>BUP harus mengizinkan Konsultan Pengawas Independen dan/atau PJPK untuk melakukan pengawasan dan peninjauan selama jam kerja normal dengan pemberitahuan wajar sebelumnya kepada BUP. Pengawasan dan peninjauan tersebut harus dilakukan di hadapan dan, dalam hal terdapat pertanyaan-pertanyaan yang ditujukan kepada karyawan BUP dan Kontraktor, melalui perwakilan BUP atau orang lain yang ditunjuk oleh BUP untuk tujuan tersebut.</w:t>
            </w:r>
          </w:p>
        </w:tc>
      </w:tr>
      <w:tr w:rsidR="00862B0B" w:rsidRPr="00A67277" w14:paraId="5811BF9D" w14:textId="77777777" w:rsidTr="00862B0B">
        <w:trPr>
          <w:gridAfter w:val="1"/>
          <w:wAfter w:w="47" w:type="pct"/>
        </w:trPr>
        <w:tc>
          <w:tcPr>
            <w:tcW w:w="2270" w:type="pct"/>
          </w:tcPr>
          <w:p w14:paraId="5F322E36" w14:textId="77777777" w:rsidR="00862B0B" w:rsidRPr="00A67277" w:rsidRDefault="00862B0B" w:rsidP="00862B0B">
            <w:pPr>
              <w:pStyle w:val="Level3"/>
              <w:numPr>
                <w:ilvl w:val="2"/>
                <w:numId w:val="525"/>
              </w:numPr>
              <w:tabs>
                <w:tab w:val="clear" w:pos="1417"/>
                <w:tab w:val="num" w:pos="1620"/>
              </w:tabs>
              <w:spacing w:before="60" w:after="60"/>
              <w:ind w:left="1620" w:hanging="540"/>
            </w:pPr>
            <w:r w:rsidRPr="00A67277">
              <w:t xml:space="preserve">Subject to the Independent Supervisory Consultant and/or GCA giving reasonable notice of such requirements, the IBE shall (and shall procure that any Contractor) provide such assistance and access as may reasonably be required by the Independent Supervisory Consultant and/or GCA in connection with any monitoring, auditing, examination or inspection carried out under this Clause 31.1 (Monitoring Rights: Reports). The IBE agrees to designate IBE representative or such other person(s) and to make such representative or person(s) available for all such monitoring and review. </w:t>
            </w:r>
          </w:p>
          <w:p w14:paraId="2323B5C5" w14:textId="77777777" w:rsidR="00862B0B" w:rsidRPr="00A67277" w:rsidRDefault="00862B0B" w:rsidP="00862B0B">
            <w:pPr>
              <w:tabs>
                <w:tab w:val="num" w:pos="1620"/>
              </w:tabs>
              <w:spacing w:before="60" w:after="60"/>
              <w:ind w:left="1620"/>
              <w:rPr>
                <w:rFonts w:ascii="Arial" w:eastAsia="Arial Unicode MS" w:hAnsi="Arial" w:cs="Times New Roman"/>
                <w:sz w:val="21"/>
                <w:szCs w:val="21"/>
                <w:lang w:val="en-GB" w:eastAsia="en-GB"/>
              </w:rPr>
            </w:pPr>
          </w:p>
        </w:tc>
        <w:tc>
          <w:tcPr>
            <w:tcW w:w="169" w:type="pct"/>
          </w:tcPr>
          <w:p w14:paraId="2C010C7A" w14:textId="77777777" w:rsidR="00862B0B" w:rsidRPr="00A67277" w:rsidRDefault="00862B0B" w:rsidP="00862B0B">
            <w:pPr>
              <w:spacing w:before="60" w:after="60"/>
              <w:rPr>
                <w:rFonts w:ascii="Arial" w:hAnsi="Arial" w:cs="Arial"/>
                <w:sz w:val="21"/>
                <w:szCs w:val="21"/>
              </w:rPr>
            </w:pPr>
          </w:p>
        </w:tc>
        <w:tc>
          <w:tcPr>
            <w:tcW w:w="2514" w:type="pct"/>
          </w:tcPr>
          <w:p w14:paraId="3F4869DB" w14:textId="77777777" w:rsidR="00862B0B" w:rsidRPr="00A67277" w:rsidRDefault="00862B0B" w:rsidP="00862B0B">
            <w:pPr>
              <w:pStyle w:val="Level3"/>
              <w:numPr>
                <w:ilvl w:val="0"/>
                <w:numId w:val="151"/>
              </w:numPr>
              <w:spacing w:before="60" w:after="60"/>
              <w:ind w:left="1692" w:hanging="540"/>
              <w:rPr>
                <w:rFonts w:cs="Arial"/>
              </w:rPr>
            </w:pPr>
            <w:r w:rsidRPr="00A67277">
              <w:rPr>
                <w:rFonts w:cs="Arial"/>
              </w:rPr>
              <w:t>Dengan syarat Konsultan Pengawas Independen dan/atau PJPK memberikan pemberitahuan yang wajar terkait permintaan diatur dalam ketentuan ini, BUP harus (dan harus menyebabkan seluruh Kontraktor) memberikan bantuan dan akses yang mungkin diperlukan oleh Konsultan Pengawas Independen dan/atau PJPK sehubungan dengan segala pengawasan, audit, pemeriksaan atau inspeksi yang dilaksanakan berdasarkan Pasal 31.1 (Hak Pengawasan; Laporan-Laporan). BUP setuju untuk menunjuk perwakilan BUP atau orang(-orang) lain dan untuk menyebabkan perwakilan atau orang-orang tersebut tersedia untuk pengawasan dan peninjauan tersebut.</w:t>
            </w:r>
          </w:p>
        </w:tc>
      </w:tr>
      <w:tr w:rsidR="00862B0B" w:rsidRPr="00A67277" w14:paraId="5541D1DC" w14:textId="77777777" w:rsidTr="00862B0B">
        <w:trPr>
          <w:gridAfter w:val="1"/>
          <w:wAfter w:w="47" w:type="pct"/>
        </w:trPr>
        <w:tc>
          <w:tcPr>
            <w:tcW w:w="2270" w:type="pct"/>
          </w:tcPr>
          <w:p w14:paraId="2CBE4065" w14:textId="195D3AE1" w:rsidR="00862B0B" w:rsidRPr="00A67277" w:rsidRDefault="00862B0B" w:rsidP="00862B0B">
            <w:pPr>
              <w:pStyle w:val="Level3"/>
              <w:numPr>
                <w:ilvl w:val="2"/>
                <w:numId w:val="525"/>
              </w:numPr>
              <w:tabs>
                <w:tab w:val="clear" w:pos="1417"/>
                <w:tab w:val="num" w:pos="1620"/>
              </w:tabs>
              <w:spacing w:before="60" w:after="60"/>
              <w:ind w:left="1620" w:hanging="540"/>
            </w:pPr>
            <w:r w:rsidRPr="00A67277">
              <w:t>The GCA shall bear all costs and expenses incurred for the purposes implementing incidental monitoring and/or audit carried out by the GCA or its representative, other than such costs and expenses for purposes of routine monitoring activities within the IBE’s regular monitoring program (including the regular Project meetings referred to in paragraph (e)).</w:t>
            </w:r>
          </w:p>
        </w:tc>
        <w:tc>
          <w:tcPr>
            <w:tcW w:w="169" w:type="pct"/>
          </w:tcPr>
          <w:p w14:paraId="19B91F9C" w14:textId="77777777" w:rsidR="00862B0B" w:rsidRPr="00A67277" w:rsidRDefault="00862B0B" w:rsidP="00862B0B">
            <w:pPr>
              <w:spacing w:before="60" w:after="60"/>
              <w:rPr>
                <w:rFonts w:ascii="Arial" w:hAnsi="Arial" w:cs="Arial"/>
                <w:sz w:val="21"/>
                <w:szCs w:val="21"/>
              </w:rPr>
            </w:pPr>
          </w:p>
        </w:tc>
        <w:tc>
          <w:tcPr>
            <w:tcW w:w="2514" w:type="pct"/>
          </w:tcPr>
          <w:p w14:paraId="6DFE70FF" w14:textId="28A88157" w:rsidR="00862B0B" w:rsidRPr="00A67277" w:rsidRDefault="00862B0B" w:rsidP="00862B0B">
            <w:pPr>
              <w:pStyle w:val="Level3"/>
              <w:numPr>
                <w:ilvl w:val="0"/>
                <w:numId w:val="151"/>
              </w:numPr>
              <w:spacing w:before="60" w:after="60"/>
              <w:ind w:left="1692" w:hanging="540"/>
              <w:rPr>
                <w:rFonts w:cs="Arial"/>
              </w:rPr>
            </w:pPr>
            <w:r w:rsidRPr="00A67277">
              <w:rPr>
                <w:rFonts w:cs="Arial"/>
              </w:rPr>
              <w:t>PJPK menanggung semua biaya dan pengeluaran yang timbul untuk tujuan pelaksanaan pemantauan dan / atau audit insidental yang dilakukan oleh PJPK atau perwakilannya, selain biaya dan pengeluaran untuk keperluan kegiatan pemantauan rutin di dalam program pemantauan reguler BUP (termasuk pertemuan rutin Proyek sebagaimana dimaksud pada ayat (e)).</w:t>
            </w:r>
          </w:p>
        </w:tc>
      </w:tr>
      <w:tr w:rsidR="00862B0B" w:rsidRPr="00A67277" w14:paraId="04CE379E" w14:textId="77777777" w:rsidTr="00862B0B">
        <w:trPr>
          <w:gridAfter w:val="1"/>
          <w:wAfter w:w="47" w:type="pct"/>
        </w:trPr>
        <w:tc>
          <w:tcPr>
            <w:tcW w:w="2270" w:type="pct"/>
          </w:tcPr>
          <w:p w14:paraId="591CBC10" w14:textId="77777777" w:rsidR="00862B0B" w:rsidRPr="00A67277" w:rsidRDefault="00862B0B" w:rsidP="00862B0B">
            <w:pPr>
              <w:pStyle w:val="Level3"/>
              <w:numPr>
                <w:ilvl w:val="2"/>
                <w:numId w:val="525"/>
              </w:numPr>
              <w:tabs>
                <w:tab w:val="clear" w:pos="1417"/>
                <w:tab w:val="num" w:pos="1620"/>
              </w:tabs>
              <w:spacing w:before="60" w:after="60"/>
              <w:ind w:left="1620" w:hanging="540"/>
            </w:pPr>
            <w:r w:rsidRPr="00A67277">
              <w:t>Performance of the activities set out in this Clause 31.1 (Monitoring Rights: Reports) shall not imply any obligation of the Independent Supervisory Consultant and/or GCA to perform any obligations of the IBE hereunder or under any other Project Agreements to which the IBE is a party or constitute the basis of any waiver by the Independent Supervisory Consultant and/or GCA of any rights hereunder or thereunder.</w:t>
            </w:r>
          </w:p>
          <w:p w14:paraId="3E67952B" w14:textId="77777777" w:rsidR="00862B0B" w:rsidRPr="00A67277" w:rsidRDefault="00862B0B" w:rsidP="00862B0B">
            <w:pPr>
              <w:pStyle w:val="Level3"/>
              <w:spacing w:before="60" w:after="60"/>
            </w:pPr>
          </w:p>
        </w:tc>
        <w:tc>
          <w:tcPr>
            <w:tcW w:w="169" w:type="pct"/>
          </w:tcPr>
          <w:p w14:paraId="26D266EB" w14:textId="77777777" w:rsidR="00862B0B" w:rsidRPr="00A67277" w:rsidRDefault="00862B0B" w:rsidP="00862B0B">
            <w:pPr>
              <w:spacing w:before="60" w:after="60"/>
              <w:rPr>
                <w:rFonts w:ascii="Arial" w:hAnsi="Arial" w:cs="Arial"/>
                <w:sz w:val="21"/>
                <w:szCs w:val="21"/>
              </w:rPr>
            </w:pPr>
          </w:p>
        </w:tc>
        <w:tc>
          <w:tcPr>
            <w:tcW w:w="2514" w:type="pct"/>
          </w:tcPr>
          <w:p w14:paraId="70C3061B" w14:textId="77777777" w:rsidR="00862B0B" w:rsidRPr="00A67277" w:rsidRDefault="00862B0B" w:rsidP="00862B0B">
            <w:pPr>
              <w:pStyle w:val="Level3"/>
              <w:numPr>
                <w:ilvl w:val="0"/>
                <w:numId w:val="151"/>
              </w:numPr>
              <w:spacing w:before="60" w:after="60"/>
              <w:ind w:left="1692" w:hanging="540"/>
              <w:rPr>
                <w:rFonts w:cs="Arial"/>
              </w:rPr>
            </w:pPr>
            <w:r w:rsidRPr="00A67277">
              <w:rPr>
                <w:rFonts w:cs="Arial"/>
              </w:rPr>
              <w:t>Pelaksanaan kegiatan berdasarkan Pasal 31.1 (Hak Pengawasan; Laporan-Laporan) tidak menyiratkan adanya kewajiban dari Konsultan Pengawas Independen dan/atau PJPK untuk melaksanakan kewajiban-kewajiban apapun dari BUP sebagaimana tercantum disini atau Perjanjian Proyek lainnya dimana BUP merupakan pihak atau menjadi dasar atas setiap pengesampingan oleh Konsultan Pengawas Independen dan/atau PJPK atas segala hak diatur dalam Perjanjian ini atau Perjanjian Proyek tersebut.</w:t>
            </w:r>
          </w:p>
        </w:tc>
      </w:tr>
      <w:tr w:rsidR="00862B0B" w:rsidRPr="00A67277" w14:paraId="3F20045C" w14:textId="77777777" w:rsidTr="00862B0B">
        <w:trPr>
          <w:gridAfter w:val="1"/>
          <w:wAfter w:w="47" w:type="pct"/>
        </w:trPr>
        <w:tc>
          <w:tcPr>
            <w:tcW w:w="2270" w:type="pct"/>
          </w:tcPr>
          <w:p w14:paraId="76385AF9" w14:textId="1DF5F072" w:rsidR="00862B0B" w:rsidRPr="00A67277" w:rsidRDefault="00862B0B" w:rsidP="00862B0B">
            <w:pPr>
              <w:pStyle w:val="Level3"/>
              <w:numPr>
                <w:ilvl w:val="2"/>
                <w:numId w:val="525"/>
              </w:numPr>
              <w:tabs>
                <w:tab w:val="clear" w:pos="1417"/>
                <w:tab w:val="num" w:pos="1620"/>
              </w:tabs>
              <w:spacing w:before="60" w:after="60"/>
              <w:ind w:left="1620" w:hanging="540"/>
            </w:pPr>
            <w:r w:rsidRPr="00A67277">
              <w:t>The IBE must keep a regular operations and maintenance log for the Facility</w:t>
            </w:r>
            <w:r>
              <w:t xml:space="preserve"> </w:t>
            </w:r>
            <w:r w:rsidRPr="00A67277">
              <w:t>which must include information on Availability of the Facility, maintenance, and any other interruption of the Facility's capabilities, and any significant events related to the operation of the Facility. The Independent Supervisory Consultant and/or GCA or their duly appointed representatives will have the right to review the IBE’s daily operations log at all reasonable times and upon reasonable notice.</w:t>
            </w:r>
          </w:p>
        </w:tc>
        <w:tc>
          <w:tcPr>
            <w:tcW w:w="169" w:type="pct"/>
          </w:tcPr>
          <w:p w14:paraId="6B06F399" w14:textId="77777777" w:rsidR="00862B0B" w:rsidRPr="00A67277" w:rsidRDefault="00862B0B" w:rsidP="00862B0B">
            <w:pPr>
              <w:spacing w:before="60" w:after="60"/>
              <w:rPr>
                <w:rFonts w:ascii="Arial" w:hAnsi="Arial" w:cs="Arial"/>
                <w:sz w:val="21"/>
                <w:szCs w:val="21"/>
              </w:rPr>
            </w:pPr>
          </w:p>
        </w:tc>
        <w:tc>
          <w:tcPr>
            <w:tcW w:w="2514" w:type="pct"/>
          </w:tcPr>
          <w:p w14:paraId="04BC1937" w14:textId="7CD59C0A" w:rsidR="00862B0B" w:rsidRPr="00A67277" w:rsidRDefault="00862B0B" w:rsidP="00862B0B">
            <w:pPr>
              <w:pStyle w:val="Level3"/>
              <w:numPr>
                <w:ilvl w:val="0"/>
                <w:numId w:val="151"/>
              </w:numPr>
              <w:spacing w:before="60" w:after="60"/>
              <w:ind w:left="1692" w:hanging="540"/>
              <w:rPr>
                <w:rFonts w:cs="Arial"/>
              </w:rPr>
            </w:pPr>
            <w:r w:rsidRPr="00A67277">
              <w:rPr>
                <w:rFonts w:cs="Arial"/>
              </w:rPr>
              <w:t>BUP harus menyimpan catatan operasional dan pemeliharaan rutin dari Fasilitas, yang harus memuat informasi mengenai Ketersediaan dari Fasilitas, perawatan, dan gangguan-gangguan terhadap kemampuan Fasilitas, dan setiap peristiwa penting yang terkait dengan pengoperasian Fasilitas. Konsultan Pengawas Independen dan/atau PJPK dan perwakilan yang ditunjuknya berhak untuk meninjau catatan operasional BUP pada setiap waktu yang wajar dan dengan pemberitahuan yang wajar sebelumnya.</w:t>
            </w:r>
          </w:p>
        </w:tc>
      </w:tr>
      <w:tr w:rsidR="00862B0B" w:rsidRPr="00A67277" w14:paraId="539B18E2" w14:textId="77777777" w:rsidTr="00862B0B">
        <w:trPr>
          <w:gridAfter w:val="1"/>
          <w:wAfter w:w="47" w:type="pct"/>
        </w:trPr>
        <w:tc>
          <w:tcPr>
            <w:tcW w:w="2270" w:type="pct"/>
          </w:tcPr>
          <w:p w14:paraId="4A540BCC" w14:textId="77777777" w:rsidR="00862B0B" w:rsidRPr="00A67277" w:rsidRDefault="00862B0B" w:rsidP="00862B0B">
            <w:pPr>
              <w:pStyle w:val="Heading2"/>
              <w:numPr>
                <w:ilvl w:val="0"/>
                <w:numId w:val="149"/>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Books and Records; Audit</w:t>
            </w:r>
          </w:p>
        </w:tc>
        <w:tc>
          <w:tcPr>
            <w:tcW w:w="169" w:type="pct"/>
          </w:tcPr>
          <w:p w14:paraId="15556ACD" w14:textId="77777777" w:rsidR="00862B0B" w:rsidRPr="00A67277" w:rsidRDefault="00862B0B" w:rsidP="00862B0B">
            <w:pPr>
              <w:spacing w:before="60" w:after="60"/>
              <w:rPr>
                <w:rFonts w:ascii="Arial" w:hAnsi="Arial" w:cs="Arial"/>
                <w:sz w:val="21"/>
                <w:szCs w:val="21"/>
              </w:rPr>
            </w:pPr>
          </w:p>
        </w:tc>
        <w:tc>
          <w:tcPr>
            <w:tcW w:w="2514" w:type="pct"/>
          </w:tcPr>
          <w:p w14:paraId="08EEFE36" w14:textId="77777777" w:rsidR="00862B0B" w:rsidRPr="00A67277" w:rsidRDefault="00862B0B" w:rsidP="00862B0B">
            <w:pPr>
              <w:pStyle w:val="Heading2"/>
              <w:numPr>
                <w:ilvl w:val="0"/>
                <w:numId w:val="20"/>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Buku dan Catatan; Audit</w:t>
            </w:r>
          </w:p>
        </w:tc>
      </w:tr>
      <w:tr w:rsidR="00862B0B" w:rsidRPr="00A67277" w14:paraId="66257774" w14:textId="77777777" w:rsidTr="00862B0B">
        <w:trPr>
          <w:gridAfter w:val="1"/>
          <w:wAfter w:w="47" w:type="pct"/>
        </w:trPr>
        <w:tc>
          <w:tcPr>
            <w:tcW w:w="2270" w:type="pct"/>
          </w:tcPr>
          <w:p w14:paraId="001689F2" w14:textId="77777777" w:rsidR="00862B0B" w:rsidRPr="00A67277" w:rsidRDefault="00862B0B" w:rsidP="00862B0B">
            <w:pPr>
              <w:pStyle w:val="Level3"/>
              <w:numPr>
                <w:ilvl w:val="2"/>
                <w:numId w:val="526"/>
              </w:numPr>
              <w:tabs>
                <w:tab w:val="clear" w:pos="1417"/>
              </w:tabs>
              <w:spacing w:before="60" w:after="60"/>
            </w:pPr>
            <w:r w:rsidRPr="00A67277">
              <w:t>The IBE shall comply with the Accounting Principles and maintain proper books and produce and publish financial records in accordance with Laws.</w:t>
            </w:r>
          </w:p>
        </w:tc>
        <w:tc>
          <w:tcPr>
            <w:tcW w:w="169" w:type="pct"/>
          </w:tcPr>
          <w:p w14:paraId="7BB6B558" w14:textId="77777777" w:rsidR="00862B0B" w:rsidRPr="00A67277" w:rsidRDefault="00862B0B" w:rsidP="00862B0B">
            <w:pPr>
              <w:spacing w:before="60" w:after="60"/>
              <w:rPr>
                <w:rFonts w:ascii="Arial" w:hAnsi="Arial" w:cs="Arial"/>
                <w:sz w:val="21"/>
                <w:szCs w:val="21"/>
              </w:rPr>
            </w:pPr>
          </w:p>
        </w:tc>
        <w:tc>
          <w:tcPr>
            <w:tcW w:w="2514" w:type="pct"/>
          </w:tcPr>
          <w:p w14:paraId="2B57E629"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BUP harus mematuhi Prinsip-Prinsip Akutansi dan menjaga buku-buku yang layak dan membuat dan menerbitkan catatan-catatan keuangan sesuai dengan Hukum.</w:t>
            </w:r>
          </w:p>
        </w:tc>
      </w:tr>
      <w:tr w:rsidR="00862B0B" w:rsidRPr="00A67277" w14:paraId="5BACEB63" w14:textId="77777777" w:rsidTr="00862B0B">
        <w:trPr>
          <w:gridAfter w:val="1"/>
          <w:wAfter w:w="47" w:type="pct"/>
        </w:trPr>
        <w:tc>
          <w:tcPr>
            <w:tcW w:w="2270" w:type="pct"/>
          </w:tcPr>
          <w:p w14:paraId="46647EB2" w14:textId="77777777" w:rsidR="00862B0B" w:rsidRPr="00A67277" w:rsidRDefault="00862B0B" w:rsidP="00862B0B">
            <w:pPr>
              <w:pStyle w:val="Level3"/>
              <w:numPr>
                <w:ilvl w:val="2"/>
                <w:numId w:val="526"/>
              </w:numPr>
              <w:tabs>
                <w:tab w:val="clear" w:pos="1417"/>
                <w:tab w:val="num" w:pos="1620"/>
              </w:tabs>
              <w:spacing w:before="60" w:after="60"/>
              <w:ind w:left="1620" w:hanging="540"/>
            </w:pPr>
            <w:r w:rsidRPr="00A67277">
              <w:t>The IBE shall have a fiscal year ending on [31 December] each year.</w:t>
            </w:r>
          </w:p>
        </w:tc>
        <w:tc>
          <w:tcPr>
            <w:tcW w:w="169" w:type="pct"/>
          </w:tcPr>
          <w:p w14:paraId="185D5F8A" w14:textId="77777777" w:rsidR="00862B0B" w:rsidRPr="00A67277" w:rsidRDefault="00862B0B" w:rsidP="00862B0B">
            <w:pPr>
              <w:spacing w:before="60" w:after="60"/>
              <w:rPr>
                <w:rFonts w:ascii="Arial" w:hAnsi="Arial" w:cs="Arial"/>
                <w:sz w:val="21"/>
                <w:szCs w:val="21"/>
              </w:rPr>
            </w:pPr>
          </w:p>
        </w:tc>
        <w:tc>
          <w:tcPr>
            <w:tcW w:w="2514" w:type="pct"/>
          </w:tcPr>
          <w:p w14:paraId="5126E1B0"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BUP harus menerapkan tahun fiskal yang berakhir pada [31 Desember] setiap Tahun.</w:t>
            </w:r>
          </w:p>
        </w:tc>
      </w:tr>
      <w:tr w:rsidR="00862B0B" w:rsidRPr="00A67277" w14:paraId="04B3F814" w14:textId="77777777" w:rsidTr="00862B0B">
        <w:trPr>
          <w:gridAfter w:val="1"/>
          <w:wAfter w:w="47" w:type="pct"/>
        </w:trPr>
        <w:tc>
          <w:tcPr>
            <w:tcW w:w="2270" w:type="pct"/>
          </w:tcPr>
          <w:p w14:paraId="13CF15A0" w14:textId="77777777" w:rsidR="00862B0B" w:rsidRPr="00A67277" w:rsidRDefault="00862B0B" w:rsidP="00862B0B">
            <w:pPr>
              <w:pStyle w:val="Level3"/>
              <w:numPr>
                <w:ilvl w:val="2"/>
                <w:numId w:val="526"/>
              </w:numPr>
              <w:tabs>
                <w:tab w:val="clear" w:pos="1417"/>
                <w:tab w:val="num" w:pos="1620"/>
              </w:tabs>
              <w:spacing w:before="60" w:after="60"/>
              <w:ind w:left="1620" w:hanging="540"/>
            </w:pPr>
            <w:r w:rsidRPr="00A67277">
              <w:t>The IBE shall prepare unaudited financial statements in accordance with the Accounting Principles consistently applied. Such quarterly financial statements shall be signed by the IBE’s authorized director and shall be submitted to the GCA within thirty (30) Days after the end of each quarter.</w:t>
            </w:r>
          </w:p>
        </w:tc>
        <w:tc>
          <w:tcPr>
            <w:tcW w:w="169" w:type="pct"/>
          </w:tcPr>
          <w:p w14:paraId="0A7D5ABE" w14:textId="77777777" w:rsidR="00862B0B" w:rsidRPr="00A67277" w:rsidRDefault="00862B0B" w:rsidP="00862B0B">
            <w:pPr>
              <w:spacing w:before="60" w:after="60"/>
              <w:rPr>
                <w:rFonts w:ascii="Arial" w:hAnsi="Arial" w:cs="Arial"/>
                <w:sz w:val="21"/>
                <w:szCs w:val="21"/>
              </w:rPr>
            </w:pPr>
          </w:p>
        </w:tc>
        <w:tc>
          <w:tcPr>
            <w:tcW w:w="2514" w:type="pct"/>
          </w:tcPr>
          <w:p w14:paraId="060EE6AC"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BUP harus menyiapkan laporan keuangan triwulanan yang tidak diaudit sesuai dengan Prinsip-Prinsip Akuntansi yang diterapkan secara konsisten. Laporan keuangan triwulanan tersebut ditandatangani oleh direktur BUP yang berwenang dan harus diserahkan kepada PJPK dalam waktu tiga puluh (30) Hari setelah akhir dari setiap triwulan.</w:t>
            </w:r>
          </w:p>
        </w:tc>
      </w:tr>
      <w:tr w:rsidR="00862B0B" w:rsidRPr="00A67277" w14:paraId="73106E4E" w14:textId="77777777" w:rsidTr="00862B0B">
        <w:trPr>
          <w:gridAfter w:val="1"/>
          <w:wAfter w:w="47" w:type="pct"/>
        </w:trPr>
        <w:tc>
          <w:tcPr>
            <w:tcW w:w="2270" w:type="pct"/>
          </w:tcPr>
          <w:p w14:paraId="0740D576" w14:textId="77777777" w:rsidR="00862B0B" w:rsidRPr="00A67277" w:rsidRDefault="00862B0B" w:rsidP="00862B0B">
            <w:pPr>
              <w:pStyle w:val="Level3"/>
              <w:numPr>
                <w:ilvl w:val="2"/>
                <w:numId w:val="526"/>
              </w:numPr>
              <w:tabs>
                <w:tab w:val="clear" w:pos="1417"/>
                <w:tab w:val="num" w:pos="1620"/>
              </w:tabs>
              <w:spacing w:before="60" w:after="60"/>
              <w:ind w:left="1620" w:hanging="540"/>
            </w:pPr>
            <w:r w:rsidRPr="00A67277">
              <w:t>At the end of each fiscal year, the IBE shall prepare annual financial statements in accordance with the Accounting Principles consistently applied. Such annual financial statements shall be externally reviewed and audited by the external auditor. The audited financial statements shall be submitted to the GCA within a period of six (6) Months after the end of each Fiscal Year.</w:t>
            </w:r>
          </w:p>
        </w:tc>
        <w:tc>
          <w:tcPr>
            <w:tcW w:w="169" w:type="pct"/>
          </w:tcPr>
          <w:p w14:paraId="5D49BA33" w14:textId="77777777" w:rsidR="00862B0B" w:rsidRPr="00A67277" w:rsidRDefault="00862B0B" w:rsidP="00862B0B">
            <w:pPr>
              <w:spacing w:before="60" w:after="60"/>
              <w:rPr>
                <w:rFonts w:ascii="Arial" w:hAnsi="Arial" w:cs="Arial"/>
                <w:sz w:val="21"/>
                <w:szCs w:val="21"/>
              </w:rPr>
            </w:pPr>
          </w:p>
        </w:tc>
        <w:tc>
          <w:tcPr>
            <w:tcW w:w="2514" w:type="pct"/>
          </w:tcPr>
          <w:p w14:paraId="7079286A"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Pada setiap akhir tahun fiskal, BUP harus menyiapkan laporan keuangan sesuai dengan Prinsip-Prinsip Akuntansi yang diterapkan secara konsisten. Laporan keuangan tahunan tersebut harus ditinjau dan diaudit oleh auditor eksternal. Laporan keuangan yang telah diaudit harus diserahkan kepada PJPK dalam waktu enam (6) Bulan setelah akhir Tahun Fiskal.</w:t>
            </w:r>
          </w:p>
        </w:tc>
      </w:tr>
      <w:tr w:rsidR="00862B0B" w:rsidRPr="00A67277" w14:paraId="1D25C317" w14:textId="77777777" w:rsidTr="00862B0B">
        <w:trPr>
          <w:gridAfter w:val="1"/>
          <w:wAfter w:w="47" w:type="pct"/>
        </w:trPr>
        <w:tc>
          <w:tcPr>
            <w:tcW w:w="2270" w:type="pct"/>
          </w:tcPr>
          <w:p w14:paraId="586493A8" w14:textId="77777777" w:rsidR="00862B0B" w:rsidRPr="00A67277" w:rsidRDefault="00862B0B" w:rsidP="00862B0B">
            <w:pPr>
              <w:pStyle w:val="Level3"/>
              <w:numPr>
                <w:ilvl w:val="2"/>
                <w:numId w:val="526"/>
              </w:numPr>
              <w:tabs>
                <w:tab w:val="clear" w:pos="1417"/>
                <w:tab w:val="num" w:pos="1620"/>
              </w:tabs>
              <w:spacing w:before="60" w:after="60"/>
              <w:ind w:left="1620" w:hanging="540"/>
            </w:pPr>
            <w:r w:rsidRPr="00A67277">
              <w:t>The Independent Supervisory Consultant and/or GCA or their duly appointed representatives may at reasonable times during the Term, and at their own expense, conduct audits pertaining to adjustment of invoices, indemnity claims, termination payments, reimbursements and any other charges to GCA based on the IBE’s costs, in all such cases for the purpose of determining whether the IBE’s charges to GCA have been computed in accordance with the provision of this Agreement. The Independent Supervisory Consultant and/or GCA or their duly appointed representatives shall have the right, upon reasonable prior written approval from the IBE, to examine and/or make copies of the records and data referred to in this Clause 31.2 (Books and Records: Audit) at their sole expense at any time during normal office hours during the period such records and data are required to be maintained.</w:t>
            </w:r>
          </w:p>
        </w:tc>
        <w:tc>
          <w:tcPr>
            <w:tcW w:w="169" w:type="pct"/>
          </w:tcPr>
          <w:p w14:paraId="25816E79" w14:textId="77777777" w:rsidR="00862B0B" w:rsidRPr="00A67277" w:rsidRDefault="00862B0B" w:rsidP="00862B0B">
            <w:pPr>
              <w:spacing w:before="60" w:after="60"/>
              <w:rPr>
                <w:rFonts w:ascii="Arial" w:hAnsi="Arial" w:cs="Arial"/>
                <w:sz w:val="21"/>
                <w:szCs w:val="21"/>
              </w:rPr>
            </w:pPr>
          </w:p>
        </w:tc>
        <w:tc>
          <w:tcPr>
            <w:tcW w:w="2514" w:type="pct"/>
          </w:tcPr>
          <w:p w14:paraId="7177D4A5"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 xml:space="preserve">Konsultan Pengawas Independen dan/atau PJPK atau perwakilan yang ditunjuknya dapat pada waktu-waktu yang wajar selama Jangka Waktu, dan atas biayanya sendiri, melakukan audit sehubungan dengan pengesuaian tagihan, klaim ganti rugi, pembayaran pengakhiran, penggantian biaya dan pengenaan biaya lainnya kepada PJPK yang menjadi biaya BUP, dalam setiap kasusnya untuk menentukan apakah pengenaan biaya yang diajukan kepada PJPK telah dihitung berdasarkan ketentuan Perjanjian ini. Konsultan Pengawas Independen dan/atau PJPK atau perwakilan yang ditunjuknya berhak, dengan persetujuan wajar tertulis sebelumnya dari BUP, untuk memeriksa dan/atau membuat salinan-salinan dari catatan dan data yang dimaksud dalam Pasal 31.2 (Buku dan Catatan; Audit) ini atas biayanya sendiri setiap saat pada waktu jam kerja normal selama periode dimana catatan dan data tersebut disyaratkan untuk disimpan.  </w:t>
            </w:r>
          </w:p>
        </w:tc>
      </w:tr>
      <w:tr w:rsidR="00862B0B" w:rsidRPr="00A67277" w14:paraId="23894477" w14:textId="77777777" w:rsidTr="00862B0B">
        <w:trPr>
          <w:gridAfter w:val="1"/>
          <w:wAfter w:w="47" w:type="pct"/>
        </w:trPr>
        <w:tc>
          <w:tcPr>
            <w:tcW w:w="2270" w:type="pct"/>
          </w:tcPr>
          <w:p w14:paraId="4CBA1AA7" w14:textId="7CA2DE2C" w:rsidR="00862B0B" w:rsidRPr="00A67277" w:rsidRDefault="00862B0B" w:rsidP="00862B0B">
            <w:pPr>
              <w:pStyle w:val="Level3"/>
              <w:numPr>
                <w:ilvl w:val="2"/>
                <w:numId w:val="526"/>
              </w:numPr>
              <w:tabs>
                <w:tab w:val="clear" w:pos="1417"/>
                <w:tab w:val="num" w:pos="1620"/>
              </w:tabs>
              <w:spacing w:before="60" w:after="60"/>
              <w:ind w:left="1620" w:hanging="540"/>
            </w:pPr>
            <w:r w:rsidRPr="00A67277">
              <w:t>All such records and data referred to in paragraph (a) shall be maintained for a minimum of five (5) Years after the creation of such record</w:t>
            </w:r>
            <w:r>
              <w:t>s</w:t>
            </w:r>
            <w:r w:rsidRPr="00A67277">
              <w:t xml:space="preserve"> or data and for any additional length of time required by regulatory agencies with jurisdiction over the Parties. Upon expiration of such five (5) Year period, neither Party shall dispose of or destroy any such records or data without one (1) Month's prior written notice to the other Party, and the Party receiving such notice may receive such records or data in lieu of such disposal or destruction by giving the notifying Party notice of its intention to receive such records or data at least ten (10) Business Days prior to the expiration of the one (1) Month period.</w:t>
            </w:r>
          </w:p>
        </w:tc>
        <w:tc>
          <w:tcPr>
            <w:tcW w:w="169" w:type="pct"/>
          </w:tcPr>
          <w:p w14:paraId="1A9D5595" w14:textId="77777777" w:rsidR="00862B0B" w:rsidRPr="00A67277" w:rsidRDefault="00862B0B" w:rsidP="00862B0B">
            <w:pPr>
              <w:spacing w:before="60" w:after="60"/>
              <w:rPr>
                <w:rFonts w:ascii="Arial" w:hAnsi="Arial" w:cs="Arial"/>
                <w:sz w:val="21"/>
                <w:szCs w:val="21"/>
              </w:rPr>
            </w:pPr>
          </w:p>
        </w:tc>
        <w:tc>
          <w:tcPr>
            <w:tcW w:w="2514" w:type="pct"/>
          </w:tcPr>
          <w:p w14:paraId="20E8F199"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Catatan dan data dimaksud dalam paragraf (a) harus disimpan untuk jangka waktu sekurangnya lima (5) Tahun setelah dibuatnya catatan atau data tersebut dan untuk jangka waktu tambahan yang disyaratkan oleh regulator yang memiliki kewenangan terhadap Para Pihak. setelah berakhirnya jangka waktu lima (5) Tahun tersebut, masing-masing Pihak tidak boleh menghapus atau menghancurkan catatan atau data tersebut tanpa pemberitahuan tertulis satu (1) Bulan sebelumnya kepada Pihak lainnya, dan Pihak yang menerima pemberitahuan tersebut dapat menerima catatan atau data tersebut sebagai ganti dari penghapusan atau penghancuran tersebut dengan menyampaikan kepada Pihak yang memberitahukan suatu pemberitahuan yang menyatakan kehendaknya untuk menerima catatan atau data tersebut selambatnya sepuluh (10) Hari Kerja sebelum berakhirnya jangka waktu satu (1) Bulan tersebut</w:t>
            </w:r>
          </w:p>
        </w:tc>
      </w:tr>
      <w:tr w:rsidR="00862B0B" w:rsidRPr="00A67277" w14:paraId="44167D59" w14:textId="77777777" w:rsidTr="00862B0B">
        <w:trPr>
          <w:gridAfter w:val="1"/>
          <w:wAfter w:w="47" w:type="pct"/>
        </w:trPr>
        <w:tc>
          <w:tcPr>
            <w:tcW w:w="2270" w:type="pct"/>
          </w:tcPr>
          <w:p w14:paraId="64144073" w14:textId="77777777" w:rsidR="00862B0B" w:rsidRPr="00A67277" w:rsidRDefault="00862B0B" w:rsidP="00862B0B">
            <w:pPr>
              <w:pStyle w:val="Level3"/>
              <w:numPr>
                <w:ilvl w:val="2"/>
                <w:numId w:val="526"/>
              </w:numPr>
              <w:tabs>
                <w:tab w:val="clear" w:pos="1417"/>
                <w:tab w:val="num" w:pos="1620"/>
              </w:tabs>
              <w:spacing w:before="60" w:after="60"/>
              <w:ind w:left="1620" w:hanging="540"/>
            </w:pPr>
            <w:r w:rsidRPr="00A67277">
              <w:t>The IBE recognizes that the GCA is subject to public audit conducted by the Supreme Audit Agency (BPK) and the Financial Supervisory Agency (BPKP) or other Government Instrumentality authorized for such purpose, and for this reason, the IBE shall timely provide important information that might be required by such public auditors or other Government Instrumentality for audit purposes. The IBE must also submit all information regarding the IBE reasonably required by the GCA so that the GCA can meet its reporting obligations concerning its financial affairs, taxes, audit and other matters to any Government Instrumentality.</w:t>
            </w:r>
          </w:p>
        </w:tc>
        <w:tc>
          <w:tcPr>
            <w:tcW w:w="169" w:type="pct"/>
          </w:tcPr>
          <w:p w14:paraId="77F976F5" w14:textId="77777777" w:rsidR="00862B0B" w:rsidRPr="00A67277" w:rsidRDefault="00862B0B" w:rsidP="00862B0B">
            <w:pPr>
              <w:spacing w:before="60" w:after="60"/>
              <w:rPr>
                <w:rFonts w:ascii="Arial" w:hAnsi="Arial" w:cs="Arial"/>
                <w:sz w:val="21"/>
                <w:szCs w:val="21"/>
              </w:rPr>
            </w:pPr>
          </w:p>
        </w:tc>
        <w:tc>
          <w:tcPr>
            <w:tcW w:w="2514" w:type="pct"/>
          </w:tcPr>
          <w:p w14:paraId="38558685" w14:textId="77777777" w:rsidR="00862B0B" w:rsidRPr="00A67277" w:rsidRDefault="00862B0B" w:rsidP="00862B0B">
            <w:pPr>
              <w:pStyle w:val="Level3"/>
              <w:numPr>
                <w:ilvl w:val="0"/>
                <w:numId w:val="153"/>
              </w:numPr>
              <w:spacing w:before="60" w:after="60"/>
              <w:ind w:left="1692" w:hanging="540"/>
              <w:rPr>
                <w:rFonts w:cs="Arial"/>
              </w:rPr>
            </w:pPr>
            <w:r w:rsidRPr="00A67277">
              <w:rPr>
                <w:rFonts w:cs="Arial"/>
              </w:rPr>
              <w:t>BUP mengakui bahwa PJPK tunduk pada audit publik yang dilaksanakan oleh Badan Pemeriksa Keuangan (BPK) dan Badan Pengawasan Keuangan dan Pembangunan (BPKP) atau Lembaga Pemerintahan lainnya yang memiliki kewenangan untuk tujuan tersebut, dan untuk alasan tersebut, BUP harus senantiasa menyediakan informasi yang mungkin diperlukan oleh auditor publik atau Lembaga Pemerintahan lainnya untuk tujuan audit. BUP juga harus memberikan seluruh informasi mengenai BUP yang diperlukan oleh PJPK sehingga PJPK dapat memenuhi kewajiban pelaporannya mengenai keuangan, perpajakan, audit dan hal lain kepada Lembaga Pemerintahan</w:t>
            </w:r>
          </w:p>
        </w:tc>
      </w:tr>
      <w:tr w:rsidR="00862B0B" w:rsidRPr="00A67277" w14:paraId="5585A0C7" w14:textId="77777777" w:rsidTr="00862B0B">
        <w:trPr>
          <w:gridAfter w:val="1"/>
          <w:wAfter w:w="47" w:type="pct"/>
        </w:trPr>
        <w:tc>
          <w:tcPr>
            <w:tcW w:w="2270" w:type="pct"/>
          </w:tcPr>
          <w:p w14:paraId="2DD3A1CA" w14:textId="77777777" w:rsidR="00862B0B" w:rsidRPr="00A67277" w:rsidRDefault="00862B0B" w:rsidP="00862B0B">
            <w:pPr>
              <w:pStyle w:val="Heading2"/>
              <w:numPr>
                <w:ilvl w:val="0"/>
                <w:numId w:val="149"/>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Non-Interference</w:t>
            </w:r>
          </w:p>
        </w:tc>
        <w:tc>
          <w:tcPr>
            <w:tcW w:w="169" w:type="pct"/>
          </w:tcPr>
          <w:p w14:paraId="2AF28FC9" w14:textId="77777777" w:rsidR="00862B0B" w:rsidRPr="00A67277" w:rsidRDefault="00862B0B" w:rsidP="00862B0B">
            <w:pPr>
              <w:spacing w:before="60" w:after="60"/>
              <w:rPr>
                <w:rFonts w:ascii="Arial" w:hAnsi="Arial" w:cs="Arial"/>
                <w:sz w:val="21"/>
                <w:szCs w:val="21"/>
              </w:rPr>
            </w:pPr>
          </w:p>
        </w:tc>
        <w:tc>
          <w:tcPr>
            <w:tcW w:w="2514" w:type="pct"/>
          </w:tcPr>
          <w:p w14:paraId="3682DDD9" w14:textId="77777777" w:rsidR="00862B0B" w:rsidRPr="00A67277" w:rsidRDefault="00862B0B" w:rsidP="00862B0B">
            <w:pPr>
              <w:pStyle w:val="Heading2"/>
              <w:numPr>
                <w:ilvl w:val="0"/>
                <w:numId w:val="20"/>
              </w:numPr>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Tidak Ada Gangguan</w:t>
            </w:r>
          </w:p>
        </w:tc>
      </w:tr>
      <w:tr w:rsidR="00862B0B" w:rsidRPr="00A67277" w14:paraId="52D7CC04" w14:textId="77777777" w:rsidTr="00862B0B">
        <w:trPr>
          <w:gridAfter w:val="1"/>
          <w:wAfter w:w="47" w:type="pct"/>
        </w:trPr>
        <w:tc>
          <w:tcPr>
            <w:tcW w:w="2270" w:type="pct"/>
          </w:tcPr>
          <w:p w14:paraId="0275CF0F" w14:textId="77777777" w:rsidR="00862B0B" w:rsidRPr="00A67277" w:rsidRDefault="00862B0B" w:rsidP="00862B0B">
            <w:pPr>
              <w:pStyle w:val="Body2"/>
              <w:spacing w:before="60" w:after="60"/>
              <w:ind w:left="1080"/>
            </w:pPr>
            <w:r w:rsidRPr="00A67277">
              <w:t>GCA</w:t>
            </w:r>
            <w:r w:rsidRPr="00A67277">
              <w:rPr>
                <w:rFonts w:eastAsia="Times New Roman"/>
              </w:rPr>
              <w:t>’</w:t>
            </w:r>
            <w:r w:rsidRPr="00A67277">
              <w:t>s prerogatives or rights pursuant to this Clause 31 (</w:t>
            </w:r>
            <w:r w:rsidRPr="00A67277">
              <w:rPr>
                <w:rFonts w:eastAsia="Times New Roman"/>
                <w:i/>
              </w:rPr>
              <w:t>Monitoring, Records, Reports, Audit</w:t>
            </w:r>
            <w:r w:rsidRPr="00A67277">
              <w:t>) or otherwise in this Agreement:</w:t>
            </w:r>
          </w:p>
          <w:p w14:paraId="7C9520FA" w14:textId="77777777" w:rsidR="00862B0B" w:rsidRPr="00A67277" w:rsidRDefault="00862B0B" w:rsidP="00862B0B">
            <w:pPr>
              <w:spacing w:before="60" w:after="60"/>
              <w:rPr>
                <w:rFonts w:ascii="Arial" w:hAnsi="Arial" w:cs="Arial"/>
                <w:sz w:val="21"/>
                <w:szCs w:val="21"/>
              </w:rPr>
            </w:pPr>
          </w:p>
        </w:tc>
        <w:tc>
          <w:tcPr>
            <w:tcW w:w="169" w:type="pct"/>
          </w:tcPr>
          <w:p w14:paraId="001F0F50" w14:textId="77777777" w:rsidR="00862B0B" w:rsidRPr="00A67277" w:rsidRDefault="00862B0B" w:rsidP="00862B0B">
            <w:pPr>
              <w:spacing w:before="60" w:after="60"/>
              <w:rPr>
                <w:rFonts w:ascii="Arial" w:hAnsi="Arial" w:cs="Arial"/>
                <w:sz w:val="21"/>
                <w:szCs w:val="21"/>
              </w:rPr>
            </w:pPr>
          </w:p>
        </w:tc>
        <w:tc>
          <w:tcPr>
            <w:tcW w:w="2514" w:type="pct"/>
          </w:tcPr>
          <w:p w14:paraId="429B1740" w14:textId="335ADC07" w:rsidR="00862B0B" w:rsidRPr="00A67277" w:rsidRDefault="00862B0B" w:rsidP="00862B0B">
            <w:pPr>
              <w:pStyle w:val="Body2"/>
              <w:spacing w:before="60" w:after="60"/>
              <w:ind w:left="1169"/>
              <w:rPr>
                <w:rFonts w:cs="Arial"/>
              </w:rPr>
            </w:pPr>
            <w:r w:rsidRPr="00A67277">
              <w:rPr>
                <w:rFonts w:cs="Arial"/>
              </w:rPr>
              <w:t>Hak atau kewenangan PJPK adalah berdasarkan Pasal 31 (</w:t>
            </w:r>
            <w:r w:rsidRPr="00A67277">
              <w:rPr>
                <w:rFonts w:cs="Arial"/>
                <w:i/>
              </w:rPr>
              <w:t>Pengawasan, Catatan, Laporan, Audit</w:t>
            </w:r>
            <w:r w:rsidRPr="00A67277">
              <w:rPr>
                <w:rFonts w:cs="Arial"/>
              </w:rPr>
              <w:t>) atau Perjanjian ini:</w:t>
            </w:r>
          </w:p>
        </w:tc>
      </w:tr>
      <w:tr w:rsidR="00862B0B" w:rsidRPr="00A67277" w14:paraId="47E4EE1C" w14:textId="77777777" w:rsidTr="00862B0B">
        <w:trPr>
          <w:gridAfter w:val="1"/>
          <w:wAfter w:w="47" w:type="pct"/>
        </w:trPr>
        <w:tc>
          <w:tcPr>
            <w:tcW w:w="2270" w:type="pct"/>
          </w:tcPr>
          <w:p w14:paraId="3BBA8E8B" w14:textId="77777777" w:rsidR="00862B0B" w:rsidRPr="00A67277" w:rsidRDefault="00862B0B" w:rsidP="00862B0B">
            <w:pPr>
              <w:pStyle w:val="Level3"/>
              <w:numPr>
                <w:ilvl w:val="2"/>
                <w:numId w:val="527"/>
              </w:numPr>
              <w:tabs>
                <w:tab w:val="clear" w:pos="1417"/>
              </w:tabs>
              <w:spacing w:before="60" w:after="60"/>
              <w:ind w:left="1620" w:hanging="540"/>
            </w:pPr>
            <w:r w:rsidRPr="00A67277">
              <w:t>shall not extend to proprietary pricing and cost information of the IBE; and</w:t>
            </w:r>
          </w:p>
          <w:p w14:paraId="7EFB4335" w14:textId="77777777" w:rsidR="00862B0B" w:rsidRPr="00A67277" w:rsidRDefault="00862B0B" w:rsidP="00862B0B">
            <w:pPr>
              <w:spacing w:before="60" w:after="60"/>
              <w:ind w:left="1620" w:hanging="540"/>
              <w:rPr>
                <w:rFonts w:ascii="Arial" w:eastAsia="Arial Unicode MS" w:hAnsi="Arial" w:cs="Times New Roman"/>
                <w:sz w:val="21"/>
                <w:szCs w:val="21"/>
                <w:lang w:val="en-GB" w:eastAsia="en-GB"/>
              </w:rPr>
            </w:pPr>
          </w:p>
        </w:tc>
        <w:tc>
          <w:tcPr>
            <w:tcW w:w="169" w:type="pct"/>
          </w:tcPr>
          <w:p w14:paraId="084E4ADC" w14:textId="77777777" w:rsidR="00862B0B" w:rsidRPr="00A67277" w:rsidRDefault="00862B0B" w:rsidP="00862B0B">
            <w:pPr>
              <w:spacing w:before="60" w:after="60"/>
              <w:rPr>
                <w:rFonts w:ascii="Arial" w:hAnsi="Arial" w:cs="Arial"/>
                <w:sz w:val="21"/>
                <w:szCs w:val="21"/>
              </w:rPr>
            </w:pPr>
          </w:p>
        </w:tc>
        <w:tc>
          <w:tcPr>
            <w:tcW w:w="2514" w:type="pct"/>
          </w:tcPr>
          <w:p w14:paraId="3E9A7E1D" w14:textId="77777777" w:rsidR="00862B0B" w:rsidRPr="00A67277" w:rsidRDefault="00862B0B" w:rsidP="00862B0B">
            <w:pPr>
              <w:pStyle w:val="Level3"/>
              <w:numPr>
                <w:ilvl w:val="0"/>
                <w:numId w:val="154"/>
              </w:numPr>
              <w:spacing w:before="60" w:after="60"/>
              <w:ind w:left="1692" w:hanging="540"/>
              <w:rPr>
                <w:rFonts w:cs="Arial"/>
              </w:rPr>
            </w:pPr>
            <w:r w:rsidRPr="00A67277">
              <w:rPr>
                <w:rFonts w:cs="Arial"/>
              </w:rPr>
              <w:t>tidak mencakup informasi biaya dan struktur harga yang bersifat kemilikan (</w:t>
            </w:r>
            <w:r w:rsidRPr="00A67277">
              <w:rPr>
                <w:rFonts w:cs="Arial"/>
                <w:i/>
              </w:rPr>
              <w:t>proprietary</w:t>
            </w:r>
            <w:r w:rsidRPr="00A67277">
              <w:rPr>
                <w:rFonts w:cs="Arial"/>
              </w:rPr>
              <w:t xml:space="preserve">) BUP; dan </w:t>
            </w:r>
          </w:p>
        </w:tc>
      </w:tr>
      <w:tr w:rsidR="00862B0B" w:rsidRPr="00A67277" w14:paraId="221E7399" w14:textId="77777777" w:rsidTr="00862B0B">
        <w:trPr>
          <w:gridAfter w:val="1"/>
          <w:wAfter w:w="47" w:type="pct"/>
        </w:trPr>
        <w:tc>
          <w:tcPr>
            <w:tcW w:w="2270" w:type="pct"/>
          </w:tcPr>
          <w:p w14:paraId="348F7E44" w14:textId="77777777" w:rsidR="00862B0B" w:rsidRPr="00A67277" w:rsidRDefault="00862B0B" w:rsidP="00862B0B">
            <w:pPr>
              <w:pStyle w:val="Level3"/>
              <w:numPr>
                <w:ilvl w:val="2"/>
                <w:numId w:val="527"/>
              </w:numPr>
              <w:tabs>
                <w:tab w:val="clear" w:pos="1417"/>
              </w:tabs>
              <w:spacing w:before="60" w:after="60"/>
              <w:ind w:left="1620" w:hanging="540"/>
            </w:pPr>
            <w:r w:rsidRPr="00A67277">
              <w:t>shall not be exercised in such a manner as to unreasonably hinder or impede the design, construction, management or operation and maintenance of the Project by the IBE.</w:t>
            </w:r>
          </w:p>
        </w:tc>
        <w:tc>
          <w:tcPr>
            <w:tcW w:w="169" w:type="pct"/>
          </w:tcPr>
          <w:p w14:paraId="7FEBC539" w14:textId="77777777" w:rsidR="00862B0B" w:rsidRPr="00A67277" w:rsidRDefault="00862B0B" w:rsidP="00862B0B">
            <w:pPr>
              <w:spacing w:before="60" w:after="60"/>
              <w:rPr>
                <w:rFonts w:ascii="Arial" w:hAnsi="Arial" w:cs="Arial"/>
                <w:sz w:val="21"/>
                <w:szCs w:val="21"/>
              </w:rPr>
            </w:pPr>
          </w:p>
        </w:tc>
        <w:tc>
          <w:tcPr>
            <w:tcW w:w="2514" w:type="pct"/>
          </w:tcPr>
          <w:p w14:paraId="12FA29B3" w14:textId="77777777" w:rsidR="00862B0B" w:rsidRPr="00A67277" w:rsidRDefault="00862B0B" w:rsidP="00862B0B">
            <w:pPr>
              <w:pStyle w:val="Level3"/>
              <w:numPr>
                <w:ilvl w:val="0"/>
                <w:numId w:val="154"/>
              </w:numPr>
              <w:spacing w:before="60" w:after="60"/>
              <w:ind w:left="1692" w:hanging="540"/>
              <w:rPr>
                <w:rFonts w:cs="Arial"/>
              </w:rPr>
            </w:pPr>
            <w:r w:rsidRPr="00A67277">
              <w:rPr>
                <w:rFonts w:cs="Arial"/>
              </w:rPr>
              <w:t>tidak dapat dilaksanakan dengan cara yang secara tidak wajar dapat mengganggu atau menghambat desain, konstruksi, manajemen atau pengoperasian dan pemeliharaan Proyek oleh BUP.</w:t>
            </w:r>
          </w:p>
        </w:tc>
      </w:tr>
      <w:tr w:rsidR="00862B0B" w:rsidRPr="00A67277" w14:paraId="4CE5D5DE" w14:textId="77777777" w:rsidTr="00862B0B">
        <w:trPr>
          <w:gridAfter w:val="1"/>
          <w:wAfter w:w="47" w:type="pct"/>
        </w:trPr>
        <w:tc>
          <w:tcPr>
            <w:tcW w:w="2270" w:type="pct"/>
          </w:tcPr>
          <w:p w14:paraId="05457792" w14:textId="77777777" w:rsidR="00862B0B" w:rsidRPr="00A67277" w:rsidRDefault="00862B0B" w:rsidP="00862B0B">
            <w:pPr>
              <w:pStyle w:val="Heading2"/>
              <w:numPr>
                <w:ilvl w:val="0"/>
                <w:numId w:val="149"/>
              </w:numPr>
              <w:spacing w:before="60" w:after="60"/>
              <w:ind w:left="1080" w:hanging="540"/>
              <w:outlineLvl w:val="1"/>
              <w:rPr>
                <w:color w:val="auto"/>
              </w:rPr>
            </w:pPr>
            <w:r w:rsidRPr="00A67277">
              <w:rPr>
                <w:rFonts w:ascii="Arial" w:hAnsi="Arial" w:cs="Arial"/>
                <w:b/>
                <w:color w:val="auto"/>
                <w:sz w:val="21"/>
                <w:szCs w:val="21"/>
              </w:rPr>
              <w:t>Strategic Committee</w:t>
            </w:r>
          </w:p>
        </w:tc>
        <w:tc>
          <w:tcPr>
            <w:tcW w:w="169" w:type="pct"/>
          </w:tcPr>
          <w:p w14:paraId="5508DE5A" w14:textId="77777777" w:rsidR="00862B0B" w:rsidRPr="00A67277" w:rsidRDefault="00862B0B" w:rsidP="00862B0B">
            <w:pPr>
              <w:spacing w:before="60" w:after="60"/>
              <w:rPr>
                <w:rFonts w:ascii="Arial" w:hAnsi="Arial" w:cs="Arial"/>
                <w:sz w:val="21"/>
                <w:szCs w:val="21"/>
              </w:rPr>
            </w:pPr>
          </w:p>
        </w:tc>
        <w:tc>
          <w:tcPr>
            <w:tcW w:w="2514" w:type="pct"/>
          </w:tcPr>
          <w:p w14:paraId="5046F305" w14:textId="77777777" w:rsidR="00862B0B" w:rsidRPr="00A67277" w:rsidRDefault="00862B0B" w:rsidP="00862B0B">
            <w:pPr>
              <w:pStyle w:val="Heading2"/>
              <w:numPr>
                <w:ilvl w:val="0"/>
                <w:numId w:val="20"/>
              </w:numPr>
              <w:spacing w:before="60" w:after="60"/>
              <w:ind w:left="1152" w:hanging="540"/>
              <w:outlineLvl w:val="1"/>
              <w:rPr>
                <w:rFonts w:ascii="Arial" w:hAnsi="Arial" w:cs="Arial"/>
                <w:color w:val="auto"/>
                <w:sz w:val="21"/>
                <w:szCs w:val="21"/>
              </w:rPr>
            </w:pPr>
            <w:r w:rsidRPr="00A67277">
              <w:rPr>
                <w:rFonts w:ascii="Arial" w:hAnsi="Arial" w:cs="Arial"/>
                <w:b/>
                <w:color w:val="auto"/>
                <w:sz w:val="21"/>
                <w:szCs w:val="21"/>
              </w:rPr>
              <w:t>Komite Strategis</w:t>
            </w:r>
          </w:p>
        </w:tc>
      </w:tr>
      <w:tr w:rsidR="00862B0B" w:rsidRPr="00A67277" w14:paraId="53EB2AB8" w14:textId="77777777" w:rsidTr="00862B0B">
        <w:trPr>
          <w:gridAfter w:val="1"/>
          <w:wAfter w:w="47" w:type="pct"/>
        </w:trPr>
        <w:tc>
          <w:tcPr>
            <w:tcW w:w="2270" w:type="pct"/>
          </w:tcPr>
          <w:p w14:paraId="284A7154" w14:textId="77777777" w:rsidR="00862B0B" w:rsidRPr="00A67277" w:rsidRDefault="00862B0B" w:rsidP="00862B0B">
            <w:pPr>
              <w:pStyle w:val="Level3"/>
              <w:numPr>
                <w:ilvl w:val="2"/>
                <w:numId w:val="528"/>
              </w:numPr>
              <w:tabs>
                <w:tab w:val="clear" w:pos="1417"/>
                <w:tab w:val="num" w:pos="1620"/>
              </w:tabs>
              <w:spacing w:before="60" w:after="60"/>
              <w:ind w:left="1620" w:hanging="540"/>
            </w:pPr>
            <w:r w:rsidRPr="00A67277">
              <w:t>The GCA and IBE shall establish and maintain throughout the Term a strategic committee (“</w:t>
            </w:r>
            <w:r w:rsidRPr="00A67277">
              <w:rPr>
                <w:b/>
              </w:rPr>
              <w:t>Strategic Committee</w:t>
            </w:r>
            <w:r w:rsidRPr="00A67277">
              <w:t>”), consisting of representatives from the GCA and the IBE.</w:t>
            </w:r>
          </w:p>
        </w:tc>
        <w:tc>
          <w:tcPr>
            <w:tcW w:w="169" w:type="pct"/>
          </w:tcPr>
          <w:p w14:paraId="4AEA6886" w14:textId="77777777" w:rsidR="00862B0B" w:rsidRPr="00A67277" w:rsidRDefault="00862B0B" w:rsidP="00862B0B">
            <w:pPr>
              <w:spacing w:before="60" w:after="60"/>
              <w:rPr>
                <w:rFonts w:ascii="Arial" w:hAnsi="Arial" w:cs="Arial"/>
                <w:sz w:val="21"/>
                <w:szCs w:val="21"/>
              </w:rPr>
            </w:pPr>
          </w:p>
        </w:tc>
        <w:tc>
          <w:tcPr>
            <w:tcW w:w="2514" w:type="pct"/>
          </w:tcPr>
          <w:p w14:paraId="1DB8C1AF" w14:textId="77777777" w:rsidR="00862B0B" w:rsidRPr="00A67277" w:rsidRDefault="00862B0B" w:rsidP="00862B0B">
            <w:pPr>
              <w:pStyle w:val="Level3"/>
              <w:numPr>
                <w:ilvl w:val="0"/>
                <w:numId w:val="156"/>
              </w:numPr>
              <w:spacing w:before="60" w:after="60"/>
              <w:ind w:left="1692" w:hanging="532"/>
              <w:rPr>
                <w:rFonts w:cs="Arial"/>
              </w:rPr>
            </w:pPr>
            <w:r w:rsidRPr="00A67277">
              <w:rPr>
                <w:rFonts w:cs="Arial"/>
              </w:rPr>
              <w:t>PJPK dan BUP harus membentuk serta mempertahankan keberadaan suatu komite strategis (“</w:t>
            </w:r>
            <w:r w:rsidRPr="00A67277">
              <w:rPr>
                <w:rFonts w:cs="Arial"/>
                <w:b/>
              </w:rPr>
              <w:t>Komite Strategis”</w:t>
            </w:r>
            <w:r w:rsidRPr="00A67277">
              <w:rPr>
                <w:rFonts w:cs="Arial"/>
              </w:rPr>
              <w:t>) selama Jangka Waktu, yang terdiri dari perwakilan PJPK dan BUP.</w:t>
            </w:r>
          </w:p>
        </w:tc>
      </w:tr>
      <w:tr w:rsidR="00862B0B" w:rsidRPr="00A67277" w14:paraId="7E546B0F" w14:textId="77777777" w:rsidTr="00862B0B">
        <w:trPr>
          <w:gridAfter w:val="1"/>
          <w:wAfter w:w="47" w:type="pct"/>
        </w:trPr>
        <w:tc>
          <w:tcPr>
            <w:tcW w:w="2270" w:type="pct"/>
          </w:tcPr>
          <w:p w14:paraId="7FD2AE01" w14:textId="77777777" w:rsidR="00862B0B" w:rsidRPr="00A67277" w:rsidRDefault="00862B0B" w:rsidP="00862B0B">
            <w:pPr>
              <w:pStyle w:val="Level3"/>
              <w:numPr>
                <w:ilvl w:val="2"/>
                <w:numId w:val="528"/>
              </w:numPr>
              <w:tabs>
                <w:tab w:val="clear" w:pos="1417"/>
                <w:tab w:val="num" w:pos="1620"/>
              </w:tabs>
              <w:spacing w:before="60" w:after="60"/>
              <w:ind w:left="1620" w:hanging="540"/>
            </w:pPr>
            <w:r w:rsidRPr="00A67277">
              <w:t>The functions of the Strategic Committee shall be:</w:t>
            </w:r>
          </w:p>
        </w:tc>
        <w:tc>
          <w:tcPr>
            <w:tcW w:w="169" w:type="pct"/>
          </w:tcPr>
          <w:p w14:paraId="506A6269" w14:textId="77777777" w:rsidR="00862B0B" w:rsidRPr="00A67277" w:rsidRDefault="00862B0B" w:rsidP="00862B0B">
            <w:pPr>
              <w:spacing w:before="60" w:after="60"/>
              <w:rPr>
                <w:rFonts w:ascii="Arial" w:hAnsi="Arial" w:cs="Arial"/>
                <w:sz w:val="21"/>
                <w:szCs w:val="21"/>
              </w:rPr>
            </w:pPr>
          </w:p>
        </w:tc>
        <w:tc>
          <w:tcPr>
            <w:tcW w:w="2514" w:type="pct"/>
          </w:tcPr>
          <w:p w14:paraId="1C4E2E56" w14:textId="77777777" w:rsidR="00862B0B" w:rsidRPr="00A67277" w:rsidRDefault="00862B0B" w:rsidP="00862B0B">
            <w:pPr>
              <w:pStyle w:val="Level3"/>
              <w:numPr>
                <w:ilvl w:val="0"/>
                <w:numId w:val="156"/>
              </w:numPr>
              <w:spacing w:before="60" w:after="60"/>
              <w:ind w:left="1692" w:hanging="532"/>
              <w:rPr>
                <w:rFonts w:cs="Arial"/>
              </w:rPr>
            </w:pPr>
            <w:r w:rsidRPr="00A67277">
              <w:rPr>
                <w:rFonts w:cs="Arial"/>
              </w:rPr>
              <w:t>Fungsi dari Komite Strategis adalah:</w:t>
            </w:r>
          </w:p>
        </w:tc>
      </w:tr>
      <w:tr w:rsidR="00862B0B" w:rsidRPr="00A67277" w14:paraId="23E244A9" w14:textId="77777777" w:rsidTr="00862B0B">
        <w:trPr>
          <w:gridAfter w:val="1"/>
          <w:wAfter w:w="47" w:type="pct"/>
        </w:trPr>
        <w:tc>
          <w:tcPr>
            <w:tcW w:w="2270" w:type="pct"/>
          </w:tcPr>
          <w:p w14:paraId="079C2C24" w14:textId="77777777" w:rsidR="00862B0B" w:rsidRPr="00A67277" w:rsidRDefault="00862B0B" w:rsidP="00862B0B">
            <w:pPr>
              <w:pStyle w:val="Level4"/>
              <w:numPr>
                <w:ilvl w:val="0"/>
                <w:numId w:val="155"/>
              </w:numPr>
              <w:spacing w:before="60" w:after="60"/>
              <w:ind w:left="2160" w:hanging="540"/>
            </w:pPr>
            <w:r w:rsidRPr="00A67277">
              <w:t>to provide non-binding strategic guidance on the operation of the Facility by the IBE;</w:t>
            </w:r>
          </w:p>
          <w:p w14:paraId="0D562724" w14:textId="77777777" w:rsidR="00862B0B" w:rsidRPr="00A67277" w:rsidRDefault="00862B0B" w:rsidP="00862B0B">
            <w:pPr>
              <w:tabs>
                <w:tab w:val="left" w:pos="3460"/>
              </w:tabs>
              <w:spacing w:before="60" w:after="60"/>
              <w:rPr>
                <w:rFonts w:ascii="Arial" w:hAnsi="Arial" w:cs="Arial"/>
                <w:sz w:val="21"/>
                <w:szCs w:val="21"/>
              </w:rPr>
            </w:pPr>
            <w:r w:rsidRPr="00A67277">
              <w:rPr>
                <w:rFonts w:ascii="Arial" w:hAnsi="Arial" w:cs="Arial"/>
                <w:sz w:val="21"/>
                <w:szCs w:val="21"/>
              </w:rPr>
              <w:tab/>
            </w:r>
          </w:p>
        </w:tc>
        <w:tc>
          <w:tcPr>
            <w:tcW w:w="169" w:type="pct"/>
          </w:tcPr>
          <w:p w14:paraId="3D283D2F" w14:textId="77777777" w:rsidR="00862B0B" w:rsidRPr="00A67277" w:rsidRDefault="00862B0B" w:rsidP="00862B0B">
            <w:pPr>
              <w:spacing w:before="60" w:after="60"/>
              <w:rPr>
                <w:rFonts w:ascii="Arial" w:hAnsi="Arial" w:cs="Arial"/>
                <w:sz w:val="21"/>
                <w:szCs w:val="21"/>
              </w:rPr>
            </w:pPr>
          </w:p>
        </w:tc>
        <w:tc>
          <w:tcPr>
            <w:tcW w:w="2514" w:type="pct"/>
          </w:tcPr>
          <w:p w14:paraId="4BC01B40" w14:textId="77777777" w:rsidR="00862B0B" w:rsidRPr="00A67277" w:rsidRDefault="00862B0B" w:rsidP="00862B0B">
            <w:pPr>
              <w:pStyle w:val="Level4"/>
              <w:numPr>
                <w:ilvl w:val="0"/>
                <w:numId w:val="157"/>
              </w:numPr>
              <w:tabs>
                <w:tab w:val="left" w:pos="2232"/>
              </w:tabs>
              <w:spacing w:before="60" w:after="60"/>
              <w:ind w:left="2232" w:hanging="540"/>
              <w:rPr>
                <w:rFonts w:cs="Arial"/>
              </w:rPr>
            </w:pPr>
            <w:r w:rsidRPr="00A67277">
              <w:rPr>
                <w:rFonts w:cs="Arial"/>
              </w:rPr>
              <w:t xml:space="preserve">untuk memberikan arahan tidak mengikat yang strategis mengenai pengoperasian Fasilitas oleh BUP; </w:t>
            </w:r>
          </w:p>
        </w:tc>
      </w:tr>
      <w:tr w:rsidR="00862B0B" w:rsidRPr="00A67277" w14:paraId="3E8733FC" w14:textId="77777777" w:rsidTr="00862B0B">
        <w:trPr>
          <w:gridAfter w:val="1"/>
          <w:wAfter w:w="47" w:type="pct"/>
        </w:trPr>
        <w:tc>
          <w:tcPr>
            <w:tcW w:w="2270" w:type="pct"/>
          </w:tcPr>
          <w:p w14:paraId="3A70DC24" w14:textId="77777777" w:rsidR="00862B0B" w:rsidRPr="00A67277" w:rsidRDefault="00862B0B" w:rsidP="00862B0B">
            <w:pPr>
              <w:pStyle w:val="Level4"/>
              <w:numPr>
                <w:ilvl w:val="0"/>
                <w:numId w:val="155"/>
              </w:numPr>
              <w:spacing w:before="60" w:after="60"/>
              <w:ind w:left="2160" w:hanging="540"/>
            </w:pPr>
            <w:r w:rsidRPr="00A67277">
              <w:t>to monitor that Project’s operational risks are properly managed; and</w:t>
            </w:r>
          </w:p>
        </w:tc>
        <w:tc>
          <w:tcPr>
            <w:tcW w:w="169" w:type="pct"/>
          </w:tcPr>
          <w:p w14:paraId="16BA1544" w14:textId="77777777" w:rsidR="00862B0B" w:rsidRPr="00A67277" w:rsidRDefault="00862B0B" w:rsidP="00862B0B">
            <w:pPr>
              <w:spacing w:before="60" w:after="60"/>
              <w:rPr>
                <w:rFonts w:ascii="Arial" w:hAnsi="Arial" w:cs="Arial"/>
                <w:sz w:val="21"/>
                <w:szCs w:val="21"/>
              </w:rPr>
            </w:pPr>
          </w:p>
        </w:tc>
        <w:tc>
          <w:tcPr>
            <w:tcW w:w="2514" w:type="pct"/>
          </w:tcPr>
          <w:p w14:paraId="7BCE906A" w14:textId="77777777" w:rsidR="00862B0B" w:rsidRPr="00A67277" w:rsidRDefault="00862B0B" w:rsidP="00862B0B">
            <w:pPr>
              <w:pStyle w:val="Level4"/>
              <w:numPr>
                <w:ilvl w:val="0"/>
                <w:numId w:val="157"/>
              </w:numPr>
              <w:tabs>
                <w:tab w:val="left" w:pos="2232"/>
              </w:tabs>
              <w:spacing w:before="60" w:after="60"/>
              <w:ind w:left="2232" w:hanging="540"/>
              <w:rPr>
                <w:rFonts w:cs="Arial"/>
              </w:rPr>
            </w:pPr>
            <w:r w:rsidRPr="00A67277">
              <w:rPr>
                <w:rFonts w:cs="Arial"/>
              </w:rPr>
              <w:t xml:space="preserve">untuk mengawasi risiko operasional Proyek dikelola secara patutu; dan </w:t>
            </w:r>
          </w:p>
        </w:tc>
      </w:tr>
      <w:tr w:rsidR="00862B0B" w:rsidRPr="00A67277" w14:paraId="0644E0C8" w14:textId="77777777" w:rsidTr="00862B0B">
        <w:trPr>
          <w:gridAfter w:val="1"/>
          <w:wAfter w:w="47" w:type="pct"/>
        </w:trPr>
        <w:tc>
          <w:tcPr>
            <w:tcW w:w="2270" w:type="pct"/>
          </w:tcPr>
          <w:p w14:paraId="63E21F97" w14:textId="77777777" w:rsidR="00862B0B" w:rsidRPr="00A67277" w:rsidRDefault="00862B0B" w:rsidP="00862B0B">
            <w:pPr>
              <w:pStyle w:val="Level3"/>
              <w:numPr>
                <w:ilvl w:val="2"/>
                <w:numId w:val="528"/>
              </w:numPr>
              <w:tabs>
                <w:tab w:val="clear" w:pos="1417"/>
                <w:tab w:val="num" w:pos="1620"/>
              </w:tabs>
              <w:spacing w:before="60" w:after="60"/>
              <w:ind w:left="1620" w:hanging="540"/>
            </w:pPr>
            <w:r w:rsidRPr="00A67277">
              <w:t>The Parties shall appoint and remove their representatives on the Strategic Committee by written notice delivered to the other at any time.</w:t>
            </w:r>
          </w:p>
          <w:p w14:paraId="74E2C3E9" w14:textId="77777777" w:rsidR="00862B0B" w:rsidRPr="00A67277" w:rsidRDefault="00862B0B" w:rsidP="00862B0B">
            <w:pPr>
              <w:tabs>
                <w:tab w:val="num" w:pos="1620"/>
              </w:tabs>
              <w:spacing w:before="60" w:after="60"/>
              <w:ind w:left="1620" w:hanging="540"/>
              <w:rPr>
                <w:rFonts w:ascii="Arial" w:eastAsia="Arial Unicode MS" w:hAnsi="Arial" w:cs="Times New Roman"/>
                <w:sz w:val="21"/>
                <w:szCs w:val="21"/>
                <w:lang w:val="en-GB" w:eastAsia="en-GB"/>
              </w:rPr>
            </w:pPr>
          </w:p>
        </w:tc>
        <w:tc>
          <w:tcPr>
            <w:tcW w:w="169" w:type="pct"/>
          </w:tcPr>
          <w:p w14:paraId="3A82BC9A" w14:textId="77777777" w:rsidR="00862B0B" w:rsidRPr="00A67277" w:rsidRDefault="00862B0B" w:rsidP="00862B0B">
            <w:pPr>
              <w:spacing w:before="60" w:after="60"/>
              <w:rPr>
                <w:rFonts w:ascii="Arial" w:hAnsi="Arial" w:cs="Arial"/>
                <w:sz w:val="21"/>
                <w:szCs w:val="21"/>
              </w:rPr>
            </w:pPr>
          </w:p>
        </w:tc>
        <w:tc>
          <w:tcPr>
            <w:tcW w:w="2514" w:type="pct"/>
          </w:tcPr>
          <w:p w14:paraId="448A3CA2" w14:textId="77777777" w:rsidR="00862B0B" w:rsidRPr="00A67277" w:rsidRDefault="00862B0B" w:rsidP="00862B0B">
            <w:pPr>
              <w:pStyle w:val="Level3"/>
              <w:numPr>
                <w:ilvl w:val="0"/>
                <w:numId w:val="156"/>
              </w:numPr>
              <w:spacing w:before="60" w:after="60"/>
              <w:ind w:left="1692" w:hanging="532"/>
              <w:rPr>
                <w:rFonts w:cs="Arial"/>
              </w:rPr>
            </w:pPr>
            <w:r w:rsidRPr="00A67277">
              <w:rPr>
                <w:rFonts w:cs="Arial"/>
              </w:rPr>
              <w:t>Para Pihak harus menunjuk dan mengganti perwakilannya pada Komite Strategis melalui suatu pemberitahuan yang disampaikan kepada Pihak lainnya setiap saat.</w:t>
            </w:r>
          </w:p>
        </w:tc>
      </w:tr>
      <w:tr w:rsidR="00862B0B" w:rsidRPr="00A67277" w14:paraId="628EFE88" w14:textId="77777777" w:rsidTr="00862B0B">
        <w:trPr>
          <w:gridAfter w:val="1"/>
          <w:wAfter w:w="47" w:type="pct"/>
        </w:trPr>
        <w:tc>
          <w:tcPr>
            <w:tcW w:w="2270" w:type="pct"/>
          </w:tcPr>
          <w:p w14:paraId="1B70088A" w14:textId="77777777" w:rsidR="00862B0B" w:rsidRPr="00A67277" w:rsidRDefault="00862B0B" w:rsidP="00862B0B">
            <w:pPr>
              <w:pStyle w:val="Heading1"/>
              <w:numPr>
                <w:ilvl w:val="0"/>
                <w:numId w:val="529"/>
              </w:numPr>
              <w:spacing w:before="60" w:after="60"/>
              <w:ind w:left="589" w:hanging="425"/>
            </w:pPr>
            <w:r w:rsidRPr="00A67277">
              <w:t>Miscellaneous</w:t>
            </w:r>
          </w:p>
        </w:tc>
        <w:tc>
          <w:tcPr>
            <w:tcW w:w="169" w:type="pct"/>
          </w:tcPr>
          <w:p w14:paraId="34044C3B" w14:textId="77777777" w:rsidR="00862B0B" w:rsidRPr="00A67277" w:rsidRDefault="00862B0B" w:rsidP="00862B0B">
            <w:pPr>
              <w:spacing w:before="60" w:after="60"/>
              <w:rPr>
                <w:rFonts w:ascii="Arial" w:hAnsi="Arial" w:cs="Arial"/>
                <w:sz w:val="21"/>
                <w:szCs w:val="21"/>
              </w:rPr>
            </w:pPr>
          </w:p>
        </w:tc>
        <w:tc>
          <w:tcPr>
            <w:tcW w:w="2514" w:type="pct"/>
          </w:tcPr>
          <w:p w14:paraId="23ED52D2" w14:textId="77777777" w:rsidR="00862B0B" w:rsidRPr="00A67277" w:rsidRDefault="00862B0B" w:rsidP="00862B0B">
            <w:pPr>
              <w:pStyle w:val="CentredHeading"/>
              <w:numPr>
                <w:ilvl w:val="0"/>
                <w:numId w:val="543"/>
              </w:numPr>
              <w:spacing w:before="60" w:after="60"/>
              <w:ind w:left="612" w:hanging="540"/>
              <w:jc w:val="left"/>
              <w:rPr>
                <w:rFonts w:cs="Arial"/>
              </w:rPr>
            </w:pPr>
            <w:r w:rsidRPr="00A67277">
              <w:rPr>
                <w:rFonts w:cs="Arial"/>
                <w:lang w:val="en-US" w:eastAsia="en-US"/>
              </w:rPr>
              <w:t>Ketentuan Lain-Lain</w:t>
            </w:r>
          </w:p>
        </w:tc>
      </w:tr>
      <w:tr w:rsidR="00862B0B" w:rsidRPr="00A67277" w14:paraId="1DEF3DE3" w14:textId="77777777" w:rsidTr="00862B0B">
        <w:trPr>
          <w:gridAfter w:val="1"/>
          <w:wAfter w:w="47" w:type="pct"/>
        </w:trPr>
        <w:tc>
          <w:tcPr>
            <w:tcW w:w="2270" w:type="pct"/>
          </w:tcPr>
          <w:p w14:paraId="22C782BF" w14:textId="77777777" w:rsidR="00862B0B" w:rsidRPr="00A67277" w:rsidRDefault="00862B0B" w:rsidP="00862B0B">
            <w:pPr>
              <w:pStyle w:val="Heading2"/>
              <w:numPr>
                <w:ilvl w:val="0"/>
                <w:numId w:val="158"/>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Language</w:t>
            </w:r>
          </w:p>
        </w:tc>
        <w:tc>
          <w:tcPr>
            <w:tcW w:w="169" w:type="pct"/>
          </w:tcPr>
          <w:p w14:paraId="5AEF9CF9" w14:textId="77777777" w:rsidR="00862B0B" w:rsidRPr="00A67277" w:rsidRDefault="00862B0B" w:rsidP="00862B0B">
            <w:pPr>
              <w:spacing w:before="60" w:after="60"/>
              <w:rPr>
                <w:rFonts w:ascii="Arial" w:hAnsi="Arial" w:cs="Arial"/>
                <w:b/>
                <w:sz w:val="21"/>
                <w:szCs w:val="21"/>
              </w:rPr>
            </w:pPr>
          </w:p>
        </w:tc>
        <w:tc>
          <w:tcPr>
            <w:tcW w:w="2514" w:type="pct"/>
          </w:tcPr>
          <w:p w14:paraId="3565D027"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Bahasa</w:t>
            </w:r>
          </w:p>
        </w:tc>
      </w:tr>
      <w:tr w:rsidR="00862B0B" w:rsidRPr="00A67277" w14:paraId="58EF7AC7" w14:textId="77777777" w:rsidTr="00862B0B">
        <w:trPr>
          <w:gridAfter w:val="1"/>
          <w:wAfter w:w="47" w:type="pct"/>
        </w:trPr>
        <w:tc>
          <w:tcPr>
            <w:tcW w:w="2270" w:type="pct"/>
          </w:tcPr>
          <w:p w14:paraId="7E25FF82" w14:textId="77777777" w:rsidR="00862B0B" w:rsidRPr="00A67277" w:rsidRDefault="00862B0B" w:rsidP="00862B0B">
            <w:pPr>
              <w:pStyle w:val="Body2"/>
              <w:spacing w:before="60" w:after="60"/>
              <w:ind w:left="1080"/>
            </w:pPr>
            <w:r w:rsidRPr="00A67277">
              <w:t>This Agreement has been executed in both Bahasa Indonesia and English. In the event of any conflict or inconsistency between the English language version and the Bahasa Indonesia language version of this Agreement, the Bahasa Indonesia language version shall prevail.</w:t>
            </w:r>
          </w:p>
        </w:tc>
        <w:tc>
          <w:tcPr>
            <w:tcW w:w="169" w:type="pct"/>
          </w:tcPr>
          <w:p w14:paraId="12C81A76" w14:textId="77777777" w:rsidR="00862B0B" w:rsidRPr="00A67277" w:rsidRDefault="00862B0B" w:rsidP="00862B0B">
            <w:pPr>
              <w:spacing w:before="60" w:after="60"/>
              <w:rPr>
                <w:rFonts w:ascii="Arial" w:hAnsi="Arial" w:cs="Arial"/>
                <w:sz w:val="21"/>
                <w:szCs w:val="21"/>
              </w:rPr>
            </w:pPr>
          </w:p>
        </w:tc>
        <w:tc>
          <w:tcPr>
            <w:tcW w:w="2514" w:type="pct"/>
          </w:tcPr>
          <w:p w14:paraId="21ABDAA4" w14:textId="77777777" w:rsidR="00862B0B" w:rsidRPr="00A67277" w:rsidRDefault="00862B0B" w:rsidP="00862B0B">
            <w:pPr>
              <w:pStyle w:val="Body2"/>
              <w:spacing w:before="60" w:after="60"/>
              <w:ind w:left="1152"/>
              <w:rPr>
                <w:rFonts w:cs="Arial"/>
              </w:rPr>
            </w:pPr>
            <w:r w:rsidRPr="00A67277">
              <w:rPr>
                <w:rFonts w:cs="Arial"/>
              </w:rPr>
              <w:t>Perjanjian ini telah ditandatangani dalam Bahasa Indonesia dan Bahasa Inggris. Dalam hal terdapat pertentangan atau inkonsistensi antara versi Bahasa Indonesia dan versi Bahasa Inggris dari Perjanjian ini, maka versi Bahasa Indonesia yang akan berlaku.</w:t>
            </w:r>
          </w:p>
        </w:tc>
      </w:tr>
      <w:tr w:rsidR="00862B0B" w:rsidRPr="00A67277" w14:paraId="26BE1EB1" w14:textId="77777777" w:rsidTr="00862B0B">
        <w:trPr>
          <w:gridAfter w:val="1"/>
          <w:wAfter w:w="47" w:type="pct"/>
        </w:trPr>
        <w:tc>
          <w:tcPr>
            <w:tcW w:w="2270" w:type="pct"/>
          </w:tcPr>
          <w:p w14:paraId="7645FCC8" w14:textId="77777777" w:rsidR="00862B0B" w:rsidRPr="00A67277" w:rsidRDefault="00862B0B" w:rsidP="00862B0B">
            <w:pPr>
              <w:pStyle w:val="Heading2"/>
              <w:numPr>
                <w:ilvl w:val="0"/>
                <w:numId w:val="158"/>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Notices</w:t>
            </w:r>
          </w:p>
        </w:tc>
        <w:tc>
          <w:tcPr>
            <w:tcW w:w="169" w:type="pct"/>
          </w:tcPr>
          <w:p w14:paraId="75FF7259" w14:textId="77777777" w:rsidR="00862B0B" w:rsidRPr="00A67277" w:rsidRDefault="00862B0B" w:rsidP="00862B0B">
            <w:pPr>
              <w:spacing w:before="60" w:after="60"/>
              <w:rPr>
                <w:rFonts w:ascii="Arial" w:hAnsi="Arial" w:cs="Arial"/>
                <w:sz w:val="21"/>
                <w:szCs w:val="21"/>
              </w:rPr>
            </w:pPr>
          </w:p>
        </w:tc>
        <w:tc>
          <w:tcPr>
            <w:tcW w:w="2514" w:type="pct"/>
          </w:tcPr>
          <w:p w14:paraId="63D2BD89"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Pemberitahuan</w:t>
            </w:r>
          </w:p>
        </w:tc>
      </w:tr>
      <w:tr w:rsidR="00862B0B" w:rsidRPr="00A67277" w14:paraId="69A132F2" w14:textId="77777777" w:rsidTr="00862B0B">
        <w:trPr>
          <w:gridAfter w:val="1"/>
          <w:wAfter w:w="47" w:type="pct"/>
        </w:trPr>
        <w:tc>
          <w:tcPr>
            <w:tcW w:w="2270" w:type="pct"/>
          </w:tcPr>
          <w:p w14:paraId="66AC31AF" w14:textId="77777777" w:rsidR="00862B0B" w:rsidRPr="00A67277" w:rsidRDefault="00862B0B" w:rsidP="00862B0B">
            <w:pPr>
              <w:pStyle w:val="Body2"/>
              <w:spacing w:before="60" w:after="60"/>
              <w:ind w:left="1080"/>
            </w:pPr>
            <w:r w:rsidRPr="00A67277">
              <w:t>Any notice or other communication to be given hereunder, shall be made in Bahasa Indonesia or Indonesian and English (bilingual), in writing and shall be sufficiently given if delivered by registered mail, courier or hand-delivered against written receipt or if transmitted and clearly received by facsimile transmission addressed as follows:</w:t>
            </w:r>
          </w:p>
        </w:tc>
        <w:tc>
          <w:tcPr>
            <w:tcW w:w="169" w:type="pct"/>
          </w:tcPr>
          <w:p w14:paraId="76FAE80E" w14:textId="77777777" w:rsidR="00862B0B" w:rsidRPr="00A67277" w:rsidRDefault="00862B0B" w:rsidP="00862B0B">
            <w:pPr>
              <w:spacing w:before="60" w:after="60"/>
              <w:rPr>
                <w:rFonts w:ascii="Arial" w:hAnsi="Arial" w:cs="Arial"/>
                <w:sz w:val="21"/>
                <w:szCs w:val="21"/>
              </w:rPr>
            </w:pPr>
          </w:p>
        </w:tc>
        <w:tc>
          <w:tcPr>
            <w:tcW w:w="2514" w:type="pct"/>
          </w:tcPr>
          <w:p w14:paraId="12A546FE" w14:textId="77777777" w:rsidR="00862B0B" w:rsidRPr="00A67277" w:rsidRDefault="00862B0B" w:rsidP="00862B0B">
            <w:pPr>
              <w:pStyle w:val="Body2"/>
              <w:spacing w:before="60" w:after="60"/>
              <w:ind w:left="1152"/>
              <w:rPr>
                <w:rFonts w:cs="Arial"/>
              </w:rPr>
            </w:pPr>
            <w:r w:rsidRPr="00A67277">
              <w:rPr>
                <w:rFonts w:cs="Arial"/>
              </w:rPr>
              <w:t>Setiap pemberitahuan atau komunikasi lainnya yang harus diberikan berdasarkan Perjanjian ini, harus dibuat dalam Bahasa Indonesia atau Bahasa Indonesia dan Bahasa Inggris (dua bahasa), secara tertulis dan harus dianggap telah diserahkan secara cukup jika diserahkan melalui surat tercatat, kurir atau penyerahan langsung dengan tanda terima tertulis atau jika ditransmisi atau secara jelas diterima melalui transmisi faksimili ditujukan kepada alamat sebagai berikut:</w:t>
            </w:r>
          </w:p>
        </w:tc>
      </w:tr>
      <w:tr w:rsidR="00862B0B" w:rsidRPr="00A67277" w14:paraId="39FFA25A" w14:textId="77777777" w:rsidTr="00862B0B">
        <w:trPr>
          <w:gridAfter w:val="1"/>
          <w:wAfter w:w="47" w:type="pct"/>
        </w:trPr>
        <w:tc>
          <w:tcPr>
            <w:tcW w:w="2270" w:type="pct"/>
          </w:tcPr>
          <w:p w14:paraId="682C625A" w14:textId="77777777" w:rsidR="00862B0B" w:rsidRPr="00A67277" w:rsidRDefault="00862B0B" w:rsidP="00862B0B">
            <w:pPr>
              <w:pStyle w:val="Level3"/>
              <w:numPr>
                <w:ilvl w:val="2"/>
                <w:numId w:val="530"/>
              </w:numPr>
              <w:tabs>
                <w:tab w:val="clear" w:pos="1417"/>
                <w:tab w:val="num" w:pos="1620"/>
              </w:tabs>
              <w:spacing w:before="60" w:after="60"/>
              <w:ind w:left="1620" w:hanging="540"/>
            </w:pPr>
            <w:r w:rsidRPr="00A67277">
              <w:t>in the case of GCA, to:</w:t>
            </w:r>
          </w:p>
        </w:tc>
        <w:tc>
          <w:tcPr>
            <w:tcW w:w="169" w:type="pct"/>
          </w:tcPr>
          <w:p w14:paraId="09C5FAE1" w14:textId="77777777" w:rsidR="00862B0B" w:rsidRPr="00A67277" w:rsidRDefault="00862B0B" w:rsidP="00862B0B">
            <w:pPr>
              <w:spacing w:before="60" w:after="60"/>
              <w:rPr>
                <w:rFonts w:ascii="Arial" w:hAnsi="Arial" w:cs="Arial"/>
                <w:sz w:val="21"/>
                <w:szCs w:val="21"/>
              </w:rPr>
            </w:pPr>
          </w:p>
        </w:tc>
        <w:tc>
          <w:tcPr>
            <w:tcW w:w="2514" w:type="pct"/>
          </w:tcPr>
          <w:p w14:paraId="0B363799" w14:textId="77777777" w:rsidR="00862B0B" w:rsidRPr="00A67277" w:rsidRDefault="00862B0B" w:rsidP="00862B0B">
            <w:pPr>
              <w:pStyle w:val="Level3"/>
              <w:numPr>
                <w:ilvl w:val="2"/>
                <w:numId w:val="469"/>
              </w:numPr>
              <w:tabs>
                <w:tab w:val="clear" w:pos="1417"/>
                <w:tab w:val="num" w:pos="1692"/>
              </w:tabs>
              <w:spacing w:before="60" w:after="60"/>
              <w:ind w:left="1692" w:hanging="540"/>
              <w:rPr>
                <w:rFonts w:cs="Arial"/>
              </w:rPr>
            </w:pPr>
            <w:r w:rsidRPr="00A67277">
              <w:rPr>
                <w:rFonts w:cs="Arial"/>
              </w:rPr>
              <w:t>sehubungan dengan PJPK, kepada:</w:t>
            </w:r>
          </w:p>
        </w:tc>
      </w:tr>
      <w:tr w:rsidR="00862B0B" w:rsidRPr="00A67277" w14:paraId="0CBB18EC" w14:textId="77777777" w:rsidTr="00862B0B">
        <w:trPr>
          <w:gridAfter w:val="1"/>
          <w:wAfter w:w="47" w:type="pct"/>
        </w:trPr>
        <w:tc>
          <w:tcPr>
            <w:tcW w:w="4953" w:type="pct"/>
            <w:gridSpan w:val="3"/>
          </w:tcPr>
          <w:p w14:paraId="1F043243" w14:textId="77777777" w:rsidR="00862B0B" w:rsidRPr="00A67277" w:rsidRDefault="00862B0B" w:rsidP="00862B0B">
            <w:pPr>
              <w:pStyle w:val="Level4"/>
              <w:tabs>
                <w:tab w:val="clear" w:pos="2126"/>
                <w:tab w:val="num" w:pos="1620"/>
              </w:tabs>
              <w:spacing w:before="60" w:after="60"/>
              <w:ind w:left="1620" w:firstLine="0"/>
              <w:jc w:val="left"/>
            </w:pPr>
            <w:r w:rsidRPr="00A67277">
              <w:t>[●]</w:t>
            </w:r>
          </w:p>
          <w:p w14:paraId="7F08E677" w14:textId="77777777" w:rsidR="00862B0B" w:rsidRPr="00A67277" w:rsidRDefault="00862B0B" w:rsidP="00862B0B">
            <w:pPr>
              <w:pStyle w:val="Level4"/>
              <w:tabs>
                <w:tab w:val="clear" w:pos="2126"/>
                <w:tab w:val="num" w:pos="1620"/>
              </w:tabs>
              <w:spacing w:before="60" w:after="60"/>
              <w:ind w:left="1620" w:firstLine="0"/>
              <w:jc w:val="left"/>
            </w:pPr>
            <w:r w:rsidRPr="00A67277">
              <w:t>Attention/Untuk Perhatian: [●]</w:t>
            </w:r>
          </w:p>
          <w:p w14:paraId="137E50EE" w14:textId="77777777" w:rsidR="00862B0B" w:rsidRPr="00A67277" w:rsidRDefault="00862B0B" w:rsidP="00862B0B">
            <w:pPr>
              <w:pStyle w:val="Level4"/>
              <w:tabs>
                <w:tab w:val="clear" w:pos="2126"/>
                <w:tab w:val="num" w:pos="1620"/>
              </w:tabs>
              <w:spacing w:before="60" w:after="60"/>
              <w:ind w:left="1620" w:firstLine="0"/>
              <w:jc w:val="left"/>
            </w:pPr>
            <w:r w:rsidRPr="00A67277">
              <w:t>Address/Alamat: [●]</w:t>
            </w:r>
          </w:p>
          <w:p w14:paraId="6FF36AF0" w14:textId="77777777" w:rsidR="00862B0B" w:rsidRPr="00A67277" w:rsidRDefault="00862B0B" w:rsidP="00862B0B">
            <w:pPr>
              <w:pStyle w:val="Level4"/>
              <w:tabs>
                <w:tab w:val="clear" w:pos="2126"/>
                <w:tab w:val="num" w:pos="1620"/>
              </w:tabs>
              <w:spacing w:before="60" w:after="60"/>
              <w:ind w:left="1620" w:firstLine="0"/>
              <w:jc w:val="left"/>
            </w:pPr>
            <w:r w:rsidRPr="00A67277">
              <w:t>Email: [●]</w:t>
            </w:r>
          </w:p>
          <w:p w14:paraId="685A6708" w14:textId="77777777" w:rsidR="00862B0B" w:rsidRPr="00A67277" w:rsidRDefault="00862B0B" w:rsidP="00862B0B">
            <w:pPr>
              <w:pStyle w:val="Level4"/>
              <w:tabs>
                <w:tab w:val="clear" w:pos="2126"/>
                <w:tab w:val="num" w:pos="1620"/>
              </w:tabs>
              <w:spacing w:before="60" w:after="60"/>
              <w:ind w:left="1620" w:firstLine="0"/>
              <w:jc w:val="left"/>
            </w:pPr>
            <w:r w:rsidRPr="00A67277">
              <w:t>Facsimile/Faksimili: [●]</w:t>
            </w:r>
          </w:p>
          <w:p w14:paraId="6F2F82D5" w14:textId="77777777" w:rsidR="00862B0B" w:rsidRPr="00A67277" w:rsidRDefault="00862B0B" w:rsidP="00862B0B">
            <w:pPr>
              <w:pStyle w:val="Level4"/>
              <w:tabs>
                <w:tab w:val="clear" w:pos="2126"/>
              </w:tabs>
              <w:spacing w:before="60" w:after="60"/>
              <w:ind w:left="1620" w:firstLine="0"/>
              <w:rPr>
                <w:rFonts w:cs="Arial"/>
              </w:rPr>
            </w:pPr>
            <w:r w:rsidRPr="00A67277">
              <w:t>Telephone/Telepon: [●]</w:t>
            </w:r>
          </w:p>
        </w:tc>
      </w:tr>
      <w:tr w:rsidR="00862B0B" w:rsidRPr="00A67277" w14:paraId="6CC76EE3" w14:textId="77777777" w:rsidTr="00862B0B">
        <w:trPr>
          <w:gridAfter w:val="1"/>
          <w:wAfter w:w="47" w:type="pct"/>
        </w:trPr>
        <w:tc>
          <w:tcPr>
            <w:tcW w:w="2270" w:type="pct"/>
          </w:tcPr>
          <w:p w14:paraId="00B7CCD0" w14:textId="77777777" w:rsidR="00862B0B" w:rsidRPr="00A67277" w:rsidRDefault="00862B0B" w:rsidP="00862B0B">
            <w:pPr>
              <w:pStyle w:val="Level3"/>
              <w:numPr>
                <w:ilvl w:val="2"/>
                <w:numId w:val="530"/>
              </w:numPr>
              <w:tabs>
                <w:tab w:val="clear" w:pos="1417"/>
                <w:tab w:val="num" w:pos="1620"/>
              </w:tabs>
              <w:spacing w:before="60" w:after="60"/>
              <w:ind w:left="1620" w:hanging="540"/>
            </w:pPr>
            <w:r w:rsidRPr="00A67277">
              <w:t>in the case of the IBE, to:</w:t>
            </w:r>
          </w:p>
        </w:tc>
        <w:tc>
          <w:tcPr>
            <w:tcW w:w="169" w:type="pct"/>
          </w:tcPr>
          <w:p w14:paraId="2638E815" w14:textId="77777777" w:rsidR="00862B0B" w:rsidRPr="00A67277" w:rsidRDefault="00862B0B" w:rsidP="00862B0B">
            <w:pPr>
              <w:spacing w:before="60" w:after="60"/>
              <w:rPr>
                <w:rFonts w:ascii="Arial" w:hAnsi="Arial" w:cs="Arial"/>
                <w:sz w:val="21"/>
                <w:szCs w:val="21"/>
              </w:rPr>
            </w:pPr>
          </w:p>
        </w:tc>
        <w:tc>
          <w:tcPr>
            <w:tcW w:w="2514" w:type="pct"/>
          </w:tcPr>
          <w:p w14:paraId="702C4106" w14:textId="77777777" w:rsidR="00862B0B" w:rsidRPr="00A67277" w:rsidRDefault="00862B0B" w:rsidP="00862B0B">
            <w:pPr>
              <w:pStyle w:val="Level3"/>
              <w:numPr>
                <w:ilvl w:val="2"/>
                <w:numId w:val="469"/>
              </w:numPr>
              <w:tabs>
                <w:tab w:val="clear" w:pos="1417"/>
                <w:tab w:val="num" w:pos="1692"/>
              </w:tabs>
              <w:spacing w:before="60" w:after="60"/>
              <w:ind w:left="1692" w:hanging="540"/>
              <w:rPr>
                <w:rFonts w:cs="Arial"/>
              </w:rPr>
            </w:pPr>
            <w:r w:rsidRPr="00A67277">
              <w:rPr>
                <w:rFonts w:cs="Arial"/>
              </w:rPr>
              <w:t>sehubungan dengan BUP, kepada:</w:t>
            </w:r>
          </w:p>
        </w:tc>
      </w:tr>
      <w:tr w:rsidR="00862B0B" w:rsidRPr="00A67277" w14:paraId="4F8A9709" w14:textId="77777777" w:rsidTr="00862B0B">
        <w:trPr>
          <w:gridAfter w:val="1"/>
          <w:wAfter w:w="47" w:type="pct"/>
        </w:trPr>
        <w:tc>
          <w:tcPr>
            <w:tcW w:w="4953" w:type="pct"/>
            <w:gridSpan w:val="3"/>
          </w:tcPr>
          <w:p w14:paraId="39F5EBAF" w14:textId="77777777" w:rsidR="00862B0B" w:rsidRPr="00A67277" w:rsidRDefault="00862B0B" w:rsidP="00862B0B">
            <w:pPr>
              <w:pStyle w:val="Level4"/>
              <w:tabs>
                <w:tab w:val="clear" w:pos="2126"/>
                <w:tab w:val="num" w:pos="1620"/>
              </w:tabs>
              <w:spacing w:before="60" w:after="60"/>
              <w:ind w:left="1620" w:firstLine="0"/>
              <w:jc w:val="left"/>
            </w:pPr>
            <w:r w:rsidRPr="00A67277">
              <w:t>[●]</w:t>
            </w:r>
          </w:p>
          <w:p w14:paraId="2A5F5DBC" w14:textId="77777777" w:rsidR="00862B0B" w:rsidRPr="00A67277" w:rsidRDefault="00862B0B" w:rsidP="00862B0B">
            <w:pPr>
              <w:pStyle w:val="Level4"/>
              <w:tabs>
                <w:tab w:val="clear" w:pos="2126"/>
                <w:tab w:val="num" w:pos="1620"/>
              </w:tabs>
              <w:spacing w:before="60" w:after="60"/>
              <w:ind w:left="1620" w:firstLine="0"/>
              <w:jc w:val="left"/>
            </w:pPr>
            <w:r w:rsidRPr="00A67277">
              <w:t>Attention/Untuk Perhatian: [●]</w:t>
            </w:r>
          </w:p>
          <w:p w14:paraId="279BC1E0" w14:textId="77777777" w:rsidR="00862B0B" w:rsidRPr="00A67277" w:rsidRDefault="00862B0B" w:rsidP="00862B0B">
            <w:pPr>
              <w:pStyle w:val="Level4"/>
              <w:tabs>
                <w:tab w:val="clear" w:pos="2126"/>
                <w:tab w:val="num" w:pos="1620"/>
              </w:tabs>
              <w:spacing w:before="60" w:after="60"/>
              <w:ind w:left="1620" w:firstLine="0"/>
              <w:jc w:val="left"/>
            </w:pPr>
            <w:r w:rsidRPr="00A67277">
              <w:t>Address/Alamat: [●]</w:t>
            </w:r>
          </w:p>
          <w:p w14:paraId="1D697A48" w14:textId="77777777" w:rsidR="00862B0B" w:rsidRPr="00A67277" w:rsidRDefault="00862B0B" w:rsidP="00862B0B">
            <w:pPr>
              <w:pStyle w:val="Level4"/>
              <w:tabs>
                <w:tab w:val="clear" w:pos="2126"/>
                <w:tab w:val="num" w:pos="1620"/>
              </w:tabs>
              <w:spacing w:before="60" w:after="60"/>
              <w:ind w:left="1620" w:firstLine="0"/>
              <w:jc w:val="left"/>
            </w:pPr>
            <w:r w:rsidRPr="00A67277">
              <w:t>Email: [●]</w:t>
            </w:r>
          </w:p>
          <w:p w14:paraId="7284CFB4" w14:textId="77777777" w:rsidR="00862B0B" w:rsidRPr="00A67277" w:rsidRDefault="00862B0B" w:rsidP="00862B0B">
            <w:pPr>
              <w:pStyle w:val="Level4"/>
              <w:tabs>
                <w:tab w:val="clear" w:pos="2126"/>
                <w:tab w:val="num" w:pos="1620"/>
              </w:tabs>
              <w:spacing w:before="60" w:after="60"/>
              <w:ind w:left="1620" w:firstLine="0"/>
              <w:jc w:val="left"/>
            </w:pPr>
            <w:r w:rsidRPr="00A67277">
              <w:t>Facsimile/Faksimili: [●]</w:t>
            </w:r>
          </w:p>
          <w:p w14:paraId="6C212B64" w14:textId="77777777" w:rsidR="00862B0B" w:rsidRPr="00A67277" w:rsidRDefault="00862B0B" w:rsidP="00862B0B">
            <w:pPr>
              <w:pStyle w:val="Level4"/>
              <w:tabs>
                <w:tab w:val="clear" w:pos="2126"/>
              </w:tabs>
              <w:spacing w:before="60" w:after="60"/>
              <w:ind w:left="1620" w:firstLine="0"/>
              <w:rPr>
                <w:rFonts w:cs="Arial"/>
              </w:rPr>
            </w:pPr>
            <w:r w:rsidRPr="00A67277">
              <w:t>Telephone/Telepon: [●]</w:t>
            </w:r>
          </w:p>
        </w:tc>
      </w:tr>
      <w:tr w:rsidR="00862B0B" w:rsidRPr="00A67277" w14:paraId="3FAAD6DE" w14:textId="77777777" w:rsidTr="00862B0B">
        <w:trPr>
          <w:gridAfter w:val="1"/>
          <w:wAfter w:w="47" w:type="pct"/>
        </w:trPr>
        <w:tc>
          <w:tcPr>
            <w:tcW w:w="2270" w:type="pct"/>
          </w:tcPr>
          <w:p w14:paraId="12D109EA" w14:textId="77777777" w:rsidR="00862B0B" w:rsidRPr="00A67277" w:rsidRDefault="00862B0B" w:rsidP="00862B0B">
            <w:pPr>
              <w:pStyle w:val="Level3"/>
              <w:spacing w:before="60" w:after="60"/>
              <w:ind w:left="1620"/>
            </w:pPr>
            <w:r w:rsidRPr="00A67277">
              <w:t>or sent to such other person by registered mail, courier, or hand-delivery to such other address as any Party may designate for itself by notice given in accordance with this Clause 32.2 (</w:t>
            </w:r>
            <w:r w:rsidRPr="00A67277">
              <w:rPr>
                <w:rFonts w:eastAsia="Times New Roman"/>
                <w:i/>
              </w:rPr>
              <w:t>Notices</w:t>
            </w:r>
            <w:r w:rsidRPr="00A67277">
              <w:t>).</w:t>
            </w:r>
          </w:p>
        </w:tc>
        <w:tc>
          <w:tcPr>
            <w:tcW w:w="169" w:type="pct"/>
          </w:tcPr>
          <w:p w14:paraId="78762115" w14:textId="77777777" w:rsidR="00862B0B" w:rsidRPr="00A67277" w:rsidRDefault="00862B0B" w:rsidP="00862B0B">
            <w:pPr>
              <w:spacing w:before="60" w:after="60"/>
              <w:rPr>
                <w:rFonts w:ascii="Arial" w:hAnsi="Arial" w:cs="Arial"/>
                <w:sz w:val="21"/>
                <w:szCs w:val="21"/>
              </w:rPr>
            </w:pPr>
          </w:p>
        </w:tc>
        <w:tc>
          <w:tcPr>
            <w:tcW w:w="2514" w:type="pct"/>
          </w:tcPr>
          <w:p w14:paraId="66E022FB" w14:textId="77777777" w:rsidR="00862B0B" w:rsidRPr="00A67277" w:rsidRDefault="00862B0B" w:rsidP="00862B0B">
            <w:pPr>
              <w:pStyle w:val="Level3"/>
              <w:spacing w:before="60" w:after="60"/>
              <w:ind w:left="1733"/>
              <w:rPr>
                <w:rFonts w:cs="Arial"/>
              </w:rPr>
            </w:pPr>
            <w:r w:rsidRPr="00A67277">
              <w:rPr>
                <w:rFonts w:cs="Arial"/>
              </w:rPr>
              <w:t>atau dikirimkan kepada orang lain melalui surat tercatat, kurir atau penyampaian langsung kepada alamat lain yang diberitahukan oleh salah satu Pihak sehubungan dengan dirinya melalui suatu pemberitahuan berdasarkan Pasal 32.2 (</w:t>
            </w:r>
            <w:r w:rsidRPr="00A67277">
              <w:rPr>
                <w:rFonts w:eastAsia="Times New Roman" w:cs="Arial"/>
                <w:i/>
              </w:rPr>
              <w:t>Pemberitahuan</w:t>
            </w:r>
            <w:r w:rsidRPr="00A67277">
              <w:rPr>
                <w:rFonts w:cs="Arial"/>
              </w:rPr>
              <w:t>) ini.</w:t>
            </w:r>
          </w:p>
        </w:tc>
      </w:tr>
      <w:tr w:rsidR="00862B0B" w:rsidRPr="00A67277" w14:paraId="673C4242" w14:textId="77777777" w:rsidTr="00862B0B">
        <w:trPr>
          <w:gridAfter w:val="1"/>
          <w:wAfter w:w="47" w:type="pct"/>
        </w:trPr>
        <w:tc>
          <w:tcPr>
            <w:tcW w:w="2270" w:type="pct"/>
          </w:tcPr>
          <w:p w14:paraId="1801DAC4" w14:textId="77777777" w:rsidR="00862B0B" w:rsidRPr="00A67277" w:rsidRDefault="00862B0B" w:rsidP="00862B0B">
            <w:pPr>
              <w:pStyle w:val="Level3"/>
              <w:numPr>
                <w:ilvl w:val="2"/>
                <w:numId w:val="530"/>
              </w:numPr>
              <w:tabs>
                <w:tab w:val="clear" w:pos="1417"/>
                <w:tab w:val="num" w:pos="1620"/>
              </w:tabs>
              <w:spacing w:before="60" w:after="60"/>
              <w:ind w:left="1620" w:hanging="540"/>
            </w:pPr>
            <w:r w:rsidRPr="00A67277">
              <w:t>Any such notice shall be deemed to have been received on the date of such notice is accually accepted.</w:t>
            </w:r>
          </w:p>
          <w:p w14:paraId="1A325C0F" w14:textId="77777777" w:rsidR="00862B0B" w:rsidRPr="00A67277" w:rsidRDefault="00862B0B" w:rsidP="00862B0B">
            <w:pPr>
              <w:spacing w:before="60" w:after="60"/>
              <w:ind w:left="1946"/>
              <w:rPr>
                <w:rFonts w:ascii="Arial" w:eastAsia="Arial Unicode MS" w:hAnsi="Arial" w:cs="Times New Roman"/>
                <w:sz w:val="21"/>
                <w:szCs w:val="21"/>
                <w:lang w:val="en-GB" w:eastAsia="en-GB"/>
              </w:rPr>
            </w:pPr>
          </w:p>
        </w:tc>
        <w:tc>
          <w:tcPr>
            <w:tcW w:w="169" w:type="pct"/>
          </w:tcPr>
          <w:p w14:paraId="19027089" w14:textId="77777777" w:rsidR="00862B0B" w:rsidRPr="00A67277" w:rsidRDefault="00862B0B" w:rsidP="00862B0B">
            <w:pPr>
              <w:spacing w:before="60" w:after="60"/>
              <w:rPr>
                <w:rFonts w:ascii="Arial" w:hAnsi="Arial" w:cs="Arial"/>
                <w:sz w:val="21"/>
                <w:szCs w:val="21"/>
              </w:rPr>
            </w:pPr>
          </w:p>
        </w:tc>
        <w:tc>
          <w:tcPr>
            <w:tcW w:w="2514" w:type="pct"/>
          </w:tcPr>
          <w:p w14:paraId="0DA3FD62" w14:textId="77777777" w:rsidR="00862B0B" w:rsidRPr="00A67277" w:rsidRDefault="00862B0B" w:rsidP="00862B0B">
            <w:pPr>
              <w:pStyle w:val="Level3"/>
              <w:numPr>
                <w:ilvl w:val="2"/>
                <w:numId w:val="469"/>
              </w:numPr>
              <w:tabs>
                <w:tab w:val="clear" w:pos="1417"/>
                <w:tab w:val="num" w:pos="1692"/>
              </w:tabs>
              <w:spacing w:before="60" w:after="60"/>
              <w:ind w:left="1692" w:hanging="540"/>
              <w:rPr>
                <w:rFonts w:cs="Arial"/>
              </w:rPr>
            </w:pPr>
            <w:r w:rsidRPr="00A67277">
              <w:rPr>
                <w:rFonts w:cs="Arial"/>
              </w:rPr>
              <w:t>Setiap pemberitahuan tersebut harus dianggap telah diterima pada tanggal pemberitahuan tersebut secaranyata diterima.</w:t>
            </w:r>
          </w:p>
        </w:tc>
      </w:tr>
      <w:tr w:rsidR="00862B0B" w:rsidRPr="00A67277" w14:paraId="335C41B0" w14:textId="77777777" w:rsidTr="00862B0B">
        <w:trPr>
          <w:gridAfter w:val="1"/>
          <w:wAfter w:w="47" w:type="pct"/>
        </w:trPr>
        <w:tc>
          <w:tcPr>
            <w:tcW w:w="2270" w:type="pct"/>
          </w:tcPr>
          <w:p w14:paraId="0DC6DDE2" w14:textId="77777777" w:rsidR="00862B0B" w:rsidRPr="00A67277" w:rsidRDefault="00862B0B" w:rsidP="00862B0B">
            <w:pPr>
              <w:pStyle w:val="Heading2"/>
              <w:numPr>
                <w:ilvl w:val="0"/>
                <w:numId w:val="158"/>
              </w:numPr>
              <w:spacing w:before="60" w:after="60"/>
              <w:ind w:left="1080" w:hanging="540"/>
              <w:outlineLvl w:val="1"/>
              <w:rPr>
                <w:rFonts w:ascii="Arial" w:hAnsi="Arial" w:cs="Arial"/>
                <w:b/>
                <w:color w:val="auto"/>
                <w:sz w:val="21"/>
                <w:szCs w:val="21"/>
              </w:rPr>
            </w:pPr>
            <w:r w:rsidRPr="00A67277">
              <w:rPr>
                <w:rFonts w:ascii="Arial" w:hAnsi="Arial" w:cs="Arial"/>
                <w:b/>
                <w:color w:val="auto"/>
                <w:sz w:val="21"/>
                <w:szCs w:val="21"/>
              </w:rPr>
              <w:t>Confidentiality</w:t>
            </w:r>
          </w:p>
        </w:tc>
        <w:tc>
          <w:tcPr>
            <w:tcW w:w="169" w:type="pct"/>
          </w:tcPr>
          <w:p w14:paraId="213ADCE7" w14:textId="77777777" w:rsidR="00862B0B" w:rsidRPr="00A67277" w:rsidRDefault="00862B0B" w:rsidP="00862B0B">
            <w:pPr>
              <w:spacing w:before="60" w:after="60"/>
              <w:rPr>
                <w:rFonts w:ascii="Arial" w:hAnsi="Arial" w:cs="Arial"/>
                <w:sz w:val="21"/>
                <w:szCs w:val="21"/>
              </w:rPr>
            </w:pPr>
          </w:p>
        </w:tc>
        <w:tc>
          <w:tcPr>
            <w:tcW w:w="2514" w:type="pct"/>
          </w:tcPr>
          <w:p w14:paraId="6A394D6D"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Kerahasiaan</w:t>
            </w:r>
          </w:p>
        </w:tc>
      </w:tr>
      <w:tr w:rsidR="00862B0B" w:rsidRPr="00A67277" w14:paraId="2297A53B" w14:textId="77777777" w:rsidTr="00862B0B">
        <w:trPr>
          <w:gridAfter w:val="1"/>
          <w:wAfter w:w="47" w:type="pct"/>
        </w:trPr>
        <w:tc>
          <w:tcPr>
            <w:tcW w:w="2270" w:type="pct"/>
          </w:tcPr>
          <w:p w14:paraId="7550D6C6" w14:textId="77777777" w:rsidR="00862B0B" w:rsidRPr="00A67277" w:rsidRDefault="00862B0B" w:rsidP="00862B0B">
            <w:pPr>
              <w:pStyle w:val="Level3"/>
              <w:numPr>
                <w:ilvl w:val="2"/>
                <w:numId w:val="531"/>
              </w:numPr>
              <w:tabs>
                <w:tab w:val="clear" w:pos="1417"/>
              </w:tabs>
              <w:spacing w:before="60" w:after="60"/>
              <w:ind w:left="1701" w:hanging="566"/>
            </w:pPr>
            <w:r w:rsidRPr="00A67277">
              <w:t xml:space="preserve">Each Party agrees that it will, and will ensure that its employees, officers, commissioners and directors will, and will make reasonable efforts to ensure that its agents will, hold in confidence all </w:t>
            </w:r>
            <w:r w:rsidRPr="00A67277">
              <w:rPr>
                <w:rFonts w:eastAsia="Times New Roman"/>
              </w:rPr>
              <w:t>Confidential Information</w:t>
            </w:r>
            <w:r w:rsidRPr="00A67277">
              <w:t>, and will not disclose to any third party or use Confidential Information or any part thereof without the other Party</w:t>
            </w:r>
            <w:r w:rsidRPr="00A67277">
              <w:rPr>
                <w:rFonts w:eastAsia="Times New Roman"/>
              </w:rPr>
              <w:t>’</w:t>
            </w:r>
            <w:r w:rsidRPr="00A67277">
              <w:t>s prior written approval, provided that Confidential Information may be disclosed to:</w:t>
            </w:r>
          </w:p>
        </w:tc>
        <w:tc>
          <w:tcPr>
            <w:tcW w:w="169" w:type="pct"/>
          </w:tcPr>
          <w:p w14:paraId="394C61F7" w14:textId="77777777" w:rsidR="00862B0B" w:rsidRPr="00A67277" w:rsidRDefault="00862B0B" w:rsidP="00862B0B">
            <w:pPr>
              <w:spacing w:before="60" w:after="60"/>
              <w:rPr>
                <w:rFonts w:ascii="Arial" w:hAnsi="Arial" w:cs="Arial"/>
                <w:sz w:val="21"/>
                <w:szCs w:val="21"/>
              </w:rPr>
            </w:pPr>
          </w:p>
        </w:tc>
        <w:tc>
          <w:tcPr>
            <w:tcW w:w="2514" w:type="pct"/>
          </w:tcPr>
          <w:p w14:paraId="42571A45" w14:textId="77777777" w:rsidR="00862B0B" w:rsidRPr="00A67277" w:rsidRDefault="00862B0B" w:rsidP="00862B0B">
            <w:pPr>
              <w:pStyle w:val="Level3"/>
              <w:numPr>
                <w:ilvl w:val="0"/>
                <w:numId w:val="161"/>
              </w:numPr>
              <w:spacing w:before="60" w:after="60"/>
              <w:ind w:left="1692" w:hanging="540"/>
              <w:rPr>
                <w:rFonts w:cs="Arial"/>
              </w:rPr>
            </w:pPr>
            <w:r w:rsidRPr="00A67277">
              <w:rPr>
                <w:rFonts w:cs="Arial"/>
              </w:rPr>
              <w:t xml:space="preserve">Masing-masing Pihak setuju bahwa Pihaknya akan, dan memastikan bahwa setiap pegawai, pejabat, komisari dan direkturnya akan, dan akan melakukan upaya yang wajar untuk memastikan setiap perwakilannya akan, menjaga kerahasiaan seluruh </w:t>
            </w:r>
            <w:r w:rsidRPr="00A67277">
              <w:rPr>
                <w:rFonts w:eastAsia="Times New Roman" w:cs="Arial"/>
              </w:rPr>
              <w:t>Informasi Rahasia</w:t>
            </w:r>
            <w:r w:rsidRPr="00A67277">
              <w:rPr>
                <w:rFonts w:cs="Arial"/>
              </w:rPr>
              <w:t>, dan tidak akan mengungkapkan kepada pihak ketiga mana pun atau menggunakan Informasi Rahasia atau setiap bagian daripadanya tanpa persetujuan tertulis sebelumnya dari Pihak lainnya, dengan ketentuan bahwa Informasi Rahasia dapat diungkapkan kepada:</w:t>
            </w:r>
          </w:p>
        </w:tc>
      </w:tr>
      <w:tr w:rsidR="00862B0B" w:rsidRPr="00A67277" w14:paraId="3F25BA8B" w14:textId="77777777" w:rsidTr="00862B0B">
        <w:trPr>
          <w:gridAfter w:val="1"/>
          <w:wAfter w:w="47" w:type="pct"/>
        </w:trPr>
        <w:tc>
          <w:tcPr>
            <w:tcW w:w="2270" w:type="pct"/>
          </w:tcPr>
          <w:p w14:paraId="2EAA8BF2" w14:textId="77777777" w:rsidR="00862B0B" w:rsidRPr="00A67277" w:rsidRDefault="00862B0B" w:rsidP="00862B0B">
            <w:pPr>
              <w:pStyle w:val="Level4"/>
              <w:numPr>
                <w:ilvl w:val="0"/>
                <w:numId w:val="159"/>
              </w:numPr>
              <w:spacing w:before="60" w:after="60"/>
              <w:ind w:left="2160" w:hanging="540"/>
            </w:pPr>
            <w:r w:rsidRPr="00A67277">
              <w:t xml:space="preserve">a Governmental Instrumentality pursuant to Laws; and </w:t>
            </w:r>
          </w:p>
        </w:tc>
        <w:tc>
          <w:tcPr>
            <w:tcW w:w="169" w:type="pct"/>
          </w:tcPr>
          <w:p w14:paraId="5FC78FA4" w14:textId="77777777" w:rsidR="00862B0B" w:rsidRPr="00A67277" w:rsidRDefault="00862B0B" w:rsidP="00862B0B">
            <w:pPr>
              <w:spacing w:before="60" w:after="60"/>
              <w:rPr>
                <w:rFonts w:ascii="Arial" w:hAnsi="Arial" w:cs="Arial"/>
                <w:sz w:val="21"/>
                <w:szCs w:val="21"/>
              </w:rPr>
            </w:pPr>
          </w:p>
        </w:tc>
        <w:tc>
          <w:tcPr>
            <w:tcW w:w="2514" w:type="pct"/>
          </w:tcPr>
          <w:p w14:paraId="05DE606C" w14:textId="77777777" w:rsidR="00862B0B" w:rsidRPr="00A67277" w:rsidRDefault="00862B0B" w:rsidP="00862B0B">
            <w:pPr>
              <w:pStyle w:val="Level4"/>
              <w:numPr>
                <w:ilvl w:val="0"/>
                <w:numId w:val="162"/>
              </w:numPr>
              <w:tabs>
                <w:tab w:val="left" w:pos="2232"/>
              </w:tabs>
              <w:spacing w:before="60" w:after="60"/>
              <w:ind w:left="2232" w:hanging="540"/>
              <w:rPr>
                <w:rFonts w:cs="Arial"/>
              </w:rPr>
            </w:pPr>
            <w:r w:rsidRPr="00A67277">
              <w:rPr>
                <w:rFonts w:cs="Arial"/>
              </w:rPr>
              <w:t xml:space="preserve">suatu Lembaga Pemerintahan berdasarkan Hukum; dan  </w:t>
            </w:r>
          </w:p>
        </w:tc>
      </w:tr>
      <w:tr w:rsidR="00862B0B" w:rsidRPr="00A67277" w14:paraId="487862B2" w14:textId="77777777" w:rsidTr="00862B0B">
        <w:trPr>
          <w:gridAfter w:val="1"/>
          <w:wAfter w:w="47" w:type="pct"/>
        </w:trPr>
        <w:tc>
          <w:tcPr>
            <w:tcW w:w="2270" w:type="pct"/>
          </w:tcPr>
          <w:p w14:paraId="25723FE3" w14:textId="77777777" w:rsidR="00862B0B" w:rsidRPr="00A67277" w:rsidRDefault="00862B0B" w:rsidP="00862B0B">
            <w:pPr>
              <w:pStyle w:val="Level4"/>
              <w:numPr>
                <w:ilvl w:val="0"/>
                <w:numId w:val="159"/>
              </w:numPr>
              <w:spacing w:before="60" w:after="60"/>
              <w:ind w:left="2160" w:hanging="540"/>
            </w:pPr>
            <w:r w:rsidRPr="00A67277">
              <w:t>financial institutions, bona fide potential purchasers, and consultants and contractors whose duties reasonably require such disclosure, provided that, except for a bona fide disclosure to independent legal advisors, such other party shall first have agreed not to disclose the relevant Confidential Information to any other person for any purposes whatsoever.</w:t>
            </w:r>
          </w:p>
          <w:p w14:paraId="2B09B5B1" w14:textId="77777777" w:rsidR="00862B0B" w:rsidRPr="00A67277" w:rsidRDefault="00862B0B" w:rsidP="00862B0B">
            <w:pPr>
              <w:spacing w:before="60" w:after="60"/>
              <w:rPr>
                <w:rFonts w:ascii="Arial" w:hAnsi="Arial" w:cs="Arial"/>
                <w:sz w:val="21"/>
                <w:szCs w:val="21"/>
              </w:rPr>
            </w:pPr>
          </w:p>
        </w:tc>
        <w:tc>
          <w:tcPr>
            <w:tcW w:w="169" w:type="pct"/>
          </w:tcPr>
          <w:p w14:paraId="2E8C130E" w14:textId="77777777" w:rsidR="00862B0B" w:rsidRPr="00A67277" w:rsidRDefault="00862B0B" w:rsidP="00862B0B">
            <w:pPr>
              <w:spacing w:before="60" w:after="60"/>
              <w:rPr>
                <w:rFonts w:ascii="Arial" w:hAnsi="Arial" w:cs="Arial"/>
                <w:sz w:val="21"/>
                <w:szCs w:val="21"/>
              </w:rPr>
            </w:pPr>
          </w:p>
        </w:tc>
        <w:tc>
          <w:tcPr>
            <w:tcW w:w="2514" w:type="pct"/>
          </w:tcPr>
          <w:p w14:paraId="4EC3CC10" w14:textId="77777777" w:rsidR="00862B0B" w:rsidRPr="00A67277" w:rsidRDefault="00862B0B" w:rsidP="00862B0B">
            <w:pPr>
              <w:pStyle w:val="Level4"/>
              <w:numPr>
                <w:ilvl w:val="0"/>
                <w:numId w:val="162"/>
              </w:numPr>
              <w:tabs>
                <w:tab w:val="left" w:pos="2232"/>
              </w:tabs>
              <w:spacing w:before="60" w:after="60"/>
              <w:ind w:left="2232" w:hanging="540"/>
              <w:rPr>
                <w:rFonts w:cs="Arial"/>
              </w:rPr>
            </w:pPr>
            <w:r w:rsidRPr="00A67277">
              <w:rPr>
                <w:rFonts w:cs="Arial"/>
              </w:rPr>
              <w:t>lembaga keuangan, calon pembeli yang beritikad baik, dan konsultan serta kontraktor yang dalam menjalankan tugasnya membutuhkan pengungkapan tersebut, dengan ketentuan, kecuali pengungkapan dengan itikad baik kepada penasihat hukum independen, pihak lain tersebut harus telah terlebih dahulu menyetujui untuk tidak mengungkapkan Informasi Rahasia tersebut kepada orang lain untuk tujuan apapun.</w:t>
            </w:r>
          </w:p>
        </w:tc>
      </w:tr>
      <w:tr w:rsidR="00862B0B" w:rsidRPr="00A67277" w14:paraId="16E667BA" w14:textId="77777777" w:rsidTr="00862B0B">
        <w:trPr>
          <w:gridAfter w:val="1"/>
          <w:wAfter w:w="47" w:type="pct"/>
        </w:trPr>
        <w:tc>
          <w:tcPr>
            <w:tcW w:w="2270" w:type="pct"/>
          </w:tcPr>
          <w:p w14:paraId="4D6F1B2F" w14:textId="77777777" w:rsidR="00862B0B" w:rsidRPr="00A67277" w:rsidRDefault="00862B0B" w:rsidP="00862B0B">
            <w:pPr>
              <w:pStyle w:val="Level3"/>
              <w:numPr>
                <w:ilvl w:val="2"/>
                <w:numId w:val="531"/>
              </w:numPr>
              <w:tabs>
                <w:tab w:val="clear" w:pos="1417"/>
                <w:tab w:val="num" w:pos="1620"/>
              </w:tabs>
              <w:spacing w:before="60" w:after="60"/>
              <w:ind w:left="1620" w:hanging="540"/>
            </w:pPr>
            <w:r w:rsidRPr="00A67277">
              <w:t>The restrictions in this Clause 32.3 (</w:t>
            </w:r>
            <w:r w:rsidRPr="00A67277">
              <w:rPr>
                <w:i/>
              </w:rPr>
              <w:t>Confidentiality</w:t>
            </w:r>
            <w:r w:rsidRPr="00A67277">
              <w:t>) shall not apply, or shall cease to apply, to any part of the Confidential Information that:</w:t>
            </w:r>
          </w:p>
        </w:tc>
        <w:tc>
          <w:tcPr>
            <w:tcW w:w="169" w:type="pct"/>
          </w:tcPr>
          <w:p w14:paraId="3A72AFB8" w14:textId="77777777" w:rsidR="00862B0B" w:rsidRPr="00A67277" w:rsidRDefault="00862B0B" w:rsidP="00862B0B">
            <w:pPr>
              <w:spacing w:before="60" w:after="60"/>
              <w:rPr>
                <w:rFonts w:ascii="Arial" w:hAnsi="Arial" w:cs="Arial"/>
                <w:sz w:val="21"/>
                <w:szCs w:val="21"/>
              </w:rPr>
            </w:pPr>
          </w:p>
        </w:tc>
        <w:tc>
          <w:tcPr>
            <w:tcW w:w="2514" w:type="pct"/>
          </w:tcPr>
          <w:p w14:paraId="5CCBF0EC" w14:textId="77777777" w:rsidR="00862B0B" w:rsidRPr="00A67277" w:rsidRDefault="00862B0B" w:rsidP="00862B0B">
            <w:pPr>
              <w:pStyle w:val="Level3"/>
              <w:numPr>
                <w:ilvl w:val="0"/>
                <w:numId w:val="161"/>
              </w:numPr>
              <w:spacing w:before="60" w:after="60"/>
              <w:ind w:left="1692" w:hanging="540"/>
              <w:rPr>
                <w:rFonts w:cs="Arial"/>
              </w:rPr>
            </w:pPr>
            <w:r w:rsidRPr="00A67277">
              <w:rPr>
                <w:rFonts w:cs="Arial"/>
              </w:rPr>
              <w:t>Batasan berdasarkan Pasal 32.3 (</w:t>
            </w:r>
            <w:r w:rsidRPr="00A67277">
              <w:rPr>
                <w:rFonts w:cs="Arial"/>
                <w:i/>
              </w:rPr>
              <w:t>Kerahasiaan</w:t>
            </w:r>
            <w:r w:rsidRPr="00A67277">
              <w:rPr>
                <w:rFonts w:cs="Arial"/>
              </w:rPr>
              <w:t>) ini tidak berlaku terhadap, atau akan berhenti berlaku, sehubungan dengan setiap bagian dari Informasi Rahasia yang:</w:t>
            </w:r>
          </w:p>
        </w:tc>
      </w:tr>
      <w:tr w:rsidR="00862B0B" w:rsidRPr="00A67277" w14:paraId="173CB19A" w14:textId="77777777" w:rsidTr="00862B0B">
        <w:trPr>
          <w:gridAfter w:val="1"/>
          <w:wAfter w:w="47" w:type="pct"/>
        </w:trPr>
        <w:tc>
          <w:tcPr>
            <w:tcW w:w="2270" w:type="pct"/>
          </w:tcPr>
          <w:p w14:paraId="202603D1" w14:textId="77777777" w:rsidR="00862B0B" w:rsidRPr="00A67277" w:rsidRDefault="00862B0B" w:rsidP="00862B0B">
            <w:pPr>
              <w:pStyle w:val="Level4"/>
              <w:numPr>
                <w:ilvl w:val="0"/>
                <w:numId w:val="160"/>
              </w:numPr>
              <w:spacing w:before="60" w:after="60"/>
              <w:ind w:left="2160" w:hanging="540"/>
            </w:pPr>
            <w:r w:rsidRPr="00A67277">
              <w:t>is in the public domain other than by reason of a breach of paragraph (a) above;</w:t>
            </w:r>
          </w:p>
        </w:tc>
        <w:tc>
          <w:tcPr>
            <w:tcW w:w="169" w:type="pct"/>
          </w:tcPr>
          <w:p w14:paraId="6D6D3A12" w14:textId="77777777" w:rsidR="00862B0B" w:rsidRPr="00A67277" w:rsidRDefault="00862B0B" w:rsidP="00862B0B">
            <w:pPr>
              <w:spacing w:before="60" w:after="60"/>
              <w:rPr>
                <w:rFonts w:ascii="Arial" w:hAnsi="Arial" w:cs="Arial"/>
                <w:sz w:val="21"/>
                <w:szCs w:val="21"/>
              </w:rPr>
            </w:pPr>
          </w:p>
        </w:tc>
        <w:tc>
          <w:tcPr>
            <w:tcW w:w="2514" w:type="pct"/>
          </w:tcPr>
          <w:p w14:paraId="1259B9E1" w14:textId="77777777" w:rsidR="00862B0B" w:rsidRPr="00A67277" w:rsidRDefault="00862B0B" w:rsidP="00862B0B">
            <w:pPr>
              <w:pStyle w:val="Level4"/>
              <w:numPr>
                <w:ilvl w:val="0"/>
                <w:numId w:val="163"/>
              </w:numPr>
              <w:spacing w:before="60" w:after="60"/>
              <w:ind w:left="2232" w:hanging="540"/>
              <w:rPr>
                <w:rFonts w:cs="Arial"/>
              </w:rPr>
            </w:pPr>
            <w:r w:rsidRPr="00A67277">
              <w:rPr>
                <w:rFonts w:cs="Arial"/>
              </w:rPr>
              <w:t>berada dalam domain publik yang bukan karena pelanggaran paragraf (a) di atas;</w:t>
            </w:r>
          </w:p>
        </w:tc>
      </w:tr>
      <w:tr w:rsidR="00862B0B" w:rsidRPr="00A67277" w14:paraId="5F334E37" w14:textId="77777777" w:rsidTr="00862B0B">
        <w:trPr>
          <w:gridAfter w:val="1"/>
          <w:wAfter w:w="47" w:type="pct"/>
        </w:trPr>
        <w:tc>
          <w:tcPr>
            <w:tcW w:w="2270" w:type="pct"/>
          </w:tcPr>
          <w:p w14:paraId="0E7611A7" w14:textId="77777777" w:rsidR="00862B0B" w:rsidRPr="00A67277" w:rsidRDefault="00862B0B" w:rsidP="00862B0B">
            <w:pPr>
              <w:pStyle w:val="Level4"/>
              <w:numPr>
                <w:ilvl w:val="0"/>
                <w:numId w:val="160"/>
              </w:numPr>
              <w:spacing w:before="60" w:after="60"/>
              <w:ind w:left="2160" w:hanging="540"/>
            </w:pPr>
            <w:r w:rsidRPr="00A67277">
              <w:t>was in the rightful possession of the recipient Party or an employee, officer, commissioner or director of the recipient Party at or prior to the time of the disclosure; or</w:t>
            </w:r>
          </w:p>
          <w:p w14:paraId="628FE9B1" w14:textId="77777777" w:rsidR="00862B0B" w:rsidRPr="00A67277" w:rsidRDefault="00862B0B" w:rsidP="00862B0B">
            <w:pPr>
              <w:spacing w:before="60" w:after="60"/>
              <w:rPr>
                <w:rFonts w:ascii="Arial" w:hAnsi="Arial" w:cs="Arial"/>
                <w:sz w:val="21"/>
                <w:szCs w:val="21"/>
              </w:rPr>
            </w:pPr>
          </w:p>
        </w:tc>
        <w:tc>
          <w:tcPr>
            <w:tcW w:w="169" w:type="pct"/>
          </w:tcPr>
          <w:p w14:paraId="460503B7" w14:textId="77777777" w:rsidR="00862B0B" w:rsidRPr="00A67277" w:rsidRDefault="00862B0B" w:rsidP="00862B0B">
            <w:pPr>
              <w:spacing w:before="60" w:after="60"/>
              <w:rPr>
                <w:rFonts w:ascii="Arial" w:hAnsi="Arial" w:cs="Arial"/>
                <w:sz w:val="21"/>
                <w:szCs w:val="21"/>
              </w:rPr>
            </w:pPr>
          </w:p>
        </w:tc>
        <w:tc>
          <w:tcPr>
            <w:tcW w:w="2514" w:type="pct"/>
          </w:tcPr>
          <w:p w14:paraId="496C6A35" w14:textId="77777777" w:rsidR="00862B0B" w:rsidRPr="00A67277" w:rsidRDefault="00862B0B" w:rsidP="00862B0B">
            <w:pPr>
              <w:pStyle w:val="Level4"/>
              <w:numPr>
                <w:ilvl w:val="0"/>
                <w:numId w:val="163"/>
              </w:numPr>
              <w:spacing w:before="60" w:after="60"/>
              <w:ind w:left="2232" w:hanging="540"/>
              <w:rPr>
                <w:rFonts w:cs="Arial"/>
              </w:rPr>
            </w:pPr>
            <w:r w:rsidRPr="00A67277">
              <w:rPr>
                <w:rFonts w:cs="Arial"/>
              </w:rPr>
              <w:t>didapatkan secara sah oleh Pihak yang menerima informasi atau setiap karyawan, pejabat, komisaris atau direktur dari Pihak yang menerima informasi pada saat atau sebelum diungkapkan informasi tersebut kepadanya; atau</w:t>
            </w:r>
          </w:p>
        </w:tc>
      </w:tr>
      <w:tr w:rsidR="00862B0B" w:rsidRPr="00A67277" w14:paraId="68C5DFD1" w14:textId="77777777" w:rsidTr="00862B0B">
        <w:trPr>
          <w:gridAfter w:val="1"/>
          <w:wAfter w:w="47" w:type="pct"/>
        </w:trPr>
        <w:tc>
          <w:tcPr>
            <w:tcW w:w="2270" w:type="pct"/>
          </w:tcPr>
          <w:p w14:paraId="4E4C8173" w14:textId="77777777" w:rsidR="00862B0B" w:rsidRPr="00A67277" w:rsidRDefault="00862B0B" w:rsidP="00862B0B">
            <w:pPr>
              <w:pStyle w:val="Level4"/>
              <w:numPr>
                <w:ilvl w:val="0"/>
                <w:numId w:val="160"/>
              </w:numPr>
              <w:spacing w:before="60" w:after="60"/>
              <w:ind w:left="2160" w:hanging="540"/>
            </w:pPr>
            <w:r w:rsidRPr="00A67277">
              <w:t>was obtained by the recipient Party in good faith from a third party entitled to disclose it.</w:t>
            </w:r>
          </w:p>
          <w:p w14:paraId="680F0113" w14:textId="77777777" w:rsidR="00862B0B" w:rsidRPr="00A67277" w:rsidRDefault="00862B0B" w:rsidP="00862B0B">
            <w:pPr>
              <w:spacing w:before="60" w:after="60"/>
              <w:rPr>
                <w:rFonts w:ascii="Arial" w:hAnsi="Arial" w:cs="Arial"/>
                <w:sz w:val="21"/>
                <w:szCs w:val="21"/>
              </w:rPr>
            </w:pPr>
          </w:p>
        </w:tc>
        <w:tc>
          <w:tcPr>
            <w:tcW w:w="169" w:type="pct"/>
          </w:tcPr>
          <w:p w14:paraId="22A9301D" w14:textId="77777777" w:rsidR="00862B0B" w:rsidRPr="00A67277" w:rsidRDefault="00862B0B" w:rsidP="00862B0B">
            <w:pPr>
              <w:spacing w:before="60" w:after="60"/>
              <w:rPr>
                <w:rFonts w:ascii="Arial" w:hAnsi="Arial" w:cs="Arial"/>
                <w:sz w:val="21"/>
                <w:szCs w:val="21"/>
              </w:rPr>
            </w:pPr>
          </w:p>
        </w:tc>
        <w:tc>
          <w:tcPr>
            <w:tcW w:w="2514" w:type="pct"/>
          </w:tcPr>
          <w:p w14:paraId="4FA785D3" w14:textId="77777777" w:rsidR="00862B0B" w:rsidRPr="00A67277" w:rsidRDefault="00862B0B" w:rsidP="00862B0B">
            <w:pPr>
              <w:pStyle w:val="Level4"/>
              <w:numPr>
                <w:ilvl w:val="0"/>
                <w:numId w:val="163"/>
              </w:numPr>
              <w:spacing w:before="60" w:after="60"/>
              <w:ind w:left="2232" w:hanging="540"/>
              <w:rPr>
                <w:rFonts w:cs="Arial"/>
              </w:rPr>
            </w:pPr>
            <w:r w:rsidRPr="00A67277">
              <w:rPr>
                <w:rFonts w:cs="Arial"/>
              </w:rPr>
              <w:t>didapatkan oleh Pihak yang menerima informasi dengan itikad baik dari seorang pihak ketiga yang berhak untuk mengungkapkan informasi tersebut.</w:t>
            </w:r>
          </w:p>
        </w:tc>
      </w:tr>
      <w:tr w:rsidR="00862B0B" w:rsidRPr="00A67277" w14:paraId="551DE8C5" w14:textId="77777777" w:rsidTr="00862B0B">
        <w:trPr>
          <w:gridAfter w:val="1"/>
          <w:wAfter w:w="47" w:type="pct"/>
        </w:trPr>
        <w:tc>
          <w:tcPr>
            <w:tcW w:w="2270" w:type="pct"/>
          </w:tcPr>
          <w:p w14:paraId="0A2851E9" w14:textId="77777777" w:rsidR="00862B0B" w:rsidRPr="00A67277" w:rsidRDefault="00862B0B" w:rsidP="00862B0B">
            <w:pPr>
              <w:pStyle w:val="Level3"/>
              <w:numPr>
                <w:ilvl w:val="2"/>
                <w:numId w:val="531"/>
              </w:numPr>
              <w:tabs>
                <w:tab w:val="clear" w:pos="1417"/>
                <w:tab w:val="num" w:pos="1620"/>
              </w:tabs>
              <w:spacing w:before="60" w:after="60"/>
              <w:ind w:left="1620" w:hanging="540"/>
            </w:pPr>
            <w:r w:rsidRPr="00A67277">
              <w:t xml:space="preserve">Each Party also agrees to cooperatively control, manage and monitor all publicity and public relations with respect to all matters of the Project, including but not limited to all information regarding the progress of the Works. </w:t>
            </w:r>
          </w:p>
          <w:p w14:paraId="47DB0A39" w14:textId="77777777" w:rsidR="00862B0B" w:rsidRPr="00A67277" w:rsidRDefault="00862B0B" w:rsidP="00862B0B">
            <w:pPr>
              <w:spacing w:before="60" w:after="60"/>
              <w:rPr>
                <w:rFonts w:ascii="Arial" w:hAnsi="Arial" w:cs="Arial"/>
                <w:sz w:val="21"/>
                <w:szCs w:val="21"/>
              </w:rPr>
            </w:pPr>
          </w:p>
        </w:tc>
        <w:tc>
          <w:tcPr>
            <w:tcW w:w="169" w:type="pct"/>
          </w:tcPr>
          <w:p w14:paraId="3923F77C" w14:textId="77777777" w:rsidR="00862B0B" w:rsidRPr="00A67277" w:rsidRDefault="00862B0B" w:rsidP="00862B0B">
            <w:pPr>
              <w:spacing w:before="60" w:after="60"/>
              <w:rPr>
                <w:rFonts w:ascii="Arial" w:hAnsi="Arial" w:cs="Arial"/>
                <w:sz w:val="21"/>
                <w:szCs w:val="21"/>
              </w:rPr>
            </w:pPr>
          </w:p>
        </w:tc>
        <w:tc>
          <w:tcPr>
            <w:tcW w:w="2514" w:type="pct"/>
          </w:tcPr>
          <w:p w14:paraId="33DA3487" w14:textId="77777777" w:rsidR="00862B0B" w:rsidRPr="00A67277" w:rsidRDefault="00862B0B" w:rsidP="00862B0B">
            <w:pPr>
              <w:pStyle w:val="Level3"/>
              <w:numPr>
                <w:ilvl w:val="0"/>
                <w:numId w:val="161"/>
              </w:numPr>
              <w:spacing w:before="60" w:after="60"/>
              <w:ind w:left="1692" w:hanging="540"/>
              <w:rPr>
                <w:rFonts w:cs="Arial"/>
              </w:rPr>
            </w:pPr>
            <w:r w:rsidRPr="00A67277">
              <w:rPr>
                <w:rFonts w:cs="Arial"/>
              </w:rPr>
              <w:t>Masing-masing Pihak juga sepakat untuk bekerja sama dalam mengendalikan, mengatur dan mengawasi seluruh publisitas dan hubungan masyarakat sehubungan dengan segala hal terkait Proyek, termasuk namun tidak terbatas pada informasi mengenai kemajuan Pekerjaan.</w:t>
            </w:r>
          </w:p>
        </w:tc>
      </w:tr>
      <w:tr w:rsidR="00862B0B" w:rsidRPr="00A67277" w14:paraId="59204C9D" w14:textId="77777777" w:rsidTr="00862B0B">
        <w:trPr>
          <w:gridAfter w:val="1"/>
          <w:wAfter w:w="47" w:type="pct"/>
        </w:trPr>
        <w:tc>
          <w:tcPr>
            <w:tcW w:w="2270" w:type="pct"/>
          </w:tcPr>
          <w:p w14:paraId="7777C393" w14:textId="77777777" w:rsidR="00862B0B" w:rsidRPr="00A67277" w:rsidRDefault="00862B0B" w:rsidP="00862B0B">
            <w:pPr>
              <w:pStyle w:val="Heading2"/>
              <w:numPr>
                <w:ilvl w:val="0"/>
                <w:numId w:val="158"/>
              </w:numPr>
              <w:spacing w:before="60" w:after="60"/>
              <w:ind w:left="1080" w:hanging="540"/>
              <w:outlineLvl w:val="1"/>
              <w:rPr>
                <w:color w:val="auto"/>
              </w:rPr>
            </w:pPr>
            <w:r w:rsidRPr="00A67277">
              <w:rPr>
                <w:rFonts w:ascii="Arial" w:hAnsi="Arial" w:cs="Arial"/>
                <w:b/>
                <w:color w:val="auto"/>
                <w:sz w:val="21"/>
                <w:szCs w:val="21"/>
              </w:rPr>
              <w:t>Sovereign Immunity</w:t>
            </w:r>
          </w:p>
        </w:tc>
        <w:tc>
          <w:tcPr>
            <w:tcW w:w="169" w:type="pct"/>
          </w:tcPr>
          <w:p w14:paraId="4896E1D4" w14:textId="77777777" w:rsidR="00862B0B" w:rsidRPr="00A67277" w:rsidRDefault="00862B0B" w:rsidP="00862B0B">
            <w:pPr>
              <w:spacing w:before="60" w:after="60"/>
              <w:rPr>
                <w:rFonts w:ascii="Arial" w:hAnsi="Arial" w:cs="Arial"/>
                <w:sz w:val="21"/>
                <w:szCs w:val="21"/>
              </w:rPr>
            </w:pPr>
          </w:p>
        </w:tc>
        <w:tc>
          <w:tcPr>
            <w:tcW w:w="2514" w:type="pct"/>
          </w:tcPr>
          <w:p w14:paraId="5F624C91"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Imunitas Kedaulatan</w:t>
            </w:r>
          </w:p>
        </w:tc>
      </w:tr>
      <w:tr w:rsidR="00862B0B" w:rsidRPr="00A67277" w14:paraId="3F3C81D6" w14:textId="77777777" w:rsidTr="00862B0B">
        <w:trPr>
          <w:gridAfter w:val="1"/>
          <w:wAfter w:w="47" w:type="pct"/>
        </w:trPr>
        <w:tc>
          <w:tcPr>
            <w:tcW w:w="2270" w:type="pct"/>
          </w:tcPr>
          <w:p w14:paraId="4727F921" w14:textId="77777777" w:rsidR="00862B0B" w:rsidRPr="00A67277" w:rsidRDefault="00862B0B" w:rsidP="00862B0B">
            <w:pPr>
              <w:pStyle w:val="Level3"/>
              <w:numPr>
                <w:ilvl w:val="2"/>
                <w:numId w:val="532"/>
              </w:numPr>
              <w:tabs>
                <w:tab w:val="clear" w:pos="1417"/>
              </w:tabs>
              <w:spacing w:before="60" w:after="60"/>
              <w:rPr>
                <w:rFonts w:eastAsia="Times New Roman"/>
              </w:rPr>
            </w:pPr>
            <w:r w:rsidRPr="00A67277">
              <w:t xml:space="preserve">GCA irrevocably acknowledges and accepts that the execution and delivery of this Agreement and all agreements entered into in connection herewith (including all appendices, schedules and exhibits thereto) and the performance or non-performance of its obligations under this Agreement and such other agreements are commercial rather than public or governmental acts. </w:t>
            </w:r>
          </w:p>
        </w:tc>
        <w:tc>
          <w:tcPr>
            <w:tcW w:w="169" w:type="pct"/>
          </w:tcPr>
          <w:p w14:paraId="638D3583" w14:textId="77777777" w:rsidR="00862B0B" w:rsidRPr="00A67277" w:rsidRDefault="00862B0B" w:rsidP="00862B0B">
            <w:pPr>
              <w:spacing w:before="60" w:after="60"/>
              <w:rPr>
                <w:rFonts w:ascii="Arial" w:hAnsi="Arial" w:cs="Arial"/>
                <w:sz w:val="21"/>
                <w:szCs w:val="21"/>
              </w:rPr>
            </w:pPr>
          </w:p>
        </w:tc>
        <w:tc>
          <w:tcPr>
            <w:tcW w:w="2514" w:type="pct"/>
          </w:tcPr>
          <w:p w14:paraId="3B4ACA37" w14:textId="29D038B9" w:rsidR="00862B0B" w:rsidRPr="00A67277" w:rsidRDefault="00862B0B" w:rsidP="00862B0B">
            <w:pPr>
              <w:pStyle w:val="Level3"/>
              <w:numPr>
                <w:ilvl w:val="0"/>
                <w:numId w:val="165"/>
              </w:numPr>
              <w:spacing w:before="60" w:after="60"/>
              <w:ind w:left="1692" w:hanging="540"/>
              <w:rPr>
                <w:rFonts w:eastAsia="Times New Roman" w:cs="Arial"/>
              </w:rPr>
            </w:pPr>
            <w:r w:rsidRPr="00A67277">
              <w:rPr>
                <w:rFonts w:cs="Arial"/>
              </w:rPr>
              <w:t xml:space="preserve">PJPK dengan tidak dapat ditarik kembali mengakui dan menerima penandatanganan dan penyerahan Perjanjian ini dan setiap perjanjian yang ditandatangani sehubungan dengan Perjanjian ini (termasuk setiap lampiran-lampiran, jadwal-jadwal dan tambahan-tambahan terhadapnya) dan pelaksanaan atau tidak dilaksanakannya kewajiban-kewajibannya berdasarkan Perjanjian dan perjanjian lain tersebut merupakan tindakan komersial dan bukan merupakan tindakan publik atau tindakan pemerintahan. </w:t>
            </w:r>
          </w:p>
        </w:tc>
      </w:tr>
      <w:tr w:rsidR="00862B0B" w:rsidRPr="00A67277" w14:paraId="3348EB8F" w14:textId="77777777" w:rsidTr="00862B0B">
        <w:trPr>
          <w:gridAfter w:val="1"/>
          <w:wAfter w:w="47" w:type="pct"/>
        </w:trPr>
        <w:tc>
          <w:tcPr>
            <w:tcW w:w="2270" w:type="pct"/>
          </w:tcPr>
          <w:p w14:paraId="0F4DD120" w14:textId="77777777" w:rsidR="00862B0B" w:rsidRPr="00A67277" w:rsidRDefault="00862B0B" w:rsidP="00862B0B">
            <w:pPr>
              <w:pStyle w:val="Level3"/>
              <w:numPr>
                <w:ilvl w:val="2"/>
                <w:numId w:val="532"/>
              </w:numPr>
              <w:tabs>
                <w:tab w:val="clear" w:pos="1417"/>
                <w:tab w:val="num" w:pos="1620"/>
              </w:tabs>
              <w:spacing w:before="60" w:after="60"/>
              <w:ind w:left="1620" w:hanging="540"/>
            </w:pPr>
            <w:r w:rsidRPr="00A67277">
              <w:t>GCA hereby waives in relation to any Disputes arising out of or in connection with this Agreement under any law or in any jurisdiction, notwithstanding the Dispute(s) relate(s) to acts of a sovereign or governmental character, any claim it may have or may acquire to immunity on the grounds of sovereignty or otherwise (for itself and its property, present or subsequently acquired) from:</w:t>
            </w:r>
          </w:p>
          <w:p w14:paraId="375C7F0F" w14:textId="77777777" w:rsidR="00862B0B" w:rsidRPr="00A67277" w:rsidRDefault="00862B0B" w:rsidP="00862B0B">
            <w:pPr>
              <w:spacing w:before="60" w:after="60"/>
              <w:rPr>
                <w:rFonts w:ascii="Arial" w:hAnsi="Arial" w:cs="Arial"/>
                <w:sz w:val="21"/>
                <w:szCs w:val="21"/>
              </w:rPr>
            </w:pPr>
          </w:p>
        </w:tc>
        <w:tc>
          <w:tcPr>
            <w:tcW w:w="169" w:type="pct"/>
          </w:tcPr>
          <w:p w14:paraId="72833265" w14:textId="77777777" w:rsidR="00862B0B" w:rsidRPr="00A67277" w:rsidRDefault="00862B0B" w:rsidP="00862B0B">
            <w:pPr>
              <w:spacing w:before="60" w:after="60"/>
              <w:rPr>
                <w:rFonts w:ascii="Arial" w:hAnsi="Arial" w:cs="Arial"/>
                <w:sz w:val="21"/>
                <w:szCs w:val="21"/>
              </w:rPr>
            </w:pPr>
          </w:p>
        </w:tc>
        <w:tc>
          <w:tcPr>
            <w:tcW w:w="2514" w:type="pct"/>
          </w:tcPr>
          <w:p w14:paraId="2E3145A1" w14:textId="77777777" w:rsidR="00862B0B" w:rsidRPr="00A67277" w:rsidRDefault="00862B0B" w:rsidP="00862B0B">
            <w:pPr>
              <w:pStyle w:val="Level3"/>
              <w:numPr>
                <w:ilvl w:val="0"/>
                <w:numId w:val="165"/>
              </w:numPr>
              <w:spacing w:before="60" w:after="60"/>
              <w:ind w:left="1692" w:hanging="540"/>
              <w:rPr>
                <w:rFonts w:cs="Arial"/>
              </w:rPr>
            </w:pPr>
            <w:r w:rsidRPr="00A67277">
              <w:rPr>
                <w:rFonts w:cs="Arial"/>
              </w:rPr>
              <w:t>PJPK dengan ini mengesampingkan, sehubungan dengan setiap Sengketa yang timbul karena atau sehubungan dengan Perjanjian ini berdasarkan hukum dan pada yurisdiksi mana pun, walaupun Sengketa tersebut berhubungan dengan tindakan kenegaraan atau pemerintahan, setiap hak yang dimilikinya atau yang mungkin didapatkannya untuk mendapatkan imunitas dengan dasar kedaulatan Negara atau dengan cara lain (untuk dirinya atau setiap asetnya, baik yang saat ini ada atau yang akan ada dikemudian hari) dari:</w:t>
            </w:r>
          </w:p>
        </w:tc>
      </w:tr>
      <w:tr w:rsidR="00862B0B" w:rsidRPr="00A67277" w14:paraId="5CA0A5D2" w14:textId="77777777" w:rsidTr="00862B0B">
        <w:trPr>
          <w:gridAfter w:val="1"/>
          <w:wAfter w:w="47" w:type="pct"/>
        </w:trPr>
        <w:tc>
          <w:tcPr>
            <w:tcW w:w="2270" w:type="pct"/>
          </w:tcPr>
          <w:p w14:paraId="0F819E06" w14:textId="77777777" w:rsidR="00862B0B" w:rsidRPr="00A67277" w:rsidRDefault="00862B0B" w:rsidP="00862B0B">
            <w:pPr>
              <w:pStyle w:val="Level4"/>
              <w:numPr>
                <w:ilvl w:val="0"/>
                <w:numId w:val="164"/>
              </w:numPr>
              <w:spacing w:before="60" w:after="60"/>
              <w:ind w:left="2160" w:hanging="540"/>
            </w:pPr>
            <w:r w:rsidRPr="00A67277">
              <w:t>the jurisdiction of any court and the service and pursuit of any proceedings in any court;</w:t>
            </w:r>
          </w:p>
        </w:tc>
        <w:tc>
          <w:tcPr>
            <w:tcW w:w="169" w:type="pct"/>
          </w:tcPr>
          <w:p w14:paraId="7A98142F" w14:textId="77777777" w:rsidR="00862B0B" w:rsidRPr="00A67277" w:rsidRDefault="00862B0B" w:rsidP="00862B0B">
            <w:pPr>
              <w:spacing w:before="60" w:after="60"/>
              <w:rPr>
                <w:rFonts w:ascii="Arial" w:hAnsi="Arial" w:cs="Arial"/>
                <w:sz w:val="21"/>
                <w:szCs w:val="21"/>
              </w:rPr>
            </w:pPr>
          </w:p>
        </w:tc>
        <w:tc>
          <w:tcPr>
            <w:tcW w:w="2514" w:type="pct"/>
          </w:tcPr>
          <w:p w14:paraId="374B3E45" w14:textId="77777777" w:rsidR="00862B0B" w:rsidRPr="00A67277" w:rsidRDefault="00862B0B" w:rsidP="00862B0B">
            <w:pPr>
              <w:pStyle w:val="Level4"/>
              <w:numPr>
                <w:ilvl w:val="0"/>
                <w:numId w:val="166"/>
              </w:numPr>
              <w:spacing w:before="60" w:after="60"/>
              <w:ind w:left="2232" w:hanging="540"/>
              <w:rPr>
                <w:rFonts w:cs="Arial"/>
              </w:rPr>
            </w:pPr>
            <w:r w:rsidRPr="00A67277">
              <w:rPr>
                <w:rFonts w:cs="Arial"/>
              </w:rPr>
              <w:t>yurisdiksi setiap pengadilan dan setiap layanan atau pelaksanaan suatu proses hukum pengadilan mana pun;</w:t>
            </w:r>
          </w:p>
        </w:tc>
      </w:tr>
      <w:tr w:rsidR="00862B0B" w:rsidRPr="00A67277" w14:paraId="12E129FA" w14:textId="77777777" w:rsidTr="00862B0B">
        <w:trPr>
          <w:gridAfter w:val="1"/>
          <w:wAfter w:w="47" w:type="pct"/>
        </w:trPr>
        <w:tc>
          <w:tcPr>
            <w:tcW w:w="2270" w:type="pct"/>
          </w:tcPr>
          <w:p w14:paraId="1A065171" w14:textId="77777777" w:rsidR="00862B0B" w:rsidRPr="00A67277" w:rsidRDefault="00862B0B" w:rsidP="00862B0B">
            <w:pPr>
              <w:pStyle w:val="Level4"/>
              <w:numPr>
                <w:ilvl w:val="0"/>
                <w:numId w:val="164"/>
              </w:numPr>
              <w:spacing w:before="60" w:after="60"/>
              <w:ind w:left="2160" w:hanging="540"/>
            </w:pPr>
            <w:r w:rsidRPr="00A67277">
              <w:t>procedural privileges relating to the obligation to disclose documents or information;</w:t>
            </w:r>
          </w:p>
        </w:tc>
        <w:tc>
          <w:tcPr>
            <w:tcW w:w="169" w:type="pct"/>
          </w:tcPr>
          <w:p w14:paraId="7F6F21F5" w14:textId="77777777" w:rsidR="00862B0B" w:rsidRPr="00A67277" w:rsidRDefault="00862B0B" w:rsidP="00862B0B">
            <w:pPr>
              <w:spacing w:before="60" w:after="60"/>
              <w:rPr>
                <w:rFonts w:ascii="Arial" w:hAnsi="Arial" w:cs="Arial"/>
                <w:sz w:val="21"/>
                <w:szCs w:val="21"/>
              </w:rPr>
            </w:pPr>
          </w:p>
        </w:tc>
        <w:tc>
          <w:tcPr>
            <w:tcW w:w="2514" w:type="pct"/>
          </w:tcPr>
          <w:p w14:paraId="65769FE6" w14:textId="77777777" w:rsidR="00862B0B" w:rsidRPr="00A67277" w:rsidRDefault="00862B0B" w:rsidP="00862B0B">
            <w:pPr>
              <w:pStyle w:val="Level4"/>
              <w:numPr>
                <w:ilvl w:val="0"/>
                <w:numId w:val="166"/>
              </w:numPr>
              <w:spacing w:before="60" w:after="60"/>
              <w:ind w:left="2232" w:hanging="540"/>
              <w:rPr>
                <w:rFonts w:cs="Arial"/>
              </w:rPr>
            </w:pPr>
            <w:r w:rsidRPr="00A67277">
              <w:rPr>
                <w:rFonts w:cs="Arial"/>
              </w:rPr>
              <w:t>hak istimewa terhadap prosedur sehubungan dengan kewajibannya untuk mengungkapkan dokumen atau informasi;</w:t>
            </w:r>
          </w:p>
        </w:tc>
      </w:tr>
      <w:tr w:rsidR="00862B0B" w:rsidRPr="00A67277" w14:paraId="455CE26D" w14:textId="77777777" w:rsidTr="00862B0B">
        <w:trPr>
          <w:gridAfter w:val="1"/>
          <w:wAfter w:w="47" w:type="pct"/>
        </w:trPr>
        <w:tc>
          <w:tcPr>
            <w:tcW w:w="2270" w:type="pct"/>
          </w:tcPr>
          <w:p w14:paraId="6314131E" w14:textId="77777777" w:rsidR="00862B0B" w:rsidRPr="00A67277" w:rsidRDefault="00862B0B" w:rsidP="00862B0B">
            <w:pPr>
              <w:pStyle w:val="Level4"/>
              <w:numPr>
                <w:ilvl w:val="0"/>
                <w:numId w:val="164"/>
              </w:numPr>
              <w:spacing w:before="60" w:after="60"/>
              <w:ind w:left="2160" w:hanging="540"/>
            </w:pPr>
            <w:r w:rsidRPr="00A67277">
              <w:t>any relief, before or after proceedings have been commenced, including but not limited to orders for injunction, specific performance, or recovery of land; and/or</w:t>
            </w:r>
          </w:p>
        </w:tc>
        <w:tc>
          <w:tcPr>
            <w:tcW w:w="169" w:type="pct"/>
          </w:tcPr>
          <w:p w14:paraId="142E41B0" w14:textId="77777777" w:rsidR="00862B0B" w:rsidRPr="00A67277" w:rsidRDefault="00862B0B" w:rsidP="00862B0B">
            <w:pPr>
              <w:spacing w:before="60" w:after="60"/>
              <w:rPr>
                <w:rFonts w:ascii="Arial" w:hAnsi="Arial" w:cs="Arial"/>
                <w:sz w:val="21"/>
                <w:szCs w:val="21"/>
              </w:rPr>
            </w:pPr>
          </w:p>
        </w:tc>
        <w:tc>
          <w:tcPr>
            <w:tcW w:w="2514" w:type="pct"/>
          </w:tcPr>
          <w:p w14:paraId="4D9AC3F8" w14:textId="77777777" w:rsidR="00862B0B" w:rsidRPr="00A67277" w:rsidRDefault="00862B0B" w:rsidP="00862B0B">
            <w:pPr>
              <w:pStyle w:val="Level4"/>
              <w:numPr>
                <w:ilvl w:val="0"/>
                <w:numId w:val="166"/>
              </w:numPr>
              <w:spacing w:before="60" w:after="60"/>
              <w:ind w:left="2232" w:hanging="540"/>
              <w:rPr>
                <w:rFonts w:cs="Arial"/>
              </w:rPr>
            </w:pPr>
            <w:r w:rsidRPr="00A67277">
              <w:rPr>
                <w:rFonts w:cs="Arial"/>
              </w:rPr>
              <w:t>setiap pembebasan, baik sebelum maupun setelah dimulainya proses hukum, termasuk namun tidak terbatas pada perintah untuk mendapatkan putusan sela (i</w:t>
            </w:r>
            <w:r w:rsidRPr="00A67277">
              <w:rPr>
                <w:rFonts w:cs="Arial"/>
                <w:i/>
              </w:rPr>
              <w:t>njunction</w:t>
            </w:r>
            <w:r w:rsidRPr="00A67277">
              <w:rPr>
                <w:rFonts w:cs="Arial"/>
              </w:rPr>
              <w:t>), pelaksanaan kewajiban tertentu (</w:t>
            </w:r>
            <w:r w:rsidRPr="00A67277">
              <w:rPr>
                <w:rFonts w:cs="Arial"/>
                <w:i/>
              </w:rPr>
              <w:t>specific performance</w:t>
            </w:r>
            <w:r w:rsidRPr="00A67277">
              <w:rPr>
                <w:rFonts w:cs="Arial"/>
              </w:rPr>
              <w:t>), atau pemulihan tanah; dan/atau</w:t>
            </w:r>
          </w:p>
        </w:tc>
      </w:tr>
      <w:tr w:rsidR="00862B0B" w:rsidRPr="00A67277" w14:paraId="716D55B7" w14:textId="77777777" w:rsidTr="00862B0B">
        <w:trPr>
          <w:gridAfter w:val="1"/>
          <w:wAfter w:w="47" w:type="pct"/>
        </w:trPr>
        <w:tc>
          <w:tcPr>
            <w:tcW w:w="2270" w:type="pct"/>
          </w:tcPr>
          <w:p w14:paraId="17674791" w14:textId="77777777" w:rsidR="00862B0B" w:rsidRPr="00A67277" w:rsidRDefault="00862B0B" w:rsidP="00862B0B">
            <w:pPr>
              <w:pStyle w:val="Level4"/>
              <w:numPr>
                <w:ilvl w:val="0"/>
                <w:numId w:val="164"/>
              </w:numPr>
              <w:spacing w:before="60" w:after="60"/>
              <w:ind w:left="2160" w:hanging="540"/>
            </w:pPr>
            <w:r w:rsidRPr="00A67277">
              <w:t>any set-off, attachment or execution or enforcement of a judgment or arbitral award against its property, or in an action in rem for the arrest, detention or sale of its property irrespective of that property’s use or intended use, whether commercial or otherwise.</w:t>
            </w:r>
          </w:p>
        </w:tc>
        <w:tc>
          <w:tcPr>
            <w:tcW w:w="169" w:type="pct"/>
          </w:tcPr>
          <w:p w14:paraId="70314297" w14:textId="77777777" w:rsidR="00862B0B" w:rsidRPr="00A67277" w:rsidRDefault="00862B0B" w:rsidP="00862B0B">
            <w:pPr>
              <w:spacing w:before="60" w:after="60"/>
              <w:rPr>
                <w:rFonts w:ascii="Arial" w:hAnsi="Arial" w:cs="Arial"/>
                <w:sz w:val="21"/>
                <w:szCs w:val="21"/>
              </w:rPr>
            </w:pPr>
          </w:p>
        </w:tc>
        <w:tc>
          <w:tcPr>
            <w:tcW w:w="2514" w:type="pct"/>
          </w:tcPr>
          <w:p w14:paraId="2CD48E8C" w14:textId="77777777" w:rsidR="00862B0B" w:rsidRPr="00A67277" w:rsidRDefault="00862B0B" w:rsidP="00862B0B">
            <w:pPr>
              <w:pStyle w:val="Level4"/>
              <w:numPr>
                <w:ilvl w:val="0"/>
                <w:numId w:val="166"/>
              </w:numPr>
              <w:spacing w:before="60" w:after="60"/>
              <w:ind w:left="2232" w:hanging="540"/>
              <w:rPr>
                <w:rFonts w:cs="Arial"/>
              </w:rPr>
            </w:pPr>
            <w:r w:rsidRPr="00A67277">
              <w:rPr>
                <w:rFonts w:cs="Arial"/>
              </w:rPr>
              <w:t>setiap perjumpaan, penyitaan, atau eksekusi atau pelaksanaan putusan pengadilan atau putusan arbitrase terhadap setiap asetnya, atau setiap tindakan kebendaan untuk penangkapan, penahanan, penjualan asetnya tanpa memperhatikan apakah penggunaan atau maksud penggunaan aset tersebut adalah untuk kepentingan komersial atau tidak.</w:t>
            </w:r>
          </w:p>
        </w:tc>
      </w:tr>
      <w:tr w:rsidR="00862B0B" w:rsidRPr="00A67277" w14:paraId="5517B44C" w14:textId="77777777" w:rsidTr="00862B0B">
        <w:trPr>
          <w:gridAfter w:val="1"/>
          <w:wAfter w:w="47" w:type="pct"/>
        </w:trPr>
        <w:tc>
          <w:tcPr>
            <w:tcW w:w="2270" w:type="pct"/>
          </w:tcPr>
          <w:p w14:paraId="0A7E4AEA" w14:textId="77777777" w:rsidR="00862B0B" w:rsidRPr="00A67277" w:rsidRDefault="00862B0B" w:rsidP="00862B0B">
            <w:pPr>
              <w:pStyle w:val="Heading2"/>
              <w:numPr>
                <w:ilvl w:val="0"/>
                <w:numId w:val="158"/>
              </w:numPr>
              <w:spacing w:before="60" w:after="60"/>
              <w:ind w:left="1080" w:hanging="540"/>
              <w:outlineLvl w:val="1"/>
              <w:rPr>
                <w:color w:val="auto"/>
              </w:rPr>
            </w:pPr>
            <w:r w:rsidRPr="00A67277">
              <w:rPr>
                <w:rFonts w:ascii="Arial" w:hAnsi="Arial" w:cs="Arial"/>
                <w:b/>
                <w:color w:val="auto"/>
                <w:sz w:val="21"/>
                <w:szCs w:val="21"/>
              </w:rPr>
              <w:t>Payments by Guarantors</w:t>
            </w:r>
          </w:p>
        </w:tc>
        <w:tc>
          <w:tcPr>
            <w:tcW w:w="169" w:type="pct"/>
          </w:tcPr>
          <w:p w14:paraId="2A0CA92F" w14:textId="77777777" w:rsidR="00862B0B" w:rsidRPr="00A67277" w:rsidRDefault="00862B0B" w:rsidP="00862B0B">
            <w:pPr>
              <w:spacing w:before="60" w:after="60"/>
              <w:rPr>
                <w:rFonts w:ascii="Arial" w:hAnsi="Arial" w:cs="Arial"/>
                <w:sz w:val="21"/>
                <w:szCs w:val="21"/>
              </w:rPr>
            </w:pPr>
          </w:p>
        </w:tc>
        <w:tc>
          <w:tcPr>
            <w:tcW w:w="2514" w:type="pct"/>
          </w:tcPr>
          <w:p w14:paraId="42C33010"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Pembayaran Oleh Penjamin</w:t>
            </w:r>
          </w:p>
        </w:tc>
      </w:tr>
      <w:tr w:rsidR="00862B0B" w:rsidRPr="00A67277" w14:paraId="2BAB0FEB" w14:textId="77777777" w:rsidTr="00862B0B">
        <w:trPr>
          <w:gridAfter w:val="1"/>
          <w:wAfter w:w="47" w:type="pct"/>
        </w:trPr>
        <w:tc>
          <w:tcPr>
            <w:tcW w:w="2270" w:type="pct"/>
          </w:tcPr>
          <w:p w14:paraId="096CA353" w14:textId="77777777" w:rsidR="00862B0B" w:rsidRPr="00A67277" w:rsidRDefault="00862B0B" w:rsidP="00862B0B">
            <w:pPr>
              <w:pStyle w:val="Body2"/>
              <w:spacing w:before="60" w:after="60"/>
              <w:ind w:left="1080"/>
            </w:pPr>
            <w:r w:rsidRPr="00A67277">
              <w:t>If and to the extent that any payment is made by [either of] the Guarantors to the IBE under the Guarantee Agreement in respect of any Guaranteed Amount (as such term is defined in the Guarantee Agreement), such payment shall be deemed to have been made by GCA under this Agreement and:</w:t>
            </w:r>
          </w:p>
        </w:tc>
        <w:tc>
          <w:tcPr>
            <w:tcW w:w="169" w:type="pct"/>
          </w:tcPr>
          <w:p w14:paraId="27C26738" w14:textId="77777777" w:rsidR="00862B0B" w:rsidRPr="00A67277" w:rsidRDefault="00862B0B" w:rsidP="00862B0B">
            <w:pPr>
              <w:spacing w:before="60" w:after="60"/>
              <w:rPr>
                <w:rFonts w:ascii="Arial" w:hAnsi="Arial" w:cs="Arial"/>
                <w:sz w:val="21"/>
                <w:szCs w:val="21"/>
              </w:rPr>
            </w:pPr>
          </w:p>
        </w:tc>
        <w:tc>
          <w:tcPr>
            <w:tcW w:w="2514" w:type="pct"/>
          </w:tcPr>
          <w:p w14:paraId="67FE8E6E" w14:textId="77777777" w:rsidR="00862B0B" w:rsidRPr="00A67277" w:rsidRDefault="00862B0B" w:rsidP="00862B0B">
            <w:pPr>
              <w:pStyle w:val="Body2"/>
              <w:spacing w:before="60" w:after="60"/>
              <w:ind w:left="1152"/>
              <w:rPr>
                <w:rFonts w:cs="Arial"/>
              </w:rPr>
            </w:pPr>
            <w:r w:rsidRPr="00A67277">
              <w:rPr>
                <w:rFonts w:cs="Arial"/>
              </w:rPr>
              <w:t xml:space="preserve">Jika dan sepanjang setiap pembayaran dilakukan oleh Penjamin kepada BUP berdasarkan Perjanjian Penjaminan sehubungan dengan Jumlah Yang Dijamin (sebagaimana didefinisikan dalam Perjanjian Penjaminan), pembayaran tersebut akan dianggap sebagai pelunasan kewajiban PJPK berdasarkan Perjanjian ini dan: </w:t>
            </w:r>
          </w:p>
        </w:tc>
      </w:tr>
      <w:tr w:rsidR="00862B0B" w:rsidRPr="00A67277" w14:paraId="1EB3CBEB" w14:textId="77777777" w:rsidTr="00862B0B">
        <w:trPr>
          <w:gridAfter w:val="1"/>
          <w:wAfter w:w="47" w:type="pct"/>
        </w:trPr>
        <w:tc>
          <w:tcPr>
            <w:tcW w:w="2270" w:type="pct"/>
          </w:tcPr>
          <w:p w14:paraId="5C8E6ACF" w14:textId="77777777" w:rsidR="00862B0B" w:rsidRPr="00A67277" w:rsidRDefault="00862B0B" w:rsidP="00862B0B">
            <w:pPr>
              <w:pStyle w:val="Body2"/>
              <w:numPr>
                <w:ilvl w:val="0"/>
                <w:numId w:val="167"/>
              </w:numPr>
              <w:spacing w:before="60" w:after="60"/>
              <w:ind w:left="1620" w:hanging="540"/>
            </w:pPr>
            <w:r w:rsidRPr="00A67277">
              <w:t xml:space="preserve">If and to the extent that any payment is made by [either of] the Guarantors to the IBE under the Guarantee Agreement in respect of any Guaranteed Amount (as such term is defined in the Guarantee Agreement), such payment shall be deemed to have been made by GCA under this Agreement and: </w:t>
            </w:r>
          </w:p>
        </w:tc>
        <w:tc>
          <w:tcPr>
            <w:tcW w:w="169" w:type="pct"/>
          </w:tcPr>
          <w:p w14:paraId="5EA46921" w14:textId="77777777" w:rsidR="00862B0B" w:rsidRPr="00A67277" w:rsidRDefault="00862B0B" w:rsidP="00862B0B">
            <w:pPr>
              <w:spacing w:before="60" w:after="60"/>
              <w:rPr>
                <w:rFonts w:ascii="Arial" w:hAnsi="Arial" w:cs="Arial"/>
                <w:sz w:val="21"/>
                <w:szCs w:val="21"/>
              </w:rPr>
            </w:pPr>
          </w:p>
        </w:tc>
        <w:tc>
          <w:tcPr>
            <w:tcW w:w="2514" w:type="pct"/>
          </w:tcPr>
          <w:p w14:paraId="64620056" w14:textId="77777777" w:rsidR="00862B0B" w:rsidRPr="00A67277" w:rsidRDefault="00862B0B" w:rsidP="00862B0B">
            <w:pPr>
              <w:pStyle w:val="Level3"/>
              <w:numPr>
                <w:ilvl w:val="0"/>
                <w:numId w:val="168"/>
              </w:numPr>
              <w:spacing w:before="60" w:after="60"/>
              <w:ind w:left="1692" w:hanging="540"/>
              <w:rPr>
                <w:rFonts w:cs="Arial"/>
              </w:rPr>
            </w:pPr>
            <w:r w:rsidRPr="00A67277">
              <w:rPr>
                <w:rFonts w:cs="Arial"/>
              </w:rPr>
              <w:t>jika pembayaran tersebut mencakup jumlah keseluruhan pembayaran yang terhutang oleh PJPK kepada BUP, maka PJPK akan sepenuhnya dilepaskan dari tanggung jawabnya kepada BUP sepanjang berkaitan dengan pembayaran tersebut; atau</w:t>
            </w:r>
          </w:p>
        </w:tc>
      </w:tr>
      <w:tr w:rsidR="00862B0B" w:rsidRPr="00A67277" w14:paraId="0F4196D1" w14:textId="77777777" w:rsidTr="00862B0B">
        <w:trPr>
          <w:gridAfter w:val="1"/>
          <w:wAfter w:w="47" w:type="pct"/>
        </w:trPr>
        <w:tc>
          <w:tcPr>
            <w:tcW w:w="2270" w:type="pct"/>
          </w:tcPr>
          <w:p w14:paraId="72A2C6B1" w14:textId="77777777" w:rsidR="00862B0B" w:rsidRPr="00A67277" w:rsidRDefault="00862B0B" w:rsidP="00862B0B">
            <w:pPr>
              <w:pStyle w:val="Body2"/>
              <w:numPr>
                <w:ilvl w:val="0"/>
                <w:numId w:val="167"/>
              </w:numPr>
              <w:spacing w:before="60" w:after="60"/>
              <w:ind w:left="1620" w:hanging="540"/>
            </w:pPr>
            <w:r w:rsidRPr="00A67277">
              <w:t>provided that such payment does not cover the full amount of payments owed by the GCA to the IBE, the GCA shall be obliged to pay the remaining payments which have not been covered by payments from the Guarantors.</w:t>
            </w:r>
          </w:p>
          <w:p w14:paraId="69AD69B6" w14:textId="77777777" w:rsidR="00862B0B" w:rsidRPr="00A67277" w:rsidRDefault="00862B0B" w:rsidP="00862B0B">
            <w:pPr>
              <w:spacing w:before="60" w:after="60"/>
              <w:rPr>
                <w:rFonts w:ascii="Arial" w:hAnsi="Arial" w:cs="Arial"/>
                <w:sz w:val="21"/>
                <w:szCs w:val="21"/>
              </w:rPr>
            </w:pPr>
          </w:p>
        </w:tc>
        <w:tc>
          <w:tcPr>
            <w:tcW w:w="169" w:type="pct"/>
          </w:tcPr>
          <w:p w14:paraId="3CBD5D3C" w14:textId="77777777" w:rsidR="00862B0B" w:rsidRPr="00A67277" w:rsidRDefault="00862B0B" w:rsidP="00862B0B">
            <w:pPr>
              <w:spacing w:before="60" w:after="60"/>
              <w:rPr>
                <w:rFonts w:ascii="Arial" w:hAnsi="Arial" w:cs="Arial"/>
                <w:sz w:val="21"/>
                <w:szCs w:val="21"/>
              </w:rPr>
            </w:pPr>
          </w:p>
        </w:tc>
        <w:tc>
          <w:tcPr>
            <w:tcW w:w="2514" w:type="pct"/>
          </w:tcPr>
          <w:p w14:paraId="47AE92C6" w14:textId="77777777" w:rsidR="00862B0B" w:rsidRPr="00A67277" w:rsidRDefault="00862B0B" w:rsidP="00862B0B">
            <w:pPr>
              <w:pStyle w:val="Level3"/>
              <w:numPr>
                <w:ilvl w:val="0"/>
                <w:numId w:val="168"/>
              </w:numPr>
              <w:spacing w:before="60" w:after="60"/>
              <w:ind w:left="1692" w:hanging="540"/>
              <w:rPr>
                <w:rFonts w:cs="Arial"/>
              </w:rPr>
            </w:pPr>
            <w:r w:rsidRPr="00A67277">
              <w:rPr>
                <w:rFonts w:cs="Arial"/>
              </w:rPr>
              <w:t>jika pembayaran tersebut tidak mencakup keseluruhan pembayaran yang terhutang oleh PJPK kepada BUP, maka PJPK berkewajiban untuk membayar sisa pembayaran yang tidak tercakup dalam pembayaran oleh Penjamin.</w:t>
            </w:r>
          </w:p>
        </w:tc>
      </w:tr>
      <w:tr w:rsidR="00862B0B" w:rsidRPr="00A67277" w14:paraId="37E20637" w14:textId="77777777" w:rsidTr="00862B0B">
        <w:trPr>
          <w:gridAfter w:val="1"/>
          <w:wAfter w:w="47" w:type="pct"/>
        </w:trPr>
        <w:tc>
          <w:tcPr>
            <w:tcW w:w="2270" w:type="pct"/>
          </w:tcPr>
          <w:p w14:paraId="62437E14" w14:textId="77777777" w:rsidR="00862B0B" w:rsidRPr="00A67277" w:rsidRDefault="00862B0B" w:rsidP="00862B0B">
            <w:pPr>
              <w:pStyle w:val="Heading2"/>
              <w:numPr>
                <w:ilvl w:val="0"/>
                <w:numId w:val="158"/>
              </w:numPr>
              <w:spacing w:before="60" w:after="60"/>
              <w:ind w:left="1080" w:hanging="540"/>
              <w:outlineLvl w:val="1"/>
              <w:rPr>
                <w:color w:val="auto"/>
              </w:rPr>
            </w:pPr>
            <w:r w:rsidRPr="00A67277">
              <w:rPr>
                <w:rFonts w:ascii="Arial" w:hAnsi="Arial" w:cs="Arial"/>
                <w:b/>
                <w:color w:val="auto"/>
                <w:sz w:val="21"/>
                <w:szCs w:val="21"/>
              </w:rPr>
              <w:t>Severability of Provisions</w:t>
            </w:r>
          </w:p>
        </w:tc>
        <w:tc>
          <w:tcPr>
            <w:tcW w:w="169" w:type="pct"/>
          </w:tcPr>
          <w:p w14:paraId="5248C145" w14:textId="77777777" w:rsidR="00862B0B" w:rsidRPr="00A67277" w:rsidRDefault="00862B0B" w:rsidP="00862B0B">
            <w:pPr>
              <w:spacing w:before="60" w:after="60"/>
              <w:rPr>
                <w:rFonts w:ascii="Arial" w:hAnsi="Arial" w:cs="Arial"/>
                <w:sz w:val="21"/>
                <w:szCs w:val="21"/>
              </w:rPr>
            </w:pPr>
          </w:p>
        </w:tc>
        <w:tc>
          <w:tcPr>
            <w:tcW w:w="2514" w:type="pct"/>
          </w:tcPr>
          <w:p w14:paraId="4C2B6582"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Keterpisahan</w:t>
            </w:r>
          </w:p>
        </w:tc>
      </w:tr>
      <w:tr w:rsidR="00862B0B" w:rsidRPr="00A67277" w14:paraId="2030A830" w14:textId="77777777" w:rsidTr="00862B0B">
        <w:trPr>
          <w:gridAfter w:val="1"/>
          <w:wAfter w:w="47" w:type="pct"/>
        </w:trPr>
        <w:tc>
          <w:tcPr>
            <w:tcW w:w="2270" w:type="pct"/>
          </w:tcPr>
          <w:p w14:paraId="75154B96" w14:textId="77777777" w:rsidR="00862B0B" w:rsidRPr="00A67277" w:rsidRDefault="00862B0B" w:rsidP="00862B0B">
            <w:pPr>
              <w:pStyle w:val="Level3"/>
              <w:numPr>
                <w:ilvl w:val="2"/>
                <w:numId w:val="533"/>
              </w:numPr>
              <w:tabs>
                <w:tab w:val="clear" w:pos="1417"/>
                <w:tab w:val="num" w:pos="1620"/>
              </w:tabs>
              <w:spacing w:before="60" w:after="60"/>
              <w:ind w:left="1620" w:hanging="540"/>
            </w:pPr>
            <w:r w:rsidRPr="00A67277">
              <w:t>Each provision of this Agreement is severable and distinct from the others. The Parties intend that every provision of it shall be and remain valid and enforceable to the fullest extent permitted by law.</w:t>
            </w:r>
          </w:p>
        </w:tc>
        <w:tc>
          <w:tcPr>
            <w:tcW w:w="169" w:type="pct"/>
          </w:tcPr>
          <w:p w14:paraId="4D01B101" w14:textId="77777777" w:rsidR="00862B0B" w:rsidRPr="00A67277" w:rsidRDefault="00862B0B" w:rsidP="00862B0B">
            <w:pPr>
              <w:spacing w:before="60" w:after="60"/>
              <w:rPr>
                <w:rFonts w:ascii="Arial" w:hAnsi="Arial" w:cs="Arial"/>
                <w:sz w:val="21"/>
                <w:szCs w:val="21"/>
              </w:rPr>
            </w:pPr>
          </w:p>
        </w:tc>
        <w:tc>
          <w:tcPr>
            <w:tcW w:w="2514" w:type="pct"/>
          </w:tcPr>
          <w:p w14:paraId="54F04269" w14:textId="77777777" w:rsidR="00862B0B" w:rsidRPr="00A67277" w:rsidRDefault="00862B0B" w:rsidP="00862B0B">
            <w:pPr>
              <w:pStyle w:val="Level3"/>
              <w:numPr>
                <w:ilvl w:val="0"/>
                <w:numId w:val="169"/>
              </w:numPr>
              <w:spacing w:before="60" w:after="60"/>
              <w:ind w:left="1692" w:hanging="540"/>
              <w:rPr>
                <w:rFonts w:cs="Arial"/>
              </w:rPr>
            </w:pPr>
            <w:r w:rsidRPr="00A67277">
              <w:rPr>
                <w:rFonts w:cs="Arial"/>
              </w:rPr>
              <w:t>Masing-masing ketentuan dalam Perjanjian ini adalah terpisah dan berbeda satu sama lain. Para Pihak menghendaki bahwa masing-masing ketentuan tersebut akan berlaku sah dan tetap berlaku sah dan dapat dilaksanakan sepanjang diizinkan oleh hukum.</w:t>
            </w:r>
          </w:p>
        </w:tc>
      </w:tr>
      <w:tr w:rsidR="00862B0B" w:rsidRPr="00A67277" w14:paraId="6C57FBB1" w14:textId="77777777" w:rsidTr="00862B0B">
        <w:trPr>
          <w:gridAfter w:val="1"/>
          <w:wAfter w:w="47" w:type="pct"/>
        </w:trPr>
        <w:tc>
          <w:tcPr>
            <w:tcW w:w="2270" w:type="pct"/>
          </w:tcPr>
          <w:p w14:paraId="05B0FE73" w14:textId="77777777" w:rsidR="00862B0B" w:rsidRPr="00A67277" w:rsidRDefault="00862B0B" w:rsidP="00862B0B">
            <w:pPr>
              <w:pStyle w:val="Level3"/>
              <w:numPr>
                <w:ilvl w:val="2"/>
                <w:numId w:val="533"/>
              </w:numPr>
              <w:tabs>
                <w:tab w:val="clear" w:pos="1417"/>
                <w:tab w:val="num" w:pos="1620"/>
              </w:tabs>
              <w:spacing w:before="60" w:after="60"/>
              <w:ind w:left="1620" w:hanging="540"/>
            </w:pPr>
            <w:r w:rsidRPr="00A67277">
              <w:t>If any provision is or at any time becomes to any extent invalid, illegal or unenforceable for any reason such provision shall to that extent be deemed not to form part of this Agreement but the validity, legality and enforceability of the remaining parts of this Agreement shall not be thereby affected or impaired.</w:t>
            </w:r>
          </w:p>
        </w:tc>
        <w:tc>
          <w:tcPr>
            <w:tcW w:w="169" w:type="pct"/>
          </w:tcPr>
          <w:p w14:paraId="721E406A" w14:textId="77777777" w:rsidR="00862B0B" w:rsidRPr="00A67277" w:rsidRDefault="00862B0B" w:rsidP="00862B0B">
            <w:pPr>
              <w:spacing w:before="60" w:after="60"/>
              <w:rPr>
                <w:rFonts w:ascii="Arial" w:hAnsi="Arial" w:cs="Arial"/>
                <w:sz w:val="21"/>
                <w:szCs w:val="21"/>
              </w:rPr>
            </w:pPr>
          </w:p>
        </w:tc>
        <w:tc>
          <w:tcPr>
            <w:tcW w:w="2514" w:type="pct"/>
          </w:tcPr>
          <w:p w14:paraId="0D9A1D05" w14:textId="77777777" w:rsidR="00862B0B" w:rsidRPr="00A67277" w:rsidRDefault="00862B0B" w:rsidP="00862B0B">
            <w:pPr>
              <w:pStyle w:val="Level3"/>
              <w:numPr>
                <w:ilvl w:val="0"/>
                <w:numId w:val="169"/>
              </w:numPr>
              <w:spacing w:before="60" w:after="60"/>
              <w:ind w:left="1692" w:hanging="540"/>
              <w:rPr>
                <w:rFonts w:cs="Arial"/>
              </w:rPr>
            </w:pPr>
            <w:r w:rsidRPr="00A67277">
              <w:rPr>
                <w:rFonts w:cs="Arial"/>
              </w:rPr>
              <w:t>Jika terdapat ketentuan, sejauh apapun, yang menjadi tidak sah, ilegal atau tidak dapat dilaksanakan karena alasan apapun, ketentuan tersebut akan, sepanjang mengenai hal tersebut, dianggap tidak lagi menjadi bagian dari Perjanjian ini, namun keabsahan, ilegalitas dan keberlakukan bagian-bagian lain dari Perjanjian tidak akan terpengaruh atau dikurangi karenanya.</w:t>
            </w:r>
          </w:p>
        </w:tc>
      </w:tr>
      <w:tr w:rsidR="00862B0B" w:rsidRPr="00A67277" w14:paraId="59118DC2" w14:textId="77777777" w:rsidTr="00862B0B">
        <w:trPr>
          <w:gridAfter w:val="1"/>
          <w:wAfter w:w="47" w:type="pct"/>
        </w:trPr>
        <w:tc>
          <w:tcPr>
            <w:tcW w:w="2270" w:type="pct"/>
          </w:tcPr>
          <w:p w14:paraId="065F9BF5" w14:textId="77777777" w:rsidR="00862B0B" w:rsidRPr="00A67277" w:rsidRDefault="00862B0B" w:rsidP="00862B0B">
            <w:pPr>
              <w:pStyle w:val="Heading2"/>
              <w:numPr>
                <w:ilvl w:val="0"/>
                <w:numId w:val="158"/>
              </w:numPr>
              <w:spacing w:before="60" w:after="60"/>
              <w:ind w:left="1080" w:hanging="540"/>
              <w:outlineLvl w:val="1"/>
              <w:rPr>
                <w:color w:val="auto"/>
              </w:rPr>
            </w:pPr>
            <w:r w:rsidRPr="00A67277">
              <w:rPr>
                <w:rFonts w:ascii="Arial" w:hAnsi="Arial" w:cs="Arial"/>
                <w:b/>
                <w:color w:val="auto"/>
                <w:sz w:val="21"/>
                <w:szCs w:val="21"/>
              </w:rPr>
              <w:t>Waiver</w:t>
            </w:r>
          </w:p>
        </w:tc>
        <w:tc>
          <w:tcPr>
            <w:tcW w:w="169" w:type="pct"/>
          </w:tcPr>
          <w:p w14:paraId="1CEEB3CA" w14:textId="77777777" w:rsidR="00862B0B" w:rsidRPr="00A67277" w:rsidRDefault="00862B0B" w:rsidP="00862B0B">
            <w:pPr>
              <w:spacing w:before="60" w:after="60"/>
              <w:rPr>
                <w:rFonts w:ascii="Arial" w:hAnsi="Arial" w:cs="Arial"/>
                <w:sz w:val="21"/>
                <w:szCs w:val="21"/>
              </w:rPr>
            </w:pPr>
          </w:p>
        </w:tc>
        <w:tc>
          <w:tcPr>
            <w:tcW w:w="2514" w:type="pct"/>
          </w:tcPr>
          <w:p w14:paraId="0C73FF30" w14:textId="77777777" w:rsidR="00862B0B" w:rsidRPr="00A67277" w:rsidRDefault="00862B0B" w:rsidP="00862B0B">
            <w:pPr>
              <w:pStyle w:val="Heading2"/>
              <w:numPr>
                <w:ilvl w:val="0"/>
                <w:numId w:val="21"/>
              </w:numPr>
              <w:spacing w:before="60" w:after="60"/>
              <w:ind w:left="1152" w:hanging="540"/>
              <w:outlineLvl w:val="1"/>
              <w:rPr>
                <w:rFonts w:ascii="Arial" w:hAnsi="Arial" w:cs="Arial"/>
                <w:b/>
                <w:color w:val="auto"/>
                <w:sz w:val="21"/>
                <w:szCs w:val="21"/>
              </w:rPr>
            </w:pPr>
            <w:r w:rsidRPr="00A67277">
              <w:rPr>
                <w:rFonts w:ascii="Arial" w:hAnsi="Arial" w:cs="Arial"/>
                <w:b/>
                <w:color w:val="auto"/>
                <w:sz w:val="21"/>
                <w:szCs w:val="21"/>
              </w:rPr>
              <w:t>Pengesampingan</w:t>
            </w:r>
          </w:p>
        </w:tc>
      </w:tr>
      <w:tr w:rsidR="00862B0B" w:rsidRPr="00A67277" w14:paraId="4C950985" w14:textId="77777777" w:rsidTr="00862B0B">
        <w:trPr>
          <w:gridAfter w:val="1"/>
          <w:wAfter w:w="47" w:type="pct"/>
        </w:trPr>
        <w:tc>
          <w:tcPr>
            <w:tcW w:w="2270" w:type="pct"/>
          </w:tcPr>
          <w:p w14:paraId="11782398" w14:textId="77777777" w:rsidR="00862B0B" w:rsidRPr="00A67277" w:rsidRDefault="00862B0B" w:rsidP="00862B0B">
            <w:pPr>
              <w:pStyle w:val="Level3"/>
              <w:numPr>
                <w:ilvl w:val="2"/>
                <w:numId w:val="534"/>
              </w:numPr>
              <w:tabs>
                <w:tab w:val="clear" w:pos="1417"/>
                <w:tab w:val="num" w:pos="3116"/>
              </w:tabs>
              <w:spacing w:before="60" w:after="60"/>
              <w:ind w:left="1676" w:hanging="641"/>
            </w:pPr>
            <w:r w:rsidRPr="00A67277">
              <w:t>Neither Party shall be deemed to have waived any right under this Agreement, unless such Party shall have delivered to the other Party a written waiver signed by an authorised officer of such waiving Party.</w:t>
            </w:r>
          </w:p>
        </w:tc>
        <w:tc>
          <w:tcPr>
            <w:tcW w:w="169" w:type="pct"/>
          </w:tcPr>
          <w:p w14:paraId="48FA4912" w14:textId="77777777" w:rsidR="00862B0B" w:rsidRPr="00A67277" w:rsidRDefault="00862B0B" w:rsidP="00862B0B">
            <w:pPr>
              <w:spacing w:before="60" w:after="60"/>
              <w:rPr>
                <w:rFonts w:ascii="Arial" w:hAnsi="Arial" w:cs="Arial"/>
                <w:sz w:val="21"/>
                <w:szCs w:val="21"/>
              </w:rPr>
            </w:pPr>
          </w:p>
        </w:tc>
        <w:tc>
          <w:tcPr>
            <w:tcW w:w="2514" w:type="pct"/>
          </w:tcPr>
          <w:p w14:paraId="44D222FC" w14:textId="77777777" w:rsidR="00862B0B" w:rsidRPr="00A67277" w:rsidRDefault="00862B0B" w:rsidP="00862B0B">
            <w:pPr>
              <w:pStyle w:val="Level3"/>
              <w:numPr>
                <w:ilvl w:val="0"/>
                <w:numId w:val="170"/>
              </w:numPr>
              <w:tabs>
                <w:tab w:val="left" w:pos="1693"/>
              </w:tabs>
              <w:spacing w:before="60" w:after="60"/>
              <w:ind w:left="1720" w:hanging="567"/>
              <w:rPr>
                <w:rFonts w:cs="Arial"/>
              </w:rPr>
            </w:pPr>
            <w:r w:rsidRPr="00A67277">
              <w:rPr>
                <w:rFonts w:cs="Arial"/>
              </w:rPr>
              <w:t>Tidak satu pun dari Para Pihak akan dianggap telah mengesampingkan hak-haknya berdasarkan Perjanjian ini, kecuali jika Pihak tersebut telah menyerahkan kepada Pihak lainnya pengesampingan secara tertulis yang ditandatangani pejabat yang berwenang dari Pihak yang melakukan pengesampingan tersebut.</w:t>
            </w:r>
          </w:p>
        </w:tc>
      </w:tr>
      <w:tr w:rsidR="00862B0B" w:rsidRPr="00A67277" w14:paraId="3F66B2D2" w14:textId="77777777" w:rsidTr="00862B0B">
        <w:trPr>
          <w:gridAfter w:val="1"/>
          <w:wAfter w:w="47" w:type="pct"/>
        </w:trPr>
        <w:tc>
          <w:tcPr>
            <w:tcW w:w="2270" w:type="pct"/>
          </w:tcPr>
          <w:p w14:paraId="0C9B0358" w14:textId="77777777" w:rsidR="00862B0B" w:rsidRPr="00A67277" w:rsidRDefault="00862B0B" w:rsidP="00862B0B">
            <w:pPr>
              <w:pStyle w:val="Level3"/>
              <w:numPr>
                <w:ilvl w:val="2"/>
                <w:numId w:val="534"/>
              </w:numPr>
              <w:tabs>
                <w:tab w:val="clear" w:pos="1417"/>
                <w:tab w:val="num" w:pos="3116"/>
              </w:tabs>
              <w:spacing w:before="60" w:after="60"/>
              <w:ind w:left="1676" w:hanging="641"/>
            </w:pPr>
            <w:r w:rsidRPr="00A67277">
              <w:t>No delay or omission in the exercise of any right, power or remedy shall be construed to be a waiver of any default or acquiescence therein.</w:t>
            </w:r>
          </w:p>
        </w:tc>
        <w:tc>
          <w:tcPr>
            <w:tcW w:w="169" w:type="pct"/>
          </w:tcPr>
          <w:p w14:paraId="31DBFA25" w14:textId="77777777" w:rsidR="00862B0B" w:rsidRPr="00A67277" w:rsidRDefault="00862B0B" w:rsidP="00862B0B">
            <w:pPr>
              <w:spacing w:before="60" w:after="60"/>
              <w:rPr>
                <w:rFonts w:ascii="Arial" w:hAnsi="Arial" w:cs="Arial"/>
                <w:sz w:val="21"/>
                <w:szCs w:val="21"/>
              </w:rPr>
            </w:pPr>
          </w:p>
        </w:tc>
        <w:tc>
          <w:tcPr>
            <w:tcW w:w="2514" w:type="pct"/>
          </w:tcPr>
          <w:p w14:paraId="5F18399A" w14:textId="77777777" w:rsidR="00862B0B" w:rsidRPr="00A67277" w:rsidRDefault="00862B0B" w:rsidP="00862B0B">
            <w:pPr>
              <w:pStyle w:val="Level3"/>
              <w:numPr>
                <w:ilvl w:val="0"/>
                <w:numId w:val="170"/>
              </w:numPr>
              <w:tabs>
                <w:tab w:val="left" w:pos="1693"/>
              </w:tabs>
              <w:spacing w:before="60" w:after="60"/>
              <w:ind w:left="1720" w:hanging="567"/>
              <w:rPr>
                <w:rFonts w:cs="Arial"/>
              </w:rPr>
            </w:pPr>
            <w:r w:rsidRPr="00A67277">
              <w:rPr>
                <w:rFonts w:cs="Arial"/>
              </w:rPr>
              <w:t>Keterlambatan melakukan tindakan atau tidak dilakukannya sutau tindakan dalam melaksanakan setiap hak, kekuasaan atau upaya pemulihan tidak akan dianggap sebagai suatu pengesampingan dari pelanggaran atau persetujuan diam-diam terhadapnya.</w:t>
            </w:r>
          </w:p>
        </w:tc>
      </w:tr>
      <w:tr w:rsidR="00862B0B" w:rsidRPr="00A67277" w14:paraId="4EB21CE9" w14:textId="77777777" w:rsidTr="00862B0B">
        <w:trPr>
          <w:gridAfter w:val="1"/>
          <w:wAfter w:w="47" w:type="pct"/>
        </w:trPr>
        <w:tc>
          <w:tcPr>
            <w:tcW w:w="2270" w:type="pct"/>
          </w:tcPr>
          <w:p w14:paraId="61E6EF04" w14:textId="77777777" w:rsidR="00862B0B" w:rsidRPr="00A67277" w:rsidRDefault="00862B0B" w:rsidP="00862B0B">
            <w:pPr>
              <w:pStyle w:val="Heading2"/>
              <w:numPr>
                <w:ilvl w:val="0"/>
                <w:numId w:val="158"/>
              </w:numPr>
              <w:spacing w:before="60" w:after="60"/>
              <w:ind w:left="1080" w:hanging="540"/>
              <w:outlineLvl w:val="1"/>
              <w:rPr>
                <w:color w:val="auto"/>
              </w:rPr>
            </w:pPr>
            <w:r w:rsidRPr="00A67277">
              <w:rPr>
                <w:rFonts w:ascii="Arial" w:hAnsi="Arial" w:cs="Arial"/>
                <w:b/>
                <w:color w:val="auto"/>
                <w:sz w:val="21"/>
                <w:szCs w:val="21"/>
              </w:rPr>
              <w:t>Amendment</w:t>
            </w:r>
          </w:p>
        </w:tc>
        <w:tc>
          <w:tcPr>
            <w:tcW w:w="169" w:type="pct"/>
          </w:tcPr>
          <w:p w14:paraId="736C464A" w14:textId="77777777" w:rsidR="00862B0B" w:rsidRPr="00A67277" w:rsidRDefault="00862B0B" w:rsidP="00862B0B">
            <w:pPr>
              <w:spacing w:before="60" w:after="60"/>
              <w:rPr>
                <w:rFonts w:ascii="Arial" w:hAnsi="Arial" w:cs="Arial"/>
                <w:sz w:val="21"/>
                <w:szCs w:val="21"/>
              </w:rPr>
            </w:pPr>
          </w:p>
        </w:tc>
        <w:tc>
          <w:tcPr>
            <w:tcW w:w="2514" w:type="pct"/>
          </w:tcPr>
          <w:p w14:paraId="1BD17CEC" w14:textId="77777777" w:rsidR="00862B0B" w:rsidRPr="00A67277" w:rsidRDefault="00862B0B" w:rsidP="00862B0B">
            <w:pPr>
              <w:pStyle w:val="Heading2"/>
              <w:numPr>
                <w:ilvl w:val="0"/>
                <w:numId w:val="21"/>
              </w:numPr>
              <w:spacing w:before="60" w:after="60"/>
              <w:ind w:left="1152" w:hanging="540"/>
              <w:jc w:val="both"/>
              <w:outlineLvl w:val="1"/>
              <w:rPr>
                <w:rFonts w:ascii="Arial" w:hAnsi="Arial" w:cs="Arial"/>
                <w:b/>
                <w:color w:val="auto"/>
                <w:sz w:val="21"/>
                <w:szCs w:val="21"/>
              </w:rPr>
            </w:pPr>
            <w:r w:rsidRPr="00A67277">
              <w:rPr>
                <w:rFonts w:ascii="Arial" w:hAnsi="Arial" w:cs="Arial"/>
                <w:b/>
                <w:color w:val="auto"/>
                <w:sz w:val="21"/>
                <w:szCs w:val="21"/>
              </w:rPr>
              <w:t>Perubahan Perjanjian/Amandemen</w:t>
            </w:r>
          </w:p>
        </w:tc>
      </w:tr>
      <w:tr w:rsidR="00862B0B" w:rsidRPr="00A67277" w14:paraId="40BB844F" w14:textId="77777777" w:rsidTr="00862B0B">
        <w:trPr>
          <w:gridAfter w:val="1"/>
          <w:wAfter w:w="47" w:type="pct"/>
        </w:trPr>
        <w:tc>
          <w:tcPr>
            <w:tcW w:w="2270" w:type="pct"/>
          </w:tcPr>
          <w:p w14:paraId="220BF2CF" w14:textId="77777777" w:rsidR="00862B0B" w:rsidRPr="00A67277" w:rsidRDefault="00862B0B" w:rsidP="00862B0B">
            <w:pPr>
              <w:pStyle w:val="Body2"/>
              <w:spacing w:before="60" w:after="60"/>
              <w:ind w:left="1080"/>
            </w:pPr>
            <w:r w:rsidRPr="00A67277">
              <w:t xml:space="preserve">This Agreement may only be amended or modified by a written instrument signed by each of the Parties. </w:t>
            </w:r>
          </w:p>
        </w:tc>
        <w:tc>
          <w:tcPr>
            <w:tcW w:w="169" w:type="pct"/>
          </w:tcPr>
          <w:p w14:paraId="3F6EB2B6" w14:textId="77777777" w:rsidR="00862B0B" w:rsidRPr="00A67277" w:rsidRDefault="00862B0B" w:rsidP="00862B0B">
            <w:pPr>
              <w:spacing w:before="60" w:after="60"/>
              <w:rPr>
                <w:rFonts w:ascii="Arial" w:hAnsi="Arial" w:cs="Arial"/>
                <w:sz w:val="21"/>
                <w:szCs w:val="21"/>
              </w:rPr>
            </w:pPr>
          </w:p>
        </w:tc>
        <w:tc>
          <w:tcPr>
            <w:tcW w:w="2514" w:type="pct"/>
          </w:tcPr>
          <w:p w14:paraId="14CABCD9" w14:textId="77777777" w:rsidR="00862B0B" w:rsidRPr="00A67277" w:rsidRDefault="00862B0B" w:rsidP="00862B0B">
            <w:pPr>
              <w:pStyle w:val="Body2"/>
              <w:spacing w:before="60" w:after="60"/>
              <w:ind w:left="1152"/>
              <w:rPr>
                <w:rFonts w:cs="Arial"/>
              </w:rPr>
            </w:pPr>
            <w:r w:rsidRPr="00A67277">
              <w:rPr>
                <w:rFonts w:cs="Arial"/>
              </w:rPr>
              <w:t xml:space="preserve">Perjanjian ini hanya dapat diubah atau diamandemen atau dimodifikasi melalui instrumen tertulis yang ditandatangani oleh Para Pihak. </w:t>
            </w:r>
          </w:p>
        </w:tc>
      </w:tr>
      <w:tr w:rsidR="00862B0B" w:rsidRPr="00A67277" w14:paraId="0509FC12" w14:textId="77777777" w:rsidTr="00862B0B">
        <w:trPr>
          <w:gridAfter w:val="1"/>
          <w:wAfter w:w="47" w:type="pct"/>
        </w:trPr>
        <w:tc>
          <w:tcPr>
            <w:tcW w:w="2270" w:type="pct"/>
          </w:tcPr>
          <w:p w14:paraId="74CF9C5E" w14:textId="77777777" w:rsidR="00862B0B" w:rsidRPr="00A67277" w:rsidRDefault="00862B0B" w:rsidP="00862B0B">
            <w:pPr>
              <w:pStyle w:val="Heading2"/>
              <w:numPr>
                <w:ilvl w:val="0"/>
                <w:numId w:val="158"/>
              </w:numPr>
              <w:spacing w:before="60" w:after="60"/>
              <w:ind w:left="1260" w:hanging="720"/>
              <w:outlineLvl w:val="1"/>
              <w:rPr>
                <w:color w:val="auto"/>
              </w:rPr>
            </w:pPr>
            <w:r w:rsidRPr="00A67277">
              <w:rPr>
                <w:rFonts w:ascii="Arial" w:hAnsi="Arial" w:cs="Arial"/>
                <w:b/>
                <w:color w:val="auto"/>
                <w:sz w:val="21"/>
                <w:szCs w:val="21"/>
              </w:rPr>
              <w:t>Entire Agreement</w:t>
            </w:r>
          </w:p>
        </w:tc>
        <w:tc>
          <w:tcPr>
            <w:tcW w:w="169" w:type="pct"/>
          </w:tcPr>
          <w:p w14:paraId="5BAEC1E6" w14:textId="77777777" w:rsidR="00862B0B" w:rsidRPr="00A67277" w:rsidRDefault="00862B0B" w:rsidP="00862B0B">
            <w:pPr>
              <w:spacing w:before="60" w:after="60"/>
              <w:rPr>
                <w:rFonts w:ascii="Arial" w:hAnsi="Arial" w:cs="Arial"/>
                <w:sz w:val="21"/>
                <w:szCs w:val="21"/>
              </w:rPr>
            </w:pPr>
          </w:p>
        </w:tc>
        <w:tc>
          <w:tcPr>
            <w:tcW w:w="2514" w:type="pct"/>
          </w:tcPr>
          <w:p w14:paraId="5A518937" w14:textId="77777777" w:rsidR="00862B0B" w:rsidRPr="00A67277" w:rsidRDefault="00862B0B" w:rsidP="00862B0B">
            <w:pPr>
              <w:pStyle w:val="Heading2"/>
              <w:numPr>
                <w:ilvl w:val="0"/>
                <w:numId w:val="21"/>
              </w:numPr>
              <w:spacing w:before="60" w:after="60"/>
              <w:ind w:left="1332" w:hanging="720"/>
              <w:outlineLvl w:val="1"/>
              <w:rPr>
                <w:rFonts w:ascii="Arial" w:hAnsi="Arial" w:cs="Arial"/>
                <w:b/>
                <w:color w:val="auto"/>
                <w:sz w:val="21"/>
                <w:szCs w:val="21"/>
              </w:rPr>
            </w:pPr>
            <w:r w:rsidRPr="00A67277">
              <w:rPr>
                <w:rFonts w:ascii="Arial" w:hAnsi="Arial" w:cs="Arial"/>
                <w:b/>
                <w:color w:val="auto"/>
                <w:sz w:val="21"/>
                <w:szCs w:val="21"/>
              </w:rPr>
              <w:t>Keseluruhan Perjanjian</w:t>
            </w:r>
          </w:p>
        </w:tc>
      </w:tr>
      <w:tr w:rsidR="00862B0B" w:rsidRPr="00A67277" w14:paraId="347EA4C2" w14:textId="77777777" w:rsidTr="00862B0B">
        <w:trPr>
          <w:gridAfter w:val="1"/>
          <w:wAfter w:w="47" w:type="pct"/>
        </w:trPr>
        <w:tc>
          <w:tcPr>
            <w:tcW w:w="2270" w:type="pct"/>
          </w:tcPr>
          <w:p w14:paraId="6B17E008" w14:textId="77777777" w:rsidR="00862B0B" w:rsidRPr="00A67277" w:rsidRDefault="00862B0B" w:rsidP="00862B0B">
            <w:pPr>
              <w:pStyle w:val="Level3"/>
              <w:numPr>
                <w:ilvl w:val="2"/>
                <w:numId w:val="535"/>
              </w:numPr>
              <w:tabs>
                <w:tab w:val="clear" w:pos="1417"/>
                <w:tab w:val="num" w:pos="1800"/>
              </w:tabs>
              <w:spacing w:before="60" w:after="60"/>
              <w:ind w:left="1800" w:hanging="540"/>
            </w:pPr>
            <w:r w:rsidRPr="00A67277">
              <w:t>This Agreement constitutes the entire agreement between GCA and the IBE concerning the subject matter of this Agreement and supersede(s) any prior agreement, understanding, undertaking or arrangement between the Parties relating to the subject matter of the Agreement. All previous documents, undertakings and agreements, whether verbal, written or otherwise, between the Parties concerning the subject matter of this Agreement are hereby cancelled and shall not affect or modify any of the terms or obligations set out in this Agreement, except as the same may be made part of this Agreement in accordance with its terms, including the terms of any of the Appendices.</w:t>
            </w:r>
          </w:p>
        </w:tc>
        <w:tc>
          <w:tcPr>
            <w:tcW w:w="169" w:type="pct"/>
          </w:tcPr>
          <w:p w14:paraId="0DFA742B" w14:textId="77777777" w:rsidR="00862B0B" w:rsidRPr="00A67277" w:rsidRDefault="00862B0B" w:rsidP="00862B0B">
            <w:pPr>
              <w:spacing w:before="60" w:after="60"/>
              <w:rPr>
                <w:rFonts w:ascii="Arial" w:hAnsi="Arial" w:cs="Arial"/>
                <w:sz w:val="21"/>
                <w:szCs w:val="21"/>
              </w:rPr>
            </w:pPr>
          </w:p>
        </w:tc>
        <w:tc>
          <w:tcPr>
            <w:tcW w:w="2514" w:type="pct"/>
          </w:tcPr>
          <w:p w14:paraId="5C474067" w14:textId="77777777" w:rsidR="00862B0B" w:rsidRPr="00A67277" w:rsidRDefault="00862B0B" w:rsidP="00862B0B">
            <w:pPr>
              <w:pStyle w:val="Level3"/>
              <w:numPr>
                <w:ilvl w:val="0"/>
                <w:numId w:val="171"/>
              </w:numPr>
              <w:spacing w:before="60" w:after="60"/>
              <w:ind w:left="1872" w:hanging="540"/>
              <w:rPr>
                <w:rFonts w:cs="Arial"/>
              </w:rPr>
            </w:pPr>
            <w:r w:rsidRPr="00A67277">
              <w:rPr>
                <w:rFonts w:cs="Arial"/>
              </w:rPr>
              <w:t>Perjanjian ini membentuk keseluruhan perjanjian diantara PJPK dan BUP sehubungan dengan perihal yang diatur dalam Perjanjian ini Agreement dan menggantikan setiap perjanjian, kesepahaman, janji atau pengaturan sebelumnya diantara Para Pihak sehubungan dengan perihal yang diatur dalam Perjanjian ini. Setiap dokumen, kesepahaman dan perjanjian yang telah ada sebelumnya, baik verbal, tertulis atau bentuk lain, diantara Para Pihak sehubungan dengan perihal yang diatur dalam Perjanjian ini dengan ini dibatalkan dan tidak akan mempengaruhi atau merubah ketentuan dan kewajiban berdasarkan Perjanjian ini, kecuali jika hal tersebut merupakan bagian dari Perjanjian ini sesuai dengan ketentuannya, termasuk setiap Lampiran.</w:t>
            </w:r>
          </w:p>
        </w:tc>
      </w:tr>
      <w:tr w:rsidR="00862B0B" w:rsidRPr="00A67277" w14:paraId="5EB0AC00" w14:textId="77777777" w:rsidTr="00862B0B">
        <w:trPr>
          <w:gridAfter w:val="1"/>
          <w:wAfter w:w="47" w:type="pct"/>
        </w:trPr>
        <w:tc>
          <w:tcPr>
            <w:tcW w:w="2270" w:type="pct"/>
          </w:tcPr>
          <w:p w14:paraId="79836B2F" w14:textId="77777777" w:rsidR="00862B0B" w:rsidRPr="00A67277" w:rsidRDefault="00862B0B" w:rsidP="00862B0B">
            <w:pPr>
              <w:pStyle w:val="Level3"/>
              <w:numPr>
                <w:ilvl w:val="2"/>
                <w:numId w:val="535"/>
              </w:numPr>
              <w:tabs>
                <w:tab w:val="clear" w:pos="1417"/>
                <w:tab w:val="num" w:pos="1800"/>
              </w:tabs>
              <w:spacing w:before="60" w:after="60"/>
              <w:ind w:left="1800" w:hanging="540"/>
            </w:pPr>
            <w:r w:rsidRPr="00A67277">
              <w:t>The Appendices are hereby made an integral part of this Agreement and shall be fully binding upon the Parties.</w:t>
            </w:r>
          </w:p>
        </w:tc>
        <w:tc>
          <w:tcPr>
            <w:tcW w:w="169" w:type="pct"/>
          </w:tcPr>
          <w:p w14:paraId="41B3D991" w14:textId="77777777" w:rsidR="00862B0B" w:rsidRPr="00A67277" w:rsidRDefault="00862B0B" w:rsidP="00862B0B">
            <w:pPr>
              <w:spacing w:before="60" w:after="60"/>
              <w:rPr>
                <w:rFonts w:ascii="Arial" w:hAnsi="Arial" w:cs="Arial"/>
                <w:sz w:val="21"/>
                <w:szCs w:val="21"/>
              </w:rPr>
            </w:pPr>
          </w:p>
        </w:tc>
        <w:tc>
          <w:tcPr>
            <w:tcW w:w="2514" w:type="pct"/>
          </w:tcPr>
          <w:p w14:paraId="2BAE744E" w14:textId="77777777" w:rsidR="00862B0B" w:rsidRPr="00A67277" w:rsidRDefault="00862B0B" w:rsidP="00862B0B">
            <w:pPr>
              <w:pStyle w:val="Level3"/>
              <w:numPr>
                <w:ilvl w:val="0"/>
                <w:numId w:val="171"/>
              </w:numPr>
              <w:spacing w:before="60" w:after="60"/>
              <w:ind w:left="1872" w:hanging="540"/>
              <w:rPr>
                <w:rFonts w:cs="Arial"/>
              </w:rPr>
            </w:pPr>
            <w:r w:rsidRPr="00A67277">
              <w:rPr>
                <w:rFonts w:cs="Arial"/>
              </w:rPr>
              <w:t>Lampiran-lampiran merupakan bagian tidak terpisahkan dari Perjanjian dan mengikat sepenuhnya Para Pihak.</w:t>
            </w:r>
          </w:p>
        </w:tc>
      </w:tr>
      <w:tr w:rsidR="00862B0B" w:rsidRPr="00A67277" w14:paraId="588E36CF" w14:textId="77777777" w:rsidTr="00862B0B">
        <w:trPr>
          <w:gridAfter w:val="1"/>
          <w:wAfter w:w="47" w:type="pct"/>
        </w:trPr>
        <w:tc>
          <w:tcPr>
            <w:tcW w:w="2270" w:type="pct"/>
          </w:tcPr>
          <w:p w14:paraId="3AC369C5" w14:textId="77777777" w:rsidR="00862B0B" w:rsidRPr="00A67277" w:rsidRDefault="00862B0B" w:rsidP="00862B0B">
            <w:pPr>
              <w:pStyle w:val="Heading2"/>
              <w:numPr>
                <w:ilvl w:val="0"/>
                <w:numId w:val="158"/>
              </w:numPr>
              <w:spacing w:before="60" w:after="60"/>
              <w:ind w:left="1260" w:hanging="720"/>
              <w:outlineLvl w:val="1"/>
              <w:rPr>
                <w:color w:val="auto"/>
              </w:rPr>
            </w:pPr>
            <w:r w:rsidRPr="00A67277">
              <w:rPr>
                <w:rFonts w:ascii="Arial" w:hAnsi="Arial" w:cs="Arial"/>
                <w:b/>
                <w:color w:val="auto"/>
                <w:sz w:val="21"/>
                <w:szCs w:val="21"/>
              </w:rPr>
              <w:t>Survival</w:t>
            </w:r>
          </w:p>
        </w:tc>
        <w:tc>
          <w:tcPr>
            <w:tcW w:w="169" w:type="pct"/>
          </w:tcPr>
          <w:p w14:paraId="75BD8860" w14:textId="77777777" w:rsidR="00862B0B" w:rsidRPr="00A67277" w:rsidRDefault="00862B0B" w:rsidP="00862B0B">
            <w:pPr>
              <w:spacing w:before="60" w:after="60"/>
              <w:rPr>
                <w:rFonts w:ascii="Arial" w:hAnsi="Arial" w:cs="Arial"/>
                <w:sz w:val="21"/>
                <w:szCs w:val="21"/>
              </w:rPr>
            </w:pPr>
          </w:p>
        </w:tc>
        <w:tc>
          <w:tcPr>
            <w:tcW w:w="2514" w:type="pct"/>
          </w:tcPr>
          <w:p w14:paraId="0325B49A" w14:textId="77777777" w:rsidR="00862B0B" w:rsidRPr="00A67277" w:rsidRDefault="00862B0B" w:rsidP="00862B0B">
            <w:pPr>
              <w:pStyle w:val="Heading2"/>
              <w:numPr>
                <w:ilvl w:val="0"/>
                <w:numId w:val="21"/>
              </w:numPr>
              <w:spacing w:before="60" w:after="60"/>
              <w:ind w:left="1332" w:hanging="720"/>
              <w:outlineLvl w:val="1"/>
              <w:rPr>
                <w:rFonts w:ascii="Arial" w:hAnsi="Arial" w:cs="Arial"/>
                <w:b/>
                <w:color w:val="auto"/>
                <w:sz w:val="21"/>
                <w:szCs w:val="21"/>
              </w:rPr>
            </w:pPr>
            <w:r w:rsidRPr="00A67277">
              <w:rPr>
                <w:rFonts w:ascii="Arial" w:hAnsi="Arial" w:cs="Arial"/>
                <w:b/>
                <w:color w:val="auto"/>
                <w:sz w:val="21"/>
                <w:szCs w:val="21"/>
              </w:rPr>
              <w:t>Keberlanjutan Ketentuan</w:t>
            </w:r>
          </w:p>
        </w:tc>
      </w:tr>
      <w:tr w:rsidR="00862B0B" w:rsidRPr="00A67277" w14:paraId="2181602B" w14:textId="77777777" w:rsidTr="00862B0B">
        <w:trPr>
          <w:gridAfter w:val="1"/>
          <w:wAfter w:w="47" w:type="pct"/>
        </w:trPr>
        <w:tc>
          <w:tcPr>
            <w:tcW w:w="2270" w:type="pct"/>
          </w:tcPr>
          <w:p w14:paraId="4EF517B0" w14:textId="549FFAF6" w:rsidR="00862B0B" w:rsidRPr="00A67277" w:rsidRDefault="00862B0B" w:rsidP="00862B0B">
            <w:pPr>
              <w:pStyle w:val="Level3"/>
              <w:numPr>
                <w:ilvl w:val="2"/>
                <w:numId w:val="536"/>
              </w:numPr>
              <w:tabs>
                <w:tab w:val="clear" w:pos="1417"/>
              </w:tabs>
              <w:spacing w:before="60" w:after="60"/>
              <w:ind w:left="1800" w:hanging="540"/>
            </w:pPr>
            <w:r w:rsidRPr="00A67277">
              <w:t>The provisions of Clause 3.4 (</w:t>
            </w:r>
            <w:r w:rsidRPr="00A67277">
              <w:rPr>
                <w:i/>
              </w:rPr>
              <w:t>Termination for Failure to Satisfy Conditions Precedent</w:t>
            </w:r>
            <w:r w:rsidRPr="00A67277">
              <w:t>) (to the extent related to the Parties’ rights and obligations following termination), Clause 19 (</w:t>
            </w:r>
            <w:r w:rsidRPr="00A67277">
              <w:rPr>
                <w:i/>
              </w:rPr>
              <w:t>Indemnity and Liability</w:t>
            </w:r>
            <w:r w:rsidRPr="00A67277">
              <w:t>), Clause 25 (</w:t>
            </w:r>
            <w:r w:rsidRPr="00A67277">
              <w:rPr>
                <w:i/>
              </w:rPr>
              <w:t>Hand-over of the Project</w:t>
            </w:r>
            <w:r w:rsidRPr="00A67277">
              <w:t>), Clause 28 (</w:t>
            </w:r>
            <w:r w:rsidRPr="00A67277">
              <w:rPr>
                <w:i/>
              </w:rPr>
              <w:t>Settlement of Disputes</w:t>
            </w:r>
            <w:r w:rsidRPr="00A67277">
              <w:t>), Clause 32.3 (</w:t>
            </w:r>
            <w:r w:rsidRPr="00A67277">
              <w:rPr>
                <w:i/>
              </w:rPr>
              <w:t>Confidentiality</w:t>
            </w:r>
            <w:r w:rsidRPr="00A67277">
              <w:t>) and Clause 32.11 (</w:t>
            </w:r>
            <w:r w:rsidRPr="00A67277">
              <w:rPr>
                <w:i/>
              </w:rPr>
              <w:t>Governing Law</w:t>
            </w:r>
            <w:r w:rsidRPr="00A67277">
              <w:t>) shall survive termination or expiry of this Agreement for  one (1) Year as of the Termination Date or Expiry Date (as applicable).</w:t>
            </w:r>
          </w:p>
          <w:p w14:paraId="4EE6570E" w14:textId="77777777" w:rsidR="00862B0B" w:rsidRPr="00A67277" w:rsidRDefault="00862B0B" w:rsidP="00862B0B">
            <w:pPr>
              <w:spacing w:before="60" w:after="60"/>
              <w:rPr>
                <w:rFonts w:ascii="Arial" w:hAnsi="Arial" w:cs="Arial"/>
                <w:sz w:val="21"/>
                <w:szCs w:val="21"/>
              </w:rPr>
            </w:pPr>
          </w:p>
        </w:tc>
        <w:tc>
          <w:tcPr>
            <w:tcW w:w="169" w:type="pct"/>
          </w:tcPr>
          <w:p w14:paraId="75A68BD3" w14:textId="77777777" w:rsidR="00862B0B" w:rsidRPr="00A67277" w:rsidRDefault="00862B0B" w:rsidP="00862B0B">
            <w:pPr>
              <w:spacing w:before="60" w:after="60"/>
              <w:rPr>
                <w:rFonts w:ascii="Arial" w:hAnsi="Arial" w:cs="Arial"/>
                <w:sz w:val="21"/>
                <w:szCs w:val="21"/>
              </w:rPr>
            </w:pPr>
          </w:p>
        </w:tc>
        <w:tc>
          <w:tcPr>
            <w:tcW w:w="2514" w:type="pct"/>
          </w:tcPr>
          <w:p w14:paraId="114F1265" w14:textId="1EF20033" w:rsidR="00862B0B" w:rsidRPr="00A67277" w:rsidRDefault="00862B0B" w:rsidP="00862B0B">
            <w:pPr>
              <w:pStyle w:val="Level3"/>
              <w:numPr>
                <w:ilvl w:val="0"/>
                <w:numId w:val="172"/>
              </w:numPr>
              <w:tabs>
                <w:tab w:val="left" w:pos="1872"/>
              </w:tabs>
              <w:spacing w:before="60" w:after="60"/>
              <w:ind w:left="1872" w:hanging="540"/>
              <w:rPr>
                <w:rFonts w:cs="Arial"/>
              </w:rPr>
            </w:pPr>
            <w:r w:rsidRPr="00A67277">
              <w:rPr>
                <w:rFonts w:cs="Arial"/>
              </w:rPr>
              <w:t>Ketentuan Pasal 3.4 (</w:t>
            </w:r>
            <w:r w:rsidRPr="00A67277">
              <w:rPr>
                <w:rFonts w:cs="Arial"/>
                <w:i/>
              </w:rPr>
              <w:t>Pengakhiran karena Kegagalan Memenuhi Persyaratan Pendahuluan</w:t>
            </w:r>
            <w:r w:rsidRPr="00A67277">
              <w:rPr>
                <w:rFonts w:cs="Arial"/>
              </w:rPr>
              <w:t>) (sepanjang berkaitan dengan hak dan kewajiban Para Pihak setelah pengakhiran), Pasal 19 (</w:t>
            </w:r>
            <w:r w:rsidRPr="00A67277">
              <w:rPr>
                <w:rFonts w:cs="Arial"/>
                <w:i/>
              </w:rPr>
              <w:t>Ganti Rugi dan Tanggung Jawab</w:t>
            </w:r>
            <w:r w:rsidRPr="00A67277">
              <w:rPr>
                <w:rFonts w:cs="Arial"/>
              </w:rPr>
              <w:t>), Pasal 25 (</w:t>
            </w:r>
            <w:r w:rsidRPr="00A67277">
              <w:rPr>
                <w:rFonts w:cs="Arial"/>
                <w:i/>
              </w:rPr>
              <w:t>Penyerahan Kembali Proyek</w:t>
            </w:r>
            <w:r w:rsidRPr="00A67277">
              <w:rPr>
                <w:rFonts w:cs="Arial"/>
              </w:rPr>
              <w:t>), Pasal 28(</w:t>
            </w:r>
            <w:r w:rsidRPr="00A67277">
              <w:rPr>
                <w:rFonts w:cs="Arial"/>
                <w:i/>
              </w:rPr>
              <w:t>Penyelesaian Sengketa</w:t>
            </w:r>
            <w:r w:rsidRPr="00A67277">
              <w:rPr>
                <w:rFonts w:cs="Arial"/>
              </w:rPr>
              <w:t>), Pasal 32.3 (</w:t>
            </w:r>
            <w:r w:rsidRPr="00A67277">
              <w:rPr>
                <w:rFonts w:cs="Arial"/>
                <w:i/>
              </w:rPr>
              <w:t>Kerahasiaan</w:t>
            </w:r>
            <w:r w:rsidRPr="00A67277">
              <w:rPr>
                <w:rFonts w:cs="Arial"/>
              </w:rPr>
              <w:t>) dan Pasal 32.11 (</w:t>
            </w:r>
            <w:r w:rsidRPr="00A67277">
              <w:rPr>
                <w:rFonts w:cs="Arial"/>
                <w:i/>
              </w:rPr>
              <w:t>Hukum Yang Berlaku</w:t>
            </w:r>
            <w:r w:rsidRPr="00A67277">
              <w:rPr>
                <w:rFonts w:cs="Arial"/>
              </w:rPr>
              <w:t xml:space="preserve">) tetap berlaku setelah pengakhiran atau daluarsa dari Perjanjian ini untuk jangka waktu satu (1) Tahun sejak Tanggal Pengakhiran atau Tanggal Daluwarsa (sebagaimana berlaku). </w:t>
            </w:r>
          </w:p>
        </w:tc>
      </w:tr>
      <w:tr w:rsidR="00862B0B" w:rsidRPr="00A67277" w14:paraId="4D3BACA6" w14:textId="77777777" w:rsidTr="00862B0B">
        <w:trPr>
          <w:gridAfter w:val="1"/>
          <w:wAfter w:w="47" w:type="pct"/>
        </w:trPr>
        <w:tc>
          <w:tcPr>
            <w:tcW w:w="2270" w:type="pct"/>
          </w:tcPr>
          <w:p w14:paraId="7B53234A" w14:textId="77777777" w:rsidR="00862B0B" w:rsidRPr="00A67277" w:rsidRDefault="00862B0B" w:rsidP="00862B0B">
            <w:pPr>
              <w:pStyle w:val="Level3"/>
              <w:numPr>
                <w:ilvl w:val="2"/>
                <w:numId w:val="536"/>
              </w:numPr>
              <w:tabs>
                <w:tab w:val="clear" w:pos="1417"/>
                <w:tab w:val="num" w:pos="1800"/>
              </w:tabs>
              <w:spacing w:before="60" w:after="60"/>
              <w:ind w:left="1800" w:hanging="540"/>
            </w:pPr>
            <w:r w:rsidRPr="00A67277">
              <w:t>Any other Clause expressly or impliedly intended to survive the termination or expiry of this agreement shall do so.</w:t>
            </w:r>
          </w:p>
          <w:p w14:paraId="3F7DCDA3" w14:textId="77777777" w:rsidR="00862B0B" w:rsidRPr="00A67277" w:rsidRDefault="00862B0B" w:rsidP="00862B0B">
            <w:pPr>
              <w:spacing w:before="60" w:after="60"/>
            </w:pPr>
          </w:p>
          <w:p w14:paraId="5846B484" w14:textId="77777777" w:rsidR="00862B0B" w:rsidRPr="00A67277" w:rsidRDefault="00862B0B" w:rsidP="00862B0B">
            <w:pPr>
              <w:tabs>
                <w:tab w:val="left" w:pos="3650"/>
              </w:tabs>
              <w:spacing w:before="60" w:after="60"/>
            </w:pPr>
            <w:r w:rsidRPr="00A67277">
              <w:tab/>
            </w:r>
          </w:p>
        </w:tc>
        <w:tc>
          <w:tcPr>
            <w:tcW w:w="169" w:type="pct"/>
          </w:tcPr>
          <w:p w14:paraId="2B87FEAD" w14:textId="77777777" w:rsidR="00862B0B" w:rsidRPr="00A67277" w:rsidRDefault="00862B0B" w:rsidP="00862B0B">
            <w:pPr>
              <w:spacing w:before="60" w:after="60"/>
              <w:rPr>
                <w:rFonts w:ascii="Arial" w:hAnsi="Arial" w:cs="Arial"/>
                <w:sz w:val="21"/>
                <w:szCs w:val="21"/>
              </w:rPr>
            </w:pPr>
          </w:p>
        </w:tc>
        <w:tc>
          <w:tcPr>
            <w:tcW w:w="2514" w:type="pct"/>
          </w:tcPr>
          <w:p w14:paraId="1B41FAB5" w14:textId="77777777" w:rsidR="00862B0B" w:rsidRPr="00A67277" w:rsidRDefault="00862B0B" w:rsidP="00862B0B">
            <w:pPr>
              <w:pStyle w:val="Level3"/>
              <w:numPr>
                <w:ilvl w:val="0"/>
                <w:numId w:val="172"/>
              </w:numPr>
              <w:tabs>
                <w:tab w:val="left" w:pos="1872"/>
              </w:tabs>
              <w:spacing w:before="60" w:after="60"/>
              <w:ind w:left="1872" w:hanging="540"/>
              <w:rPr>
                <w:rFonts w:cs="Arial"/>
              </w:rPr>
            </w:pPr>
            <w:r w:rsidRPr="00A67277">
              <w:rPr>
                <w:rFonts w:cs="Arial"/>
              </w:rPr>
              <w:t>Setiap Pasal lainnya yang secara tegas atau implisit dimaksudkan untuk tetap berlaku setelah pengakhiran atau daluarsa dari Perjanjian ini akan tetap berlaku.</w:t>
            </w:r>
          </w:p>
        </w:tc>
      </w:tr>
      <w:tr w:rsidR="00862B0B" w:rsidRPr="00A67277" w14:paraId="0A943A66" w14:textId="77777777" w:rsidTr="00862B0B">
        <w:trPr>
          <w:gridAfter w:val="1"/>
          <w:wAfter w:w="47" w:type="pct"/>
        </w:trPr>
        <w:tc>
          <w:tcPr>
            <w:tcW w:w="2270" w:type="pct"/>
          </w:tcPr>
          <w:p w14:paraId="055B2D4E" w14:textId="77777777" w:rsidR="00862B0B" w:rsidRPr="00A67277" w:rsidRDefault="00862B0B" w:rsidP="00862B0B">
            <w:pPr>
              <w:pStyle w:val="Heading2"/>
              <w:numPr>
                <w:ilvl w:val="0"/>
                <w:numId w:val="158"/>
              </w:numPr>
              <w:spacing w:before="60" w:after="60"/>
              <w:ind w:left="1260" w:hanging="720"/>
              <w:outlineLvl w:val="1"/>
              <w:rPr>
                <w:color w:val="auto"/>
              </w:rPr>
            </w:pPr>
            <w:r w:rsidRPr="00A67277">
              <w:rPr>
                <w:rFonts w:ascii="Arial" w:hAnsi="Arial" w:cs="Arial"/>
                <w:b/>
                <w:color w:val="auto"/>
                <w:sz w:val="21"/>
                <w:szCs w:val="21"/>
              </w:rPr>
              <w:t>Governing Law</w:t>
            </w:r>
          </w:p>
        </w:tc>
        <w:tc>
          <w:tcPr>
            <w:tcW w:w="169" w:type="pct"/>
          </w:tcPr>
          <w:p w14:paraId="15E5CA60" w14:textId="77777777" w:rsidR="00862B0B" w:rsidRPr="00A67277" w:rsidRDefault="00862B0B" w:rsidP="00862B0B">
            <w:pPr>
              <w:spacing w:before="60" w:after="60"/>
              <w:rPr>
                <w:rFonts w:ascii="Arial" w:hAnsi="Arial" w:cs="Arial"/>
                <w:sz w:val="21"/>
                <w:szCs w:val="21"/>
              </w:rPr>
            </w:pPr>
          </w:p>
        </w:tc>
        <w:tc>
          <w:tcPr>
            <w:tcW w:w="2514" w:type="pct"/>
          </w:tcPr>
          <w:p w14:paraId="2B9191D4" w14:textId="77777777" w:rsidR="00862B0B" w:rsidRPr="00A67277" w:rsidRDefault="00862B0B" w:rsidP="00862B0B">
            <w:pPr>
              <w:pStyle w:val="Heading2"/>
              <w:numPr>
                <w:ilvl w:val="0"/>
                <w:numId w:val="21"/>
              </w:numPr>
              <w:spacing w:before="60" w:after="60"/>
              <w:ind w:left="1332" w:hanging="720"/>
              <w:outlineLvl w:val="1"/>
              <w:rPr>
                <w:rFonts w:ascii="Arial" w:hAnsi="Arial" w:cs="Arial"/>
                <w:b/>
                <w:color w:val="auto"/>
                <w:sz w:val="21"/>
                <w:szCs w:val="21"/>
              </w:rPr>
            </w:pPr>
            <w:r w:rsidRPr="00A67277">
              <w:rPr>
                <w:rFonts w:ascii="Arial" w:hAnsi="Arial" w:cs="Arial"/>
                <w:b/>
                <w:color w:val="auto"/>
                <w:sz w:val="21"/>
                <w:szCs w:val="21"/>
              </w:rPr>
              <w:t>Hukum Yang Berlaku</w:t>
            </w:r>
          </w:p>
        </w:tc>
      </w:tr>
      <w:tr w:rsidR="00862B0B" w:rsidRPr="00A67277" w14:paraId="56675484" w14:textId="77777777" w:rsidTr="00862B0B">
        <w:trPr>
          <w:gridAfter w:val="1"/>
          <w:wAfter w:w="47" w:type="pct"/>
        </w:trPr>
        <w:tc>
          <w:tcPr>
            <w:tcW w:w="2270" w:type="pct"/>
          </w:tcPr>
          <w:p w14:paraId="7391205C" w14:textId="77777777" w:rsidR="00862B0B" w:rsidRPr="00A67277" w:rsidRDefault="00862B0B" w:rsidP="00862B0B">
            <w:pPr>
              <w:pStyle w:val="Body2"/>
              <w:spacing w:before="60" w:after="60"/>
              <w:ind w:left="1260"/>
            </w:pPr>
            <w:r w:rsidRPr="00A67277">
              <w:t xml:space="preserve">This Agreement shall be governed by, and construed in accordance with, the laws of the Republic of Indonesia. </w:t>
            </w:r>
          </w:p>
        </w:tc>
        <w:tc>
          <w:tcPr>
            <w:tcW w:w="169" w:type="pct"/>
          </w:tcPr>
          <w:p w14:paraId="21936A4D" w14:textId="77777777" w:rsidR="00862B0B" w:rsidRPr="00A67277" w:rsidRDefault="00862B0B" w:rsidP="00862B0B">
            <w:pPr>
              <w:spacing w:before="60" w:after="60"/>
              <w:rPr>
                <w:rFonts w:ascii="Arial" w:hAnsi="Arial" w:cs="Arial"/>
                <w:sz w:val="21"/>
                <w:szCs w:val="21"/>
              </w:rPr>
            </w:pPr>
          </w:p>
        </w:tc>
        <w:tc>
          <w:tcPr>
            <w:tcW w:w="2514" w:type="pct"/>
          </w:tcPr>
          <w:p w14:paraId="2F61CFA2" w14:textId="3371B5CC" w:rsidR="00862B0B" w:rsidRPr="00A67277" w:rsidRDefault="00862B0B" w:rsidP="00862B0B">
            <w:pPr>
              <w:pStyle w:val="Body2"/>
              <w:spacing w:before="60" w:after="60"/>
              <w:ind w:left="1332"/>
              <w:rPr>
                <w:rFonts w:cs="Arial"/>
              </w:rPr>
            </w:pPr>
            <w:r w:rsidRPr="00A67277">
              <w:rPr>
                <w:rFonts w:cs="Arial"/>
              </w:rPr>
              <w:t xml:space="preserve">Perjanjian ini diatur </w:t>
            </w:r>
            <w:r>
              <w:rPr>
                <w:rFonts w:cs="Arial"/>
              </w:rPr>
              <w:t xml:space="preserve">oleh </w:t>
            </w:r>
            <w:r w:rsidRPr="00A67277">
              <w:rPr>
                <w:rFonts w:cs="Arial"/>
              </w:rPr>
              <w:t>dan ditafsirkan berdasarkan Hukum Republik Indonesia.</w:t>
            </w:r>
          </w:p>
        </w:tc>
      </w:tr>
    </w:tbl>
    <w:p w14:paraId="55221D8D" w14:textId="77777777" w:rsidR="008B065A" w:rsidRPr="00A67277" w:rsidRDefault="008B065A"/>
    <w:p w14:paraId="0936F79C" w14:textId="77777777" w:rsidR="00D2669D" w:rsidRPr="00A67277" w:rsidRDefault="00D2669D">
      <w:pPr>
        <w:rPr>
          <w:rFonts w:ascii="Arial" w:eastAsia="Arial Unicode MS" w:hAnsi="Arial" w:cs="Arial"/>
          <w:b/>
          <w:sz w:val="21"/>
          <w:szCs w:val="21"/>
          <w:lang w:val="en-GB" w:eastAsia="en-GB"/>
        </w:rPr>
      </w:pPr>
      <w:r w:rsidRPr="00A67277">
        <w:rPr>
          <w:rFonts w:cs="Arial"/>
          <w:b/>
        </w:rPr>
        <w:br w:type="page"/>
      </w:r>
    </w:p>
    <w:p w14:paraId="18D47CA6" w14:textId="23B24612" w:rsidR="00781B34" w:rsidRPr="00A67277" w:rsidRDefault="00781B34" w:rsidP="00781B34">
      <w:pPr>
        <w:pStyle w:val="Body1"/>
        <w:spacing w:before="60" w:after="60"/>
        <w:jc w:val="center"/>
        <w:rPr>
          <w:rFonts w:cs="Arial"/>
          <w:b/>
        </w:rPr>
      </w:pPr>
      <w:r w:rsidRPr="00A67277">
        <w:rPr>
          <w:rFonts w:cs="Arial"/>
          <w:b/>
        </w:rPr>
        <w:t>[NAME OF GCA] / [NAMA PJPK]</w:t>
      </w:r>
    </w:p>
    <w:p w14:paraId="2ABE984A" w14:textId="77777777" w:rsidR="00781B34" w:rsidRPr="00A67277" w:rsidRDefault="00781B34" w:rsidP="00781B34">
      <w:pPr>
        <w:pStyle w:val="Body1"/>
        <w:spacing w:before="60" w:after="60"/>
        <w:jc w:val="center"/>
        <w:rPr>
          <w:rFonts w:cs="Arial"/>
        </w:rPr>
      </w:pPr>
      <w:r w:rsidRPr="00A67277">
        <w:rPr>
          <w:rFonts w:cs="Arial"/>
        </w:rPr>
        <w:t>as GCA / sebagai PJPK</w:t>
      </w:r>
    </w:p>
    <w:p w14:paraId="6CE51A42" w14:textId="77777777" w:rsidR="00781B34" w:rsidRPr="00A67277" w:rsidRDefault="00781B34" w:rsidP="00781B34">
      <w:pPr>
        <w:rPr>
          <w:rFonts w:ascii="Arial" w:hAnsi="Arial" w:cs="Arial"/>
          <w:sz w:val="21"/>
          <w:szCs w:val="21"/>
        </w:rPr>
      </w:pPr>
    </w:p>
    <w:tbl>
      <w:tblPr>
        <w:tblW w:w="9360" w:type="dxa"/>
        <w:tblLayout w:type="fixed"/>
        <w:tblLook w:val="01E0" w:firstRow="1" w:lastRow="1" w:firstColumn="1" w:lastColumn="1" w:noHBand="0" w:noVBand="0"/>
      </w:tblPr>
      <w:tblGrid>
        <w:gridCol w:w="1706"/>
        <w:gridCol w:w="283"/>
        <w:gridCol w:w="7371"/>
      </w:tblGrid>
      <w:tr w:rsidR="00781B34" w:rsidRPr="00A67277" w14:paraId="75710868" w14:textId="77777777" w:rsidTr="00781B34">
        <w:tc>
          <w:tcPr>
            <w:tcW w:w="1706" w:type="dxa"/>
            <w:tcMar>
              <w:left w:w="108" w:type="dxa"/>
              <w:right w:w="108" w:type="dxa"/>
            </w:tcMar>
          </w:tcPr>
          <w:p w14:paraId="2C2D4BD7"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By / Oleh</w:t>
            </w:r>
          </w:p>
        </w:tc>
        <w:tc>
          <w:tcPr>
            <w:tcW w:w="283" w:type="dxa"/>
            <w:tcMar>
              <w:left w:w="108" w:type="dxa"/>
              <w:right w:w="108" w:type="dxa"/>
            </w:tcMar>
          </w:tcPr>
          <w:p w14:paraId="60C3464E"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Borders>
              <w:top w:val="nil"/>
              <w:left w:val="nil"/>
              <w:bottom w:val="single" w:sz="4" w:space="0" w:color="auto"/>
              <w:right w:val="nil"/>
            </w:tcBorders>
            <w:tcMar>
              <w:left w:w="108" w:type="dxa"/>
              <w:right w:w="108" w:type="dxa"/>
            </w:tcMar>
          </w:tcPr>
          <w:p w14:paraId="3E6CF7F3" w14:textId="77777777" w:rsidR="00781B34" w:rsidRPr="00A67277" w:rsidRDefault="00781B34" w:rsidP="00781B34">
            <w:pPr>
              <w:spacing w:before="60" w:after="60"/>
              <w:rPr>
                <w:rFonts w:ascii="Arial" w:hAnsi="Arial" w:cs="Arial"/>
                <w:sz w:val="21"/>
                <w:szCs w:val="21"/>
              </w:rPr>
            </w:pPr>
          </w:p>
        </w:tc>
      </w:tr>
      <w:tr w:rsidR="00781B34" w:rsidRPr="00A67277" w14:paraId="4D6ECDBA" w14:textId="77777777" w:rsidTr="00781B34">
        <w:tc>
          <w:tcPr>
            <w:tcW w:w="1706" w:type="dxa"/>
            <w:tcMar>
              <w:left w:w="108" w:type="dxa"/>
              <w:right w:w="108" w:type="dxa"/>
            </w:tcMar>
          </w:tcPr>
          <w:p w14:paraId="0C5C638A"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Name / Nama</w:t>
            </w:r>
          </w:p>
        </w:tc>
        <w:tc>
          <w:tcPr>
            <w:tcW w:w="283" w:type="dxa"/>
            <w:tcMar>
              <w:left w:w="108" w:type="dxa"/>
              <w:right w:w="108" w:type="dxa"/>
            </w:tcMar>
          </w:tcPr>
          <w:p w14:paraId="4F634C05"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Borders>
              <w:top w:val="single" w:sz="4" w:space="0" w:color="auto"/>
              <w:left w:val="nil"/>
              <w:bottom w:val="nil"/>
              <w:right w:val="nil"/>
            </w:tcBorders>
            <w:tcMar>
              <w:left w:w="108" w:type="dxa"/>
              <w:right w:w="108" w:type="dxa"/>
            </w:tcMar>
          </w:tcPr>
          <w:p w14:paraId="2F684012" w14:textId="77777777" w:rsidR="00781B34" w:rsidRPr="00A67277" w:rsidRDefault="00781B34" w:rsidP="00781B34">
            <w:pPr>
              <w:spacing w:before="60" w:after="60"/>
              <w:rPr>
                <w:rFonts w:ascii="Arial" w:hAnsi="Arial" w:cs="Arial"/>
                <w:sz w:val="21"/>
                <w:szCs w:val="21"/>
              </w:rPr>
            </w:pPr>
          </w:p>
        </w:tc>
      </w:tr>
      <w:tr w:rsidR="00781B34" w:rsidRPr="00A67277" w14:paraId="37F35588" w14:textId="77777777" w:rsidTr="00781B34">
        <w:tc>
          <w:tcPr>
            <w:tcW w:w="1706" w:type="dxa"/>
            <w:tcMar>
              <w:left w:w="108" w:type="dxa"/>
              <w:right w:w="108" w:type="dxa"/>
            </w:tcMar>
          </w:tcPr>
          <w:p w14:paraId="2ED73495"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Title / Jabatan</w:t>
            </w:r>
          </w:p>
        </w:tc>
        <w:tc>
          <w:tcPr>
            <w:tcW w:w="283" w:type="dxa"/>
            <w:tcMar>
              <w:left w:w="108" w:type="dxa"/>
              <w:right w:w="108" w:type="dxa"/>
            </w:tcMar>
          </w:tcPr>
          <w:p w14:paraId="11091412"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Mar>
              <w:left w:w="108" w:type="dxa"/>
              <w:right w:w="108" w:type="dxa"/>
            </w:tcMar>
          </w:tcPr>
          <w:p w14:paraId="2453A525" w14:textId="77777777" w:rsidR="00781B34" w:rsidRPr="00A67277" w:rsidRDefault="00781B34" w:rsidP="00781B34">
            <w:pPr>
              <w:spacing w:before="60" w:after="60"/>
              <w:rPr>
                <w:rFonts w:ascii="Arial" w:hAnsi="Arial" w:cs="Arial"/>
                <w:sz w:val="21"/>
                <w:szCs w:val="21"/>
              </w:rPr>
            </w:pPr>
          </w:p>
        </w:tc>
      </w:tr>
    </w:tbl>
    <w:p w14:paraId="0D251B20" w14:textId="77777777" w:rsidR="00781B34" w:rsidRPr="00A67277" w:rsidRDefault="00781B34" w:rsidP="00781B34">
      <w:pPr>
        <w:rPr>
          <w:rFonts w:ascii="Arial" w:hAnsi="Arial" w:cs="Arial"/>
          <w:sz w:val="21"/>
          <w:szCs w:val="21"/>
        </w:rPr>
      </w:pPr>
    </w:p>
    <w:tbl>
      <w:tblPr>
        <w:tblW w:w="9262" w:type="dxa"/>
        <w:tblLayout w:type="fixed"/>
        <w:tblLook w:val="01E0" w:firstRow="1" w:lastRow="1" w:firstColumn="1" w:lastColumn="1" w:noHBand="0" w:noVBand="0"/>
      </w:tblPr>
      <w:tblGrid>
        <w:gridCol w:w="1620"/>
        <w:gridCol w:w="270"/>
        <w:gridCol w:w="7372"/>
      </w:tblGrid>
      <w:tr w:rsidR="00781B34" w:rsidRPr="00A67277" w14:paraId="75F11898" w14:textId="77777777" w:rsidTr="00781B34">
        <w:trPr>
          <w:trHeight w:val="984"/>
        </w:trPr>
        <w:tc>
          <w:tcPr>
            <w:tcW w:w="1620" w:type="dxa"/>
            <w:tcMar>
              <w:left w:w="108" w:type="dxa"/>
              <w:right w:w="108" w:type="dxa"/>
            </w:tcMar>
          </w:tcPr>
          <w:p w14:paraId="638E507F"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Witnessed by / Disaksikan oleh</w:t>
            </w:r>
          </w:p>
        </w:tc>
        <w:tc>
          <w:tcPr>
            <w:tcW w:w="270" w:type="dxa"/>
            <w:tcMar>
              <w:left w:w="108" w:type="dxa"/>
              <w:right w:w="108" w:type="dxa"/>
            </w:tcMar>
          </w:tcPr>
          <w:p w14:paraId="65B308FA"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206C4DCB" w14:textId="77777777" w:rsidR="00781B34" w:rsidRPr="00A67277" w:rsidRDefault="00781B34" w:rsidP="00781B34">
            <w:pPr>
              <w:spacing w:before="60" w:after="60"/>
              <w:rPr>
                <w:rFonts w:ascii="Arial" w:hAnsi="Arial" w:cs="Arial"/>
                <w:sz w:val="21"/>
                <w:szCs w:val="21"/>
              </w:rPr>
            </w:pPr>
          </w:p>
        </w:tc>
      </w:tr>
      <w:tr w:rsidR="00781B34" w:rsidRPr="00A67277" w14:paraId="75F2A2F7" w14:textId="77777777" w:rsidTr="00781B34">
        <w:trPr>
          <w:trHeight w:val="410"/>
        </w:trPr>
        <w:tc>
          <w:tcPr>
            <w:tcW w:w="1620" w:type="dxa"/>
            <w:tcMar>
              <w:left w:w="108" w:type="dxa"/>
              <w:right w:w="108" w:type="dxa"/>
            </w:tcMar>
          </w:tcPr>
          <w:p w14:paraId="3D4973BC"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Name / Nama</w:t>
            </w:r>
          </w:p>
        </w:tc>
        <w:tc>
          <w:tcPr>
            <w:tcW w:w="270" w:type="dxa"/>
            <w:tcMar>
              <w:left w:w="108" w:type="dxa"/>
              <w:right w:w="108" w:type="dxa"/>
            </w:tcMar>
          </w:tcPr>
          <w:p w14:paraId="45E9B828"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324AAD99" w14:textId="77777777" w:rsidR="00781B34" w:rsidRPr="00A67277" w:rsidRDefault="00781B34" w:rsidP="00781B34">
            <w:pPr>
              <w:spacing w:before="60" w:after="60"/>
              <w:rPr>
                <w:rFonts w:ascii="Arial" w:hAnsi="Arial" w:cs="Arial"/>
                <w:sz w:val="21"/>
                <w:szCs w:val="21"/>
              </w:rPr>
            </w:pPr>
          </w:p>
        </w:tc>
      </w:tr>
      <w:tr w:rsidR="00781B34" w:rsidRPr="00A67277" w14:paraId="4ED43549" w14:textId="77777777" w:rsidTr="00781B34">
        <w:trPr>
          <w:trHeight w:val="410"/>
        </w:trPr>
        <w:tc>
          <w:tcPr>
            <w:tcW w:w="1620" w:type="dxa"/>
            <w:tcMar>
              <w:left w:w="108" w:type="dxa"/>
              <w:right w:w="108" w:type="dxa"/>
            </w:tcMar>
          </w:tcPr>
          <w:p w14:paraId="7862DC82"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Title / Jabatan</w:t>
            </w:r>
          </w:p>
        </w:tc>
        <w:tc>
          <w:tcPr>
            <w:tcW w:w="270" w:type="dxa"/>
            <w:tcMar>
              <w:left w:w="108" w:type="dxa"/>
              <w:right w:w="108" w:type="dxa"/>
            </w:tcMar>
          </w:tcPr>
          <w:p w14:paraId="03B24DF5"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6A6564AD" w14:textId="77777777" w:rsidR="00781B34" w:rsidRPr="00A67277" w:rsidRDefault="00781B34" w:rsidP="00781B34">
            <w:pPr>
              <w:spacing w:before="60" w:after="60"/>
              <w:rPr>
                <w:rFonts w:ascii="Arial" w:hAnsi="Arial" w:cs="Arial"/>
                <w:sz w:val="21"/>
                <w:szCs w:val="21"/>
              </w:rPr>
            </w:pPr>
          </w:p>
        </w:tc>
      </w:tr>
    </w:tbl>
    <w:p w14:paraId="3E0D15B3" w14:textId="77777777" w:rsidR="00781B34" w:rsidRPr="00A67277" w:rsidRDefault="00781B34" w:rsidP="00781B34">
      <w:pPr>
        <w:rPr>
          <w:rFonts w:ascii="Arial" w:hAnsi="Arial" w:cs="Arial"/>
          <w:sz w:val="21"/>
          <w:szCs w:val="21"/>
        </w:rPr>
      </w:pPr>
    </w:p>
    <w:p w14:paraId="17064840" w14:textId="77777777" w:rsidR="00781B34" w:rsidRPr="00A67277" w:rsidRDefault="00781B34" w:rsidP="00781B34">
      <w:pPr>
        <w:pStyle w:val="Body1"/>
        <w:spacing w:before="60" w:after="60"/>
        <w:jc w:val="center"/>
        <w:rPr>
          <w:rFonts w:cs="Arial"/>
          <w:b/>
        </w:rPr>
      </w:pPr>
      <w:r w:rsidRPr="00A67277">
        <w:rPr>
          <w:rFonts w:cs="Arial"/>
          <w:b/>
        </w:rPr>
        <w:t>[NAME OF IBE] / [NAMA BUP]</w:t>
      </w:r>
    </w:p>
    <w:p w14:paraId="670E7905" w14:textId="77777777" w:rsidR="00781B34" w:rsidRPr="00A67277" w:rsidRDefault="00781B34" w:rsidP="00781B34">
      <w:pPr>
        <w:pStyle w:val="Body1"/>
        <w:spacing w:before="60" w:after="60"/>
        <w:jc w:val="center"/>
        <w:rPr>
          <w:rFonts w:cs="Arial"/>
        </w:rPr>
      </w:pPr>
      <w:r w:rsidRPr="00A67277">
        <w:rPr>
          <w:rFonts w:cs="Arial"/>
        </w:rPr>
        <w:t>as IBE / sebagai BUP</w:t>
      </w:r>
    </w:p>
    <w:p w14:paraId="31459061" w14:textId="77777777" w:rsidR="00781B34" w:rsidRPr="00A67277" w:rsidRDefault="00781B34" w:rsidP="00781B34">
      <w:pPr>
        <w:rPr>
          <w:rFonts w:ascii="Arial" w:hAnsi="Arial" w:cs="Arial"/>
          <w:sz w:val="21"/>
          <w:szCs w:val="21"/>
        </w:rPr>
      </w:pPr>
    </w:p>
    <w:tbl>
      <w:tblPr>
        <w:tblW w:w="9360" w:type="dxa"/>
        <w:tblLayout w:type="fixed"/>
        <w:tblLook w:val="01E0" w:firstRow="1" w:lastRow="1" w:firstColumn="1" w:lastColumn="1" w:noHBand="0" w:noVBand="0"/>
      </w:tblPr>
      <w:tblGrid>
        <w:gridCol w:w="1706"/>
        <w:gridCol w:w="283"/>
        <w:gridCol w:w="7371"/>
      </w:tblGrid>
      <w:tr w:rsidR="00781B34" w:rsidRPr="00A67277" w14:paraId="57F6B76A" w14:textId="77777777" w:rsidTr="000A7FD9">
        <w:tc>
          <w:tcPr>
            <w:tcW w:w="1706" w:type="dxa"/>
            <w:tcMar>
              <w:left w:w="108" w:type="dxa"/>
              <w:right w:w="108" w:type="dxa"/>
            </w:tcMar>
          </w:tcPr>
          <w:p w14:paraId="54C0B1BA"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By / Oleh</w:t>
            </w:r>
          </w:p>
        </w:tc>
        <w:tc>
          <w:tcPr>
            <w:tcW w:w="283" w:type="dxa"/>
            <w:tcMar>
              <w:left w:w="108" w:type="dxa"/>
              <w:right w:w="108" w:type="dxa"/>
            </w:tcMar>
          </w:tcPr>
          <w:p w14:paraId="7F6F1A43"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Borders>
              <w:top w:val="nil"/>
              <w:left w:val="nil"/>
              <w:bottom w:val="single" w:sz="4" w:space="0" w:color="auto"/>
              <w:right w:val="nil"/>
            </w:tcBorders>
            <w:tcMar>
              <w:left w:w="108" w:type="dxa"/>
              <w:right w:w="108" w:type="dxa"/>
            </w:tcMar>
          </w:tcPr>
          <w:p w14:paraId="644F798B" w14:textId="77777777" w:rsidR="00781B34" w:rsidRPr="00A67277" w:rsidRDefault="00781B34" w:rsidP="00781B34">
            <w:pPr>
              <w:spacing w:before="60" w:after="60"/>
              <w:rPr>
                <w:rFonts w:ascii="Arial" w:hAnsi="Arial" w:cs="Arial"/>
                <w:sz w:val="21"/>
                <w:szCs w:val="21"/>
              </w:rPr>
            </w:pPr>
          </w:p>
        </w:tc>
      </w:tr>
      <w:tr w:rsidR="00781B34" w:rsidRPr="00A67277" w14:paraId="4288B8CD" w14:textId="77777777" w:rsidTr="000A7FD9">
        <w:tc>
          <w:tcPr>
            <w:tcW w:w="1706" w:type="dxa"/>
            <w:tcMar>
              <w:left w:w="108" w:type="dxa"/>
              <w:right w:w="108" w:type="dxa"/>
            </w:tcMar>
          </w:tcPr>
          <w:p w14:paraId="2EE74942"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Name / Nama</w:t>
            </w:r>
          </w:p>
        </w:tc>
        <w:tc>
          <w:tcPr>
            <w:tcW w:w="283" w:type="dxa"/>
            <w:tcMar>
              <w:left w:w="108" w:type="dxa"/>
              <w:right w:w="108" w:type="dxa"/>
            </w:tcMar>
          </w:tcPr>
          <w:p w14:paraId="79F22417"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Borders>
              <w:top w:val="single" w:sz="4" w:space="0" w:color="auto"/>
              <w:left w:val="nil"/>
              <w:bottom w:val="nil"/>
              <w:right w:val="nil"/>
            </w:tcBorders>
            <w:tcMar>
              <w:left w:w="108" w:type="dxa"/>
              <w:right w:w="108" w:type="dxa"/>
            </w:tcMar>
          </w:tcPr>
          <w:p w14:paraId="595F929F" w14:textId="77777777" w:rsidR="00781B34" w:rsidRPr="00A67277" w:rsidRDefault="00781B34" w:rsidP="00781B34">
            <w:pPr>
              <w:spacing w:before="60" w:after="60"/>
              <w:rPr>
                <w:rFonts w:ascii="Arial" w:hAnsi="Arial" w:cs="Arial"/>
                <w:sz w:val="21"/>
                <w:szCs w:val="21"/>
              </w:rPr>
            </w:pPr>
          </w:p>
        </w:tc>
      </w:tr>
      <w:tr w:rsidR="00781B34" w:rsidRPr="00A67277" w14:paraId="0E1E9F55" w14:textId="77777777" w:rsidTr="000A7FD9">
        <w:tc>
          <w:tcPr>
            <w:tcW w:w="1706" w:type="dxa"/>
            <w:tcMar>
              <w:left w:w="108" w:type="dxa"/>
              <w:right w:w="108" w:type="dxa"/>
            </w:tcMar>
          </w:tcPr>
          <w:p w14:paraId="12265E8D"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Title / Jabatan</w:t>
            </w:r>
          </w:p>
        </w:tc>
        <w:tc>
          <w:tcPr>
            <w:tcW w:w="283" w:type="dxa"/>
            <w:tcMar>
              <w:left w:w="108" w:type="dxa"/>
              <w:right w:w="108" w:type="dxa"/>
            </w:tcMar>
          </w:tcPr>
          <w:p w14:paraId="65060509"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1" w:type="dxa"/>
            <w:tcMar>
              <w:left w:w="108" w:type="dxa"/>
              <w:right w:w="108" w:type="dxa"/>
            </w:tcMar>
          </w:tcPr>
          <w:p w14:paraId="32FC24DA" w14:textId="77777777" w:rsidR="00781B34" w:rsidRPr="00A67277" w:rsidRDefault="00781B34" w:rsidP="00781B34">
            <w:pPr>
              <w:spacing w:before="60" w:after="60"/>
              <w:rPr>
                <w:rFonts w:ascii="Arial" w:hAnsi="Arial" w:cs="Arial"/>
                <w:sz w:val="21"/>
                <w:szCs w:val="21"/>
              </w:rPr>
            </w:pPr>
          </w:p>
        </w:tc>
      </w:tr>
    </w:tbl>
    <w:p w14:paraId="47D33514" w14:textId="77777777" w:rsidR="00CD3F43" w:rsidRPr="00A67277" w:rsidRDefault="00CD3F43"/>
    <w:tbl>
      <w:tblPr>
        <w:tblW w:w="9262" w:type="dxa"/>
        <w:tblLayout w:type="fixed"/>
        <w:tblLook w:val="01E0" w:firstRow="1" w:lastRow="1" w:firstColumn="1" w:lastColumn="1" w:noHBand="0" w:noVBand="0"/>
      </w:tblPr>
      <w:tblGrid>
        <w:gridCol w:w="1620"/>
        <w:gridCol w:w="270"/>
        <w:gridCol w:w="7372"/>
      </w:tblGrid>
      <w:tr w:rsidR="00781B34" w:rsidRPr="00A67277" w14:paraId="79A35718" w14:textId="77777777" w:rsidTr="00CD3F43">
        <w:trPr>
          <w:trHeight w:val="984"/>
        </w:trPr>
        <w:tc>
          <w:tcPr>
            <w:tcW w:w="1620" w:type="dxa"/>
            <w:tcMar>
              <w:left w:w="108" w:type="dxa"/>
              <w:right w:w="108" w:type="dxa"/>
            </w:tcMar>
          </w:tcPr>
          <w:p w14:paraId="0CA818C2" w14:textId="77777777" w:rsidR="000A7FD9" w:rsidRPr="00A67277" w:rsidRDefault="000A7FD9" w:rsidP="00781B34">
            <w:pPr>
              <w:spacing w:before="60" w:after="60"/>
              <w:rPr>
                <w:rFonts w:ascii="Arial" w:hAnsi="Arial" w:cs="Arial"/>
                <w:sz w:val="21"/>
                <w:szCs w:val="21"/>
              </w:rPr>
            </w:pPr>
          </w:p>
          <w:p w14:paraId="27CA91CF"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Witnessed by / Disaksikan oleh</w:t>
            </w:r>
          </w:p>
        </w:tc>
        <w:tc>
          <w:tcPr>
            <w:tcW w:w="270" w:type="dxa"/>
            <w:tcMar>
              <w:left w:w="108" w:type="dxa"/>
              <w:right w:w="108" w:type="dxa"/>
            </w:tcMar>
          </w:tcPr>
          <w:p w14:paraId="2148890B"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76BE327A" w14:textId="77777777" w:rsidR="00781B34" w:rsidRPr="00A67277" w:rsidRDefault="00781B34" w:rsidP="00781B34">
            <w:pPr>
              <w:spacing w:before="60" w:after="60"/>
              <w:rPr>
                <w:rFonts w:ascii="Arial" w:hAnsi="Arial" w:cs="Arial"/>
                <w:sz w:val="21"/>
                <w:szCs w:val="21"/>
              </w:rPr>
            </w:pPr>
          </w:p>
        </w:tc>
      </w:tr>
      <w:tr w:rsidR="00781B34" w:rsidRPr="00A67277" w14:paraId="4D378923" w14:textId="77777777" w:rsidTr="00CD3F43">
        <w:trPr>
          <w:trHeight w:val="410"/>
        </w:trPr>
        <w:tc>
          <w:tcPr>
            <w:tcW w:w="1620" w:type="dxa"/>
            <w:tcMar>
              <w:left w:w="108" w:type="dxa"/>
              <w:right w:w="108" w:type="dxa"/>
            </w:tcMar>
          </w:tcPr>
          <w:p w14:paraId="0A513FC3"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Name / Nama</w:t>
            </w:r>
          </w:p>
        </w:tc>
        <w:tc>
          <w:tcPr>
            <w:tcW w:w="270" w:type="dxa"/>
            <w:tcMar>
              <w:left w:w="108" w:type="dxa"/>
              <w:right w:w="108" w:type="dxa"/>
            </w:tcMar>
          </w:tcPr>
          <w:p w14:paraId="6A07E20C"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4B77C7C4" w14:textId="77777777" w:rsidR="00781B34" w:rsidRPr="00A67277" w:rsidRDefault="00781B34" w:rsidP="00781B34">
            <w:pPr>
              <w:spacing w:before="60" w:after="60"/>
              <w:rPr>
                <w:rFonts w:ascii="Arial" w:hAnsi="Arial" w:cs="Arial"/>
                <w:sz w:val="21"/>
                <w:szCs w:val="21"/>
              </w:rPr>
            </w:pPr>
          </w:p>
        </w:tc>
      </w:tr>
      <w:tr w:rsidR="00781B34" w:rsidRPr="00A67277" w14:paraId="5260BDC5" w14:textId="77777777" w:rsidTr="00CD3F43">
        <w:trPr>
          <w:trHeight w:val="410"/>
        </w:trPr>
        <w:tc>
          <w:tcPr>
            <w:tcW w:w="1620" w:type="dxa"/>
            <w:tcMar>
              <w:left w:w="108" w:type="dxa"/>
              <w:right w:w="108" w:type="dxa"/>
            </w:tcMar>
          </w:tcPr>
          <w:p w14:paraId="6694E2DF"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Title / Jabatan</w:t>
            </w:r>
          </w:p>
        </w:tc>
        <w:tc>
          <w:tcPr>
            <w:tcW w:w="270" w:type="dxa"/>
            <w:tcMar>
              <w:left w:w="108" w:type="dxa"/>
              <w:right w:w="108" w:type="dxa"/>
            </w:tcMar>
          </w:tcPr>
          <w:p w14:paraId="78D07913" w14:textId="77777777" w:rsidR="00781B34" w:rsidRPr="00A67277" w:rsidRDefault="00781B34" w:rsidP="00781B34">
            <w:pPr>
              <w:spacing w:before="60" w:after="60"/>
              <w:rPr>
                <w:rFonts w:ascii="Arial" w:hAnsi="Arial" w:cs="Arial"/>
                <w:sz w:val="21"/>
                <w:szCs w:val="21"/>
              </w:rPr>
            </w:pPr>
            <w:r w:rsidRPr="00A67277">
              <w:rPr>
                <w:rFonts w:ascii="Arial" w:hAnsi="Arial" w:cs="Arial"/>
                <w:sz w:val="21"/>
                <w:szCs w:val="21"/>
              </w:rPr>
              <w:t>:</w:t>
            </w:r>
          </w:p>
        </w:tc>
        <w:tc>
          <w:tcPr>
            <w:tcW w:w="7372" w:type="dxa"/>
            <w:tcMar>
              <w:left w:w="108" w:type="dxa"/>
              <w:right w:w="108" w:type="dxa"/>
            </w:tcMar>
          </w:tcPr>
          <w:p w14:paraId="70C1B59A" w14:textId="77777777" w:rsidR="00781B34" w:rsidRPr="00A67277" w:rsidRDefault="00781B34" w:rsidP="00781B34">
            <w:pPr>
              <w:spacing w:before="60" w:after="60"/>
              <w:rPr>
                <w:rFonts w:ascii="Arial" w:hAnsi="Arial" w:cs="Arial"/>
                <w:sz w:val="21"/>
                <w:szCs w:val="21"/>
              </w:rPr>
            </w:pPr>
          </w:p>
        </w:tc>
      </w:tr>
    </w:tbl>
    <w:p w14:paraId="645D0CE6" w14:textId="4AD87F2D" w:rsidR="00781B34" w:rsidRPr="00A67277" w:rsidRDefault="00781B34"/>
    <w:p w14:paraId="6E93AFA5" w14:textId="32C64607" w:rsidR="00923319" w:rsidRPr="00A67277" w:rsidRDefault="00923319"/>
    <w:p w14:paraId="7B794265" w14:textId="75F5244F" w:rsidR="00923319" w:rsidRPr="00A67277" w:rsidRDefault="00923319"/>
    <w:p w14:paraId="587EE235" w14:textId="16B900AB" w:rsidR="00923319" w:rsidRPr="00A67277" w:rsidRDefault="00923319"/>
    <w:p w14:paraId="525B6BCC" w14:textId="18435C7C" w:rsidR="00923319" w:rsidRPr="00A67277" w:rsidRDefault="00923319"/>
    <w:p w14:paraId="6B3FBFAF" w14:textId="07A99716" w:rsidR="00923319" w:rsidRPr="00A67277" w:rsidRDefault="00923319"/>
    <w:p w14:paraId="5DD15EAB" w14:textId="77777777" w:rsidR="00923319" w:rsidRPr="00A67277" w:rsidRDefault="00923319" w:rsidP="00923319"/>
    <w:p w14:paraId="18A35C5F" w14:textId="77777777" w:rsidR="00923319" w:rsidRPr="00A67277" w:rsidRDefault="00923319" w:rsidP="00923319"/>
    <w:p w14:paraId="4E1B685A" w14:textId="77777777" w:rsidR="00923319" w:rsidRPr="00A67277" w:rsidRDefault="00923319" w:rsidP="00923319"/>
    <w:tbl>
      <w:tblPr>
        <w:tblpPr w:leftFromText="187" w:rightFromText="187" w:bottomFromText="160" w:horzAnchor="margin" w:tblpXSpec="center" w:tblpYSpec="bottom"/>
        <w:tblW w:w="5000" w:type="pct"/>
        <w:tblLook w:val="04A0" w:firstRow="1" w:lastRow="0" w:firstColumn="1" w:lastColumn="0" w:noHBand="0" w:noVBand="1"/>
      </w:tblPr>
      <w:tblGrid>
        <w:gridCol w:w="9245"/>
      </w:tblGrid>
      <w:tr w:rsidR="00923319" w:rsidRPr="00A67277" w14:paraId="025ECF7B" w14:textId="77777777" w:rsidTr="00923319">
        <w:tc>
          <w:tcPr>
            <w:tcW w:w="5000" w:type="pct"/>
          </w:tcPr>
          <w:p w14:paraId="0C7F153F" w14:textId="77777777" w:rsidR="00923319" w:rsidRPr="00A67277" w:rsidRDefault="00923319" w:rsidP="00923319">
            <w:pPr>
              <w:pStyle w:val="NoSpacing"/>
              <w:spacing w:line="256" w:lineRule="auto"/>
            </w:pPr>
          </w:p>
        </w:tc>
      </w:tr>
    </w:tbl>
    <w:tbl>
      <w:tblPr>
        <w:tblStyle w:val="TableGrid"/>
        <w:tblpPr w:leftFromText="180" w:rightFromText="180" w:vertAnchor="page" w:tblpX="315" w:tblpY="168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8"/>
        <w:gridCol w:w="270"/>
        <w:gridCol w:w="4500"/>
      </w:tblGrid>
      <w:tr w:rsidR="00D2669D" w:rsidRPr="00A67277" w14:paraId="763EF868" w14:textId="77777777" w:rsidTr="00981A7D">
        <w:tc>
          <w:tcPr>
            <w:tcW w:w="4518" w:type="dxa"/>
          </w:tcPr>
          <w:p w14:paraId="6C0A7214" w14:textId="77777777" w:rsidR="00D2669D" w:rsidRPr="00A67277" w:rsidRDefault="00D2669D" w:rsidP="00981A7D">
            <w:pPr>
              <w:spacing w:before="60" w:after="60"/>
              <w:jc w:val="center"/>
              <w:rPr>
                <w:rFonts w:ascii="Arial" w:hAnsi="Arial" w:cs="Arial"/>
                <w:b/>
                <w:sz w:val="21"/>
                <w:szCs w:val="21"/>
              </w:rPr>
            </w:pPr>
            <w:r w:rsidRPr="00A67277">
              <w:rPr>
                <w:rFonts w:ascii="Arial" w:hAnsi="Arial" w:cs="Arial"/>
                <w:b/>
                <w:sz w:val="21"/>
                <w:szCs w:val="21"/>
              </w:rPr>
              <w:t>APPENDIXES</w:t>
            </w:r>
          </w:p>
          <w:p w14:paraId="67C74FFD"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COOPERATION AGREEMENT</w:t>
            </w:r>
          </w:p>
        </w:tc>
        <w:tc>
          <w:tcPr>
            <w:tcW w:w="270" w:type="dxa"/>
          </w:tcPr>
          <w:p w14:paraId="64549E4F" w14:textId="77777777" w:rsidR="00D2669D" w:rsidRPr="00A67277" w:rsidRDefault="00D2669D" w:rsidP="00981A7D">
            <w:pPr>
              <w:spacing w:before="60" w:after="60"/>
              <w:rPr>
                <w:rFonts w:ascii="Arial" w:hAnsi="Arial" w:cs="Arial"/>
                <w:sz w:val="21"/>
                <w:szCs w:val="21"/>
              </w:rPr>
            </w:pPr>
          </w:p>
        </w:tc>
        <w:tc>
          <w:tcPr>
            <w:tcW w:w="4500" w:type="dxa"/>
          </w:tcPr>
          <w:p w14:paraId="1D4A3124"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LAMPIRAN</w:t>
            </w:r>
          </w:p>
          <w:p w14:paraId="424BEFE5"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PERJANJIAN KERJASAMA</w:t>
            </w:r>
          </w:p>
        </w:tc>
      </w:tr>
      <w:tr w:rsidR="00D2669D" w:rsidRPr="00A67277" w14:paraId="041E3C73" w14:textId="77777777" w:rsidTr="00981A7D">
        <w:tc>
          <w:tcPr>
            <w:tcW w:w="4518" w:type="dxa"/>
          </w:tcPr>
          <w:p w14:paraId="68CCB446"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BETWEEN</w:t>
            </w:r>
          </w:p>
        </w:tc>
        <w:tc>
          <w:tcPr>
            <w:tcW w:w="270" w:type="dxa"/>
          </w:tcPr>
          <w:p w14:paraId="102CE36F" w14:textId="77777777" w:rsidR="00D2669D" w:rsidRPr="00A67277" w:rsidRDefault="00D2669D" w:rsidP="00981A7D">
            <w:pPr>
              <w:spacing w:before="60" w:after="60"/>
              <w:rPr>
                <w:rFonts w:ascii="Arial" w:hAnsi="Arial" w:cs="Arial"/>
                <w:sz w:val="21"/>
                <w:szCs w:val="21"/>
              </w:rPr>
            </w:pPr>
          </w:p>
        </w:tc>
        <w:tc>
          <w:tcPr>
            <w:tcW w:w="4500" w:type="dxa"/>
          </w:tcPr>
          <w:p w14:paraId="251DD26C"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ANTARA</w:t>
            </w:r>
          </w:p>
        </w:tc>
      </w:tr>
      <w:tr w:rsidR="00D2669D" w:rsidRPr="00A67277" w14:paraId="12A4B4C7" w14:textId="77777777" w:rsidTr="00981A7D">
        <w:tc>
          <w:tcPr>
            <w:tcW w:w="4518" w:type="dxa"/>
          </w:tcPr>
          <w:p w14:paraId="1701B8A2"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INDONESIA TOLL ROAD REGULATORY AGENCY ON BEHALF OF MINSTER OF PUBLIC WORKS AND HOUSING</w:t>
            </w:r>
          </w:p>
        </w:tc>
        <w:tc>
          <w:tcPr>
            <w:tcW w:w="270" w:type="dxa"/>
          </w:tcPr>
          <w:p w14:paraId="3814E2D0" w14:textId="77777777" w:rsidR="00D2669D" w:rsidRPr="00A67277" w:rsidRDefault="00D2669D" w:rsidP="00981A7D">
            <w:pPr>
              <w:spacing w:before="60" w:after="60"/>
              <w:rPr>
                <w:rFonts w:ascii="Arial" w:hAnsi="Arial" w:cs="Arial"/>
                <w:sz w:val="21"/>
                <w:szCs w:val="21"/>
              </w:rPr>
            </w:pPr>
          </w:p>
        </w:tc>
        <w:tc>
          <w:tcPr>
            <w:tcW w:w="4500" w:type="dxa"/>
          </w:tcPr>
          <w:p w14:paraId="144E15BD" w14:textId="77777777" w:rsidR="00D2669D" w:rsidRPr="00A67277" w:rsidRDefault="00D2669D" w:rsidP="00981A7D">
            <w:pPr>
              <w:spacing w:before="60" w:after="60"/>
              <w:ind w:left="720" w:hanging="720"/>
              <w:jc w:val="center"/>
              <w:rPr>
                <w:rFonts w:ascii="Arial" w:hAnsi="Arial" w:cs="Arial"/>
                <w:b/>
                <w:i/>
                <w:sz w:val="21"/>
                <w:szCs w:val="21"/>
              </w:rPr>
            </w:pPr>
            <w:r w:rsidRPr="00A67277">
              <w:rPr>
                <w:rFonts w:ascii="Arial" w:hAnsi="Arial" w:cs="Arial"/>
                <w:b/>
                <w:i/>
                <w:sz w:val="21"/>
                <w:szCs w:val="21"/>
              </w:rPr>
              <w:t>BADAN PENGATUR JALAN TOL ATAS NAMA MENTERI PEKERJAAN UMUM DAN PERUMAHAN RAKYAT</w:t>
            </w:r>
          </w:p>
        </w:tc>
      </w:tr>
      <w:tr w:rsidR="00D2669D" w:rsidRPr="00A67277" w14:paraId="0C38F46F" w14:textId="77777777" w:rsidTr="00981A7D">
        <w:tc>
          <w:tcPr>
            <w:tcW w:w="4518" w:type="dxa"/>
          </w:tcPr>
          <w:p w14:paraId="53B7E3D9"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WITH</w:t>
            </w:r>
          </w:p>
        </w:tc>
        <w:tc>
          <w:tcPr>
            <w:tcW w:w="270" w:type="dxa"/>
          </w:tcPr>
          <w:p w14:paraId="50ACE674" w14:textId="77777777" w:rsidR="00D2669D" w:rsidRPr="00A67277" w:rsidRDefault="00D2669D" w:rsidP="00981A7D">
            <w:pPr>
              <w:spacing w:before="60" w:after="60"/>
              <w:rPr>
                <w:rFonts w:ascii="Arial" w:hAnsi="Arial" w:cs="Arial"/>
                <w:sz w:val="21"/>
                <w:szCs w:val="21"/>
              </w:rPr>
            </w:pPr>
          </w:p>
        </w:tc>
        <w:tc>
          <w:tcPr>
            <w:tcW w:w="4500" w:type="dxa"/>
          </w:tcPr>
          <w:p w14:paraId="1411DC31"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DENGAN</w:t>
            </w:r>
          </w:p>
        </w:tc>
      </w:tr>
      <w:tr w:rsidR="00D2669D" w:rsidRPr="00A67277" w14:paraId="3ED3D66E" w14:textId="77777777" w:rsidTr="00981A7D">
        <w:tc>
          <w:tcPr>
            <w:tcW w:w="4518" w:type="dxa"/>
          </w:tcPr>
          <w:p w14:paraId="0005F562"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[insert the name of Implementing Business Entity]</w:t>
            </w:r>
          </w:p>
        </w:tc>
        <w:tc>
          <w:tcPr>
            <w:tcW w:w="270" w:type="dxa"/>
          </w:tcPr>
          <w:p w14:paraId="7FA366C5" w14:textId="77777777" w:rsidR="00D2669D" w:rsidRPr="00A67277" w:rsidRDefault="00D2669D" w:rsidP="00981A7D">
            <w:pPr>
              <w:spacing w:before="60" w:after="60"/>
              <w:rPr>
                <w:rFonts w:ascii="Arial" w:hAnsi="Arial" w:cs="Arial"/>
                <w:sz w:val="21"/>
                <w:szCs w:val="21"/>
              </w:rPr>
            </w:pPr>
          </w:p>
        </w:tc>
        <w:tc>
          <w:tcPr>
            <w:tcW w:w="4500" w:type="dxa"/>
          </w:tcPr>
          <w:p w14:paraId="3AAAA049"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[masukan nama Badan Usaha Pelaksana]</w:t>
            </w:r>
          </w:p>
        </w:tc>
      </w:tr>
      <w:tr w:rsidR="00D2669D" w:rsidRPr="00A67277" w14:paraId="3F4FED24" w14:textId="77777777" w:rsidTr="00981A7D">
        <w:tc>
          <w:tcPr>
            <w:tcW w:w="4518" w:type="dxa"/>
          </w:tcPr>
          <w:p w14:paraId="5FD5FF7E"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NUMBER:</w:t>
            </w:r>
          </w:p>
        </w:tc>
        <w:tc>
          <w:tcPr>
            <w:tcW w:w="270" w:type="dxa"/>
          </w:tcPr>
          <w:p w14:paraId="2FB77431" w14:textId="77777777" w:rsidR="00D2669D" w:rsidRPr="00A67277" w:rsidRDefault="00D2669D" w:rsidP="00981A7D">
            <w:pPr>
              <w:spacing w:before="60" w:after="60"/>
              <w:rPr>
                <w:rFonts w:ascii="Arial" w:hAnsi="Arial" w:cs="Arial"/>
                <w:sz w:val="21"/>
                <w:szCs w:val="21"/>
              </w:rPr>
            </w:pPr>
          </w:p>
        </w:tc>
        <w:tc>
          <w:tcPr>
            <w:tcW w:w="4500" w:type="dxa"/>
          </w:tcPr>
          <w:p w14:paraId="2BF15976"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NOMOR:</w:t>
            </w:r>
          </w:p>
          <w:p w14:paraId="6501DFA7" w14:textId="77777777" w:rsidR="00D2669D" w:rsidRPr="00A67277" w:rsidRDefault="00D2669D" w:rsidP="00981A7D">
            <w:pPr>
              <w:spacing w:before="60" w:after="60"/>
              <w:jc w:val="center"/>
              <w:rPr>
                <w:rFonts w:ascii="Arial" w:hAnsi="Arial" w:cs="Arial"/>
                <w:b/>
                <w:i/>
                <w:sz w:val="21"/>
                <w:szCs w:val="21"/>
              </w:rPr>
            </w:pPr>
          </w:p>
          <w:p w14:paraId="13EDF711" w14:textId="77777777" w:rsidR="00D2669D" w:rsidRPr="00A67277" w:rsidRDefault="00D2669D" w:rsidP="00981A7D">
            <w:pPr>
              <w:spacing w:before="60" w:after="60"/>
              <w:jc w:val="center"/>
              <w:rPr>
                <w:rFonts w:ascii="Arial" w:hAnsi="Arial" w:cs="Arial"/>
                <w:b/>
                <w:i/>
                <w:sz w:val="21"/>
                <w:szCs w:val="21"/>
              </w:rPr>
            </w:pPr>
          </w:p>
          <w:p w14:paraId="2B2C0225" w14:textId="77777777" w:rsidR="00D2669D" w:rsidRPr="00A67277" w:rsidRDefault="00D2669D" w:rsidP="00981A7D">
            <w:pPr>
              <w:spacing w:before="60" w:after="60"/>
              <w:jc w:val="center"/>
              <w:rPr>
                <w:rFonts w:ascii="Arial" w:hAnsi="Arial" w:cs="Arial"/>
                <w:b/>
                <w:i/>
                <w:sz w:val="21"/>
                <w:szCs w:val="21"/>
              </w:rPr>
            </w:pPr>
          </w:p>
          <w:p w14:paraId="525B1D68" w14:textId="77777777" w:rsidR="00D2669D" w:rsidRPr="00A67277" w:rsidRDefault="00D2669D" w:rsidP="00981A7D">
            <w:pPr>
              <w:spacing w:before="60" w:after="60"/>
              <w:jc w:val="center"/>
              <w:rPr>
                <w:rFonts w:ascii="Arial" w:hAnsi="Arial" w:cs="Arial"/>
                <w:b/>
                <w:i/>
                <w:sz w:val="21"/>
                <w:szCs w:val="21"/>
              </w:rPr>
            </w:pPr>
          </w:p>
          <w:p w14:paraId="0C840211" w14:textId="77777777" w:rsidR="00D2669D" w:rsidRPr="00A67277" w:rsidRDefault="00D2669D" w:rsidP="00981A7D">
            <w:pPr>
              <w:spacing w:before="60" w:after="60"/>
              <w:jc w:val="center"/>
              <w:rPr>
                <w:rFonts w:ascii="Arial" w:hAnsi="Arial" w:cs="Arial"/>
                <w:b/>
                <w:i/>
                <w:sz w:val="21"/>
                <w:szCs w:val="21"/>
              </w:rPr>
            </w:pPr>
          </w:p>
        </w:tc>
      </w:tr>
      <w:tr w:rsidR="00D2669D" w:rsidRPr="00A67277" w14:paraId="5B84D26A" w14:textId="77777777" w:rsidTr="00981A7D">
        <w:tc>
          <w:tcPr>
            <w:tcW w:w="4518" w:type="dxa"/>
          </w:tcPr>
          <w:p w14:paraId="784942EF"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ON</w:t>
            </w:r>
          </w:p>
        </w:tc>
        <w:tc>
          <w:tcPr>
            <w:tcW w:w="270" w:type="dxa"/>
          </w:tcPr>
          <w:p w14:paraId="2D99C841" w14:textId="77777777" w:rsidR="00D2669D" w:rsidRPr="00A67277" w:rsidRDefault="00D2669D" w:rsidP="00981A7D">
            <w:pPr>
              <w:spacing w:before="60" w:after="60"/>
              <w:rPr>
                <w:rFonts w:ascii="Arial" w:hAnsi="Arial" w:cs="Arial"/>
                <w:sz w:val="21"/>
                <w:szCs w:val="21"/>
              </w:rPr>
            </w:pPr>
          </w:p>
        </w:tc>
        <w:tc>
          <w:tcPr>
            <w:tcW w:w="4500" w:type="dxa"/>
          </w:tcPr>
          <w:p w14:paraId="7FA441FF"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TENTANG</w:t>
            </w:r>
          </w:p>
        </w:tc>
      </w:tr>
      <w:tr w:rsidR="00D2669D" w:rsidRPr="00A67277" w14:paraId="5970C637" w14:textId="77777777" w:rsidTr="00981A7D">
        <w:tc>
          <w:tcPr>
            <w:tcW w:w="4518" w:type="dxa"/>
          </w:tcPr>
          <w:p w14:paraId="1189133D"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Indonesia National Multi-Lane Free Flow Electronic Toll Collection System Public Private Partnership Project</w:t>
            </w:r>
          </w:p>
        </w:tc>
        <w:tc>
          <w:tcPr>
            <w:tcW w:w="270" w:type="dxa"/>
          </w:tcPr>
          <w:p w14:paraId="52B3BFC2" w14:textId="77777777" w:rsidR="00D2669D" w:rsidRPr="00A67277" w:rsidRDefault="00D2669D" w:rsidP="00981A7D">
            <w:pPr>
              <w:spacing w:before="60" w:after="60"/>
              <w:rPr>
                <w:rFonts w:ascii="Arial" w:hAnsi="Arial" w:cs="Arial"/>
                <w:sz w:val="21"/>
                <w:szCs w:val="21"/>
              </w:rPr>
            </w:pPr>
          </w:p>
        </w:tc>
        <w:tc>
          <w:tcPr>
            <w:tcW w:w="4500" w:type="dxa"/>
          </w:tcPr>
          <w:p w14:paraId="54D062F2"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Proyek Kerjasama Pemerintah dengan Badan Usaha Sistem Transaksi Tol Elektronik Nasional Multi-Lane Free Flow</w:t>
            </w:r>
          </w:p>
        </w:tc>
      </w:tr>
      <w:tr w:rsidR="00D2669D" w:rsidRPr="00A67277" w14:paraId="6F2B587A" w14:textId="77777777" w:rsidTr="00981A7D">
        <w:tc>
          <w:tcPr>
            <w:tcW w:w="4518" w:type="dxa"/>
          </w:tcPr>
          <w:p w14:paraId="5670FFD3" w14:textId="77777777" w:rsidR="00D2669D" w:rsidRPr="00A67277" w:rsidRDefault="00D2669D" w:rsidP="00981A7D">
            <w:pPr>
              <w:spacing w:before="60" w:after="60"/>
              <w:jc w:val="center"/>
              <w:rPr>
                <w:rFonts w:ascii="Arial" w:hAnsi="Arial" w:cs="Arial"/>
                <w:sz w:val="21"/>
                <w:szCs w:val="21"/>
              </w:rPr>
            </w:pPr>
            <w:r w:rsidRPr="00A67277">
              <w:rPr>
                <w:rFonts w:ascii="Arial" w:hAnsi="Arial" w:cs="Arial"/>
                <w:b/>
                <w:i/>
                <w:sz w:val="21"/>
                <w:szCs w:val="21"/>
              </w:rPr>
              <w:t>Date [insert the date of signing]</w:t>
            </w:r>
          </w:p>
        </w:tc>
        <w:tc>
          <w:tcPr>
            <w:tcW w:w="270" w:type="dxa"/>
          </w:tcPr>
          <w:p w14:paraId="4813254F" w14:textId="77777777" w:rsidR="00D2669D" w:rsidRPr="00A67277" w:rsidRDefault="00D2669D" w:rsidP="00981A7D">
            <w:pPr>
              <w:spacing w:before="60" w:after="60"/>
              <w:rPr>
                <w:rFonts w:ascii="Arial" w:hAnsi="Arial" w:cs="Arial"/>
                <w:sz w:val="21"/>
                <w:szCs w:val="21"/>
              </w:rPr>
            </w:pPr>
          </w:p>
        </w:tc>
        <w:tc>
          <w:tcPr>
            <w:tcW w:w="4500" w:type="dxa"/>
          </w:tcPr>
          <w:p w14:paraId="218B1181" w14:textId="77777777" w:rsidR="00D2669D" w:rsidRPr="00A67277" w:rsidRDefault="00D2669D" w:rsidP="00981A7D">
            <w:pPr>
              <w:spacing w:before="60" w:after="60"/>
              <w:jc w:val="center"/>
              <w:rPr>
                <w:rFonts w:ascii="Arial" w:hAnsi="Arial" w:cs="Arial"/>
                <w:b/>
                <w:i/>
                <w:sz w:val="21"/>
                <w:szCs w:val="21"/>
              </w:rPr>
            </w:pPr>
            <w:r w:rsidRPr="00A67277">
              <w:rPr>
                <w:rFonts w:ascii="Arial" w:hAnsi="Arial" w:cs="Arial"/>
                <w:b/>
                <w:i/>
                <w:sz w:val="21"/>
                <w:szCs w:val="21"/>
              </w:rPr>
              <w:t>Tanggal [masukan tanggal penandatanganan]</w:t>
            </w:r>
          </w:p>
        </w:tc>
      </w:tr>
    </w:tbl>
    <w:p w14:paraId="62780322" w14:textId="59380D57" w:rsidR="00D2669D" w:rsidRPr="00A67277" w:rsidRDefault="00D2669D" w:rsidP="00923319"/>
    <w:p w14:paraId="5664B58B" w14:textId="77777777" w:rsidR="00D2669D" w:rsidRPr="00A67277" w:rsidRDefault="00D2669D">
      <w:r w:rsidRPr="00A67277">
        <w:br w:type="page"/>
      </w:r>
    </w:p>
    <w:p w14:paraId="0B0BA7FB" w14:textId="77777777" w:rsidR="00923319" w:rsidRPr="00A67277" w:rsidRDefault="00923319" w:rsidP="00923319"/>
    <w:p w14:paraId="311D20C9" w14:textId="77777777" w:rsidR="00923319" w:rsidRPr="00A67277" w:rsidRDefault="00923319" w:rsidP="00923319"/>
    <w:tbl>
      <w:tblPr>
        <w:tblStyle w:val="TableGrid"/>
        <w:tblW w:w="991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2"/>
        <w:gridCol w:w="567"/>
        <w:gridCol w:w="3765"/>
        <w:gridCol w:w="567"/>
        <w:gridCol w:w="827"/>
      </w:tblGrid>
      <w:tr w:rsidR="00923319" w:rsidRPr="00A67277" w14:paraId="48D35BB8" w14:textId="77777777" w:rsidTr="00923319">
        <w:tc>
          <w:tcPr>
            <w:tcW w:w="9918" w:type="dxa"/>
            <w:gridSpan w:val="5"/>
          </w:tcPr>
          <w:p w14:paraId="457F89B9" w14:textId="77777777" w:rsidR="00923319" w:rsidRPr="00A67277" w:rsidRDefault="00923319" w:rsidP="00923319">
            <w:pPr>
              <w:jc w:val="center"/>
              <w:rPr>
                <w:rFonts w:ascii="Arial" w:hAnsi="Arial" w:cs="Arial"/>
                <w:b/>
                <w:sz w:val="21"/>
                <w:szCs w:val="21"/>
              </w:rPr>
            </w:pPr>
            <w:r w:rsidRPr="00A67277">
              <w:rPr>
                <w:rFonts w:ascii="Arial" w:hAnsi="Arial" w:cs="Arial"/>
                <w:b/>
                <w:sz w:val="21"/>
                <w:szCs w:val="21"/>
              </w:rPr>
              <w:t xml:space="preserve">TABLE OF CONTENTS </w:t>
            </w:r>
          </w:p>
        </w:tc>
      </w:tr>
      <w:tr w:rsidR="00923319" w:rsidRPr="00A67277" w14:paraId="1433CEF1" w14:textId="77777777" w:rsidTr="00923319">
        <w:tc>
          <w:tcPr>
            <w:tcW w:w="9918" w:type="dxa"/>
            <w:gridSpan w:val="5"/>
          </w:tcPr>
          <w:p w14:paraId="6F726FB1" w14:textId="77777777" w:rsidR="00923319" w:rsidRPr="00A67277" w:rsidRDefault="00923319" w:rsidP="00923319">
            <w:pPr>
              <w:jc w:val="center"/>
              <w:rPr>
                <w:rFonts w:ascii="Arial" w:hAnsi="Arial" w:cs="Arial"/>
                <w:b/>
                <w:sz w:val="21"/>
                <w:szCs w:val="21"/>
              </w:rPr>
            </w:pPr>
            <w:r w:rsidRPr="00A67277">
              <w:rPr>
                <w:rFonts w:ascii="Arial" w:hAnsi="Arial" w:cs="Arial"/>
                <w:b/>
                <w:sz w:val="21"/>
                <w:szCs w:val="21"/>
              </w:rPr>
              <w:t>DAFTAR ISI</w:t>
            </w:r>
            <w:r w:rsidRPr="00A67277" w:rsidDel="00A55ADA">
              <w:rPr>
                <w:rFonts w:ascii="Arial" w:hAnsi="Arial" w:cs="Arial"/>
                <w:b/>
                <w:sz w:val="21"/>
                <w:szCs w:val="21"/>
              </w:rPr>
              <w:t xml:space="preserve"> </w:t>
            </w:r>
          </w:p>
        </w:tc>
      </w:tr>
      <w:tr w:rsidR="00923319" w:rsidRPr="00A67277" w14:paraId="099AFD52" w14:textId="77777777" w:rsidTr="00923319">
        <w:tc>
          <w:tcPr>
            <w:tcW w:w="9918" w:type="dxa"/>
            <w:gridSpan w:val="5"/>
          </w:tcPr>
          <w:p w14:paraId="2296ADEC" w14:textId="77777777" w:rsidR="00923319" w:rsidRPr="00A67277" w:rsidRDefault="00923319" w:rsidP="00923319">
            <w:pPr>
              <w:rPr>
                <w:rFonts w:ascii="Arial" w:hAnsi="Arial" w:cs="Arial"/>
                <w:b/>
                <w:sz w:val="21"/>
                <w:szCs w:val="21"/>
              </w:rPr>
            </w:pPr>
          </w:p>
        </w:tc>
      </w:tr>
      <w:tr w:rsidR="00A67277" w:rsidRPr="00A67277" w14:paraId="68B3E25C" w14:textId="77777777" w:rsidTr="00923319">
        <w:tc>
          <w:tcPr>
            <w:tcW w:w="9090" w:type="dxa"/>
            <w:gridSpan w:val="4"/>
          </w:tcPr>
          <w:p w14:paraId="19F4EA50" w14:textId="77777777" w:rsidR="00923319" w:rsidRPr="00A67277" w:rsidRDefault="00923319" w:rsidP="00923319">
            <w:pPr>
              <w:rPr>
                <w:rFonts w:ascii="Arial" w:hAnsi="Arial" w:cs="Arial"/>
                <w:sz w:val="21"/>
                <w:szCs w:val="21"/>
              </w:rPr>
            </w:pPr>
          </w:p>
        </w:tc>
        <w:tc>
          <w:tcPr>
            <w:tcW w:w="828" w:type="dxa"/>
          </w:tcPr>
          <w:p w14:paraId="63CDC964" w14:textId="77777777" w:rsidR="00923319" w:rsidRPr="00A67277" w:rsidRDefault="00923319" w:rsidP="00923319">
            <w:pPr>
              <w:rPr>
                <w:rFonts w:ascii="Arial" w:hAnsi="Arial" w:cs="Arial"/>
                <w:b/>
                <w:sz w:val="21"/>
                <w:szCs w:val="21"/>
              </w:rPr>
            </w:pPr>
            <w:r w:rsidRPr="00A67277">
              <w:rPr>
                <w:rFonts w:ascii="Arial" w:hAnsi="Arial" w:cs="Arial"/>
                <w:b/>
                <w:sz w:val="21"/>
                <w:szCs w:val="21"/>
              </w:rPr>
              <w:t>PAGE</w:t>
            </w:r>
          </w:p>
        </w:tc>
      </w:tr>
      <w:tr w:rsidR="00A67277" w:rsidRPr="00A67277" w14:paraId="50956E6C" w14:textId="77777777" w:rsidTr="00AA25DA">
        <w:tc>
          <w:tcPr>
            <w:tcW w:w="4350" w:type="dxa"/>
          </w:tcPr>
          <w:p w14:paraId="57FFC5E0" w14:textId="77777777" w:rsidR="00923319" w:rsidRPr="00A67277" w:rsidRDefault="00923319" w:rsidP="00923319">
            <w:pPr>
              <w:rPr>
                <w:rFonts w:ascii="Arial" w:hAnsi="Arial" w:cs="Arial"/>
                <w:b/>
                <w:sz w:val="21"/>
                <w:szCs w:val="21"/>
              </w:rPr>
            </w:pPr>
            <w:r w:rsidRPr="00A67277">
              <w:rPr>
                <w:rFonts w:ascii="Arial" w:hAnsi="Arial" w:cs="Arial"/>
                <w:b/>
                <w:sz w:val="21"/>
                <w:szCs w:val="21"/>
              </w:rPr>
              <w:t>APPENDIX 1 - REPRESENTATIVES</w:t>
            </w:r>
          </w:p>
        </w:tc>
        <w:tc>
          <w:tcPr>
            <w:tcW w:w="567" w:type="dxa"/>
          </w:tcPr>
          <w:p w14:paraId="0A571625" w14:textId="0EAB6EE7" w:rsidR="00923319" w:rsidRPr="00A67277" w:rsidRDefault="00AA25DA" w:rsidP="00923319">
            <w:pPr>
              <w:jc w:val="right"/>
              <w:rPr>
                <w:rFonts w:ascii="Arial" w:hAnsi="Arial" w:cs="Arial"/>
                <w:sz w:val="21"/>
                <w:szCs w:val="21"/>
              </w:rPr>
            </w:pPr>
            <w:r>
              <w:rPr>
                <w:rFonts w:ascii="Arial" w:hAnsi="Arial" w:cs="Arial"/>
                <w:sz w:val="21"/>
                <w:szCs w:val="21"/>
              </w:rPr>
              <w:t>232</w:t>
            </w:r>
          </w:p>
        </w:tc>
        <w:tc>
          <w:tcPr>
            <w:tcW w:w="3895" w:type="dxa"/>
          </w:tcPr>
          <w:p w14:paraId="49F92EE8" w14:textId="77777777" w:rsidR="00923319" w:rsidRPr="00A67277" w:rsidRDefault="00923319" w:rsidP="00923319">
            <w:pPr>
              <w:pStyle w:val="ListParagraph"/>
              <w:ind w:left="0"/>
              <w:rPr>
                <w:rFonts w:cs="Arial"/>
                <w:b/>
              </w:rPr>
            </w:pPr>
            <w:r w:rsidRPr="00A67277">
              <w:rPr>
                <w:rFonts w:cs="Arial"/>
                <w:b/>
              </w:rPr>
              <w:t>LAMPIRAN 1 - PERWAKILAN</w:t>
            </w:r>
          </w:p>
        </w:tc>
        <w:tc>
          <w:tcPr>
            <w:tcW w:w="278" w:type="dxa"/>
          </w:tcPr>
          <w:p w14:paraId="77894D39" w14:textId="77777777" w:rsidR="00923319" w:rsidRPr="00A67277" w:rsidRDefault="00923319" w:rsidP="00923319">
            <w:pPr>
              <w:rPr>
                <w:rFonts w:ascii="Arial" w:hAnsi="Arial" w:cs="Arial"/>
                <w:sz w:val="21"/>
                <w:szCs w:val="21"/>
              </w:rPr>
            </w:pPr>
          </w:p>
        </w:tc>
        <w:tc>
          <w:tcPr>
            <w:tcW w:w="828" w:type="dxa"/>
          </w:tcPr>
          <w:p w14:paraId="696486D4" w14:textId="77777777" w:rsidR="00923319" w:rsidRPr="00A67277" w:rsidRDefault="00923319" w:rsidP="00923319">
            <w:pPr>
              <w:jc w:val="right"/>
              <w:rPr>
                <w:rFonts w:ascii="Arial" w:hAnsi="Arial" w:cs="Arial"/>
                <w:sz w:val="21"/>
                <w:szCs w:val="21"/>
              </w:rPr>
            </w:pPr>
          </w:p>
        </w:tc>
      </w:tr>
      <w:tr w:rsidR="00A67277" w:rsidRPr="00A67277" w14:paraId="2EF39EB3" w14:textId="77777777" w:rsidTr="00AA25DA">
        <w:tc>
          <w:tcPr>
            <w:tcW w:w="4350" w:type="dxa"/>
          </w:tcPr>
          <w:p w14:paraId="0FBA054C" w14:textId="77777777" w:rsidR="00923319" w:rsidRPr="00A67277" w:rsidRDefault="00923319" w:rsidP="00923319">
            <w:pPr>
              <w:rPr>
                <w:rFonts w:ascii="Arial" w:hAnsi="Arial" w:cs="Arial"/>
                <w:sz w:val="21"/>
                <w:szCs w:val="21"/>
              </w:rPr>
            </w:pPr>
          </w:p>
        </w:tc>
        <w:tc>
          <w:tcPr>
            <w:tcW w:w="567" w:type="dxa"/>
          </w:tcPr>
          <w:p w14:paraId="6E69E2D6" w14:textId="77777777" w:rsidR="00923319" w:rsidRPr="00A67277" w:rsidRDefault="00923319" w:rsidP="00923319">
            <w:pPr>
              <w:jc w:val="right"/>
              <w:rPr>
                <w:rFonts w:ascii="Arial" w:hAnsi="Arial" w:cs="Arial"/>
                <w:sz w:val="21"/>
                <w:szCs w:val="21"/>
              </w:rPr>
            </w:pPr>
          </w:p>
        </w:tc>
        <w:tc>
          <w:tcPr>
            <w:tcW w:w="3895" w:type="dxa"/>
          </w:tcPr>
          <w:p w14:paraId="6F302EB7" w14:textId="77777777" w:rsidR="00923319" w:rsidRPr="00A67277" w:rsidRDefault="00923319" w:rsidP="00923319">
            <w:pPr>
              <w:rPr>
                <w:rFonts w:ascii="Arial" w:hAnsi="Arial" w:cs="Arial"/>
                <w:sz w:val="21"/>
                <w:szCs w:val="21"/>
              </w:rPr>
            </w:pPr>
          </w:p>
        </w:tc>
        <w:tc>
          <w:tcPr>
            <w:tcW w:w="278" w:type="dxa"/>
          </w:tcPr>
          <w:p w14:paraId="267D0FCE" w14:textId="77777777" w:rsidR="00923319" w:rsidRPr="00A67277" w:rsidRDefault="00923319" w:rsidP="00923319">
            <w:pPr>
              <w:rPr>
                <w:rFonts w:ascii="Arial" w:hAnsi="Arial" w:cs="Arial"/>
                <w:sz w:val="21"/>
                <w:szCs w:val="21"/>
              </w:rPr>
            </w:pPr>
          </w:p>
        </w:tc>
        <w:tc>
          <w:tcPr>
            <w:tcW w:w="828" w:type="dxa"/>
          </w:tcPr>
          <w:p w14:paraId="26D405EA" w14:textId="77777777" w:rsidR="00923319" w:rsidRPr="00A67277" w:rsidRDefault="00923319" w:rsidP="00923319">
            <w:pPr>
              <w:jc w:val="right"/>
              <w:rPr>
                <w:rFonts w:ascii="Arial" w:hAnsi="Arial" w:cs="Arial"/>
                <w:sz w:val="21"/>
                <w:szCs w:val="21"/>
              </w:rPr>
            </w:pPr>
          </w:p>
        </w:tc>
      </w:tr>
      <w:tr w:rsidR="00A67277" w:rsidRPr="00A67277" w14:paraId="35BC1E3F" w14:textId="77777777" w:rsidTr="00AA25DA">
        <w:tc>
          <w:tcPr>
            <w:tcW w:w="4350" w:type="dxa"/>
          </w:tcPr>
          <w:p w14:paraId="531C17D0" w14:textId="77777777" w:rsidR="00923319" w:rsidRPr="00A67277" w:rsidRDefault="00923319" w:rsidP="00923319">
            <w:pPr>
              <w:rPr>
                <w:rFonts w:ascii="Arial" w:hAnsi="Arial" w:cs="Arial"/>
                <w:b/>
                <w:sz w:val="21"/>
                <w:szCs w:val="21"/>
              </w:rPr>
            </w:pPr>
            <w:r w:rsidRPr="00A67277">
              <w:rPr>
                <w:rFonts w:ascii="Arial" w:hAnsi="Arial" w:cs="Arial"/>
                <w:b/>
                <w:sz w:val="21"/>
                <w:szCs w:val="21"/>
              </w:rPr>
              <w:t>APPENDIX 2 – CONDITION PRECEDENT</w:t>
            </w:r>
          </w:p>
        </w:tc>
        <w:tc>
          <w:tcPr>
            <w:tcW w:w="567" w:type="dxa"/>
          </w:tcPr>
          <w:p w14:paraId="77CA57C8" w14:textId="1B751F4C" w:rsidR="00923319" w:rsidRPr="00A67277" w:rsidRDefault="00AA25DA" w:rsidP="00923319">
            <w:pPr>
              <w:jc w:val="right"/>
              <w:rPr>
                <w:rFonts w:ascii="Arial" w:hAnsi="Arial" w:cs="Arial"/>
                <w:b/>
                <w:sz w:val="21"/>
                <w:szCs w:val="21"/>
              </w:rPr>
            </w:pPr>
            <w:r w:rsidRPr="00AA25DA">
              <w:rPr>
                <w:rFonts w:ascii="Arial" w:hAnsi="Arial" w:cs="Arial"/>
                <w:sz w:val="21"/>
                <w:szCs w:val="21"/>
              </w:rPr>
              <w:t>233</w:t>
            </w:r>
          </w:p>
        </w:tc>
        <w:tc>
          <w:tcPr>
            <w:tcW w:w="3895" w:type="dxa"/>
          </w:tcPr>
          <w:p w14:paraId="28968FF7" w14:textId="77777777" w:rsidR="00923319" w:rsidRPr="00A67277" w:rsidRDefault="00923319" w:rsidP="00923319">
            <w:pPr>
              <w:rPr>
                <w:rFonts w:ascii="Arial" w:hAnsi="Arial" w:cs="Arial"/>
                <w:b/>
                <w:sz w:val="21"/>
                <w:szCs w:val="21"/>
              </w:rPr>
            </w:pPr>
            <w:r w:rsidRPr="00A67277">
              <w:rPr>
                <w:rFonts w:ascii="Arial" w:hAnsi="Arial" w:cs="Arial"/>
                <w:b/>
                <w:sz w:val="21"/>
                <w:szCs w:val="21"/>
              </w:rPr>
              <w:t>LAMPIRAN 2 – PERSYARATAN PENDAHULUAN</w:t>
            </w:r>
          </w:p>
        </w:tc>
        <w:tc>
          <w:tcPr>
            <w:tcW w:w="278" w:type="dxa"/>
          </w:tcPr>
          <w:p w14:paraId="331DB765" w14:textId="77777777" w:rsidR="00923319" w:rsidRPr="00A67277" w:rsidRDefault="00923319" w:rsidP="00923319">
            <w:pPr>
              <w:rPr>
                <w:rFonts w:ascii="Arial" w:hAnsi="Arial" w:cs="Arial"/>
                <w:sz w:val="21"/>
                <w:szCs w:val="21"/>
              </w:rPr>
            </w:pPr>
          </w:p>
        </w:tc>
        <w:tc>
          <w:tcPr>
            <w:tcW w:w="828" w:type="dxa"/>
          </w:tcPr>
          <w:p w14:paraId="16116E2B" w14:textId="77777777" w:rsidR="00923319" w:rsidRPr="00A67277" w:rsidRDefault="00923319" w:rsidP="00923319">
            <w:pPr>
              <w:jc w:val="right"/>
              <w:rPr>
                <w:rFonts w:ascii="Arial" w:hAnsi="Arial" w:cs="Arial"/>
                <w:sz w:val="21"/>
                <w:szCs w:val="21"/>
              </w:rPr>
            </w:pPr>
          </w:p>
        </w:tc>
      </w:tr>
      <w:tr w:rsidR="00A67277" w:rsidRPr="00A67277" w14:paraId="729A842C" w14:textId="77777777" w:rsidTr="00AA25DA">
        <w:tc>
          <w:tcPr>
            <w:tcW w:w="4350" w:type="dxa"/>
          </w:tcPr>
          <w:p w14:paraId="0CE11A53" w14:textId="77777777" w:rsidR="00923319" w:rsidRPr="00A67277" w:rsidRDefault="00923319" w:rsidP="00923319">
            <w:pPr>
              <w:rPr>
                <w:rFonts w:ascii="Arial" w:hAnsi="Arial" w:cs="Arial"/>
                <w:sz w:val="21"/>
                <w:szCs w:val="21"/>
              </w:rPr>
            </w:pPr>
          </w:p>
        </w:tc>
        <w:tc>
          <w:tcPr>
            <w:tcW w:w="567" w:type="dxa"/>
          </w:tcPr>
          <w:p w14:paraId="32BBA7E9" w14:textId="77777777" w:rsidR="00923319" w:rsidRPr="00A67277" w:rsidRDefault="00923319" w:rsidP="00923319">
            <w:pPr>
              <w:jc w:val="right"/>
              <w:rPr>
                <w:rFonts w:ascii="Arial" w:hAnsi="Arial" w:cs="Arial"/>
                <w:sz w:val="21"/>
                <w:szCs w:val="21"/>
              </w:rPr>
            </w:pPr>
          </w:p>
        </w:tc>
        <w:tc>
          <w:tcPr>
            <w:tcW w:w="3895" w:type="dxa"/>
          </w:tcPr>
          <w:p w14:paraId="6425739A" w14:textId="77777777" w:rsidR="00923319" w:rsidRPr="00A67277" w:rsidRDefault="00923319" w:rsidP="00923319">
            <w:pPr>
              <w:rPr>
                <w:rFonts w:ascii="Arial" w:hAnsi="Arial" w:cs="Arial"/>
                <w:sz w:val="21"/>
                <w:szCs w:val="21"/>
              </w:rPr>
            </w:pPr>
          </w:p>
        </w:tc>
        <w:tc>
          <w:tcPr>
            <w:tcW w:w="278" w:type="dxa"/>
          </w:tcPr>
          <w:p w14:paraId="0BD0D29C" w14:textId="77777777" w:rsidR="00923319" w:rsidRPr="00A67277" w:rsidRDefault="00923319" w:rsidP="00923319">
            <w:pPr>
              <w:rPr>
                <w:rFonts w:ascii="Arial" w:hAnsi="Arial" w:cs="Arial"/>
                <w:sz w:val="21"/>
                <w:szCs w:val="21"/>
              </w:rPr>
            </w:pPr>
          </w:p>
        </w:tc>
        <w:tc>
          <w:tcPr>
            <w:tcW w:w="828" w:type="dxa"/>
          </w:tcPr>
          <w:p w14:paraId="652C6138" w14:textId="77777777" w:rsidR="00923319" w:rsidRPr="00A67277" w:rsidRDefault="00923319" w:rsidP="00923319">
            <w:pPr>
              <w:jc w:val="right"/>
              <w:rPr>
                <w:rFonts w:ascii="Arial" w:hAnsi="Arial" w:cs="Arial"/>
                <w:sz w:val="21"/>
                <w:szCs w:val="21"/>
              </w:rPr>
            </w:pPr>
          </w:p>
        </w:tc>
      </w:tr>
      <w:tr w:rsidR="00A67277" w:rsidRPr="00A67277" w14:paraId="1366011C" w14:textId="77777777" w:rsidTr="00AA25DA">
        <w:tc>
          <w:tcPr>
            <w:tcW w:w="4350" w:type="dxa"/>
          </w:tcPr>
          <w:p w14:paraId="2CCD7C3A" w14:textId="77777777" w:rsidR="00923319" w:rsidRPr="00A67277" w:rsidRDefault="00923319" w:rsidP="00923319">
            <w:pPr>
              <w:rPr>
                <w:rFonts w:ascii="Arial" w:hAnsi="Arial" w:cs="Arial"/>
                <w:b/>
                <w:sz w:val="21"/>
                <w:szCs w:val="21"/>
              </w:rPr>
            </w:pPr>
            <w:r w:rsidRPr="00A67277">
              <w:rPr>
                <w:rFonts w:ascii="Arial" w:hAnsi="Arial" w:cs="Arial"/>
                <w:b/>
                <w:sz w:val="21"/>
                <w:szCs w:val="21"/>
              </w:rPr>
              <w:t>APPENDIX 3 – SHAREHOLDERS</w:t>
            </w:r>
          </w:p>
        </w:tc>
        <w:tc>
          <w:tcPr>
            <w:tcW w:w="567" w:type="dxa"/>
          </w:tcPr>
          <w:p w14:paraId="62239ACE" w14:textId="102581F2" w:rsidR="00923319" w:rsidRPr="00AA25DA" w:rsidRDefault="00AA25DA" w:rsidP="00923319">
            <w:pPr>
              <w:jc w:val="right"/>
              <w:rPr>
                <w:rFonts w:ascii="Arial" w:hAnsi="Arial" w:cs="Arial"/>
                <w:bCs/>
                <w:sz w:val="21"/>
                <w:szCs w:val="21"/>
              </w:rPr>
            </w:pPr>
            <w:r w:rsidRPr="00AA25DA">
              <w:rPr>
                <w:rFonts w:ascii="Arial" w:hAnsi="Arial" w:cs="Arial"/>
                <w:bCs/>
                <w:sz w:val="21"/>
                <w:szCs w:val="21"/>
              </w:rPr>
              <w:t>236</w:t>
            </w:r>
          </w:p>
        </w:tc>
        <w:tc>
          <w:tcPr>
            <w:tcW w:w="3895" w:type="dxa"/>
          </w:tcPr>
          <w:p w14:paraId="0AF6B398" w14:textId="400F7D66" w:rsidR="00923319" w:rsidRPr="00A67277" w:rsidRDefault="00923319" w:rsidP="00135B1F">
            <w:pPr>
              <w:rPr>
                <w:rFonts w:ascii="Arial" w:hAnsi="Arial" w:cs="Arial"/>
                <w:b/>
                <w:sz w:val="21"/>
                <w:szCs w:val="21"/>
              </w:rPr>
            </w:pPr>
            <w:r w:rsidRPr="00A67277">
              <w:rPr>
                <w:rFonts w:ascii="Arial" w:hAnsi="Arial" w:cs="Arial"/>
                <w:b/>
                <w:sz w:val="21"/>
                <w:szCs w:val="21"/>
              </w:rPr>
              <w:t>LAMPIRAN 3 –PEMEGANG SAHAM</w:t>
            </w:r>
          </w:p>
        </w:tc>
        <w:tc>
          <w:tcPr>
            <w:tcW w:w="278" w:type="dxa"/>
          </w:tcPr>
          <w:p w14:paraId="35549121" w14:textId="77777777" w:rsidR="00923319" w:rsidRPr="00A67277" w:rsidRDefault="00923319" w:rsidP="00923319">
            <w:pPr>
              <w:rPr>
                <w:rFonts w:ascii="Arial" w:hAnsi="Arial" w:cs="Arial"/>
                <w:sz w:val="21"/>
                <w:szCs w:val="21"/>
              </w:rPr>
            </w:pPr>
          </w:p>
        </w:tc>
        <w:tc>
          <w:tcPr>
            <w:tcW w:w="828" w:type="dxa"/>
          </w:tcPr>
          <w:p w14:paraId="085080B3" w14:textId="77777777" w:rsidR="00923319" w:rsidRPr="00A67277" w:rsidRDefault="00923319" w:rsidP="00923319">
            <w:pPr>
              <w:jc w:val="right"/>
              <w:rPr>
                <w:rFonts w:ascii="Arial" w:hAnsi="Arial" w:cs="Arial"/>
                <w:sz w:val="21"/>
                <w:szCs w:val="21"/>
              </w:rPr>
            </w:pPr>
          </w:p>
        </w:tc>
      </w:tr>
      <w:tr w:rsidR="00A67277" w:rsidRPr="00A67277" w14:paraId="05416FBA" w14:textId="77777777" w:rsidTr="00AA25DA">
        <w:tc>
          <w:tcPr>
            <w:tcW w:w="4350" w:type="dxa"/>
          </w:tcPr>
          <w:p w14:paraId="4B455DD9" w14:textId="77777777" w:rsidR="00923319" w:rsidRPr="00A67277" w:rsidRDefault="00923319" w:rsidP="00923319">
            <w:pPr>
              <w:rPr>
                <w:rFonts w:ascii="Arial" w:hAnsi="Arial" w:cs="Arial"/>
                <w:b/>
                <w:sz w:val="21"/>
                <w:szCs w:val="21"/>
              </w:rPr>
            </w:pPr>
          </w:p>
        </w:tc>
        <w:tc>
          <w:tcPr>
            <w:tcW w:w="567" w:type="dxa"/>
          </w:tcPr>
          <w:p w14:paraId="3F2E1D08" w14:textId="77777777" w:rsidR="00923319" w:rsidRPr="00A67277" w:rsidRDefault="00923319" w:rsidP="00923319">
            <w:pPr>
              <w:jc w:val="right"/>
              <w:rPr>
                <w:rFonts w:ascii="Arial" w:hAnsi="Arial" w:cs="Arial"/>
                <w:b/>
                <w:sz w:val="21"/>
                <w:szCs w:val="21"/>
              </w:rPr>
            </w:pPr>
          </w:p>
        </w:tc>
        <w:tc>
          <w:tcPr>
            <w:tcW w:w="3895" w:type="dxa"/>
          </w:tcPr>
          <w:p w14:paraId="671C9585" w14:textId="77777777" w:rsidR="00923319" w:rsidRPr="00A67277" w:rsidRDefault="00923319" w:rsidP="00923319">
            <w:pPr>
              <w:rPr>
                <w:rFonts w:ascii="Arial" w:hAnsi="Arial" w:cs="Arial"/>
                <w:b/>
                <w:sz w:val="21"/>
                <w:szCs w:val="21"/>
              </w:rPr>
            </w:pPr>
          </w:p>
        </w:tc>
        <w:tc>
          <w:tcPr>
            <w:tcW w:w="278" w:type="dxa"/>
          </w:tcPr>
          <w:p w14:paraId="4EA0F272" w14:textId="77777777" w:rsidR="00923319" w:rsidRPr="00A67277" w:rsidRDefault="00923319" w:rsidP="00923319">
            <w:pPr>
              <w:rPr>
                <w:rFonts w:ascii="Arial" w:hAnsi="Arial" w:cs="Arial"/>
                <w:sz w:val="21"/>
                <w:szCs w:val="21"/>
              </w:rPr>
            </w:pPr>
          </w:p>
        </w:tc>
        <w:tc>
          <w:tcPr>
            <w:tcW w:w="828" w:type="dxa"/>
          </w:tcPr>
          <w:p w14:paraId="0F81E52C" w14:textId="77777777" w:rsidR="00923319" w:rsidRPr="00A67277" w:rsidRDefault="00923319" w:rsidP="00923319">
            <w:pPr>
              <w:jc w:val="right"/>
              <w:rPr>
                <w:rFonts w:ascii="Arial" w:hAnsi="Arial" w:cs="Arial"/>
                <w:sz w:val="21"/>
                <w:szCs w:val="21"/>
              </w:rPr>
            </w:pPr>
          </w:p>
        </w:tc>
      </w:tr>
      <w:tr w:rsidR="00A67277" w:rsidRPr="00A67277" w14:paraId="59DE7583" w14:textId="77777777" w:rsidTr="00AA25DA">
        <w:tc>
          <w:tcPr>
            <w:tcW w:w="4350" w:type="dxa"/>
          </w:tcPr>
          <w:p w14:paraId="3A67E286" w14:textId="77777777" w:rsidR="00923319" w:rsidRPr="00A67277" w:rsidRDefault="00923319" w:rsidP="00923319">
            <w:pPr>
              <w:rPr>
                <w:rFonts w:ascii="Arial" w:hAnsi="Arial" w:cs="Arial"/>
                <w:b/>
                <w:sz w:val="21"/>
                <w:szCs w:val="21"/>
              </w:rPr>
            </w:pPr>
            <w:r w:rsidRPr="00A67277">
              <w:rPr>
                <w:rFonts w:ascii="Arial" w:hAnsi="Arial" w:cs="Arial"/>
                <w:b/>
                <w:sz w:val="21"/>
                <w:szCs w:val="21"/>
              </w:rPr>
              <w:t>APPENDIX 4 – LIST OF NOMINATED INDEPENDENT SUPERVISOR CONSULTANT</w:t>
            </w:r>
          </w:p>
        </w:tc>
        <w:tc>
          <w:tcPr>
            <w:tcW w:w="567" w:type="dxa"/>
          </w:tcPr>
          <w:p w14:paraId="3E6A121C" w14:textId="7B1FE108" w:rsidR="00923319" w:rsidRPr="00A67277" w:rsidRDefault="00AA25DA" w:rsidP="00923319">
            <w:pPr>
              <w:jc w:val="right"/>
              <w:rPr>
                <w:rFonts w:ascii="Arial" w:hAnsi="Arial" w:cs="Arial"/>
                <w:sz w:val="21"/>
                <w:szCs w:val="21"/>
              </w:rPr>
            </w:pPr>
            <w:r>
              <w:rPr>
                <w:rFonts w:ascii="Arial" w:hAnsi="Arial" w:cs="Arial"/>
                <w:sz w:val="21"/>
                <w:szCs w:val="21"/>
              </w:rPr>
              <w:t>237</w:t>
            </w:r>
          </w:p>
        </w:tc>
        <w:tc>
          <w:tcPr>
            <w:tcW w:w="3895" w:type="dxa"/>
          </w:tcPr>
          <w:p w14:paraId="06459770" w14:textId="77777777" w:rsidR="00923319" w:rsidRPr="00A67277" w:rsidRDefault="00923319" w:rsidP="00923319">
            <w:pPr>
              <w:rPr>
                <w:rFonts w:ascii="Arial" w:hAnsi="Arial" w:cs="Arial"/>
                <w:b/>
                <w:sz w:val="21"/>
                <w:szCs w:val="21"/>
              </w:rPr>
            </w:pPr>
            <w:r w:rsidRPr="00A67277">
              <w:rPr>
                <w:rFonts w:ascii="Arial" w:hAnsi="Arial" w:cs="Arial"/>
                <w:b/>
                <w:sz w:val="21"/>
                <w:szCs w:val="21"/>
              </w:rPr>
              <w:t>LAMPIRAN 4 – DAFTAR NOMINASI KONSULTAN PENGAWAS INDEPENDEN</w:t>
            </w:r>
          </w:p>
        </w:tc>
        <w:tc>
          <w:tcPr>
            <w:tcW w:w="278" w:type="dxa"/>
          </w:tcPr>
          <w:p w14:paraId="36CF604E" w14:textId="77777777" w:rsidR="00923319" w:rsidRPr="00A67277" w:rsidRDefault="00923319" w:rsidP="00923319">
            <w:pPr>
              <w:rPr>
                <w:rFonts w:ascii="Arial" w:hAnsi="Arial" w:cs="Arial"/>
                <w:sz w:val="21"/>
                <w:szCs w:val="21"/>
              </w:rPr>
            </w:pPr>
          </w:p>
        </w:tc>
        <w:tc>
          <w:tcPr>
            <w:tcW w:w="828" w:type="dxa"/>
          </w:tcPr>
          <w:p w14:paraId="4CAE6827" w14:textId="77777777" w:rsidR="00923319" w:rsidRPr="00A67277" w:rsidRDefault="00923319" w:rsidP="00923319">
            <w:pPr>
              <w:jc w:val="right"/>
              <w:rPr>
                <w:rFonts w:ascii="Arial" w:hAnsi="Arial" w:cs="Arial"/>
                <w:sz w:val="21"/>
                <w:szCs w:val="21"/>
              </w:rPr>
            </w:pPr>
          </w:p>
        </w:tc>
      </w:tr>
      <w:tr w:rsidR="00A67277" w:rsidRPr="00A67277" w14:paraId="57DB892C" w14:textId="77777777" w:rsidTr="00AA25DA">
        <w:tc>
          <w:tcPr>
            <w:tcW w:w="4350" w:type="dxa"/>
          </w:tcPr>
          <w:p w14:paraId="464EF828" w14:textId="77777777" w:rsidR="00923319" w:rsidRPr="00A67277" w:rsidRDefault="00923319" w:rsidP="00923319">
            <w:pPr>
              <w:rPr>
                <w:rFonts w:ascii="Arial" w:hAnsi="Arial" w:cs="Arial"/>
                <w:b/>
                <w:sz w:val="21"/>
                <w:szCs w:val="21"/>
              </w:rPr>
            </w:pPr>
          </w:p>
        </w:tc>
        <w:tc>
          <w:tcPr>
            <w:tcW w:w="567" w:type="dxa"/>
          </w:tcPr>
          <w:p w14:paraId="5E930101" w14:textId="77777777" w:rsidR="00923319" w:rsidRPr="00A67277" w:rsidRDefault="00923319" w:rsidP="00923319">
            <w:pPr>
              <w:jc w:val="right"/>
              <w:rPr>
                <w:rFonts w:ascii="Arial" w:hAnsi="Arial" w:cs="Arial"/>
                <w:b/>
                <w:sz w:val="21"/>
                <w:szCs w:val="21"/>
              </w:rPr>
            </w:pPr>
          </w:p>
        </w:tc>
        <w:tc>
          <w:tcPr>
            <w:tcW w:w="3895" w:type="dxa"/>
          </w:tcPr>
          <w:p w14:paraId="489A6179" w14:textId="77777777" w:rsidR="00923319" w:rsidRPr="00A67277" w:rsidRDefault="00923319" w:rsidP="00923319">
            <w:pPr>
              <w:rPr>
                <w:rFonts w:ascii="Arial" w:hAnsi="Arial" w:cs="Arial"/>
                <w:b/>
                <w:sz w:val="21"/>
                <w:szCs w:val="21"/>
              </w:rPr>
            </w:pPr>
          </w:p>
        </w:tc>
        <w:tc>
          <w:tcPr>
            <w:tcW w:w="278" w:type="dxa"/>
          </w:tcPr>
          <w:p w14:paraId="659A3E30" w14:textId="77777777" w:rsidR="00923319" w:rsidRPr="00A67277" w:rsidRDefault="00923319" w:rsidP="00923319">
            <w:pPr>
              <w:rPr>
                <w:rFonts w:ascii="Arial" w:hAnsi="Arial" w:cs="Arial"/>
                <w:sz w:val="21"/>
                <w:szCs w:val="21"/>
              </w:rPr>
            </w:pPr>
          </w:p>
        </w:tc>
        <w:tc>
          <w:tcPr>
            <w:tcW w:w="828" w:type="dxa"/>
          </w:tcPr>
          <w:p w14:paraId="6950B278" w14:textId="77777777" w:rsidR="00923319" w:rsidRPr="00A67277" w:rsidRDefault="00923319" w:rsidP="00923319">
            <w:pPr>
              <w:jc w:val="right"/>
              <w:rPr>
                <w:rFonts w:ascii="Arial" w:hAnsi="Arial" w:cs="Arial"/>
                <w:sz w:val="21"/>
                <w:szCs w:val="21"/>
              </w:rPr>
            </w:pPr>
          </w:p>
        </w:tc>
      </w:tr>
      <w:tr w:rsidR="00A67277" w:rsidRPr="00A67277" w14:paraId="696C43E2" w14:textId="77777777" w:rsidTr="00AA25DA">
        <w:tc>
          <w:tcPr>
            <w:tcW w:w="4350" w:type="dxa"/>
          </w:tcPr>
          <w:p w14:paraId="56011C68" w14:textId="77777777" w:rsidR="00923319" w:rsidRPr="00A67277" w:rsidRDefault="00923319" w:rsidP="00923319">
            <w:pPr>
              <w:rPr>
                <w:rFonts w:ascii="Arial" w:hAnsi="Arial" w:cs="Arial"/>
                <w:b/>
                <w:sz w:val="21"/>
                <w:szCs w:val="21"/>
              </w:rPr>
            </w:pPr>
          </w:p>
        </w:tc>
        <w:tc>
          <w:tcPr>
            <w:tcW w:w="567" w:type="dxa"/>
          </w:tcPr>
          <w:p w14:paraId="03AB9328" w14:textId="77777777" w:rsidR="00923319" w:rsidRPr="00A67277" w:rsidRDefault="00923319" w:rsidP="00923319">
            <w:pPr>
              <w:jc w:val="right"/>
              <w:rPr>
                <w:rFonts w:ascii="Arial" w:hAnsi="Arial" w:cs="Arial"/>
                <w:b/>
                <w:sz w:val="21"/>
                <w:szCs w:val="21"/>
              </w:rPr>
            </w:pPr>
          </w:p>
        </w:tc>
        <w:tc>
          <w:tcPr>
            <w:tcW w:w="3895" w:type="dxa"/>
          </w:tcPr>
          <w:p w14:paraId="6839230C" w14:textId="77777777" w:rsidR="00923319" w:rsidRPr="00A67277" w:rsidRDefault="00923319" w:rsidP="00923319">
            <w:pPr>
              <w:rPr>
                <w:rFonts w:ascii="Arial" w:hAnsi="Arial" w:cs="Arial"/>
                <w:b/>
                <w:sz w:val="21"/>
                <w:szCs w:val="21"/>
              </w:rPr>
            </w:pPr>
          </w:p>
        </w:tc>
        <w:tc>
          <w:tcPr>
            <w:tcW w:w="278" w:type="dxa"/>
          </w:tcPr>
          <w:p w14:paraId="73026211" w14:textId="77777777" w:rsidR="00923319" w:rsidRPr="00A67277" w:rsidRDefault="00923319" w:rsidP="00923319">
            <w:pPr>
              <w:rPr>
                <w:rFonts w:ascii="Arial" w:hAnsi="Arial" w:cs="Arial"/>
                <w:sz w:val="21"/>
                <w:szCs w:val="21"/>
              </w:rPr>
            </w:pPr>
          </w:p>
        </w:tc>
        <w:tc>
          <w:tcPr>
            <w:tcW w:w="828" w:type="dxa"/>
          </w:tcPr>
          <w:p w14:paraId="3D7916CB" w14:textId="77777777" w:rsidR="00923319" w:rsidRPr="00A67277" w:rsidRDefault="00923319" w:rsidP="00923319">
            <w:pPr>
              <w:jc w:val="right"/>
              <w:rPr>
                <w:rFonts w:ascii="Arial" w:hAnsi="Arial" w:cs="Arial"/>
                <w:sz w:val="21"/>
                <w:szCs w:val="21"/>
              </w:rPr>
            </w:pPr>
          </w:p>
        </w:tc>
      </w:tr>
      <w:tr w:rsidR="00A67277" w:rsidRPr="00A67277" w14:paraId="5977244B" w14:textId="77777777" w:rsidTr="00AA25DA">
        <w:tc>
          <w:tcPr>
            <w:tcW w:w="4350" w:type="dxa"/>
          </w:tcPr>
          <w:p w14:paraId="6C8C8DC5" w14:textId="77777777" w:rsidR="00923319" w:rsidRPr="00A67277" w:rsidRDefault="00923319" w:rsidP="00923319">
            <w:pPr>
              <w:rPr>
                <w:rFonts w:ascii="Arial" w:hAnsi="Arial" w:cs="Arial"/>
                <w:b/>
                <w:sz w:val="21"/>
                <w:szCs w:val="21"/>
              </w:rPr>
            </w:pPr>
          </w:p>
        </w:tc>
        <w:tc>
          <w:tcPr>
            <w:tcW w:w="567" w:type="dxa"/>
          </w:tcPr>
          <w:p w14:paraId="6727AFDC" w14:textId="77777777" w:rsidR="00923319" w:rsidRPr="00A67277" w:rsidRDefault="00923319" w:rsidP="00923319">
            <w:pPr>
              <w:jc w:val="right"/>
              <w:rPr>
                <w:rFonts w:ascii="Arial" w:hAnsi="Arial" w:cs="Arial"/>
                <w:b/>
                <w:sz w:val="21"/>
                <w:szCs w:val="21"/>
              </w:rPr>
            </w:pPr>
          </w:p>
        </w:tc>
        <w:tc>
          <w:tcPr>
            <w:tcW w:w="3895" w:type="dxa"/>
          </w:tcPr>
          <w:p w14:paraId="78926E0D" w14:textId="77777777" w:rsidR="00923319" w:rsidRPr="00A67277" w:rsidRDefault="00923319" w:rsidP="00923319">
            <w:pPr>
              <w:rPr>
                <w:rFonts w:ascii="Arial" w:hAnsi="Arial" w:cs="Arial"/>
                <w:b/>
                <w:sz w:val="21"/>
                <w:szCs w:val="21"/>
              </w:rPr>
            </w:pPr>
          </w:p>
        </w:tc>
        <w:tc>
          <w:tcPr>
            <w:tcW w:w="278" w:type="dxa"/>
          </w:tcPr>
          <w:p w14:paraId="2494CE7A" w14:textId="77777777" w:rsidR="00923319" w:rsidRPr="00A67277" w:rsidRDefault="00923319" w:rsidP="00923319">
            <w:pPr>
              <w:rPr>
                <w:rFonts w:ascii="Arial" w:hAnsi="Arial" w:cs="Arial"/>
                <w:sz w:val="21"/>
                <w:szCs w:val="21"/>
              </w:rPr>
            </w:pPr>
          </w:p>
        </w:tc>
        <w:tc>
          <w:tcPr>
            <w:tcW w:w="828" w:type="dxa"/>
          </w:tcPr>
          <w:p w14:paraId="7BC1EB91" w14:textId="77777777" w:rsidR="00923319" w:rsidRPr="00A67277" w:rsidRDefault="00923319" w:rsidP="00923319">
            <w:pPr>
              <w:jc w:val="right"/>
              <w:rPr>
                <w:rFonts w:ascii="Arial" w:hAnsi="Arial" w:cs="Arial"/>
                <w:sz w:val="21"/>
                <w:szCs w:val="21"/>
              </w:rPr>
            </w:pPr>
          </w:p>
        </w:tc>
      </w:tr>
      <w:tr w:rsidR="00A67277" w:rsidRPr="00A67277" w14:paraId="50713A93" w14:textId="77777777" w:rsidTr="00AA25DA">
        <w:tc>
          <w:tcPr>
            <w:tcW w:w="4350" w:type="dxa"/>
          </w:tcPr>
          <w:p w14:paraId="4AB82C95" w14:textId="2D4A8DB2"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5</w:t>
            </w:r>
            <w:r w:rsidRPr="00A67277">
              <w:rPr>
                <w:rFonts w:ascii="Arial" w:hAnsi="Arial" w:cs="Arial"/>
                <w:b/>
                <w:sz w:val="21"/>
                <w:szCs w:val="21"/>
              </w:rPr>
              <w:t xml:space="preserve"> – DESIGN AND TECHNICAL SPESIFICATIONS</w:t>
            </w:r>
          </w:p>
        </w:tc>
        <w:tc>
          <w:tcPr>
            <w:tcW w:w="567" w:type="dxa"/>
          </w:tcPr>
          <w:p w14:paraId="16933A15" w14:textId="0FF66DE2" w:rsidR="00923319" w:rsidRPr="00A67277" w:rsidRDefault="00AA25DA" w:rsidP="00923319">
            <w:pPr>
              <w:jc w:val="right"/>
              <w:rPr>
                <w:rFonts w:ascii="Arial" w:hAnsi="Arial" w:cs="Arial"/>
                <w:sz w:val="21"/>
                <w:szCs w:val="21"/>
              </w:rPr>
            </w:pPr>
            <w:r>
              <w:rPr>
                <w:rFonts w:ascii="Arial" w:hAnsi="Arial" w:cs="Arial"/>
                <w:sz w:val="21"/>
                <w:szCs w:val="21"/>
              </w:rPr>
              <w:t>238</w:t>
            </w:r>
          </w:p>
        </w:tc>
        <w:tc>
          <w:tcPr>
            <w:tcW w:w="3895" w:type="dxa"/>
          </w:tcPr>
          <w:p w14:paraId="2927E4F6" w14:textId="202A9EC3" w:rsidR="00923319" w:rsidRPr="00A67277" w:rsidRDefault="00923319" w:rsidP="00923319">
            <w:pPr>
              <w:tabs>
                <w:tab w:val="left" w:pos="3030"/>
              </w:tabs>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5</w:t>
            </w:r>
            <w:r w:rsidRPr="00A67277">
              <w:rPr>
                <w:rFonts w:ascii="Arial" w:hAnsi="Arial" w:cs="Arial"/>
                <w:b/>
                <w:sz w:val="21"/>
                <w:szCs w:val="21"/>
              </w:rPr>
              <w:t xml:space="preserve"> – SPESIFIKASI DESAIN DAN TEKNIS</w:t>
            </w:r>
          </w:p>
        </w:tc>
        <w:tc>
          <w:tcPr>
            <w:tcW w:w="278" w:type="dxa"/>
          </w:tcPr>
          <w:p w14:paraId="7A878715" w14:textId="77777777" w:rsidR="00923319" w:rsidRPr="00A67277" w:rsidRDefault="00923319" w:rsidP="00923319">
            <w:pPr>
              <w:rPr>
                <w:rFonts w:ascii="Arial" w:hAnsi="Arial" w:cs="Arial"/>
                <w:sz w:val="21"/>
                <w:szCs w:val="21"/>
              </w:rPr>
            </w:pPr>
          </w:p>
        </w:tc>
        <w:tc>
          <w:tcPr>
            <w:tcW w:w="828" w:type="dxa"/>
          </w:tcPr>
          <w:p w14:paraId="3C56290A" w14:textId="77777777" w:rsidR="00923319" w:rsidRPr="00A67277" w:rsidRDefault="00923319" w:rsidP="00923319">
            <w:pPr>
              <w:jc w:val="right"/>
              <w:rPr>
                <w:rFonts w:ascii="Arial" w:hAnsi="Arial" w:cs="Arial"/>
                <w:sz w:val="21"/>
                <w:szCs w:val="21"/>
              </w:rPr>
            </w:pPr>
          </w:p>
        </w:tc>
      </w:tr>
      <w:tr w:rsidR="00A67277" w:rsidRPr="00A67277" w14:paraId="6A4A6A07" w14:textId="77777777" w:rsidTr="00AA25DA">
        <w:tc>
          <w:tcPr>
            <w:tcW w:w="4350" w:type="dxa"/>
          </w:tcPr>
          <w:p w14:paraId="22E1005B" w14:textId="77777777" w:rsidR="00923319" w:rsidRPr="00A67277" w:rsidRDefault="00923319" w:rsidP="00923319">
            <w:pPr>
              <w:rPr>
                <w:rFonts w:ascii="Arial" w:hAnsi="Arial" w:cs="Arial"/>
                <w:b/>
                <w:sz w:val="21"/>
                <w:szCs w:val="21"/>
              </w:rPr>
            </w:pPr>
          </w:p>
        </w:tc>
        <w:tc>
          <w:tcPr>
            <w:tcW w:w="567" w:type="dxa"/>
          </w:tcPr>
          <w:p w14:paraId="2CD76C91" w14:textId="77777777" w:rsidR="00923319" w:rsidRPr="00A67277" w:rsidRDefault="00923319" w:rsidP="00923319">
            <w:pPr>
              <w:jc w:val="right"/>
              <w:rPr>
                <w:rFonts w:ascii="Arial" w:hAnsi="Arial" w:cs="Arial"/>
                <w:sz w:val="21"/>
                <w:szCs w:val="21"/>
              </w:rPr>
            </w:pPr>
          </w:p>
        </w:tc>
        <w:tc>
          <w:tcPr>
            <w:tcW w:w="3895" w:type="dxa"/>
          </w:tcPr>
          <w:p w14:paraId="5F6CB16B" w14:textId="77777777" w:rsidR="00923319" w:rsidRPr="00A67277" w:rsidRDefault="00923319" w:rsidP="00923319">
            <w:pPr>
              <w:rPr>
                <w:rFonts w:ascii="Arial" w:hAnsi="Arial" w:cs="Arial"/>
                <w:b/>
                <w:sz w:val="21"/>
                <w:szCs w:val="21"/>
              </w:rPr>
            </w:pPr>
          </w:p>
        </w:tc>
        <w:tc>
          <w:tcPr>
            <w:tcW w:w="278" w:type="dxa"/>
          </w:tcPr>
          <w:p w14:paraId="67DF3F4B" w14:textId="77777777" w:rsidR="00923319" w:rsidRPr="00A67277" w:rsidRDefault="00923319" w:rsidP="00923319">
            <w:pPr>
              <w:rPr>
                <w:rFonts w:ascii="Arial" w:hAnsi="Arial" w:cs="Arial"/>
                <w:sz w:val="21"/>
                <w:szCs w:val="21"/>
              </w:rPr>
            </w:pPr>
          </w:p>
        </w:tc>
        <w:tc>
          <w:tcPr>
            <w:tcW w:w="828" w:type="dxa"/>
          </w:tcPr>
          <w:p w14:paraId="7A8C0FE3" w14:textId="77777777" w:rsidR="00923319" w:rsidRPr="00A67277" w:rsidRDefault="00923319" w:rsidP="00923319">
            <w:pPr>
              <w:jc w:val="right"/>
              <w:rPr>
                <w:rFonts w:ascii="Arial" w:hAnsi="Arial" w:cs="Arial"/>
                <w:sz w:val="21"/>
                <w:szCs w:val="21"/>
              </w:rPr>
            </w:pPr>
          </w:p>
        </w:tc>
      </w:tr>
      <w:tr w:rsidR="00A67277" w:rsidRPr="00A67277" w14:paraId="3416B8C8" w14:textId="77777777" w:rsidTr="00AA25DA">
        <w:tc>
          <w:tcPr>
            <w:tcW w:w="4350" w:type="dxa"/>
          </w:tcPr>
          <w:p w14:paraId="43D28468" w14:textId="1E19620E"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6</w:t>
            </w:r>
            <w:r w:rsidRPr="00A67277">
              <w:rPr>
                <w:rFonts w:ascii="Arial" w:hAnsi="Arial" w:cs="Arial"/>
                <w:b/>
                <w:sz w:val="21"/>
                <w:szCs w:val="21"/>
              </w:rPr>
              <w:t xml:space="preserve"> – IMPLEMENTATION SCHEDULE</w:t>
            </w:r>
          </w:p>
        </w:tc>
        <w:tc>
          <w:tcPr>
            <w:tcW w:w="567" w:type="dxa"/>
          </w:tcPr>
          <w:p w14:paraId="7E2E58E7" w14:textId="2FE0FDFD" w:rsidR="00923319" w:rsidRPr="00A67277" w:rsidRDefault="00AA25DA" w:rsidP="00923319">
            <w:pPr>
              <w:jc w:val="right"/>
              <w:rPr>
                <w:rFonts w:ascii="Arial" w:hAnsi="Arial" w:cs="Arial"/>
                <w:sz w:val="21"/>
                <w:szCs w:val="21"/>
              </w:rPr>
            </w:pPr>
            <w:r>
              <w:rPr>
                <w:rFonts w:ascii="Arial" w:hAnsi="Arial" w:cs="Arial"/>
                <w:sz w:val="21"/>
                <w:szCs w:val="21"/>
              </w:rPr>
              <w:t>239</w:t>
            </w:r>
          </w:p>
        </w:tc>
        <w:tc>
          <w:tcPr>
            <w:tcW w:w="3895" w:type="dxa"/>
          </w:tcPr>
          <w:p w14:paraId="53158EED" w14:textId="4ED363F0"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6</w:t>
            </w:r>
            <w:r w:rsidRPr="00A67277">
              <w:rPr>
                <w:rFonts w:ascii="Arial" w:hAnsi="Arial" w:cs="Arial"/>
                <w:b/>
                <w:sz w:val="21"/>
                <w:szCs w:val="21"/>
              </w:rPr>
              <w:t xml:space="preserve"> – JADWAL PELAKSANAAN</w:t>
            </w:r>
          </w:p>
        </w:tc>
        <w:tc>
          <w:tcPr>
            <w:tcW w:w="278" w:type="dxa"/>
          </w:tcPr>
          <w:p w14:paraId="7D19016C" w14:textId="77777777" w:rsidR="00923319" w:rsidRPr="00A67277" w:rsidRDefault="00923319" w:rsidP="00923319">
            <w:pPr>
              <w:rPr>
                <w:rFonts w:ascii="Arial" w:hAnsi="Arial" w:cs="Arial"/>
                <w:sz w:val="21"/>
                <w:szCs w:val="21"/>
              </w:rPr>
            </w:pPr>
          </w:p>
        </w:tc>
        <w:tc>
          <w:tcPr>
            <w:tcW w:w="828" w:type="dxa"/>
          </w:tcPr>
          <w:p w14:paraId="43587895" w14:textId="77777777" w:rsidR="00923319" w:rsidRPr="00A67277" w:rsidRDefault="00923319" w:rsidP="00923319">
            <w:pPr>
              <w:jc w:val="right"/>
              <w:rPr>
                <w:rFonts w:ascii="Arial" w:hAnsi="Arial" w:cs="Arial"/>
                <w:sz w:val="21"/>
                <w:szCs w:val="21"/>
              </w:rPr>
            </w:pPr>
          </w:p>
        </w:tc>
      </w:tr>
      <w:tr w:rsidR="00A67277" w:rsidRPr="00A67277" w14:paraId="1E79C248" w14:textId="77777777" w:rsidTr="00AA25DA">
        <w:tc>
          <w:tcPr>
            <w:tcW w:w="4350" w:type="dxa"/>
          </w:tcPr>
          <w:p w14:paraId="66BBA386" w14:textId="77777777" w:rsidR="00923319" w:rsidRPr="00A67277" w:rsidRDefault="00923319" w:rsidP="00923319">
            <w:pPr>
              <w:rPr>
                <w:rFonts w:ascii="Arial" w:hAnsi="Arial" w:cs="Arial"/>
                <w:b/>
                <w:sz w:val="21"/>
                <w:szCs w:val="21"/>
              </w:rPr>
            </w:pPr>
          </w:p>
        </w:tc>
        <w:tc>
          <w:tcPr>
            <w:tcW w:w="567" w:type="dxa"/>
          </w:tcPr>
          <w:p w14:paraId="477D47D6" w14:textId="77777777" w:rsidR="00923319" w:rsidRPr="00A67277" w:rsidRDefault="00923319" w:rsidP="00923319">
            <w:pPr>
              <w:jc w:val="right"/>
              <w:rPr>
                <w:rFonts w:ascii="Arial" w:hAnsi="Arial" w:cs="Arial"/>
                <w:sz w:val="21"/>
                <w:szCs w:val="21"/>
              </w:rPr>
            </w:pPr>
          </w:p>
        </w:tc>
        <w:tc>
          <w:tcPr>
            <w:tcW w:w="3895" w:type="dxa"/>
          </w:tcPr>
          <w:p w14:paraId="2C39B5C2" w14:textId="77777777" w:rsidR="00923319" w:rsidRPr="00A67277" w:rsidRDefault="00923319" w:rsidP="00923319">
            <w:pPr>
              <w:rPr>
                <w:rFonts w:ascii="Arial" w:hAnsi="Arial" w:cs="Arial"/>
                <w:b/>
                <w:sz w:val="21"/>
                <w:szCs w:val="21"/>
              </w:rPr>
            </w:pPr>
          </w:p>
        </w:tc>
        <w:tc>
          <w:tcPr>
            <w:tcW w:w="278" w:type="dxa"/>
          </w:tcPr>
          <w:p w14:paraId="3CFEA539" w14:textId="77777777" w:rsidR="00923319" w:rsidRPr="00A67277" w:rsidRDefault="00923319" w:rsidP="00923319">
            <w:pPr>
              <w:rPr>
                <w:rFonts w:ascii="Arial" w:hAnsi="Arial" w:cs="Arial"/>
                <w:sz w:val="21"/>
                <w:szCs w:val="21"/>
              </w:rPr>
            </w:pPr>
          </w:p>
        </w:tc>
        <w:tc>
          <w:tcPr>
            <w:tcW w:w="828" w:type="dxa"/>
          </w:tcPr>
          <w:p w14:paraId="10155C11" w14:textId="77777777" w:rsidR="00923319" w:rsidRPr="00A67277" w:rsidRDefault="00923319" w:rsidP="00923319">
            <w:pPr>
              <w:jc w:val="right"/>
              <w:rPr>
                <w:rFonts w:ascii="Arial" w:hAnsi="Arial" w:cs="Arial"/>
                <w:sz w:val="21"/>
                <w:szCs w:val="21"/>
              </w:rPr>
            </w:pPr>
          </w:p>
        </w:tc>
      </w:tr>
      <w:tr w:rsidR="00A67277" w:rsidRPr="00A67277" w14:paraId="78DCA27E" w14:textId="77777777" w:rsidTr="00AA25DA">
        <w:tc>
          <w:tcPr>
            <w:tcW w:w="4350" w:type="dxa"/>
          </w:tcPr>
          <w:p w14:paraId="401F1049" w14:textId="1EADD883"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7</w:t>
            </w:r>
            <w:r w:rsidRPr="00A67277">
              <w:rPr>
                <w:rFonts w:ascii="Arial" w:hAnsi="Arial" w:cs="Arial"/>
                <w:b/>
                <w:sz w:val="21"/>
                <w:szCs w:val="21"/>
              </w:rPr>
              <w:t xml:space="preserve"> – START UP AND TESTING PROCEDURES</w:t>
            </w:r>
          </w:p>
        </w:tc>
        <w:tc>
          <w:tcPr>
            <w:tcW w:w="567" w:type="dxa"/>
          </w:tcPr>
          <w:p w14:paraId="02C088FB" w14:textId="29A223FC" w:rsidR="00923319" w:rsidRPr="00A67277" w:rsidRDefault="00AA25DA" w:rsidP="00923319">
            <w:pPr>
              <w:jc w:val="right"/>
              <w:rPr>
                <w:rFonts w:ascii="Arial" w:hAnsi="Arial" w:cs="Arial"/>
                <w:sz w:val="21"/>
                <w:szCs w:val="21"/>
              </w:rPr>
            </w:pPr>
            <w:r>
              <w:rPr>
                <w:rFonts w:ascii="Arial" w:hAnsi="Arial" w:cs="Arial"/>
                <w:sz w:val="21"/>
                <w:szCs w:val="21"/>
              </w:rPr>
              <w:t>240</w:t>
            </w:r>
          </w:p>
        </w:tc>
        <w:tc>
          <w:tcPr>
            <w:tcW w:w="3895" w:type="dxa"/>
          </w:tcPr>
          <w:p w14:paraId="2F53AB19" w14:textId="0E57E9C4"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7</w:t>
            </w:r>
            <w:r w:rsidRPr="00A67277">
              <w:rPr>
                <w:rFonts w:ascii="Arial" w:hAnsi="Arial" w:cs="Arial"/>
                <w:b/>
                <w:sz w:val="21"/>
                <w:szCs w:val="21"/>
              </w:rPr>
              <w:t xml:space="preserve"> – PROSEDUR PERMULAAN DAN PENGUJIAN </w:t>
            </w:r>
          </w:p>
        </w:tc>
        <w:tc>
          <w:tcPr>
            <w:tcW w:w="278" w:type="dxa"/>
          </w:tcPr>
          <w:p w14:paraId="37D7B47A" w14:textId="77777777" w:rsidR="00923319" w:rsidRPr="00A67277" w:rsidRDefault="00923319" w:rsidP="00923319">
            <w:pPr>
              <w:rPr>
                <w:rFonts w:ascii="Arial" w:hAnsi="Arial" w:cs="Arial"/>
                <w:sz w:val="21"/>
                <w:szCs w:val="21"/>
              </w:rPr>
            </w:pPr>
          </w:p>
        </w:tc>
        <w:tc>
          <w:tcPr>
            <w:tcW w:w="828" w:type="dxa"/>
          </w:tcPr>
          <w:p w14:paraId="6933875B" w14:textId="77777777" w:rsidR="00923319" w:rsidRPr="00A67277" w:rsidRDefault="00923319" w:rsidP="00923319">
            <w:pPr>
              <w:jc w:val="right"/>
              <w:rPr>
                <w:rFonts w:ascii="Arial" w:hAnsi="Arial" w:cs="Arial"/>
                <w:sz w:val="21"/>
                <w:szCs w:val="21"/>
              </w:rPr>
            </w:pPr>
          </w:p>
        </w:tc>
      </w:tr>
      <w:tr w:rsidR="00A67277" w:rsidRPr="00A67277" w14:paraId="3EAC7BE8" w14:textId="77777777" w:rsidTr="00AA25DA">
        <w:tc>
          <w:tcPr>
            <w:tcW w:w="4350" w:type="dxa"/>
          </w:tcPr>
          <w:p w14:paraId="4352C651" w14:textId="77777777" w:rsidR="00923319" w:rsidRPr="00A67277" w:rsidRDefault="00923319" w:rsidP="00923319">
            <w:pPr>
              <w:rPr>
                <w:rFonts w:ascii="Arial" w:hAnsi="Arial" w:cs="Arial"/>
                <w:b/>
                <w:sz w:val="21"/>
                <w:szCs w:val="21"/>
              </w:rPr>
            </w:pPr>
          </w:p>
        </w:tc>
        <w:tc>
          <w:tcPr>
            <w:tcW w:w="567" w:type="dxa"/>
          </w:tcPr>
          <w:p w14:paraId="598EE5B8" w14:textId="77777777" w:rsidR="00923319" w:rsidRPr="00A67277" w:rsidRDefault="00923319" w:rsidP="00923319">
            <w:pPr>
              <w:jc w:val="right"/>
              <w:rPr>
                <w:rFonts w:ascii="Arial" w:hAnsi="Arial" w:cs="Arial"/>
                <w:sz w:val="21"/>
                <w:szCs w:val="21"/>
              </w:rPr>
            </w:pPr>
          </w:p>
        </w:tc>
        <w:tc>
          <w:tcPr>
            <w:tcW w:w="3895" w:type="dxa"/>
          </w:tcPr>
          <w:p w14:paraId="5A0FAAF2" w14:textId="77777777" w:rsidR="00923319" w:rsidRPr="00A67277" w:rsidRDefault="00923319" w:rsidP="00923319">
            <w:pPr>
              <w:rPr>
                <w:rFonts w:ascii="Arial" w:hAnsi="Arial" w:cs="Arial"/>
                <w:b/>
                <w:sz w:val="21"/>
                <w:szCs w:val="21"/>
              </w:rPr>
            </w:pPr>
          </w:p>
        </w:tc>
        <w:tc>
          <w:tcPr>
            <w:tcW w:w="278" w:type="dxa"/>
          </w:tcPr>
          <w:p w14:paraId="261DDD5B" w14:textId="77777777" w:rsidR="00923319" w:rsidRPr="00A67277" w:rsidRDefault="00923319" w:rsidP="00923319">
            <w:pPr>
              <w:rPr>
                <w:rFonts w:ascii="Arial" w:hAnsi="Arial" w:cs="Arial"/>
                <w:sz w:val="21"/>
                <w:szCs w:val="21"/>
              </w:rPr>
            </w:pPr>
          </w:p>
        </w:tc>
        <w:tc>
          <w:tcPr>
            <w:tcW w:w="828" w:type="dxa"/>
          </w:tcPr>
          <w:p w14:paraId="62C1C4EC" w14:textId="77777777" w:rsidR="00923319" w:rsidRPr="00A67277" w:rsidRDefault="00923319" w:rsidP="00923319">
            <w:pPr>
              <w:jc w:val="right"/>
              <w:rPr>
                <w:rFonts w:ascii="Arial" w:hAnsi="Arial" w:cs="Arial"/>
                <w:sz w:val="21"/>
                <w:szCs w:val="21"/>
              </w:rPr>
            </w:pPr>
          </w:p>
        </w:tc>
      </w:tr>
      <w:tr w:rsidR="00A67277" w:rsidRPr="00A67277" w14:paraId="3C67EB7A" w14:textId="77777777" w:rsidTr="00AA25DA">
        <w:tc>
          <w:tcPr>
            <w:tcW w:w="4350" w:type="dxa"/>
          </w:tcPr>
          <w:p w14:paraId="7A1A5BE1" w14:textId="5DAFC550"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8</w:t>
            </w:r>
            <w:r w:rsidRPr="00A67277">
              <w:rPr>
                <w:rFonts w:ascii="Arial" w:hAnsi="Arial" w:cs="Arial"/>
                <w:b/>
                <w:sz w:val="21"/>
                <w:szCs w:val="21"/>
              </w:rPr>
              <w:t xml:space="preserve"> – OPERATIONS AND ASSET MANAGEMENT</w:t>
            </w:r>
          </w:p>
        </w:tc>
        <w:tc>
          <w:tcPr>
            <w:tcW w:w="567" w:type="dxa"/>
          </w:tcPr>
          <w:p w14:paraId="6043B674" w14:textId="4922CE5A" w:rsidR="00923319" w:rsidRPr="00A67277" w:rsidRDefault="00AA25DA" w:rsidP="00923319">
            <w:pPr>
              <w:jc w:val="right"/>
              <w:rPr>
                <w:rFonts w:ascii="Arial" w:hAnsi="Arial" w:cs="Arial"/>
                <w:sz w:val="21"/>
                <w:szCs w:val="21"/>
              </w:rPr>
            </w:pPr>
            <w:r>
              <w:rPr>
                <w:rFonts w:ascii="Arial" w:hAnsi="Arial" w:cs="Arial"/>
                <w:sz w:val="21"/>
                <w:szCs w:val="21"/>
              </w:rPr>
              <w:t>241</w:t>
            </w:r>
          </w:p>
        </w:tc>
        <w:tc>
          <w:tcPr>
            <w:tcW w:w="3895" w:type="dxa"/>
          </w:tcPr>
          <w:p w14:paraId="20BB79C0" w14:textId="3B318859"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8</w:t>
            </w:r>
            <w:r w:rsidRPr="00A67277">
              <w:rPr>
                <w:rFonts w:ascii="Arial" w:hAnsi="Arial" w:cs="Arial"/>
                <w:b/>
                <w:sz w:val="21"/>
                <w:szCs w:val="21"/>
              </w:rPr>
              <w:t xml:space="preserve"> – MANAJEMEN PENGOPERASIAN DAN ASET</w:t>
            </w:r>
          </w:p>
        </w:tc>
        <w:tc>
          <w:tcPr>
            <w:tcW w:w="278" w:type="dxa"/>
          </w:tcPr>
          <w:p w14:paraId="533A8D05" w14:textId="77777777" w:rsidR="00923319" w:rsidRPr="00A67277" w:rsidRDefault="00923319" w:rsidP="00923319">
            <w:pPr>
              <w:rPr>
                <w:rFonts w:ascii="Arial" w:hAnsi="Arial" w:cs="Arial"/>
                <w:sz w:val="21"/>
                <w:szCs w:val="21"/>
              </w:rPr>
            </w:pPr>
          </w:p>
        </w:tc>
        <w:tc>
          <w:tcPr>
            <w:tcW w:w="828" w:type="dxa"/>
          </w:tcPr>
          <w:p w14:paraId="0840E398" w14:textId="77777777" w:rsidR="00923319" w:rsidRPr="00A67277" w:rsidRDefault="00923319" w:rsidP="00923319">
            <w:pPr>
              <w:jc w:val="right"/>
              <w:rPr>
                <w:rFonts w:ascii="Arial" w:hAnsi="Arial" w:cs="Arial"/>
                <w:sz w:val="21"/>
                <w:szCs w:val="21"/>
              </w:rPr>
            </w:pPr>
          </w:p>
        </w:tc>
      </w:tr>
      <w:tr w:rsidR="00A67277" w:rsidRPr="00A67277" w14:paraId="0EB29638" w14:textId="77777777" w:rsidTr="00AA25DA">
        <w:tc>
          <w:tcPr>
            <w:tcW w:w="4350" w:type="dxa"/>
          </w:tcPr>
          <w:p w14:paraId="79C17611" w14:textId="77777777" w:rsidR="00923319" w:rsidRPr="00A67277" w:rsidRDefault="00923319" w:rsidP="00923319">
            <w:pPr>
              <w:rPr>
                <w:rFonts w:ascii="Arial" w:hAnsi="Arial" w:cs="Arial"/>
                <w:b/>
                <w:sz w:val="21"/>
                <w:szCs w:val="21"/>
              </w:rPr>
            </w:pPr>
          </w:p>
        </w:tc>
        <w:tc>
          <w:tcPr>
            <w:tcW w:w="567" w:type="dxa"/>
          </w:tcPr>
          <w:p w14:paraId="0DDB66B6" w14:textId="77777777" w:rsidR="00923319" w:rsidRPr="00A67277" w:rsidRDefault="00923319" w:rsidP="00923319">
            <w:pPr>
              <w:jc w:val="right"/>
              <w:rPr>
                <w:rFonts w:ascii="Arial" w:hAnsi="Arial" w:cs="Arial"/>
                <w:sz w:val="21"/>
                <w:szCs w:val="21"/>
              </w:rPr>
            </w:pPr>
          </w:p>
        </w:tc>
        <w:tc>
          <w:tcPr>
            <w:tcW w:w="3895" w:type="dxa"/>
          </w:tcPr>
          <w:p w14:paraId="35000366" w14:textId="77777777" w:rsidR="00923319" w:rsidRPr="00A67277" w:rsidRDefault="00923319" w:rsidP="00923319">
            <w:pPr>
              <w:rPr>
                <w:rFonts w:ascii="Arial" w:hAnsi="Arial" w:cs="Arial"/>
                <w:b/>
                <w:sz w:val="21"/>
                <w:szCs w:val="21"/>
              </w:rPr>
            </w:pPr>
          </w:p>
        </w:tc>
        <w:tc>
          <w:tcPr>
            <w:tcW w:w="278" w:type="dxa"/>
          </w:tcPr>
          <w:p w14:paraId="5C8F2B22" w14:textId="77777777" w:rsidR="00923319" w:rsidRPr="00A67277" w:rsidRDefault="00923319" w:rsidP="00923319">
            <w:pPr>
              <w:rPr>
                <w:rFonts w:ascii="Arial" w:hAnsi="Arial" w:cs="Arial"/>
                <w:sz w:val="21"/>
                <w:szCs w:val="21"/>
              </w:rPr>
            </w:pPr>
          </w:p>
        </w:tc>
        <w:tc>
          <w:tcPr>
            <w:tcW w:w="828" w:type="dxa"/>
          </w:tcPr>
          <w:p w14:paraId="7B769156" w14:textId="77777777" w:rsidR="00923319" w:rsidRPr="00A67277" w:rsidRDefault="00923319" w:rsidP="00923319">
            <w:pPr>
              <w:jc w:val="right"/>
              <w:rPr>
                <w:rFonts w:ascii="Arial" w:hAnsi="Arial" w:cs="Arial"/>
                <w:sz w:val="21"/>
                <w:szCs w:val="21"/>
              </w:rPr>
            </w:pPr>
          </w:p>
        </w:tc>
      </w:tr>
      <w:tr w:rsidR="00A67277" w:rsidRPr="00A67277" w14:paraId="7EF97100" w14:textId="77777777" w:rsidTr="00AA25DA">
        <w:tc>
          <w:tcPr>
            <w:tcW w:w="4350" w:type="dxa"/>
          </w:tcPr>
          <w:p w14:paraId="4524C672" w14:textId="77777777" w:rsidR="00923319" w:rsidRPr="00A67277" w:rsidRDefault="00923319" w:rsidP="00923319">
            <w:pPr>
              <w:rPr>
                <w:rFonts w:ascii="Arial" w:hAnsi="Arial" w:cs="Arial"/>
                <w:b/>
                <w:sz w:val="21"/>
                <w:szCs w:val="21"/>
              </w:rPr>
            </w:pPr>
          </w:p>
        </w:tc>
        <w:tc>
          <w:tcPr>
            <w:tcW w:w="567" w:type="dxa"/>
          </w:tcPr>
          <w:p w14:paraId="2EDDDA42" w14:textId="77777777" w:rsidR="00923319" w:rsidRPr="00A67277" w:rsidRDefault="00923319" w:rsidP="00923319">
            <w:pPr>
              <w:jc w:val="right"/>
              <w:rPr>
                <w:rFonts w:ascii="Arial" w:hAnsi="Arial" w:cs="Arial"/>
                <w:sz w:val="21"/>
                <w:szCs w:val="21"/>
              </w:rPr>
            </w:pPr>
          </w:p>
        </w:tc>
        <w:tc>
          <w:tcPr>
            <w:tcW w:w="3895" w:type="dxa"/>
          </w:tcPr>
          <w:p w14:paraId="100ADD76" w14:textId="77777777" w:rsidR="00923319" w:rsidRPr="00A67277" w:rsidRDefault="00923319" w:rsidP="00923319">
            <w:pPr>
              <w:rPr>
                <w:rFonts w:ascii="Arial" w:hAnsi="Arial" w:cs="Arial"/>
                <w:b/>
                <w:sz w:val="21"/>
                <w:szCs w:val="21"/>
              </w:rPr>
            </w:pPr>
          </w:p>
        </w:tc>
        <w:tc>
          <w:tcPr>
            <w:tcW w:w="278" w:type="dxa"/>
          </w:tcPr>
          <w:p w14:paraId="0BDEB649" w14:textId="77777777" w:rsidR="00923319" w:rsidRPr="00A67277" w:rsidRDefault="00923319" w:rsidP="00923319">
            <w:pPr>
              <w:rPr>
                <w:rFonts w:ascii="Arial" w:hAnsi="Arial" w:cs="Arial"/>
                <w:sz w:val="21"/>
                <w:szCs w:val="21"/>
              </w:rPr>
            </w:pPr>
          </w:p>
        </w:tc>
        <w:tc>
          <w:tcPr>
            <w:tcW w:w="828" w:type="dxa"/>
          </w:tcPr>
          <w:p w14:paraId="7A03CDC1" w14:textId="77777777" w:rsidR="00923319" w:rsidRPr="00A67277" w:rsidRDefault="00923319" w:rsidP="00923319">
            <w:pPr>
              <w:jc w:val="right"/>
              <w:rPr>
                <w:rFonts w:ascii="Arial" w:hAnsi="Arial" w:cs="Arial"/>
                <w:sz w:val="21"/>
                <w:szCs w:val="21"/>
              </w:rPr>
            </w:pPr>
          </w:p>
        </w:tc>
      </w:tr>
      <w:tr w:rsidR="00A67277" w:rsidRPr="00A67277" w14:paraId="3340EF87" w14:textId="77777777" w:rsidTr="00AA25DA">
        <w:tc>
          <w:tcPr>
            <w:tcW w:w="4350" w:type="dxa"/>
          </w:tcPr>
          <w:p w14:paraId="427111FF" w14:textId="76488297"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9</w:t>
            </w:r>
            <w:r w:rsidRPr="00A67277">
              <w:rPr>
                <w:rFonts w:ascii="Arial" w:hAnsi="Arial" w:cs="Arial"/>
                <w:b/>
                <w:sz w:val="21"/>
                <w:szCs w:val="21"/>
              </w:rPr>
              <w:t xml:space="preserve"> – KEY PERFORMANCE INDICATORS</w:t>
            </w:r>
          </w:p>
        </w:tc>
        <w:tc>
          <w:tcPr>
            <w:tcW w:w="567" w:type="dxa"/>
          </w:tcPr>
          <w:p w14:paraId="06CC4D5D" w14:textId="3172089B" w:rsidR="00923319" w:rsidRPr="00A67277" w:rsidRDefault="00AA25DA" w:rsidP="00923319">
            <w:pPr>
              <w:jc w:val="right"/>
              <w:rPr>
                <w:rFonts w:ascii="Arial" w:hAnsi="Arial" w:cs="Arial"/>
                <w:sz w:val="21"/>
                <w:szCs w:val="21"/>
              </w:rPr>
            </w:pPr>
            <w:r>
              <w:rPr>
                <w:rFonts w:ascii="Arial" w:hAnsi="Arial" w:cs="Arial"/>
                <w:sz w:val="21"/>
                <w:szCs w:val="21"/>
              </w:rPr>
              <w:t>242</w:t>
            </w:r>
          </w:p>
        </w:tc>
        <w:tc>
          <w:tcPr>
            <w:tcW w:w="3895" w:type="dxa"/>
          </w:tcPr>
          <w:p w14:paraId="66C0A793" w14:textId="56C6C6E7"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9</w:t>
            </w:r>
            <w:r w:rsidRPr="00A67277">
              <w:rPr>
                <w:rFonts w:ascii="Arial" w:hAnsi="Arial" w:cs="Arial"/>
                <w:b/>
                <w:sz w:val="21"/>
                <w:szCs w:val="21"/>
              </w:rPr>
              <w:t xml:space="preserve"> – INDIKATOR KINERJA UTAMA</w:t>
            </w:r>
          </w:p>
        </w:tc>
        <w:tc>
          <w:tcPr>
            <w:tcW w:w="278" w:type="dxa"/>
          </w:tcPr>
          <w:p w14:paraId="07E9947D" w14:textId="77777777" w:rsidR="00923319" w:rsidRPr="00A67277" w:rsidRDefault="00923319" w:rsidP="00923319">
            <w:pPr>
              <w:rPr>
                <w:rFonts w:ascii="Arial" w:hAnsi="Arial" w:cs="Arial"/>
                <w:sz w:val="21"/>
                <w:szCs w:val="21"/>
              </w:rPr>
            </w:pPr>
          </w:p>
        </w:tc>
        <w:tc>
          <w:tcPr>
            <w:tcW w:w="828" w:type="dxa"/>
          </w:tcPr>
          <w:p w14:paraId="26F229F9" w14:textId="77777777" w:rsidR="00923319" w:rsidRPr="00A67277" w:rsidRDefault="00923319" w:rsidP="00923319">
            <w:pPr>
              <w:jc w:val="right"/>
              <w:rPr>
                <w:rFonts w:ascii="Arial" w:hAnsi="Arial" w:cs="Arial"/>
                <w:sz w:val="21"/>
                <w:szCs w:val="21"/>
              </w:rPr>
            </w:pPr>
          </w:p>
        </w:tc>
      </w:tr>
      <w:tr w:rsidR="00A67277" w:rsidRPr="00A67277" w14:paraId="31B9052E" w14:textId="77777777" w:rsidTr="00AA25DA">
        <w:tc>
          <w:tcPr>
            <w:tcW w:w="4350" w:type="dxa"/>
          </w:tcPr>
          <w:p w14:paraId="5D31DF1D" w14:textId="77777777" w:rsidR="00923319" w:rsidRPr="00A67277" w:rsidRDefault="00923319" w:rsidP="00923319">
            <w:pPr>
              <w:rPr>
                <w:rFonts w:ascii="Arial" w:hAnsi="Arial" w:cs="Arial"/>
                <w:b/>
                <w:sz w:val="21"/>
                <w:szCs w:val="21"/>
              </w:rPr>
            </w:pPr>
          </w:p>
        </w:tc>
        <w:tc>
          <w:tcPr>
            <w:tcW w:w="567" w:type="dxa"/>
          </w:tcPr>
          <w:p w14:paraId="5D4949E7" w14:textId="77777777" w:rsidR="00923319" w:rsidRPr="00A67277" w:rsidRDefault="00923319" w:rsidP="00923319">
            <w:pPr>
              <w:jc w:val="right"/>
              <w:rPr>
                <w:rFonts w:ascii="Arial" w:hAnsi="Arial" w:cs="Arial"/>
                <w:sz w:val="21"/>
                <w:szCs w:val="21"/>
              </w:rPr>
            </w:pPr>
          </w:p>
        </w:tc>
        <w:tc>
          <w:tcPr>
            <w:tcW w:w="3895" w:type="dxa"/>
          </w:tcPr>
          <w:p w14:paraId="5FA5121C" w14:textId="77777777" w:rsidR="00923319" w:rsidRPr="00A67277" w:rsidRDefault="00923319" w:rsidP="00923319">
            <w:pPr>
              <w:rPr>
                <w:rFonts w:ascii="Arial" w:hAnsi="Arial" w:cs="Arial"/>
                <w:b/>
                <w:sz w:val="21"/>
                <w:szCs w:val="21"/>
              </w:rPr>
            </w:pPr>
          </w:p>
        </w:tc>
        <w:tc>
          <w:tcPr>
            <w:tcW w:w="278" w:type="dxa"/>
          </w:tcPr>
          <w:p w14:paraId="5AB4AB4A" w14:textId="77777777" w:rsidR="00923319" w:rsidRPr="00A67277" w:rsidRDefault="00923319" w:rsidP="00923319">
            <w:pPr>
              <w:rPr>
                <w:rFonts w:ascii="Arial" w:hAnsi="Arial" w:cs="Arial"/>
                <w:sz w:val="21"/>
                <w:szCs w:val="21"/>
              </w:rPr>
            </w:pPr>
          </w:p>
        </w:tc>
        <w:tc>
          <w:tcPr>
            <w:tcW w:w="828" w:type="dxa"/>
          </w:tcPr>
          <w:p w14:paraId="601C1E08" w14:textId="77777777" w:rsidR="00923319" w:rsidRPr="00A67277" w:rsidRDefault="00923319" w:rsidP="00923319">
            <w:pPr>
              <w:jc w:val="right"/>
              <w:rPr>
                <w:rFonts w:ascii="Arial" w:hAnsi="Arial" w:cs="Arial"/>
                <w:sz w:val="21"/>
                <w:szCs w:val="21"/>
              </w:rPr>
            </w:pPr>
          </w:p>
        </w:tc>
      </w:tr>
      <w:tr w:rsidR="00A67277" w:rsidRPr="00A67277" w14:paraId="036CCE6F" w14:textId="77777777" w:rsidTr="00AA25DA">
        <w:tc>
          <w:tcPr>
            <w:tcW w:w="4350" w:type="dxa"/>
          </w:tcPr>
          <w:p w14:paraId="4632DC6A" w14:textId="22C962E9"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10</w:t>
            </w:r>
            <w:r w:rsidRPr="00A67277">
              <w:rPr>
                <w:rFonts w:ascii="Arial" w:hAnsi="Arial" w:cs="Arial"/>
                <w:b/>
                <w:sz w:val="21"/>
                <w:szCs w:val="21"/>
              </w:rPr>
              <w:t xml:space="preserve"> – INVOICING</w:t>
            </w:r>
          </w:p>
        </w:tc>
        <w:tc>
          <w:tcPr>
            <w:tcW w:w="567" w:type="dxa"/>
          </w:tcPr>
          <w:p w14:paraId="283E964A" w14:textId="655AAC2A" w:rsidR="00923319" w:rsidRPr="00A67277" w:rsidRDefault="00AA25DA" w:rsidP="00923319">
            <w:pPr>
              <w:jc w:val="right"/>
              <w:rPr>
                <w:rFonts w:ascii="Arial" w:hAnsi="Arial" w:cs="Arial"/>
                <w:sz w:val="21"/>
                <w:szCs w:val="21"/>
              </w:rPr>
            </w:pPr>
            <w:r>
              <w:rPr>
                <w:rFonts w:ascii="Arial" w:hAnsi="Arial" w:cs="Arial"/>
                <w:sz w:val="21"/>
                <w:szCs w:val="21"/>
              </w:rPr>
              <w:t>248</w:t>
            </w:r>
          </w:p>
        </w:tc>
        <w:tc>
          <w:tcPr>
            <w:tcW w:w="3895" w:type="dxa"/>
          </w:tcPr>
          <w:p w14:paraId="04186F2D" w14:textId="22E45A11"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10</w:t>
            </w:r>
            <w:r w:rsidRPr="00A67277">
              <w:rPr>
                <w:rFonts w:ascii="Arial" w:hAnsi="Arial" w:cs="Arial"/>
                <w:b/>
                <w:sz w:val="21"/>
                <w:szCs w:val="21"/>
              </w:rPr>
              <w:t xml:space="preserve"> - TAGIHAN</w:t>
            </w:r>
          </w:p>
        </w:tc>
        <w:tc>
          <w:tcPr>
            <w:tcW w:w="278" w:type="dxa"/>
          </w:tcPr>
          <w:p w14:paraId="386DC01B" w14:textId="77777777" w:rsidR="00923319" w:rsidRPr="00A67277" w:rsidRDefault="00923319" w:rsidP="00923319">
            <w:pPr>
              <w:rPr>
                <w:rFonts w:ascii="Arial" w:hAnsi="Arial" w:cs="Arial"/>
                <w:sz w:val="21"/>
                <w:szCs w:val="21"/>
              </w:rPr>
            </w:pPr>
          </w:p>
        </w:tc>
        <w:tc>
          <w:tcPr>
            <w:tcW w:w="828" w:type="dxa"/>
          </w:tcPr>
          <w:p w14:paraId="656F8C78" w14:textId="77777777" w:rsidR="00923319" w:rsidRPr="00A67277" w:rsidRDefault="00923319" w:rsidP="00923319">
            <w:pPr>
              <w:jc w:val="right"/>
              <w:rPr>
                <w:rFonts w:ascii="Arial" w:hAnsi="Arial" w:cs="Arial"/>
                <w:sz w:val="21"/>
                <w:szCs w:val="21"/>
              </w:rPr>
            </w:pPr>
          </w:p>
        </w:tc>
      </w:tr>
      <w:tr w:rsidR="00A67277" w:rsidRPr="00A67277" w14:paraId="24C780F5" w14:textId="77777777" w:rsidTr="00AA25DA">
        <w:tc>
          <w:tcPr>
            <w:tcW w:w="4350" w:type="dxa"/>
          </w:tcPr>
          <w:p w14:paraId="00382EF3" w14:textId="77777777" w:rsidR="00923319" w:rsidRPr="00A67277" w:rsidRDefault="00923319" w:rsidP="00923319">
            <w:pPr>
              <w:rPr>
                <w:rFonts w:ascii="Arial" w:hAnsi="Arial" w:cs="Arial"/>
                <w:b/>
                <w:sz w:val="21"/>
                <w:szCs w:val="21"/>
              </w:rPr>
            </w:pPr>
          </w:p>
        </w:tc>
        <w:tc>
          <w:tcPr>
            <w:tcW w:w="567" w:type="dxa"/>
          </w:tcPr>
          <w:p w14:paraId="066DE3B7" w14:textId="77777777" w:rsidR="00923319" w:rsidRPr="00A67277" w:rsidRDefault="00923319" w:rsidP="00923319">
            <w:pPr>
              <w:jc w:val="right"/>
              <w:rPr>
                <w:rFonts w:ascii="Arial" w:hAnsi="Arial" w:cs="Arial"/>
                <w:sz w:val="21"/>
                <w:szCs w:val="21"/>
              </w:rPr>
            </w:pPr>
          </w:p>
        </w:tc>
        <w:tc>
          <w:tcPr>
            <w:tcW w:w="3895" w:type="dxa"/>
          </w:tcPr>
          <w:p w14:paraId="40C5A93E" w14:textId="77777777" w:rsidR="00923319" w:rsidRPr="00A67277" w:rsidRDefault="00923319" w:rsidP="00923319">
            <w:pPr>
              <w:rPr>
                <w:rFonts w:ascii="Arial" w:hAnsi="Arial" w:cs="Arial"/>
                <w:b/>
                <w:sz w:val="21"/>
                <w:szCs w:val="21"/>
              </w:rPr>
            </w:pPr>
          </w:p>
        </w:tc>
        <w:tc>
          <w:tcPr>
            <w:tcW w:w="278" w:type="dxa"/>
          </w:tcPr>
          <w:p w14:paraId="79FA757D" w14:textId="77777777" w:rsidR="00923319" w:rsidRPr="00A67277" w:rsidRDefault="00923319" w:rsidP="00923319">
            <w:pPr>
              <w:rPr>
                <w:rFonts w:ascii="Arial" w:hAnsi="Arial" w:cs="Arial"/>
                <w:sz w:val="21"/>
                <w:szCs w:val="21"/>
              </w:rPr>
            </w:pPr>
          </w:p>
        </w:tc>
        <w:tc>
          <w:tcPr>
            <w:tcW w:w="828" w:type="dxa"/>
          </w:tcPr>
          <w:p w14:paraId="187A3ECA" w14:textId="77777777" w:rsidR="00923319" w:rsidRPr="00A67277" w:rsidRDefault="00923319" w:rsidP="00923319">
            <w:pPr>
              <w:jc w:val="right"/>
              <w:rPr>
                <w:rFonts w:ascii="Arial" w:hAnsi="Arial" w:cs="Arial"/>
                <w:sz w:val="21"/>
                <w:szCs w:val="21"/>
              </w:rPr>
            </w:pPr>
          </w:p>
        </w:tc>
      </w:tr>
      <w:tr w:rsidR="00A67277" w:rsidRPr="00A67277" w14:paraId="0AAB6C35" w14:textId="77777777" w:rsidTr="00AA25DA">
        <w:tc>
          <w:tcPr>
            <w:tcW w:w="4350" w:type="dxa"/>
          </w:tcPr>
          <w:p w14:paraId="14AB0BFA" w14:textId="2D5FF45A"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11</w:t>
            </w:r>
            <w:r w:rsidRPr="00A67277">
              <w:rPr>
                <w:rFonts w:ascii="Arial" w:hAnsi="Arial" w:cs="Arial"/>
                <w:b/>
                <w:sz w:val="21"/>
                <w:szCs w:val="21"/>
              </w:rPr>
              <w:t xml:space="preserve"> – KEY AUTHORISATIONS</w:t>
            </w:r>
          </w:p>
        </w:tc>
        <w:tc>
          <w:tcPr>
            <w:tcW w:w="567" w:type="dxa"/>
          </w:tcPr>
          <w:p w14:paraId="00F7288D" w14:textId="65B155B0" w:rsidR="00923319" w:rsidRPr="00A67277" w:rsidRDefault="00AA25DA" w:rsidP="00923319">
            <w:pPr>
              <w:jc w:val="right"/>
              <w:rPr>
                <w:rFonts w:ascii="Arial" w:hAnsi="Arial" w:cs="Arial"/>
                <w:sz w:val="21"/>
                <w:szCs w:val="21"/>
              </w:rPr>
            </w:pPr>
            <w:r>
              <w:rPr>
                <w:rFonts w:ascii="Arial" w:hAnsi="Arial" w:cs="Arial"/>
                <w:sz w:val="21"/>
                <w:szCs w:val="21"/>
              </w:rPr>
              <w:t>249</w:t>
            </w:r>
          </w:p>
        </w:tc>
        <w:tc>
          <w:tcPr>
            <w:tcW w:w="3895" w:type="dxa"/>
          </w:tcPr>
          <w:p w14:paraId="24DB5B94" w14:textId="552DE0AF"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11</w:t>
            </w:r>
            <w:r w:rsidRPr="00A67277">
              <w:rPr>
                <w:rFonts w:ascii="Arial" w:hAnsi="Arial" w:cs="Arial"/>
                <w:b/>
                <w:sz w:val="21"/>
                <w:szCs w:val="21"/>
              </w:rPr>
              <w:t xml:space="preserve"> – PERSETUJUAN – PERSETUJUAN UTAMA</w:t>
            </w:r>
          </w:p>
        </w:tc>
        <w:tc>
          <w:tcPr>
            <w:tcW w:w="278" w:type="dxa"/>
          </w:tcPr>
          <w:p w14:paraId="0E54F2A5" w14:textId="77777777" w:rsidR="00923319" w:rsidRPr="00A67277" w:rsidRDefault="00923319" w:rsidP="00923319">
            <w:pPr>
              <w:rPr>
                <w:rFonts w:ascii="Arial" w:hAnsi="Arial" w:cs="Arial"/>
                <w:sz w:val="21"/>
                <w:szCs w:val="21"/>
              </w:rPr>
            </w:pPr>
          </w:p>
        </w:tc>
        <w:tc>
          <w:tcPr>
            <w:tcW w:w="828" w:type="dxa"/>
          </w:tcPr>
          <w:p w14:paraId="6BED538E" w14:textId="77777777" w:rsidR="00923319" w:rsidRPr="00A67277" w:rsidRDefault="00923319" w:rsidP="00923319">
            <w:pPr>
              <w:jc w:val="right"/>
              <w:rPr>
                <w:rFonts w:ascii="Arial" w:hAnsi="Arial" w:cs="Arial"/>
                <w:sz w:val="21"/>
                <w:szCs w:val="21"/>
              </w:rPr>
            </w:pPr>
          </w:p>
        </w:tc>
      </w:tr>
      <w:tr w:rsidR="00A67277" w:rsidRPr="00A67277" w14:paraId="646D1968" w14:textId="77777777" w:rsidTr="00AA25DA">
        <w:tc>
          <w:tcPr>
            <w:tcW w:w="4350" w:type="dxa"/>
          </w:tcPr>
          <w:p w14:paraId="6D62E1A0" w14:textId="77777777" w:rsidR="00923319" w:rsidRPr="00A67277" w:rsidRDefault="00923319" w:rsidP="00923319">
            <w:pPr>
              <w:rPr>
                <w:rFonts w:ascii="Arial" w:hAnsi="Arial" w:cs="Arial"/>
                <w:b/>
                <w:sz w:val="21"/>
                <w:szCs w:val="21"/>
              </w:rPr>
            </w:pPr>
          </w:p>
        </w:tc>
        <w:tc>
          <w:tcPr>
            <w:tcW w:w="567" w:type="dxa"/>
          </w:tcPr>
          <w:p w14:paraId="0576B60F" w14:textId="77777777" w:rsidR="00923319" w:rsidRPr="00A67277" w:rsidRDefault="00923319" w:rsidP="00923319">
            <w:pPr>
              <w:jc w:val="right"/>
              <w:rPr>
                <w:rFonts w:ascii="Arial" w:hAnsi="Arial" w:cs="Arial"/>
                <w:b/>
                <w:sz w:val="21"/>
                <w:szCs w:val="21"/>
              </w:rPr>
            </w:pPr>
          </w:p>
        </w:tc>
        <w:tc>
          <w:tcPr>
            <w:tcW w:w="3895" w:type="dxa"/>
          </w:tcPr>
          <w:p w14:paraId="36330589" w14:textId="77777777" w:rsidR="00923319" w:rsidRPr="00A67277" w:rsidRDefault="00923319" w:rsidP="00923319">
            <w:pPr>
              <w:rPr>
                <w:rFonts w:ascii="Arial" w:hAnsi="Arial" w:cs="Arial"/>
                <w:b/>
                <w:sz w:val="21"/>
                <w:szCs w:val="21"/>
              </w:rPr>
            </w:pPr>
          </w:p>
        </w:tc>
        <w:tc>
          <w:tcPr>
            <w:tcW w:w="278" w:type="dxa"/>
          </w:tcPr>
          <w:p w14:paraId="5E68396D" w14:textId="77777777" w:rsidR="00923319" w:rsidRPr="00A67277" w:rsidRDefault="00923319" w:rsidP="00923319">
            <w:pPr>
              <w:rPr>
                <w:rFonts w:ascii="Arial" w:hAnsi="Arial" w:cs="Arial"/>
                <w:sz w:val="21"/>
                <w:szCs w:val="21"/>
              </w:rPr>
            </w:pPr>
          </w:p>
        </w:tc>
        <w:tc>
          <w:tcPr>
            <w:tcW w:w="828" w:type="dxa"/>
          </w:tcPr>
          <w:p w14:paraId="5F6FF093" w14:textId="77777777" w:rsidR="00923319" w:rsidRPr="00A67277" w:rsidRDefault="00923319" w:rsidP="00923319">
            <w:pPr>
              <w:jc w:val="right"/>
              <w:rPr>
                <w:rFonts w:ascii="Arial" w:hAnsi="Arial" w:cs="Arial"/>
                <w:sz w:val="21"/>
                <w:szCs w:val="21"/>
              </w:rPr>
            </w:pPr>
          </w:p>
        </w:tc>
      </w:tr>
      <w:tr w:rsidR="00A67277" w:rsidRPr="00A67277" w14:paraId="285A9067" w14:textId="77777777" w:rsidTr="00AA25DA">
        <w:tc>
          <w:tcPr>
            <w:tcW w:w="4350" w:type="dxa"/>
          </w:tcPr>
          <w:p w14:paraId="41E15A1C" w14:textId="77777777" w:rsidR="00923319" w:rsidRPr="00A67277" w:rsidRDefault="00923319" w:rsidP="00923319">
            <w:pPr>
              <w:rPr>
                <w:rFonts w:ascii="Arial" w:hAnsi="Arial" w:cs="Arial"/>
                <w:b/>
                <w:sz w:val="21"/>
                <w:szCs w:val="21"/>
              </w:rPr>
            </w:pPr>
          </w:p>
        </w:tc>
        <w:tc>
          <w:tcPr>
            <w:tcW w:w="567" w:type="dxa"/>
          </w:tcPr>
          <w:p w14:paraId="7D4AC460" w14:textId="77777777" w:rsidR="00923319" w:rsidRPr="00A67277" w:rsidRDefault="00923319" w:rsidP="00923319">
            <w:pPr>
              <w:jc w:val="right"/>
              <w:rPr>
                <w:rFonts w:ascii="Arial" w:hAnsi="Arial" w:cs="Arial"/>
                <w:sz w:val="21"/>
                <w:szCs w:val="21"/>
              </w:rPr>
            </w:pPr>
          </w:p>
        </w:tc>
        <w:tc>
          <w:tcPr>
            <w:tcW w:w="3895" w:type="dxa"/>
          </w:tcPr>
          <w:p w14:paraId="385C9FC5" w14:textId="77777777" w:rsidR="00923319" w:rsidRPr="00A67277" w:rsidRDefault="00923319" w:rsidP="00923319">
            <w:pPr>
              <w:rPr>
                <w:rFonts w:ascii="Arial" w:hAnsi="Arial" w:cs="Arial"/>
                <w:b/>
                <w:sz w:val="21"/>
                <w:szCs w:val="21"/>
              </w:rPr>
            </w:pPr>
          </w:p>
        </w:tc>
        <w:tc>
          <w:tcPr>
            <w:tcW w:w="278" w:type="dxa"/>
          </w:tcPr>
          <w:p w14:paraId="546A1D02" w14:textId="77777777" w:rsidR="00923319" w:rsidRPr="00A67277" w:rsidRDefault="00923319" w:rsidP="00923319">
            <w:pPr>
              <w:rPr>
                <w:rFonts w:ascii="Arial" w:hAnsi="Arial" w:cs="Arial"/>
                <w:sz w:val="21"/>
                <w:szCs w:val="21"/>
              </w:rPr>
            </w:pPr>
          </w:p>
        </w:tc>
        <w:tc>
          <w:tcPr>
            <w:tcW w:w="828" w:type="dxa"/>
          </w:tcPr>
          <w:p w14:paraId="05E7CAC5" w14:textId="77777777" w:rsidR="00923319" w:rsidRPr="00A67277" w:rsidRDefault="00923319" w:rsidP="00923319">
            <w:pPr>
              <w:jc w:val="right"/>
              <w:rPr>
                <w:rFonts w:ascii="Arial" w:hAnsi="Arial" w:cs="Arial"/>
                <w:sz w:val="21"/>
                <w:szCs w:val="21"/>
              </w:rPr>
            </w:pPr>
          </w:p>
        </w:tc>
      </w:tr>
      <w:tr w:rsidR="00A67277" w:rsidRPr="00A67277" w14:paraId="45D98663" w14:textId="77777777" w:rsidTr="00AA25DA">
        <w:tc>
          <w:tcPr>
            <w:tcW w:w="4350" w:type="dxa"/>
          </w:tcPr>
          <w:p w14:paraId="35629908" w14:textId="7F15FF7B"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12</w:t>
            </w:r>
            <w:r w:rsidRPr="00A67277">
              <w:rPr>
                <w:rFonts w:ascii="Arial" w:hAnsi="Arial" w:cs="Arial"/>
                <w:b/>
                <w:sz w:val="21"/>
                <w:szCs w:val="21"/>
              </w:rPr>
              <w:t xml:space="preserve"> – </w:t>
            </w:r>
            <w:r w:rsidR="00FD6128">
              <w:rPr>
                <w:rFonts w:ascii="Arial" w:hAnsi="Arial" w:cs="Arial"/>
                <w:b/>
                <w:sz w:val="21"/>
                <w:szCs w:val="21"/>
              </w:rPr>
              <w:t>SERVICE FEE</w:t>
            </w:r>
          </w:p>
        </w:tc>
        <w:tc>
          <w:tcPr>
            <w:tcW w:w="567" w:type="dxa"/>
          </w:tcPr>
          <w:p w14:paraId="2295AB0A" w14:textId="60BB3CEF" w:rsidR="00923319" w:rsidRPr="00A67277" w:rsidRDefault="00AA25DA" w:rsidP="00923319">
            <w:pPr>
              <w:jc w:val="right"/>
              <w:rPr>
                <w:rFonts w:ascii="Arial" w:hAnsi="Arial" w:cs="Arial"/>
                <w:sz w:val="21"/>
                <w:szCs w:val="21"/>
              </w:rPr>
            </w:pPr>
            <w:r>
              <w:rPr>
                <w:rFonts w:ascii="Arial" w:hAnsi="Arial" w:cs="Arial"/>
                <w:sz w:val="21"/>
                <w:szCs w:val="21"/>
              </w:rPr>
              <w:t>251</w:t>
            </w:r>
          </w:p>
        </w:tc>
        <w:tc>
          <w:tcPr>
            <w:tcW w:w="3895" w:type="dxa"/>
          </w:tcPr>
          <w:p w14:paraId="62CF5E05" w14:textId="723A89A3"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12</w:t>
            </w:r>
            <w:r w:rsidRPr="00A67277">
              <w:rPr>
                <w:rFonts w:ascii="Arial" w:hAnsi="Arial" w:cs="Arial"/>
                <w:b/>
                <w:sz w:val="21"/>
                <w:szCs w:val="21"/>
              </w:rPr>
              <w:t xml:space="preserve"> –</w:t>
            </w:r>
            <w:r w:rsidR="00BD32E7">
              <w:rPr>
                <w:rFonts w:ascii="Arial" w:hAnsi="Arial" w:cs="Arial"/>
                <w:b/>
                <w:sz w:val="21"/>
                <w:szCs w:val="21"/>
              </w:rPr>
              <w:t>BIAYA</w:t>
            </w:r>
            <w:r w:rsidR="00BD32E7" w:rsidRPr="00A67277">
              <w:rPr>
                <w:rFonts w:ascii="Arial" w:hAnsi="Arial" w:cs="Arial"/>
                <w:b/>
                <w:sz w:val="21"/>
                <w:szCs w:val="21"/>
              </w:rPr>
              <w:t xml:space="preserve"> </w:t>
            </w:r>
            <w:r w:rsidRPr="00A67277">
              <w:rPr>
                <w:rFonts w:ascii="Arial" w:hAnsi="Arial" w:cs="Arial"/>
                <w:b/>
                <w:sz w:val="21"/>
                <w:szCs w:val="21"/>
              </w:rPr>
              <w:t>LAYANAN</w:t>
            </w:r>
          </w:p>
        </w:tc>
        <w:tc>
          <w:tcPr>
            <w:tcW w:w="278" w:type="dxa"/>
          </w:tcPr>
          <w:p w14:paraId="4856D948" w14:textId="77777777" w:rsidR="00923319" w:rsidRPr="00A67277" w:rsidRDefault="00923319" w:rsidP="00923319">
            <w:pPr>
              <w:rPr>
                <w:rFonts w:ascii="Arial" w:hAnsi="Arial" w:cs="Arial"/>
                <w:sz w:val="21"/>
                <w:szCs w:val="21"/>
              </w:rPr>
            </w:pPr>
          </w:p>
        </w:tc>
        <w:tc>
          <w:tcPr>
            <w:tcW w:w="828" w:type="dxa"/>
          </w:tcPr>
          <w:p w14:paraId="46DA7579" w14:textId="77777777" w:rsidR="00923319" w:rsidRPr="00A67277" w:rsidRDefault="00923319" w:rsidP="00923319">
            <w:pPr>
              <w:jc w:val="right"/>
              <w:rPr>
                <w:rFonts w:ascii="Arial" w:hAnsi="Arial" w:cs="Arial"/>
                <w:sz w:val="21"/>
                <w:szCs w:val="21"/>
              </w:rPr>
            </w:pPr>
          </w:p>
        </w:tc>
      </w:tr>
      <w:tr w:rsidR="00A67277" w:rsidRPr="00A67277" w14:paraId="23D20BF1" w14:textId="77777777" w:rsidTr="00AA25DA">
        <w:tc>
          <w:tcPr>
            <w:tcW w:w="4350" w:type="dxa"/>
          </w:tcPr>
          <w:p w14:paraId="45055F3A" w14:textId="77777777" w:rsidR="00923319" w:rsidRPr="00A67277" w:rsidRDefault="00923319" w:rsidP="00923319">
            <w:pPr>
              <w:rPr>
                <w:rFonts w:ascii="Arial" w:hAnsi="Arial" w:cs="Arial"/>
                <w:b/>
                <w:sz w:val="21"/>
                <w:szCs w:val="21"/>
              </w:rPr>
            </w:pPr>
          </w:p>
        </w:tc>
        <w:tc>
          <w:tcPr>
            <w:tcW w:w="567" w:type="dxa"/>
          </w:tcPr>
          <w:p w14:paraId="7A23170C" w14:textId="77777777" w:rsidR="00923319" w:rsidRPr="00A67277" w:rsidRDefault="00923319" w:rsidP="00923319">
            <w:pPr>
              <w:jc w:val="right"/>
              <w:rPr>
                <w:rFonts w:ascii="Arial" w:hAnsi="Arial" w:cs="Arial"/>
                <w:sz w:val="21"/>
                <w:szCs w:val="21"/>
              </w:rPr>
            </w:pPr>
          </w:p>
        </w:tc>
        <w:tc>
          <w:tcPr>
            <w:tcW w:w="3895" w:type="dxa"/>
          </w:tcPr>
          <w:p w14:paraId="2F38258A" w14:textId="77777777" w:rsidR="00923319" w:rsidRPr="00A67277" w:rsidRDefault="00923319" w:rsidP="00923319">
            <w:pPr>
              <w:rPr>
                <w:rFonts w:ascii="Arial" w:hAnsi="Arial" w:cs="Arial"/>
                <w:b/>
                <w:sz w:val="21"/>
                <w:szCs w:val="21"/>
              </w:rPr>
            </w:pPr>
          </w:p>
        </w:tc>
        <w:tc>
          <w:tcPr>
            <w:tcW w:w="278" w:type="dxa"/>
          </w:tcPr>
          <w:p w14:paraId="1804F47B" w14:textId="77777777" w:rsidR="00923319" w:rsidRPr="00A67277" w:rsidRDefault="00923319" w:rsidP="00923319">
            <w:pPr>
              <w:rPr>
                <w:rFonts w:ascii="Arial" w:hAnsi="Arial" w:cs="Arial"/>
                <w:sz w:val="21"/>
                <w:szCs w:val="21"/>
              </w:rPr>
            </w:pPr>
          </w:p>
        </w:tc>
        <w:tc>
          <w:tcPr>
            <w:tcW w:w="828" w:type="dxa"/>
          </w:tcPr>
          <w:p w14:paraId="1123C1E4" w14:textId="77777777" w:rsidR="00923319" w:rsidRPr="00A67277" w:rsidRDefault="00923319" w:rsidP="00923319">
            <w:pPr>
              <w:jc w:val="right"/>
              <w:rPr>
                <w:rFonts w:ascii="Arial" w:hAnsi="Arial" w:cs="Arial"/>
                <w:sz w:val="21"/>
                <w:szCs w:val="21"/>
              </w:rPr>
            </w:pPr>
          </w:p>
        </w:tc>
      </w:tr>
      <w:tr w:rsidR="00A67277" w:rsidRPr="00A67277" w14:paraId="3B089527" w14:textId="77777777" w:rsidTr="00AA25DA">
        <w:tc>
          <w:tcPr>
            <w:tcW w:w="4350" w:type="dxa"/>
          </w:tcPr>
          <w:p w14:paraId="4C20D44C" w14:textId="64E11252"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13</w:t>
            </w:r>
            <w:r w:rsidRPr="00A67277">
              <w:rPr>
                <w:rFonts w:ascii="Arial" w:hAnsi="Arial" w:cs="Arial"/>
                <w:b/>
                <w:sz w:val="21"/>
                <w:szCs w:val="21"/>
              </w:rPr>
              <w:t xml:space="preserve"> – LIST OF TOLL ROAD LANES</w:t>
            </w:r>
          </w:p>
        </w:tc>
        <w:tc>
          <w:tcPr>
            <w:tcW w:w="567" w:type="dxa"/>
          </w:tcPr>
          <w:p w14:paraId="227D46D8" w14:textId="77924144" w:rsidR="00923319" w:rsidRPr="00A67277" w:rsidRDefault="00AA25DA" w:rsidP="00923319">
            <w:pPr>
              <w:jc w:val="right"/>
              <w:rPr>
                <w:rFonts w:ascii="Arial" w:hAnsi="Arial" w:cs="Arial"/>
                <w:sz w:val="21"/>
                <w:szCs w:val="21"/>
              </w:rPr>
            </w:pPr>
            <w:r>
              <w:rPr>
                <w:rFonts w:ascii="Arial" w:hAnsi="Arial" w:cs="Arial"/>
                <w:sz w:val="21"/>
                <w:szCs w:val="21"/>
              </w:rPr>
              <w:t>259</w:t>
            </w:r>
          </w:p>
        </w:tc>
        <w:tc>
          <w:tcPr>
            <w:tcW w:w="3895" w:type="dxa"/>
          </w:tcPr>
          <w:p w14:paraId="3B13A123" w14:textId="2988B93E"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13</w:t>
            </w:r>
            <w:r w:rsidRPr="00A67277">
              <w:rPr>
                <w:rFonts w:ascii="Arial" w:hAnsi="Arial" w:cs="Arial"/>
                <w:b/>
                <w:sz w:val="21"/>
                <w:szCs w:val="21"/>
              </w:rPr>
              <w:t xml:space="preserve"> – DAFTAR JALUR JALAN TOL</w:t>
            </w:r>
          </w:p>
        </w:tc>
        <w:tc>
          <w:tcPr>
            <w:tcW w:w="278" w:type="dxa"/>
          </w:tcPr>
          <w:p w14:paraId="7B199F4B" w14:textId="5FC2E555" w:rsidR="00923319" w:rsidRPr="00A67277" w:rsidRDefault="00097346" w:rsidP="00923319">
            <w:pPr>
              <w:rPr>
                <w:rFonts w:ascii="Arial" w:hAnsi="Arial" w:cs="Arial"/>
                <w:sz w:val="21"/>
                <w:szCs w:val="21"/>
              </w:rPr>
            </w:pPr>
            <w:r>
              <w:rPr>
                <w:rFonts w:ascii="Arial" w:hAnsi="Arial" w:cs="Arial"/>
                <w:sz w:val="21"/>
                <w:szCs w:val="21"/>
              </w:rPr>
              <w:t>259</w:t>
            </w:r>
          </w:p>
        </w:tc>
        <w:tc>
          <w:tcPr>
            <w:tcW w:w="828" w:type="dxa"/>
          </w:tcPr>
          <w:p w14:paraId="2100E973" w14:textId="77777777" w:rsidR="00923319" w:rsidRPr="00A67277" w:rsidRDefault="00923319" w:rsidP="00923319">
            <w:pPr>
              <w:jc w:val="right"/>
              <w:rPr>
                <w:rFonts w:ascii="Arial" w:hAnsi="Arial" w:cs="Arial"/>
                <w:sz w:val="21"/>
                <w:szCs w:val="21"/>
              </w:rPr>
            </w:pPr>
          </w:p>
        </w:tc>
      </w:tr>
      <w:tr w:rsidR="00A67277" w:rsidRPr="00A67277" w14:paraId="7EDC5471" w14:textId="77777777" w:rsidTr="00AA25DA">
        <w:tc>
          <w:tcPr>
            <w:tcW w:w="4350" w:type="dxa"/>
          </w:tcPr>
          <w:p w14:paraId="534ED1BB" w14:textId="77777777" w:rsidR="00923319" w:rsidRPr="00A67277" w:rsidRDefault="00923319" w:rsidP="00923319">
            <w:pPr>
              <w:rPr>
                <w:rFonts w:ascii="Arial" w:hAnsi="Arial" w:cs="Arial"/>
                <w:b/>
                <w:sz w:val="21"/>
                <w:szCs w:val="21"/>
              </w:rPr>
            </w:pPr>
          </w:p>
        </w:tc>
        <w:tc>
          <w:tcPr>
            <w:tcW w:w="567" w:type="dxa"/>
          </w:tcPr>
          <w:p w14:paraId="11D0E79A" w14:textId="77777777" w:rsidR="00923319" w:rsidRPr="00A67277" w:rsidRDefault="00923319" w:rsidP="00923319">
            <w:pPr>
              <w:jc w:val="right"/>
              <w:rPr>
                <w:rFonts w:ascii="Arial" w:hAnsi="Arial" w:cs="Arial"/>
                <w:sz w:val="21"/>
                <w:szCs w:val="21"/>
              </w:rPr>
            </w:pPr>
          </w:p>
        </w:tc>
        <w:tc>
          <w:tcPr>
            <w:tcW w:w="3895" w:type="dxa"/>
          </w:tcPr>
          <w:p w14:paraId="1651AB4E" w14:textId="77777777" w:rsidR="00923319" w:rsidRPr="00A67277" w:rsidRDefault="00923319" w:rsidP="00923319">
            <w:pPr>
              <w:rPr>
                <w:rFonts w:ascii="Arial" w:hAnsi="Arial" w:cs="Arial"/>
                <w:b/>
                <w:sz w:val="21"/>
                <w:szCs w:val="21"/>
              </w:rPr>
            </w:pPr>
          </w:p>
        </w:tc>
        <w:tc>
          <w:tcPr>
            <w:tcW w:w="278" w:type="dxa"/>
          </w:tcPr>
          <w:p w14:paraId="56259731" w14:textId="77777777" w:rsidR="00923319" w:rsidRPr="00A67277" w:rsidRDefault="00923319" w:rsidP="00923319">
            <w:pPr>
              <w:rPr>
                <w:rFonts w:ascii="Arial" w:hAnsi="Arial" w:cs="Arial"/>
                <w:sz w:val="21"/>
                <w:szCs w:val="21"/>
              </w:rPr>
            </w:pPr>
          </w:p>
        </w:tc>
        <w:tc>
          <w:tcPr>
            <w:tcW w:w="828" w:type="dxa"/>
          </w:tcPr>
          <w:p w14:paraId="7B26140E" w14:textId="77777777" w:rsidR="00923319" w:rsidRPr="00A67277" w:rsidRDefault="00923319" w:rsidP="00923319">
            <w:pPr>
              <w:jc w:val="right"/>
              <w:rPr>
                <w:rFonts w:ascii="Arial" w:hAnsi="Arial" w:cs="Arial"/>
                <w:sz w:val="21"/>
                <w:szCs w:val="21"/>
              </w:rPr>
            </w:pPr>
          </w:p>
        </w:tc>
      </w:tr>
      <w:tr w:rsidR="00A67277" w:rsidRPr="00A67277" w14:paraId="1E0CCCAD" w14:textId="77777777" w:rsidTr="00AA25DA">
        <w:tc>
          <w:tcPr>
            <w:tcW w:w="4350" w:type="dxa"/>
          </w:tcPr>
          <w:p w14:paraId="65A080E3" w14:textId="7D37571C"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14</w:t>
            </w:r>
            <w:r w:rsidRPr="00A67277">
              <w:rPr>
                <w:rFonts w:ascii="Arial" w:hAnsi="Arial" w:cs="Arial"/>
                <w:b/>
                <w:sz w:val="21"/>
                <w:szCs w:val="21"/>
              </w:rPr>
              <w:t xml:space="preserve"> – TERMINATION PAYMENT</w:t>
            </w:r>
          </w:p>
        </w:tc>
        <w:tc>
          <w:tcPr>
            <w:tcW w:w="567" w:type="dxa"/>
          </w:tcPr>
          <w:p w14:paraId="597D7ED2" w14:textId="699AED3D" w:rsidR="00923319" w:rsidRPr="00A67277" w:rsidRDefault="00AA25DA" w:rsidP="00923319">
            <w:pPr>
              <w:jc w:val="right"/>
              <w:rPr>
                <w:rFonts w:ascii="Arial" w:hAnsi="Arial" w:cs="Arial"/>
                <w:sz w:val="21"/>
                <w:szCs w:val="21"/>
              </w:rPr>
            </w:pPr>
            <w:r>
              <w:rPr>
                <w:rFonts w:ascii="Arial" w:hAnsi="Arial" w:cs="Arial"/>
                <w:sz w:val="21"/>
                <w:szCs w:val="21"/>
              </w:rPr>
              <w:t>261</w:t>
            </w:r>
          </w:p>
        </w:tc>
        <w:tc>
          <w:tcPr>
            <w:tcW w:w="3895" w:type="dxa"/>
          </w:tcPr>
          <w:p w14:paraId="3E772FE1" w14:textId="4F15DA56"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14</w:t>
            </w:r>
            <w:r w:rsidRPr="00A67277">
              <w:rPr>
                <w:rFonts w:ascii="Arial" w:hAnsi="Arial" w:cs="Arial"/>
                <w:b/>
                <w:sz w:val="21"/>
                <w:szCs w:val="21"/>
              </w:rPr>
              <w:t xml:space="preserve"> – PEMBAYARAN PENGAKHIRAN</w:t>
            </w:r>
          </w:p>
        </w:tc>
        <w:tc>
          <w:tcPr>
            <w:tcW w:w="278" w:type="dxa"/>
          </w:tcPr>
          <w:p w14:paraId="7D74B2A9" w14:textId="5668731E" w:rsidR="00923319" w:rsidRPr="00A67277" w:rsidRDefault="00097346" w:rsidP="00923319">
            <w:pPr>
              <w:rPr>
                <w:rFonts w:ascii="Arial" w:hAnsi="Arial" w:cs="Arial"/>
                <w:sz w:val="21"/>
                <w:szCs w:val="21"/>
              </w:rPr>
            </w:pPr>
            <w:r>
              <w:rPr>
                <w:rFonts w:ascii="Arial" w:hAnsi="Arial" w:cs="Arial"/>
                <w:sz w:val="21"/>
                <w:szCs w:val="21"/>
              </w:rPr>
              <w:t>261</w:t>
            </w:r>
          </w:p>
        </w:tc>
        <w:tc>
          <w:tcPr>
            <w:tcW w:w="828" w:type="dxa"/>
          </w:tcPr>
          <w:p w14:paraId="00F6FB21" w14:textId="77777777" w:rsidR="00923319" w:rsidRPr="00A67277" w:rsidRDefault="00923319" w:rsidP="00923319">
            <w:pPr>
              <w:jc w:val="right"/>
              <w:rPr>
                <w:rFonts w:ascii="Arial" w:hAnsi="Arial" w:cs="Arial"/>
                <w:sz w:val="21"/>
                <w:szCs w:val="21"/>
              </w:rPr>
            </w:pPr>
          </w:p>
        </w:tc>
      </w:tr>
      <w:tr w:rsidR="00A67277" w:rsidRPr="00A67277" w14:paraId="69C36D23" w14:textId="77777777" w:rsidTr="00AA25DA">
        <w:tc>
          <w:tcPr>
            <w:tcW w:w="4350" w:type="dxa"/>
          </w:tcPr>
          <w:p w14:paraId="6C14B85A" w14:textId="77777777" w:rsidR="00923319" w:rsidRPr="00A67277" w:rsidRDefault="00923319" w:rsidP="00923319">
            <w:pPr>
              <w:rPr>
                <w:rFonts w:ascii="Arial" w:hAnsi="Arial" w:cs="Arial"/>
                <w:b/>
                <w:sz w:val="21"/>
                <w:szCs w:val="21"/>
              </w:rPr>
            </w:pPr>
          </w:p>
        </w:tc>
        <w:tc>
          <w:tcPr>
            <w:tcW w:w="567" w:type="dxa"/>
          </w:tcPr>
          <w:p w14:paraId="71F1402D" w14:textId="77777777" w:rsidR="00923319" w:rsidRPr="00A67277" w:rsidRDefault="00923319" w:rsidP="00923319">
            <w:pPr>
              <w:jc w:val="right"/>
              <w:rPr>
                <w:rFonts w:ascii="Arial" w:hAnsi="Arial" w:cs="Arial"/>
                <w:sz w:val="21"/>
                <w:szCs w:val="21"/>
              </w:rPr>
            </w:pPr>
          </w:p>
        </w:tc>
        <w:tc>
          <w:tcPr>
            <w:tcW w:w="3895" w:type="dxa"/>
          </w:tcPr>
          <w:p w14:paraId="4F380119" w14:textId="77777777" w:rsidR="00923319" w:rsidRPr="00A67277" w:rsidRDefault="00923319" w:rsidP="00923319">
            <w:pPr>
              <w:rPr>
                <w:rFonts w:ascii="Arial" w:hAnsi="Arial" w:cs="Arial"/>
                <w:b/>
                <w:sz w:val="21"/>
                <w:szCs w:val="21"/>
              </w:rPr>
            </w:pPr>
          </w:p>
        </w:tc>
        <w:tc>
          <w:tcPr>
            <w:tcW w:w="278" w:type="dxa"/>
          </w:tcPr>
          <w:p w14:paraId="328EF493" w14:textId="77777777" w:rsidR="00923319" w:rsidRPr="00A67277" w:rsidRDefault="00923319" w:rsidP="00923319">
            <w:pPr>
              <w:rPr>
                <w:rFonts w:ascii="Arial" w:hAnsi="Arial" w:cs="Arial"/>
                <w:sz w:val="21"/>
                <w:szCs w:val="21"/>
              </w:rPr>
            </w:pPr>
          </w:p>
        </w:tc>
        <w:tc>
          <w:tcPr>
            <w:tcW w:w="828" w:type="dxa"/>
          </w:tcPr>
          <w:p w14:paraId="314972BC" w14:textId="77777777" w:rsidR="00923319" w:rsidRPr="00A67277" w:rsidRDefault="00923319" w:rsidP="00923319">
            <w:pPr>
              <w:jc w:val="right"/>
              <w:rPr>
                <w:rFonts w:ascii="Arial" w:hAnsi="Arial" w:cs="Arial"/>
                <w:sz w:val="21"/>
                <w:szCs w:val="21"/>
              </w:rPr>
            </w:pPr>
          </w:p>
        </w:tc>
      </w:tr>
      <w:tr w:rsidR="00A67277" w:rsidRPr="00A67277" w14:paraId="35F665A3" w14:textId="77777777" w:rsidTr="00AA25DA">
        <w:tc>
          <w:tcPr>
            <w:tcW w:w="4350" w:type="dxa"/>
          </w:tcPr>
          <w:p w14:paraId="093EC590" w14:textId="1465F72D" w:rsidR="00923319" w:rsidRPr="00A67277" w:rsidRDefault="00923319" w:rsidP="00923319">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15</w:t>
            </w:r>
            <w:r w:rsidRPr="00A67277">
              <w:rPr>
                <w:rFonts w:ascii="Arial" w:hAnsi="Arial" w:cs="Arial"/>
                <w:b/>
                <w:sz w:val="21"/>
                <w:szCs w:val="21"/>
              </w:rPr>
              <w:t xml:space="preserve"> – REQUIRED INSURANCES</w:t>
            </w:r>
          </w:p>
        </w:tc>
        <w:tc>
          <w:tcPr>
            <w:tcW w:w="567" w:type="dxa"/>
          </w:tcPr>
          <w:p w14:paraId="482DE3BA" w14:textId="5B944A4C" w:rsidR="00923319" w:rsidRPr="00A67277" w:rsidRDefault="00AA25DA" w:rsidP="00923319">
            <w:pPr>
              <w:jc w:val="right"/>
              <w:rPr>
                <w:rFonts w:ascii="Arial" w:hAnsi="Arial" w:cs="Arial"/>
                <w:sz w:val="21"/>
                <w:szCs w:val="21"/>
              </w:rPr>
            </w:pPr>
            <w:r>
              <w:rPr>
                <w:rFonts w:ascii="Arial" w:hAnsi="Arial" w:cs="Arial"/>
                <w:sz w:val="21"/>
                <w:szCs w:val="21"/>
              </w:rPr>
              <w:t>275</w:t>
            </w:r>
          </w:p>
        </w:tc>
        <w:tc>
          <w:tcPr>
            <w:tcW w:w="3895" w:type="dxa"/>
          </w:tcPr>
          <w:p w14:paraId="23863C2D" w14:textId="26C83C56" w:rsidR="00923319" w:rsidRPr="00A67277" w:rsidRDefault="00923319" w:rsidP="00923319">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15</w:t>
            </w:r>
            <w:r w:rsidRPr="00A67277">
              <w:rPr>
                <w:rFonts w:ascii="Arial" w:hAnsi="Arial" w:cs="Arial"/>
                <w:b/>
                <w:sz w:val="21"/>
                <w:szCs w:val="21"/>
              </w:rPr>
              <w:t xml:space="preserve"> – ASURANSI YANG DIPERSYARATKAN</w:t>
            </w:r>
          </w:p>
        </w:tc>
        <w:tc>
          <w:tcPr>
            <w:tcW w:w="278" w:type="dxa"/>
          </w:tcPr>
          <w:p w14:paraId="6FBF4982" w14:textId="17F2FAB4" w:rsidR="00923319" w:rsidRPr="00A67277" w:rsidRDefault="00097346" w:rsidP="00923319">
            <w:pPr>
              <w:rPr>
                <w:rFonts w:ascii="Arial" w:hAnsi="Arial" w:cs="Arial"/>
                <w:sz w:val="21"/>
                <w:szCs w:val="21"/>
              </w:rPr>
            </w:pPr>
            <w:r>
              <w:rPr>
                <w:rFonts w:ascii="Arial" w:hAnsi="Arial" w:cs="Arial"/>
                <w:sz w:val="21"/>
                <w:szCs w:val="21"/>
              </w:rPr>
              <w:t>275</w:t>
            </w:r>
          </w:p>
        </w:tc>
        <w:tc>
          <w:tcPr>
            <w:tcW w:w="828" w:type="dxa"/>
          </w:tcPr>
          <w:p w14:paraId="18740527" w14:textId="77777777" w:rsidR="00923319" w:rsidRPr="00A67277" w:rsidRDefault="00923319" w:rsidP="00923319">
            <w:pPr>
              <w:jc w:val="right"/>
              <w:rPr>
                <w:rFonts w:ascii="Arial" w:hAnsi="Arial" w:cs="Arial"/>
                <w:sz w:val="21"/>
                <w:szCs w:val="21"/>
              </w:rPr>
            </w:pPr>
          </w:p>
        </w:tc>
      </w:tr>
      <w:tr w:rsidR="00A67277" w:rsidRPr="00A67277" w14:paraId="6B9B4547" w14:textId="77777777" w:rsidTr="00AA25DA">
        <w:tc>
          <w:tcPr>
            <w:tcW w:w="4350" w:type="dxa"/>
          </w:tcPr>
          <w:p w14:paraId="48A5E818" w14:textId="77777777" w:rsidR="00923319" w:rsidRPr="00A67277" w:rsidRDefault="00923319" w:rsidP="00923319">
            <w:pPr>
              <w:rPr>
                <w:rFonts w:ascii="Arial" w:hAnsi="Arial" w:cs="Arial"/>
                <w:b/>
                <w:sz w:val="21"/>
                <w:szCs w:val="21"/>
              </w:rPr>
            </w:pPr>
          </w:p>
        </w:tc>
        <w:tc>
          <w:tcPr>
            <w:tcW w:w="567" w:type="dxa"/>
          </w:tcPr>
          <w:p w14:paraId="1FC5BE4E" w14:textId="77777777" w:rsidR="00923319" w:rsidRPr="00A67277" w:rsidRDefault="00923319" w:rsidP="00923319">
            <w:pPr>
              <w:jc w:val="right"/>
              <w:rPr>
                <w:rFonts w:ascii="Arial" w:hAnsi="Arial" w:cs="Arial"/>
                <w:sz w:val="21"/>
                <w:szCs w:val="21"/>
              </w:rPr>
            </w:pPr>
          </w:p>
        </w:tc>
        <w:tc>
          <w:tcPr>
            <w:tcW w:w="3895" w:type="dxa"/>
          </w:tcPr>
          <w:p w14:paraId="00228B29" w14:textId="77777777" w:rsidR="00923319" w:rsidRPr="00A67277" w:rsidRDefault="00923319" w:rsidP="00923319">
            <w:pPr>
              <w:rPr>
                <w:rFonts w:ascii="Arial" w:hAnsi="Arial" w:cs="Arial"/>
                <w:b/>
                <w:sz w:val="21"/>
                <w:szCs w:val="21"/>
              </w:rPr>
            </w:pPr>
          </w:p>
        </w:tc>
        <w:tc>
          <w:tcPr>
            <w:tcW w:w="278" w:type="dxa"/>
          </w:tcPr>
          <w:p w14:paraId="484148AF" w14:textId="77777777" w:rsidR="00923319" w:rsidRPr="00A67277" w:rsidRDefault="00923319" w:rsidP="00923319">
            <w:pPr>
              <w:rPr>
                <w:rFonts w:ascii="Arial" w:hAnsi="Arial" w:cs="Arial"/>
                <w:sz w:val="21"/>
                <w:szCs w:val="21"/>
              </w:rPr>
            </w:pPr>
          </w:p>
        </w:tc>
        <w:tc>
          <w:tcPr>
            <w:tcW w:w="828" w:type="dxa"/>
          </w:tcPr>
          <w:p w14:paraId="0B8E4289" w14:textId="77777777" w:rsidR="00923319" w:rsidRPr="00A67277" w:rsidRDefault="00923319" w:rsidP="00923319">
            <w:pPr>
              <w:jc w:val="right"/>
              <w:rPr>
                <w:rFonts w:ascii="Arial" w:hAnsi="Arial" w:cs="Arial"/>
                <w:sz w:val="21"/>
                <w:szCs w:val="21"/>
              </w:rPr>
            </w:pPr>
          </w:p>
        </w:tc>
      </w:tr>
      <w:tr w:rsidR="00A67277" w:rsidRPr="00A67277" w14:paraId="0A520C75" w14:textId="77777777" w:rsidTr="00AA25DA">
        <w:tc>
          <w:tcPr>
            <w:tcW w:w="4350" w:type="dxa"/>
          </w:tcPr>
          <w:p w14:paraId="3EBDA7E2" w14:textId="6ABF718D" w:rsidR="00923319" w:rsidRPr="00A67277" w:rsidRDefault="00923319" w:rsidP="00135B1F">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 xml:space="preserve">16 </w:t>
            </w:r>
            <w:r w:rsidRPr="00A67277">
              <w:rPr>
                <w:rFonts w:ascii="Arial" w:hAnsi="Arial" w:cs="Arial"/>
                <w:b/>
                <w:sz w:val="21"/>
                <w:szCs w:val="21"/>
              </w:rPr>
              <w:t>– FINANCIAL MODEL</w:t>
            </w:r>
          </w:p>
        </w:tc>
        <w:tc>
          <w:tcPr>
            <w:tcW w:w="567" w:type="dxa"/>
          </w:tcPr>
          <w:p w14:paraId="0CDE62F2" w14:textId="20AD502A" w:rsidR="00923319" w:rsidRPr="00A67277" w:rsidRDefault="00AA25DA" w:rsidP="00923319">
            <w:pPr>
              <w:jc w:val="right"/>
              <w:rPr>
                <w:rFonts w:ascii="Arial" w:hAnsi="Arial" w:cs="Arial"/>
                <w:sz w:val="21"/>
                <w:szCs w:val="21"/>
              </w:rPr>
            </w:pPr>
            <w:r>
              <w:rPr>
                <w:rFonts w:ascii="Arial" w:hAnsi="Arial" w:cs="Arial"/>
                <w:sz w:val="21"/>
                <w:szCs w:val="21"/>
              </w:rPr>
              <w:t>282</w:t>
            </w:r>
          </w:p>
        </w:tc>
        <w:tc>
          <w:tcPr>
            <w:tcW w:w="3895" w:type="dxa"/>
          </w:tcPr>
          <w:p w14:paraId="4A868939" w14:textId="4D7424E9" w:rsidR="00923319" w:rsidRPr="00A67277" w:rsidRDefault="00923319" w:rsidP="00135B1F">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 xml:space="preserve">16 </w:t>
            </w:r>
            <w:r w:rsidRPr="00A67277">
              <w:rPr>
                <w:rFonts w:ascii="Arial" w:hAnsi="Arial" w:cs="Arial"/>
                <w:b/>
                <w:sz w:val="21"/>
                <w:szCs w:val="21"/>
              </w:rPr>
              <w:t>– MODEL KEUANGAN</w:t>
            </w:r>
          </w:p>
        </w:tc>
        <w:tc>
          <w:tcPr>
            <w:tcW w:w="278" w:type="dxa"/>
          </w:tcPr>
          <w:p w14:paraId="264B2919" w14:textId="00CE4E80" w:rsidR="00923319" w:rsidRPr="00A67277" w:rsidRDefault="00097346" w:rsidP="00923319">
            <w:pPr>
              <w:rPr>
                <w:rFonts w:ascii="Arial" w:hAnsi="Arial" w:cs="Arial"/>
                <w:sz w:val="21"/>
                <w:szCs w:val="21"/>
              </w:rPr>
            </w:pPr>
            <w:r>
              <w:rPr>
                <w:rFonts w:ascii="Arial" w:hAnsi="Arial" w:cs="Arial"/>
                <w:sz w:val="21"/>
                <w:szCs w:val="21"/>
              </w:rPr>
              <w:t>282</w:t>
            </w:r>
          </w:p>
        </w:tc>
        <w:tc>
          <w:tcPr>
            <w:tcW w:w="828" w:type="dxa"/>
          </w:tcPr>
          <w:p w14:paraId="2C74724F" w14:textId="77777777" w:rsidR="00923319" w:rsidRPr="00A67277" w:rsidRDefault="00923319" w:rsidP="00923319">
            <w:pPr>
              <w:jc w:val="right"/>
              <w:rPr>
                <w:rFonts w:ascii="Arial" w:hAnsi="Arial" w:cs="Arial"/>
                <w:sz w:val="21"/>
                <w:szCs w:val="21"/>
              </w:rPr>
            </w:pPr>
          </w:p>
        </w:tc>
      </w:tr>
      <w:tr w:rsidR="00A67277" w:rsidRPr="00A67277" w14:paraId="41DCA2AF" w14:textId="77777777" w:rsidTr="00AA25DA">
        <w:tc>
          <w:tcPr>
            <w:tcW w:w="4350" w:type="dxa"/>
          </w:tcPr>
          <w:p w14:paraId="08B48A1F" w14:textId="77777777" w:rsidR="00923319" w:rsidRPr="00A67277" w:rsidRDefault="00923319" w:rsidP="00923319">
            <w:pPr>
              <w:rPr>
                <w:rFonts w:ascii="Arial" w:hAnsi="Arial" w:cs="Arial"/>
                <w:b/>
                <w:sz w:val="21"/>
                <w:szCs w:val="21"/>
              </w:rPr>
            </w:pPr>
          </w:p>
        </w:tc>
        <w:tc>
          <w:tcPr>
            <w:tcW w:w="567" w:type="dxa"/>
          </w:tcPr>
          <w:p w14:paraId="112381C9" w14:textId="77777777" w:rsidR="00923319" w:rsidRPr="00A67277" w:rsidRDefault="00923319" w:rsidP="00923319">
            <w:pPr>
              <w:jc w:val="right"/>
              <w:rPr>
                <w:rFonts w:ascii="Arial" w:hAnsi="Arial" w:cs="Arial"/>
                <w:sz w:val="21"/>
                <w:szCs w:val="21"/>
              </w:rPr>
            </w:pPr>
          </w:p>
        </w:tc>
        <w:tc>
          <w:tcPr>
            <w:tcW w:w="3895" w:type="dxa"/>
          </w:tcPr>
          <w:p w14:paraId="1A36AA2E" w14:textId="77777777" w:rsidR="00923319" w:rsidRPr="00A67277" w:rsidRDefault="00923319" w:rsidP="00923319">
            <w:pPr>
              <w:rPr>
                <w:rFonts w:ascii="Arial" w:hAnsi="Arial" w:cs="Arial"/>
                <w:b/>
                <w:sz w:val="21"/>
                <w:szCs w:val="21"/>
              </w:rPr>
            </w:pPr>
          </w:p>
        </w:tc>
        <w:tc>
          <w:tcPr>
            <w:tcW w:w="278" w:type="dxa"/>
          </w:tcPr>
          <w:p w14:paraId="3E2B55FE" w14:textId="77777777" w:rsidR="00923319" w:rsidRPr="00A67277" w:rsidRDefault="00923319" w:rsidP="00923319">
            <w:pPr>
              <w:rPr>
                <w:rFonts w:ascii="Arial" w:hAnsi="Arial" w:cs="Arial"/>
                <w:sz w:val="21"/>
                <w:szCs w:val="21"/>
              </w:rPr>
            </w:pPr>
          </w:p>
        </w:tc>
        <w:tc>
          <w:tcPr>
            <w:tcW w:w="828" w:type="dxa"/>
          </w:tcPr>
          <w:p w14:paraId="1F8EBC5B" w14:textId="77777777" w:rsidR="00923319" w:rsidRPr="00A67277" w:rsidRDefault="00923319" w:rsidP="00923319">
            <w:pPr>
              <w:jc w:val="right"/>
              <w:rPr>
                <w:rFonts w:ascii="Arial" w:hAnsi="Arial" w:cs="Arial"/>
                <w:sz w:val="21"/>
                <w:szCs w:val="21"/>
              </w:rPr>
            </w:pPr>
          </w:p>
        </w:tc>
      </w:tr>
      <w:tr w:rsidR="00A67277" w:rsidRPr="00A67277" w14:paraId="4DDCDCD7" w14:textId="77777777" w:rsidTr="00AA25DA">
        <w:tc>
          <w:tcPr>
            <w:tcW w:w="4350" w:type="dxa"/>
          </w:tcPr>
          <w:p w14:paraId="22D1237E" w14:textId="77777777" w:rsidR="00923319" w:rsidRPr="00A67277" w:rsidRDefault="00923319" w:rsidP="00923319">
            <w:pPr>
              <w:rPr>
                <w:rFonts w:ascii="Arial" w:hAnsi="Arial" w:cs="Arial"/>
                <w:b/>
                <w:sz w:val="21"/>
                <w:szCs w:val="21"/>
              </w:rPr>
            </w:pPr>
          </w:p>
        </w:tc>
        <w:tc>
          <w:tcPr>
            <w:tcW w:w="567" w:type="dxa"/>
          </w:tcPr>
          <w:p w14:paraId="4C4B6054" w14:textId="77777777" w:rsidR="00923319" w:rsidRPr="00A67277" w:rsidRDefault="00923319" w:rsidP="00923319">
            <w:pPr>
              <w:jc w:val="right"/>
              <w:rPr>
                <w:rFonts w:ascii="Arial" w:hAnsi="Arial" w:cs="Arial"/>
                <w:sz w:val="21"/>
                <w:szCs w:val="21"/>
              </w:rPr>
            </w:pPr>
          </w:p>
        </w:tc>
        <w:tc>
          <w:tcPr>
            <w:tcW w:w="3895" w:type="dxa"/>
          </w:tcPr>
          <w:p w14:paraId="02BB6244" w14:textId="77777777" w:rsidR="00923319" w:rsidRPr="00A67277" w:rsidRDefault="00923319" w:rsidP="00923319">
            <w:pPr>
              <w:rPr>
                <w:rFonts w:ascii="Arial" w:hAnsi="Arial" w:cs="Arial"/>
                <w:b/>
                <w:sz w:val="21"/>
                <w:szCs w:val="21"/>
              </w:rPr>
            </w:pPr>
          </w:p>
        </w:tc>
        <w:tc>
          <w:tcPr>
            <w:tcW w:w="278" w:type="dxa"/>
          </w:tcPr>
          <w:p w14:paraId="69B585D2" w14:textId="77777777" w:rsidR="00923319" w:rsidRPr="00A67277" w:rsidRDefault="00923319" w:rsidP="00923319">
            <w:pPr>
              <w:rPr>
                <w:rFonts w:ascii="Arial" w:hAnsi="Arial" w:cs="Arial"/>
                <w:sz w:val="21"/>
                <w:szCs w:val="21"/>
              </w:rPr>
            </w:pPr>
          </w:p>
        </w:tc>
        <w:tc>
          <w:tcPr>
            <w:tcW w:w="828" w:type="dxa"/>
          </w:tcPr>
          <w:p w14:paraId="73DBAF31" w14:textId="77777777" w:rsidR="00923319" w:rsidRPr="00A67277" w:rsidRDefault="00923319" w:rsidP="00923319">
            <w:pPr>
              <w:jc w:val="right"/>
              <w:rPr>
                <w:rFonts w:ascii="Arial" w:hAnsi="Arial" w:cs="Arial"/>
                <w:sz w:val="21"/>
                <w:szCs w:val="21"/>
              </w:rPr>
            </w:pPr>
          </w:p>
        </w:tc>
      </w:tr>
      <w:tr w:rsidR="00A67277" w:rsidRPr="00A67277" w14:paraId="5EC8EC42" w14:textId="77777777" w:rsidTr="00AA25DA">
        <w:tc>
          <w:tcPr>
            <w:tcW w:w="4350" w:type="dxa"/>
          </w:tcPr>
          <w:p w14:paraId="2D110FA1" w14:textId="7BB8CDB1" w:rsidR="00923319" w:rsidRPr="00A67277" w:rsidRDefault="00923319" w:rsidP="00135B1F">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 xml:space="preserve">17 </w:t>
            </w:r>
            <w:r w:rsidRPr="00A67277">
              <w:rPr>
                <w:rFonts w:ascii="Arial" w:hAnsi="Arial" w:cs="Arial"/>
                <w:b/>
                <w:sz w:val="21"/>
                <w:szCs w:val="21"/>
              </w:rPr>
              <w:t>– ASSET HAND-OVER CONDITIONS</w:t>
            </w:r>
          </w:p>
        </w:tc>
        <w:tc>
          <w:tcPr>
            <w:tcW w:w="567" w:type="dxa"/>
          </w:tcPr>
          <w:p w14:paraId="02916012" w14:textId="715D145C" w:rsidR="00923319" w:rsidRPr="00A67277" w:rsidRDefault="00AA25DA" w:rsidP="00923319">
            <w:pPr>
              <w:jc w:val="right"/>
              <w:rPr>
                <w:rFonts w:ascii="Arial" w:hAnsi="Arial" w:cs="Arial"/>
                <w:sz w:val="21"/>
                <w:szCs w:val="21"/>
              </w:rPr>
            </w:pPr>
            <w:r>
              <w:rPr>
                <w:rFonts w:ascii="Arial" w:hAnsi="Arial" w:cs="Arial"/>
                <w:sz w:val="21"/>
                <w:szCs w:val="21"/>
              </w:rPr>
              <w:t>283</w:t>
            </w:r>
          </w:p>
        </w:tc>
        <w:tc>
          <w:tcPr>
            <w:tcW w:w="3895" w:type="dxa"/>
          </w:tcPr>
          <w:p w14:paraId="1E1F3815" w14:textId="7779CDBA" w:rsidR="00923319" w:rsidRPr="00A67277" w:rsidRDefault="00923319" w:rsidP="00135B1F">
            <w:pPr>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 xml:space="preserve">17 </w:t>
            </w:r>
            <w:r w:rsidRPr="00A67277">
              <w:rPr>
                <w:rFonts w:ascii="Arial" w:hAnsi="Arial" w:cs="Arial"/>
                <w:b/>
                <w:sz w:val="21"/>
                <w:szCs w:val="21"/>
              </w:rPr>
              <w:t xml:space="preserve">– KONDISI PENYERAHAN </w:t>
            </w:r>
            <w:r w:rsidR="005B45A0">
              <w:rPr>
                <w:rFonts w:ascii="Arial" w:hAnsi="Arial" w:cs="Arial"/>
                <w:b/>
                <w:sz w:val="21"/>
                <w:szCs w:val="21"/>
              </w:rPr>
              <w:t xml:space="preserve">KEMBALI </w:t>
            </w:r>
            <w:r w:rsidRPr="00A67277">
              <w:rPr>
                <w:rFonts w:ascii="Arial" w:hAnsi="Arial" w:cs="Arial"/>
                <w:b/>
                <w:sz w:val="21"/>
                <w:szCs w:val="21"/>
              </w:rPr>
              <w:t>ASET</w:t>
            </w:r>
          </w:p>
        </w:tc>
        <w:tc>
          <w:tcPr>
            <w:tcW w:w="278" w:type="dxa"/>
          </w:tcPr>
          <w:p w14:paraId="2EB7312F" w14:textId="77777777" w:rsidR="00923319" w:rsidRPr="00A67277" w:rsidRDefault="00923319" w:rsidP="00923319">
            <w:pPr>
              <w:rPr>
                <w:rFonts w:ascii="Arial" w:hAnsi="Arial" w:cs="Arial"/>
                <w:sz w:val="21"/>
                <w:szCs w:val="21"/>
              </w:rPr>
            </w:pPr>
          </w:p>
        </w:tc>
        <w:tc>
          <w:tcPr>
            <w:tcW w:w="828" w:type="dxa"/>
          </w:tcPr>
          <w:p w14:paraId="44E6A15B" w14:textId="55CF955C" w:rsidR="00923319" w:rsidRPr="00A67277" w:rsidRDefault="00097346" w:rsidP="00923319">
            <w:pPr>
              <w:jc w:val="right"/>
              <w:rPr>
                <w:rFonts w:ascii="Arial" w:hAnsi="Arial" w:cs="Arial"/>
                <w:sz w:val="21"/>
                <w:szCs w:val="21"/>
              </w:rPr>
            </w:pPr>
            <w:r>
              <w:rPr>
                <w:rFonts w:ascii="Arial" w:hAnsi="Arial" w:cs="Arial"/>
                <w:sz w:val="21"/>
                <w:szCs w:val="21"/>
              </w:rPr>
              <w:t>283</w:t>
            </w:r>
          </w:p>
        </w:tc>
      </w:tr>
      <w:tr w:rsidR="00A67277" w:rsidRPr="00A67277" w14:paraId="543BB398" w14:textId="77777777" w:rsidTr="00AA25DA">
        <w:tc>
          <w:tcPr>
            <w:tcW w:w="4350" w:type="dxa"/>
          </w:tcPr>
          <w:p w14:paraId="5D1C95C3" w14:textId="77777777" w:rsidR="00923319" w:rsidRPr="00A67277" w:rsidRDefault="00923319" w:rsidP="00923319">
            <w:pPr>
              <w:rPr>
                <w:rFonts w:ascii="Arial" w:hAnsi="Arial" w:cs="Arial"/>
                <w:b/>
                <w:sz w:val="21"/>
                <w:szCs w:val="21"/>
              </w:rPr>
            </w:pPr>
          </w:p>
        </w:tc>
        <w:tc>
          <w:tcPr>
            <w:tcW w:w="567" w:type="dxa"/>
          </w:tcPr>
          <w:p w14:paraId="2CAA485C" w14:textId="77777777" w:rsidR="00923319" w:rsidRPr="00A67277" w:rsidRDefault="00923319" w:rsidP="00923319">
            <w:pPr>
              <w:jc w:val="right"/>
              <w:rPr>
                <w:rFonts w:ascii="Arial" w:hAnsi="Arial" w:cs="Arial"/>
                <w:sz w:val="21"/>
                <w:szCs w:val="21"/>
              </w:rPr>
            </w:pPr>
          </w:p>
        </w:tc>
        <w:tc>
          <w:tcPr>
            <w:tcW w:w="3895" w:type="dxa"/>
          </w:tcPr>
          <w:p w14:paraId="1BA6C831" w14:textId="77777777" w:rsidR="00923319" w:rsidRPr="00A67277" w:rsidRDefault="00923319" w:rsidP="00923319">
            <w:pPr>
              <w:rPr>
                <w:rFonts w:ascii="Arial" w:hAnsi="Arial" w:cs="Arial"/>
                <w:b/>
                <w:sz w:val="21"/>
                <w:szCs w:val="21"/>
              </w:rPr>
            </w:pPr>
          </w:p>
        </w:tc>
        <w:tc>
          <w:tcPr>
            <w:tcW w:w="278" w:type="dxa"/>
          </w:tcPr>
          <w:p w14:paraId="685AC050" w14:textId="77777777" w:rsidR="00923319" w:rsidRPr="00A67277" w:rsidRDefault="00923319" w:rsidP="00923319">
            <w:pPr>
              <w:rPr>
                <w:rFonts w:ascii="Arial" w:hAnsi="Arial" w:cs="Arial"/>
                <w:sz w:val="21"/>
                <w:szCs w:val="21"/>
              </w:rPr>
            </w:pPr>
          </w:p>
        </w:tc>
        <w:tc>
          <w:tcPr>
            <w:tcW w:w="828" w:type="dxa"/>
          </w:tcPr>
          <w:p w14:paraId="7C90A5F5" w14:textId="77777777" w:rsidR="00923319" w:rsidRPr="00A67277" w:rsidRDefault="00923319" w:rsidP="00923319">
            <w:pPr>
              <w:jc w:val="right"/>
              <w:rPr>
                <w:rFonts w:ascii="Arial" w:hAnsi="Arial" w:cs="Arial"/>
                <w:sz w:val="21"/>
                <w:szCs w:val="21"/>
              </w:rPr>
            </w:pPr>
          </w:p>
        </w:tc>
      </w:tr>
      <w:tr w:rsidR="00A67277" w:rsidRPr="00A67277" w14:paraId="5A92DFE1" w14:textId="77777777" w:rsidTr="00AA25DA">
        <w:tc>
          <w:tcPr>
            <w:tcW w:w="4350" w:type="dxa"/>
          </w:tcPr>
          <w:p w14:paraId="1165B759" w14:textId="5AB281FA" w:rsidR="00923319" w:rsidRPr="00A67277" w:rsidRDefault="00923319" w:rsidP="00135B1F">
            <w:pPr>
              <w:rPr>
                <w:rFonts w:ascii="Arial" w:hAnsi="Arial" w:cs="Arial"/>
                <w:b/>
                <w:sz w:val="21"/>
                <w:szCs w:val="21"/>
              </w:rPr>
            </w:pPr>
            <w:r w:rsidRPr="00A67277">
              <w:rPr>
                <w:rFonts w:ascii="Arial" w:hAnsi="Arial" w:cs="Arial"/>
                <w:b/>
                <w:sz w:val="21"/>
                <w:szCs w:val="21"/>
              </w:rPr>
              <w:t xml:space="preserve">APPENDIX </w:t>
            </w:r>
            <w:r w:rsidR="00135B1F" w:rsidRPr="00A67277">
              <w:rPr>
                <w:rFonts w:ascii="Arial" w:hAnsi="Arial" w:cs="Arial"/>
                <w:b/>
                <w:sz w:val="21"/>
                <w:szCs w:val="21"/>
              </w:rPr>
              <w:t xml:space="preserve">18 </w:t>
            </w:r>
            <w:r w:rsidRPr="00A67277">
              <w:rPr>
                <w:rFonts w:ascii="Arial" w:hAnsi="Arial" w:cs="Arial"/>
                <w:b/>
                <w:sz w:val="21"/>
                <w:szCs w:val="21"/>
              </w:rPr>
              <w:t>– FORMAT OF PERFORMANCE BOND</w:t>
            </w:r>
          </w:p>
        </w:tc>
        <w:tc>
          <w:tcPr>
            <w:tcW w:w="567" w:type="dxa"/>
          </w:tcPr>
          <w:p w14:paraId="06377EBE" w14:textId="29174BD0" w:rsidR="00923319" w:rsidRPr="00A67277" w:rsidRDefault="00AA25DA" w:rsidP="00923319">
            <w:pPr>
              <w:jc w:val="right"/>
              <w:rPr>
                <w:rFonts w:ascii="Arial" w:hAnsi="Arial" w:cs="Arial"/>
                <w:sz w:val="21"/>
                <w:szCs w:val="21"/>
              </w:rPr>
            </w:pPr>
            <w:r>
              <w:rPr>
                <w:rFonts w:ascii="Arial" w:hAnsi="Arial" w:cs="Arial"/>
                <w:sz w:val="21"/>
                <w:szCs w:val="21"/>
              </w:rPr>
              <w:t>284</w:t>
            </w:r>
          </w:p>
        </w:tc>
        <w:tc>
          <w:tcPr>
            <w:tcW w:w="3895" w:type="dxa"/>
          </w:tcPr>
          <w:p w14:paraId="1A05F559" w14:textId="0D3138E7" w:rsidR="00923319" w:rsidRPr="00A67277" w:rsidRDefault="00923319" w:rsidP="00135B1F">
            <w:pPr>
              <w:tabs>
                <w:tab w:val="left" w:pos="1200"/>
              </w:tabs>
              <w:rPr>
                <w:rFonts w:ascii="Arial" w:hAnsi="Arial" w:cs="Arial"/>
                <w:b/>
                <w:sz w:val="21"/>
                <w:szCs w:val="21"/>
              </w:rPr>
            </w:pPr>
            <w:r w:rsidRPr="00A67277">
              <w:rPr>
                <w:rFonts w:ascii="Arial" w:hAnsi="Arial" w:cs="Arial"/>
                <w:b/>
                <w:sz w:val="21"/>
                <w:szCs w:val="21"/>
              </w:rPr>
              <w:t xml:space="preserve">LAMPIRAN </w:t>
            </w:r>
            <w:r w:rsidR="00135B1F" w:rsidRPr="00A67277">
              <w:rPr>
                <w:rFonts w:ascii="Arial" w:hAnsi="Arial" w:cs="Arial"/>
                <w:b/>
                <w:sz w:val="21"/>
                <w:szCs w:val="21"/>
              </w:rPr>
              <w:t xml:space="preserve">18 </w:t>
            </w:r>
            <w:r w:rsidRPr="00A67277">
              <w:rPr>
                <w:rFonts w:ascii="Arial" w:hAnsi="Arial" w:cs="Arial"/>
                <w:b/>
                <w:sz w:val="21"/>
                <w:szCs w:val="21"/>
              </w:rPr>
              <w:t>– BENTUK JAMINAN PELAKSANAAN</w:t>
            </w:r>
            <w:r w:rsidRPr="00A67277">
              <w:rPr>
                <w:rFonts w:ascii="Arial" w:hAnsi="Arial" w:cs="Arial"/>
                <w:b/>
                <w:sz w:val="21"/>
                <w:szCs w:val="21"/>
              </w:rPr>
              <w:tab/>
            </w:r>
          </w:p>
        </w:tc>
        <w:tc>
          <w:tcPr>
            <w:tcW w:w="278" w:type="dxa"/>
          </w:tcPr>
          <w:p w14:paraId="71A22541" w14:textId="77777777" w:rsidR="00923319" w:rsidRPr="00A67277" w:rsidRDefault="00923319" w:rsidP="00923319">
            <w:pPr>
              <w:rPr>
                <w:rFonts w:ascii="Arial" w:hAnsi="Arial" w:cs="Arial"/>
                <w:sz w:val="21"/>
                <w:szCs w:val="21"/>
              </w:rPr>
            </w:pPr>
          </w:p>
        </w:tc>
        <w:tc>
          <w:tcPr>
            <w:tcW w:w="828" w:type="dxa"/>
          </w:tcPr>
          <w:p w14:paraId="747C2B37" w14:textId="67C3EF2C" w:rsidR="00923319" w:rsidRPr="00A67277" w:rsidRDefault="00097346" w:rsidP="00923319">
            <w:pPr>
              <w:jc w:val="right"/>
              <w:rPr>
                <w:rFonts w:ascii="Arial" w:hAnsi="Arial" w:cs="Arial"/>
                <w:sz w:val="21"/>
                <w:szCs w:val="21"/>
              </w:rPr>
            </w:pPr>
            <w:r>
              <w:rPr>
                <w:rFonts w:ascii="Arial" w:hAnsi="Arial" w:cs="Arial"/>
                <w:sz w:val="21"/>
                <w:szCs w:val="21"/>
              </w:rPr>
              <w:t>284</w:t>
            </w:r>
          </w:p>
        </w:tc>
      </w:tr>
      <w:tr w:rsidR="00A67277" w:rsidRPr="00A67277" w14:paraId="4C9D1A4D" w14:textId="77777777" w:rsidTr="00AA25DA">
        <w:tc>
          <w:tcPr>
            <w:tcW w:w="4350" w:type="dxa"/>
          </w:tcPr>
          <w:p w14:paraId="4FA3A12A" w14:textId="77777777" w:rsidR="00923319" w:rsidRPr="00A67277" w:rsidRDefault="00923319" w:rsidP="00923319">
            <w:pPr>
              <w:rPr>
                <w:rFonts w:ascii="Arial" w:hAnsi="Arial" w:cs="Arial"/>
                <w:b/>
                <w:sz w:val="21"/>
                <w:szCs w:val="21"/>
              </w:rPr>
            </w:pPr>
          </w:p>
        </w:tc>
        <w:tc>
          <w:tcPr>
            <w:tcW w:w="567" w:type="dxa"/>
          </w:tcPr>
          <w:p w14:paraId="536AADB6" w14:textId="77777777" w:rsidR="00923319" w:rsidRPr="00A67277" w:rsidRDefault="00923319" w:rsidP="00923319">
            <w:pPr>
              <w:jc w:val="right"/>
              <w:rPr>
                <w:rFonts w:ascii="Arial" w:hAnsi="Arial" w:cs="Arial"/>
                <w:sz w:val="21"/>
                <w:szCs w:val="21"/>
              </w:rPr>
            </w:pPr>
          </w:p>
        </w:tc>
        <w:tc>
          <w:tcPr>
            <w:tcW w:w="3895" w:type="dxa"/>
          </w:tcPr>
          <w:p w14:paraId="3E96F6B5" w14:textId="77777777" w:rsidR="00923319" w:rsidRPr="00A67277" w:rsidRDefault="00923319" w:rsidP="00923319">
            <w:pPr>
              <w:rPr>
                <w:rFonts w:ascii="Arial" w:hAnsi="Arial" w:cs="Arial"/>
                <w:b/>
                <w:sz w:val="21"/>
                <w:szCs w:val="21"/>
              </w:rPr>
            </w:pPr>
          </w:p>
        </w:tc>
        <w:tc>
          <w:tcPr>
            <w:tcW w:w="278" w:type="dxa"/>
          </w:tcPr>
          <w:p w14:paraId="4083648E" w14:textId="77777777" w:rsidR="00923319" w:rsidRPr="00A67277" w:rsidRDefault="00923319" w:rsidP="00923319">
            <w:pPr>
              <w:rPr>
                <w:rFonts w:ascii="Arial" w:hAnsi="Arial" w:cs="Arial"/>
                <w:sz w:val="21"/>
                <w:szCs w:val="21"/>
              </w:rPr>
            </w:pPr>
          </w:p>
        </w:tc>
        <w:tc>
          <w:tcPr>
            <w:tcW w:w="828" w:type="dxa"/>
          </w:tcPr>
          <w:p w14:paraId="0BB57D85" w14:textId="77777777" w:rsidR="00923319" w:rsidRPr="00A67277" w:rsidRDefault="00923319" w:rsidP="00923319">
            <w:pPr>
              <w:jc w:val="right"/>
              <w:rPr>
                <w:rFonts w:ascii="Arial" w:hAnsi="Arial" w:cs="Arial"/>
                <w:sz w:val="21"/>
                <w:szCs w:val="21"/>
              </w:rPr>
            </w:pPr>
          </w:p>
        </w:tc>
      </w:tr>
      <w:tr w:rsidR="00097346" w:rsidRPr="00A67277" w14:paraId="252C661F" w14:textId="77777777" w:rsidTr="00AA25DA">
        <w:tc>
          <w:tcPr>
            <w:tcW w:w="4350" w:type="dxa"/>
          </w:tcPr>
          <w:p w14:paraId="4206E4A6" w14:textId="3460AAAB" w:rsidR="00097346" w:rsidRPr="00A67277" w:rsidRDefault="00097346" w:rsidP="00097346">
            <w:pPr>
              <w:rPr>
                <w:rFonts w:ascii="Arial" w:hAnsi="Arial" w:cs="Arial"/>
                <w:b/>
                <w:sz w:val="21"/>
                <w:szCs w:val="21"/>
              </w:rPr>
            </w:pPr>
            <w:r w:rsidRPr="00A67277">
              <w:rPr>
                <w:rFonts w:ascii="Arial" w:hAnsi="Arial" w:cs="Arial"/>
                <w:b/>
                <w:sz w:val="21"/>
                <w:szCs w:val="21"/>
              </w:rPr>
              <w:t>APPENDIX 19  – FORMAT GCA’S CONSENT LETTER</w:t>
            </w:r>
          </w:p>
        </w:tc>
        <w:tc>
          <w:tcPr>
            <w:tcW w:w="567" w:type="dxa"/>
          </w:tcPr>
          <w:p w14:paraId="1D7E84A1" w14:textId="6FB9ED56" w:rsidR="00097346" w:rsidRPr="00A67277" w:rsidRDefault="00097346" w:rsidP="00097346">
            <w:pPr>
              <w:jc w:val="right"/>
              <w:rPr>
                <w:rFonts w:ascii="Arial" w:hAnsi="Arial" w:cs="Arial"/>
                <w:sz w:val="21"/>
                <w:szCs w:val="21"/>
              </w:rPr>
            </w:pPr>
            <w:r>
              <w:rPr>
                <w:rFonts w:ascii="Arial" w:hAnsi="Arial" w:cs="Arial"/>
                <w:sz w:val="21"/>
                <w:szCs w:val="21"/>
              </w:rPr>
              <w:t>291</w:t>
            </w:r>
          </w:p>
        </w:tc>
        <w:tc>
          <w:tcPr>
            <w:tcW w:w="3895" w:type="dxa"/>
          </w:tcPr>
          <w:p w14:paraId="19B2E38A" w14:textId="7B803729" w:rsidR="00097346" w:rsidRPr="00A67277" w:rsidRDefault="00097346" w:rsidP="00097346">
            <w:pPr>
              <w:rPr>
                <w:rFonts w:ascii="Arial" w:hAnsi="Arial" w:cs="Arial"/>
                <w:b/>
                <w:sz w:val="21"/>
                <w:szCs w:val="21"/>
              </w:rPr>
            </w:pPr>
            <w:r w:rsidRPr="00A67277">
              <w:rPr>
                <w:rFonts w:ascii="Arial" w:hAnsi="Arial" w:cs="Arial"/>
                <w:b/>
                <w:sz w:val="21"/>
                <w:szCs w:val="21"/>
              </w:rPr>
              <w:t>LAMPIRAN 19 – BENTUK SURAT PERSETUJUAN PJPK</w:t>
            </w:r>
          </w:p>
        </w:tc>
        <w:tc>
          <w:tcPr>
            <w:tcW w:w="278" w:type="dxa"/>
          </w:tcPr>
          <w:p w14:paraId="7ECFF0CF" w14:textId="77777777" w:rsidR="00097346" w:rsidRPr="00A67277" w:rsidRDefault="00097346" w:rsidP="00097346">
            <w:pPr>
              <w:rPr>
                <w:rFonts w:ascii="Arial" w:hAnsi="Arial" w:cs="Arial"/>
                <w:sz w:val="21"/>
                <w:szCs w:val="21"/>
              </w:rPr>
            </w:pPr>
          </w:p>
        </w:tc>
        <w:tc>
          <w:tcPr>
            <w:tcW w:w="828" w:type="dxa"/>
          </w:tcPr>
          <w:p w14:paraId="0A562093" w14:textId="7DEC6766" w:rsidR="00097346" w:rsidRPr="00A67277" w:rsidRDefault="00097346" w:rsidP="00097346">
            <w:pPr>
              <w:jc w:val="right"/>
              <w:rPr>
                <w:rFonts w:ascii="Arial" w:hAnsi="Arial" w:cs="Arial"/>
                <w:sz w:val="21"/>
                <w:szCs w:val="21"/>
              </w:rPr>
            </w:pPr>
            <w:r>
              <w:rPr>
                <w:rFonts w:ascii="Arial" w:hAnsi="Arial" w:cs="Arial"/>
                <w:sz w:val="21"/>
                <w:szCs w:val="21"/>
              </w:rPr>
              <w:t>291</w:t>
            </w:r>
          </w:p>
        </w:tc>
      </w:tr>
      <w:tr w:rsidR="00097346" w:rsidRPr="00A67277" w14:paraId="780C4F62" w14:textId="77777777" w:rsidTr="00AA25DA">
        <w:tc>
          <w:tcPr>
            <w:tcW w:w="4350" w:type="dxa"/>
          </w:tcPr>
          <w:p w14:paraId="33566803" w14:textId="77777777" w:rsidR="00097346" w:rsidRPr="00A67277" w:rsidRDefault="00097346" w:rsidP="00097346">
            <w:pPr>
              <w:rPr>
                <w:rFonts w:ascii="Arial" w:hAnsi="Arial" w:cs="Arial"/>
                <w:b/>
                <w:sz w:val="21"/>
                <w:szCs w:val="21"/>
              </w:rPr>
            </w:pPr>
          </w:p>
        </w:tc>
        <w:tc>
          <w:tcPr>
            <w:tcW w:w="567" w:type="dxa"/>
          </w:tcPr>
          <w:p w14:paraId="14E11023" w14:textId="77777777" w:rsidR="00097346" w:rsidRPr="00A67277" w:rsidRDefault="00097346" w:rsidP="00097346">
            <w:pPr>
              <w:jc w:val="right"/>
              <w:rPr>
                <w:rFonts w:ascii="Arial" w:hAnsi="Arial" w:cs="Arial"/>
                <w:sz w:val="21"/>
                <w:szCs w:val="21"/>
              </w:rPr>
            </w:pPr>
          </w:p>
        </w:tc>
        <w:tc>
          <w:tcPr>
            <w:tcW w:w="3895" w:type="dxa"/>
          </w:tcPr>
          <w:p w14:paraId="1934C86A" w14:textId="77777777" w:rsidR="00097346" w:rsidRPr="00A67277" w:rsidRDefault="00097346" w:rsidP="00097346">
            <w:pPr>
              <w:rPr>
                <w:rFonts w:ascii="Arial" w:hAnsi="Arial" w:cs="Arial"/>
                <w:b/>
                <w:sz w:val="21"/>
                <w:szCs w:val="21"/>
              </w:rPr>
            </w:pPr>
          </w:p>
        </w:tc>
        <w:tc>
          <w:tcPr>
            <w:tcW w:w="278" w:type="dxa"/>
          </w:tcPr>
          <w:p w14:paraId="18F938BE" w14:textId="77777777" w:rsidR="00097346" w:rsidRPr="00A67277" w:rsidRDefault="00097346" w:rsidP="00097346">
            <w:pPr>
              <w:rPr>
                <w:rFonts w:ascii="Arial" w:hAnsi="Arial" w:cs="Arial"/>
                <w:sz w:val="21"/>
                <w:szCs w:val="21"/>
              </w:rPr>
            </w:pPr>
          </w:p>
        </w:tc>
        <w:tc>
          <w:tcPr>
            <w:tcW w:w="828" w:type="dxa"/>
          </w:tcPr>
          <w:p w14:paraId="2C028746" w14:textId="77777777" w:rsidR="00097346" w:rsidRPr="00A67277" w:rsidRDefault="00097346" w:rsidP="00097346">
            <w:pPr>
              <w:jc w:val="right"/>
              <w:rPr>
                <w:rFonts w:ascii="Arial" w:hAnsi="Arial" w:cs="Arial"/>
                <w:sz w:val="21"/>
                <w:szCs w:val="21"/>
              </w:rPr>
            </w:pPr>
          </w:p>
        </w:tc>
      </w:tr>
      <w:tr w:rsidR="00097346" w:rsidRPr="00A67277" w14:paraId="638E38CC" w14:textId="77777777" w:rsidTr="00AA25DA">
        <w:tc>
          <w:tcPr>
            <w:tcW w:w="4350" w:type="dxa"/>
          </w:tcPr>
          <w:p w14:paraId="0B4E6355" w14:textId="00D12652" w:rsidR="00097346" w:rsidRPr="00A67277" w:rsidRDefault="00097346" w:rsidP="00097346">
            <w:pPr>
              <w:rPr>
                <w:rFonts w:ascii="Arial" w:hAnsi="Arial" w:cs="Arial"/>
                <w:b/>
                <w:sz w:val="21"/>
                <w:szCs w:val="21"/>
              </w:rPr>
            </w:pPr>
            <w:r w:rsidRPr="00A67277">
              <w:rPr>
                <w:rFonts w:ascii="Arial" w:hAnsi="Arial" w:cs="Arial"/>
                <w:b/>
                <w:sz w:val="21"/>
                <w:szCs w:val="21"/>
              </w:rPr>
              <w:t>APPENDIX 20 – FORM OF LEGAL OPINION</w:t>
            </w:r>
          </w:p>
        </w:tc>
        <w:tc>
          <w:tcPr>
            <w:tcW w:w="567" w:type="dxa"/>
          </w:tcPr>
          <w:p w14:paraId="594569C0" w14:textId="20CF3C0E" w:rsidR="00097346" w:rsidRPr="00A67277" w:rsidRDefault="00097346" w:rsidP="00097346">
            <w:pPr>
              <w:jc w:val="right"/>
              <w:rPr>
                <w:rFonts w:ascii="Arial" w:hAnsi="Arial" w:cs="Arial"/>
                <w:sz w:val="21"/>
                <w:szCs w:val="21"/>
              </w:rPr>
            </w:pPr>
            <w:r>
              <w:rPr>
                <w:rFonts w:ascii="Arial" w:hAnsi="Arial" w:cs="Arial"/>
                <w:sz w:val="21"/>
                <w:szCs w:val="21"/>
              </w:rPr>
              <w:t>307</w:t>
            </w:r>
          </w:p>
        </w:tc>
        <w:tc>
          <w:tcPr>
            <w:tcW w:w="3895" w:type="dxa"/>
          </w:tcPr>
          <w:p w14:paraId="56F6DB97" w14:textId="72B7C604" w:rsidR="00097346" w:rsidRPr="00A67277" w:rsidRDefault="00097346" w:rsidP="00097346">
            <w:pPr>
              <w:rPr>
                <w:rFonts w:ascii="Arial" w:hAnsi="Arial" w:cs="Arial"/>
                <w:b/>
                <w:sz w:val="21"/>
                <w:szCs w:val="21"/>
              </w:rPr>
            </w:pPr>
            <w:r w:rsidRPr="00A67277">
              <w:rPr>
                <w:rFonts w:ascii="Arial" w:hAnsi="Arial" w:cs="Arial"/>
                <w:b/>
                <w:sz w:val="21"/>
                <w:szCs w:val="21"/>
              </w:rPr>
              <w:t>LAMPIRAN 20 – BENTUK PENDAPAT HUKUM</w:t>
            </w:r>
          </w:p>
        </w:tc>
        <w:tc>
          <w:tcPr>
            <w:tcW w:w="278" w:type="dxa"/>
          </w:tcPr>
          <w:p w14:paraId="57531ED3" w14:textId="77777777" w:rsidR="00097346" w:rsidRPr="00A67277" w:rsidRDefault="00097346" w:rsidP="00097346">
            <w:pPr>
              <w:rPr>
                <w:rFonts w:ascii="Arial" w:hAnsi="Arial" w:cs="Arial"/>
                <w:sz w:val="21"/>
                <w:szCs w:val="21"/>
              </w:rPr>
            </w:pPr>
          </w:p>
        </w:tc>
        <w:tc>
          <w:tcPr>
            <w:tcW w:w="828" w:type="dxa"/>
          </w:tcPr>
          <w:p w14:paraId="2AD25EDE" w14:textId="16D7BD91" w:rsidR="00097346" w:rsidRPr="00A67277" w:rsidRDefault="00097346" w:rsidP="00097346">
            <w:pPr>
              <w:jc w:val="right"/>
              <w:rPr>
                <w:rFonts w:ascii="Arial" w:hAnsi="Arial" w:cs="Arial"/>
                <w:sz w:val="21"/>
                <w:szCs w:val="21"/>
              </w:rPr>
            </w:pPr>
            <w:r>
              <w:rPr>
                <w:rFonts w:ascii="Arial" w:hAnsi="Arial" w:cs="Arial"/>
                <w:sz w:val="21"/>
                <w:szCs w:val="21"/>
              </w:rPr>
              <w:t>307</w:t>
            </w:r>
          </w:p>
        </w:tc>
      </w:tr>
      <w:tr w:rsidR="00097346" w:rsidRPr="00A67277" w14:paraId="2CA9305C" w14:textId="77777777" w:rsidTr="00AA25DA">
        <w:tc>
          <w:tcPr>
            <w:tcW w:w="4350" w:type="dxa"/>
          </w:tcPr>
          <w:p w14:paraId="6225D541" w14:textId="77777777" w:rsidR="00097346" w:rsidRPr="00A67277" w:rsidRDefault="00097346" w:rsidP="00097346">
            <w:pPr>
              <w:rPr>
                <w:rFonts w:ascii="Arial" w:hAnsi="Arial" w:cs="Arial"/>
                <w:b/>
                <w:sz w:val="21"/>
                <w:szCs w:val="21"/>
              </w:rPr>
            </w:pPr>
          </w:p>
        </w:tc>
        <w:tc>
          <w:tcPr>
            <w:tcW w:w="567" w:type="dxa"/>
          </w:tcPr>
          <w:p w14:paraId="60731513" w14:textId="77777777" w:rsidR="00097346" w:rsidRPr="00A67277" w:rsidRDefault="00097346" w:rsidP="00097346">
            <w:pPr>
              <w:jc w:val="right"/>
              <w:rPr>
                <w:rFonts w:ascii="Arial" w:hAnsi="Arial" w:cs="Arial"/>
                <w:sz w:val="21"/>
                <w:szCs w:val="21"/>
              </w:rPr>
            </w:pPr>
          </w:p>
        </w:tc>
        <w:tc>
          <w:tcPr>
            <w:tcW w:w="3895" w:type="dxa"/>
          </w:tcPr>
          <w:p w14:paraId="39FC5A69" w14:textId="77777777" w:rsidR="00097346" w:rsidRPr="00A67277" w:rsidRDefault="00097346" w:rsidP="00097346">
            <w:pPr>
              <w:rPr>
                <w:rFonts w:ascii="Arial" w:hAnsi="Arial" w:cs="Arial"/>
                <w:b/>
                <w:sz w:val="21"/>
                <w:szCs w:val="21"/>
              </w:rPr>
            </w:pPr>
          </w:p>
        </w:tc>
        <w:tc>
          <w:tcPr>
            <w:tcW w:w="278" w:type="dxa"/>
          </w:tcPr>
          <w:p w14:paraId="21254630" w14:textId="77777777" w:rsidR="00097346" w:rsidRPr="00A67277" w:rsidRDefault="00097346" w:rsidP="00097346">
            <w:pPr>
              <w:rPr>
                <w:rFonts w:ascii="Arial" w:hAnsi="Arial" w:cs="Arial"/>
                <w:sz w:val="21"/>
                <w:szCs w:val="21"/>
              </w:rPr>
            </w:pPr>
          </w:p>
        </w:tc>
        <w:tc>
          <w:tcPr>
            <w:tcW w:w="828" w:type="dxa"/>
          </w:tcPr>
          <w:p w14:paraId="2E026353" w14:textId="77777777" w:rsidR="00097346" w:rsidRPr="00A67277" w:rsidRDefault="00097346" w:rsidP="00097346">
            <w:pPr>
              <w:jc w:val="right"/>
              <w:rPr>
                <w:rFonts w:ascii="Arial" w:hAnsi="Arial" w:cs="Arial"/>
                <w:sz w:val="21"/>
                <w:szCs w:val="21"/>
              </w:rPr>
            </w:pPr>
          </w:p>
        </w:tc>
      </w:tr>
      <w:tr w:rsidR="00097346" w:rsidRPr="00A67277" w14:paraId="006C6EF8" w14:textId="77777777" w:rsidTr="00AA25DA">
        <w:tc>
          <w:tcPr>
            <w:tcW w:w="4350" w:type="dxa"/>
          </w:tcPr>
          <w:p w14:paraId="71B0FEA7" w14:textId="0F348A6F" w:rsidR="00097346" w:rsidRPr="00A67277" w:rsidRDefault="00097346" w:rsidP="00097346">
            <w:pPr>
              <w:rPr>
                <w:rFonts w:ascii="Arial" w:hAnsi="Arial" w:cs="Arial"/>
                <w:b/>
                <w:sz w:val="21"/>
                <w:szCs w:val="21"/>
              </w:rPr>
            </w:pPr>
            <w:r w:rsidRPr="00A67277">
              <w:rPr>
                <w:rFonts w:ascii="Arial" w:hAnsi="Arial" w:cs="Arial"/>
                <w:b/>
                <w:sz w:val="21"/>
                <w:szCs w:val="21"/>
              </w:rPr>
              <w:t>APPENDIX 21 – FORMAT OF INDEPENDENT SUPERVISOR CONSULTANT CONTRACT</w:t>
            </w:r>
          </w:p>
        </w:tc>
        <w:tc>
          <w:tcPr>
            <w:tcW w:w="567" w:type="dxa"/>
          </w:tcPr>
          <w:p w14:paraId="2E264694" w14:textId="30C917F8" w:rsidR="00097346" w:rsidRPr="00A67277" w:rsidRDefault="00097346" w:rsidP="00097346">
            <w:pPr>
              <w:jc w:val="right"/>
              <w:rPr>
                <w:rFonts w:ascii="Arial" w:hAnsi="Arial" w:cs="Arial"/>
                <w:sz w:val="21"/>
                <w:szCs w:val="21"/>
              </w:rPr>
            </w:pPr>
            <w:r>
              <w:rPr>
                <w:rFonts w:ascii="Arial" w:hAnsi="Arial" w:cs="Arial"/>
                <w:sz w:val="21"/>
                <w:szCs w:val="21"/>
              </w:rPr>
              <w:t>312</w:t>
            </w:r>
          </w:p>
        </w:tc>
        <w:tc>
          <w:tcPr>
            <w:tcW w:w="3895" w:type="dxa"/>
          </w:tcPr>
          <w:p w14:paraId="0D6E63A0" w14:textId="6DAF7074" w:rsidR="00097346" w:rsidRPr="00A67277" w:rsidRDefault="00097346" w:rsidP="00097346">
            <w:pPr>
              <w:tabs>
                <w:tab w:val="left" w:pos="1290"/>
              </w:tabs>
              <w:rPr>
                <w:rFonts w:ascii="Arial" w:hAnsi="Arial" w:cs="Arial"/>
                <w:b/>
                <w:sz w:val="21"/>
                <w:szCs w:val="21"/>
              </w:rPr>
            </w:pPr>
            <w:r w:rsidRPr="00A67277">
              <w:rPr>
                <w:rFonts w:ascii="Arial" w:hAnsi="Arial" w:cs="Arial"/>
                <w:b/>
                <w:sz w:val="21"/>
                <w:szCs w:val="21"/>
              </w:rPr>
              <w:t>LAMPIRAN 21 – BENTUK PERJANJIAN PENUNJUKKAN KONSULTAN PENGAWAS</w:t>
            </w:r>
          </w:p>
        </w:tc>
        <w:tc>
          <w:tcPr>
            <w:tcW w:w="278" w:type="dxa"/>
          </w:tcPr>
          <w:p w14:paraId="5EF0AC04" w14:textId="77777777" w:rsidR="00097346" w:rsidRPr="00A67277" w:rsidRDefault="00097346" w:rsidP="00097346">
            <w:pPr>
              <w:rPr>
                <w:rFonts w:ascii="Arial" w:hAnsi="Arial" w:cs="Arial"/>
                <w:sz w:val="21"/>
                <w:szCs w:val="21"/>
              </w:rPr>
            </w:pPr>
          </w:p>
        </w:tc>
        <w:tc>
          <w:tcPr>
            <w:tcW w:w="828" w:type="dxa"/>
          </w:tcPr>
          <w:p w14:paraId="52040CD0" w14:textId="273B641C" w:rsidR="00097346" w:rsidRPr="00A67277" w:rsidRDefault="00097346" w:rsidP="00097346">
            <w:pPr>
              <w:jc w:val="right"/>
              <w:rPr>
                <w:rFonts w:ascii="Arial" w:hAnsi="Arial" w:cs="Arial"/>
                <w:sz w:val="21"/>
                <w:szCs w:val="21"/>
              </w:rPr>
            </w:pPr>
            <w:r>
              <w:rPr>
                <w:rFonts w:ascii="Arial" w:hAnsi="Arial" w:cs="Arial"/>
                <w:sz w:val="21"/>
                <w:szCs w:val="21"/>
              </w:rPr>
              <w:t>312</w:t>
            </w:r>
          </w:p>
        </w:tc>
      </w:tr>
      <w:tr w:rsidR="00097346" w:rsidRPr="00A67277" w14:paraId="7259E627" w14:textId="77777777" w:rsidTr="00AA25DA">
        <w:tc>
          <w:tcPr>
            <w:tcW w:w="4350" w:type="dxa"/>
          </w:tcPr>
          <w:p w14:paraId="5AE9C6AE" w14:textId="77777777" w:rsidR="00097346" w:rsidRPr="00A67277" w:rsidRDefault="00097346" w:rsidP="00097346">
            <w:pPr>
              <w:rPr>
                <w:rFonts w:ascii="Arial" w:hAnsi="Arial" w:cs="Arial"/>
                <w:b/>
                <w:sz w:val="21"/>
                <w:szCs w:val="21"/>
              </w:rPr>
            </w:pPr>
          </w:p>
        </w:tc>
        <w:tc>
          <w:tcPr>
            <w:tcW w:w="567" w:type="dxa"/>
          </w:tcPr>
          <w:p w14:paraId="5577EFF5" w14:textId="77777777" w:rsidR="00097346" w:rsidRPr="00A67277" w:rsidRDefault="00097346" w:rsidP="00097346">
            <w:pPr>
              <w:jc w:val="right"/>
              <w:rPr>
                <w:rFonts w:ascii="Arial" w:hAnsi="Arial" w:cs="Arial"/>
                <w:sz w:val="21"/>
                <w:szCs w:val="21"/>
              </w:rPr>
            </w:pPr>
          </w:p>
        </w:tc>
        <w:tc>
          <w:tcPr>
            <w:tcW w:w="3895" w:type="dxa"/>
          </w:tcPr>
          <w:p w14:paraId="753D5AC6" w14:textId="77777777" w:rsidR="00097346" w:rsidRPr="00A67277" w:rsidRDefault="00097346" w:rsidP="00097346">
            <w:pPr>
              <w:rPr>
                <w:rFonts w:ascii="Arial" w:hAnsi="Arial" w:cs="Arial"/>
                <w:b/>
                <w:sz w:val="21"/>
                <w:szCs w:val="21"/>
              </w:rPr>
            </w:pPr>
          </w:p>
        </w:tc>
        <w:tc>
          <w:tcPr>
            <w:tcW w:w="278" w:type="dxa"/>
          </w:tcPr>
          <w:p w14:paraId="4DD056CA" w14:textId="77777777" w:rsidR="00097346" w:rsidRPr="00A67277" w:rsidRDefault="00097346" w:rsidP="00097346">
            <w:pPr>
              <w:rPr>
                <w:rFonts w:ascii="Arial" w:hAnsi="Arial" w:cs="Arial"/>
                <w:sz w:val="21"/>
                <w:szCs w:val="21"/>
              </w:rPr>
            </w:pPr>
          </w:p>
        </w:tc>
        <w:tc>
          <w:tcPr>
            <w:tcW w:w="828" w:type="dxa"/>
          </w:tcPr>
          <w:p w14:paraId="4C9E5CC6" w14:textId="77777777" w:rsidR="00097346" w:rsidRPr="00A67277" w:rsidRDefault="00097346" w:rsidP="00097346">
            <w:pPr>
              <w:jc w:val="right"/>
              <w:rPr>
                <w:rFonts w:ascii="Arial" w:hAnsi="Arial" w:cs="Arial"/>
                <w:sz w:val="21"/>
                <w:szCs w:val="21"/>
              </w:rPr>
            </w:pPr>
          </w:p>
        </w:tc>
      </w:tr>
      <w:tr w:rsidR="00097346" w:rsidRPr="00A67277" w14:paraId="7507EE01" w14:textId="77777777" w:rsidTr="00AA25DA">
        <w:tc>
          <w:tcPr>
            <w:tcW w:w="4350" w:type="dxa"/>
          </w:tcPr>
          <w:p w14:paraId="7DDF5848" w14:textId="7E7A11D1" w:rsidR="00097346" w:rsidRPr="00A67277" w:rsidRDefault="00097346" w:rsidP="00097346">
            <w:pPr>
              <w:rPr>
                <w:rFonts w:ascii="Arial" w:hAnsi="Arial" w:cs="Arial"/>
                <w:b/>
                <w:sz w:val="21"/>
                <w:szCs w:val="21"/>
              </w:rPr>
            </w:pPr>
            <w:r w:rsidRPr="00A67277">
              <w:rPr>
                <w:rFonts w:ascii="Arial" w:hAnsi="Arial" w:cs="Arial"/>
                <w:b/>
                <w:sz w:val="21"/>
                <w:szCs w:val="21"/>
              </w:rPr>
              <w:t>APPENDIX 22 – FORMAT OF SPONSOR’S AGREEMENT</w:t>
            </w:r>
          </w:p>
        </w:tc>
        <w:tc>
          <w:tcPr>
            <w:tcW w:w="567" w:type="dxa"/>
          </w:tcPr>
          <w:p w14:paraId="7C4AB492" w14:textId="3A56A6A2" w:rsidR="00097346" w:rsidRPr="00A67277" w:rsidRDefault="00097346" w:rsidP="00097346">
            <w:pPr>
              <w:jc w:val="right"/>
              <w:rPr>
                <w:rFonts w:ascii="Arial" w:hAnsi="Arial" w:cs="Arial"/>
                <w:sz w:val="21"/>
                <w:szCs w:val="21"/>
              </w:rPr>
            </w:pPr>
            <w:r>
              <w:rPr>
                <w:rFonts w:ascii="Arial" w:hAnsi="Arial" w:cs="Arial"/>
                <w:sz w:val="21"/>
                <w:szCs w:val="21"/>
              </w:rPr>
              <w:t>334</w:t>
            </w:r>
          </w:p>
        </w:tc>
        <w:tc>
          <w:tcPr>
            <w:tcW w:w="3895" w:type="dxa"/>
          </w:tcPr>
          <w:p w14:paraId="58FE2CF7" w14:textId="2C0A6C8C" w:rsidR="00097346" w:rsidRPr="00A67277" w:rsidRDefault="00097346" w:rsidP="00097346">
            <w:pPr>
              <w:tabs>
                <w:tab w:val="left" w:pos="1230"/>
              </w:tabs>
              <w:rPr>
                <w:rFonts w:ascii="Arial" w:hAnsi="Arial" w:cs="Arial"/>
                <w:b/>
                <w:sz w:val="21"/>
                <w:szCs w:val="21"/>
              </w:rPr>
            </w:pPr>
            <w:r w:rsidRPr="00A67277">
              <w:rPr>
                <w:rFonts w:ascii="Arial" w:hAnsi="Arial" w:cs="Arial"/>
                <w:b/>
                <w:sz w:val="21"/>
                <w:szCs w:val="21"/>
              </w:rPr>
              <w:t>LAMPIRAN 22 – BENTUK PERJANJIAN SPONSOR</w:t>
            </w:r>
          </w:p>
        </w:tc>
        <w:tc>
          <w:tcPr>
            <w:tcW w:w="278" w:type="dxa"/>
          </w:tcPr>
          <w:p w14:paraId="2A0FD72C" w14:textId="77777777" w:rsidR="00097346" w:rsidRPr="00A67277" w:rsidRDefault="00097346" w:rsidP="00097346">
            <w:pPr>
              <w:rPr>
                <w:rFonts w:ascii="Arial" w:hAnsi="Arial" w:cs="Arial"/>
                <w:sz w:val="21"/>
                <w:szCs w:val="21"/>
              </w:rPr>
            </w:pPr>
          </w:p>
        </w:tc>
        <w:tc>
          <w:tcPr>
            <w:tcW w:w="828" w:type="dxa"/>
          </w:tcPr>
          <w:p w14:paraId="3CBE8BDA" w14:textId="7A5C1F66" w:rsidR="00097346" w:rsidRPr="00A67277" w:rsidRDefault="00097346" w:rsidP="00097346">
            <w:pPr>
              <w:jc w:val="right"/>
              <w:rPr>
                <w:rFonts w:ascii="Arial" w:hAnsi="Arial" w:cs="Arial"/>
                <w:sz w:val="21"/>
                <w:szCs w:val="21"/>
              </w:rPr>
            </w:pPr>
            <w:r>
              <w:rPr>
                <w:rFonts w:ascii="Arial" w:hAnsi="Arial" w:cs="Arial"/>
                <w:sz w:val="21"/>
                <w:szCs w:val="21"/>
              </w:rPr>
              <w:t>334</w:t>
            </w:r>
          </w:p>
        </w:tc>
      </w:tr>
      <w:tr w:rsidR="00097346" w:rsidRPr="00A67277" w14:paraId="07BB0FB8" w14:textId="77777777" w:rsidTr="00AA25DA">
        <w:tc>
          <w:tcPr>
            <w:tcW w:w="4350" w:type="dxa"/>
          </w:tcPr>
          <w:p w14:paraId="4C4284F6" w14:textId="77777777" w:rsidR="00097346" w:rsidRPr="00A67277" w:rsidRDefault="00097346" w:rsidP="00097346">
            <w:pPr>
              <w:rPr>
                <w:rFonts w:ascii="Arial" w:hAnsi="Arial" w:cs="Arial"/>
                <w:b/>
                <w:sz w:val="21"/>
                <w:szCs w:val="21"/>
              </w:rPr>
            </w:pPr>
          </w:p>
        </w:tc>
        <w:tc>
          <w:tcPr>
            <w:tcW w:w="567" w:type="dxa"/>
          </w:tcPr>
          <w:p w14:paraId="2EF3C116" w14:textId="77777777" w:rsidR="00097346" w:rsidRPr="00A67277" w:rsidRDefault="00097346" w:rsidP="00097346">
            <w:pPr>
              <w:jc w:val="right"/>
              <w:rPr>
                <w:rFonts w:ascii="Arial" w:hAnsi="Arial" w:cs="Arial"/>
                <w:sz w:val="21"/>
                <w:szCs w:val="21"/>
              </w:rPr>
            </w:pPr>
          </w:p>
        </w:tc>
        <w:tc>
          <w:tcPr>
            <w:tcW w:w="3895" w:type="dxa"/>
          </w:tcPr>
          <w:p w14:paraId="58433C29" w14:textId="77777777" w:rsidR="00097346" w:rsidRPr="00A67277" w:rsidRDefault="00097346" w:rsidP="00097346">
            <w:pPr>
              <w:rPr>
                <w:rFonts w:ascii="Arial" w:hAnsi="Arial" w:cs="Arial"/>
                <w:b/>
                <w:sz w:val="21"/>
                <w:szCs w:val="21"/>
              </w:rPr>
            </w:pPr>
          </w:p>
        </w:tc>
        <w:tc>
          <w:tcPr>
            <w:tcW w:w="278" w:type="dxa"/>
          </w:tcPr>
          <w:p w14:paraId="2667E290" w14:textId="77777777" w:rsidR="00097346" w:rsidRPr="00A67277" w:rsidRDefault="00097346" w:rsidP="00097346">
            <w:pPr>
              <w:rPr>
                <w:rFonts w:ascii="Arial" w:hAnsi="Arial" w:cs="Arial"/>
                <w:sz w:val="21"/>
                <w:szCs w:val="21"/>
              </w:rPr>
            </w:pPr>
          </w:p>
        </w:tc>
        <w:tc>
          <w:tcPr>
            <w:tcW w:w="828" w:type="dxa"/>
          </w:tcPr>
          <w:p w14:paraId="7A6B76D7" w14:textId="77777777" w:rsidR="00097346" w:rsidRPr="00A67277" w:rsidRDefault="00097346" w:rsidP="00097346">
            <w:pPr>
              <w:jc w:val="right"/>
              <w:rPr>
                <w:rFonts w:ascii="Arial" w:hAnsi="Arial" w:cs="Arial"/>
                <w:sz w:val="21"/>
                <w:szCs w:val="21"/>
              </w:rPr>
            </w:pPr>
          </w:p>
        </w:tc>
      </w:tr>
      <w:tr w:rsidR="00097346" w:rsidRPr="00A67277" w14:paraId="73879B46" w14:textId="77777777" w:rsidTr="00AA25DA">
        <w:tc>
          <w:tcPr>
            <w:tcW w:w="4350" w:type="dxa"/>
          </w:tcPr>
          <w:p w14:paraId="2E56B1D4" w14:textId="6619EA26" w:rsidR="00097346" w:rsidRPr="00A67277" w:rsidRDefault="00097346" w:rsidP="00097346">
            <w:pPr>
              <w:rPr>
                <w:rFonts w:ascii="Arial" w:hAnsi="Arial" w:cs="Arial"/>
                <w:b/>
                <w:sz w:val="21"/>
                <w:szCs w:val="21"/>
              </w:rPr>
            </w:pPr>
            <w:r w:rsidRPr="00A67277">
              <w:rPr>
                <w:rFonts w:ascii="Arial" w:hAnsi="Arial" w:cs="Arial"/>
                <w:b/>
                <w:sz w:val="21"/>
                <w:szCs w:val="21"/>
              </w:rPr>
              <w:t>APPENDIX 23 – [FORM OF COD CERTIFICATION***]</w:t>
            </w:r>
          </w:p>
        </w:tc>
        <w:tc>
          <w:tcPr>
            <w:tcW w:w="567" w:type="dxa"/>
          </w:tcPr>
          <w:p w14:paraId="4EF0DD65" w14:textId="585B5F59" w:rsidR="00097346" w:rsidRPr="00AA25DA" w:rsidRDefault="00097346" w:rsidP="00097346">
            <w:pPr>
              <w:jc w:val="right"/>
              <w:rPr>
                <w:rFonts w:ascii="Arial" w:hAnsi="Arial" w:cs="Arial"/>
                <w:bCs/>
                <w:sz w:val="21"/>
                <w:szCs w:val="21"/>
              </w:rPr>
            </w:pPr>
            <w:r w:rsidRPr="00AA25DA">
              <w:rPr>
                <w:rFonts w:ascii="Arial" w:hAnsi="Arial" w:cs="Arial"/>
                <w:bCs/>
                <w:sz w:val="21"/>
                <w:szCs w:val="21"/>
              </w:rPr>
              <w:t>347</w:t>
            </w:r>
          </w:p>
        </w:tc>
        <w:tc>
          <w:tcPr>
            <w:tcW w:w="3895" w:type="dxa"/>
          </w:tcPr>
          <w:p w14:paraId="096A3B32" w14:textId="7EA927F8" w:rsidR="00097346" w:rsidRPr="00A67277" w:rsidRDefault="00097346" w:rsidP="00097346">
            <w:pPr>
              <w:rPr>
                <w:rFonts w:ascii="Arial" w:hAnsi="Arial" w:cs="Arial"/>
                <w:b/>
                <w:sz w:val="21"/>
                <w:szCs w:val="21"/>
              </w:rPr>
            </w:pPr>
            <w:r w:rsidRPr="00A67277">
              <w:rPr>
                <w:rFonts w:ascii="Arial" w:hAnsi="Arial" w:cs="Arial"/>
                <w:b/>
                <w:sz w:val="21"/>
                <w:szCs w:val="21"/>
              </w:rPr>
              <w:t>LAMPIRAN 23 – [*BENTUK SERTIFIKASI TANGGAL OPERASI KOMERSIAL**]</w:t>
            </w:r>
          </w:p>
        </w:tc>
        <w:tc>
          <w:tcPr>
            <w:tcW w:w="278" w:type="dxa"/>
          </w:tcPr>
          <w:p w14:paraId="4B6D95ED" w14:textId="77777777" w:rsidR="00097346" w:rsidRPr="00A67277" w:rsidRDefault="00097346" w:rsidP="00097346">
            <w:pPr>
              <w:rPr>
                <w:rFonts w:ascii="Arial" w:hAnsi="Arial" w:cs="Arial"/>
                <w:sz w:val="21"/>
                <w:szCs w:val="21"/>
              </w:rPr>
            </w:pPr>
          </w:p>
        </w:tc>
        <w:tc>
          <w:tcPr>
            <w:tcW w:w="828" w:type="dxa"/>
          </w:tcPr>
          <w:p w14:paraId="461D77BE" w14:textId="57ACE813" w:rsidR="00097346" w:rsidRPr="00A67277" w:rsidRDefault="00097346" w:rsidP="00097346">
            <w:pPr>
              <w:jc w:val="right"/>
              <w:rPr>
                <w:rFonts w:ascii="Arial" w:hAnsi="Arial" w:cs="Arial"/>
                <w:sz w:val="21"/>
                <w:szCs w:val="21"/>
              </w:rPr>
            </w:pPr>
            <w:r w:rsidRPr="00AA25DA">
              <w:rPr>
                <w:rFonts w:ascii="Arial" w:hAnsi="Arial" w:cs="Arial"/>
                <w:bCs/>
                <w:sz w:val="21"/>
                <w:szCs w:val="21"/>
              </w:rPr>
              <w:t>347</w:t>
            </w:r>
          </w:p>
        </w:tc>
      </w:tr>
      <w:tr w:rsidR="00097346" w:rsidRPr="00A67277" w14:paraId="63095DFF" w14:textId="77777777" w:rsidTr="00AA25DA">
        <w:tc>
          <w:tcPr>
            <w:tcW w:w="4350" w:type="dxa"/>
          </w:tcPr>
          <w:p w14:paraId="71FBB47B" w14:textId="77777777" w:rsidR="00097346" w:rsidRPr="00A67277" w:rsidRDefault="00097346" w:rsidP="00097346">
            <w:pPr>
              <w:rPr>
                <w:rFonts w:ascii="Arial" w:hAnsi="Arial" w:cs="Arial"/>
                <w:b/>
                <w:sz w:val="21"/>
                <w:szCs w:val="21"/>
              </w:rPr>
            </w:pPr>
          </w:p>
        </w:tc>
        <w:tc>
          <w:tcPr>
            <w:tcW w:w="567" w:type="dxa"/>
          </w:tcPr>
          <w:p w14:paraId="6047C39A" w14:textId="77777777" w:rsidR="00097346" w:rsidRPr="00A67277" w:rsidRDefault="00097346" w:rsidP="00097346">
            <w:pPr>
              <w:jc w:val="right"/>
              <w:rPr>
                <w:rFonts w:ascii="Arial" w:hAnsi="Arial" w:cs="Arial"/>
                <w:b/>
                <w:sz w:val="21"/>
                <w:szCs w:val="21"/>
              </w:rPr>
            </w:pPr>
          </w:p>
        </w:tc>
        <w:tc>
          <w:tcPr>
            <w:tcW w:w="3895" w:type="dxa"/>
          </w:tcPr>
          <w:p w14:paraId="3C27D186" w14:textId="77777777" w:rsidR="00097346" w:rsidRPr="00A67277" w:rsidRDefault="00097346" w:rsidP="00097346">
            <w:pPr>
              <w:rPr>
                <w:rFonts w:ascii="Arial" w:hAnsi="Arial" w:cs="Arial"/>
                <w:b/>
                <w:sz w:val="21"/>
                <w:szCs w:val="21"/>
              </w:rPr>
            </w:pPr>
          </w:p>
        </w:tc>
        <w:tc>
          <w:tcPr>
            <w:tcW w:w="278" w:type="dxa"/>
          </w:tcPr>
          <w:p w14:paraId="5E9DCEB4" w14:textId="77777777" w:rsidR="00097346" w:rsidRPr="00A67277" w:rsidRDefault="00097346" w:rsidP="00097346">
            <w:pPr>
              <w:rPr>
                <w:rFonts w:ascii="Arial" w:hAnsi="Arial" w:cs="Arial"/>
                <w:sz w:val="21"/>
                <w:szCs w:val="21"/>
              </w:rPr>
            </w:pPr>
          </w:p>
        </w:tc>
        <w:tc>
          <w:tcPr>
            <w:tcW w:w="828" w:type="dxa"/>
          </w:tcPr>
          <w:p w14:paraId="670FC51A" w14:textId="77777777" w:rsidR="00097346" w:rsidRPr="00A67277" w:rsidRDefault="00097346" w:rsidP="00097346">
            <w:pPr>
              <w:jc w:val="right"/>
              <w:rPr>
                <w:rFonts w:ascii="Arial" w:hAnsi="Arial" w:cs="Arial"/>
                <w:sz w:val="21"/>
                <w:szCs w:val="21"/>
              </w:rPr>
            </w:pPr>
          </w:p>
        </w:tc>
      </w:tr>
      <w:tr w:rsidR="00097346" w:rsidRPr="00A67277" w14:paraId="38A45A61" w14:textId="77777777" w:rsidTr="00AA25DA">
        <w:tc>
          <w:tcPr>
            <w:tcW w:w="4350" w:type="dxa"/>
          </w:tcPr>
          <w:p w14:paraId="37EE7989" w14:textId="627B06E9" w:rsidR="00097346" w:rsidRPr="00A67277" w:rsidRDefault="00097346" w:rsidP="00097346">
            <w:pPr>
              <w:rPr>
                <w:rFonts w:ascii="Arial" w:hAnsi="Arial" w:cs="Arial"/>
                <w:b/>
                <w:sz w:val="21"/>
                <w:szCs w:val="21"/>
              </w:rPr>
            </w:pPr>
            <w:r w:rsidRPr="00A67277">
              <w:rPr>
                <w:rFonts w:ascii="Arial" w:hAnsi="Arial" w:cs="Arial"/>
                <w:b/>
                <w:sz w:val="21"/>
                <w:szCs w:val="21"/>
              </w:rPr>
              <w:t>APPENDIX 24 – [FORM OF REQUEST OF ADDITIONAL FACILITY FOR ADDITIONAL LANE***]</w:t>
            </w:r>
          </w:p>
        </w:tc>
        <w:tc>
          <w:tcPr>
            <w:tcW w:w="567" w:type="dxa"/>
          </w:tcPr>
          <w:p w14:paraId="52B95748" w14:textId="5029C7E0" w:rsidR="00097346" w:rsidRPr="00AA25DA" w:rsidRDefault="00097346" w:rsidP="00097346">
            <w:pPr>
              <w:jc w:val="right"/>
              <w:rPr>
                <w:rFonts w:ascii="Arial" w:hAnsi="Arial" w:cs="Arial"/>
                <w:bCs/>
                <w:sz w:val="21"/>
                <w:szCs w:val="21"/>
              </w:rPr>
            </w:pPr>
            <w:r w:rsidRPr="00AA25DA">
              <w:rPr>
                <w:rFonts w:ascii="Arial" w:hAnsi="Arial" w:cs="Arial"/>
                <w:bCs/>
                <w:sz w:val="21"/>
                <w:szCs w:val="21"/>
              </w:rPr>
              <w:t>348</w:t>
            </w:r>
          </w:p>
        </w:tc>
        <w:tc>
          <w:tcPr>
            <w:tcW w:w="3895" w:type="dxa"/>
          </w:tcPr>
          <w:p w14:paraId="2B564F2E" w14:textId="2460A7E2" w:rsidR="00097346" w:rsidRPr="00A67277" w:rsidRDefault="00097346" w:rsidP="00097346">
            <w:pPr>
              <w:rPr>
                <w:rFonts w:ascii="Arial" w:hAnsi="Arial" w:cs="Arial"/>
                <w:b/>
                <w:sz w:val="21"/>
                <w:szCs w:val="21"/>
              </w:rPr>
            </w:pPr>
            <w:r w:rsidRPr="00A67277">
              <w:rPr>
                <w:rFonts w:ascii="Arial" w:hAnsi="Arial" w:cs="Arial"/>
                <w:b/>
                <w:sz w:val="21"/>
                <w:szCs w:val="21"/>
              </w:rPr>
              <w:t>LAMPIRAN 24 – [*BENTUK PERMINTAAN FASILITAS TAMBAHAN UNTUK JALUR TAMBAHAN]</w:t>
            </w:r>
          </w:p>
        </w:tc>
        <w:tc>
          <w:tcPr>
            <w:tcW w:w="278" w:type="dxa"/>
          </w:tcPr>
          <w:p w14:paraId="29287260" w14:textId="77777777" w:rsidR="00097346" w:rsidRPr="00A67277" w:rsidRDefault="00097346" w:rsidP="00097346">
            <w:pPr>
              <w:rPr>
                <w:rFonts w:ascii="Arial" w:hAnsi="Arial" w:cs="Arial"/>
                <w:sz w:val="21"/>
                <w:szCs w:val="21"/>
              </w:rPr>
            </w:pPr>
          </w:p>
        </w:tc>
        <w:tc>
          <w:tcPr>
            <w:tcW w:w="828" w:type="dxa"/>
          </w:tcPr>
          <w:p w14:paraId="0FB89E7A" w14:textId="7C5E2CBA" w:rsidR="00097346" w:rsidRPr="00A67277" w:rsidRDefault="00097346" w:rsidP="00097346">
            <w:pPr>
              <w:jc w:val="right"/>
              <w:rPr>
                <w:rFonts w:ascii="Arial" w:hAnsi="Arial" w:cs="Arial"/>
                <w:sz w:val="21"/>
                <w:szCs w:val="21"/>
              </w:rPr>
            </w:pPr>
            <w:r w:rsidRPr="00AA25DA">
              <w:rPr>
                <w:rFonts w:ascii="Arial" w:hAnsi="Arial" w:cs="Arial"/>
                <w:bCs/>
                <w:sz w:val="21"/>
                <w:szCs w:val="21"/>
              </w:rPr>
              <w:t>348</w:t>
            </w:r>
          </w:p>
        </w:tc>
      </w:tr>
      <w:tr w:rsidR="00097346" w:rsidRPr="00A67277" w14:paraId="7F4F6CDD" w14:textId="77777777" w:rsidTr="00AA25DA">
        <w:tc>
          <w:tcPr>
            <w:tcW w:w="4350" w:type="dxa"/>
          </w:tcPr>
          <w:p w14:paraId="46B98BB7" w14:textId="77777777" w:rsidR="00097346" w:rsidRPr="00A67277" w:rsidRDefault="00097346" w:rsidP="00097346">
            <w:pPr>
              <w:rPr>
                <w:rFonts w:ascii="Arial" w:hAnsi="Arial" w:cs="Arial"/>
                <w:b/>
                <w:sz w:val="21"/>
                <w:szCs w:val="21"/>
              </w:rPr>
            </w:pPr>
          </w:p>
        </w:tc>
        <w:tc>
          <w:tcPr>
            <w:tcW w:w="567" w:type="dxa"/>
          </w:tcPr>
          <w:p w14:paraId="5731C731" w14:textId="77777777" w:rsidR="00097346" w:rsidRPr="00A67277" w:rsidRDefault="00097346" w:rsidP="00097346">
            <w:pPr>
              <w:jc w:val="right"/>
              <w:rPr>
                <w:rFonts w:ascii="Arial" w:hAnsi="Arial" w:cs="Arial"/>
                <w:b/>
                <w:sz w:val="21"/>
                <w:szCs w:val="21"/>
              </w:rPr>
            </w:pPr>
          </w:p>
        </w:tc>
        <w:tc>
          <w:tcPr>
            <w:tcW w:w="3895" w:type="dxa"/>
          </w:tcPr>
          <w:p w14:paraId="2BB3893B" w14:textId="77777777" w:rsidR="00097346" w:rsidRPr="00A67277" w:rsidRDefault="00097346" w:rsidP="00097346">
            <w:pPr>
              <w:rPr>
                <w:rFonts w:ascii="Arial" w:hAnsi="Arial" w:cs="Arial"/>
                <w:b/>
                <w:sz w:val="21"/>
                <w:szCs w:val="21"/>
              </w:rPr>
            </w:pPr>
          </w:p>
        </w:tc>
        <w:tc>
          <w:tcPr>
            <w:tcW w:w="278" w:type="dxa"/>
          </w:tcPr>
          <w:p w14:paraId="21A45B87" w14:textId="77777777" w:rsidR="00097346" w:rsidRPr="00A67277" w:rsidRDefault="00097346" w:rsidP="00097346">
            <w:pPr>
              <w:rPr>
                <w:rFonts w:ascii="Arial" w:hAnsi="Arial" w:cs="Arial"/>
                <w:sz w:val="21"/>
                <w:szCs w:val="21"/>
              </w:rPr>
            </w:pPr>
          </w:p>
        </w:tc>
        <w:tc>
          <w:tcPr>
            <w:tcW w:w="828" w:type="dxa"/>
          </w:tcPr>
          <w:p w14:paraId="3957FB46" w14:textId="77777777" w:rsidR="00097346" w:rsidRPr="00A67277" w:rsidRDefault="00097346" w:rsidP="00097346">
            <w:pPr>
              <w:jc w:val="right"/>
              <w:rPr>
                <w:rFonts w:ascii="Arial" w:hAnsi="Arial" w:cs="Arial"/>
                <w:sz w:val="21"/>
                <w:szCs w:val="21"/>
              </w:rPr>
            </w:pPr>
          </w:p>
        </w:tc>
      </w:tr>
      <w:tr w:rsidR="00097346" w:rsidRPr="00A67277" w14:paraId="30B51F0D" w14:textId="77777777" w:rsidTr="00AA25DA">
        <w:tc>
          <w:tcPr>
            <w:tcW w:w="4350" w:type="dxa"/>
          </w:tcPr>
          <w:p w14:paraId="6A941C49" w14:textId="4ABF1917" w:rsidR="00097346" w:rsidRPr="00A67277" w:rsidRDefault="00097346" w:rsidP="00097346">
            <w:pPr>
              <w:rPr>
                <w:rFonts w:ascii="Arial" w:hAnsi="Arial" w:cs="Arial"/>
                <w:b/>
                <w:sz w:val="21"/>
                <w:szCs w:val="21"/>
              </w:rPr>
            </w:pPr>
            <w:r w:rsidRPr="00A67277">
              <w:rPr>
                <w:rFonts w:ascii="Arial" w:hAnsi="Arial" w:cs="Arial"/>
                <w:b/>
                <w:sz w:val="21"/>
                <w:szCs w:val="21"/>
              </w:rPr>
              <w:t xml:space="preserve">APPENDIX 25 – [FORM OF AGREEMENT ON ADJUSTMENT TO THE </w:t>
            </w:r>
            <w:r>
              <w:rPr>
                <w:rFonts w:ascii="Arial" w:hAnsi="Arial" w:cs="Arial"/>
                <w:b/>
                <w:sz w:val="21"/>
                <w:szCs w:val="21"/>
              </w:rPr>
              <w:t>SERVICE FEE</w:t>
            </w:r>
            <w:r w:rsidRPr="00A67277">
              <w:rPr>
                <w:rFonts w:ascii="Arial" w:hAnsi="Arial" w:cs="Arial"/>
                <w:b/>
                <w:sz w:val="21"/>
                <w:szCs w:val="21"/>
              </w:rPr>
              <w:t xml:space="preserve"> DUE TO ADDITIONAL LANE***]</w:t>
            </w:r>
          </w:p>
        </w:tc>
        <w:tc>
          <w:tcPr>
            <w:tcW w:w="567" w:type="dxa"/>
          </w:tcPr>
          <w:p w14:paraId="4F0E015F" w14:textId="3CFE7346" w:rsidR="00097346" w:rsidRPr="00097346" w:rsidRDefault="00097346" w:rsidP="00097346">
            <w:pPr>
              <w:jc w:val="right"/>
              <w:rPr>
                <w:rFonts w:ascii="Arial" w:hAnsi="Arial" w:cs="Arial"/>
                <w:bCs/>
                <w:sz w:val="21"/>
                <w:szCs w:val="21"/>
              </w:rPr>
            </w:pPr>
            <w:r w:rsidRPr="00097346">
              <w:rPr>
                <w:rFonts w:ascii="Arial" w:hAnsi="Arial" w:cs="Arial"/>
                <w:bCs/>
                <w:sz w:val="21"/>
                <w:szCs w:val="21"/>
              </w:rPr>
              <w:t>349</w:t>
            </w:r>
          </w:p>
        </w:tc>
        <w:tc>
          <w:tcPr>
            <w:tcW w:w="3895" w:type="dxa"/>
          </w:tcPr>
          <w:p w14:paraId="67578615" w14:textId="20327055" w:rsidR="00097346" w:rsidRPr="00A67277" w:rsidRDefault="00097346" w:rsidP="00097346">
            <w:pPr>
              <w:rPr>
                <w:rFonts w:ascii="Arial" w:hAnsi="Arial" w:cs="Arial"/>
                <w:b/>
                <w:sz w:val="21"/>
                <w:szCs w:val="21"/>
              </w:rPr>
            </w:pPr>
            <w:r w:rsidRPr="00A67277">
              <w:rPr>
                <w:rFonts w:ascii="Arial" w:hAnsi="Arial" w:cs="Arial"/>
                <w:b/>
                <w:sz w:val="21"/>
                <w:szCs w:val="21"/>
              </w:rPr>
              <w:t xml:space="preserve">LAMPIRAN 25 – [*BENTUK PERJANJIAN PENYESUAIAN TERHADAP </w:t>
            </w:r>
            <w:r>
              <w:rPr>
                <w:rFonts w:ascii="Arial" w:hAnsi="Arial" w:cs="Arial"/>
                <w:b/>
                <w:sz w:val="21"/>
                <w:szCs w:val="21"/>
              </w:rPr>
              <w:t>BIAYA</w:t>
            </w:r>
            <w:r w:rsidRPr="00A67277">
              <w:rPr>
                <w:rFonts w:ascii="Arial" w:hAnsi="Arial" w:cs="Arial"/>
                <w:b/>
                <w:sz w:val="21"/>
                <w:szCs w:val="21"/>
              </w:rPr>
              <w:t xml:space="preserve"> LAYANAN KARENA JALUR TAMBAHAN]</w:t>
            </w:r>
          </w:p>
        </w:tc>
        <w:tc>
          <w:tcPr>
            <w:tcW w:w="278" w:type="dxa"/>
          </w:tcPr>
          <w:p w14:paraId="23BFB50A" w14:textId="77777777" w:rsidR="00097346" w:rsidRPr="00A67277" w:rsidRDefault="00097346" w:rsidP="00097346">
            <w:pPr>
              <w:rPr>
                <w:rFonts w:ascii="Arial" w:hAnsi="Arial" w:cs="Arial"/>
                <w:sz w:val="21"/>
                <w:szCs w:val="21"/>
              </w:rPr>
            </w:pPr>
          </w:p>
        </w:tc>
        <w:tc>
          <w:tcPr>
            <w:tcW w:w="828" w:type="dxa"/>
          </w:tcPr>
          <w:p w14:paraId="0C90F935" w14:textId="378E096A" w:rsidR="00097346" w:rsidRPr="00A67277" w:rsidRDefault="00097346" w:rsidP="00097346">
            <w:pPr>
              <w:jc w:val="right"/>
              <w:rPr>
                <w:rFonts w:ascii="Arial" w:hAnsi="Arial" w:cs="Arial"/>
                <w:sz w:val="21"/>
                <w:szCs w:val="21"/>
              </w:rPr>
            </w:pPr>
            <w:r w:rsidRPr="00097346">
              <w:rPr>
                <w:rFonts w:ascii="Arial" w:hAnsi="Arial" w:cs="Arial"/>
                <w:bCs/>
                <w:sz w:val="21"/>
                <w:szCs w:val="21"/>
              </w:rPr>
              <w:t>349</w:t>
            </w:r>
          </w:p>
        </w:tc>
      </w:tr>
      <w:tr w:rsidR="00097346" w:rsidRPr="00A67277" w14:paraId="677EE016" w14:textId="77777777" w:rsidTr="00AA25DA">
        <w:tc>
          <w:tcPr>
            <w:tcW w:w="4350" w:type="dxa"/>
          </w:tcPr>
          <w:p w14:paraId="058EEED9" w14:textId="77777777" w:rsidR="00097346" w:rsidRPr="00A67277" w:rsidRDefault="00097346" w:rsidP="00097346">
            <w:pPr>
              <w:rPr>
                <w:rFonts w:ascii="Arial" w:hAnsi="Arial" w:cs="Arial"/>
                <w:b/>
                <w:sz w:val="21"/>
                <w:szCs w:val="21"/>
              </w:rPr>
            </w:pPr>
          </w:p>
        </w:tc>
        <w:tc>
          <w:tcPr>
            <w:tcW w:w="567" w:type="dxa"/>
          </w:tcPr>
          <w:p w14:paraId="576DAE15" w14:textId="77777777" w:rsidR="00097346" w:rsidRPr="00A67277" w:rsidRDefault="00097346" w:rsidP="00097346">
            <w:pPr>
              <w:jc w:val="right"/>
              <w:rPr>
                <w:rFonts w:ascii="Arial" w:hAnsi="Arial" w:cs="Arial"/>
                <w:sz w:val="21"/>
                <w:szCs w:val="21"/>
              </w:rPr>
            </w:pPr>
          </w:p>
        </w:tc>
        <w:tc>
          <w:tcPr>
            <w:tcW w:w="3895" w:type="dxa"/>
          </w:tcPr>
          <w:p w14:paraId="25BC3EC3" w14:textId="77777777" w:rsidR="00097346" w:rsidRPr="00A67277" w:rsidRDefault="00097346" w:rsidP="00097346">
            <w:pPr>
              <w:rPr>
                <w:rFonts w:ascii="Arial" w:hAnsi="Arial" w:cs="Arial"/>
                <w:b/>
                <w:sz w:val="21"/>
                <w:szCs w:val="21"/>
              </w:rPr>
            </w:pPr>
          </w:p>
        </w:tc>
        <w:tc>
          <w:tcPr>
            <w:tcW w:w="278" w:type="dxa"/>
          </w:tcPr>
          <w:p w14:paraId="41C07E3B" w14:textId="77777777" w:rsidR="00097346" w:rsidRPr="00A67277" w:rsidRDefault="00097346" w:rsidP="00097346">
            <w:pPr>
              <w:rPr>
                <w:rFonts w:ascii="Arial" w:hAnsi="Arial" w:cs="Arial"/>
                <w:sz w:val="21"/>
                <w:szCs w:val="21"/>
              </w:rPr>
            </w:pPr>
          </w:p>
        </w:tc>
        <w:tc>
          <w:tcPr>
            <w:tcW w:w="828" w:type="dxa"/>
          </w:tcPr>
          <w:p w14:paraId="10B76A8A" w14:textId="77777777" w:rsidR="00097346" w:rsidRPr="00A67277" w:rsidRDefault="00097346" w:rsidP="00097346">
            <w:pPr>
              <w:jc w:val="right"/>
              <w:rPr>
                <w:rFonts w:ascii="Arial" w:hAnsi="Arial" w:cs="Arial"/>
                <w:sz w:val="21"/>
                <w:szCs w:val="21"/>
              </w:rPr>
            </w:pPr>
          </w:p>
        </w:tc>
      </w:tr>
    </w:tbl>
    <w:p w14:paraId="345CB1CF" w14:textId="77777777" w:rsidR="00923319" w:rsidRPr="00A67277" w:rsidRDefault="00923319" w:rsidP="00923319">
      <w:pPr>
        <w:keepNext/>
        <w:spacing w:before="120" w:after="120"/>
        <w:jc w:val="center"/>
        <w:rPr>
          <w:rFonts w:ascii="Arial" w:eastAsia="Arial Unicode MS" w:hAnsi="Arial" w:cs="Arial"/>
          <w:b/>
          <w:smallCaps/>
          <w:sz w:val="21"/>
          <w:szCs w:val="21"/>
          <w:lang w:val="en-GB" w:eastAsia="en-GB"/>
        </w:rPr>
      </w:pPr>
    </w:p>
    <w:p w14:paraId="631E22E5" w14:textId="77777777" w:rsidR="00923319" w:rsidRPr="00A67277" w:rsidRDefault="00923319" w:rsidP="00923319">
      <w:pPr>
        <w:pStyle w:val="SchTitle"/>
        <w:rPr>
          <w:rFonts w:cs="Arial"/>
          <w:sz w:val="21"/>
        </w:rPr>
      </w:pPr>
    </w:p>
    <w:p w14:paraId="162D9D16" w14:textId="77777777" w:rsidR="00923319" w:rsidRPr="00A67277" w:rsidRDefault="00923319" w:rsidP="00923319">
      <w:pPr>
        <w:pStyle w:val="SchSubtitle"/>
        <w:numPr>
          <w:ilvl w:val="1"/>
          <w:numId w:val="564"/>
        </w:numPr>
        <w:sectPr w:rsidR="00923319" w:rsidRPr="00A67277" w:rsidSect="00923319">
          <w:footerReference w:type="default" r:id="rId9"/>
          <w:pgSz w:w="11909" w:h="16834" w:code="9"/>
          <w:pgMar w:top="1440" w:right="1440" w:bottom="1440" w:left="1440" w:header="720" w:footer="720" w:gutter="0"/>
          <w:cols w:space="720"/>
          <w:docGrid w:linePitch="360"/>
        </w:sect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40B7EF6B" w14:textId="77777777" w:rsidTr="00923319">
        <w:tc>
          <w:tcPr>
            <w:tcW w:w="4596" w:type="dxa"/>
          </w:tcPr>
          <w:p w14:paraId="6EF00C10" w14:textId="77777777" w:rsidR="00923319" w:rsidRPr="00A67277" w:rsidRDefault="00923319" w:rsidP="00923319">
            <w:pPr>
              <w:pStyle w:val="SchTitle"/>
              <w:rPr>
                <w:rFonts w:cs="Arial"/>
                <w:sz w:val="21"/>
              </w:rPr>
            </w:pPr>
            <w:r w:rsidRPr="00A67277">
              <w:rPr>
                <w:rFonts w:cs="Arial"/>
                <w:sz w:val="21"/>
              </w:rPr>
              <w:t>Appendix 1 – Representatives</w:t>
            </w:r>
          </w:p>
        </w:tc>
        <w:tc>
          <w:tcPr>
            <w:tcW w:w="236" w:type="dxa"/>
          </w:tcPr>
          <w:p w14:paraId="0A0BAF10" w14:textId="77777777" w:rsidR="00923319" w:rsidRPr="00A67277" w:rsidRDefault="00923319" w:rsidP="00923319">
            <w:pPr>
              <w:spacing w:before="120" w:after="120"/>
              <w:rPr>
                <w:rFonts w:ascii="Arial" w:hAnsi="Arial" w:cs="Arial"/>
                <w:sz w:val="21"/>
                <w:szCs w:val="21"/>
              </w:rPr>
            </w:pPr>
          </w:p>
        </w:tc>
        <w:tc>
          <w:tcPr>
            <w:tcW w:w="4532" w:type="dxa"/>
          </w:tcPr>
          <w:p w14:paraId="7D47A5FE" w14:textId="77777777" w:rsidR="00923319" w:rsidRPr="00A67277" w:rsidRDefault="00923319" w:rsidP="00923319">
            <w:pPr>
              <w:pStyle w:val="SchTitle"/>
              <w:rPr>
                <w:rFonts w:cs="Arial"/>
                <w:sz w:val="21"/>
              </w:rPr>
            </w:pPr>
            <w:r w:rsidRPr="00A67277">
              <w:rPr>
                <w:rFonts w:cs="Arial"/>
                <w:sz w:val="21"/>
              </w:rPr>
              <w:t>Lampiran 1 – Perwakilan</w:t>
            </w:r>
          </w:p>
        </w:tc>
      </w:tr>
      <w:tr w:rsidR="00923319" w:rsidRPr="00A67277" w14:paraId="24993985" w14:textId="77777777" w:rsidTr="00923319">
        <w:tc>
          <w:tcPr>
            <w:tcW w:w="4596" w:type="dxa"/>
          </w:tcPr>
          <w:p w14:paraId="6B68B64F" w14:textId="77777777" w:rsidR="00923319" w:rsidRPr="00A67277" w:rsidRDefault="00923319" w:rsidP="00923319">
            <w:pPr>
              <w:pStyle w:val="Body1"/>
              <w:spacing w:before="120" w:after="120"/>
              <w:rPr>
                <w:rFonts w:cs="Arial"/>
              </w:rPr>
            </w:pPr>
          </w:p>
        </w:tc>
        <w:tc>
          <w:tcPr>
            <w:tcW w:w="236" w:type="dxa"/>
          </w:tcPr>
          <w:p w14:paraId="2B26D7C2" w14:textId="77777777" w:rsidR="00923319" w:rsidRPr="00A67277" w:rsidRDefault="00923319" w:rsidP="00923319">
            <w:pPr>
              <w:spacing w:before="120" w:after="120"/>
              <w:rPr>
                <w:rFonts w:ascii="Arial" w:hAnsi="Arial" w:cs="Arial"/>
                <w:sz w:val="21"/>
                <w:szCs w:val="21"/>
              </w:rPr>
            </w:pPr>
          </w:p>
        </w:tc>
        <w:tc>
          <w:tcPr>
            <w:tcW w:w="4532" w:type="dxa"/>
          </w:tcPr>
          <w:p w14:paraId="0C2FE60D" w14:textId="77777777" w:rsidR="00923319" w:rsidRPr="00A67277" w:rsidRDefault="00923319" w:rsidP="00923319">
            <w:pPr>
              <w:pStyle w:val="Body1"/>
              <w:spacing w:before="120" w:after="120"/>
              <w:rPr>
                <w:rFonts w:cs="Arial"/>
              </w:rPr>
            </w:pPr>
          </w:p>
        </w:tc>
      </w:tr>
      <w:tr w:rsidR="00923319" w:rsidRPr="00A67277" w14:paraId="73FE4308" w14:textId="77777777" w:rsidTr="00923319">
        <w:tc>
          <w:tcPr>
            <w:tcW w:w="4596" w:type="dxa"/>
          </w:tcPr>
          <w:p w14:paraId="25407105" w14:textId="77777777" w:rsidR="00923319" w:rsidRPr="00A67277" w:rsidRDefault="00923319" w:rsidP="00923319">
            <w:pPr>
              <w:pStyle w:val="Body1"/>
              <w:spacing w:before="120" w:after="120"/>
              <w:rPr>
                <w:rFonts w:cs="Arial"/>
              </w:rPr>
            </w:pPr>
            <w:r w:rsidRPr="00A67277">
              <w:rPr>
                <w:rFonts w:cs="Arial"/>
              </w:rPr>
              <w:t>As of the date of this Agreement, the GCA representative and the IBE representative shall be as follows:</w:t>
            </w:r>
          </w:p>
          <w:p w14:paraId="343C8E28" w14:textId="77777777" w:rsidR="00923319" w:rsidRPr="00A67277" w:rsidRDefault="00923319" w:rsidP="00923319">
            <w:pPr>
              <w:pStyle w:val="Body1"/>
              <w:spacing w:before="120" w:after="120"/>
              <w:rPr>
                <w:rFonts w:cs="Arial"/>
              </w:rPr>
            </w:pPr>
            <w:r w:rsidRPr="00A67277">
              <w:rPr>
                <w:rFonts w:cs="Arial"/>
                <w:b/>
                <w:u w:val="single"/>
              </w:rPr>
              <w:t>GCA Representative:</w:t>
            </w:r>
          </w:p>
          <w:p w14:paraId="122656FF" w14:textId="77777777" w:rsidR="00923319" w:rsidRPr="00A67277" w:rsidRDefault="00923319" w:rsidP="00923319">
            <w:pPr>
              <w:pStyle w:val="Body1"/>
              <w:spacing w:before="120" w:after="120"/>
              <w:rPr>
                <w:rFonts w:cs="Arial"/>
              </w:rPr>
            </w:pPr>
            <w:r w:rsidRPr="00A67277">
              <w:rPr>
                <w:rFonts w:cs="Arial"/>
              </w:rPr>
              <w:t>Name:</w:t>
            </w:r>
          </w:p>
          <w:p w14:paraId="63E42C88" w14:textId="77777777" w:rsidR="00923319" w:rsidRPr="00A67277" w:rsidRDefault="00923319" w:rsidP="00923319">
            <w:pPr>
              <w:pStyle w:val="Body1"/>
              <w:spacing w:before="120" w:after="120"/>
              <w:rPr>
                <w:rFonts w:cs="Arial"/>
              </w:rPr>
            </w:pPr>
            <w:r w:rsidRPr="00A67277">
              <w:rPr>
                <w:rFonts w:cs="Arial"/>
              </w:rPr>
              <w:t>Title:</w:t>
            </w:r>
          </w:p>
          <w:p w14:paraId="438D4A94" w14:textId="77777777" w:rsidR="00923319" w:rsidRPr="00A67277" w:rsidRDefault="00923319" w:rsidP="00923319">
            <w:pPr>
              <w:pStyle w:val="Body1"/>
              <w:spacing w:before="120" w:after="120"/>
              <w:rPr>
                <w:rFonts w:cs="Arial"/>
              </w:rPr>
            </w:pPr>
            <w:r w:rsidRPr="00A67277">
              <w:rPr>
                <w:rFonts w:cs="Arial"/>
              </w:rPr>
              <w:t>Contact:</w:t>
            </w:r>
          </w:p>
        </w:tc>
        <w:tc>
          <w:tcPr>
            <w:tcW w:w="236" w:type="dxa"/>
          </w:tcPr>
          <w:p w14:paraId="1E72DC32" w14:textId="77777777" w:rsidR="00923319" w:rsidRPr="00A67277" w:rsidRDefault="00923319" w:rsidP="00923319">
            <w:pPr>
              <w:spacing w:before="120" w:after="120"/>
              <w:rPr>
                <w:rFonts w:ascii="Arial" w:hAnsi="Arial" w:cs="Arial"/>
                <w:sz w:val="21"/>
                <w:szCs w:val="21"/>
              </w:rPr>
            </w:pPr>
          </w:p>
        </w:tc>
        <w:tc>
          <w:tcPr>
            <w:tcW w:w="4532" w:type="dxa"/>
          </w:tcPr>
          <w:p w14:paraId="37762821" w14:textId="77777777" w:rsidR="00923319" w:rsidRPr="00A67277" w:rsidRDefault="00923319" w:rsidP="00923319">
            <w:pPr>
              <w:pStyle w:val="Body1"/>
              <w:spacing w:before="120" w:after="120"/>
              <w:rPr>
                <w:rFonts w:cs="Arial"/>
              </w:rPr>
            </w:pPr>
            <w:r w:rsidRPr="00A67277">
              <w:rPr>
                <w:rFonts w:cs="Arial"/>
              </w:rPr>
              <w:t>Pada tanggal Perjanjian ini, perwakilan dari PJPK dan perwakilan dari BUP adalah sebagai berikut:</w:t>
            </w:r>
          </w:p>
          <w:p w14:paraId="4AEE5C25" w14:textId="77777777" w:rsidR="00923319" w:rsidRPr="00A67277" w:rsidRDefault="00923319" w:rsidP="00923319">
            <w:pPr>
              <w:pStyle w:val="Body1"/>
              <w:spacing w:before="120" w:after="120"/>
              <w:rPr>
                <w:rFonts w:cs="Arial"/>
                <w:b/>
                <w:u w:val="single"/>
                <w:lang w:val="de-DE"/>
              </w:rPr>
            </w:pPr>
            <w:r w:rsidRPr="00A67277">
              <w:rPr>
                <w:rFonts w:cs="Arial"/>
                <w:b/>
                <w:u w:val="single"/>
                <w:lang w:val="de-DE"/>
              </w:rPr>
              <w:t>Perwakilan PJPK:</w:t>
            </w:r>
          </w:p>
          <w:p w14:paraId="3551CF55" w14:textId="77777777" w:rsidR="00923319" w:rsidRPr="00A67277" w:rsidRDefault="00923319" w:rsidP="00923319">
            <w:pPr>
              <w:pStyle w:val="Body1"/>
              <w:spacing w:before="120" w:after="120"/>
              <w:rPr>
                <w:rFonts w:cs="Arial"/>
                <w:lang w:val="de-DE"/>
              </w:rPr>
            </w:pPr>
            <w:r w:rsidRPr="00A67277">
              <w:rPr>
                <w:rFonts w:cs="Arial"/>
                <w:lang w:val="de-DE"/>
              </w:rPr>
              <w:t>Nama:</w:t>
            </w:r>
          </w:p>
          <w:p w14:paraId="1E8BCC31" w14:textId="77777777" w:rsidR="00923319" w:rsidRPr="00A67277" w:rsidRDefault="00923319" w:rsidP="00923319">
            <w:pPr>
              <w:pStyle w:val="Body1"/>
              <w:spacing w:before="120" w:after="120"/>
              <w:rPr>
                <w:rFonts w:cs="Arial"/>
                <w:lang w:val="de-DE"/>
              </w:rPr>
            </w:pPr>
            <w:r w:rsidRPr="00A67277">
              <w:rPr>
                <w:rFonts w:cs="Arial"/>
                <w:lang w:val="de-DE"/>
              </w:rPr>
              <w:t>Jabatan:</w:t>
            </w:r>
          </w:p>
          <w:p w14:paraId="7425453F" w14:textId="77777777" w:rsidR="00923319" w:rsidRPr="00A67277" w:rsidRDefault="00923319" w:rsidP="00923319">
            <w:pPr>
              <w:pStyle w:val="Body1"/>
              <w:spacing w:before="120" w:after="120"/>
              <w:rPr>
                <w:rFonts w:cs="Arial"/>
                <w:lang w:val="de-DE"/>
              </w:rPr>
            </w:pPr>
            <w:r w:rsidRPr="00A67277">
              <w:rPr>
                <w:rFonts w:cs="Arial"/>
                <w:lang w:val="de-DE"/>
              </w:rPr>
              <w:t>Kontak:</w:t>
            </w:r>
          </w:p>
          <w:p w14:paraId="54DE6CBC" w14:textId="77777777" w:rsidR="00923319" w:rsidRPr="00A67277" w:rsidRDefault="00923319" w:rsidP="00923319">
            <w:pPr>
              <w:pStyle w:val="FootnoteText"/>
              <w:spacing w:before="120" w:after="120"/>
              <w:ind w:left="0" w:firstLine="0"/>
              <w:rPr>
                <w:rFonts w:cs="Arial"/>
                <w:b/>
                <w:sz w:val="21"/>
                <w:lang w:val="de-DE"/>
              </w:rPr>
            </w:pPr>
          </w:p>
        </w:tc>
      </w:tr>
      <w:tr w:rsidR="00923319" w:rsidRPr="00A67277" w14:paraId="414DF56E" w14:textId="77777777" w:rsidTr="00923319">
        <w:tc>
          <w:tcPr>
            <w:tcW w:w="4596" w:type="dxa"/>
          </w:tcPr>
          <w:p w14:paraId="7C5E88D5" w14:textId="77777777" w:rsidR="00923319" w:rsidRPr="00A67277" w:rsidRDefault="00923319" w:rsidP="00923319">
            <w:pPr>
              <w:pStyle w:val="Body1"/>
              <w:spacing w:before="120" w:after="120"/>
              <w:rPr>
                <w:rFonts w:cs="Arial"/>
              </w:rPr>
            </w:pPr>
            <w:r w:rsidRPr="00A67277">
              <w:rPr>
                <w:rFonts w:cs="Arial"/>
                <w:b/>
                <w:u w:val="single"/>
              </w:rPr>
              <w:t>IBE Representative:</w:t>
            </w:r>
          </w:p>
          <w:p w14:paraId="51B44831" w14:textId="77777777" w:rsidR="00923319" w:rsidRPr="00A67277" w:rsidRDefault="00923319" w:rsidP="00923319">
            <w:pPr>
              <w:pStyle w:val="Body1"/>
              <w:spacing w:before="120" w:after="120"/>
              <w:rPr>
                <w:rFonts w:cs="Arial"/>
              </w:rPr>
            </w:pPr>
            <w:r w:rsidRPr="00A67277">
              <w:rPr>
                <w:rFonts w:cs="Arial"/>
              </w:rPr>
              <w:t>Name:</w:t>
            </w:r>
          </w:p>
          <w:p w14:paraId="0C426089" w14:textId="77777777" w:rsidR="00923319" w:rsidRPr="00A67277" w:rsidRDefault="00923319" w:rsidP="00923319">
            <w:pPr>
              <w:pStyle w:val="Body1"/>
              <w:spacing w:before="120" w:after="120"/>
              <w:rPr>
                <w:rFonts w:cs="Arial"/>
              </w:rPr>
            </w:pPr>
            <w:r w:rsidRPr="00A67277">
              <w:rPr>
                <w:rFonts w:cs="Arial"/>
              </w:rPr>
              <w:t>Title:</w:t>
            </w:r>
          </w:p>
          <w:p w14:paraId="697E2E5A" w14:textId="77777777" w:rsidR="00923319" w:rsidRPr="00A67277" w:rsidRDefault="00923319" w:rsidP="00923319">
            <w:pPr>
              <w:pStyle w:val="Body1"/>
              <w:spacing w:before="120" w:after="120"/>
              <w:rPr>
                <w:rFonts w:cs="Arial"/>
              </w:rPr>
            </w:pPr>
            <w:r w:rsidRPr="00A67277">
              <w:rPr>
                <w:rFonts w:cs="Arial"/>
              </w:rPr>
              <w:t>Contact:</w:t>
            </w:r>
          </w:p>
          <w:p w14:paraId="28C51095" w14:textId="77777777" w:rsidR="00923319" w:rsidRPr="00A67277" w:rsidRDefault="00923319" w:rsidP="00923319">
            <w:pPr>
              <w:pStyle w:val="Body1"/>
              <w:spacing w:before="120" w:after="120"/>
              <w:rPr>
                <w:rFonts w:cs="Arial"/>
              </w:rPr>
            </w:pPr>
          </w:p>
          <w:p w14:paraId="2B19EE76" w14:textId="77777777" w:rsidR="00923319" w:rsidRPr="00A67277" w:rsidRDefault="00923319" w:rsidP="00923319">
            <w:pPr>
              <w:pStyle w:val="Body1"/>
              <w:spacing w:before="120" w:after="120"/>
              <w:rPr>
                <w:rFonts w:cs="Arial"/>
              </w:rPr>
            </w:pPr>
          </w:p>
          <w:p w14:paraId="1CDDDF8A" w14:textId="77777777" w:rsidR="00923319" w:rsidRPr="00A67277" w:rsidRDefault="00923319" w:rsidP="00923319">
            <w:pPr>
              <w:pStyle w:val="Body1"/>
              <w:spacing w:before="120" w:after="120"/>
              <w:rPr>
                <w:rFonts w:cs="Arial"/>
              </w:rPr>
            </w:pPr>
          </w:p>
          <w:p w14:paraId="06D56D3B" w14:textId="77777777" w:rsidR="00923319" w:rsidRPr="00A67277" w:rsidRDefault="00923319" w:rsidP="00923319">
            <w:pPr>
              <w:pStyle w:val="Body1"/>
              <w:spacing w:before="120" w:after="120"/>
              <w:rPr>
                <w:rFonts w:cs="Arial"/>
              </w:rPr>
            </w:pPr>
          </w:p>
          <w:p w14:paraId="44CC1779" w14:textId="77777777" w:rsidR="00923319" w:rsidRPr="00A67277" w:rsidRDefault="00923319" w:rsidP="00923319">
            <w:pPr>
              <w:pStyle w:val="Body1"/>
              <w:spacing w:before="120" w:after="120"/>
              <w:rPr>
                <w:rFonts w:cs="Arial"/>
              </w:rPr>
            </w:pPr>
          </w:p>
          <w:p w14:paraId="64AD48C8" w14:textId="77777777" w:rsidR="00923319" w:rsidRPr="00A67277" w:rsidRDefault="00923319" w:rsidP="00923319">
            <w:pPr>
              <w:pStyle w:val="Body1"/>
              <w:spacing w:before="120" w:after="120"/>
              <w:rPr>
                <w:rFonts w:cs="Arial"/>
              </w:rPr>
            </w:pPr>
          </w:p>
          <w:p w14:paraId="66CE19F7" w14:textId="77777777" w:rsidR="00923319" w:rsidRPr="00A67277" w:rsidRDefault="00923319" w:rsidP="00923319">
            <w:pPr>
              <w:pStyle w:val="Body1"/>
              <w:spacing w:before="120" w:after="120"/>
              <w:rPr>
                <w:rFonts w:cs="Arial"/>
              </w:rPr>
            </w:pPr>
          </w:p>
          <w:p w14:paraId="0BC6F57F" w14:textId="77777777" w:rsidR="00923319" w:rsidRPr="00A67277" w:rsidRDefault="00923319" w:rsidP="00923319">
            <w:pPr>
              <w:pStyle w:val="Body1"/>
              <w:spacing w:before="120" w:after="120"/>
              <w:rPr>
                <w:rFonts w:cs="Arial"/>
              </w:rPr>
            </w:pPr>
          </w:p>
          <w:p w14:paraId="6AC4B7AA" w14:textId="77777777" w:rsidR="00923319" w:rsidRPr="00A67277" w:rsidRDefault="00923319" w:rsidP="00923319">
            <w:pPr>
              <w:pStyle w:val="Body1"/>
              <w:spacing w:before="120" w:after="120"/>
              <w:rPr>
                <w:rFonts w:cs="Arial"/>
              </w:rPr>
            </w:pPr>
          </w:p>
          <w:p w14:paraId="17C6ED3F" w14:textId="77777777" w:rsidR="00923319" w:rsidRPr="00A67277" w:rsidRDefault="00923319" w:rsidP="00923319">
            <w:pPr>
              <w:pStyle w:val="Body1"/>
              <w:spacing w:before="120" w:after="120"/>
              <w:rPr>
                <w:rFonts w:cs="Arial"/>
              </w:rPr>
            </w:pPr>
          </w:p>
          <w:p w14:paraId="4588405C" w14:textId="77777777" w:rsidR="00923319" w:rsidRPr="00A67277" w:rsidRDefault="00923319" w:rsidP="00923319">
            <w:pPr>
              <w:pStyle w:val="Body1"/>
              <w:spacing w:before="120" w:after="120"/>
              <w:rPr>
                <w:rFonts w:cs="Arial"/>
              </w:rPr>
            </w:pPr>
          </w:p>
          <w:p w14:paraId="1719E549" w14:textId="77777777" w:rsidR="00923319" w:rsidRPr="00A67277" w:rsidRDefault="00923319" w:rsidP="00923319">
            <w:pPr>
              <w:pStyle w:val="Body1"/>
              <w:spacing w:before="120" w:after="120"/>
              <w:rPr>
                <w:rFonts w:cs="Arial"/>
              </w:rPr>
            </w:pPr>
          </w:p>
          <w:p w14:paraId="577DEF85" w14:textId="77777777" w:rsidR="00923319" w:rsidRPr="00A67277" w:rsidRDefault="00923319" w:rsidP="00923319">
            <w:pPr>
              <w:pStyle w:val="Body1"/>
              <w:spacing w:before="120" w:after="120"/>
              <w:rPr>
                <w:rFonts w:cs="Arial"/>
              </w:rPr>
            </w:pPr>
          </w:p>
        </w:tc>
        <w:tc>
          <w:tcPr>
            <w:tcW w:w="236" w:type="dxa"/>
          </w:tcPr>
          <w:p w14:paraId="155A9E88" w14:textId="77777777" w:rsidR="00923319" w:rsidRPr="00A67277" w:rsidRDefault="00923319" w:rsidP="00923319">
            <w:pPr>
              <w:spacing w:before="120" w:after="120"/>
              <w:rPr>
                <w:rFonts w:ascii="Arial" w:hAnsi="Arial" w:cs="Arial"/>
                <w:sz w:val="21"/>
                <w:szCs w:val="21"/>
              </w:rPr>
            </w:pPr>
          </w:p>
        </w:tc>
        <w:tc>
          <w:tcPr>
            <w:tcW w:w="4532" w:type="dxa"/>
          </w:tcPr>
          <w:p w14:paraId="50807962" w14:textId="77777777" w:rsidR="00923319" w:rsidRPr="00A67277" w:rsidRDefault="00923319" w:rsidP="00923319">
            <w:pPr>
              <w:pStyle w:val="Body1"/>
              <w:spacing w:before="120" w:after="120"/>
              <w:rPr>
                <w:rFonts w:cs="Arial"/>
                <w:b/>
                <w:u w:val="single"/>
                <w:lang w:val="de-DE"/>
              </w:rPr>
            </w:pPr>
            <w:r w:rsidRPr="00A67277">
              <w:rPr>
                <w:rFonts w:cs="Arial"/>
                <w:b/>
                <w:u w:val="single"/>
                <w:lang w:val="de-DE"/>
              </w:rPr>
              <w:t>Perwakilan dari BUP:</w:t>
            </w:r>
          </w:p>
          <w:p w14:paraId="6BBD845C" w14:textId="77777777" w:rsidR="00923319" w:rsidRPr="00A67277" w:rsidRDefault="00923319" w:rsidP="00923319">
            <w:pPr>
              <w:pStyle w:val="Body1"/>
              <w:spacing w:before="120" w:after="120"/>
              <w:rPr>
                <w:rFonts w:cs="Arial"/>
                <w:lang w:val="de-DE"/>
              </w:rPr>
            </w:pPr>
          </w:p>
          <w:p w14:paraId="608B9C81" w14:textId="77777777" w:rsidR="00923319" w:rsidRPr="00A67277" w:rsidRDefault="00923319" w:rsidP="00923319">
            <w:pPr>
              <w:pStyle w:val="Body1"/>
              <w:tabs>
                <w:tab w:val="left" w:pos="1275"/>
              </w:tabs>
              <w:spacing w:before="120" w:after="120"/>
              <w:rPr>
                <w:rFonts w:cs="Arial"/>
                <w:lang w:val="de-DE"/>
              </w:rPr>
            </w:pPr>
            <w:r w:rsidRPr="00A67277">
              <w:rPr>
                <w:rFonts w:cs="Arial"/>
                <w:lang w:val="de-DE"/>
              </w:rPr>
              <w:t>Nama:</w:t>
            </w:r>
            <w:r w:rsidRPr="00A67277">
              <w:rPr>
                <w:rFonts w:cs="Arial"/>
                <w:lang w:val="de-DE"/>
              </w:rPr>
              <w:tab/>
            </w:r>
          </w:p>
          <w:p w14:paraId="66FFEE08" w14:textId="77777777" w:rsidR="00923319" w:rsidRPr="00A67277" w:rsidRDefault="00923319" w:rsidP="00923319">
            <w:pPr>
              <w:pStyle w:val="Body1"/>
              <w:spacing w:before="120" w:after="120"/>
              <w:rPr>
                <w:rFonts w:cs="Arial"/>
                <w:lang w:val="de-DE"/>
              </w:rPr>
            </w:pPr>
            <w:r w:rsidRPr="00A67277">
              <w:rPr>
                <w:rFonts w:cs="Arial"/>
                <w:lang w:val="de-DE"/>
              </w:rPr>
              <w:t>Jabatan:</w:t>
            </w:r>
          </w:p>
          <w:p w14:paraId="035B9BB3" w14:textId="77777777" w:rsidR="00923319" w:rsidRPr="00A67277" w:rsidRDefault="00923319" w:rsidP="00923319">
            <w:pPr>
              <w:pStyle w:val="Body1"/>
              <w:spacing w:before="120" w:after="120"/>
              <w:rPr>
                <w:rFonts w:cs="Arial"/>
                <w:lang w:val="de-DE"/>
              </w:rPr>
            </w:pPr>
            <w:r w:rsidRPr="00A67277">
              <w:rPr>
                <w:rFonts w:cs="Arial"/>
                <w:lang w:val="de-DE"/>
              </w:rPr>
              <w:t>Kontak:</w:t>
            </w:r>
          </w:p>
          <w:p w14:paraId="6C70DFFE" w14:textId="77777777" w:rsidR="00923319" w:rsidRPr="00A67277" w:rsidRDefault="00923319" w:rsidP="00923319">
            <w:pPr>
              <w:pStyle w:val="FootnoteText"/>
              <w:spacing w:before="120" w:after="120"/>
              <w:ind w:left="0" w:firstLine="0"/>
              <w:rPr>
                <w:rFonts w:cs="Arial"/>
                <w:b/>
                <w:sz w:val="21"/>
                <w:lang w:val="de-DE"/>
              </w:rPr>
            </w:pPr>
          </w:p>
        </w:tc>
      </w:tr>
    </w:tbl>
    <w:p w14:paraId="66CD5500" w14:textId="77777777" w:rsidR="00923319" w:rsidRPr="00A67277" w:rsidRDefault="00923319" w:rsidP="00923319">
      <w:pPr>
        <w:rPr>
          <w:rFonts w:ascii="Arial" w:hAnsi="Arial" w:cs="Arial"/>
          <w:sz w:val="21"/>
          <w:szCs w:val="21"/>
          <w:lang w:val="de-DE"/>
        </w:rPr>
      </w:pPr>
    </w:p>
    <w:p w14:paraId="6E42CB3F" w14:textId="77777777" w:rsidR="00923319" w:rsidRPr="00A67277" w:rsidRDefault="00923319" w:rsidP="00923319">
      <w:pPr>
        <w:rPr>
          <w:rFonts w:ascii="Arial" w:hAnsi="Arial" w:cs="Arial"/>
          <w:sz w:val="21"/>
          <w:szCs w:val="21"/>
          <w:lang w:val="de-DE"/>
        </w:rPr>
      </w:pPr>
      <w:r w:rsidRPr="00A67277">
        <w:rPr>
          <w:rFonts w:ascii="Arial" w:hAnsi="Arial" w:cs="Arial"/>
          <w:sz w:val="21"/>
          <w:szCs w:val="21"/>
          <w:lang w:val="de-DE"/>
        </w:rPr>
        <w:br w:type="page"/>
      </w:r>
    </w:p>
    <w:p w14:paraId="137C1F75" w14:textId="77777777" w:rsidR="00923319" w:rsidRPr="00A67277" w:rsidRDefault="00923319" w:rsidP="00923319">
      <w:pPr>
        <w:rPr>
          <w:rFonts w:ascii="Arial" w:hAnsi="Arial" w:cs="Arial"/>
          <w:sz w:val="21"/>
          <w:szCs w:val="21"/>
          <w:lang w:val="de-DE"/>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7A425EC2" w14:textId="77777777" w:rsidTr="00923319">
        <w:tc>
          <w:tcPr>
            <w:tcW w:w="4596" w:type="dxa"/>
          </w:tcPr>
          <w:p w14:paraId="1BCF90D1" w14:textId="77777777" w:rsidR="00923319" w:rsidRPr="00A67277" w:rsidRDefault="00923319" w:rsidP="00923319">
            <w:pPr>
              <w:pStyle w:val="SchTitle"/>
              <w:numPr>
                <w:ilvl w:val="0"/>
                <w:numId w:val="564"/>
              </w:numPr>
              <w:rPr>
                <w:rFonts w:cs="Arial"/>
                <w:sz w:val="21"/>
              </w:rPr>
            </w:pPr>
            <w:r w:rsidRPr="00A67277">
              <w:rPr>
                <w:rFonts w:cs="Arial"/>
                <w:sz w:val="21"/>
              </w:rPr>
              <w:t>Appendix 2 – Conditions Precedent</w:t>
            </w:r>
          </w:p>
        </w:tc>
        <w:tc>
          <w:tcPr>
            <w:tcW w:w="236" w:type="dxa"/>
          </w:tcPr>
          <w:p w14:paraId="04F35614" w14:textId="77777777" w:rsidR="00923319" w:rsidRPr="00A67277" w:rsidRDefault="00923319" w:rsidP="00923319">
            <w:pPr>
              <w:spacing w:before="120" w:after="120"/>
              <w:rPr>
                <w:rFonts w:ascii="Arial" w:hAnsi="Arial" w:cs="Arial"/>
                <w:sz w:val="21"/>
                <w:szCs w:val="21"/>
              </w:rPr>
            </w:pPr>
          </w:p>
        </w:tc>
        <w:tc>
          <w:tcPr>
            <w:tcW w:w="4532" w:type="dxa"/>
          </w:tcPr>
          <w:p w14:paraId="063A00EE" w14:textId="77777777" w:rsidR="00923319" w:rsidRPr="00A67277" w:rsidRDefault="00923319" w:rsidP="00923319">
            <w:pPr>
              <w:pStyle w:val="SchTitle"/>
              <w:rPr>
                <w:rFonts w:cs="Arial"/>
                <w:sz w:val="21"/>
              </w:rPr>
            </w:pPr>
            <w:r w:rsidRPr="00A67277">
              <w:rPr>
                <w:rFonts w:cs="Arial"/>
                <w:sz w:val="21"/>
              </w:rPr>
              <w:t>Lampiran 2 – Persyaratan Pendahuluan</w:t>
            </w:r>
          </w:p>
        </w:tc>
      </w:tr>
      <w:tr w:rsidR="00923319" w:rsidRPr="00A67277" w14:paraId="117E3A97" w14:textId="77777777" w:rsidTr="00923319">
        <w:tc>
          <w:tcPr>
            <w:tcW w:w="4596" w:type="dxa"/>
          </w:tcPr>
          <w:p w14:paraId="5F3A306F" w14:textId="77777777" w:rsidR="00923319" w:rsidRPr="00A67277" w:rsidRDefault="00923319" w:rsidP="00923319">
            <w:pPr>
              <w:pStyle w:val="Body1"/>
              <w:spacing w:before="120" w:after="120"/>
              <w:rPr>
                <w:rFonts w:cs="Arial"/>
              </w:rPr>
            </w:pPr>
          </w:p>
        </w:tc>
        <w:tc>
          <w:tcPr>
            <w:tcW w:w="236" w:type="dxa"/>
          </w:tcPr>
          <w:p w14:paraId="56610B2F" w14:textId="77777777" w:rsidR="00923319" w:rsidRPr="00A67277" w:rsidRDefault="00923319" w:rsidP="00923319">
            <w:pPr>
              <w:spacing w:before="120" w:after="120"/>
              <w:rPr>
                <w:rFonts w:ascii="Arial" w:hAnsi="Arial" w:cs="Arial"/>
                <w:sz w:val="21"/>
                <w:szCs w:val="21"/>
              </w:rPr>
            </w:pPr>
          </w:p>
        </w:tc>
        <w:tc>
          <w:tcPr>
            <w:tcW w:w="4532" w:type="dxa"/>
          </w:tcPr>
          <w:p w14:paraId="63F6E363" w14:textId="77777777" w:rsidR="00923319" w:rsidRPr="00A67277" w:rsidRDefault="00923319" w:rsidP="00923319">
            <w:pPr>
              <w:pStyle w:val="Body1"/>
              <w:spacing w:before="120" w:after="120"/>
              <w:rPr>
                <w:rFonts w:cs="Arial"/>
              </w:rPr>
            </w:pPr>
          </w:p>
        </w:tc>
      </w:tr>
      <w:tr w:rsidR="00923319" w:rsidRPr="00A67277" w14:paraId="108CF84C" w14:textId="77777777" w:rsidTr="00923319">
        <w:tc>
          <w:tcPr>
            <w:tcW w:w="4596" w:type="dxa"/>
          </w:tcPr>
          <w:p w14:paraId="329A5C5E" w14:textId="77777777" w:rsidR="00923319" w:rsidRPr="00A67277" w:rsidRDefault="00923319" w:rsidP="00923319">
            <w:pPr>
              <w:pStyle w:val="Body1"/>
              <w:spacing w:before="120" w:after="120"/>
              <w:rPr>
                <w:rFonts w:cs="Arial"/>
              </w:rPr>
            </w:pPr>
            <w:r w:rsidRPr="00A67277">
              <w:rPr>
                <w:rFonts w:cs="Arial"/>
              </w:rPr>
              <w:t xml:space="preserve">Subject to Clause 3.1 (Clauses Effective from Signing Date) of the Agreement, the rights and obligations of the Parties under this Agreement are conditional upon the satisfaction of each Condition Precedent set out below. </w:t>
            </w:r>
          </w:p>
        </w:tc>
        <w:tc>
          <w:tcPr>
            <w:tcW w:w="236" w:type="dxa"/>
          </w:tcPr>
          <w:p w14:paraId="66D64DC0" w14:textId="77777777" w:rsidR="00923319" w:rsidRPr="00A67277" w:rsidRDefault="00923319" w:rsidP="00923319">
            <w:pPr>
              <w:spacing w:before="120" w:after="120"/>
              <w:rPr>
                <w:rFonts w:ascii="Arial" w:hAnsi="Arial" w:cs="Arial"/>
                <w:sz w:val="21"/>
                <w:szCs w:val="21"/>
              </w:rPr>
            </w:pPr>
          </w:p>
        </w:tc>
        <w:tc>
          <w:tcPr>
            <w:tcW w:w="4532" w:type="dxa"/>
          </w:tcPr>
          <w:p w14:paraId="4671A327" w14:textId="77777777" w:rsidR="00923319" w:rsidRPr="00A67277" w:rsidRDefault="00923319" w:rsidP="00923319">
            <w:pPr>
              <w:pStyle w:val="Body1"/>
              <w:spacing w:before="120" w:after="120"/>
              <w:rPr>
                <w:rFonts w:cs="Arial"/>
              </w:rPr>
            </w:pPr>
            <w:r w:rsidRPr="00A67277">
              <w:rPr>
                <w:rFonts w:cs="Arial"/>
              </w:rPr>
              <w:t>Tunduk pada Pasal 3.1 (Pasal-Pasal yang Berlaku Sejak Tanggal Penandatanganan) pada Perjanjian, hak dan kewajiban Para Pihak dalam Perjanjian ini bergantung pada pemenuhan dari setiap Persyaratan Pendahuluan sebagaimana ditentukan di bawah ini.</w:t>
            </w:r>
          </w:p>
        </w:tc>
      </w:tr>
      <w:tr w:rsidR="00923319" w:rsidRPr="00A67277" w14:paraId="6E89F69A" w14:textId="77777777" w:rsidTr="00923319">
        <w:tc>
          <w:tcPr>
            <w:tcW w:w="4596" w:type="dxa"/>
          </w:tcPr>
          <w:p w14:paraId="0B1E2905" w14:textId="77777777" w:rsidR="00923319" w:rsidRPr="00A67277" w:rsidRDefault="00923319" w:rsidP="00923319">
            <w:pPr>
              <w:pStyle w:val="SchHeading1"/>
              <w:numPr>
                <w:ilvl w:val="2"/>
                <w:numId w:val="564"/>
              </w:numPr>
              <w:spacing w:before="120" w:after="120"/>
              <w:ind w:hanging="425"/>
              <w:rPr>
                <w:rFonts w:cs="Arial"/>
              </w:rPr>
            </w:pPr>
            <w:bookmarkStart w:id="337" w:name="_Toc501178678"/>
            <w:r w:rsidRPr="00A67277">
              <w:rPr>
                <w:rFonts w:cs="Arial"/>
              </w:rPr>
              <w:t>Conditions Precedent by the IBE</w:t>
            </w:r>
            <w:bookmarkEnd w:id="337"/>
          </w:p>
        </w:tc>
        <w:tc>
          <w:tcPr>
            <w:tcW w:w="236" w:type="dxa"/>
          </w:tcPr>
          <w:p w14:paraId="1F185B24" w14:textId="77777777" w:rsidR="00923319" w:rsidRPr="00A67277" w:rsidRDefault="00923319" w:rsidP="00923319">
            <w:pPr>
              <w:spacing w:before="120" w:after="120"/>
              <w:rPr>
                <w:rFonts w:ascii="Arial" w:hAnsi="Arial" w:cs="Arial"/>
                <w:sz w:val="21"/>
                <w:szCs w:val="21"/>
              </w:rPr>
            </w:pPr>
          </w:p>
        </w:tc>
        <w:tc>
          <w:tcPr>
            <w:tcW w:w="4532" w:type="dxa"/>
          </w:tcPr>
          <w:p w14:paraId="046D4202" w14:textId="77777777" w:rsidR="00923319" w:rsidRPr="00A67277" w:rsidRDefault="00923319" w:rsidP="00923319">
            <w:pPr>
              <w:pStyle w:val="SchHeading1"/>
              <w:numPr>
                <w:ilvl w:val="0"/>
                <w:numId w:val="573"/>
              </w:numPr>
              <w:spacing w:before="120" w:after="120"/>
              <w:ind w:left="369"/>
              <w:rPr>
                <w:rFonts w:cs="Arial"/>
              </w:rPr>
            </w:pPr>
            <w:r w:rsidRPr="00A67277">
              <w:rPr>
                <w:rFonts w:cs="Arial"/>
              </w:rPr>
              <w:t>Persyaratan Pendahuluan Oleh BUP</w:t>
            </w:r>
          </w:p>
        </w:tc>
      </w:tr>
      <w:tr w:rsidR="00923319" w:rsidRPr="00A67277" w14:paraId="4188F139" w14:textId="77777777" w:rsidTr="00923319">
        <w:tc>
          <w:tcPr>
            <w:tcW w:w="4596" w:type="dxa"/>
          </w:tcPr>
          <w:p w14:paraId="3DC674C5" w14:textId="77777777" w:rsidR="00923319" w:rsidRPr="00A67277" w:rsidRDefault="00923319" w:rsidP="00923319">
            <w:pPr>
              <w:pStyle w:val="Body2"/>
              <w:spacing w:before="120" w:after="120"/>
              <w:rPr>
                <w:rFonts w:cs="Arial"/>
              </w:rPr>
            </w:pPr>
            <w:r w:rsidRPr="00A67277">
              <w:rPr>
                <w:rFonts w:cs="Arial"/>
              </w:rPr>
              <w:t xml:space="preserve">Each Condition Precedent by the IBE is satisfied upon GCA receiving from the IBE, or is satisfied as to the occurrence of, all of the following in form and of substance reasonably satisfactory to the GCA: </w:t>
            </w:r>
          </w:p>
        </w:tc>
        <w:tc>
          <w:tcPr>
            <w:tcW w:w="236" w:type="dxa"/>
          </w:tcPr>
          <w:p w14:paraId="017A891B" w14:textId="77777777" w:rsidR="00923319" w:rsidRPr="00A67277" w:rsidRDefault="00923319" w:rsidP="00923319">
            <w:pPr>
              <w:spacing w:before="120" w:after="120"/>
              <w:rPr>
                <w:rFonts w:ascii="Arial" w:hAnsi="Arial" w:cs="Arial"/>
                <w:sz w:val="21"/>
                <w:szCs w:val="21"/>
              </w:rPr>
            </w:pPr>
          </w:p>
        </w:tc>
        <w:tc>
          <w:tcPr>
            <w:tcW w:w="4532" w:type="dxa"/>
          </w:tcPr>
          <w:p w14:paraId="54EA74A0" w14:textId="77777777" w:rsidR="00923319" w:rsidRPr="00A67277" w:rsidRDefault="00923319" w:rsidP="00923319">
            <w:pPr>
              <w:pStyle w:val="Body2"/>
              <w:spacing w:before="120" w:after="120"/>
              <w:ind w:left="369"/>
              <w:rPr>
                <w:rFonts w:cs="Arial"/>
              </w:rPr>
            </w:pPr>
            <w:r w:rsidRPr="00A67277">
              <w:rPr>
                <w:rFonts w:cs="Arial"/>
              </w:rPr>
              <w:t xml:space="preserve">Setiap Persyaratan Pendahuluan oleh BUP terpenuhi pada saat PJPK menerima dari BUP, atau terpenuhi pada saat terjadinya semua hal berikut dalam bentuk dan substansi yang memuaskan bagi PJPK: </w:t>
            </w:r>
          </w:p>
        </w:tc>
      </w:tr>
      <w:tr w:rsidR="00923319" w:rsidRPr="00A67277" w14:paraId="6254FA6B" w14:textId="77777777" w:rsidTr="00923319">
        <w:tc>
          <w:tcPr>
            <w:tcW w:w="4596" w:type="dxa"/>
          </w:tcPr>
          <w:p w14:paraId="3D9AE782" w14:textId="00A2B132" w:rsidR="00923319" w:rsidRPr="00A67277" w:rsidRDefault="00923319" w:rsidP="00923319">
            <w:pPr>
              <w:pStyle w:val="SchNumber3"/>
              <w:numPr>
                <w:ilvl w:val="4"/>
                <w:numId w:val="564"/>
              </w:numPr>
              <w:spacing w:before="120" w:after="120"/>
              <w:rPr>
                <w:rFonts w:cs="Arial"/>
              </w:rPr>
            </w:pPr>
            <w:bookmarkStart w:id="338" w:name="_Toc501178679"/>
            <w:r w:rsidRPr="00A67277">
              <w:rPr>
                <w:rFonts w:cs="Arial"/>
              </w:rPr>
              <w:t xml:space="preserve">certified true and complete copy of Project Agreement as follows: (i) the </w:t>
            </w:r>
            <w:r w:rsidR="00E16792" w:rsidRPr="00A67277">
              <w:rPr>
                <w:rFonts w:cs="Arial"/>
              </w:rPr>
              <w:t xml:space="preserve">EPC </w:t>
            </w:r>
            <w:r w:rsidRPr="00A67277">
              <w:rPr>
                <w:rFonts w:cs="Arial"/>
              </w:rPr>
              <w:t>Contracts; (ii) the Financing Document; (iii) the Guarantee Agreement; (iv) the Independent Supervisor Consultant Contract; (v) the Shareholders’ Agreement; and (vi) the Sponsors’ Agreement which have been duly executed by each party to that agreement;</w:t>
            </w:r>
            <w:bookmarkEnd w:id="338"/>
          </w:p>
        </w:tc>
        <w:tc>
          <w:tcPr>
            <w:tcW w:w="236" w:type="dxa"/>
          </w:tcPr>
          <w:p w14:paraId="7AB02ADC" w14:textId="77777777" w:rsidR="00923319" w:rsidRPr="00A67277" w:rsidRDefault="00923319" w:rsidP="00923319">
            <w:pPr>
              <w:spacing w:before="120" w:after="120"/>
              <w:rPr>
                <w:rFonts w:ascii="Arial" w:hAnsi="Arial" w:cs="Arial"/>
                <w:sz w:val="21"/>
                <w:szCs w:val="21"/>
              </w:rPr>
            </w:pPr>
          </w:p>
        </w:tc>
        <w:tc>
          <w:tcPr>
            <w:tcW w:w="4532" w:type="dxa"/>
          </w:tcPr>
          <w:p w14:paraId="53692272" w14:textId="77777777" w:rsidR="00923319" w:rsidRPr="00A67277" w:rsidRDefault="00923319" w:rsidP="00923319">
            <w:pPr>
              <w:pStyle w:val="Level3"/>
              <w:numPr>
                <w:ilvl w:val="0"/>
                <w:numId w:val="574"/>
              </w:numPr>
              <w:spacing w:before="120" w:after="120"/>
              <w:ind w:left="999" w:hanging="598"/>
              <w:rPr>
                <w:rFonts w:cs="Arial"/>
              </w:rPr>
            </w:pPr>
            <w:r w:rsidRPr="00A67277">
              <w:rPr>
                <w:rFonts w:cs="Arial"/>
              </w:rPr>
              <w:t>salinan yang lengkap dan benar dari setiap Perjanjian Proyek sebagai berikut: (i) Kontrak EPC; (ii) Dokumen Pembiayaan; (iii) Perjanjian Penjaminan; (iv) Perjanjian Konsultan Pengawas Independen; (v) Perjanjian Pemegang Saham; (vi) Perjanjian Sponsor yang telah ditandatangan oleh setiap pihak dalam perjanjian tersebut;</w:t>
            </w:r>
          </w:p>
          <w:p w14:paraId="035B583E" w14:textId="77777777" w:rsidR="00923319" w:rsidRPr="00A67277" w:rsidRDefault="00923319" w:rsidP="00923319">
            <w:pPr>
              <w:pStyle w:val="FootnoteText"/>
              <w:spacing w:before="120" w:after="120"/>
              <w:ind w:left="0" w:firstLine="0"/>
              <w:rPr>
                <w:rFonts w:cs="Arial"/>
                <w:b/>
                <w:sz w:val="21"/>
              </w:rPr>
            </w:pPr>
          </w:p>
        </w:tc>
      </w:tr>
      <w:tr w:rsidR="00923319" w:rsidRPr="00A67277" w14:paraId="5DBCC778" w14:textId="77777777" w:rsidTr="00923319">
        <w:tc>
          <w:tcPr>
            <w:tcW w:w="4596" w:type="dxa"/>
          </w:tcPr>
          <w:p w14:paraId="7117C80A" w14:textId="501F0B50" w:rsidR="00923319" w:rsidRPr="00A67277" w:rsidRDefault="00923319" w:rsidP="00E030C4">
            <w:pPr>
              <w:pStyle w:val="SchNumber3"/>
              <w:numPr>
                <w:ilvl w:val="4"/>
                <w:numId w:val="564"/>
              </w:numPr>
              <w:spacing w:before="120" w:after="120"/>
              <w:rPr>
                <w:rFonts w:cs="Arial"/>
              </w:rPr>
            </w:pPr>
            <w:bookmarkStart w:id="339" w:name="_Toc501178680"/>
            <w:r w:rsidRPr="00A67277">
              <w:rPr>
                <w:rFonts w:cs="Arial"/>
              </w:rPr>
              <w:t xml:space="preserve">certified true and complete copy of each key Authorisation by the IBE as listed in Section 2.1 of Appendix </w:t>
            </w:r>
            <w:r w:rsidR="00E030C4" w:rsidRPr="00A67277">
              <w:rPr>
                <w:rFonts w:cs="Arial"/>
              </w:rPr>
              <w:t xml:space="preserve">11 </w:t>
            </w:r>
            <w:r w:rsidRPr="00A67277">
              <w:rPr>
                <w:rFonts w:cs="Arial"/>
              </w:rPr>
              <w:t>(</w:t>
            </w:r>
            <w:r w:rsidRPr="00A67277">
              <w:rPr>
                <w:rFonts w:cs="Arial"/>
                <w:i/>
              </w:rPr>
              <w:t>Key Authorisations During Construction Period</w:t>
            </w:r>
            <w:r w:rsidRPr="00A67277">
              <w:rPr>
                <w:rFonts w:cs="Arial"/>
              </w:rPr>
              <w:t>)) and those Authorisations are on conditions satisfactory to the GCA;</w:t>
            </w:r>
            <w:bookmarkEnd w:id="339"/>
          </w:p>
        </w:tc>
        <w:tc>
          <w:tcPr>
            <w:tcW w:w="236" w:type="dxa"/>
          </w:tcPr>
          <w:p w14:paraId="38621A6C" w14:textId="77777777" w:rsidR="00923319" w:rsidRPr="00A67277" w:rsidRDefault="00923319" w:rsidP="00923319">
            <w:pPr>
              <w:spacing w:before="120" w:after="120"/>
              <w:rPr>
                <w:rFonts w:ascii="Arial" w:hAnsi="Arial" w:cs="Arial"/>
                <w:sz w:val="21"/>
                <w:szCs w:val="21"/>
              </w:rPr>
            </w:pPr>
          </w:p>
        </w:tc>
        <w:tc>
          <w:tcPr>
            <w:tcW w:w="4532" w:type="dxa"/>
          </w:tcPr>
          <w:p w14:paraId="269C8591" w14:textId="6E784DF2" w:rsidR="00923319" w:rsidRPr="00A67277" w:rsidRDefault="00923319" w:rsidP="00E030C4">
            <w:pPr>
              <w:pStyle w:val="Level3"/>
              <w:numPr>
                <w:ilvl w:val="0"/>
                <w:numId w:val="574"/>
              </w:numPr>
              <w:spacing w:before="120" w:after="120"/>
              <w:ind w:left="999" w:hanging="598"/>
              <w:rPr>
                <w:rFonts w:cs="Arial"/>
              </w:rPr>
            </w:pPr>
            <w:r w:rsidRPr="00A67277">
              <w:rPr>
                <w:rFonts w:cs="Arial"/>
              </w:rPr>
              <w:t xml:space="preserve">salinan yang lengkap dan benar dari setiap Persetujuan utama oleh BUP sebagaimana terdaftar dalam Bagian 2.1 dari Lampiran </w:t>
            </w:r>
            <w:r w:rsidR="00E030C4" w:rsidRPr="00A67277">
              <w:rPr>
                <w:rFonts w:cs="Arial"/>
              </w:rPr>
              <w:t xml:space="preserve">11 </w:t>
            </w:r>
            <w:r w:rsidRPr="00A67277">
              <w:rPr>
                <w:rFonts w:cs="Arial"/>
              </w:rPr>
              <w:t>(Persetujuan-Persetujuan Utama Selama Masa Konstruksi) dan Persetujuan-Persetujuan tersebut telah memuaskan bagi PJPK;</w:t>
            </w:r>
          </w:p>
        </w:tc>
      </w:tr>
      <w:tr w:rsidR="00923319" w:rsidRPr="00A67277" w14:paraId="18727093" w14:textId="77777777" w:rsidTr="00923319">
        <w:tc>
          <w:tcPr>
            <w:tcW w:w="4596" w:type="dxa"/>
          </w:tcPr>
          <w:p w14:paraId="2E3D1E7C" w14:textId="77777777" w:rsidR="00923319" w:rsidRPr="00A67277" w:rsidRDefault="00923319" w:rsidP="00923319">
            <w:pPr>
              <w:pStyle w:val="SchNumber3"/>
              <w:numPr>
                <w:ilvl w:val="4"/>
                <w:numId w:val="564"/>
              </w:numPr>
              <w:spacing w:before="120" w:after="120"/>
              <w:rPr>
                <w:rFonts w:cs="Arial"/>
              </w:rPr>
            </w:pPr>
            <w:r w:rsidRPr="00A67277">
              <w:rPr>
                <w:rFonts w:cs="Arial"/>
                <w:b/>
              </w:rPr>
              <w:tab/>
            </w:r>
            <w:bookmarkStart w:id="340" w:name="_Toc501178681"/>
            <w:r w:rsidRPr="00A67277">
              <w:rPr>
                <w:rFonts w:cs="Arial"/>
              </w:rPr>
              <w:t>Stage II Performance Bond which are valid and in full force and effect;</w:t>
            </w:r>
            <w:bookmarkEnd w:id="340"/>
          </w:p>
        </w:tc>
        <w:tc>
          <w:tcPr>
            <w:tcW w:w="236" w:type="dxa"/>
          </w:tcPr>
          <w:p w14:paraId="79C7575B" w14:textId="77777777" w:rsidR="00923319" w:rsidRPr="00A67277" w:rsidRDefault="00923319" w:rsidP="00923319">
            <w:pPr>
              <w:spacing w:before="120" w:after="120"/>
              <w:rPr>
                <w:rFonts w:ascii="Arial" w:hAnsi="Arial" w:cs="Arial"/>
                <w:sz w:val="21"/>
                <w:szCs w:val="21"/>
              </w:rPr>
            </w:pPr>
          </w:p>
        </w:tc>
        <w:tc>
          <w:tcPr>
            <w:tcW w:w="4532" w:type="dxa"/>
          </w:tcPr>
          <w:p w14:paraId="6F6F35DE" w14:textId="77777777" w:rsidR="00923319" w:rsidRPr="00A67277" w:rsidRDefault="00923319" w:rsidP="00923319">
            <w:pPr>
              <w:pStyle w:val="Level3"/>
              <w:numPr>
                <w:ilvl w:val="0"/>
                <w:numId w:val="574"/>
              </w:numPr>
              <w:spacing w:before="120" w:after="120"/>
              <w:ind w:left="999" w:hanging="598"/>
              <w:rPr>
                <w:rFonts w:cs="Arial"/>
              </w:rPr>
            </w:pPr>
            <w:r w:rsidRPr="00A67277">
              <w:rPr>
                <w:rFonts w:cs="Arial"/>
              </w:rPr>
              <w:t>Jaminan Pelaksanaan Tahap II yang berlaku dan berkekuatan penuh dan berlaku;</w:t>
            </w:r>
          </w:p>
        </w:tc>
      </w:tr>
      <w:tr w:rsidR="00923319" w:rsidRPr="00A67277" w14:paraId="6AD16ED2" w14:textId="77777777" w:rsidTr="00923319">
        <w:tc>
          <w:tcPr>
            <w:tcW w:w="4596" w:type="dxa"/>
          </w:tcPr>
          <w:p w14:paraId="795572AB" w14:textId="77777777" w:rsidR="00923319" w:rsidRPr="00A67277" w:rsidRDefault="00923319" w:rsidP="00923319">
            <w:pPr>
              <w:pStyle w:val="SchNumber3"/>
              <w:numPr>
                <w:ilvl w:val="4"/>
                <w:numId w:val="564"/>
              </w:numPr>
              <w:spacing w:before="120" w:after="120"/>
              <w:rPr>
                <w:rFonts w:cs="Arial"/>
              </w:rPr>
            </w:pPr>
            <w:bookmarkStart w:id="341" w:name="_Toc501178682"/>
            <w:r w:rsidRPr="00A67277">
              <w:rPr>
                <w:rFonts w:cs="Arial"/>
              </w:rPr>
              <w:t>certified true and complete copies of the articles of association of the IBE;</w:t>
            </w:r>
            <w:bookmarkEnd w:id="341"/>
            <w:r w:rsidRPr="00A67277">
              <w:rPr>
                <w:rFonts w:cs="Arial"/>
              </w:rPr>
              <w:t xml:space="preserve"> </w:t>
            </w:r>
          </w:p>
        </w:tc>
        <w:tc>
          <w:tcPr>
            <w:tcW w:w="236" w:type="dxa"/>
          </w:tcPr>
          <w:p w14:paraId="5E1CFDF5" w14:textId="77777777" w:rsidR="00923319" w:rsidRPr="00A67277" w:rsidRDefault="00923319" w:rsidP="00923319">
            <w:pPr>
              <w:spacing w:before="120" w:after="120"/>
              <w:rPr>
                <w:rFonts w:ascii="Arial" w:hAnsi="Arial" w:cs="Arial"/>
                <w:sz w:val="21"/>
                <w:szCs w:val="21"/>
              </w:rPr>
            </w:pPr>
          </w:p>
        </w:tc>
        <w:tc>
          <w:tcPr>
            <w:tcW w:w="4532" w:type="dxa"/>
          </w:tcPr>
          <w:p w14:paraId="19479951" w14:textId="77777777" w:rsidR="00923319" w:rsidRPr="00A67277" w:rsidRDefault="00923319" w:rsidP="00923319">
            <w:pPr>
              <w:pStyle w:val="Level3"/>
              <w:numPr>
                <w:ilvl w:val="0"/>
                <w:numId w:val="574"/>
              </w:numPr>
              <w:spacing w:before="120" w:after="120"/>
              <w:ind w:left="999" w:hanging="598"/>
              <w:rPr>
                <w:rFonts w:cs="Arial"/>
              </w:rPr>
            </w:pPr>
            <w:r w:rsidRPr="00A67277">
              <w:rPr>
                <w:rFonts w:cs="Arial"/>
              </w:rPr>
              <w:t>salinan yang lengkap dan benar dari anggaran dasar BUP;</w:t>
            </w:r>
          </w:p>
        </w:tc>
      </w:tr>
      <w:tr w:rsidR="00923319" w:rsidRPr="00A67277" w14:paraId="20E17071" w14:textId="77777777" w:rsidTr="00923319">
        <w:tc>
          <w:tcPr>
            <w:tcW w:w="4596" w:type="dxa"/>
          </w:tcPr>
          <w:p w14:paraId="7F95698B" w14:textId="18532046" w:rsidR="00923319" w:rsidRPr="00A67277" w:rsidRDefault="00923319" w:rsidP="00E030C4">
            <w:pPr>
              <w:pStyle w:val="SchNumber3"/>
              <w:numPr>
                <w:ilvl w:val="4"/>
                <w:numId w:val="564"/>
              </w:numPr>
              <w:spacing w:before="120" w:after="120"/>
              <w:rPr>
                <w:rFonts w:cs="Arial"/>
              </w:rPr>
            </w:pPr>
            <w:bookmarkStart w:id="342" w:name="_Toc501178684"/>
            <w:r w:rsidRPr="00A67277">
              <w:rPr>
                <w:rFonts w:cs="Arial"/>
              </w:rPr>
              <w:t xml:space="preserve">the legal opinion issued (generally to be in the form set out in Appendix </w:t>
            </w:r>
            <w:r w:rsidR="00E030C4" w:rsidRPr="00A67277">
              <w:rPr>
                <w:rFonts w:cs="Arial"/>
              </w:rPr>
              <w:t xml:space="preserve">20 </w:t>
            </w:r>
            <w:r w:rsidRPr="00A67277">
              <w:rPr>
                <w:rFonts w:cs="Arial"/>
              </w:rPr>
              <w:t>(Form of Legal Opinion)) by the IBE’s independent legal counsel certifying (i) the due incorporation and legal capacity of the IBE, (ii) the legality, due execution and validity of each Initial Project Agreement signed by the IBE, and (iii) the legality and validity of each Approval required to be obtained by the IBE on or prior to the Scheduled Effective Date;</w:t>
            </w:r>
            <w:bookmarkEnd w:id="342"/>
            <w:r w:rsidRPr="00A67277">
              <w:rPr>
                <w:rFonts w:cs="Arial"/>
              </w:rPr>
              <w:t xml:space="preserve"> </w:t>
            </w:r>
          </w:p>
        </w:tc>
        <w:tc>
          <w:tcPr>
            <w:tcW w:w="236" w:type="dxa"/>
          </w:tcPr>
          <w:p w14:paraId="21FEF20F" w14:textId="77777777" w:rsidR="00923319" w:rsidRPr="00A67277" w:rsidRDefault="00923319" w:rsidP="00923319">
            <w:pPr>
              <w:spacing w:before="120" w:after="120"/>
              <w:rPr>
                <w:rFonts w:ascii="Arial" w:hAnsi="Arial" w:cs="Arial"/>
                <w:sz w:val="21"/>
                <w:szCs w:val="21"/>
              </w:rPr>
            </w:pPr>
          </w:p>
        </w:tc>
        <w:tc>
          <w:tcPr>
            <w:tcW w:w="4532" w:type="dxa"/>
          </w:tcPr>
          <w:p w14:paraId="4C98E6F7" w14:textId="49E6F2CC" w:rsidR="00923319" w:rsidRPr="00A67277" w:rsidRDefault="00923319" w:rsidP="00E030C4">
            <w:pPr>
              <w:pStyle w:val="Level3"/>
              <w:numPr>
                <w:ilvl w:val="0"/>
                <w:numId w:val="574"/>
              </w:numPr>
              <w:spacing w:before="120" w:after="120"/>
              <w:ind w:left="980" w:hanging="567"/>
              <w:rPr>
                <w:rFonts w:cs="Arial"/>
              </w:rPr>
            </w:pPr>
            <w:r w:rsidRPr="00A67277">
              <w:rPr>
                <w:rFonts w:cs="Arial"/>
              </w:rPr>
              <w:t xml:space="preserve">pendapat hukum yang dikeluarkan (dengan bentuk yang secara umum ditetapkan dalam Lampiran </w:t>
            </w:r>
            <w:r w:rsidR="00E030C4" w:rsidRPr="00A67277">
              <w:rPr>
                <w:rFonts w:cs="Arial"/>
              </w:rPr>
              <w:t xml:space="preserve">20 </w:t>
            </w:r>
            <w:r w:rsidRPr="00A67277">
              <w:rPr>
                <w:rFonts w:cs="Arial"/>
              </w:rPr>
              <w:t>(Bentuk Pendapat Hukum)) oleh konsultan hukum independen BUP yang menyatakan (i) pendirian hukum dan kapasitas hukum BUP, (ii) legalitas, pelaksanaan dan validitas setiap Perjanjian Awal Proyek yang ditandatangani oleh BUP, dan (iii) legalitas dan validitas setiap Persetujuan yang diperlukan untuk diperoleh oleh BUP pada atau sebelum Tanggal Efektif Terjadwal;</w:t>
            </w:r>
          </w:p>
        </w:tc>
      </w:tr>
      <w:tr w:rsidR="00923319" w:rsidRPr="00A67277" w14:paraId="44BB8DE1" w14:textId="77777777" w:rsidTr="00923319">
        <w:tc>
          <w:tcPr>
            <w:tcW w:w="4596" w:type="dxa"/>
          </w:tcPr>
          <w:p w14:paraId="03A3694F" w14:textId="77777777" w:rsidR="00923319" w:rsidRPr="00A67277" w:rsidRDefault="00923319" w:rsidP="00923319">
            <w:pPr>
              <w:pStyle w:val="SchNumber3"/>
              <w:numPr>
                <w:ilvl w:val="4"/>
                <w:numId w:val="564"/>
              </w:numPr>
              <w:spacing w:before="120" w:after="120"/>
              <w:rPr>
                <w:rFonts w:cs="Arial"/>
              </w:rPr>
            </w:pPr>
            <w:bookmarkStart w:id="343" w:name="_Toc501178686"/>
            <w:r w:rsidRPr="00A67277">
              <w:rPr>
                <w:rFonts w:cs="Arial"/>
              </w:rPr>
              <w:t>a certificate from the Financing Parties], or their agent or legal counsel, confirming that all conditions precedent for the first disbursement of Senior Debt under the Financing Agreement (other than the effectiveness of the Agreement, Guarantee Agreement and Guarantee Fee Letter) have been fulfilled;</w:t>
            </w:r>
            <w:bookmarkEnd w:id="343"/>
          </w:p>
        </w:tc>
        <w:tc>
          <w:tcPr>
            <w:tcW w:w="236" w:type="dxa"/>
          </w:tcPr>
          <w:p w14:paraId="2F0BAF67" w14:textId="77777777" w:rsidR="00923319" w:rsidRPr="00A67277" w:rsidRDefault="00923319" w:rsidP="00923319">
            <w:pPr>
              <w:spacing w:before="120" w:after="120"/>
              <w:rPr>
                <w:rFonts w:ascii="Arial" w:hAnsi="Arial" w:cs="Arial"/>
                <w:sz w:val="21"/>
                <w:szCs w:val="21"/>
              </w:rPr>
            </w:pPr>
          </w:p>
        </w:tc>
        <w:tc>
          <w:tcPr>
            <w:tcW w:w="4532" w:type="dxa"/>
          </w:tcPr>
          <w:p w14:paraId="6E54C2A1" w14:textId="77777777" w:rsidR="00923319" w:rsidRPr="00A67277" w:rsidRDefault="00923319" w:rsidP="00923319">
            <w:pPr>
              <w:pStyle w:val="Level3"/>
              <w:numPr>
                <w:ilvl w:val="0"/>
                <w:numId w:val="574"/>
              </w:numPr>
              <w:spacing w:before="120" w:after="120"/>
              <w:ind w:left="999" w:hanging="598"/>
              <w:rPr>
                <w:rFonts w:cs="Arial"/>
              </w:rPr>
            </w:pPr>
            <w:r w:rsidRPr="00A67277">
              <w:rPr>
                <w:rFonts w:cs="Arial"/>
              </w:rPr>
              <w:t>suatu sertifikat dari Pihak Pembiaya atau agen atau konsultan hukum mereka, mengkonfirmasi bahwa seluruh persyaratan pendahuluan untuk pencairan pertama Hutang Senior berdasarkan Perjanjian Pembiayaan (selain dari efektivitas Perjanjian, Perjanjian Penjaminan dan Surat Imbal Jasa Penjaminan) telah terpenuhi;</w:t>
            </w:r>
          </w:p>
        </w:tc>
      </w:tr>
      <w:tr w:rsidR="00923319" w:rsidRPr="00A67277" w14:paraId="11EAF41B" w14:textId="77777777" w:rsidTr="00923319">
        <w:tc>
          <w:tcPr>
            <w:tcW w:w="4596" w:type="dxa"/>
          </w:tcPr>
          <w:p w14:paraId="6A3EC016" w14:textId="77777777" w:rsidR="00923319" w:rsidRPr="00A67277" w:rsidRDefault="00923319" w:rsidP="00923319">
            <w:pPr>
              <w:pStyle w:val="SchNumber3"/>
              <w:numPr>
                <w:ilvl w:val="4"/>
                <w:numId w:val="564"/>
              </w:numPr>
              <w:spacing w:before="120" w:after="120"/>
              <w:rPr>
                <w:rFonts w:cs="Arial"/>
              </w:rPr>
            </w:pPr>
            <w:bookmarkStart w:id="344" w:name="_Toc501178691"/>
            <w:r w:rsidRPr="00A67277">
              <w:rPr>
                <w:rFonts w:cs="Arial"/>
              </w:rPr>
              <w:t>a certificate from the President Director of the IBE that all representations and warranties set out in Clause 27.1 (</w:t>
            </w:r>
            <w:r w:rsidRPr="00A67277">
              <w:rPr>
                <w:rFonts w:cs="Arial"/>
                <w:i/>
              </w:rPr>
              <w:t>Representations and Warranties of the IBE</w:t>
            </w:r>
            <w:r w:rsidRPr="00A67277">
              <w:rPr>
                <w:rFonts w:cs="Arial"/>
              </w:rPr>
              <w:t>) are true and accurate as of the Effective Date;</w:t>
            </w:r>
            <w:bookmarkEnd w:id="344"/>
          </w:p>
        </w:tc>
        <w:tc>
          <w:tcPr>
            <w:tcW w:w="236" w:type="dxa"/>
          </w:tcPr>
          <w:p w14:paraId="045BF38C" w14:textId="77777777" w:rsidR="00923319" w:rsidRPr="00A67277" w:rsidRDefault="00923319" w:rsidP="00923319">
            <w:pPr>
              <w:spacing w:before="120" w:after="120"/>
              <w:rPr>
                <w:rFonts w:ascii="Arial" w:hAnsi="Arial" w:cs="Arial"/>
                <w:sz w:val="21"/>
                <w:szCs w:val="21"/>
              </w:rPr>
            </w:pPr>
          </w:p>
        </w:tc>
        <w:tc>
          <w:tcPr>
            <w:tcW w:w="4532" w:type="dxa"/>
          </w:tcPr>
          <w:p w14:paraId="569AF662" w14:textId="77777777" w:rsidR="00923319" w:rsidRPr="00A67277" w:rsidRDefault="00923319" w:rsidP="00923319">
            <w:pPr>
              <w:pStyle w:val="Level3"/>
              <w:numPr>
                <w:ilvl w:val="0"/>
                <w:numId w:val="574"/>
              </w:numPr>
              <w:spacing w:before="120" w:after="120"/>
              <w:ind w:left="999" w:hanging="598"/>
              <w:rPr>
                <w:rFonts w:cs="Arial"/>
              </w:rPr>
            </w:pPr>
            <w:r w:rsidRPr="00A67277">
              <w:rPr>
                <w:rFonts w:cs="Arial"/>
              </w:rPr>
              <w:t xml:space="preserve">suatu sertifikat dari Presiden Direktur BUP bahwa seluruh pernyataan dan jaminan sebagaimana diatur dalam Pasal 27.1 (Pernyataan dan Jaminan BUP) adalah benar dan akurat pada Tanggal Efektif; </w:t>
            </w:r>
          </w:p>
        </w:tc>
      </w:tr>
      <w:tr w:rsidR="00923319" w:rsidRPr="00A67277" w14:paraId="630DA60E" w14:textId="77777777" w:rsidTr="00923319">
        <w:tc>
          <w:tcPr>
            <w:tcW w:w="4596" w:type="dxa"/>
          </w:tcPr>
          <w:p w14:paraId="7DA375DD" w14:textId="77777777" w:rsidR="00923319" w:rsidRPr="00A67277" w:rsidRDefault="00923319" w:rsidP="00923319">
            <w:pPr>
              <w:pStyle w:val="Body2"/>
              <w:spacing w:before="120" w:after="120"/>
              <w:rPr>
                <w:rFonts w:cs="Arial"/>
              </w:rPr>
            </w:pPr>
            <w:r w:rsidRPr="00A67277">
              <w:rPr>
                <w:rFonts w:cs="Arial"/>
                <w:b/>
              </w:rPr>
              <w:tab/>
            </w:r>
            <w:r w:rsidRPr="00A67277">
              <w:rPr>
                <w:rFonts w:cs="Arial"/>
              </w:rPr>
              <w:t>The Conditions Precedent in this Section 1 (</w:t>
            </w:r>
            <w:r w:rsidRPr="00A67277">
              <w:rPr>
                <w:rFonts w:cs="Arial"/>
                <w:i/>
              </w:rPr>
              <w:t>Conditions Precedent by the IBE</w:t>
            </w:r>
            <w:r w:rsidRPr="00A67277">
              <w:rPr>
                <w:rFonts w:cs="Arial"/>
              </w:rPr>
              <w:t>) above are for the benefit of GCA and may only be waived (either conditionally or unconditionally) by GCA in writing.</w:t>
            </w:r>
          </w:p>
        </w:tc>
        <w:tc>
          <w:tcPr>
            <w:tcW w:w="236" w:type="dxa"/>
          </w:tcPr>
          <w:p w14:paraId="02ED991F" w14:textId="77777777" w:rsidR="00923319" w:rsidRPr="00A67277" w:rsidRDefault="00923319" w:rsidP="00923319">
            <w:pPr>
              <w:spacing w:before="120" w:after="120"/>
              <w:rPr>
                <w:rFonts w:ascii="Arial" w:hAnsi="Arial" w:cs="Arial"/>
                <w:sz w:val="21"/>
                <w:szCs w:val="21"/>
              </w:rPr>
            </w:pPr>
          </w:p>
        </w:tc>
        <w:tc>
          <w:tcPr>
            <w:tcW w:w="4532" w:type="dxa"/>
          </w:tcPr>
          <w:p w14:paraId="7017FB39" w14:textId="77777777" w:rsidR="00923319" w:rsidRPr="00A67277" w:rsidRDefault="00923319" w:rsidP="00923319">
            <w:pPr>
              <w:pStyle w:val="Level1"/>
              <w:tabs>
                <w:tab w:val="clear" w:pos="889"/>
              </w:tabs>
              <w:spacing w:before="120" w:after="120"/>
              <w:ind w:left="709" w:firstLine="0"/>
              <w:rPr>
                <w:rFonts w:cs="Arial"/>
                <w:lang w:val="id-ID"/>
              </w:rPr>
            </w:pPr>
            <w:r w:rsidRPr="00A67277">
              <w:rPr>
                <w:rFonts w:cs="Arial"/>
                <w:lang w:val="id-ID"/>
              </w:rPr>
              <w:t>Persyaratan Pendahuluan dalam Bagian 1 (</w:t>
            </w:r>
            <w:r w:rsidRPr="00A67277">
              <w:rPr>
                <w:rFonts w:cs="Arial"/>
                <w:i/>
                <w:lang w:val="id-ID"/>
              </w:rPr>
              <w:t xml:space="preserve">Persyaratan Pendahuluan </w:t>
            </w:r>
            <w:r w:rsidRPr="00A67277">
              <w:rPr>
                <w:rFonts w:cs="Arial"/>
                <w:i/>
                <w:lang w:val="en-ID"/>
              </w:rPr>
              <w:t xml:space="preserve">oleh </w:t>
            </w:r>
            <w:r w:rsidRPr="00A67277">
              <w:rPr>
                <w:rFonts w:cs="Arial"/>
                <w:i/>
                <w:lang w:val="id-ID"/>
              </w:rPr>
              <w:t>BUP</w:t>
            </w:r>
            <w:r w:rsidRPr="00A67277">
              <w:rPr>
                <w:rFonts w:cs="Arial"/>
                <w:lang w:val="id-ID"/>
              </w:rPr>
              <w:t>) di</w:t>
            </w:r>
            <w:r w:rsidRPr="00A67277">
              <w:rPr>
                <w:rFonts w:cs="Arial"/>
                <w:lang w:val="en-ID"/>
              </w:rPr>
              <w:t xml:space="preserve"> </w:t>
            </w:r>
            <w:r w:rsidRPr="00A67277">
              <w:rPr>
                <w:rFonts w:cs="Arial"/>
                <w:lang w:val="id-ID"/>
              </w:rPr>
              <w:t>atas adalah</w:t>
            </w:r>
            <w:r w:rsidRPr="00A67277">
              <w:rPr>
                <w:rFonts w:cs="Arial"/>
                <w:lang w:val="en-ID"/>
              </w:rPr>
              <w:t xml:space="preserve"> untuk manfaat bagi</w:t>
            </w:r>
            <w:r w:rsidRPr="00A67277">
              <w:rPr>
                <w:rFonts w:cs="Arial"/>
                <w:lang w:val="id-ID"/>
              </w:rPr>
              <w:t xml:space="preserve"> PJPK dan hanya dapat dikesampingkan oleh PJPK secara tertulis.</w:t>
            </w:r>
          </w:p>
        </w:tc>
      </w:tr>
      <w:tr w:rsidR="00923319" w:rsidRPr="00A67277" w14:paraId="29476297" w14:textId="77777777" w:rsidTr="00923319">
        <w:tc>
          <w:tcPr>
            <w:tcW w:w="4596" w:type="dxa"/>
          </w:tcPr>
          <w:p w14:paraId="1DA84AAB" w14:textId="77777777" w:rsidR="00923319" w:rsidRPr="00A67277" w:rsidRDefault="00923319" w:rsidP="00923319">
            <w:pPr>
              <w:pStyle w:val="SchHeading1"/>
              <w:numPr>
                <w:ilvl w:val="2"/>
                <w:numId w:val="564"/>
              </w:numPr>
              <w:spacing w:before="120" w:after="120"/>
              <w:ind w:hanging="425"/>
              <w:jc w:val="center"/>
              <w:rPr>
                <w:rFonts w:cs="Arial"/>
              </w:rPr>
            </w:pPr>
            <w:bookmarkStart w:id="345" w:name="_Toc501178693"/>
            <w:r w:rsidRPr="00A67277">
              <w:rPr>
                <w:rFonts w:cs="Arial"/>
              </w:rPr>
              <w:t>Conditions Precedent by the GCA</w:t>
            </w:r>
            <w:bookmarkEnd w:id="345"/>
          </w:p>
        </w:tc>
        <w:tc>
          <w:tcPr>
            <w:tcW w:w="236" w:type="dxa"/>
          </w:tcPr>
          <w:p w14:paraId="5C4544F5" w14:textId="77777777" w:rsidR="00923319" w:rsidRPr="00A67277" w:rsidRDefault="00923319" w:rsidP="00923319">
            <w:pPr>
              <w:spacing w:before="120" w:after="120"/>
              <w:rPr>
                <w:rFonts w:ascii="Arial" w:hAnsi="Arial" w:cs="Arial"/>
                <w:sz w:val="21"/>
                <w:szCs w:val="21"/>
              </w:rPr>
            </w:pPr>
          </w:p>
        </w:tc>
        <w:tc>
          <w:tcPr>
            <w:tcW w:w="4532" w:type="dxa"/>
          </w:tcPr>
          <w:p w14:paraId="687345BD" w14:textId="77777777" w:rsidR="00923319" w:rsidRPr="00A67277" w:rsidRDefault="00923319" w:rsidP="00923319">
            <w:pPr>
              <w:pStyle w:val="SchHeading1"/>
              <w:numPr>
                <w:ilvl w:val="0"/>
                <w:numId w:val="573"/>
              </w:numPr>
              <w:spacing w:before="120" w:after="120"/>
              <w:ind w:left="733" w:hanging="720"/>
              <w:rPr>
                <w:rFonts w:cs="Arial"/>
              </w:rPr>
            </w:pPr>
            <w:r w:rsidRPr="00A67277">
              <w:rPr>
                <w:rFonts w:cs="Arial"/>
              </w:rPr>
              <w:t>Persyaratan Pendahuluan Oleh PJPK</w:t>
            </w:r>
          </w:p>
        </w:tc>
      </w:tr>
      <w:tr w:rsidR="00923319" w:rsidRPr="00A67277" w14:paraId="3E3C73ED" w14:textId="77777777" w:rsidTr="00923319">
        <w:tc>
          <w:tcPr>
            <w:tcW w:w="4596" w:type="dxa"/>
          </w:tcPr>
          <w:p w14:paraId="329E0928" w14:textId="77777777" w:rsidR="00923319" w:rsidRPr="00A67277" w:rsidRDefault="00923319" w:rsidP="00923319">
            <w:pPr>
              <w:pStyle w:val="Body2"/>
              <w:spacing w:before="120" w:after="120"/>
              <w:rPr>
                <w:rFonts w:cs="Arial"/>
              </w:rPr>
            </w:pPr>
            <w:r w:rsidRPr="00A67277">
              <w:rPr>
                <w:rFonts w:cs="Arial"/>
              </w:rPr>
              <w:t xml:space="preserve">Each Condition Precedent by the GCA is satisfied upon the IBE receiving from the GCA, or is satisfied as to the occurrence of, all of the following in form and of substance reasonably satisfactory to the IBE: </w:t>
            </w:r>
          </w:p>
        </w:tc>
        <w:tc>
          <w:tcPr>
            <w:tcW w:w="236" w:type="dxa"/>
          </w:tcPr>
          <w:p w14:paraId="73D21640" w14:textId="77777777" w:rsidR="00923319" w:rsidRPr="00A67277" w:rsidRDefault="00923319" w:rsidP="00923319">
            <w:pPr>
              <w:spacing w:before="120" w:after="120"/>
              <w:rPr>
                <w:rFonts w:ascii="Arial" w:hAnsi="Arial" w:cs="Arial"/>
                <w:sz w:val="21"/>
                <w:szCs w:val="21"/>
              </w:rPr>
            </w:pPr>
          </w:p>
        </w:tc>
        <w:tc>
          <w:tcPr>
            <w:tcW w:w="4532" w:type="dxa"/>
          </w:tcPr>
          <w:p w14:paraId="5DAC8378" w14:textId="77777777" w:rsidR="00923319" w:rsidRPr="00A67277" w:rsidRDefault="00923319" w:rsidP="00923319">
            <w:pPr>
              <w:pStyle w:val="Body2"/>
              <w:spacing w:before="120" w:after="120"/>
              <w:rPr>
                <w:rFonts w:cs="Arial"/>
              </w:rPr>
            </w:pPr>
            <w:r w:rsidRPr="00A67277">
              <w:rPr>
                <w:rFonts w:cs="Arial"/>
              </w:rPr>
              <w:t xml:space="preserve">Setiap Persyaratan Pendahuluan oleh PJPK terpenuhi pada saat BUP menerima dari PJPK, atau terpenuhi pada saat terjadinya, semua hal berikut dalam bentuk dan substansi yang memuaskan bagi BUP: </w:t>
            </w:r>
          </w:p>
        </w:tc>
      </w:tr>
      <w:tr w:rsidR="00923319" w:rsidRPr="00A67277" w14:paraId="037D9F39" w14:textId="77777777" w:rsidTr="00923319">
        <w:tc>
          <w:tcPr>
            <w:tcW w:w="4596" w:type="dxa"/>
          </w:tcPr>
          <w:p w14:paraId="30382311" w14:textId="01E1CAAE" w:rsidR="00923319" w:rsidRPr="00A67277" w:rsidRDefault="00923319" w:rsidP="00D458F5">
            <w:pPr>
              <w:pStyle w:val="SchNumber3"/>
              <w:numPr>
                <w:ilvl w:val="4"/>
                <w:numId w:val="564"/>
              </w:numPr>
              <w:spacing w:before="120" w:after="120"/>
              <w:rPr>
                <w:rFonts w:cs="Arial"/>
              </w:rPr>
            </w:pPr>
            <w:bookmarkStart w:id="346" w:name="_Toc501178694"/>
            <w:r w:rsidRPr="00A67277">
              <w:rPr>
                <w:rFonts w:cs="Arial"/>
              </w:rPr>
              <w:t>certified true and complete copy of Project Agreement as follows: (i) GCA Consent Letter</w:t>
            </w:r>
            <w:r w:rsidR="00854EA4">
              <w:rPr>
                <w:rFonts w:cs="Arial"/>
              </w:rPr>
              <w:t xml:space="preserve"> which has been duly executed by the GCA</w:t>
            </w:r>
            <w:r w:rsidRPr="00A67277">
              <w:rPr>
                <w:rFonts w:cs="Arial"/>
              </w:rPr>
              <w:t xml:space="preserve">; (ii) the Independent Supervisor Consultant Contract which </w:t>
            </w:r>
            <w:r w:rsidR="00D458F5">
              <w:rPr>
                <w:rFonts w:cs="Arial"/>
              </w:rPr>
              <w:t>has</w:t>
            </w:r>
            <w:r w:rsidR="00D458F5" w:rsidRPr="00A67277">
              <w:rPr>
                <w:rFonts w:cs="Arial"/>
              </w:rPr>
              <w:t xml:space="preserve"> </w:t>
            </w:r>
            <w:r w:rsidRPr="00A67277">
              <w:rPr>
                <w:rFonts w:cs="Arial"/>
              </w:rPr>
              <w:t>been duly executed by the GCA</w:t>
            </w:r>
            <w:r w:rsidR="00854EA4">
              <w:rPr>
                <w:rFonts w:cs="Arial"/>
              </w:rPr>
              <w:t xml:space="preserve"> and the Independent Supervisor Consultant</w:t>
            </w:r>
            <w:r w:rsidRPr="00A67277">
              <w:rPr>
                <w:rFonts w:cs="Arial"/>
              </w:rPr>
              <w:t>;</w:t>
            </w:r>
            <w:bookmarkEnd w:id="346"/>
            <w:r w:rsidR="00D458F5">
              <w:rPr>
                <w:rFonts w:cs="Arial"/>
              </w:rPr>
              <w:t xml:space="preserve"> and (iii) the Law Enforcement Agreement which has been duly executed by the GCA and the </w:t>
            </w:r>
            <w:r w:rsidR="00854EA4">
              <w:rPr>
                <w:rFonts w:cs="Arial"/>
              </w:rPr>
              <w:t>Indonesian National Police</w:t>
            </w:r>
            <w:r w:rsidR="00D458F5">
              <w:rPr>
                <w:rFonts w:cs="Arial"/>
              </w:rPr>
              <w:t>;</w:t>
            </w:r>
          </w:p>
        </w:tc>
        <w:tc>
          <w:tcPr>
            <w:tcW w:w="236" w:type="dxa"/>
          </w:tcPr>
          <w:p w14:paraId="74A60017" w14:textId="77777777" w:rsidR="00923319" w:rsidRPr="00A67277" w:rsidRDefault="00923319" w:rsidP="00923319">
            <w:pPr>
              <w:spacing w:before="120" w:after="120"/>
              <w:rPr>
                <w:rFonts w:ascii="Arial" w:hAnsi="Arial" w:cs="Arial"/>
                <w:sz w:val="21"/>
                <w:szCs w:val="21"/>
              </w:rPr>
            </w:pPr>
          </w:p>
        </w:tc>
        <w:tc>
          <w:tcPr>
            <w:tcW w:w="4532" w:type="dxa"/>
          </w:tcPr>
          <w:p w14:paraId="1F5E660C" w14:textId="4E29223E" w:rsidR="00923319" w:rsidRPr="00A67277" w:rsidRDefault="00923319" w:rsidP="00D458F5">
            <w:pPr>
              <w:pStyle w:val="SchNumber3"/>
              <w:numPr>
                <w:ilvl w:val="0"/>
                <w:numId w:val="575"/>
              </w:numPr>
              <w:spacing w:before="120" w:after="120"/>
              <w:ind w:left="1183" w:hanging="505"/>
              <w:rPr>
                <w:rFonts w:cs="Arial"/>
              </w:rPr>
            </w:pPr>
            <w:r w:rsidRPr="00A67277">
              <w:rPr>
                <w:rFonts w:cs="Arial"/>
              </w:rPr>
              <w:t>salinan yang lengkap dan benar dari setiap Perjanjian Proyek sebagai berikut: (i) Surat Persetujuan PJPK</w:t>
            </w:r>
            <w:r w:rsidR="00854EA4">
              <w:rPr>
                <w:rFonts w:cs="Arial"/>
              </w:rPr>
              <w:t xml:space="preserve"> </w:t>
            </w:r>
            <w:r w:rsidR="00854EA4" w:rsidRPr="00A67277">
              <w:rPr>
                <w:rFonts w:cs="Arial"/>
              </w:rPr>
              <w:t>yang telah ditandatangani oleh PJPK</w:t>
            </w:r>
            <w:r w:rsidRPr="00A67277">
              <w:rPr>
                <w:rFonts w:cs="Arial"/>
              </w:rPr>
              <w:t>; (ii) Perjanjian Konsultan Pengawas Independen yang telah ditandatangani oleh PJPK</w:t>
            </w:r>
            <w:r w:rsidR="00854EA4">
              <w:rPr>
                <w:rFonts w:cs="Arial"/>
              </w:rPr>
              <w:t xml:space="preserve"> dan Konsultan Pengawas Independen</w:t>
            </w:r>
            <w:r w:rsidRPr="00A67277">
              <w:rPr>
                <w:rFonts w:cs="Arial"/>
              </w:rPr>
              <w:t>;</w:t>
            </w:r>
            <w:r w:rsidR="00D458F5">
              <w:rPr>
                <w:rFonts w:cs="Arial"/>
              </w:rPr>
              <w:t xml:space="preserve"> dan (iii) Perjanjian Penegakan Hukum yang telah ditandatangani oleh PJPK</w:t>
            </w:r>
            <w:r w:rsidR="00854EA4">
              <w:rPr>
                <w:rFonts w:cs="Arial"/>
              </w:rPr>
              <w:t xml:space="preserve"> dan Kepolisian Republik Indonesia</w:t>
            </w:r>
            <w:r w:rsidR="00D458F5">
              <w:rPr>
                <w:rFonts w:cs="Arial"/>
              </w:rPr>
              <w:t>;</w:t>
            </w:r>
          </w:p>
        </w:tc>
      </w:tr>
      <w:tr w:rsidR="00923319" w:rsidRPr="00A67277" w14:paraId="35696204" w14:textId="77777777" w:rsidTr="00923319">
        <w:tc>
          <w:tcPr>
            <w:tcW w:w="4596" w:type="dxa"/>
          </w:tcPr>
          <w:p w14:paraId="0551FE6A" w14:textId="3BFD64B6" w:rsidR="00923319" w:rsidRPr="00A67277" w:rsidRDefault="00923319" w:rsidP="00E030C4">
            <w:pPr>
              <w:pStyle w:val="SchNumber3"/>
              <w:numPr>
                <w:ilvl w:val="4"/>
                <w:numId w:val="564"/>
              </w:numPr>
              <w:spacing w:before="120" w:after="120"/>
              <w:rPr>
                <w:rFonts w:cs="Arial"/>
              </w:rPr>
            </w:pPr>
            <w:bookmarkStart w:id="347" w:name="_Toc501178695"/>
            <w:r w:rsidRPr="00A67277">
              <w:rPr>
                <w:rFonts w:cs="Arial"/>
              </w:rPr>
              <w:t xml:space="preserve">certified true and complete copy of each key Authorisation by the GCA as listed in Section 3.1 of Appendix </w:t>
            </w:r>
            <w:r w:rsidR="00E030C4" w:rsidRPr="00A67277">
              <w:rPr>
                <w:rFonts w:cs="Arial"/>
              </w:rPr>
              <w:t xml:space="preserve">11 </w:t>
            </w:r>
            <w:r w:rsidRPr="00A67277">
              <w:rPr>
                <w:rFonts w:cs="Arial"/>
              </w:rPr>
              <w:t>(</w:t>
            </w:r>
            <w:r w:rsidRPr="00A67277">
              <w:rPr>
                <w:rFonts w:cs="Arial"/>
                <w:i/>
              </w:rPr>
              <w:t>Key Authorisations During Construction Period</w:t>
            </w:r>
            <w:r w:rsidRPr="00A67277">
              <w:rPr>
                <w:rFonts w:cs="Arial"/>
              </w:rPr>
              <w:t>)) and those Authorisations are on conditions satisfactory to the IBE;</w:t>
            </w:r>
            <w:bookmarkEnd w:id="347"/>
            <w:r w:rsidRPr="00A67277">
              <w:rPr>
                <w:rFonts w:cs="Arial"/>
              </w:rPr>
              <w:t xml:space="preserve"> </w:t>
            </w:r>
          </w:p>
        </w:tc>
        <w:tc>
          <w:tcPr>
            <w:tcW w:w="236" w:type="dxa"/>
          </w:tcPr>
          <w:p w14:paraId="3599DE88" w14:textId="77777777" w:rsidR="00923319" w:rsidRPr="00A67277" w:rsidRDefault="00923319" w:rsidP="00923319">
            <w:pPr>
              <w:spacing w:before="120" w:after="120"/>
              <w:rPr>
                <w:rFonts w:ascii="Arial" w:hAnsi="Arial" w:cs="Arial"/>
                <w:sz w:val="21"/>
                <w:szCs w:val="21"/>
              </w:rPr>
            </w:pPr>
          </w:p>
        </w:tc>
        <w:tc>
          <w:tcPr>
            <w:tcW w:w="4532" w:type="dxa"/>
          </w:tcPr>
          <w:p w14:paraId="6AFADFD2" w14:textId="4A50EFD6" w:rsidR="00923319" w:rsidRPr="00A67277" w:rsidRDefault="00923319" w:rsidP="00E030C4">
            <w:pPr>
              <w:pStyle w:val="SchNumber3"/>
              <w:numPr>
                <w:ilvl w:val="0"/>
                <w:numId w:val="575"/>
              </w:numPr>
              <w:spacing w:before="120" w:after="120"/>
              <w:ind w:left="1183" w:hanging="505"/>
              <w:rPr>
                <w:rFonts w:cs="Arial"/>
              </w:rPr>
            </w:pPr>
            <w:r w:rsidRPr="00A67277">
              <w:rPr>
                <w:rFonts w:cs="Arial"/>
              </w:rPr>
              <w:t xml:space="preserve">salinan yang lengkap dan benar dari setiap Persetujuan utama oleh PJPK sebagaimana terdaftar dalam Bagian 3.1 dari Lampiran </w:t>
            </w:r>
            <w:r w:rsidR="00E030C4" w:rsidRPr="00A67277">
              <w:rPr>
                <w:rFonts w:cs="Arial"/>
              </w:rPr>
              <w:t xml:space="preserve">11 </w:t>
            </w:r>
            <w:r w:rsidRPr="00A67277">
              <w:rPr>
                <w:rFonts w:cs="Arial"/>
              </w:rPr>
              <w:t>(Persetujuan-Persetujuan Utama Selama Masa Konstruksi) dan Persetujuan-Persetujuan tersebut telah terpenuhi bagi BUP;</w:t>
            </w:r>
          </w:p>
        </w:tc>
      </w:tr>
      <w:tr w:rsidR="00923319" w:rsidRPr="00A67277" w14:paraId="6090194F" w14:textId="77777777" w:rsidTr="00923319">
        <w:tc>
          <w:tcPr>
            <w:tcW w:w="4596" w:type="dxa"/>
          </w:tcPr>
          <w:p w14:paraId="26E20E7E" w14:textId="77777777" w:rsidR="00923319" w:rsidRPr="00A67277" w:rsidRDefault="00923319" w:rsidP="00923319">
            <w:pPr>
              <w:pStyle w:val="SchNumber3"/>
              <w:numPr>
                <w:ilvl w:val="4"/>
                <w:numId w:val="564"/>
              </w:numPr>
              <w:spacing w:before="120" w:after="120"/>
              <w:rPr>
                <w:rFonts w:cs="Arial"/>
              </w:rPr>
            </w:pPr>
            <w:bookmarkStart w:id="348" w:name="_Toc501178698"/>
            <w:r w:rsidRPr="00A67277">
              <w:rPr>
                <w:rFonts w:cs="Arial"/>
              </w:rPr>
              <w:t>a certificate from the GCA that all representations and warranties set out in Clause 27.2 (Representations and Warranties of GCA) are true and accurate as of the Effective Date.</w:t>
            </w:r>
            <w:bookmarkEnd w:id="348"/>
          </w:p>
        </w:tc>
        <w:tc>
          <w:tcPr>
            <w:tcW w:w="236" w:type="dxa"/>
          </w:tcPr>
          <w:p w14:paraId="4952C5D9" w14:textId="77777777" w:rsidR="00923319" w:rsidRPr="00A67277" w:rsidRDefault="00923319" w:rsidP="00923319">
            <w:pPr>
              <w:spacing w:before="120" w:after="120"/>
              <w:rPr>
                <w:rFonts w:ascii="Arial" w:hAnsi="Arial" w:cs="Arial"/>
                <w:sz w:val="21"/>
                <w:szCs w:val="21"/>
              </w:rPr>
            </w:pPr>
          </w:p>
        </w:tc>
        <w:tc>
          <w:tcPr>
            <w:tcW w:w="4532" w:type="dxa"/>
          </w:tcPr>
          <w:p w14:paraId="077CFA04" w14:textId="77777777" w:rsidR="00923319" w:rsidRPr="00A67277" w:rsidRDefault="00923319" w:rsidP="00923319">
            <w:pPr>
              <w:pStyle w:val="SchNumber3"/>
              <w:numPr>
                <w:ilvl w:val="0"/>
                <w:numId w:val="575"/>
              </w:numPr>
              <w:spacing w:before="120" w:after="120"/>
              <w:ind w:left="1183" w:hanging="505"/>
              <w:rPr>
                <w:rFonts w:cs="Arial"/>
              </w:rPr>
            </w:pPr>
            <w:r w:rsidRPr="00A67277">
              <w:rPr>
                <w:rFonts w:cs="Arial"/>
              </w:rPr>
              <w:t>suatu sertifikat dari Presiden Direktur PJPK bahwa seluruh pernyataan dan jaminan sebagaimana diatur dalam Pasal 27.2 (Pernyataan dan Jaminan PJPK) adalah benar dan akurat pada Tanggal Efektif.</w:t>
            </w:r>
          </w:p>
        </w:tc>
      </w:tr>
      <w:tr w:rsidR="00923319" w:rsidRPr="00A67277" w14:paraId="5750A54D" w14:textId="77777777" w:rsidTr="00923319">
        <w:tc>
          <w:tcPr>
            <w:tcW w:w="4596" w:type="dxa"/>
          </w:tcPr>
          <w:p w14:paraId="1327CBD6" w14:textId="77777777" w:rsidR="00923319" w:rsidRPr="00A67277" w:rsidRDefault="00923319" w:rsidP="00923319">
            <w:pPr>
              <w:pStyle w:val="SchNumber3"/>
              <w:numPr>
                <w:ilvl w:val="0"/>
                <w:numId w:val="0"/>
              </w:numPr>
              <w:spacing w:before="120" w:after="120"/>
              <w:ind w:left="709"/>
              <w:rPr>
                <w:rFonts w:cs="Arial"/>
              </w:rPr>
            </w:pPr>
            <w:bookmarkStart w:id="349" w:name="_Toc501178699"/>
            <w:r w:rsidRPr="00A67277">
              <w:rPr>
                <w:rFonts w:cs="Arial"/>
              </w:rPr>
              <w:t>The Conditions Precedent in this Section 2 (</w:t>
            </w:r>
            <w:r w:rsidRPr="00A67277">
              <w:rPr>
                <w:rFonts w:cs="Arial"/>
                <w:i/>
              </w:rPr>
              <w:t>Conditions Precedent by the GCA</w:t>
            </w:r>
            <w:r w:rsidRPr="00A67277">
              <w:rPr>
                <w:rFonts w:cs="Arial"/>
              </w:rPr>
              <w:t>) above are for the benefit of IBE and may only be waived (either conditionally or unconditionally) by the IBE in writing.</w:t>
            </w:r>
            <w:bookmarkEnd w:id="349"/>
          </w:p>
        </w:tc>
        <w:tc>
          <w:tcPr>
            <w:tcW w:w="236" w:type="dxa"/>
          </w:tcPr>
          <w:p w14:paraId="78C385F0" w14:textId="77777777" w:rsidR="00923319" w:rsidRPr="00A67277" w:rsidRDefault="00923319" w:rsidP="00923319">
            <w:pPr>
              <w:spacing w:before="120" w:after="120"/>
              <w:rPr>
                <w:rFonts w:ascii="Arial" w:hAnsi="Arial" w:cs="Arial"/>
                <w:sz w:val="21"/>
                <w:szCs w:val="21"/>
              </w:rPr>
            </w:pPr>
          </w:p>
        </w:tc>
        <w:tc>
          <w:tcPr>
            <w:tcW w:w="4532" w:type="dxa"/>
          </w:tcPr>
          <w:p w14:paraId="7FF6470A" w14:textId="77777777" w:rsidR="00923319" w:rsidRPr="00A67277" w:rsidRDefault="00923319" w:rsidP="00923319">
            <w:pPr>
              <w:pStyle w:val="Level1"/>
              <w:tabs>
                <w:tab w:val="clear" w:pos="889"/>
              </w:tabs>
              <w:spacing w:before="120" w:after="120"/>
              <w:ind w:left="709" w:firstLine="0"/>
              <w:rPr>
                <w:rFonts w:cs="Arial"/>
                <w:lang w:val="id-ID"/>
              </w:rPr>
            </w:pPr>
            <w:r w:rsidRPr="00A67277">
              <w:rPr>
                <w:rFonts w:cs="Arial"/>
                <w:lang w:val="id-ID"/>
              </w:rPr>
              <w:t xml:space="preserve">Persyaratan Pendahuluan dalam Bagian </w:t>
            </w:r>
            <w:r w:rsidRPr="00A67277">
              <w:rPr>
                <w:rFonts w:cs="Arial"/>
                <w:lang w:val="en-ID"/>
              </w:rPr>
              <w:t>2</w:t>
            </w:r>
            <w:r w:rsidRPr="00A67277">
              <w:rPr>
                <w:rFonts w:cs="Arial"/>
                <w:lang w:val="id-ID"/>
              </w:rPr>
              <w:t xml:space="preserve"> (</w:t>
            </w:r>
            <w:r w:rsidRPr="00A67277">
              <w:rPr>
                <w:rFonts w:cs="Arial"/>
                <w:i/>
                <w:lang w:val="id-ID"/>
              </w:rPr>
              <w:t xml:space="preserve">Persyaratan Pendahuluan </w:t>
            </w:r>
            <w:r w:rsidRPr="00A67277">
              <w:rPr>
                <w:rFonts w:cs="Arial"/>
                <w:i/>
                <w:lang w:val="en-ID"/>
              </w:rPr>
              <w:t xml:space="preserve">oleh </w:t>
            </w:r>
            <w:r w:rsidRPr="00A67277">
              <w:rPr>
                <w:rFonts w:cs="Arial"/>
                <w:i/>
                <w:lang w:val="en-US"/>
              </w:rPr>
              <w:t>PJPK</w:t>
            </w:r>
            <w:r w:rsidRPr="00A67277">
              <w:rPr>
                <w:rFonts w:cs="Arial"/>
                <w:lang w:val="id-ID"/>
              </w:rPr>
              <w:t>) di</w:t>
            </w:r>
            <w:r w:rsidRPr="00A67277">
              <w:rPr>
                <w:rFonts w:cs="Arial"/>
                <w:lang w:val="en-ID"/>
              </w:rPr>
              <w:t xml:space="preserve"> </w:t>
            </w:r>
            <w:r w:rsidRPr="00A67277">
              <w:rPr>
                <w:rFonts w:cs="Arial"/>
                <w:lang w:val="id-ID"/>
              </w:rPr>
              <w:t xml:space="preserve">atas adalah untuk </w:t>
            </w:r>
            <w:r w:rsidRPr="00A67277">
              <w:rPr>
                <w:rFonts w:cs="Arial"/>
                <w:lang w:val="en-ID"/>
              </w:rPr>
              <w:t>manfaat bagi</w:t>
            </w:r>
            <w:r w:rsidRPr="00A67277">
              <w:rPr>
                <w:rFonts w:cs="Arial"/>
                <w:lang w:val="id-ID"/>
              </w:rPr>
              <w:t xml:space="preserve"> </w:t>
            </w:r>
            <w:r w:rsidRPr="00A67277">
              <w:rPr>
                <w:rFonts w:cs="Arial"/>
                <w:lang w:val="en-ID"/>
              </w:rPr>
              <w:t xml:space="preserve">BUP </w:t>
            </w:r>
            <w:r w:rsidRPr="00A67277">
              <w:rPr>
                <w:rFonts w:cs="Arial"/>
                <w:lang w:val="id-ID"/>
              </w:rPr>
              <w:t xml:space="preserve">dan hanya dapat dikesampingkan oleh </w:t>
            </w:r>
            <w:r w:rsidRPr="00A67277">
              <w:rPr>
                <w:rFonts w:cs="Arial"/>
                <w:lang w:val="en-US"/>
              </w:rPr>
              <w:t xml:space="preserve">BUP </w:t>
            </w:r>
            <w:r w:rsidRPr="00A67277">
              <w:rPr>
                <w:rFonts w:cs="Arial"/>
                <w:lang w:val="id-ID"/>
              </w:rPr>
              <w:t>secara tertulis.</w:t>
            </w:r>
          </w:p>
          <w:p w14:paraId="26103868" w14:textId="77777777" w:rsidR="00923319" w:rsidRPr="00A67277" w:rsidRDefault="00923319" w:rsidP="00923319">
            <w:pPr>
              <w:pStyle w:val="FootnoteText"/>
              <w:spacing w:before="120" w:after="120"/>
              <w:ind w:left="0" w:firstLine="0"/>
              <w:rPr>
                <w:rFonts w:cs="Arial"/>
                <w:b/>
                <w:sz w:val="21"/>
              </w:rPr>
            </w:pPr>
          </w:p>
        </w:tc>
      </w:tr>
    </w:tbl>
    <w:p w14:paraId="4BE26BAA" w14:textId="77777777" w:rsidR="00923319" w:rsidRPr="00A67277" w:rsidRDefault="00923319" w:rsidP="00923319">
      <w:pPr>
        <w:rPr>
          <w:rFonts w:ascii="Arial" w:hAnsi="Arial" w:cs="Arial"/>
          <w:sz w:val="21"/>
          <w:szCs w:val="21"/>
        </w:rPr>
      </w:pPr>
    </w:p>
    <w:p w14:paraId="484939CA"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6D9F3FAA" w14:textId="77777777" w:rsidTr="00923319">
        <w:tc>
          <w:tcPr>
            <w:tcW w:w="4596" w:type="dxa"/>
          </w:tcPr>
          <w:p w14:paraId="3C3ADCD7" w14:textId="77777777" w:rsidR="00923319" w:rsidRPr="00A67277" w:rsidRDefault="00923319" w:rsidP="00923319">
            <w:pPr>
              <w:pStyle w:val="SchTitle"/>
              <w:numPr>
                <w:ilvl w:val="0"/>
                <w:numId w:val="564"/>
              </w:numPr>
              <w:rPr>
                <w:rFonts w:cs="Arial"/>
                <w:sz w:val="21"/>
              </w:rPr>
            </w:pPr>
            <w:r w:rsidRPr="00A67277">
              <w:rPr>
                <w:rFonts w:cs="Arial"/>
                <w:b w:val="0"/>
                <w:sz w:val="21"/>
              </w:rPr>
              <w:tab/>
            </w:r>
            <w:r w:rsidRPr="00A67277">
              <w:rPr>
                <w:rFonts w:cs="Arial"/>
                <w:sz w:val="21"/>
              </w:rPr>
              <w:t>Appendix 3 – Shareholders</w:t>
            </w:r>
          </w:p>
        </w:tc>
        <w:tc>
          <w:tcPr>
            <w:tcW w:w="236" w:type="dxa"/>
          </w:tcPr>
          <w:p w14:paraId="3936F182" w14:textId="77777777" w:rsidR="00923319" w:rsidRPr="00A67277" w:rsidRDefault="00923319" w:rsidP="00923319">
            <w:pPr>
              <w:rPr>
                <w:rFonts w:ascii="Arial" w:hAnsi="Arial" w:cs="Arial"/>
                <w:sz w:val="21"/>
                <w:szCs w:val="21"/>
              </w:rPr>
            </w:pPr>
          </w:p>
        </w:tc>
        <w:tc>
          <w:tcPr>
            <w:tcW w:w="4532" w:type="dxa"/>
          </w:tcPr>
          <w:p w14:paraId="0BDBD40F" w14:textId="77777777" w:rsidR="00923319" w:rsidRPr="00A67277" w:rsidRDefault="00923319" w:rsidP="00923319">
            <w:pPr>
              <w:pStyle w:val="SchTitle"/>
              <w:rPr>
                <w:rFonts w:cs="Arial"/>
                <w:sz w:val="21"/>
              </w:rPr>
            </w:pPr>
            <w:r w:rsidRPr="00A67277">
              <w:rPr>
                <w:rFonts w:cs="Arial"/>
                <w:sz w:val="21"/>
              </w:rPr>
              <w:t xml:space="preserve">Lampiran 3 – Para Pemegang Saham </w:t>
            </w:r>
          </w:p>
          <w:p w14:paraId="0B62F009" w14:textId="77777777" w:rsidR="00923319" w:rsidRPr="00A67277" w:rsidRDefault="00923319" w:rsidP="00923319">
            <w:pPr>
              <w:pStyle w:val="FootnoteText"/>
              <w:ind w:left="0" w:firstLine="0"/>
              <w:rPr>
                <w:rFonts w:cs="Arial"/>
                <w:b/>
                <w:sz w:val="21"/>
              </w:rPr>
            </w:pPr>
          </w:p>
        </w:tc>
      </w:tr>
      <w:tr w:rsidR="00923319" w:rsidRPr="00A67277" w14:paraId="00ECF8EB" w14:textId="77777777" w:rsidTr="00923319">
        <w:tc>
          <w:tcPr>
            <w:tcW w:w="4596" w:type="dxa"/>
          </w:tcPr>
          <w:p w14:paraId="115A5805" w14:textId="77777777" w:rsidR="00923319" w:rsidRPr="00A67277" w:rsidRDefault="00923319" w:rsidP="00923319">
            <w:pPr>
              <w:pStyle w:val="Body1"/>
              <w:rPr>
                <w:rFonts w:cs="Arial"/>
              </w:rPr>
            </w:pPr>
          </w:p>
        </w:tc>
        <w:tc>
          <w:tcPr>
            <w:tcW w:w="236" w:type="dxa"/>
          </w:tcPr>
          <w:p w14:paraId="51EF63A6" w14:textId="77777777" w:rsidR="00923319" w:rsidRPr="00A67277" w:rsidRDefault="00923319" w:rsidP="00923319">
            <w:pPr>
              <w:rPr>
                <w:rFonts w:ascii="Arial" w:hAnsi="Arial" w:cs="Arial"/>
                <w:sz w:val="21"/>
                <w:szCs w:val="21"/>
              </w:rPr>
            </w:pPr>
          </w:p>
        </w:tc>
        <w:tc>
          <w:tcPr>
            <w:tcW w:w="4532" w:type="dxa"/>
          </w:tcPr>
          <w:p w14:paraId="67CEBB1B" w14:textId="77777777" w:rsidR="00923319" w:rsidRPr="00A67277" w:rsidRDefault="00923319" w:rsidP="00923319">
            <w:pPr>
              <w:pStyle w:val="Body1"/>
              <w:rPr>
                <w:rFonts w:cs="Arial"/>
                <w:lang w:val="id-ID"/>
              </w:rPr>
            </w:pPr>
          </w:p>
        </w:tc>
      </w:tr>
      <w:tr w:rsidR="00923319" w:rsidRPr="00A67277" w14:paraId="2CCD1EED" w14:textId="77777777" w:rsidTr="00923319">
        <w:tc>
          <w:tcPr>
            <w:tcW w:w="4596" w:type="dxa"/>
          </w:tcPr>
          <w:p w14:paraId="1E15F763" w14:textId="77777777" w:rsidR="00923319" w:rsidRPr="00A67277" w:rsidRDefault="00923319" w:rsidP="00923319">
            <w:pPr>
              <w:pStyle w:val="Body1"/>
              <w:rPr>
                <w:rFonts w:cs="Arial"/>
              </w:rPr>
            </w:pPr>
            <w:r w:rsidRPr="00A67277">
              <w:rPr>
                <w:rFonts w:cs="Arial"/>
              </w:rPr>
              <w:t xml:space="preserve">The Shareholders of the IBE as of the Signing Date shall be as follows: </w:t>
            </w:r>
          </w:p>
        </w:tc>
        <w:tc>
          <w:tcPr>
            <w:tcW w:w="236" w:type="dxa"/>
          </w:tcPr>
          <w:p w14:paraId="4BC0444B" w14:textId="77777777" w:rsidR="00923319" w:rsidRPr="00A67277" w:rsidRDefault="00923319" w:rsidP="00923319">
            <w:pPr>
              <w:rPr>
                <w:rFonts w:ascii="Arial" w:hAnsi="Arial" w:cs="Arial"/>
                <w:sz w:val="21"/>
                <w:szCs w:val="21"/>
              </w:rPr>
            </w:pPr>
          </w:p>
        </w:tc>
        <w:tc>
          <w:tcPr>
            <w:tcW w:w="4532" w:type="dxa"/>
          </w:tcPr>
          <w:p w14:paraId="2A08C07C" w14:textId="77777777" w:rsidR="00923319" w:rsidRPr="00A67277" w:rsidRDefault="00923319" w:rsidP="00923319">
            <w:pPr>
              <w:pStyle w:val="Body1"/>
              <w:rPr>
                <w:rFonts w:cs="Arial"/>
              </w:rPr>
            </w:pPr>
            <w:r w:rsidRPr="00A67277">
              <w:rPr>
                <w:rFonts w:cs="Arial"/>
                <w:lang w:val="id-ID"/>
              </w:rPr>
              <w:t xml:space="preserve">Pemegang Saham BUP pada Tanggal </w:t>
            </w:r>
            <w:r w:rsidRPr="00A67277">
              <w:rPr>
                <w:rFonts w:cs="Arial"/>
                <w:lang w:val="en-US"/>
              </w:rPr>
              <w:t xml:space="preserve">Penandatanganan </w:t>
            </w:r>
            <w:r w:rsidRPr="00A67277">
              <w:rPr>
                <w:rFonts w:cs="Arial"/>
                <w:lang w:val="id-ID"/>
              </w:rPr>
              <w:t>adalah sebagai berikut:</w:t>
            </w:r>
            <w:r w:rsidRPr="00A67277">
              <w:rPr>
                <w:rFonts w:cs="Arial"/>
              </w:rPr>
              <w:t xml:space="preserve"> </w:t>
            </w:r>
          </w:p>
        </w:tc>
      </w:tr>
    </w:tbl>
    <w:p w14:paraId="542847AF" w14:textId="77777777" w:rsidR="00923319" w:rsidRPr="00A67277" w:rsidRDefault="00923319" w:rsidP="00923319">
      <w:pPr>
        <w:rPr>
          <w:rFonts w:ascii="Arial" w:hAnsi="Arial" w:cs="Arial"/>
          <w:sz w:val="21"/>
          <w:szCs w:val="21"/>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6"/>
        <w:gridCol w:w="3344"/>
      </w:tblGrid>
      <w:tr w:rsidR="00923319" w:rsidRPr="00A67277" w14:paraId="3F449640" w14:textId="77777777" w:rsidTr="00923319">
        <w:tc>
          <w:tcPr>
            <w:tcW w:w="3005" w:type="dxa"/>
            <w:shd w:val="clear" w:color="auto" w:fill="auto"/>
          </w:tcPr>
          <w:p w14:paraId="2852D965" w14:textId="77777777" w:rsidR="00923319" w:rsidRPr="00A67277" w:rsidRDefault="00923319" w:rsidP="00923319">
            <w:pPr>
              <w:pStyle w:val="Body1"/>
              <w:jc w:val="center"/>
              <w:rPr>
                <w:rFonts w:cs="Arial"/>
                <w:b/>
              </w:rPr>
            </w:pPr>
            <w:r w:rsidRPr="00A67277">
              <w:rPr>
                <w:rFonts w:cs="Arial"/>
                <w:b/>
              </w:rPr>
              <w:t>Name</w:t>
            </w:r>
          </w:p>
          <w:p w14:paraId="0D6AC2D9" w14:textId="77777777" w:rsidR="00923319" w:rsidRPr="00A67277" w:rsidRDefault="00923319" w:rsidP="00923319">
            <w:pPr>
              <w:pStyle w:val="Body1"/>
              <w:jc w:val="center"/>
              <w:rPr>
                <w:rFonts w:cs="Arial"/>
                <w:b/>
              </w:rPr>
            </w:pPr>
            <w:r w:rsidRPr="00A67277">
              <w:rPr>
                <w:rFonts w:cs="Arial"/>
                <w:b/>
              </w:rPr>
              <w:t>Nama</w:t>
            </w:r>
          </w:p>
        </w:tc>
        <w:tc>
          <w:tcPr>
            <w:tcW w:w="3006" w:type="dxa"/>
            <w:shd w:val="clear" w:color="auto" w:fill="auto"/>
          </w:tcPr>
          <w:p w14:paraId="53C1B96D" w14:textId="77777777" w:rsidR="00923319" w:rsidRPr="00A67277" w:rsidRDefault="00923319" w:rsidP="00923319">
            <w:pPr>
              <w:pStyle w:val="Body1"/>
              <w:jc w:val="center"/>
              <w:rPr>
                <w:rFonts w:cs="Arial"/>
                <w:b/>
              </w:rPr>
            </w:pPr>
            <w:r w:rsidRPr="00A67277">
              <w:rPr>
                <w:rFonts w:cs="Arial"/>
                <w:b/>
              </w:rPr>
              <w:t>Share Participation</w:t>
            </w:r>
          </w:p>
          <w:p w14:paraId="49F36616" w14:textId="77777777" w:rsidR="00923319" w:rsidRPr="00A67277" w:rsidRDefault="00923319" w:rsidP="00923319">
            <w:pPr>
              <w:pStyle w:val="Body1"/>
              <w:jc w:val="center"/>
              <w:rPr>
                <w:rFonts w:cs="Arial"/>
                <w:b/>
              </w:rPr>
            </w:pPr>
            <w:r w:rsidRPr="00A67277">
              <w:rPr>
                <w:rFonts w:cs="Arial"/>
                <w:b/>
              </w:rPr>
              <w:t>Penyertaan Saham</w:t>
            </w:r>
          </w:p>
        </w:tc>
        <w:tc>
          <w:tcPr>
            <w:tcW w:w="3344" w:type="dxa"/>
            <w:shd w:val="clear" w:color="auto" w:fill="auto"/>
          </w:tcPr>
          <w:p w14:paraId="19A02B84" w14:textId="77777777" w:rsidR="00923319" w:rsidRPr="00A67277" w:rsidRDefault="00923319" w:rsidP="00923319">
            <w:pPr>
              <w:pStyle w:val="Body1"/>
              <w:jc w:val="center"/>
              <w:rPr>
                <w:rFonts w:cs="Arial"/>
                <w:b/>
              </w:rPr>
            </w:pPr>
            <w:r w:rsidRPr="00A67277">
              <w:rPr>
                <w:rFonts w:cs="Arial"/>
                <w:b/>
              </w:rPr>
              <w:t>Remarks</w:t>
            </w:r>
          </w:p>
          <w:p w14:paraId="30B23268" w14:textId="77777777" w:rsidR="00923319" w:rsidRPr="00A67277" w:rsidRDefault="00923319" w:rsidP="00923319">
            <w:pPr>
              <w:pStyle w:val="Body1"/>
              <w:jc w:val="center"/>
              <w:rPr>
                <w:rFonts w:cs="Arial"/>
                <w:b/>
              </w:rPr>
            </w:pPr>
            <w:r w:rsidRPr="00A67277">
              <w:rPr>
                <w:rFonts w:cs="Arial"/>
                <w:b/>
              </w:rPr>
              <w:t>Keterangan</w:t>
            </w:r>
          </w:p>
        </w:tc>
      </w:tr>
      <w:tr w:rsidR="00923319" w:rsidRPr="00A67277" w14:paraId="5FCA0E48" w14:textId="77777777" w:rsidTr="00923319">
        <w:tc>
          <w:tcPr>
            <w:tcW w:w="3005" w:type="dxa"/>
            <w:shd w:val="clear" w:color="auto" w:fill="auto"/>
          </w:tcPr>
          <w:p w14:paraId="4544E041"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7E5BF0A1" w14:textId="77777777" w:rsidR="00923319" w:rsidRPr="00A67277" w:rsidRDefault="00923319" w:rsidP="00923319">
            <w:pPr>
              <w:pStyle w:val="Body1"/>
              <w:rPr>
                <w:rFonts w:cs="Arial"/>
              </w:rPr>
            </w:pPr>
            <w:r w:rsidRPr="00A67277">
              <w:rPr>
                <w:rFonts w:cs="Arial"/>
              </w:rPr>
              <w:t>[***]%</w:t>
            </w:r>
          </w:p>
        </w:tc>
        <w:tc>
          <w:tcPr>
            <w:tcW w:w="3344" w:type="dxa"/>
            <w:shd w:val="clear" w:color="auto" w:fill="auto"/>
          </w:tcPr>
          <w:p w14:paraId="282B5A95" w14:textId="77777777" w:rsidR="00923319" w:rsidRPr="00A67277" w:rsidRDefault="00923319" w:rsidP="00923319">
            <w:pPr>
              <w:pStyle w:val="Body1"/>
              <w:rPr>
                <w:rFonts w:cs="Arial"/>
              </w:rPr>
            </w:pPr>
            <w:r w:rsidRPr="00A67277">
              <w:rPr>
                <w:rFonts w:cs="Arial"/>
              </w:rPr>
              <w:t>Key Shareholder</w:t>
            </w:r>
          </w:p>
          <w:p w14:paraId="223ED6FB" w14:textId="77777777" w:rsidR="00923319" w:rsidRPr="00A67277" w:rsidRDefault="00923319" w:rsidP="00923319">
            <w:pPr>
              <w:pStyle w:val="Body1"/>
              <w:rPr>
                <w:rFonts w:cs="Arial"/>
              </w:rPr>
            </w:pPr>
            <w:r w:rsidRPr="00A67277">
              <w:rPr>
                <w:rFonts w:cs="Arial"/>
              </w:rPr>
              <w:t>Pemegang Saham Utama</w:t>
            </w:r>
          </w:p>
        </w:tc>
      </w:tr>
      <w:tr w:rsidR="00923319" w:rsidRPr="00A67277" w14:paraId="00AC10D4" w14:textId="77777777" w:rsidTr="00923319">
        <w:tc>
          <w:tcPr>
            <w:tcW w:w="3005" w:type="dxa"/>
            <w:shd w:val="clear" w:color="auto" w:fill="auto"/>
          </w:tcPr>
          <w:p w14:paraId="6592DBB6"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4E03C31D" w14:textId="77777777" w:rsidR="00923319" w:rsidRPr="00A67277" w:rsidRDefault="00923319" w:rsidP="00923319">
            <w:pPr>
              <w:pStyle w:val="Body1"/>
              <w:rPr>
                <w:rFonts w:cs="Arial"/>
              </w:rPr>
            </w:pPr>
            <w:r w:rsidRPr="00A67277">
              <w:rPr>
                <w:rFonts w:cs="Arial"/>
              </w:rPr>
              <w:t>[***]%</w:t>
            </w:r>
          </w:p>
        </w:tc>
        <w:tc>
          <w:tcPr>
            <w:tcW w:w="3344" w:type="dxa"/>
            <w:shd w:val="clear" w:color="auto" w:fill="auto"/>
          </w:tcPr>
          <w:p w14:paraId="0160FBE4" w14:textId="77777777" w:rsidR="00923319" w:rsidRPr="00A67277" w:rsidRDefault="00923319" w:rsidP="00923319">
            <w:pPr>
              <w:pStyle w:val="Body1"/>
              <w:rPr>
                <w:rFonts w:cs="Arial"/>
              </w:rPr>
            </w:pPr>
            <w:r w:rsidRPr="00A67277">
              <w:rPr>
                <w:rFonts w:cs="Arial"/>
              </w:rPr>
              <w:t>-</w:t>
            </w:r>
          </w:p>
        </w:tc>
      </w:tr>
      <w:tr w:rsidR="00923319" w:rsidRPr="00A67277" w14:paraId="5A348D93" w14:textId="77777777" w:rsidTr="00923319">
        <w:tc>
          <w:tcPr>
            <w:tcW w:w="3005" w:type="dxa"/>
            <w:shd w:val="clear" w:color="auto" w:fill="auto"/>
          </w:tcPr>
          <w:p w14:paraId="640E54EE"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14DD117B" w14:textId="77777777" w:rsidR="00923319" w:rsidRPr="00A67277" w:rsidRDefault="00923319" w:rsidP="00923319">
            <w:pPr>
              <w:pStyle w:val="Body1"/>
              <w:tabs>
                <w:tab w:val="center" w:pos="1395"/>
              </w:tabs>
              <w:rPr>
                <w:rFonts w:cs="Arial"/>
              </w:rPr>
            </w:pPr>
            <w:r w:rsidRPr="00A67277">
              <w:rPr>
                <w:rFonts w:cs="Arial"/>
              </w:rPr>
              <w:t>[***]%</w:t>
            </w:r>
            <w:r w:rsidRPr="00A67277">
              <w:rPr>
                <w:rFonts w:cs="Arial"/>
              </w:rPr>
              <w:tab/>
            </w:r>
          </w:p>
        </w:tc>
        <w:tc>
          <w:tcPr>
            <w:tcW w:w="3344" w:type="dxa"/>
            <w:shd w:val="clear" w:color="auto" w:fill="auto"/>
          </w:tcPr>
          <w:p w14:paraId="7FF44CD5" w14:textId="77777777" w:rsidR="00923319" w:rsidRPr="00A67277" w:rsidRDefault="00923319" w:rsidP="00923319">
            <w:pPr>
              <w:pStyle w:val="Body1"/>
              <w:rPr>
                <w:rFonts w:cs="Arial"/>
              </w:rPr>
            </w:pPr>
            <w:r w:rsidRPr="00A67277">
              <w:rPr>
                <w:rFonts w:cs="Arial"/>
              </w:rPr>
              <w:t>-</w:t>
            </w:r>
          </w:p>
        </w:tc>
      </w:tr>
    </w:tbl>
    <w:p w14:paraId="2D282688" w14:textId="77777777" w:rsidR="00923319" w:rsidRPr="00A67277" w:rsidRDefault="00923319" w:rsidP="00923319">
      <w:pPr>
        <w:rPr>
          <w:rFonts w:ascii="Arial" w:hAnsi="Arial" w:cs="Arial"/>
          <w:sz w:val="21"/>
          <w:szCs w:val="21"/>
        </w:rPr>
      </w:pPr>
    </w:p>
    <w:p w14:paraId="785AF8FC" w14:textId="77777777" w:rsidR="00923319" w:rsidRPr="00A67277" w:rsidRDefault="00923319" w:rsidP="00923319">
      <w:pPr>
        <w:rPr>
          <w:rFonts w:ascii="Arial" w:hAnsi="Arial" w:cs="Arial"/>
          <w:sz w:val="21"/>
          <w:szCs w:val="21"/>
        </w:rPr>
      </w:pPr>
    </w:p>
    <w:p w14:paraId="550EC39F" w14:textId="77777777" w:rsidR="00923319" w:rsidRPr="00A67277" w:rsidRDefault="00923319" w:rsidP="00923319">
      <w:pPr>
        <w:rPr>
          <w:rFonts w:ascii="Arial" w:hAnsi="Arial" w:cs="Arial"/>
          <w:sz w:val="21"/>
          <w:szCs w:val="21"/>
        </w:rPr>
      </w:pPr>
    </w:p>
    <w:p w14:paraId="32739024" w14:textId="77777777" w:rsidR="00923319" w:rsidRPr="00A67277" w:rsidRDefault="00923319" w:rsidP="00923319">
      <w:pPr>
        <w:rPr>
          <w:rFonts w:ascii="Arial" w:hAnsi="Arial" w:cs="Arial"/>
          <w:sz w:val="21"/>
          <w:szCs w:val="21"/>
        </w:rPr>
      </w:pPr>
    </w:p>
    <w:p w14:paraId="166D85B4" w14:textId="77777777" w:rsidR="00923319" w:rsidRPr="00A67277" w:rsidRDefault="00923319" w:rsidP="00923319">
      <w:pPr>
        <w:rPr>
          <w:rFonts w:ascii="Arial" w:hAnsi="Arial" w:cs="Arial"/>
          <w:sz w:val="21"/>
          <w:szCs w:val="21"/>
        </w:rPr>
      </w:pPr>
    </w:p>
    <w:p w14:paraId="02AF0EF4" w14:textId="77777777" w:rsidR="00923319" w:rsidRPr="00A67277" w:rsidRDefault="00923319" w:rsidP="00923319">
      <w:pPr>
        <w:rPr>
          <w:rFonts w:ascii="Arial" w:hAnsi="Arial" w:cs="Arial"/>
          <w:sz w:val="21"/>
          <w:szCs w:val="21"/>
        </w:rPr>
      </w:pPr>
    </w:p>
    <w:p w14:paraId="10DD61D6" w14:textId="77777777" w:rsidR="00923319" w:rsidRPr="00A67277" w:rsidRDefault="00923319" w:rsidP="00923319">
      <w:pPr>
        <w:rPr>
          <w:rFonts w:ascii="Arial" w:hAnsi="Arial" w:cs="Arial"/>
          <w:sz w:val="21"/>
          <w:szCs w:val="21"/>
        </w:rPr>
      </w:pPr>
    </w:p>
    <w:p w14:paraId="17FF1541" w14:textId="77777777" w:rsidR="00923319" w:rsidRPr="00A67277" w:rsidRDefault="00923319" w:rsidP="00923319">
      <w:pPr>
        <w:rPr>
          <w:rFonts w:ascii="Arial" w:hAnsi="Arial" w:cs="Arial"/>
          <w:sz w:val="21"/>
          <w:szCs w:val="21"/>
        </w:rPr>
      </w:pPr>
    </w:p>
    <w:p w14:paraId="2FDF262C" w14:textId="77777777" w:rsidR="00923319" w:rsidRPr="00A67277" w:rsidRDefault="00923319" w:rsidP="00923319">
      <w:pPr>
        <w:rPr>
          <w:rFonts w:ascii="Arial" w:hAnsi="Arial" w:cs="Arial"/>
          <w:sz w:val="21"/>
          <w:szCs w:val="21"/>
        </w:rPr>
      </w:pPr>
    </w:p>
    <w:p w14:paraId="1EC82B5F" w14:textId="77777777" w:rsidR="00923319" w:rsidRPr="00A67277" w:rsidRDefault="00923319" w:rsidP="00923319">
      <w:pPr>
        <w:rPr>
          <w:rFonts w:ascii="Arial" w:hAnsi="Arial" w:cs="Arial"/>
          <w:sz w:val="21"/>
          <w:szCs w:val="21"/>
        </w:rPr>
      </w:pPr>
    </w:p>
    <w:p w14:paraId="003496A2" w14:textId="77777777" w:rsidR="00923319" w:rsidRPr="00A67277" w:rsidRDefault="00923319" w:rsidP="00923319">
      <w:pPr>
        <w:rPr>
          <w:rFonts w:ascii="Arial" w:hAnsi="Arial" w:cs="Arial"/>
          <w:sz w:val="21"/>
          <w:szCs w:val="21"/>
        </w:rPr>
      </w:pPr>
    </w:p>
    <w:p w14:paraId="7C838463" w14:textId="77777777" w:rsidR="00923319" w:rsidRPr="00A67277" w:rsidRDefault="00923319" w:rsidP="00923319">
      <w:pPr>
        <w:rPr>
          <w:rFonts w:ascii="Arial" w:hAnsi="Arial" w:cs="Arial"/>
          <w:sz w:val="21"/>
          <w:szCs w:val="21"/>
        </w:rPr>
      </w:pPr>
    </w:p>
    <w:p w14:paraId="5C7ACB5E" w14:textId="77777777" w:rsidR="00923319" w:rsidRPr="00A67277" w:rsidRDefault="00923319" w:rsidP="00923319">
      <w:pPr>
        <w:rPr>
          <w:rFonts w:ascii="Arial" w:hAnsi="Arial" w:cs="Arial"/>
          <w:sz w:val="21"/>
          <w:szCs w:val="21"/>
        </w:rPr>
      </w:pPr>
    </w:p>
    <w:p w14:paraId="6DD8B1AF" w14:textId="77777777" w:rsidR="00923319" w:rsidRPr="00A67277" w:rsidRDefault="00923319" w:rsidP="00923319">
      <w:pPr>
        <w:rPr>
          <w:rFonts w:ascii="Arial" w:hAnsi="Arial" w:cs="Arial"/>
          <w:sz w:val="21"/>
          <w:szCs w:val="21"/>
        </w:rPr>
      </w:pPr>
    </w:p>
    <w:p w14:paraId="2D256CEE" w14:textId="77777777" w:rsidR="00923319" w:rsidRPr="00A67277" w:rsidRDefault="00923319" w:rsidP="00923319">
      <w:pPr>
        <w:rPr>
          <w:rFonts w:ascii="Arial" w:hAnsi="Arial" w:cs="Arial"/>
          <w:sz w:val="21"/>
          <w:szCs w:val="21"/>
        </w:rPr>
      </w:pPr>
    </w:p>
    <w:p w14:paraId="0FD09EBC" w14:textId="77777777" w:rsidR="00923319" w:rsidRPr="00A67277" w:rsidRDefault="00923319" w:rsidP="00923319">
      <w:pPr>
        <w:rPr>
          <w:rFonts w:ascii="Arial" w:hAnsi="Arial" w:cs="Arial"/>
          <w:sz w:val="21"/>
          <w:szCs w:val="21"/>
        </w:rPr>
      </w:pPr>
    </w:p>
    <w:p w14:paraId="51665595" w14:textId="77777777" w:rsidR="00923319" w:rsidRPr="00A67277" w:rsidRDefault="00923319" w:rsidP="00923319">
      <w:pPr>
        <w:rPr>
          <w:rFonts w:ascii="Arial" w:hAnsi="Arial" w:cs="Arial"/>
          <w:sz w:val="21"/>
          <w:szCs w:val="21"/>
        </w:rPr>
      </w:pPr>
    </w:p>
    <w:p w14:paraId="5DEE1350" w14:textId="77777777"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33251A92" w14:textId="77777777" w:rsidTr="00923319">
        <w:tc>
          <w:tcPr>
            <w:tcW w:w="4596" w:type="dxa"/>
          </w:tcPr>
          <w:p w14:paraId="1167CA45" w14:textId="77777777" w:rsidR="00923319" w:rsidRPr="00A67277" w:rsidRDefault="00923319" w:rsidP="00923319">
            <w:pPr>
              <w:pStyle w:val="SchTitle"/>
              <w:numPr>
                <w:ilvl w:val="0"/>
                <w:numId w:val="564"/>
              </w:numPr>
              <w:rPr>
                <w:rFonts w:cs="Arial"/>
                <w:sz w:val="21"/>
              </w:rPr>
            </w:pPr>
            <w:r w:rsidRPr="00A67277">
              <w:rPr>
                <w:rFonts w:cs="Arial"/>
                <w:sz w:val="21"/>
              </w:rPr>
              <w:t>Appendix 4 – List of Nominated Independent Supervisor Consultant</w:t>
            </w:r>
          </w:p>
        </w:tc>
        <w:tc>
          <w:tcPr>
            <w:tcW w:w="236" w:type="dxa"/>
          </w:tcPr>
          <w:p w14:paraId="55C76340" w14:textId="77777777" w:rsidR="00923319" w:rsidRPr="00A67277" w:rsidRDefault="00923319" w:rsidP="00923319">
            <w:pPr>
              <w:spacing w:before="120" w:after="120"/>
              <w:rPr>
                <w:rFonts w:ascii="Arial" w:hAnsi="Arial" w:cs="Arial"/>
                <w:sz w:val="21"/>
                <w:szCs w:val="21"/>
              </w:rPr>
            </w:pPr>
          </w:p>
        </w:tc>
        <w:tc>
          <w:tcPr>
            <w:tcW w:w="4532" w:type="dxa"/>
          </w:tcPr>
          <w:p w14:paraId="5D377234" w14:textId="77777777" w:rsidR="00923319" w:rsidRPr="00A67277" w:rsidRDefault="00923319" w:rsidP="00923319">
            <w:pPr>
              <w:pStyle w:val="SchTitle"/>
              <w:rPr>
                <w:rFonts w:cs="Arial"/>
                <w:sz w:val="21"/>
              </w:rPr>
            </w:pPr>
            <w:r w:rsidRPr="00A67277">
              <w:rPr>
                <w:rFonts w:cs="Arial"/>
                <w:sz w:val="21"/>
              </w:rPr>
              <w:t>Lampiran 4 – Daftar Nominasi Konsultan Pengawas Independen</w:t>
            </w:r>
          </w:p>
        </w:tc>
      </w:tr>
      <w:tr w:rsidR="00923319" w:rsidRPr="00A67277" w14:paraId="1EA77EAB" w14:textId="77777777" w:rsidTr="00923319">
        <w:tc>
          <w:tcPr>
            <w:tcW w:w="4596" w:type="dxa"/>
          </w:tcPr>
          <w:p w14:paraId="3179192C" w14:textId="77777777" w:rsidR="00923319" w:rsidRPr="00A67277" w:rsidRDefault="00923319" w:rsidP="00923319">
            <w:pPr>
              <w:pStyle w:val="Body1"/>
              <w:spacing w:before="120" w:after="120"/>
              <w:rPr>
                <w:rFonts w:cs="Arial"/>
              </w:rPr>
            </w:pPr>
          </w:p>
        </w:tc>
        <w:tc>
          <w:tcPr>
            <w:tcW w:w="236" w:type="dxa"/>
          </w:tcPr>
          <w:p w14:paraId="0DC7876D" w14:textId="77777777" w:rsidR="00923319" w:rsidRPr="00A67277" w:rsidRDefault="00923319" w:rsidP="00923319">
            <w:pPr>
              <w:spacing w:before="120" w:after="120"/>
              <w:rPr>
                <w:rFonts w:ascii="Arial" w:hAnsi="Arial" w:cs="Arial"/>
                <w:sz w:val="21"/>
                <w:szCs w:val="21"/>
              </w:rPr>
            </w:pPr>
          </w:p>
        </w:tc>
        <w:tc>
          <w:tcPr>
            <w:tcW w:w="4532" w:type="dxa"/>
          </w:tcPr>
          <w:p w14:paraId="3AA31D4A" w14:textId="77777777" w:rsidR="00923319" w:rsidRPr="00A67277" w:rsidRDefault="00923319" w:rsidP="00923319">
            <w:pPr>
              <w:pStyle w:val="Body1"/>
              <w:spacing w:before="120" w:after="120"/>
              <w:rPr>
                <w:rFonts w:cs="Arial"/>
                <w:lang w:val="id-ID"/>
              </w:rPr>
            </w:pPr>
          </w:p>
        </w:tc>
      </w:tr>
      <w:tr w:rsidR="00923319" w:rsidRPr="00A67277" w14:paraId="2A1FA417" w14:textId="77777777" w:rsidTr="00923319">
        <w:tc>
          <w:tcPr>
            <w:tcW w:w="4596" w:type="dxa"/>
          </w:tcPr>
          <w:p w14:paraId="1AB33759" w14:textId="77777777" w:rsidR="00923319" w:rsidRPr="00A67277" w:rsidRDefault="00923319" w:rsidP="00923319">
            <w:pPr>
              <w:pStyle w:val="Body1"/>
              <w:spacing w:before="120" w:after="120"/>
              <w:rPr>
                <w:rFonts w:cs="Arial"/>
              </w:rPr>
            </w:pPr>
            <w:r w:rsidRPr="00A67277">
              <w:rPr>
                <w:rFonts w:cs="Arial"/>
              </w:rPr>
              <w:t xml:space="preserve">The list of nominated Independent Supervisor Consultant shall be as follows: </w:t>
            </w:r>
          </w:p>
        </w:tc>
        <w:tc>
          <w:tcPr>
            <w:tcW w:w="236" w:type="dxa"/>
          </w:tcPr>
          <w:p w14:paraId="685F00E9" w14:textId="77777777" w:rsidR="00923319" w:rsidRPr="00A67277" w:rsidRDefault="00923319" w:rsidP="00923319">
            <w:pPr>
              <w:spacing w:before="120" w:after="120"/>
              <w:rPr>
                <w:rFonts w:ascii="Arial" w:hAnsi="Arial" w:cs="Arial"/>
                <w:sz w:val="21"/>
                <w:szCs w:val="21"/>
              </w:rPr>
            </w:pPr>
          </w:p>
        </w:tc>
        <w:tc>
          <w:tcPr>
            <w:tcW w:w="4532" w:type="dxa"/>
          </w:tcPr>
          <w:p w14:paraId="1FB2D199" w14:textId="77777777" w:rsidR="00923319" w:rsidRPr="00A67277" w:rsidRDefault="00923319" w:rsidP="00923319">
            <w:pPr>
              <w:pStyle w:val="Body1"/>
              <w:spacing w:before="120" w:after="120"/>
              <w:rPr>
                <w:rFonts w:cs="Arial"/>
                <w:lang w:val="de-DE"/>
              </w:rPr>
            </w:pPr>
            <w:r w:rsidRPr="00A67277">
              <w:rPr>
                <w:rFonts w:cs="Arial"/>
                <w:lang w:val="id-ID"/>
              </w:rPr>
              <w:t xml:space="preserve">Daftar </w:t>
            </w:r>
            <w:r w:rsidRPr="00A67277">
              <w:rPr>
                <w:rFonts w:cs="Arial"/>
                <w:lang w:val="en-US"/>
              </w:rPr>
              <w:t xml:space="preserve">Konsultan </w:t>
            </w:r>
            <w:r w:rsidRPr="00A67277">
              <w:rPr>
                <w:rFonts w:cs="Arial"/>
                <w:lang w:val="id-ID"/>
              </w:rPr>
              <w:t>Pengawas Independen adalah sebagai Berikut</w:t>
            </w:r>
            <w:r w:rsidRPr="00A67277">
              <w:rPr>
                <w:rFonts w:cs="Arial"/>
                <w:lang w:val="de-DE"/>
              </w:rPr>
              <w:t xml:space="preserve">: </w:t>
            </w:r>
          </w:p>
        </w:tc>
      </w:tr>
    </w:tbl>
    <w:p w14:paraId="1AE6C11A" w14:textId="77777777" w:rsidR="00923319" w:rsidRPr="00A67277" w:rsidRDefault="00923319" w:rsidP="00923319">
      <w:pPr>
        <w:rPr>
          <w:rFonts w:ascii="Arial" w:hAnsi="Arial" w:cs="Arial"/>
          <w:sz w:val="21"/>
          <w:szCs w:val="21"/>
          <w:lang w:val="de-D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6"/>
        <w:gridCol w:w="3344"/>
      </w:tblGrid>
      <w:tr w:rsidR="00923319" w:rsidRPr="00A67277" w14:paraId="3AA6AC6C" w14:textId="77777777" w:rsidTr="00923319">
        <w:tc>
          <w:tcPr>
            <w:tcW w:w="3005" w:type="dxa"/>
            <w:shd w:val="clear" w:color="auto" w:fill="auto"/>
          </w:tcPr>
          <w:p w14:paraId="218AC582" w14:textId="77777777" w:rsidR="00923319" w:rsidRPr="00A67277" w:rsidRDefault="00923319" w:rsidP="00923319">
            <w:pPr>
              <w:pStyle w:val="Body1"/>
              <w:jc w:val="center"/>
              <w:rPr>
                <w:rFonts w:cs="Arial"/>
                <w:b/>
              </w:rPr>
            </w:pPr>
            <w:r w:rsidRPr="00A67277">
              <w:rPr>
                <w:rFonts w:cs="Arial"/>
                <w:b/>
              </w:rPr>
              <w:t>Nama</w:t>
            </w:r>
          </w:p>
          <w:p w14:paraId="63C7D581" w14:textId="77777777" w:rsidR="00923319" w:rsidRPr="00A67277" w:rsidRDefault="00923319" w:rsidP="00923319">
            <w:pPr>
              <w:pStyle w:val="Body1"/>
              <w:jc w:val="center"/>
              <w:rPr>
                <w:rFonts w:cs="Arial"/>
                <w:b/>
              </w:rPr>
            </w:pPr>
            <w:r w:rsidRPr="00A67277">
              <w:rPr>
                <w:rFonts w:cs="Arial"/>
                <w:b/>
              </w:rPr>
              <w:t>Nama</w:t>
            </w:r>
          </w:p>
        </w:tc>
        <w:tc>
          <w:tcPr>
            <w:tcW w:w="3006" w:type="dxa"/>
            <w:shd w:val="clear" w:color="auto" w:fill="auto"/>
          </w:tcPr>
          <w:p w14:paraId="0456A86F" w14:textId="77777777" w:rsidR="00923319" w:rsidRPr="00A67277" w:rsidRDefault="00923319" w:rsidP="00923319">
            <w:pPr>
              <w:pStyle w:val="Body1"/>
              <w:jc w:val="center"/>
              <w:rPr>
                <w:rFonts w:cs="Arial"/>
                <w:b/>
              </w:rPr>
            </w:pPr>
            <w:r w:rsidRPr="00A67277">
              <w:rPr>
                <w:rFonts w:cs="Arial"/>
                <w:b/>
              </w:rPr>
              <w:t>Address</w:t>
            </w:r>
          </w:p>
          <w:p w14:paraId="0B885363" w14:textId="77777777" w:rsidR="00923319" w:rsidRPr="00A67277" w:rsidRDefault="00923319" w:rsidP="00923319">
            <w:pPr>
              <w:pStyle w:val="Body1"/>
              <w:jc w:val="center"/>
              <w:rPr>
                <w:rFonts w:cs="Arial"/>
                <w:b/>
              </w:rPr>
            </w:pPr>
            <w:r w:rsidRPr="00A67277">
              <w:rPr>
                <w:rFonts w:cs="Arial"/>
                <w:b/>
              </w:rPr>
              <w:t>Alamat</w:t>
            </w:r>
          </w:p>
        </w:tc>
        <w:tc>
          <w:tcPr>
            <w:tcW w:w="3344" w:type="dxa"/>
            <w:shd w:val="clear" w:color="auto" w:fill="auto"/>
          </w:tcPr>
          <w:p w14:paraId="07F3C520" w14:textId="77777777" w:rsidR="00923319" w:rsidRPr="00A67277" w:rsidRDefault="00923319" w:rsidP="00923319">
            <w:pPr>
              <w:pStyle w:val="Body1"/>
              <w:jc w:val="center"/>
              <w:rPr>
                <w:rFonts w:cs="Arial"/>
                <w:b/>
              </w:rPr>
            </w:pPr>
            <w:r w:rsidRPr="00A67277">
              <w:rPr>
                <w:rFonts w:cs="Arial"/>
                <w:b/>
              </w:rPr>
              <w:t>Key Contact</w:t>
            </w:r>
          </w:p>
          <w:p w14:paraId="2DDE0D08" w14:textId="77777777" w:rsidR="00923319" w:rsidRPr="00A67277" w:rsidRDefault="00923319" w:rsidP="00923319">
            <w:pPr>
              <w:pStyle w:val="Body1"/>
              <w:jc w:val="center"/>
              <w:rPr>
                <w:rFonts w:cs="Arial"/>
                <w:b/>
              </w:rPr>
            </w:pPr>
            <w:r w:rsidRPr="00A67277">
              <w:rPr>
                <w:rFonts w:cs="Arial"/>
                <w:b/>
              </w:rPr>
              <w:t>Kontak Utama</w:t>
            </w:r>
          </w:p>
        </w:tc>
      </w:tr>
      <w:tr w:rsidR="00923319" w:rsidRPr="00A67277" w14:paraId="5B0F3DE9" w14:textId="77777777" w:rsidTr="00923319">
        <w:tc>
          <w:tcPr>
            <w:tcW w:w="3005" w:type="dxa"/>
            <w:shd w:val="clear" w:color="auto" w:fill="auto"/>
          </w:tcPr>
          <w:p w14:paraId="27316DC6"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2E4D03CC" w14:textId="77777777" w:rsidR="00923319" w:rsidRPr="00A67277" w:rsidRDefault="00923319" w:rsidP="00923319">
            <w:pPr>
              <w:pStyle w:val="Body1"/>
              <w:rPr>
                <w:rFonts w:cs="Arial"/>
              </w:rPr>
            </w:pPr>
            <w:r w:rsidRPr="00A67277">
              <w:rPr>
                <w:rFonts w:cs="Arial"/>
              </w:rPr>
              <w:t>[**</w:t>
            </w:r>
            <w:r w:rsidRPr="00A67277">
              <w:rPr>
                <w:rFonts w:cs="Arial"/>
                <w:b/>
                <w:i/>
              </w:rPr>
              <w:t>insert address</w:t>
            </w:r>
            <w:r w:rsidRPr="00A67277">
              <w:rPr>
                <w:rFonts w:cs="Arial"/>
              </w:rPr>
              <w:t>**]</w:t>
            </w:r>
          </w:p>
        </w:tc>
        <w:tc>
          <w:tcPr>
            <w:tcW w:w="3344" w:type="dxa"/>
            <w:shd w:val="clear" w:color="auto" w:fill="auto"/>
          </w:tcPr>
          <w:p w14:paraId="5B976BCB" w14:textId="77777777" w:rsidR="00923319" w:rsidRPr="00A67277" w:rsidRDefault="00923319" w:rsidP="00923319">
            <w:pPr>
              <w:pStyle w:val="Body1"/>
              <w:rPr>
                <w:rFonts w:cs="Arial"/>
              </w:rPr>
            </w:pPr>
            <w:r w:rsidRPr="00A67277">
              <w:rPr>
                <w:rFonts w:cs="Arial"/>
              </w:rPr>
              <w:t>[**</w:t>
            </w:r>
            <w:r w:rsidRPr="00A67277">
              <w:rPr>
                <w:rFonts w:cs="Arial"/>
                <w:b/>
                <w:i/>
              </w:rPr>
              <w:t>insert key contact</w:t>
            </w:r>
            <w:r w:rsidRPr="00A67277">
              <w:rPr>
                <w:rFonts w:cs="Arial"/>
              </w:rPr>
              <w:t>**]</w:t>
            </w:r>
          </w:p>
        </w:tc>
      </w:tr>
      <w:tr w:rsidR="00923319" w:rsidRPr="00A67277" w14:paraId="3D88C1C0" w14:textId="77777777" w:rsidTr="00923319">
        <w:tc>
          <w:tcPr>
            <w:tcW w:w="3005" w:type="dxa"/>
            <w:shd w:val="clear" w:color="auto" w:fill="auto"/>
          </w:tcPr>
          <w:p w14:paraId="72C6F473"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559CD3B1" w14:textId="77777777" w:rsidR="00923319" w:rsidRPr="00A67277" w:rsidRDefault="00923319" w:rsidP="00923319">
            <w:pPr>
              <w:pStyle w:val="Body1"/>
              <w:rPr>
                <w:rFonts w:cs="Arial"/>
              </w:rPr>
            </w:pPr>
            <w:r w:rsidRPr="00A67277">
              <w:rPr>
                <w:rFonts w:cs="Arial"/>
              </w:rPr>
              <w:t>[**</w:t>
            </w:r>
            <w:r w:rsidRPr="00A67277">
              <w:rPr>
                <w:rFonts w:cs="Arial"/>
                <w:b/>
                <w:i/>
              </w:rPr>
              <w:t>insert address</w:t>
            </w:r>
            <w:r w:rsidRPr="00A67277">
              <w:rPr>
                <w:rFonts w:cs="Arial"/>
              </w:rPr>
              <w:t>**]</w:t>
            </w:r>
          </w:p>
        </w:tc>
        <w:tc>
          <w:tcPr>
            <w:tcW w:w="3344" w:type="dxa"/>
            <w:shd w:val="clear" w:color="auto" w:fill="auto"/>
          </w:tcPr>
          <w:p w14:paraId="7C720723" w14:textId="77777777" w:rsidR="00923319" w:rsidRPr="00A67277" w:rsidRDefault="00923319" w:rsidP="00923319">
            <w:pPr>
              <w:pStyle w:val="Body1"/>
              <w:rPr>
                <w:rFonts w:cs="Arial"/>
              </w:rPr>
            </w:pPr>
            <w:r w:rsidRPr="00A67277">
              <w:rPr>
                <w:rFonts w:cs="Arial"/>
              </w:rPr>
              <w:t>[**</w:t>
            </w:r>
            <w:r w:rsidRPr="00A67277">
              <w:rPr>
                <w:rFonts w:cs="Arial"/>
                <w:b/>
                <w:i/>
              </w:rPr>
              <w:t>insert key contact</w:t>
            </w:r>
            <w:r w:rsidRPr="00A67277">
              <w:rPr>
                <w:rFonts w:cs="Arial"/>
              </w:rPr>
              <w:t>**]</w:t>
            </w:r>
          </w:p>
        </w:tc>
      </w:tr>
      <w:tr w:rsidR="00923319" w:rsidRPr="00A67277" w14:paraId="553BA1D0" w14:textId="77777777" w:rsidTr="00923319">
        <w:tc>
          <w:tcPr>
            <w:tcW w:w="3005" w:type="dxa"/>
            <w:shd w:val="clear" w:color="auto" w:fill="auto"/>
          </w:tcPr>
          <w:p w14:paraId="427DBC4A" w14:textId="77777777" w:rsidR="00923319" w:rsidRPr="00A67277" w:rsidRDefault="00923319" w:rsidP="00923319">
            <w:pPr>
              <w:pStyle w:val="Body1"/>
              <w:rPr>
                <w:rFonts w:cs="Arial"/>
              </w:rPr>
            </w:pPr>
            <w:r w:rsidRPr="00A67277">
              <w:rPr>
                <w:rFonts w:cs="Arial"/>
              </w:rPr>
              <w:t>[**</w:t>
            </w:r>
            <w:r w:rsidRPr="00A67277">
              <w:rPr>
                <w:rFonts w:cs="Arial"/>
                <w:b/>
                <w:i/>
              </w:rPr>
              <w:t>insert name</w:t>
            </w:r>
            <w:r w:rsidRPr="00A67277">
              <w:rPr>
                <w:rFonts w:cs="Arial"/>
              </w:rPr>
              <w:t>**]</w:t>
            </w:r>
          </w:p>
        </w:tc>
        <w:tc>
          <w:tcPr>
            <w:tcW w:w="3006" w:type="dxa"/>
            <w:shd w:val="clear" w:color="auto" w:fill="auto"/>
          </w:tcPr>
          <w:p w14:paraId="6CAD3F0B" w14:textId="77777777" w:rsidR="00923319" w:rsidRPr="00A67277" w:rsidRDefault="00923319" w:rsidP="00923319">
            <w:pPr>
              <w:pStyle w:val="Body1"/>
              <w:rPr>
                <w:rFonts w:cs="Arial"/>
              </w:rPr>
            </w:pPr>
            <w:r w:rsidRPr="00A67277">
              <w:rPr>
                <w:rFonts w:cs="Arial"/>
              </w:rPr>
              <w:t>[**</w:t>
            </w:r>
            <w:r w:rsidRPr="00A67277">
              <w:rPr>
                <w:rFonts w:cs="Arial"/>
                <w:b/>
                <w:i/>
              </w:rPr>
              <w:t>insert address</w:t>
            </w:r>
            <w:r w:rsidRPr="00A67277">
              <w:rPr>
                <w:rFonts w:cs="Arial"/>
              </w:rPr>
              <w:t>**]</w:t>
            </w:r>
          </w:p>
        </w:tc>
        <w:tc>
          <w:tcPr>
            <w:tcW w:w="3344" w:type="dxa"/>
            <w:shd w:val="clear" w:color="auto" w:fill="auto"/>
          </w:tcPr>
          <w:p w14:paraId="4D5872DF" w14:textId="77777777" w:rsidR="00923319" w:rsidRPr="00A67277" w:rsidRDefault="00923319" w:rsidP="00923319">
            <w:pPr>
              <w:pStyle w:val="Body1"/>
              <w:rPr>
                <w:rFonts w:cs="Arial"/>
              </w:rPr>
            </w:pPr>
            <w:r w:rsidRPr="00A67277">
              <w:rPr>
                <w:rFonts w:cs="Arial"/>
              </w:rPr>
              <w:t>[**</w:t>
            </w:r>
            <w:r w:rsidRPr="00A67277">
              <w:rPr>
                <w:rFonts w:cs="Arial"/>
                <w:b/>
                <w:i/>
              </w:rPr>
              <w:t>insert key contact</w:t>
            </w:r>
            <w:r w:rsidRPr="00A67277">
              <w:rPr>
                <w:rFonts w:cs="Arial"/>
              </w:rPr>
              <w:t>**]</w:t>
            </w:r>
          </w:p>
        </w:tc>
      </w:tr>
    </w:tbl>
    <w:p w14:paraId="6BBB895E" w14:textId="77777777"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04F5DD00" w14:textId="77777777" w:rsidTr="00923319">
        <w:tc>
          <w:tcPr>
            <w:tcW w:w="4596" w:type="dxa"/>
          </w:tcPr>
          <w:p w14:paraId="1491CF11" w14:textId="77777777" w:rsidR="00923319" w:rsidRPr="00A67277" w:rsidRDefault="00923319" w:rsidP="00923319">
            <w:pPr>
              <w:pStyle w:val="Body1"/>
              <w:spacing w:before="120" w:after="120"/>
              <w:rPr>
                <w:rFonts w:cs="Arial"/>
              </w:rPr>
            </w:pPr>
            <w:r w:rsidRPr="00A67277">
              <w:rPr>
                <w:rFonts w:cs="Arial"/>
              </w:rPr>
              <w:t xml:space="preserve">If the Parties wish to elect another company to act as Independent Supervisor Consultant (other than those as listed above), then the Parties agree that the criteria of the Independent Supervisor Consultant should be as follows: </w:t>
            </w:r>
          </w:p>
        </w:tc>
        <w:tc>
          <w:tcPr>
            <w:tcW w:w="236" w:type="dxa"/>
          </w:tcPr>
          <w:p w14:paraId="38C172A7" w14:textId="77777777" w:rsidR="00923319" w:rsidRPr="00A67277" w:rsidRDefault="00923319" w:rsidP="00923319">
            <w:pPr>
              <w:spacing w:before="120" w:after="120"/>
              <w:rPr>
                <w:rFonts w:ascii="Arial" w:hAnsi="Arial" w:cs="Arial"/>
                <w:sz w:val="21"/>
                <w:szCs w:val="21"/>
              </w:rPr>
            </w:pPr>
          </w:p>
        </w:tc>
        <w:tc>
          <w:tcPr>
            <w:tcW w:w="4532" w:type="dxa"/>
          </w:tcPr>
          <w:p w14:paraId="70584256" w14:textId="77777777" w:rsidR="00923319" w:rsidRPr="00A67277" w:rsidRDefault="00923319" w:rsidP="00923319">
            <w:pPr>
              <w:pStyle w:val="Body1"/>
              <w:spacing w:before="120" w:after="120"/>
              <w:rPr>
                <w:rFonts w:cs="Arial"/>
                <w:lang w:val="id-ID"/>
              </w:rPr>
            </w:pPr>
            <w:r w:rsidRPr="00A67277">
              <w:rPr>
                <w:rFonts w:cs="Arial"/>
                <w:lang w:val="id-ID"/>
              </w:rPr>
              <w:t xml:space="preserve">Apabila Para Pihak memilih perusahaan lain sebagai </w:t>
            </w:r>
            <w:r w:rsidRPr="00A67277">
              <w:rPr>
                <w:rFonts w:cs="Arial"/>
                <w:lang w:val="en-ID"/>
              </w:rPr>
              <w:t xml:space="preserve">Konsultan </w:t>
            </w:r>
            <w:r w:rsidRPr="00A67277">
              <w:rPr>
                <w:rFonts w:cs="Arial"/>
                <w:lang w:val="id-ID"/>
              </w:rPr>
              <w:t>Pengawas Independen (selain dari daftar di</w:t>
            </w:r>
            <w:r w:rsidRPr="00A67277">
              <w:rPr>
                <w:rFonts w:cs="Arial"/>
                <w:lang w:val="en-ID"/>
              </w:rPr>
              <w:t xml:space="preserve"> </w:t>
            </w:r>
            <w:r w:rsidRPr="00A67277">
              <w:rPr>
                <w:rFonts w:cs="Arial"/>
                <w:lang w:val="id-ID"/>
              </w:rPr>
              <w:t xml:space="preserve">atas), maka </w:t>
            </w:r>
            <w:r w:rsidRPr="00A67277">
              <w:rPr>
                <w:rFonts w:cs="Arial"/>
                <w:lang w:val="en-ID"/>
              </w:rPr>
              <w:t>Para Pihak</w:t>
            </w:r>
            <w:r w:rsidRPr="00A67277">
              <w:rPr>
                <w:rFonts w:cs="Arial"/>
                <w:lang w:val="id-ID"/>
              </w:rPr>
              <w:t xml:space="preserve"> </w:t>
            </w:r>
            <w:r w:rsidRPr="00A67277">
              <w:rPr>
                <w:rFonts w:cs="Arial"/>
                <w:lang w:val="en-ID"/>
              </w:rPr>
              <w:t xml:space="preserve">sepakat bahwa </w:t>
            </w:r>
            <w:r w:rsidRPr="00A67277">
              <w:rPr>
                <w:rFonts w:cs="Arial"/>
                <w:lang w:val="id-ID"/>
              </w:rPr>
              <w:t xml:space="preserve">kriteria dari </w:t>
            </w:r>
            <w:r w:rsidRPr="00A67277">
              <w:rPr>
                <w:rFonts w:cs="Arial"/>
                <w:lang w:val="en-ID"/>
              </w:rPr>
              <w:t xml:space="preserve">Konsultan </w:t>
            </w:r>
            <w:r w:rsidRPr="00A67277">
              <w:rPr>
                <w:rFonts w:cs="Arial"/>
                <w:lang w:val="id-ID"/>
              </w:rPr>
              <w:t>Pengawas Independen adalah sebagai berikut:</w:t>
            </w:r>
          </w:p>
        </w:tc>
      </w:tr>
      <w:tr w:rsidR="00923319" w:rsidRPr="00A67277" w14:paraId="0BEE3AC3" w14:textId="77777777" w:rsidTr="00923319">
        <w:tc>
          <w:tcPr>
            <w:tcW w:w="4596" w:type="dxa"/>
          </w:tcPr>
          <w:p w14:paraId="672BF0EF" w14:textId="7D4C5DEF" w:rsidR="00923319" w:rsidRPr="00A67277" w:rsidRDefault="00923319" w:rsidP="00923319">
            <w:pPr>
              <w:pStyle w:val="SchNumber3"/>
              <w:numPr>
                <w:ilvl w:val="4"/>
                <w:numId w:val="564"/>
              </w:numPr>
              <w:spacing w:before="120" w:after="120"/>
              <w:rPr>
                <w:rFonts w:cs="Arial"/>
              </w:rPr>
            </w:pPr>
            <w:bookmarkStart w:id="350" w:name="_Toc501178700"/>
            <w:r w:rsidRPr="00A67277">
              <w:rPr>
                <w:rFonts w:cs="Arial"/>
              </w:rPr>
              <w:t>holding a business license to implement supervisor services in Indonesia;</w:t>
            </w:r>
            <w:bookmarkEnd w:id="350"/>
            <w:r w:rsidRPr="00A67277">
              <w:rPr>
                <w:rFonts w:cs="Arial"/>
              </w:rPr>
              <w:t xml:space="preserve"> </w:t>
            </w:r>
            <w:r w:rsidR="00BE07C5" w:rsidRPr="00A67277">
              <w:rPr>
                <w:rFonts w:cs="Arial"/>
              </w:rPr>
              <w:t xml:space="preserve">in the case of the company is a foreign company, it shall establish a joint operation with </w:t>
            </w:r>
            <w:r w:rsidR="00830B91" w:rsidRPr="00A67277">
              <w:rPr>
                <w:rFonts w:cs="Arial"/>
              </w:rPr>
              <w:t xml:space="preserve">a </w:t>
            </w:r>
            <w:r w:rsidR="00BE07C5" w:rsidRPr="00A67277">
              <w:rPr>
                <w:rFonts w:cs="Arial"/>
              </w:rPr>
              <w:t>local company holding a business license to implement supervisor services in Indonesia</w:t>
            </w:r>
            <w:r w:rsidR="00830B91" w:rsidRPr="00A67277">
              <w:rPr>
                <w:rFonts w:cs="Arial"/>
              </w:rPr>
              <w:t>.</w:t>
            </w:r>
          </w:p>
        </w:tc>
        <w:tc>
          <w:tcPr>
            <w:tcW w:w="236" w:type="dxa"/>
          </w:tcPr>
          <w:p w14:paraId="1BC6F9E9" w14:textId="77777777" w:rsidR="00923319" w:rsidRPr="00A67277" w:rsidRDefault="00923319" w:rsidP="00923319">
            <w:pPr>
              <w:spacing w:before="120" w:after="120"/>
              <w:rPr>
                <w:rFonts w:ascii="Arial" w:hAnsi="Arial" w:cs="Arial"/>
                <w:sz w:val="21"/>
                <w:szCs w:val="21"/>
              </w:rPr>
            </w:pPr>
          </w:p>
        </w:tc>
        <w:tc>
          <w:tcPr>
            <w:tcW w:w="4532" w:type="dxa"/>
          </w:tcPr>
          <w:p w14:paraId="3B6E2780" w14:textId="7DA54202" w:rsidR="00923319" w:rsidRPr="00A67277" w:rsidRDefault="00923319" w:rsidP="00923319">
            <w:pPr>
              <w:pStyle w:val="SchNumber3"/>
              <w:numPr>
                <w:ilvl w:val="0"/>
                <w:numId w:val="576"/>
              </w:numPr>
              <w:spacing w:before="120" w:after="120"/>
              <w:ind w:left="1093" w:hanging="595"/>
              <w:rPr>
                <w:rFonts w:cs="Arial"/>
              </w:rPr>
            </w:pPr>
            <w:r w:rsidRPr="00A67277">
              <w:rPr>
                <w:rFonts w:cs="Arial"/>
                <w:lang w:val="id-ID"/>
              </w:rPr>
              <w:t xml:space="preserve">memiliki izin </w:t>
            </w:r>
            <w:r w:rsidRPr="00A67277">
              <w:rPr>
                <w:rFonts w:cs="Arial"/>
              </w:rPr>
              <w:t>usaha</w:t>
            </w:r>
            <w:r w:rsidRPr="00A67277">
              <w:rPr>
                <w:rFonts w:cs="Arial"/>
                <w:lang w:val="id-ID"/>
              </w:rPr>
              <w:t xml:space="preserve"> untuk </w:t>
            </w:r>
            <w:r w:rsidRPr="00A67277">
              <w:rPr>
                <w:rFonts w:cs="Arial"/>
                <w:lang w:val="en-ID"/>
              </w:rPr>
              <w:t>melaks</w:t>
            </w:r>
            <w:r w:rsidR="00BE07C5" w:rsidRPr="00A67277">
              <w:rPr>
                <w:rFonts w:cs="Arial"/>
                <w:lang w:val="en-ID"/>
              </w:rPr>
              <w:t>a</w:t>
            </w:r>
            <w:r w:rsidRPr="00A67277">
              <w:rPr>
                <w:rFonts w:cs="Arial"/>
                <w:lang w:val="en-ID"/>
              </w:rPr>
              <w:t>naka</w:t>
            </w:r>
            <w:r w:rsidRPr="00A67277">
              <w:rPr>
                <w:rFonts w:cs="Arial"/>
                <w:lang w:val="id-ID"/>
              </w:rPr>
              <w:t>n layanan jasa pengawasan di Indonesia</w:t>
            </w:r>
            <w:r w:rsidRPr="00A67277">
              <w:rPr>
                <w:rFonts w:cs="Arial"/>
              </w:rPr>
              <w:t>;</w:t>
            </w:r>
            <w:r w:rsidR="00830B91" w:rsidRPr="00A67277">
              <w:rPr>
                <w:rFonts w:cs="Arial"/>
              </w:rPr>
              <w:t xml:space="preserve"> dalam hal perusahaan merupakan badan usaha asing, harus membentuk kerjasama operasi dengan badan usaha Indonesia yang memiliki izin usaha untuk melaksanakan pengawasan di Indonesia.</w:t>
            </w:r>
          </w:p>
        </w:tc>
      </w:tr>
      <w:tr w:rsidR="00923319" w:rsidRPr="00A67277" w14:paraId="03078343" w14:textId="77777777" w:rsidTr="00923319">
        <w:tc>
          <w:tcPr>
            <w:tcW w:w="4596" w:type="dxa"/>
          </w:tcPr>
          <w:p w14:paraId="4D50F579" w14:textId="35A40DE6" w:rsidR="00923319" w:rsidRPr="00A67277" w:rsidRDefault="00923319" w:rsidP="00656F2F">
            <w:pPr>
              <w:pStyle w:val="SchNumber3"/>
              <w:numPr>
                <w:ilvl w:val="4"/>
                <w:numId w:val="564"/>
              </w:numPr>
              <w:spacing w:before="120" w:after="120"/>
              <w:rPr>
                <w:rFonts w:cs="Arial"/>
              </w:rPr>
            </w:pPr>
            <w:bookmarkStart w:id="351" w:name="_Toc501178701"/>
            <w:r w:rsidRPr="00A67277">
              <w:rPr>
                <w:rFonts w:cs="Arial"/>
              </w:rPr>
              <w:t xml:space="preserve">having experience in providing supervisor services in </w:t>
            </w:r>
            <w:r w:rsidR="00656F2F">
              <w:rPr>
                <w:rFonts w:cs="Arial"/>
              </w:rPr>
              <w:t xml:space="preserve">Information technology </w:t>
            </w:r>
            <w:r w:rsidRPr="00A67277">
              <w:rPr>
                <w:rFonts w:cs="Arial"/>
              </w:rPr>
              <w:t>sector;</w:t>
            </w:r>
            <w:bookmarkEnd w:id="351"/>
          </w:p>
        </w:tc>
        <w:tc>
          <w:tcPr>
            <w:tcW w:w="236" w:type="dxa"/>
          </w:tcPr>
          <w:p w14:paraId="35E60A5C" w14:textId="77777777" w:rsidR="00923319" w:rsidRPr="00A67277" w:rsidRDefault="00923319" w:rsidP="00923319">
            <w:pPr>
              <w:spacing w:before="120" w:after="120"/>
              <w:rPr>
                <w:rFonts w:ascii="Arial" w:hAnsi="Arial" w:cs="Arial"/>
                <w:sz w:val="21"/>
                <w:szCs w:val="21"/>
              </w:rPr>
            </w:pPr>
          </w:p>
        </w:tc>
        <w:tc>
          <w:tcPr>
            <w:tcW w:w="4532" w:type="dxa"/>
          </w:tcPr>
          <w:p w14:paraId="5528385F" w14:textId="1A3FD8AF" w:rsidR="00923319" w:rsidRPr="00A67277" w:rsidRDefault="00923319" w:rsidP="00493072">
            <w:pPr>
              <w:pStyle w:val="SchNumber3"/>
              <w:numPr>
                <w:ilvl w:val="0"/>
                <w:numId w:val="576"/>
              </w:numPr>
              <w:spacing w:before="120" w:after="120"/>
              <w:ind w:left="1093" w:hanging="595"/>
              <w:rPr>
                <w:rFonts w:cs="Arial"/>
                <w:lang w:val="id-ID"/>
              </w:rPr>
            </w:pPr>
            <w:r w:rsidRPr="00A67277">
              <w:rPr>
                <w:rFonts w:cs="Arial"/>
                <w:lang w:val="id-ID"/>
              </w:rPr>
              <w:t xml:space="preserve">memiliki pengalaman dalam penyediaan layanan jasa pengawasan dalam </w:t>
            </w:r>
            <w:r w:rsidRPr="00A67277">
              <w:rPr>
                <w:rFonts w:cs="Arial"/>
                <w:lang w:val="en-US"/>
              </w:rPr>
              <w:t xml:space="preserve">bidang </w:t>
            </w:r>
            <w:r w:rsidR="00656F2F">
              <w:rPr>
                <w:rFonts w:cs="Arial"/>
                <w:lang w:val="en-US"/>
              </w:rPr>
              <w:t>teknologi</w:t>
            </w:r>
            <w:r w:rsidR="007F1D1A">
              <w:rPr>
                <w:rFonts w:cs="Arial"/>
                <w:lang w:val="en-US"/>
              </w:rPr>
              <w:t xml:space="preserve"> informasi</w:t>
            </w:r>
            <w:r w:rsidRPr="00A67277">
              <w:rPr>
                <w:rFonts w:cs="Arial"/>
                <w:lang w:val="id-ID"/>
              </w:rPr>
              <w:t>;</w:t>
            </w:r>
          </w:p>
        </w:tc>
      </w:tr>
      <w:tr w:rsidR="00923319" w:rsidRPr="00A67277" w14:paraId="3BC8CC92" w14:textId="77777777" w:rsidTr="00923319">
        <w:tc>
          <w:tcPr>
            <w:tcW w:w="4596" w:type="dxa"/>
          </w:tcPr>
          <w:p w14:paraId="52434049" w14:textId="77777777" w:rsidR="00923319" w:rsidRPr="00A67277" w:rsidRDefault="00923319" w:rsidP="00923319">
            <w:pPr>
              <w:pStyle w:val="SchNumber3"/>
              <w:numPr>
                <w:ilvl w:val="4"/>
                <w:numId w:val="564"/>
              </w:numPr>
              <w:spacing w:before="120" w:after="120"/>
              <w:rPr>
                <w:rFonts w:cs="Arial"/>
              </w:rPr>
            </w:pPr>
            <w:bookmarkStart w:id="352" w:name="_Toc501178702"/>
            <w:r w:rsidRPr="00A67277">
              <w:rPr>
                <w:rFonts w:cs="Arial"/>
              </w:rPr>
              <w:t>holding business entity certificate (</w:t>
            </w:r>
            <w:r w:rsidRPr="00A67277">
              <w:rPr>
                <w:rFonts w:cs="Arial"/>
                <w:i/>
              </w:rPr>
              <w:t>sertifikat badan usaha</w:t>
            </w:r>
            <w:r w:rsidRPr="00A67277">
              <w:rPr>
                <w:rFonts w:cs="Arial"/>
              </w:rPr>
              <w:t>) for the scope of services to be provided; and</w:t>
            </w:r>
            <w:bookmarkEnd w:id="352"/>
          </w:p>
        </w:tc>
        <w:tc>
          <w:tcPr>
            <w:tcW w:w="236" w:type="dxa"/>
          </w:tcPr>
          <w:p w14:paraId="79060B08" w14:textId="77777777" w:rsidR="00923319" w:rsidRPr="00A67277" w:rsidRDefault="00923319" w:rsidP="00923319">
            <w:pPr>
              <w:spacing w:before="120" w:after="120"/>
              <w:rPr>
                <w:rFonts w:ascii="Arial" w:hAnsi="Arial" w:cs="Arial"/>
                <w:sz w:val="21"/>
                <w:szCs w:val="21"/>
              </w:rPr>
            </w:pPr>
          </w:p>
        </w:tc>
        <w:tc>
          <w:tcPr>
            <w:tcW w:w="4532" w:type="dxa"/>
          </w:tcPr>
          <w:p w14:paraId="77E232EE" w14:textId="77777777" w:rsidR="00923319" w:rsidRPr="00A67277" w:rsidRDefault="00923319" w:rsidP="00923319">
            <w:pPr>
              <w:pStyle w:val="SchNumber3"/>
              <w:numPr>
                <w:ilvl w:val="0"/>
                <w:numId w:val="576"/>
              </w:numPr>
              <w:spacing w:before="120" w:after="120"/>
              <w:ind w:left="1093" w:hanging="595"/>
              <w:rPr>
                <w:rFonts w:cs="Arial"/>
                <w:lang w:val="id-ID"/>
              </w:rPr>
            </w:pPr>
            <w:r w:rsidRPr="00A67277">
              <w:rPr>
                <w:rFonts w:cs="Arial"/>
                <w:lang w:val="id-ID"/>
              </w:rPr>
              <w:t>memiliki sertifikat badan usaha  (business entity certificate) untuk ruang lingkup layanan-layanan jasa harus disediakan; dan</w:t>
            </w:r>
          </w:p>
        </w:tc>
      </w:tr>
      <w:tr w:rsidR="00923319" w:rsidRPr="00A67277" w14:paraId="4E8BC7D7" w14:textId="77777777" w:rsidTr="00923319">
        <w:tc>
          <w:tcPr>
            <w:tcW w:w="4596" w:type="dxa"/>
          </w:tcPr>
          <w:p w14:paraId="215CDD79" w14:textId="77777777" w:rsidR="00923319" w:rsidRPr="00A67277" w:rsidRDefault="00923319" w:rsidP="00923319">
            <w:pPr>
              <w:pStyle w:val="SchNumber3"/>
              <w:numPr>
                <w:ilvl w:val="4"/>
                <w:numId w:val="564"/>
              </w:numPr>
              <w:spacing w:before="120" w:after="120"/>
              <w:rPr>
                <w:rFonts w:cs="Arial"/>
              </w:rPr>
            </w:pPr>
            <w:bookmarkStart w:id="353" w:name="_Toc501178703"/>
            <w:r w:rsidRPr="00A67277">
              <w:rPr>
                <w:rFonts w:cs="Arial"/>
              </w:rPr>
              <w:t>holding expert certificate (</w:t>
            </w:r>
            <w:r w:rsidRPr="00A67277">
              <w:rPr>
                <w:rFonts w:cs="Arial"/>
                <w:i/>
              </w:rPr>
              <w:t>sertifikat keahlian</w:t>
            </w:r>
            <w:r w:rsidRPr="00A67277">
              <w:rPr>
                <w:rFonts w:cs="Arial"/>
              </w:rPr>
              <w:t>) for each key expert in the relevant field.</w:t>
            </w:r>
            <w:bookmarkEnd w:id="353"/>
          </w:p>
        </w:tc>
        <w:tc>
          <w:tcPr>
            <w:tcW w:w="236" w:type="dxa"/>
          </w:tcPr>
          <w:p w14:paraId="02A93C09" w14:textId="77777777" w:rsidR="00923319" w:rsidRPr="00A67277" w:rsidRDefault="00923319" w:rsidP="00923319">
            <w:pPr>
              <w:spacing w:before="120" w:after="120"/>
              <w:rPr>
                <w:rFonts w:ascii="Arial" w:hAnsi="Arial" w:cs="Arial"/>
                <w:sz w:val="21"/>
                <w:szCs w:val="21"/>
              </w:rPr>
            </w:pPr>
          </w:p>
        </w:tc>
        <w:tc>
          <w:tcPr>
            <w:tcW w:w="4532" w:type="dxa"/>
          </w:tcPr>
          <w:p w14:paraId="3170C6EA" w14:textId="77777777" w:rsidR="00923319" w:rsidRPr="00A67277" w:rsidRDefault="00923319" w:rsidP="00923319">
            <w:pPr>
              <w:pStyle w:val="SchNumber3"/>
              <w:numPr>
                <w:ilvl w:val="0"/>
                <w:numId w:val="576"/>
              </w:numPr>
              <w:spacing w:before="120" w:after="120"/>
              <w:ind w:left="1093" w:hanging="595"/>
              <w:rPr>
                <w:rFonts w:cs="Arial"/>
                <w:lang w:val="id-ID"/>
              </w:rPr>
            </w:pPr>
            <w:r w:rsidRPr="00A67277">
              <w:rPr>
                <w:rFonts w:cs="Arial"/>
                <w:lang w:val="id-ID"/>
              </w:rPr>
              <w:t>memiliki sertifikat keahlian (expert certificate) untuk setiap pengalaman utama pada bidang yang relevan.</w:t>
            </w:r>
          </w:p>
        </w:tc>
      </w:tr>
    </w:tbl>
    <w:p w14:paraId="783F1F33" w14:textId="35BC2D1F"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A67277" w:rsidRPr="00A67277" w14:paraId="631B8D2F" w14:textId="77777777" w:rsidTr="00923319">
        <w:tc>
          <w:tcPr>
            <w:tcW w:w="4596" w:type="dxa"/>
          </w:tcPr>
          <w:p w14:paraId="7A4FD76B" w14:textId="330C2777" w:rsidR="00923319" w:rsidRPr="00A67277" w:rsidRDefault="00923319" w:rsidP="00923319">
            <w:pPr>
              <w:pStyle w:val="SchTitle"/>
              <w:numPr>
                <w:ilvl w:val="0"/>
                <w:numId w:val="564"/>
              </w:numPr>
              <w:rPr>
                <w:rFonts w:cs="Arial"/>
                <w:sz w:val="21"/>
              </w:rPr>
            </w:pPr>
            <w:r w:rsidRPr="00A67277">
              <w:rPr>
                <w:rFonts w:cs="Arial"/>
                <w:sz w:val="21"/>
              </w:rPr>
              <w:t xml:space="preserve">Appendix </w:t>
            </w:r>
            <w:r w:rsidR="00E030C4" w:rsidRPr="00A67277">
              <w:rPr>
                <w:rFonts w:cs="Arial"/>
                <w:sz w:val="21"/>
              </w:rPr>
              <w:t>5</w:t>
            </w:r>
            <w:r w:rsidRPr="00A67277">
              <w:rPr>
                <w:rFonts w:cs="Arial"/>
                <w:sz w:val="21"/>
              </w:rPr>
              <w:t xml:space="preserve"> – Design and Technical Specifications</w:t>
            </w:r>
          </w:p>
        </w:tc>
        <w:tc>
          <w:tcPr>
            <w:tcW w:w="236" w:type="dxa"/>
          </w:tcPr>
          <w:p w14:paraId="6408268B" w14:textId="77777777" w:rsidR="00923319" w:rsidRPr="00A67277" w:rsidRDefault="00923319" w:rsidP="00923319">
            <w:pPr>
              <w:spacing w:before="120" w:after="120"/>
              <w:rPr>
                <w:rFonts w:ascii="Arial" w:hAnsi="Arial" w:cs="Arial"/>
                <w:sz w:val="21"/>
                <w:szCs w:val="21"/>
              </w:rPr>
            </w:pPr>
          </w:p>
        </w:tc>
        <w:tc>
          <w:tcPr>
            <w:tcW w:w="4532" w:type="dxa"/>
          </w:tcPr>
          <w:p w14:paraId="27BB9A4F" w14:textId="7452D75F" w:rsidR="00923319" w:rsidRPr="00A67277" w:rsidRDefault="00923319" w:rsidP="00923319">
            <w:pPr>
              <w:spacing w:before="120" w:after="120"/>
              <w:jc w:val="center"/>
              <w:rPr>
                <w:rFonts w:ascii="Arial" w:hAnsi="Arial" w:cs="Arial"/>
                <w:sz w:val="21"/>
                <w:szCs w:val="21"/>
              </w:rPr>
            </w:pPr>
            <w:r w:rsidRPr="00A67277">
              <w:rPr>
                <w:rFonts w:ascii="Arial" w:eastAsia="Arial Unicode MS" w:hAnsi="Arial" w:cs="Arial"/>
                <w:b/>
                <w:smallCaps/>
                <w:sz w:val="21"/>
                <w:szCs w:val="21"/>
                <w:lang w:val="en-GB" w:eastAsia="en-GB"/>
              </w:rPr>
              <w:t xml:space="preserve">Lampiran </w:t>
            </w:r>
            <w:r w:rsidR="00E030C4" w:rsidRPr="00A67277">
              <w:rPr>
                <w:rFonts w:ascii="Arial" w:eastAsia="Arial Unicode MS" w:hAnsi="Arial" w:cs="Arial"/>
                <w:b/>
                <w:smallCaps/>
                <w:sz w:val="21"/>
                <w:szCs w:val="21"/>
                <w:lang w:val="en-GB" w:eastAsia="en-GB"/>
              </w:rPr>
              <w:t>5</w:t>
            </w:r>
            <w:r w:rsidRPr="00A67277">
              <w:rPr>
                <w:rFonts w:ascii="Arial" w:eastAsia="Arial Unicode MS" w:hAnsi="Arial" w:cs="Arial"/>
                <w:b/>
                <w:smallCaps/>
                <w:sz w:val="21"/>
                <w:szCs w:val="21"/>
                <w:lang w:val="en-GB" w:eastAsia="en-GB"/>
              </w:rPr>
              <w:t xml:space="preserve"> – Spesifikasi Desain dan Teknis</w:t>
            </w:r>
          </w:p>
        </w:tc>
      </w:tr>
      <w:tr w:rsidR="00A67277" w:rsidRPr="00A67277" w14:paraId="4D79C333" w14:textId="77777777" w:rsidTr="00923319">
        <w:trPr>
          <w:trHeight w:val="350"/>
        </w:trPr>
        <w:tc>
          <w:tcPr>
            <w:tcW w:w="4596" w:type="dxa"/>
          </w:tcPr>
          <w:p w14:paraId="33041EAA" w14:textId="77777777" w:rsidR="00923319" w:rsidRPr="00A67277" w:rsidRDefault="00923319" w:rsidP="00923319">
            <w:pPr>
              <w:pStyle w:val="SchTitle"/>
              <w:numPr>
                <w:ilvl w:val="0"/>
                <w:numId w:val="571"/>
              </w:numPr>
              <w:spacing w:line="276" w:lineRule="auto"/>
              <w:jc w:val="both"/>
              <w:rPr>
                <w:rFonts w:eastAsia="Calibri" w:cs="Arial"/>
                <w:i/>
                <w:sz w:val="21"/>
                <w:lang w:val="id-ID" w:eastAsia="ja-JP"/>
              </w:rPr>
            </w:pPr>
          </w:p>
        </w:tc>
        <w:tc>
          <w:tcPr>
            <w:tcW w:w="236" w:type="dxa"/>
          </w:tcPr>
          <w:p w14:paraId="40192A63" w14:textId="77777777" w:rsidR="00923319" w:rsidRPr="00A67277" w:rsidRDefault="00923319" w:rsidP="00923319">
            <w:pPr>
              <w:spacing w:before="120" w:after="120"/>
              <w:rPr>
                <w:rFonts w:ascii="Arial" w:hAnsi="Arial" w:cs="Arial"/>
                <w:sz w:val="21"/>
                <w:szCs w:val="21"/>
              </w:rPr>
            </w:pPr>
          </w:p>
        </w:tc>
        <w:tc>
          <w:tcPr>
            <w:tcW w:w="4532" w:type="dxa"/>
          </w:tcPr>
          <w:p w14:paraId="207BEE82" w14:textId="77777777" w:rsidR="00923319" w:rsidRPr="00A67277" w:rsidRDefault="00923319" w:rsidP="00923319">
            <w:pPr>
              <w:pStyle w:val="SchTitle"/>
              <w:numPr>
                <w:ilvl w:val="0"/>
                <w:numId w:val="564"/>
              </w:numPr>
              <w:spacing w:line="276" w:lineRule="auto"/>
              <w:jc w:val="both"/>
              <w:rPr>
                <w:rFonts w:eastAsia="Calibri" w:cs="Arial"/>
                <w:i/>
                <w:sz w:val="21"/>
                <w:lang w:eastAsia="ja-JP"/>
              </w:rPr>
            </w:pPr>
          </w:p>
        </w:tc>
      </w:tr>
      <w:tr w:rsidR="00A67277" w:rsidRPr="00A67277" w14:paraId="2C1E98D5" w14:textId="77777777" w:rsidTr="00923319">
        <w:trPr>
          <w:trHeight w:val="1898"/>
        </w:trPr>
        <w:tc>
          <w:tcPr>
            <w:tcW w:w="4596" w:type="dxa"/>
          </w:tcPr>
          <w:p w14:paraId="53424A6D" w14:textId="291D3ADE" w:rsidR="00923319" w:rsidRPr="00A67277" w:rsidRDefault="00923319" w:rsidP="00923319">
            <w:pPr>
              <w:pStyle w:val="Body2"/>
              <w:spacing w:before="120" w:after="120"/>
              <w:ind w:left="0"/>
              <w:rPr>
                <w:rFonts w:eastAsia="Calibri" w:cs="Arial"/>
                <w:i/>
                <w:lang w:val="en-US" w:eastAsia="en-US"/>
              </w:rPr>
            </w:pPr>
            <w:r w:rsidRPr="00A67277">
              <w:rPr>
                <w:rFonts w:eastAsia="Calibri" w:cs="Arial"/>
                <w:b/>
                <w:i/>
                <w:lang w:val="en-US" w:eastAsia="en-US"/>
              </w:rPr>
              <w:t xml:space="preserve">This Appendix </w:t>
            </w:r>
            <w:r w:rsidR="00E030C4" w:rsidRPr="00A67277">
              <w:rPr>
                <w:rFonts w:eastAsia="Calibri" w:cs="Arial"/>
                <w:b/>
                <w:i/>
                <w:lang w:val="en-US" w:eastAsia="en-US"/>
              </w:rPr>
              <w:t>5</w:t>
            </w:r>
            <w:r w:rsidRPr="00A67277">
              <w:rPr>
                <w:rFonts w:eastAsia="Calibri" w:cs="Arial"/>
                <w:b/>
                <w:i/>
                <w:lang w:val="en-US" w:eastAsia="en-US"/>
              </w:rPr>
              <w:t xml:space="preserve"> will incorporate the design and technical proposal submitted by the Winning Bidder. That design and technical proposal must comply with the GCA’s requirements set out in the Request for Proposal.</w:t>
            </w:r>
          </w:p>
        </w:tc>
        <w:tc>
          <w:tcPr>
            <w:tcW w:w="236" w:type="dxa"/>
          </w:tcPr>
          <w:p w14:paraId="312E1BB4" w14:textId="77777777" w:rsidR="00923319" w:rsidRPr="00A67277" w:rsidRDefault="00923319" w:rsidP="00923319">
            <w:pPr>
              <w:pStyle w:val="Body2"/>
              <w:spacing w:before="120" w:after="120"/>
              <w:ind w:left="0"/>
              <w:rPr>
                <w:rFonts w:eastAsia="Calibri" w:cs="Arial"/>
                <w:b/>
                <w:i/>
              </w:rPr>
            </w:pPr>
          </w:p>
        </w:tc>
        <w:tc>
          <w:tcPr>
            <w:tcW w:w="4532" w:type="dxa"/>
          </w:tcPr>
          <w:p w14:paraId="50E995A4" w14:textId="61682AF1" w:rsidR="00923319" w:rsidRPr="00A67277" w:rsidRDefault="00923319" w:rsidP="00923319">
            <w:pPr>
              <w:pStyle w:val="Body2"/>
              <w:spacing w:before="120" w:after="120"/>
              <w:ind w:left="0"/>
              <w:rPr>
                <w:rFonts w:eastAsia="Calibri" w:cs="Arial"/>
                <w:i/>
                <w:lang w:val="en-US" w:eastAsia="en-US"/>
              </w:rPr>
            </w:pPr>
            <w:r w:rsidRPr="00A67277">
              <w:rPr>
                <w:rFonts w:eastAsia="Calibri" w:cs="Arial"/>
                <w:b/>
                <w:i/>
                <w:lang w:val="en-US" w:eastAsia="en-US"/>
              </w:rPr>
              <w:t xml:space="preserve">Lampiran </w:t>
            </w:r>
            <w:r w:rsidR="00E030C4" w:rsidRPr="00A67277">
              <w:rPr>
                <w:rFonts w:eastAsia="Calibri" w:cs="Arial"/>
                <w:b/>
                <w:i/>
                <w:lang w:val="en-US" w:eastAsia="en-US"/>
              </w:rPr>
              <w:t>5</w:t>
            </w:r>
            <w:r w:rsidRPr="00A67277">
              <w:rPr>
                <w:rFonts w:eastAsia="Calibri" w:cs="Arial"/>
                <w:b/>
                <w:i/>
                <w:lang w:val="en-US" w:eastAsia="en-US"/>
              </w:rPr>
              <w:t xml:space="preserve"> ini akan memasukkan proposal desain dan teknis yang diajukan oleh Pemenang Tender.  Proposal desain dan teknis tersebut harus sesuai dengan persyaratan PJPK yang tercantum dalam Permintaan Proposal.]  </w:t>
            </w:r>
          </w:p>
        </w:tc>
      </w:tr>
      <w:tr w:rsidR="00A67277" w:rsidRPr="00A67277" w14:paraId="14C89159" w14:textId="77777777" w:rsidTr="00923319">
        <w:tc>
          <w:tcPr>
            <w:tcW w:w="4596" w:type="dxa"/>
          </w:tcPr>
          <w:p w14:paraId="2CD9FE91" w14:textId="77777777" w:rsidR="00923319" w:rsidRPr="00A67277" w:rsidRDefault="00923319" w:rsidP="00923319">
            <w:pPr>
              <w:pStyle w:val="SchNumber1"/>
              <w:numPr>
                <w:ilvl w:val="0"/>
                <w:numId w:val="572"/>
              </w:numPr>
              <w:spacing w:before="120" w:after="120"/>
              <w:ind w:left="360"/>
              <w:rPr>
                <w:rFonts w:cs="Arial"/>
                <w:lang w:val="en-US" w:eastAsia="ja-JP"/>
              </w:rPr>
            </w:pPr>
            <w:r w:rsidRPr="00A67277">
              <w:rPr>
                <w:rFonts w:eastAsia="Calibri" w:cs="Arial"/>
                <w:b/>
                <w:lang w:eastAsia="ja-JP"/>
              </w:rPr>
              <w:t>Design and Technical Specification</w:t>
            </w:r>
          </w:p>
        </w:tc>
        <w:tc>
          <w:tcPr>
            <w:tcW w:w="236" w:type="dxa"/>
          </w:tcPr>
          <w:p w14:paraId="4207DCB0" w14:textId="77777777" w:rsidR="00923319" w:rsidRPr="00A67277" w:rsidRDefault="00923319" w:rsidP="00923319">
            <w:pPr>
              <w:spacing w:before="120" w:after="120"/>
              <w:rPr>
                <w:rFonts w:ascii="Arial" w:hAnsi="Arial" w:cs="Arial"/>
                <w:sz w:val="21"/>
                <w:szCs w:val="21"/>
              </w:rPr>
            </w:pPr>
          </w:p>
        </w:tc>
        <w:tc>
          <w:tcPr>
            <w:tcW w:w="4532" w:type="dxa"/>
          </w:tcPr>
          <w:p w14:paraId="42AA27E0" w14:textId="77777777" w:rsidR="00923319" w:rsidRPr="00A67277" w:rsidRDefault="00923319" w:rsidP="00923319">
            <w:pPr>
              <w:pStyle w:val="FootnoteText"/>
              <w:tabs>
                <w:tab w:val="clear" w:pos="720"/>
              </w:tabs>
              <w:spacing w:before="120" w:after="120"/>
              <w:ind w:left="478" w:hanging="478"/>
              <w:rPr>
                <w:rFonts w:cs="Arial"/>
                <w:b/>
                <w:sz w:val="21"/>
              </w:rPr>
            </w:pPr>
            <w:r w:rsidRPr="00A67277">
              <w:rPr>
                <w:rFonts w:cs="Arial"/>
                <w:b/>
                <w:sz w:val="21"/>
              </w:rPr>
              <w:t>1.</w:t>
            </w:r>
            <w:r w:rsidRPr="00A67277">
              <w:rPr>
                <w:rFonts w:cs="Arial"/>
                <w:b/>
                <w:sz w:val="21"/>
              </w:rPr>
              <w:tab/>
              <w:t>Spesifikasi Desain dan Teknis</w:t>
            </w:r>
          </w:p>
        </w:tc>
      </w:tr>
      <w:tr w:rsidR="00A67277" w:rsidRPr="00A67277" w14:paraId="2810639E" w14:textId="77777777" w:rsidTr="00923319">
        <w:tc>
          <w:tcPr>
            <w:tcW w:w="4596" w:type="dxa"/>
          </w:tcPr>
          <w:p w14:paraId="6D7CB60E" w14:textId="77777777" w:rsidR="00923319" w:rsidRPr="00A67277" w:rsidRDefault="00923319" w:rsidP="00923319">
            <w:pPr>
              <w:pStyle w:val="Body2"/>
              <w:spacing w:before="120" w:after="120"/>
              <w:ind w:left="720"/>
              <w:rPr>
                <w:rFonts w:cs="Arial"/>
                <w:i/>
              </w:rPr>
            </w:pPr>
            <w:r w:rsidRPr="00A67277">
              <w:rPr>
                <w:rFonts w:eastAsia="Calibri" w:cs="Arial"/>
                <w:i/>
                <w:lang w:val="en-US" w:eastAsia="en-US"/>
              </w:rPr>
              <w:t>[GCA to insert the Winning Bidder’s Proposed Design and Technical Specification as set out in its Technical Proposal.]</w:t>
            </w:r>
          </w:p>
        </w:tc>
        <w:tc>
          <w:tcPr>
            <w:tcW w:w="236" w:type="dxa"/>
          </w:tcPr>
          <w:p w14:paraId="6461362A" w14:textId="77777777" w:rsidR="00923319" w:rsidRPr="00A67277" w:rsidRDefault="00923319" w:rsidP="00923319">
            <w:pPr>
              <w:spacing w:before="120" w:after="120"/>
              <w:rPr>
                <w:rFonts w:ascii="Arial" w:hAnsi="Arial" w:cs="Arial"/>
                <w:sz w:val="21"/>
                <w:szCs w:val="21"/>
              </w:rPr>
            </w:pPr>
          </w:p>
        </w:tc>
        <w:tc>
          <w:tcPr>
            <w:tcW w:w="4532" w:type="dxa"/>
          </w:tcPr>
          <w:p w14:paraId="0067C580" w14:textId="77777777" w:rsidR="00923319" w:rsidRPr="00A67277" w:rsidRDefault="00923319" w:rsidP="00923319">
            <w:pPr>
              <w:spacing w:before="120" w:after="120"/>
              <w:ind w:left="720"/>
              <w:jc w:val="both"/>
              <w:rPr>
                <w:rFonts w:ascii="Arial" w:eastAsia="Calibri" w:hAnsi="Arial" w:cs="Arial"/>
                <w:i/>
                <w:sz w:val="21"/>
                <w:szCs w:val="21"/>
              </w:rPr>
            </w:pPr>
            <w:r w:rsidRPr="00A67277">
              <w:rPr>
                <w:rFonts w:ascii="Arial" w:eastAsia="Calibri" w:hAnsi="Arial" w:cs="Arial"/>
                <w:i/>
                <w:sz w:val="21"/>
                <w:szCs w:val="21"/>
              </w:rPr>
              <w:t xml:space="preserve">[PJPK memasukkan usulan Spesifikasi Desain dan Teknis Pemenang Lelang sebagaimana tertuang dalam Penawaran Teknisnya]. </w:t>
            </w:r>
          </w:p>
        </w:tc>
      </w:tr>
      <w:tr w:rsidR="00A67277" w:rsidRPr="00A67277" w14:paraId="2647B72A" w14:textId="77777777" w:rsidTr="00923319">
        <w:tc>
          <w:tcPr>
            <w:tcW w:w="4596" w:type="dxa"/>
          </w:tcPr>
          <w:p w14:paraId="17CA6D02" w14:textId="77777777" w:rsidR="00923319" w:rsidRPr="00A67277" w:rsidRDefault="00923319" w:rsidP="00923319">
            <w:pPr>
              <w:pStyle w:val="SchNumber1"/>
              <w:numPr>
                <w:ilvl w:val="0"/>
                <w:numId w:val="572"/>
              </w:numPr>
              <w:spacing w:before="120" w:after="120"/>
              <w:ind w:left="360"/>
              <w:rPr>
                <w:rFonts w:eastAsia="Calibri" w:cs="Arial"/>
                <w:b/>
                <w:lang w:eastAsia="ja-JP"/>
              </w:rPr>
            </w:pPr>
            <w:r w:rsidRPr="00A67277">
              <w:rPr>
                <w:rFonts w:eastAsia="Calibri" w:cs="Arial"/>
                <w:b/>
                <w:lang w:eastAsia="ja-JP"/>
              </w:rPr>
              <w:t xml:space="preserve">Discrepancies </w:t>
            </w:r>
          </w:p>
        </w:tc>
        <w:tc>
          <w:tcPr>
            <w:tcW w:w="236" w:type="dxa"/>
          </w:tcPr>
          <w:p w14:paraId="4BC4A7F6" w14:textId="77777777" w:rsidR="00923319" w:rsidRPr="00A67277" w:rsidRDefault="00923319" w:rsidP="00923319">
            <w:pPr>
              <w:spacing w:before="120" w:after="120"/>
              <w:rPr>
                <w:rFonts w:ascii="Arial" w:hAnsi="Arial" w:cs="Arial"/>
                <w:sz w:val="21"/>
                <w:szCs w:val="21"/>
              </w:rPr>
            </w:pPr>
          </w:p>
        </w:tc>
        <w:tc>
          <w:tcPr>
            <w:tcW w:w="4532" w:type="dxa"/>
          </w:tcPr>
          <w:p w14:paraId="526C7816" w14:textId="77777777" w:rsidR="00923319" w:rsidRPr="00A67277" w:rsidRDefault="00923319" w:rsidP="00923319">
            <w:pPr>
              <w:pStyle w:val="FootnoteText"/>
              <w:tabs>
                <w:tab w:val="clear" w:pos="720"/>
              </w:tabs>
              <w:spacing w:before="120" w:after="120"/>
              <w:ind w:left="478" w:hanging="478"/>
              <w:rPr>
                <w:rFonts w:cs="Arial"/>
                <w:b/>
                <w:sz w:val="21"/>
              </w:rPr>
            </w:pPr>
            <w:r w:rsidRPr="00A67277">
              <w:rPr>
                <w:rFonts w:cs="Arial"/>
                <w:b/>
                <w:sz w:val="21"/>
              </w:rPr>
              <w:t>2.</w:t>
            </w:r>
            <w:r w:rsidRPr="00A67277">
              <w:rPr>
                <w:rFonts w:cs="Arial"/>
                <w:b/>
                <w:sz w:val="21"/>
              </w:rPr>
              <w:tab/>
              <w:t>Perbedaan</w:t>
            </w:r>
          </w:p>
        </w:tc>
      </w:tr>
      <w:tr w:rsidR="00A67277" w:rsidRPr="00A67277" w14:paraId="0D7C1CC1" w14:textId="77777777" w:rsidTr="00923319">
        <w:tc>
          <w:tcPr>
            <w:tcW w:w="4596" w:type="dxa"/>
          </w:tcPr>
          <w:p w14:paraId="284A9190" w14:textId="020FA71E" w:rsidR="00923319" w:rsidRPr="00A67277" w:rsidRDefault="00923319" w:rsidP="00E030C4">
            <w:pPr>
              <w:pStyle w:val="Level3"/>
              <w:tabs>
                <w:tab w:val="left" w:pos="1702"/>
              </w:tabs>
              <w:spacing w:before="120" w:after="120"/>
              <w:outlineLvl w:val="9"/>
              <w:rPr>
                <w:rFonts w:cs="Arial"/>
                <w:b/>
              </w:rPr>
            </w:pPr>
            <w:r w:rsidRPr="00A67277">
              <w:rPr>
                <w:rFonts w:cs="Arial"/>
              </w:rPr>
              <w:t xml:space="preserve">In the event of any conflict or inconsistency between the Design and Technical Specification under this Appendix with the Key Performance Indicators as set out in Appendix </w:t>
            </w:r>
            <w:r w:rsidR="00E030C4" w:rsidRPr="00A67277">
              <w:rPr>
                <w:rFonts w:cs="Arial"/>
              </w:rPr>
              <w:t xml:space="preserve">9 </w:t>
            </w:r>
            <w:r w:rsidRPr="00A67277">
              <w:rPr>
                <w:rFonts w:cs="Arial"/>
              </w:rPr>
              <w:t>(</w:t>
            </w:r>
            <w:r w:rsidRPr="00A67277">
              <w:rPr>
                <w:rFonts w:cs="Arial"/>
                <w:i/>
              </w:rPr>
              <w:t>Key Performance Indicators</w:t>
            </w:r>
            <w:r w:rsidRPr="00A67277">
              <w:rPr>
                <w:rFonts w:cs="Arial"/>
              </w:rPr>
              <w:t xml:space="preserve">), the Key Performance Indicators as set out in Appendix </w:t>
            </w:r>
            <w:r w:rsidR="00E030C4" w:rsidRPr="00A67277">
              <w:rPr>
                <w:rFonts w:cs="Arial"/>
              </w:rPr>
              <w:t xml:space="preserve">9 </w:t>
            </w:r>
            <w:r w:rsidRPr="00A67277">
              <w:rPr>
                <w:rFonts w:cs="Arial"/>
              </w:rPr>
              <w:t>(</w:t>
            </w:r>
            <w:r w:rsidRPr="00A67277">
              <w:rPr>
                <w:rFonts w:cs="Arial"/>
                <w:i/>
              </w:rPr>
              <w:t>Key Performance Indicators</w:t>
            </w:r>
            <w:r w:rsidRPr="00A67277">
              <w:rPr>
                <w:rFonts w:cs="Arial"/>
              </w:rPr>
              <w:t xml:space="preserve">) shall prevail and IBE shall revise its design and technical specification to comply with the Key Performance Indicators as set out in Appendix </w:t>
            </w:r>
            <w:r w:rsidR="00E030C4" w:rsidRPr="00A67277">
              <w:rPr>
                <w:rFonts w:cs="Arial"/>
              </w:rPr>
              <w:t xml:space="preserve">9 </w:t>
            </w:r>
            <w:r w:rsidRPr="00A67277">
              <w:rPr>
                <w:rFonts w:cs="Arial"/>
              </w:rPr>
              <w:t>(</w:t>
            </w:r>
            <w:r w:rsidRPr="00A67277">
              <w:rPr>
                <w:rFonts w:cs="Arial"/>
                <w:i/>
              </w:rPr>
              <w:t>Key Performance Indicators</w:t>
            </w:r>
            <w:r w:rsidRPr="00A67277">
              <w:rPr>
                <w:rFonts w:cs="Arial"/>
              </w:rPr>
              <w:t>) without any cost to GCA.</w:t>
            </w:r>
          </w:p>
        </w:tc>
        <w:tc>
          <w:tcPr>
            <w:tcW w:w="236" w:type="dxa"/>
          </w:tcPr>
          <w:p w14:paraId="4FBF09D8" w14:textId="77777777" w:rsidR="00923319" w:rsidRPr="00A67277" w:rsidRDefault="00923319" w:rsidP="00923319">
            <w:pPr>
              <w:spacing w:before="120" w:after="120"/>
              <w:rPr>
                <w:rFonts w:ascii="Arial" w:hAnsi="Arial" w:cs="Arial"/>
                <w:sz w:val="21"/>
                <w:szCs w:val="21"/>
              </w:rPr>
            </w:pPr>
          </w:p>
        </w:tc>
        <w:tc>
          <w:tcPr>
            <w:tcW w:w="4532" w:type="dxa"/>
          </w:tcPr>
          <w:p w14:paraId="6EE976B6" w14:textId="1CCA5E39" w:rsidR="00923319" w:rsidRPr="00A67277" w:rsidRDefault="00923319" w:rsidP="00E030C4">
            <w:pPr>
              <w:pStyle w:val="FootnoteText"/>
              <w:spacing w:before="120" w:after="120"/>
              <w:ind w:left="0" w:firstLine="0"/>
              <w:rPr>
                <w:rFonts w:cs="Arial"/>
                <w:sz w:val="21"/>
              </w:rPr>
            </w:pPr>
            <w:r w:rsidRPr="00A67277">
              <w:rPr>
                <w:rFonts w:cs="Arial"/>
                <w:sz w:val="21"/>
              </w:rPr>
              <w:t xml:space="preserve">Dalam hal terdapat pertentangan atau ketidakkonsistenan antara Spesifikasi Desain dan Teknis berdasarkan </w:t>
            </w:r>
            <w:r w:rsidR="00830B91" w:rsidRPr="00A67277">
              <w:rPr>
                <w:rFonts w:cs="Arial"/>
                <w:sz w:val="21"/>
              </w:rPr>
              <w:t xml:space="preserve">Lampiran </w:t>
            </w:r>
            <w:r w:rsidRPr="00A67277">
              <w:rPr>
                <w:rFonts w:cs="Arial"/>
                <w:sz w:val="21"/>
              </w:rPr>
              <w:t xml:space="preserve">ini dengan Indikator Kinerja Utama sebagaimaan diatur dalam Lampiran </w:t>
            </w:r>
            <w:r w:rsidR="00E030C4" w:rsidRPr="00A67277">
              <w:rPr>
                <w:rFonts w:cs="Arial"/>
                <w:sz w:val="21"/>
              </w:rPr>
              <w:t xml:space="preserve">9 </w:t>
            </w:r>
            <w:r w:rsidRPr="00A67277">
              <w:rPr>
                <w:rFonts w:cs="Arial"/>
                <w:sz w:val="21"/>
              </w:rPr>
              <w:t>(</w:t>
            </w:r>
            <w:r w:rsidRPr="00A67277">
              <w:rPr>
                <w:rFonts w:cs="Arial"/>
                <w:i/>
                <w:sz w:val="21"/>
              </w:rPr>
              <w:t>Indikator Kinerja Utama</w:t>
            </w:r>
            <w:r w:rsidRPr="00A67277">
              <w:rPr>
                <w:rFonts w:cs="Arial"/>
                <w:sz w:val="21"/>
              </w:rPr>
              <w:t xml:space="preserve">), Indikator Kinerja Utama sebagaimana diatur dalam Lampiran </w:t>
            </w:r>
            <w:r w:rsidR="00E030C4" w:rsidRPr="00A67277">
              <w:rPr>
                <w:rFonts w:cs="Arial"/>
                <w:sz w:val="21"/>
              </w:rPr>
              <w:t xml:space="preserve">9  </w:t>
            </w:r>
            <w:r w:rsidRPr="00A67277">
              <w:rPr>
                <w:rFonts w:cs="Arial"/>
                <w:sz w:val="21"/>
              </w:rPr>
              <w:t>(</w:t>
            </w:r>
            <w:r w:rsidRPr="00A67277">
              <w:rPr>
                <w:rFonts w:cs="Arial"/>
                <w:i/>
                <w:sz w:val="21"/>
              </w:rPr>
              <w:t>Indikator Kinerja Utama</w:t>
            </w:r>
            <w:r w:rsidRPr="00A67277">
              <w:rPr>
                <w:rFonts w:cs="Arial"/>
                <w:sz w:val="21"/>
              </w:rPr>
              <w:t xml:space="preserve">) harus berlaku dan BUP harus merevisi spesifikasi desain dan teknis untuk menyesuaikan dengan Indikator Kinerja Utama sebagaimana diatur dalam Lampiran </w:t>
            </w:r>
            <w:r w:rsidR="00E030C4" w:rsidRPr="00A67277">
              <w:rPr>
                <w:rFonts w:cs="Arial"/>
                <w:sz w:val="21"/>
              </w:rPr>
              <w:t xml:space="preserve">9 </w:t>
            </w:r>
            <w:r w:rsidRPr="00A67277">
              <w:rPr>
                <w:rFonts w:cs="Arial"/>
                <w:sz w:val="21"/>
              </w:rPr>
              <w:t>(</w:t>
            </w:r>
            <w:r w:rsidRPr="00A67277">
              <w:rPr>
                <w:rFonts w:cs="Arial"/>
                <w:i/>
                <w:sz w:val="21"/>
              </w:rPr>
              <w:t>Indikator Kinerja Utama</w:t>
            </w:r>
            <w:r w:rsidRPr="00A67277">
              <w:rPr>
                <w:rFonts w:cs="Arial"/>
                <w:sz w:val="21"/>
              </w:rPr>
              <w:t>) tanpa biaya apapun pada PJPK.</w:t>
            </w:r>
          </w:p>
        </w:tc>
      </w:tr>
    </w:tbl>
    <w:p w14:paraId="6D67DCAC" w14:textId="77777777" w:rsidR="00923319" w:rsidRPr="00A67277" w:rsidRDefault="00923319" w:rsidP="00923319">
      <w:pPr>
        <w:rPr>
          <w:rFonts w:ascii="Arial" w:hAnsi="Arial" w:cs="Arial"/>
          <w:sz w:val="21"/>
          <w:szCs w:val="21"/>
        </w:rPr>
      </w:pPr>
    </w:p>
    <w:p w14:paraId="4489940B"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p w14:paraId="6D0130A7" w14:textId="77777777"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4722A27A" w14:textId="77777777" w:rsidTr="00923319">
        <w:tc>
          <w:tcPr>
            <w:tcW w:w="4596" w:type="dxa"/>
          </w:tcPr>
          <w:p w14:paraId="61B45B85" w14:textId="1A8D64B6" w:rsidR="00923319" w:rsidRPr="00A67277" w:rsidRDefault="00923319" w:rsidP="00923319">
            <w:pPr>
              <w:pStyle w:val="SchTitle"/>
              <w:rPr>
                <w:rFonts w:cs="Arial"/>
                <w:sz w:val="21"/>
              </w:rPr>
            </w:pPr>
            <w:r w:rsidRPr="00A67277">
              <w:rPr>
                <w:rFonts w:cs="Arial"/>
                <w:sz w:val="21"/>
              </w:rPr>
              <w:br w:type="page"/>
              <w:t xml:space="preserve">Appendix </w:t>
            </w:r>
            <w:r w:rsidR="00E030C4" w:rsidRPr="00A67277">
              <w:rPr>
                <w:rFonts w:cs="Arial"/>
                <w:sz w:val="21"/>
              </w:rPr>
              <w:t>6</w:t>
            </w:r>
            <w:r w:rsidRPr="00A67277">
              <w:rPr>
                <w:rFonts w:cs="Arial"/>
                <w:sz w:val="21"/>
              </w:rPr>
              <w:t xml:space="preserve"> – Implementation Schedule</w:t>
            </w:r>
          </w:p>
        </w:tc>
        <w:tc>
          <w:tcPr>
            <w:tcW w:w="236" w:type="dxa"/>
          </w:tcPr>
          <w:p w14:paraId="5F27EA09" w14:textId="77777777" w:rsidR="00923319" w:rsidRPr="00A67277" w:rsidRDefault="00923319" w:rsidP="00923319">
            <w:pPr>
              <w:spacing w:before="120" w:after="120"/>
              <w:rPr>
                <w:rFonts w:ascii="Arial" w:hAnsi="Arial" w:cs="Arial"/>
                <w:sz w:val="21"/>
                <w:szCs w:val="21"/>
              </w:rPr>
            </w:pPr>
          </w:p>
        </w:tc>
        <w:tc>
          <w:tcPr>
            <w:tcW w:w="4532" w:type="dxa"/>
          </w:tcPr>
          <w:p w14:paraId="194A4A9E" w14:textId="3D5D5B58" w:rsidR="00923319" w:rsidRPr="00A67277" w:rsidRDefault="00923319" w:rsidP="00923319">
            <w:pPr>
              <w:pStyle w:val="SchTitle"/>
              <w:rPr>
                <w:rFonts w:cs="Arial"/>
                <w:sz w:val="21"/>
              </w:rPr>
            </w:pPr>
            <w:r w:rsidRPr="00A67277">
              <w:rPr>
                <w:rFonts w:cs="Arial"/>
                <w:sz w:val="21"/>
              </w:rPr>
              <w:t xml:space="preserve">Lampiran </w:t>
            </w:r>
            <w:r w:rsidR="00E030C4" w:rsidRPr="00A67277">
              <w:rPr>
                <w:rFonts w:cs="Arial"/>
                <w:sz w:val="21"/>
              </w:rPr>
              <w:t>6</w:t>
            </w:r>
            <w:r w:rsidRPr="00A67277">
              <w:rPr>
                <w:rFonts w:cs="Arial"/>
                <w:sz w:val="21"/>
              </w:rPr>
              <w:t xml:space="preserve"> – Jadwal Pelaksanaan</w:t>
            </w:r>
          </w:p>
          <w:p w14:paraId="521D3FBA" w14:textId="77777777" w:rsidR="00923319" w:rsidRPr="00A67277" w:rsidRDefault="00923319" w:rsidP="00923319">
            <w:pPr>
              <w:pStyle w:val="FootnoteText"/>
              <w:spacing w:before="120" w:after="120"/>
              <w:ind w:left="0" w:firstLine="0"/>
              <w:rPr>
                <w:rFonts w:cs="Arial"/>
                <w:b/>
                <w:sz w:val="21"/>
              </w:rPr>
            </w:pPr>
          </w:p>
        </w:tc>
      </w:tr>
      <w:tr w:rsidR="00923319" w:rsidRPr="00A67277" w14:paraId="5308644F" w14:textId="77777777" w:rsidTr="00923319">
        <w:tc>
          <w:tcPr>
            <w:tcW w:w="4596" w:type="dxa"/>
          </w:tcPr>
          <w:p w14:paraId="16C00F58" w14:textId="77777777" w:rsidR="00923319" w:rsidRPr="00A67277" w:rsidRDefault="00923319" w:rsidP="00923319">
            <w:pPr>
              <w:pStyle w:val="Body1"/>
              <w:spacing w:before="120" w:after="120"/>
              <w:rPr>
                <w:rFonts w:cs="Arial"/>
              </w:rPr>
            </w:pPr>
          </w:p>
        </w:tc>
        <w:tc>
          <w:tcPr>
            <w:tcW w:w="236" w:type="dxa"/>
          </w:tcPr>
          <w:p w14:paraId="61196175" w14:textId="77777777" w:rsidR="00923319" w:rsidRPr="00A67277" w:rsidRDefault="00923319" w:rsidP="00923319">
            <w:pPr>
              <w:spacing w:before="120" w:after="120"/>
              <w:rPr>
                <w:rFonts w:ascii="Arial" w:hAnsi="Arial" w:cs="Arial"/>
                <w:sz w:val="21"/>
                <w:szCs w:val="21"/>
              </w:rPr>
            </w:pPr>
          </w:p>
        </w:tc>
        <w:tc>
          <w:tcPr>
            <w:tcW w:w="4532" w:type="dxa"/>
          </w:tcPr>
          <w:p w14:paraId="25BCB214" w14:textId="77777777" w:rsidR="00923319" w:rsidRPr="00A67277" w:rsidRDefault="00923319" w:rsidP="00923319">
            <w:pPr>
              <w:pStyle w:val="Body1"/>
              <w:spacing w:before="120" w:after="120"/>
              <w:rPr>
                <w:rFonts w:cs="Arial"/>
                <w:lang w:val="id-ID"/>
              </w:rPr>
            </w:pPr>
          </w:p>
        </w:tc>
      </w:tr>
      <w:tr w:rsidR="00923319" w:rsidRPr="00A67277" w14:paraId="2BAD7016" w14:textId="77777777" w:rsidTr="00923319">
        <w:tc>
          <w:tcPr>
            <w:tcW w:w="4596" w:type="dxa"/>
          </w:tcPr>
          <w:p w14:paraId="03FD09A3" w14:textId="77777777" w:rsidR="00923319" w:rsidRPr="00A67277" w:rsidRDefault="00923319" w:rsidP="00923319">
            <w:pPr>
              <w:pStyle w:val="Body1"/>
              <w:spacing w:before="120" w:after="120"/>
              <w:rPr>
                <w:rFonts w:cs="Arial"/>
              </w:rPr>
            </w:pPr>
            <w:r w:rsidRPr="00A67277">
              <w:rPr>
                <w:rFonts w:cs="Arial"/>
              </w:rPr>
              <w:t xml:space="preserve">The schedule for implementation of the Project (including Milestones and Milestone Dates) is as follows. The IBE shall develop further detailed plans to achieve these Milestone Dates in the Desain Document. </w:t>
            </w:r>
          </w:p>
        </w:tc>
        <w:tc>
          <w:tcPr>
            <w:tcW w:w="236" w:type="dxa"/>
          </w:tcPr>
          <w:p w14:paraId="1D676B03" w14:textId="77777777" w:rsidR="00923319" w:rsidRPr="00A67277" w:rsidRDefault="00923319" w:rsidP="00923319">
            <w:pPr>
              <w:spacing w:before="120" w:after="120"/>
              <w:rPr>
                <w:rFonts w:ascii="Arial" w:hAnsi="Arial" w:cs="Arial"/>
                <w:sz w:val="21"/>
                <w:szCs w:val="21"/>
              </w:rPr>
            </w:pPr>
          </w:p>
        </w:tc>
        <w:tc>
          <w:tcPr>
            <w:tcW w:w="4532" w:type="dxa"/>
          </w:tcPr>
          <w:p w14:paraId="23811FCB" w14:textId="77777777" w:rsidR="00923319" w:rsidRPr="00A67277" w:rsidRDefault="00923319" w:rsidP="00923319">
            <w:pPr>
              <w:pStyle w:val="Body1"/>
              <w:spacing w:before="120" w:after="120"/>
              <w:rPr>
                <w:rFonts w:cs="Arial"/>
                <w:lang w:val="id-ID"/>
              </w:rPr>
            </w:pPr>
            <w:r w:rsidRPr="00A67277">
              <w:rPr>
                <w:rFonts w:cs="Arial"/>
              </w:rPr>
              <w:t>Jadwal untuk pelaksanaan dari Proyek (termasuk Pencapaian dan Tanggal Pencapaian) adalah sebagai berikut</w:t>
            </w:r>
            <w:r w:rsidRPr="00A67277">
              <w:rPr>
                <w:rFonts w:cs="Arial"/>
                <w:lang w:val="id-ID"/>
              </w:rPr>
              <w:t xml:space="preserve">. BUP harus mengembangkan lebih lanjut rencana-rencana rinci untuk mencapai Tanggal Pencapaian </w:t>
            </w:r>
            <w:r w:rsidRPr="00A67277">
              <w:rPr>
                <w:rFonts w:cs="Arial"/>
                <w:lang w:val="en-US"/>
              </w:rPr>
              <w:t>dalam Dokumen Desain</w:t>
            </w:r>
            <w:r w:rsidRPr="00A67277">
              <w:rPr>
                <w:rFonts w:cs="Arial"/>
                <w:lang w:val="id-ID"/>
              </w:rPr>
              <w:t xml:space="preserve">. </w:t>
            </w:r>
          </w:p>
        </w:tc>
      </w:tr>
    </w:tbl>
    <w:p w14:paraId="37B1BE74" w14:textId="77777777" w:rsidR="00923319" w:rsidRPr="00A67277" w:rsidRDefault="00923319" w:rsidP="00923319">
      <w:pPr>
        <w:rPr>
          <w:rFonts w:ascii="Arial" w:hAnsi="Arial" w:cs="Arial"/>
          <w:sz w:val="21"/>
          <w:szCs w:val="21"/>
          <w:lang w:val="id-ID"/>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847"/>
      </w:tblGrid>
      <w:tr w:rsidR="00923319" w:rsidRPr="00A67277" w14:paraId="11421180" w14:textId="77777777" w:rsidTr="00923319">
        <w:tc>
          <w:tcPr>
            <w:tcW w:w="4508" w:type="dxa"/>
            <w:shd w:val="clear" w:color="auto" w:fill="D9D9D9" w:themeFill="background1" w:themeFillShade="D9"/>
          </w:tcPr>
          <w:p w14:paraId="38E44667" w14:textId="77777777" w:rsidR="00923319" w:rsidRPr="00A67277" w:rsidRDefault="00923319" w:rsidP="00923319">
            <w:pPr>
              <w:pStyle w:val="Body1"/>
              <w:spacing w:before="120" w:after="120"/>
              <w:rPr>
                <w:rFonts w:cs="Arial"/>
                <w:b/>
              </w:rPr>
            </w:pPr>
            <w:r w:rsidRPr="00A67277">
              <w:rPr>
                <w:rFonts w:cs="Arial"/>
                <w:b/>
              </w:rPr>
              <w:t>Milestone</w:t>
            </w:r>
          </w:p>
        </w:tc>
        <w:tc>
          <w:tcPr>
            <w:tcW w:w="4847" w:type="dxa"/>
            <w:shd w:val="clear" w:color="auto" w:fill="D9D9D9" w:themeFill="background1" w:themeFillShade="D9"/>
          </w:tcPr>
          <w:p w14:paraId="286DA43A" w14:textId="77777777" w:rsidR="00923319" w:rsidRPr="00A67277" w:rsidRDefault="00923319" w:rsidP="00923319">
            <w:pPr>
              <w:pStyle w:val="Body1"/>
              <w:spacing w:before="120" w:after="120"/>
              <w:rPr>
                <w:rFonts w:cs="Arial"/>
                <w:b/>
              </w:rPr>
            </w:pPr>
            <w:r w:rsidRPr="00A67277">
              <w:rPr>
                <w:rFonts w:cs="Arial"/>
                <w:b/>
              </w:rPr>
              <w:t>Milestone Date</w:t>
            </w:r>
          </w:p>
        </w:tc>
      </w:tr>
      <w:tr w:rsidR="00923319" w:rsidRPr="00A67277" w14:paraId="6C4CC9DA" w14:textId="77777777" w:rsidTr="00923319">
        <w:tc>
          <w:tcPr>
            <w:tcW w:w="4508" w:type="dxa"/>
            <w:shd w:val="clear" w:color="auto" w:fill="auto"/>
          </w:tcPr>
          <w:p w14:paraId="2EA61978" w14:textId="77777777" w:rsidR="00923319" w:rsidRPr="00A67277" w:rsidRDefault="00923319" w:rsidP="00923319">
            <w:pPr>
              <w:pStyle w:val="Body1"/>
              <w:spacing w:before="120" w:after="120"/>
              <w:rPr>
                <w:rFonts w:cs="Arial"/>
              </w:rPr>
            </w:pPr>
            <w:r w:rsidRPr="00A67277">
              <w:rPr>
                <w:rFonts w:cs="Arial"/>
              </w:rPr>
              <w:t>Site Hand-over Date</w:t>
            </w:r>
          </w:p>
        </w:tc>
        <w:tc>
          <w:tcPr>
            <w:tcW w:w="4847" w:type="dxa"/>
            <w:shd w:val="clear" w:color="auto" w:fill="auto"/>
          </w:tcPr>
          <w:p w14:paraId="352BCC63" w14:textId="2A112DB5" w:rsidR="00923319" w:rsidRPr="00A67277" w:rsidRDefault="00656F2F" w:rsidP="00656F2F">
            <w:pPr>
              <w:pStyle w:val="Body1"/>
              <w:spacing w:before="120" w:after="120"/>
              <w:rPr>
                <w:rFonts w:cs="Arial"/>
              </w:rPr>
            </w:pPr>
            <w:r>
              <w:rPr>
                <w:rFonts w:cs="Arial"/>
              </w:rPr>
              <w:t xml:space="preserve">In accordance with the Project implementation schedule and </w:t>
            </w:r>
            <w:r w:rsidR="00227CD0" w:rsidRPr="00A67277">
              <w:rPr>
                <w:rFonts w:cs="Arial"/>
              </w:rPr>
              <w:t xml:space="preserve">agreed by the Parties in </w:t>
            </w:r>
            <w:r w:rsidR="00B351FF">
              <w:rPr>
                <w:rFonts w:cs="Arial"/>
              </w:rPr>
              <w:t>the</w:t>
            </w:r>
            <w:r w:rsidR="00227CD0" w:rsidRPr="00A67277">
              <w:rPr>
                <w:rFonts w:cs="Arial"/>
              </w:rPr>
              <w:t xml:space="preserve"> Minutes of Meeting.</w:t>
            </w:r>
          </w:p>
        </w:tc>
      </w:tr>
      <w:tr w:rsidR="00923319" w:rsidRPr="00A67277" w14:paraId="3FF0015A" w14:textId="77777777" w:rsidTr="00923319">
        <w:tc>
          <w:tcPr>
            <w:tcW w:w="4508" w:type="dxa"/>
            <w:shd w:val="clear" w:color="auto" w:fill="auto"/>
          </w:tcPr>
          <w:p w14:paraId="58E8B2DE" w14:textId="77777777" w:rsidR="00923319" w:rsidRPr="00A67277" w:rsidRDefault="00923319" w:rsidP="00923319">
            <w:pPr>
              <w:pStyle w:val="Body1"/>
              <w:spacing w:before="120" w:after="120"/>
              <w:rPr>
                <w:rFonts w:cs="Arial"/>
              </w:rPr>
            </w:pPr>
            <w:r w:rsidRPr="00A67277">
              <w:rPr>
                <w:rFonts w:cs="Arial"/>
              </w:rPr>
              <w:t>Scheduled Effective Date</w:t>
            </w:r>
          </w:p>
        </w:tc>
        <w:tc>
          <w:tcPr>
            <w:tcW w:w="4847" w:type="dxa"/>
            <w:shd w:val="clear" w:color="auto" w:fill="auto"/>
          </w:tcPr>
          <w:p w14:paraId="7222E675" w14:textId="77777777" w:rsidR="00923319" w:rsidRPr="00A67277" w:rsidRDefault="00923319" w:rsidP="00923319">
            <w:pPr>
              <w:pStyle w:val="Body1"/>
              <w:spacing w:before="120" w:after="120"/>
              <w:rPr>
                <w:rFonts w:cs="Arial"/>
              </w:rPr>
            </w:pPr>
            <w:r w:rsidRPr="00A67277">
              <w:rPr>
                <w:rFonts w:cs="Arial"/>
              </w:rPr>
              <w:t>[six (6) Months as of the Signing Date]</w:t>
            </w:r>
          </w:p>
        </w:tc>
      </w:tr>
      <w:tr w:rsidR="00923319" w:rsidRPr="00A67277" w14:paraId="0B619F48" w14:textId="77777777" w:rsidTr="00923319">
        <w:tc>
          <w:tcPr>
            <w:tcW w:w="4508" w:type="dxa"/>
            <w:shd w:val="clear" w:color="auto" w:fill="auto"/>
          </w:tcPr>
          <w:p w14:paraId="7570B46E" w14:textId="77777777" w:rsidR="00923319" w:rsidRPr="00A67277" w:rsidRDefault="00923319" w:rsidP="00923319">
            <w:pPr>
              <w:pStyle w:val="Body1"/>
              <w:spacing w:before="120" w:after="120"/>
              <w:rPr>
                <w:rFonts w:cs="Arial"/>
              </w:rPr>
            </w:pPr>
            <w:r w:rsidRPr="00A67277">
              <w:rPr>
                <w:rFonts w:cs="Arial"/>
              </w:rPr>
              <w:t>Scheduled Commercial Operation Date</w:t>
            </w:r>
          </w:p>
        </w:tc>
        <w:tc>
          <w:tcPr>
            <w:tcW w:w="4847" w:type="dxa"/>
            <w:shd w:val="clear" w:color="auto" w:fill="auto"/>
          </w:tcPr>
          <w:p w14:paraId="7FC6DEE3" w14:textId="77777777" w:rsidR="00923319" w:rsidRPr="00A67277" w:rsidRDefault="00923319" w:rsidP="00923319">
            <w:pPr>
              <w:pStyle w:val="Body1"/>
              <w:spacing w:before="120" w:after="120"/>
              <w:rPr>
                <w:rFonts w:cs="Arial"/>
              </w:rPr>
            </w:pPr>
            <w:r w:rsidRPr="00A67277">
              <w:rPr>
                <w:rFonts w:cs="Arial"/>
              </w:rPr>
              <w:t>[twelve (12) Months as of the Effective Date]</w:t>
            </w:r>
          </w:p>
        </w:tc>
      </w:tr>
    </w:tbl>
    <w:p w14:paraId="3B284787" w14:textId="77777777" w:rsidR="00923319" w:rsidRPr="00A67277" w:rsidRDefault="00923319" w:rsidP="00923319">
      <w:pPr>
        <w:rPr>
          <w:rFonts w:ascii="Arial" w:hAnsi="Arial" w:cs="Arial"/>
          <w:sz w:val="21"/>
          <w:szCs w:val="21"/>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847"/>
      </w:tblGrid>
      <w:tr w:rsidR="00923319" w:rsidRPr="00A67277" w14:paraId="7D67E16A" w14:textId="77777777" w:rsidTr="00923319">
        <w:trPr>
          <w:trHeight w:val="514"/>
        </w:trPr>
        <w:tc>
          <w:tcPr>
            <w:tcW w:w="4508" w:type="dxa"/>
            <w:shd w:val="clear" w:color="auto" w:fill="D9D9D9"/>
            <w:vAlign w:val="center"/>
          </w:tcPr>
          <w:p w14:paraId="134CCCA1" w14:textId="77777777" w:rsidR="00923319" w:rsidRPr="00A67277" w:rsidRDefault="00923319" w:rsidP="00923319">
            <w:pPr>
              <w:pStyle w:val="Body1"/>
              <w:spacing w:before="120" w:after="120"/>
              <w:jc w:val="left"/>
              <w:rPr>
                <w:rFonts w:cs="Arial"/>
                <w:b/>
                <w:lang w:val="id-ID"/>
              </w:rPr>
            </w:pPr>
            <w:r w:rsidRPr="00A67277">
              <w:rPr>
                <w:rFonts w:cs="Arial"/>
                <w:b/>
                <w:lang w:val="id-ID"/>
              </w:rPr>
              <w:t>Pencapaian</w:t>
            </w:r>
          </w:p>
        </w:tc>
        <w:tc>
          <w:tcPr>
            <w:tcW w:w="4847" w:type="dxa"/>
            <w:shd w:val="clear" w:color="auto" w:fill="D9D9D9"/>
            <w:vAlign w:val="center"/>
          </w:tcPr>
          <w:p w14:paraId="0452F404" w14:textId="77777777" w:rsidR="00923319" w:rsidRPr="00A67277" w:rsidRDefault="00923319" w:rsidP="00923319">
            <w:pPr>
              <w:pStyle w:val="Body1"/>
              <w:spacing w:before="120" w:after="120"/>
              <w:jc w:val="left"/>
              <w:rPr>
                <w:rFonts w:cs="Arial"/>
                <w:b/>
                <w:lang w:val="id-ID"/>
              </w:rPr>
            </w:pPr>
            <w:r w:rsidRPr="00A67277">
              <w:rPr>
                <w:rFonts w:cs="Arial"/>
                <w:b/>
                <w:lang w:val="id-ID"/>
              </w:rPr>
              <w:t>Tanggal Pencapaian</w:t>
            </w:r>
          </w:p>
        </w:tc>
      </w:tr>
      <w:tr w:rsidR="00923319" w:rsidRPr="00A67277" w14:paraId="0EE6E626" w14:textId="77777777" w:rsidTr="00923319">
        <w:trPr>
          <w:trHeight w:val="514"/>
        </w:trPr>
        <w:tc>
          <w:tcPr>
            <w:tcW w:w="4508" w:type="dxa"/>
            <w:shd w:val="clear" w:color="auto" w:fill="auto"/>
            <w:vAlign w:val="center"/>
          </w:tcPr>
          <w:p w14:paraId="153FA6E8" w14:textId="77777777" w:rsidR="00923319" w:rsidRPr="00A67277" w:rsidRDefault="00923319" w:rsidP="00923319">
            <w:pPr>
              <w:pStyle w:val="Body1"/>
              <w:spacing w:before="120" w:after="120"/>
              <w:jc w:val="left"/>
              <w:rPr>
                <w:rFonts w:cs="Arial"/>
                <w:lang w:val="id-ID"/>
              </w:rPr>
            </w:pPr>
            <w:r w:rsidRPr="00A67277">
              <w:rPr>
                <w:rFonts w:cs="Arial"/>
                <w:lang w:val="id-ID"/>
              </w:rPr>
              <w:t>Tanggal Serah Terima Lokasi</w:t>
            </w:r>
          </w:p>
        </w:tc>
        <w:tc>
          <w:tcPr>
            <w:tcW w:w="4847" w:type="dxa"/>
            <w:shd w:val="clear" w:color="auto" w:fill="auto"/>
            <w:vAlign w:val="center"/>
          </w:tcPr>
          <w:p w14:paraId="45F2CE73" w14:textId="2F3AAF91" w:rsidR="00923319" w:rsidRPr="00A67277" w:rsidRDefault="00B351FF" w:rsidP="00227CD0">
            <w:pPr>
              <w:pStyle w:val="Body1"/>
              <w:spacing w:before="120" w:after="120"/>
              <w:jc w:val="left"/>
              <w:rPr>
                <w:rFonts w:cs="Arial"/>
              </w:rPr>
            </w:pPr>
            <w:r>
              <w:rPr>
                <w:rFonts w:cs="Arial"/>
              </w:rPr>
              <w:t xml:space="preserve">Sesuai dengan jadwal pelaksanaan Proyek dan </w:t>
            </w:r>
            <w:r w:rsidR="00227CD0" w:rsidRPr="00A67277">
              <w:rPr>
                <w:rFonts w:cs="Arial"/>
              </w:rPr>
              <w:t xml:space="preserve">yang disepakati oleh Para Pihak </w:t>
            </w:r>
            <w:r>
              <w:rPr>
                <w:rFonts w:cs="Arial"/>
              </w:rPr>
              <w:t>yang</w:t>
            </w:r>
            <w:r w:rsidRPr="00A67277">
              <w:rPr>
                <w:rFonts w:cs="Arial"/>
              </w:rPr>
              <w:t xml:space="preserve"> </w:t>
            </w:r>
            <w:r w:rsidR="00227CD0" w:rsidRPr="00A67277">
              <w:rPr>
                <w:rFonts w:cs="Arial"/>
              </w:rPr>
              <w:t>dituangkan dalam berita acara.</w:t>
            </w:r>
          </w:p>
        </w:tc>
      </w:tr>
      <w:tr w:rsidR="00923319" w:rsidRPr="00A67277" w14:paraId="333A66E3" w14:textId="77777777" w:rsidTr="00923319">
        <w:trPr>
          <w:trHeight w:val="514"/>
        </w:trPr>
        <w:tc>
          <w:tcPr>
            <w:tcW w:w="4508" w:type="dxa"/>
            <w:shd w:val="clear" w:color="auto" w:fill="auto"/>
            <w:vAlign w:val="center"/>
          </w:tcPr>
          <w:p w14:paraId="4B180783" w14:textId="77777777" w:rsidR="00923319" w:rsidRPr="00A67277" w:rsidRDefault="00923319" w:rsidP="00923319">
            <w:pPr>
              <w:pStyle w:val="Body1"/>
              <w:spacing w:before="120" w:after="120"/>
              <w:jc w:val="left"/>
              <w:rPr>
                <w:rFonts w:cs="Arial"/>
                <w:lang w:val="id-ID"/>
              </w:rPr>
            </w:pPr>
            <w:r w:rsidRPr="00A67277">
              <w:rPr>
                <w:rFonts w:cs="Arial"/>
                <w:lang w:val="id-ID"/>
              </w:rPr>
              <w:t xml:space="preserve">Tanggal </w:t>
            </w:r>
            <w:r w:rsidRPr="00A67277">
              <w:rPr>
                <w:rFonts w:cs="Arial"/>
                <w:lang w:val="en-US"/>
              </w:rPr>
              <w:t xml:space="preserve">Efektif </w:t>
            </w:r>
            <w:r w:rsidRPr="00A67277">
              <w:rPr>
                <w:rFonts w:cs="Arial"/>
                <w:lang w:val="id-ID"/>
              </w:rPr>
              <w:t>Yang Dijadwalkan</w:t>
            </w:r>
          </w:p>
        </w:tc>
        <w:tc>
          <w:tcPr>
            <w:tcW w:w="4847" w:type="dxa"/>
            <w:shd w:val="clear" w:color="auto" w:fill="auto"/>
            <w:vAlign w:val="center"/>
          </w:tcPr>
          <w:p w14:paraId="73E4FFE8" w14:textId="77777777" w:rsidR="00923319" w:rsidRPr="00A67277" w:rsidRDefault="00923319" w:rsidP="00923319">
            <w:pPr>
              <w:pStyle w:val="Body1"/>
              <w:spacing w:before="120" w:after="120"/>
              <w:jc w:val="left"/>
              <w:rPr>
                <w:rFonts w:cs="Arial"/>
              </w:rPr>
            </w:pPr>
            <w:r w:rsidRPr="00A67277">
              <w:rPr>
                <w:rFonts w:cs="Arial"/>
              </w:rPr>
              <w:t>[enam (6) Bulan sejak Tanggal Penandatanganan]</w:t>
            </w:r>
          </w:p>
        </w:tc>
      </w:tr>
      <w:tr w:rsidR="00923319" w:rsidRPr="00A67277" w14:paraId="6642094A" w14:textId="77777777" w:rsidTr="00923319">
        <w:trPr>
          <w:trHeight w:val="514"/>
        </w:trPr>
        <w:tc>
          <w:tcPr>
            <w:tcW w:w="4508" w:type="dxa"/>
            <w:shd w:val="clear" w:color="auto" w:fill="auto"/>
            <w:vAlign w:val="center"/>
          </w:tcPr>
          <w:p w14:paraId="6289D2D4" w14:textId="77777777" w:rsidR="00923319" w:rsidRPr="00A67277" w:rsidRDefault="00923319" w:rsidP="00923319">
            <w:pPr>
              <w:pStyle w:val="Body1"/>
              <w:spacing w:before="120" w:after="120"/>
              <w:jc w:val="left"/>
              <w:rPr>
                <w:rFonts w:cs="Arial"/>
                <w:lang w:val="id-ID"/>
              </w:rPr>
            </w:pPr>
            <w:r w:rsidRPr="00A67277">
              <w:rPr>
                <w:rFonts w:cs="Arial"/>
                <w:lang w:val="id-ID"/>
              </w:rPr>
              <w:t>Tanggal Operasi Komersial Yang Dijadwalkan</w:t>
            </w:r>
          </w:p>
        </w:tc>
        <w:tc>
          <w:tcPr>
            <w:tcW w:w="4847" w:type="dxa"/>
            <w:shd w:val="clear" w:color="auto" w:fill="auto"/>
            <w:vAlign w:val="center"/>
          </w:tcPr>
          <w:p w14:paraId="5C69E9FA" w14:textId="77777777" w:rsidR="00923319" w:rsidRPr="00A67277" w:rsidRDefault="00923319" w:rsidP="00923319">
            <w:pPr>
              <w:pStyle w:val="Body1"/>
              <w:spacing w:before="120" w:after="120"/>
              <w:jc w:val="left"/>
              <w:rPr>
                <w:rFonts w:cs="Arial"/>
              </w:rPr>
            </w:pPr>
            <w:r w:rsidRPr="00A67277">
              <w:rPr>
                <w:rFonts w:cs="Arial"/>
              </w:rPr>
              <w:t>[dua belas (12) Bulan sejak Tanggal Efektif]</w:t>
            </w:r>
          </w:p>
        </w:tc>
      </w:tr>
    </w:tbl>
    <w:p w14:paraId="0E6B4430" w14:textId="77777777" w:rsidR="00923319" w:rsidRPr="00A67277" w:rsidRDefault="00923319" w:rsidP="00923319">
      <w:pPr>
        <w:rPr>
          <w:rFonts w:ascii="Arial" w:hAnsi="Arial" w:cs="Arial"/>
          <w:sz w:val="21"/>
          <w:szCs w:val="21"/>
        </w:rPr>
      </w:pPr>
    </w:p>
    <w:p w14:paraId="442392EB"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p w14:paraId="23C82507" w14:textId="77777777"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4FB37532" w14:textId="77777777" w:rsidTr="00923319">
        <w:tc>
          <w:tcPr>
            <w:tcW w:w="4596" w:type="dxa"/>
          </w:tcPr>
          <w:p w14:paraId="50414759" w14:textId="2C7A093F" w:rsidR="00923319" w:rsidRPr="00A67277" w:rsidRDefault="00923319" w:rsidP="00923319">
            <w:pPr>
              <w:pStyle w:val="SchTitle"/>
              <w:rPr>
                <w:rFonts w:cs="Arial"/>
                <w:sz w:val="21"/>
              </w:rPr>
            </w:pPr>
            <w:r w:rsidRPr="00A67277">
              <w:rPr>
                <w:rFonts w:cs="Arial"/>
                <w:sz w:val="21"/>
              </w:rPr>
              <w:t xml:space="preserve">Appendix </w:t>
            </w:r>
            <w:r w:rsidR="00E030C4" w:rsidRPr="00A67277">
              <w:rPr>
                <w:rFonts w:cs="Arial"/>
                <w:sz w:val="21"/>
              </w:rPr>
              <w:t>7</w:t>
            </w:r>
            <w:r w:rsidRPr="00A67277">
              <w:rPr>
                <w:rFonts w:cs="Arial"/>
                <w:sz w:val="21"/>
              </w:rPr>
              <w:t xml:space="preserve"> – Start-up and Testing Procedures</w:t>
            </w:r>
          </w:p>
        </w:tc>
        <w:tc>
          <w:tcPr>
            <w:tcW w:w="236" w:type="dxa"/>
          </w:tcPr>
          <w:p w14:paraId="735AF7F2" w14:textId="77777777" w:rsidR="00923319" w:rsidRPr="00A67277" w:rsidRDefault="00923319" w:rsidP="00923319">
            <w:pPr>
              <w:spacing w:before="120" w:after="120"/>
              <w:rPr>
                <w:rFonts w:ascii="Arial" w:hAnsi="Arial" w:cs="Arial"/>
                <w:sz w:val="21"/>
                <w:szCs w:val="21"/>
              </w:rPr>
            </w:pPr>
          </w:p>
        </w:tc>
        <w:tc>
          <w:tcPr>
            <w:tcW w:w="4532" w:type="dxa"/>
          </w:tcPr>
          <w:p w14:paraId="03E6FE39" w14:textId="60C18C5A" w:rsidR="00923319" w:rsidRPr="00A67277" w:rsidRDefault="00923319" w:rsidP="00923319">
            <w:pPr>
              <w:pStyle w:val="SchTitle"/>
              <w:rPr>
                <w:rFonts w:cs="Arial"/>
                <w:b w:val="0"/>
                <w:sz w:val="21"/>
              </w:rPr>
            </w:pPr>
            <w:r w:rsidRPr="00A67277">
              <w:rPr>
                <w:rFonts w:cs="Arial"/>
                <w:sz w:val="21"/>
              </w:rPr>
              <w:t xml:space="preserve">Lampiran </w:t>
            </w:r>
            <w:r w:rsidR="00E030C4" w:rsidRPr="00A67277">
              <w:rPr>
                <w:rFonts w:cs="Arial"/>
                <w:sz w:val="21"/>
              </w:rPr>
              <w:t>7</w:t>
            </w:r>
            <w:r w:rsidRPr="00A67277">
              <w:rPr>
                <w:rFonts w:cs="Arial"/>
                <w:sz w:val="21"/>
              </w:rPr>
              <w:t xml:space="preserve"> – Prosedur Permulaan dan Pengujian </w:t>
            </w:r>
          </w:p>
        </w:tc>
      </w:tr>
      <w:tr w:rsidR="00923319" w:rsidRPr="00A67277" w14:paraId="43C9E045" w14:textId="77777777" w:rsidTr="00923319">
        <w:tc>
          <w:tcPr>
            <w:tcW w:w="4596" w:type="dxa"/>
          </w:tcPr>
          <w:p w14:paraId="32A3EA9D" w14:textId="77777777" w:rsidR="00923319" w:rsidRPr="00A67277" w:rsidRDefault="00923319" w:rsidP="00923319">
            <w:pPr>
              <w:pStyle w:val="SchSubtitle"/>
              <w:numPr>
                <w:ilvl w:val="0"/>
                <w:numId w:val="0"/>
              </w:numPr>
              <w:spacing w:before="120" w:after="120"/>
              <w:jc w:val="both"/>
              <w:rPr>
                <w:rFonts w:cs="Arial"/>
                <w:b w:val="0"/>
              </w:rPr>
            </w:pPr>
          </w:p>
        </w:tc>
        <w:tc>
          <w:tcPr>
            <w:tcW w:w="236" w:type="dxa"/>
          </w:tcPr>
          <w:p w14:paraId="556C4EA4" w14:textId="77777777" w:rsidR="00923319" w:rsidRPr="00A67277" w:rsidRDefault="00923319" w:rsidP="00923319">
            <w:pPr>
              <w:spacing w:before="120" w:after="120"/>
              <w:rPr>
                <w:rFonts w:ascii="Arial" w:hAnsi="Arial" w:cs="Arial"/>
                <w:sz w:val="21"/>
                <w:szCs w:val="21"/>
              </w:rPr>
            </w:pPr>
          </w:p>
        </w:tc>
        <w:tc>
          <w:tcPr>
            <w:tcW w:w="4532" w:type="dxa"/>
          </w:tcPr>
          <w:p w14:paraId="3711DFF7" w14:textId="77777777" w:rsidR="00923319" w:rsidRPr="00A67277" w:rsidRDefault="00923319" w:rsidP="00923319">
            <w:pPr>
              <w:pStyle w:val="FootnoteText"/>
              <w:spacing w:before="120" w:after="120"/>
              <w:ind w:left="0" w:firstLine="0"/>
              <w:rPr>
                <w:rFonts w:cs="Arial"/>
                <w:i/>
                <w:sz w:val="21"/>
              </w:rPr>
            </w:pPr>
          </w:p>
        </w:tc>
      </w:tr>
      <w:tr w:rsidR="00923319" w:rsidRPr="00A67277" w14:paraId="223C066B" w14:textId="77777777" w:rsidTr="00923319">
        <w:trPr>
          <w:trHeight w:val="1898"/>
        </w:trPr>
        <w:tc>
          <w:tcPr>
            <w:tcW w:w="4596" w:type="dxa"/>
          </w:tcPr>
          <w:p w14:paraId="32AD933B" w14:textId="7C324A0F" w:rsidR="00923319" w:rsidRPr="00A67277" w:rsidRDefault="00923319" w:rsidP="00923319">
            <w:pPr>
              <w:pStyle w:val="Body2"/>
              <w:spacing w:before="120" w:after="120"/>
              <w:ind w:left="0"/>
              <w:rPr>
                <w:rFonts w:eastAsia="Calibri" w:cs="Arial"/>
                <w:i/>
                <w:lang w:val="en-US" w:eastAsia="en-US"/>
              </w:rPr>
            </w:pPr>
            <w:r w:rsidRPr="00A67277">
              <w:rPr>
                <w:rFonts w:eastAsia="Calibri" w:cs="Arial"/>
                <w:b/>
                <w:i/>
                <w:lang w:val="en-US" w:eastAsia="en-US"/>
              </w:rPr>
              <w:t xml:space="preserve">This Appendix </w:t>
            </w:r>
            <w:r w:rsidR="00E030C4" w:rsidRPr="00A67277">
              <w:rPr>
                <w:rFonts w:eastAsia="Calibri" w:cs="Arial"/>
                <w:b/>
                <w:i/>
                <w:lang w:val="en-US" w:eastAsia="en-US"/>
              </w:rPr>
              <w:t>7</w:t>
            </w:r>
            <w:r w:rsidRPr="00A67277">
              <w:rPr>
                <w:rFonts w:eastAsia="Calibri" w:cs="Arial"/>
                <w:b/>
                <w:i/>
                <w:lang w:val="en-US" w:eastAsia="en-US"/>
              </w:rPr>
              <w:t xml:space="preserve"> will incorporate the start-up and testing procedures proposal submitted by the Winning Bidder in its Technical Proposal. </w:t>
            </w:r>
          </w:p>
        </w:tc>
        <w:tc>
          <w:tcPr>
            <w:tcW w:w="236" w:type="dxa"/>
          </w:tcPr>
          <w:p w14:paraId="47F601F2" w14:textId="77777777" w:rsidR="00923319" w:rsidRPr="00A67277" w:rsidRDefault="00923319" w:rsidP="00923319">
            <w:pPr>
              <w:pStyle w:val="Body2"/>
              <w:spacing w:before="120" w:after="120"/>
              <w:ind w:left="0"/>
              <w:rPr>
                <w:rFonts w:eastAsia="Calibri" w:cs="Arial"/>
                <w:b/>
                <w:i/>
              </w:rPr>
            </w:pPr>
          </w:p>
        </w:tc>
        <w:tc>
          <w:tcPr>
            <w:tcW w:w="4532" w:type="dxa"/>
          </w:tcPr>
          <w:p w14:paraId="43B56DA4" w14:textId="30501AD6" w:rsidR="00923319" w:rsidRPr="00A67277" w:rsidRDefault="00923319" w:rsidP="00923319">
            <w:pPr>
              <w:pStyle w:val="Body2"/>
              <w:spacing w:before="120" w:after="120"/>
              <w:ind w:left="0"/>
              <w:rPr>
                <w:rFonts w:eastAsia="Calibri" w:cs="Arial"/>
                <w:i/>
                <w:lang w:val="en-US" w:eastAsia="en-US"/>
              </w:rPr>
            </w:pPr>
            <w:r w:rsidRPr="00A67277">
              <w:rPr>
                <w:rFonts w:eastAsia="Calibri" w:cs="Arial"/>
                <w:b/>
                <w:i/>
                <w:lang w:val="en-US" w:eastAsia="en-US"/>
              </w:rPr>
              <w:t xml:space="preserve">Lampiran </w:t>
            </w:r>
            <w:r w:rsidR="00E030C4" w:rsidRPr="00A67277">
              <w:rPr>
                <w:rFonts w:eastAsia="Calibri" w:cs="Arial"/>
                <w:b/>
                <w:i/>
                <w:lang w:val="en-US" w:eastAsia="en-US"/>
              </w:rPr>
              <w:t>7</w:t>
            </w:r>
            <w:r w:rsidRPr="00A67277">
              <w:rPr>
                <w:rFonts w:eastAsia="Calibri" w:cs="Arial"/>
                <w:b/>
                <w:i/>
                <w:lang w:val="en-US" w:eastAsia="en-US"/>
              </w:rPr>
              <w:t xml:space="preserve"> ini akan memasukkan proposal prosedur permulaan dan pengujian yang diajukan oleh Pemenang Lelang dalam Penawaran Teknisnya.  </w:t>
            </w:r>
          </w:p>
        </w:tc>
      </w:tr>
    </w:tbl>
    <w:p w14:paraId="73CF088A" w14:textId="77777777" w:rsidR="00923319" w:rsidRPr="00A67277" w:rsidRDefault="00923319" w:rsidP="00923319">
      <w:pPr>
        <w:rPr>
          <w:rFonts w:ascii="Arial" w:hAnsi="Arial" w:cs="Arial"/>
          <w:sz w:val="21"/>
          <w:szCs w:val="21"/>
        </w:rPr>
      </w:pPr>
    </w:p>
    <w:p w14:paraId="688795E2" w14:textId="77777777" w:rsidR="00923319" w:rsidRPr="00A67277" w:rsidRDefault="00923319" w:rsidP="00923319">
      <w:pPr>
        <w:rPr>
          <w:rFonts w:ascii="Arial" w:hAnsi="Arial" w:cs="Arial"/>
          <w:sz w:val="21"/>
          <w:szCs w:val="21"/>
        </w:rPr>
      </w:pPr>
    </w:p>
    <w:p w14:paraId="348DF3C4"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p w14:paraId="44CD78ED" w14:textId="77777777" w:rsidR="00923319" w:rsidRPr="00A67277" w:rsidRDefault="00923319" w:rsidP="00923319">
      <w:pPr>
        <w:rPr>
          <w:rFonts w:ascii="Arial" w:hAnsi="Arial" w:cs="Arial"/>
          <w:sz w:val="21"/>
          <w:szCs w:val="21"/>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6"/>
        <w:gridCol w:w="236"/>
        <w:gridCol w:w="4532"/>
      </w:tblGrid>
      <w:tr w:rsidR="00923319" w:rsidRPr="00A67277" w14:paraId="13CE58A0" w14:textId="77777777" w:rsidTr="00923319">
        <w:tc>
          <w:tcPr>
            <w:tcW w:w="4596" w:type="dxa"/>
          </w:tcPr>
          <w:p w14:paraId="19A4E3F5" w14:textId="0C22411D" w:rsidR="00923319" w:rsidRPr="00A67277" w:rsidRDefault="00923319" w:rsidP="00E030C4">
            <w:pPr>
              <w:pStyle w:val="SchTitle"/>
              <w:rPr>
                <w:rFonts w:cs="Arial"/>
                <w:sz w:val="21"/>
              </w:rPr>
            </w:pPr>
            <w:r w:rsidRPr="00A67277">
              <w:br w:type="page"/>
            </w:r>
            <w:r w:rsidRPr="00A67277">
              <w:rPr>
                <w:rFonts w:cs="Arial"/>
                <w:sz w:val="21"/>
              </w:rPr>
              <w:t xml:space="preserve">Appendix </w:t>
            </w:r>
            <w:r w:rsidR="00E030C4" w:rsidRPr="00A67277">
              <w:rPr>
                <w:rFonts w:cs="Arial"/>
                <w:sz w:val="21"/>
              </w:rPr>
              <w:t xml:space="preserve">8 </w:t>
            </w:r>
            <w:r w:rsidRPr="00A67277">
              <w:rPr>
                <w:rFonts w:cs="Arial"/>
                <w:sz w:val="21"/>
              </w:rPr>
              <w:t>– Operations and Asset Management</w:t>
            </w:r>
          </w:p>
        </w:tc>
        <w:tc>
          <w:tcPr>
            <w:tcW w:w="236" w:type="dxa"/>
          </w:tcPr>
          <w:p w14:paraId="65C9E8E5" w14:textId="77777777" w:rsidR="00923319" w:rsidRPr="00A67277" w:rsidRDefault="00923319" w:rsidP="00923319">
            <w:pPr>
              <w:spacing w:before="120" w:after="120"/>
              <w:rPr>
                <w:rFonts w:ascii="Arial" w:hAnsi="Arial" w:cs="Arial"/>
                <w:sz w:val="21"/>
                <w:szCs w:val="21"/>
              </w:rPr>
            </w:pPr>
          </w:p>
        </w:tc>
        <w:tc>
          <w:tcPr>
            <w:tcW w:w="4532" w:type="dxa"/>
          </w:tcPr>
          <w:p w14:paraId="0DF8908E" w14:textId="19289FF3" w:rsidR="00923319" w:rsidRPr="00A67277" w:rsidRDefault="00923319" w:rsidP="00E030C4">
            <w:pPr>
              <w:pStyle w:val="SchTitle"/>
              <w:rPr>
                <w:rFonts w:cs="Arial"/>
                <w:b w:val="0"/>
                <w:sz w:val="21"/>
              </w:rPr>
            </w:pPr>
            <w:r w:rsidRPr="00A67277">
              <w:rPr>
                <w:rFonts w:cs="Arial"/>
                <w:sz w:val="21"/>
              </w:rPr>
              <w:t xml:space="preserve">Lampiran </w:t>
            </w:r>
            <w:r w:rsidR="00E030C4" w:rsidRPr="00A67277">
              <w:rPr>
                <w:rFonts w:cs="Arial"/>
                <w:sz w:val="21"/>
              </w:rPr>
              <w:t xml:space="preserve">8 </w:t>
            </w:r>
            <w:r w:rsidRPr="00A67277">
              <w:rPr>
                <w:rFonts w:cs="Arial"/>
                <w:sz w:val="21"/>
              </w:rPr>
              <w:t xml:space="preserve">– Manajemen Pengoperasian dan Aset </w:t>
            </w:r>
          </w:p>
        </w:tc>
      </w:tr>
      <w:tr w:rsidR="00923319" w:rsidRPr="00A67277" w14:paraId="65B10C5D" w14:textId="77777777" w:rsidTr="00923319">
        <w:tc>
          <w:tcPr>
            <w:tcW w:w="4596" w:type="dxa"/>
          </w:tcPr>
          <w:p w14:paraId="6E2ABF13" w14:textId="77777777" w:rsidR="00923319" w:rsidRPr="00A67277" w:rsidRDefault="00923319" w:rsidP="00923319">
            <w:pPr>
              <w:pStyle w:val="Level3"/>
              <w:tabs>
                <w:tab w:val="left" w:pos="720"/>
              </w:tabs>
              <w:spacing w:before="120" w:after="120"/>
              <w:outlineLvl w:val="9"/>
              <w:rPr>
                <w:rFonts w:cs="Arial"/>
                <w:i/>
              </w:rPr>
            </w:pPr>
          </w:p>
        </w:tc>
        <w:tc>
          <w:tcPr>
            <w:tcW w:w="236" w:type="dxa"/>
          </w:tcPr>
          <w:p w14:paraId="78F12AA5" w14:textId="77777777" w:rsidR="00923319" w:rsidRPr="00A67277" w:rsidRDefault="00923319" w:rsidP="00923319">
            <w:pPr>
              <w:spacing w:before="120" w:after="120"/>
              <w:rPr>
                <w:rFonts w:ascii="Arial" w:hAnsi="Arial" w:cs="Arial"/>
                <w:sz w:val="21"/>
                <w:szCs w:val="21"/>
              </w:rPr>
            </w:pPr>
          </w:p>
        </w:tc>
        <w:tc>
          <w:tcPr>
            <w:tcW w:w="4532" w:type="dxa"/>
          </w:tcPr>
          <w:p w14:paraId="56FDE7C3" w14:textId="77777777" w:rsidR="00923319" w:rsidRPr="00A67277" w:rsidRDefault="00923319" w:rsidP="00923319">
            <w:pPr>
              <w:pStyle w:val="FootnoteText"/>
              <w:spacing w:before="120" w:after="120"/>
              <w:ind w:left="0" w:firstLine="0"/>
              <w:rPr>
                <w:rFonts w:eastAsia="Calibri" w:cs="Arial"/>
                <w:i/>
                <w:sz w:val="21"/>
              </w:rPr>
            </w:pPr>
          </w:p>
        </w:tc>
      </w:tr>
      <w:tr w:rsidR="00923319" w:rsidRPr="00A67277" w14:paraId="4BC95013" w14:textId="77777777" w:rsidTr="00923319">
        <w:trPr>
          <w:trHeight w:val="1898"/>
        </w:trPr>
        <w:tc>
          <w:tcPr>
            <w:tcW w:w="4596" w:type="dxa"/>
          </w:tcPr>
          <w:p w14:paraId="54343489" w14:textId="247D6A76" w:rsidR="00923319" w:rsidRPr="00A67277" w:rsidRDefault="00923319" w:rsidP="00E030C4">
            <w:pPr>
              <w:pStyle w:val="Body2"/>
              <w:spacing w:before="120" w:after="120"/>
              <w:ind w:left="0"/>
              <w:rPr>
                <w:rFonts w:eastAsia="Calibri" w:cs="Arial"/>
                <w:i/>
                <w:lang w:val="en-US" w:eastAsia="en-US"/>
              </w:rPr>
            </w:pPr>
            <w:r w:rsidRPr="00A67277">
              <w:rPr>
                <w:rFonts w:eastAsia="Calibri" w:cs="Arial"/>
                <w:b/>
                <w:i/>
                <w:lang w:val="en-US" w:eastAsia="en-US"/>
              </w:rPr>
              <w:t xml:space="preserve">This Appendix </w:t>
            </w:r>
            <w:r w:rsidR="00E030C4" w:rsidRPr="00A67277">
              <w:rPr>
                <w:rFonts w:eastAsia="Calibri" w:cs="Arial"/>
                <w:b/>
                <w:i/>
                <w:lang w:val="en-US" w:eastAsia="en-US"/>
              </w:rPr>
              <w:t xml:space="preserve">8 </w:t>
            </w:r>
            <w:r w:rsidRPr="00A67277">
              <w:rPr>
                <w:rFonts w:eastAsia="Calibri" w:cs="Arial"/>
                <w:b/>
                <w:i/>
                <w:lang w:val="en-US" w:eastAsia="en-US"/>
              </w:rPr>
              <w:t xml:space="preserve">will incorporate the operations and asset management procedures proposed by the Winning Bidder in its Technical Proposal, including among others, operation, maintenance and emergency arrangements. </w:t>
            </w:r>
          </w:p>
        </w:tc>
        <w:tc>
          <w:tcPr>
            <w:tcW w:w="236" w:type="dxa"/>
          </w:tcPr>
          <w:p w14:paraId="71D0430F" w14:textId="77777777" w:rsidR="00923319" w:rsidRPr="00A67277" w:rsidRDefault="00923319" w:rsidP="00923319">
            <w:pPr>
              <w:pStyle w:val="Body2"/>
              <w:spacing w:before="120" w:after="120"/>
              <w:ind w:left="0"/>
              <w:rPr>
                <w:rFonts w:eastAsia="Calibri" w:cs="Arial"/>
                <w:b/>
                <w:i/>
              </w:rPr>
            </w:pPr>
          </w:p>
        </w:tc>
        <w:tc>
          <w:tcPr>
            <w:tcW w:w="4532" w:type="dxa"/>
          </w:tcPr>
          <w:p w14:paraId="5DA987BD" w14:textId="4E60B37F" w:rsidR="00923319" w:rsidRPr="00A67277" w:rsidRDefault="00923319" w:rsidP="00E030C4">
            <w:pPr>
              <w:pStyle w:val="Body2"/>
              <w:spacing w:before="120" w:after="120"/>
              <w:ind w:left="0"/>
              <w:rPr>
                <w:rFonts w:eastAsia="Calibri" w:cs="Arial"/>
                <w:i/>
                <w:lang w:val="en-US" w:eastAsia="en-US"/>
              </w:rPr>
            </w:pPr>
            <w:r w:rsidRPr="00A67277">
              <w:rPr>
                <w:rFonts w:eastAsia="Calibri" w:cs="Arial"/>
                <w:b/>
                <w:i/>
                <w:lang w:val="en-US" w:eastAsia="en-US"/>
              </w:rPr>
              <w:t xml:space="preserve">Lampiran </w:t>
            </w:r>
            <w:r w:rsidR="00E030C4" w:rsidRPr="00A67277">
              <w:rPr>
                <w:rFonts w:eastAsia="Calibri" w:cs="Arial"/>
                <w:b/>
                <w:i/>
                <w:lang w:val="en-US" w:eastAsia="en-US"/>
              </w:rPr>
              <w:t xml:space="preserve">8 </w:t>
            </w:r>
            <w:r w:rsidRPr="00A67277">
              <w:rPr>
                <w:rFonts w:eastAsia="Calibri" w:cs="Arial"/>
                <w:b/>
                <w:i/>
                <w:lang w:val="en-US" w:eastAsia="en-US"/>
              </w:rPr>
              <w:t xml:space="preserve">ini akan memasukkan proposal manajemen pengoperasian dan aset yang diajukan oleh Pemenang Lelang dalam Penawaran Teknisnya, yang meliputi antara lain pengaturan pengoperasian, pemeliharaan dan keadaan darurat.  </w:t>
            </w:r>
          </w:p>
        </w:tc>
      </w:tr>
    </w:tbl>
    <w:p w14:paraId="0511D0C2" w14:textId="77777777" w:rsidR="00923319" w:rsidRPr="00A67277" w:rsidRDefault="00923319" w:rsidP="00923319">
      <w:pPr>
        <w:rPr>
          <w:rFonts w:ascii="Arial" w:hAnsi="Arial" w:cs="Arial"/>
          <w:sz w:val="21"/>
          <w:szCs w:val="21"/>
        </w:rPr>
      </w:pPr>
    </w:p>
    <w:p w14:paraId="17824C84"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p w14:paraId="4B4A7B70" w14:textId="77777777" w:rsidR="00923319" w:rsidRPr="00A67277" w:rsidRDefault="00923319" w:rsidP="00923319">
      <w:pPr>
        <w:rPr>
          <w:rFonts w:ascii="Arial" w:hAnsi="Arial" w:cs="Arial"/>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535"/>
        <w:gridCol w:w="239"/>
        <w:gridCol w:w="3926"/>
        <w:gridCol w:w="48"/>
      </w:tblGrid>
      <w:tr w:rsidR="00923319" w:rsidRPr="00A67277" w14:paraId="01DC8A21" w14:textId="77777777" w:rsidTr="009F105C">
        <w:trPr>
          <w:gridAfter w:val="1"/>
          <w:wAfter w:w="48" w:type="dxa"/>
        </w:trPr>
        <w:tc>
          <w:tcPr>
            <w:tcW w:w="4864" w:type="dxa"/>
            <w:gridSpan w:val="2"/>
          </w:tcPr>
          <w:p w14:paraId="036E598C" w14:textId="6ED3011A" w:rsidR="00923319" w:rsidRPr="00A67277" w:rsidRDefault="00923319" w:rsidP="00923319">
            <w:pPr>
              <w:spacing w:before="120" w:after="120"/>
              <w:jc w:val="center"/>
              <w:rPr>
                <w:rFonts w:ascii="Arial" w:hAnsi="Arial" w:cs="Arial"/>
                <w:b/>
                <w:sz w:val="21"/>
                <w:szCs w:val="21"/>
              </w:rPr>
            </w:pPr>
            <w:r w:rsidRPr="00A67277">
              <w:rPr>
                <w:rFonts w:ascii="Arial" w:hAnsi="Arial" w:cs="Arial"/>
                <w:b/>
                <w:sz w:val="21"/>
                <w:szCs w:val="21"/>
              </w:rPr>
              <w:t xml:space="preserve">APPENDIX </w:t>
            </w:r>
            <w:r w:rsidR="00E030C4" w:rsidRPr="00A67277">
              <w:rPr>
                <w:rFonts w:ascii="Arial" w:hAnsi="Arial" w:cs="Arial"/>
                <w:b/>
                <w:sz w:val="21"/>
                <w:szCs w:val="21"/>
              </w:rPr>
              <w:t xml:space="preserve">9 </w:t>
            </w:r>
          </w:p>
          <w:p w14:paraId="3B6E0BE1" w14:textId="77777777" w:rsidR="00923319" w:rsidRPr="00A67277" w:rsidRDefault="00923319" w:rsidP="00923319">
            <w:pPr>
              <w:spacing w:before="120" w:after="120"/>
              <w:jc w:val="center"/>
              <w:rPr>
                <w:rFonts w:ascii="Arial" w:hAnsi="Arial" w:cs="Arial"/>
                <w:b/>
                <w:sz w:val="21"/>
                <w:szCs w:val="21"/>
              </w:rPr>
            </w:pPr>
            <w:r w:rsidRPr="00A67277">
              <w:rPr>
                <w:rFonts w:ascii="Arial" w:hAnsi="Arial" w:cs="Arial"/>
                <w:b/>
                <w:sz w:val="21"/>
                <w:szCs w:val="21"/>
              </w:rPr>
              <w:t>KEY PERFORMANCE INDICATORS</w:t>
            </w:r>
          </w:p>
        </w:tc>
        <w:tc>
          <w:tcPr>
            <w:tcW w:w="239" w:type="dxa"/>
          </w:tcPr>
          <w:p w14:paraId="07CA7D2D" w14:textId="77777777" w:rsidR="00923319" w:rsidRPr="00A67277" w:rsidRDefault="00923319" w:rsidP="00923319">
            <w:pPr>
              <w:spacing w:before="120" w:after="120"/>
              <w:rPr>
                <w:rFonts w:ascii="Arial" w:hAnsi="Arial" w:cs="Arial"/>
                <w:sz w:val="21"/>
                <w:szCs w:val="21"/>
              </w:rPr>
            </w:pPr>
          </w:p>
        </w:tc>
        <w:tc>
          <w:tcPr>
            <w:tcW w:w="3926" w:type="dxa"/>
          </w:tcPr>
          <w:p w14:paraId="7E30D0EE" w14:textId="2FDE26DA" w:rsidR="00923319" w:rsidRPr="00A67277" w:rsidRDefault="00923319" w:rsidP="00923319">
            <w:pPr>
              <w:spacing w:before="120" w:after="120"/>
              <w:jc w:val="center"/>
              <w:rPr>
                <w:rFonts w:ascii="Arial" w:hAnsi="Arial" w:cs="Arial"/>
                <w:b/>
                <w:sz w:val="21"/>
                <w:szCs w:val="21"/>
              </w:rPr>
            </w:pPr>
            <w:r w:rsidRPr="00A67277">
              <w:rPr>
                <w:rFonts w:ascii="Arial" w:hAnsi="Arial" w:cs="Arial"/>
                <w:b/>
                <w:sz w:val="21"/>
                <w:szCs w:val="21"/>
              </w:rPr>
              <w:t xml:space="preserve">LAMPIRAN </w:t>
            </w:r>
            <w:r w:rsidR="00E030C4" w:rsidRPr="00A67277">
              <w:rPr>
                <w:rFonts w:ascii="Arial" w:hAnsi="Arial" w:cs="Arial"/>
                <w:b/>
                <w:sz w:val="21"/>
                <w:szCs w:val="21"/>
              </w:rPr>
              <w:t xml:space="preserve">9 </w:t>
            </w:r>
          </w:p>
          <w:p w14:paraId="31CC3365" w14:textId="77777777" w:rsidR="00923319" w:rsidRPr="00A67277" w:rsidRDefault="00923319" w:rsidP="00923319">
            <w:pPr>
              <w:spacing w:before="120" w:after="120"/>
              <w:jc w:val="center"/>
              <w:rPr>
                <w:rFonts w:ascii="Arial" w:hAnsi="Arial" w:cs="Arial"/>
                <w:sz w:val="21"/>
                <w:szCs w:val="21"/>
                <w:lang w:val="id-ID"/>
              </w:rPr>
            </w:pPr>
            <w:r w:rsidRPr="00A67277">
              <w:rPr>
                <w:rFonts w:ascii="Arial" w:hAnsi="Arial" w:cs="Arial"/>
                <w:b/>
                <w:sz w:val="21"/>
                <w:szCs w:val="21"/>
              </w:rPr>
              <w:t>INDIKATOR KINERJA UTAMA</w:t>
            </w:r>
          </w:p>
        </w:tc>
      </w:tr>
      <w:tr w:rsidR="00923319" w:rsidRPr="00A67277" w14:paraId="42045E51" w14:textId="77777777" w:rsidTr="009F105C">
        <w:trPr>
          <w:gridAfter w:val="1"/>
          <w:wAfter w:w="48" w:type="dxa"/>
        </w:trPr>
        <w:tc>
          <w:tcPr>
            <w:tcW w:w="4864" w:type="dxa"/>
            <w:gridSpan w:val="2"/>
          </w:tcPr>
          <w:p w14:paraId="0957B4ED" w14:textId="14BC1275" w:rsidR="00923319" w:rsidRPr="00A67277" w:rsidRDefault="00923319" w:rsidP="00923319">
            <w:pPr>
              <w:suppressAutoHyphens/>
              <w:spacing w:before="120" w:after="120"/>
              <w:jc w:val="both"/>
              <w:rPr>
                <w:rFonts w:ascii="Arial" w:hAnsi="Arial" w:cs="Arial"/>
                <w:sz w:val="21"/>
                <w:szCs w:val="21"/>
              </w:rPr>
            </w:pPr>
            <w:r w:rsidRPr="00A67277">
              <w:rPr>
                <w:rFonts w:ascii="Arial" w:hAnsi="Arial" w:cs="Arial"/>
                <w:sz w:val="21"/>
                <w:szCs w:val="21"/>
              </w:rPr>
              <w:t>The IBE shall design the Facility to meet this Key Performance Indicators</w:t>
            </w:r>
            <w:r w:rsidR="00503D61">
              <w:rPr>
                <w:rFonts w:ascii="Arial" w:hAnsi="Arial" w:cs="Arial"/>
                <w:sz w:val="21"/>
                <w:szCs w:val="21"/>
              </w:rPr>
              <w:t xml:space="preserve"> as of the Commercial Operation Date</w:t>
            </w:r>
            <w:r w:rsidRPr="00A67277">
              <w:rPr>
                <w:rFonts w:ascii="Arial" w:hAnsi="Arial" w:cs="Arial"/>
                <w:sz w:val="21"/>
                <w:szCs w:val="21"/>
              </w:rPr>
              <w:t xml:space="preserve">:  </w:t>
            </w:r>
          </w:p>
        </w:tc>
        <w:tc>
          <w:tcPr>
            <w:tcW w:w="239" w:type="dxa"/>
          </w:tcPr>
          <w:p w14:paraId="04C4AAA3" w14:textId="77777777" w:rsidR="00923319" w:rsidRPr="00A67277" w:rsidRDefault="00923319" w:rsidP="00923319">
            <w:pPr>
              <w:spacing w:before="120" w:after="120"/>
              <w:rPr>
                <w:rFonts w:ascii="Arial" w:hAnsi="Arial" w:cs="Arial"/>
                <w:sz w:val="21"/>
                <w:szCs w:val="21"/>
              </w:rPr>
            </w:pPr>
          </w:p>
        </w:tc>
        <w:tc>
          <w:tcPr>
            <w:tcW w:w="3926" w:type="dxa"/>
          </w:tcPr>
          <w:p w14:paraId="3BE39C08" w14:textId="7AE55B86" w:rsidR="00923319" w:rsidRPr="00A67277" w:rsidRDefault="00923319" w:rsidP="00923319">
            <w:pPr>
              <w:suppressAutoHyphens/>
              <w:spacing w:before="120" w:after="120"/>
              <w:jc w:val="both"/>
              <w:rPr>
                <w:rFonts w:ascii="Arial" w:hAnsi="Arial" w:cs="Arial"/>
                <w:sz w:val="21"/>
                <w:szCs w:val="21"/>
                <w:lang w:val="id-ID"/>
              </w:rPr>
            </w:pPr>
            <w:r w:rsidRPr="00A67277">
              <w:rPr>
                <w:rFonts w:ascii="Arial" w:hAnsi="Arial" w:cs="Arial"/>
                <w:sz w:val="21"/>
                <w:szCs w:val="21"/>
                <w:lang w:val="id-ID"/>
              </w:rPr>
              <w:t xml:space="preserve">BUP </w:t>
            </w:r>
            <w:r w:rsidRPr="00A67277">
              <w:rPr>
                <w:rFonts w:ascii="Arial" w:hAnsi="Arial" w:cs="Arial"/>
                <w:sz w:val="21"/>
                <w:szCs w:val="21"/>
              </w:rPr>
              <w:t xml:space="preserve">harus </w:t>
            </w:r>
            <w:r w:rsidRPr="00A67277">
              <w:rPr>
                <w:rFonts w:ascii="Arial" w:hAnsi="Arial" w:cs="Arial"/>
                <w:sz w:val="21"/>
                <w:szCs w:val="21"/>
                <w:lang w:val="id-ID"/>
              </w:rPr>
              <w:t xml:space="preserve">merancang Fasilitas untuk memenuhi </w:t>
            </w:r>
            <w:r w:rsidRPr="00A67277">
              <w:rPr>
                <w:rFonts w:ascii="Arial" w:hAnsi="Arial" w:cs="Arial"/>
                <w:sz w:val="21"/>
                <w:szCs w:val="21"/>
              </w:rPr>
              <w:t>Indikator Kinerja Utama sebagai berikut</w:t>
            </w:r>
            <w:r w:rsidR="00503D61">
              <w:rPr>
                <w:rFonts w:ascii="Arial" w:hAnsi="Arial" w:cs="Arial"/>
                <w:sz w:val="21"/>
                <w:szCs w:val="21"/>
              </w:rPr>
              <w:t xml:space="preserve"> sejak Tanggal Operasi Komersial</w:t>
            </w:r>
            <w:r w:rsidRPr="00A67277">
              <w:rPr>
                <w:rFonts w:ascii="Arial" w:hAnsi="Arial" w:cs="Arial"/>
                <w:sz w:val="21"/>
                <w:szCs w:val="21"/>
              </w:rPr>
              <w:t>:</w:t>
            </w:r>
            <w:r w:rsidRPr="00A67277">
              <w:rPr>
                <w:rFonts w:ascii="Arial" w:hAnsi="Arial" w:cs="Arial"/>
                <w:sz w:val="21"/>
                <w:szCs w:val="21"/>
                <w:lang w:val="id-ID"/>
              </w:rPr>
              <w:t xml:space="preserve">  </w:t>
            </w:r>
          </w:p>
          <w:p w14:paraId="07D2EE15" w14:textId="7C75524F" w:rsidR="00F815CE" w:rsidRPr="00A67277" w:rsidRDefault="00F815CE" w:rsidP="00923319">
            <w:pPr>
              <w:suppressAutoHyphens/>
              <w:spacing w:before="120" w:after="120"/>
              <w:jc w:val="both"/>
              <w:rPr>
                <w:rFonts w:ascii="Arial" w:hAnsi="Arial" w:cs="Arial"/>
                <w:sz w:val="21"/>
                <w:szCs w:val="21"/>
              </w:rPr>
            </w:pPr>
          </w:p>
        </w:tc>
      </w:tr>
      <w:tr w:rsidR="00914B7B" w:rsidRPr="00F44320" w14:paraId="35C48DB2"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2"/>
          <w:tblHeader/>
        </w:trPr>
        <w:tc>
          <w:tcPr>
            <w:tcW w:w="4329" w:type="dxa"/>
            <w:shd w:val="clear" w:color="auto" w:fill="F2F2F2" w:themeFill="background1" w:themeFillShade="F2"/>
            <w:vAlign w:val="center"/>
          </w:tcPr>
          <w:p w14:paraId="3E384586" w14:textId="77777777" w:rsidR="00914B7B" w:rsidRDefault="00914B7B" w:rsidP="00805A74">
            <w:pPr>
              <w:pStyle w:val="ListParagraph"/>
              <w:spacing w:before="120" w:after="120"/>
              <w:ind w:left="0"/>
              <w:contextualSpacing w:val="0"/>
              <w:jc w:val="center"/>
              <w:rPr>
                <w:rFonts w:cs="Arial"/>
                <w:b/>
                <w:lang w:val="en-US"/>
              </w:rPr>
            </w:pPr>
            <w:r w:rsidRPr="00C84A0B">
              <w:rPr>
                <w:rFonts w:cs="Arial"/>
                <w:b/>
                <w:lang w:val="en-US"/>
              </w:rPr>
              <w:t>Persyaratan teknis</w:t>
            </w:r>
          </w:p>
          <w:p w14:paraId="0FCFEC7D" w14:textId="77777777" w:rsidR="00914B7B" w:rsidRPr="00C84A0B" w:rsidRDefault="00914B7B" w:rsidP="00805A74">
            <w:pPr>
              <w:pStyle w:val="ListParagraph"/>
              <w:spacing w:before="120" w:after="120"/>
              <w:ind w:left="0"/>
              <w:contextualSpacing w:val="0"/>
              <w:jc w:val="center"/>
              <w:rPr>
                <w:rFonts w:cs="Arial"/>
                <w:b/>
                <w:i/>
                <w:iCs/>
                <w:lang w:val="en-US"/>
              </w:rPr>
            </w:pPr>
            <w:r w:rsidRPr="00C84A0B">
              <w:rPr>
                <w:rFonts w:cs="Arial"/>
                <w:b/>
                <w:i/>
                <w:iCs/>
                <w:lang w:val="en-US"/>
              </w:rPr>
              <w:t>Technical Requirement</w:t>
            </w:r>
          </w:p>
        </w:tc>
        <w:tc>
          <w:tcPr>
            <w:tcW w:w="4748" w:type="dxa"/>
            <w:gridSpan w:val="4"/>
            <w:shd w:val="clear" w:color="auto" w:fill="F2F2F2" w:themeFill="background1" w:themeFillShade="F2"/>
            <w:vAlign w:val="center"/>
          </w:tcPr>
          <w:p w14:paraId="36B043D7" w14:textId="7DD1070E" w:rsidR="00914B7B" w:rsidRDefault="00914B7B" w:rsidP="00805A74">
            <w:pPr>
              <w:pStyle w:val="ListParagraph"/>
              <w:spacing w:before="120" w:after="120"/>
              <w:ind w:left="0"/>
              <w:contextualSpacing w:val="0"/>
              <w:jc w:val="center"/>
              <w:rPr>
                <w:rFonts w:cs="Arial"/>
                <w:b/>
                <w:lang w:val="en-US"/>
              </w:rPr>
            </w:pPr>
            <w:r w:rsidRPr="00C84A0B">
              <w:rPr>
                <w:rFonts w:cs="Arial"/>
                <w:b/>
                <w:lang w:val="en-US"/>
              </w:rPr>
              <w:t>Spesifikas</w:t>
            </w:r>
            <w:r w:rsidR="007F1D1A">
              <w:rPr>
                <w:rFonts w:cs="Arial"/>
                <w:b/>
                <w:lang w:val="en-US"/>
              </w:rPr>
              <w:t>i</w:t>
            </w:r>
            <w:r w:rsidRPr="00C84A0B">
              <w:rPr>
                <w:rFonts w:cs="Arial"/>
                <w:b/>
                <w:lang w:val="en-US"/>
              </w:rPr>
              <w:t xml:space="preserve"> Keluaran Proyek</w:t>
            </w:r>
          </w:p>
          <w:p w14:paraId="23274D13" w14:textId="77777777" w:rsidR="00914B7B" w:rsidRPr="00F44320" w:rsidRDefault="00914B7B" w:rsidP="00805A74">
            <w:pPr>
              <w:pStyle w:val="ListParagraph"/>
              <w:spacing w:before="120" w:after="120"/>
              <w:ind w:left="0"/>
              <w:contextualSpacing w:val="0"/>
              <w:jc w:val="center"/>
              <w:rPr>
                <w:rFonts w:cs="Arial"/>
                <w:b/>
                <w:lang w:val="en-US"/>
              </w:rPr>
            </w:pPr>
            <w:r w:rsidRPr="00F44320">
              <w:rPr>
                <w:rFonts w:cs="Arial"/>
                <w:b/>
                <w:lang w:val="en-US"/>
              </w:rPr>
              <w:t xml:space="preserve">Project </w:t>
            </w:r>
            <w:r>
              <w:rPr>
                <w:rFonts w:cs="Arial"/>
                <w:b/>
                <w:lang w:val="en-US"/>
              </w:rPr>
              <w:t xml:space="preserve">Output </w:t>
            </w:r>
            <w:r w:rsidRPr="00F44320">
              <w:rPr>
                <w:rFonts w:cs="Arial"/>
                <w:b/>
                <w:lang w:val="en-US"/>
              </w:rPr>
              <w:t>Specification</w:t>
            </w:r>
          </w:p>
        </w:tc>
      </w:tr>
      <w:tr w:rsidR="00914B7B" w:rsidRPr="00F44320" w14:paraId="54416500"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9077" w:type="dxa"/>
            <w:gridSpan w:val="5"/>
            <w:shd w:val="clear" w:color="auto" w:fill="auto"/>
            <w:vAlign w:val="center"/>
          </w:tcPr>
          <w:p w14:paraId="507CBD8E" w14:textId="77777777" w:rsidR="00914B7B" w:rsidRDefault="00914B7B" w:rsidP="00805A74">
            <w:pPr>
              <w:pStyle w:val="ListParagraph"/>
              <w:spacing w:before="120" w:after="120"/>
              <w:ind w:left="0"/>
              <w:contextualSpacing w:val="0"/>
              <w:rPr>
                <w:rFonts w:cs="Arial"/>
                <w:b/>
                <w:bCs/>
                <w:color w:val="000000" w:themeColor="text1"/>
                <w:lang w:val="en-US"/>
              </w:rPr>
            </w:pPr>
            <w:r w:rsidRPr="00C84A0B">
              <w:rPr>
                <w:rFonts w:cs="Arial"/>
                <w:b/>
                <w:bCs/>
                <w:color w:val="000000" w:themeColor="text1"/>
                <w:lang w:val="en-US"/>
              </w:rPr>
              <w:t>Sistem akan dinilai dengan Indikator Kinerja Utama berikut ini</w:t>
            </w:r>
          </w:p>
          <w:p w14:paraId="5C80CCE5" w14:textId="77777777" w:rsidR="00914B7B" w:rsidRPr="00F44320" w:rsidRDefault="00914B7B" w:rsidP="00805A74">
            <w:pPr>
              <w:pStyle w:val="ListParagraph"/>
              <w:spacing w:before="120" w:after="120"/>
              <w:ind w:left="0"/>
              <w:contextualSpacing w:val="0"/>
              <w:rPr>
                <w:rFonts w:cs="Arial"/>
                <w:b/>
                <w:bCs/>
                <w:color w:val="000000" w:themeColor="text1"/>
                <w:lang w:val="en-US"/>
              </w:rPr>
            </w:pPr>
            <w:r w:rsidRPr="00F44320">
              <w:rPr>
                <w:rFonts w:cs="Arial"/>
                <w:b/>
                <w:bCs/>
                <w:color w:val="000000" w:themeColor="text1"/>
                <w:lang w:val="en-US"/>
              </w:rPr>
              <w:t>The System shall be measured by the following Key Performance Indicators</w:t>
            </w:r>
          </w:p>
        </w:tc>
      </w:tr>
      <w:tr w:rsidR="00914B7B" w:rsidRPr="00F44320" w14:paraId="035581AD"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6BCC9BD8"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Transaksi Tol Elektronik</w:t>
            </w:r>
          </w:p>
          <w:p w14:paraId="2383AE6C"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Electronic Toll Collection system</w:t>
            </w:r>
          </w:p>
        </w:tc>
        <w:tc>
          <w:tcPr>
            <w:tcW w:w="4748" w:type="dxa"/>
            <w:gridSpan w:val="4"/>
            <w:shd w:val="clear" w:color="auto" w:fill="auto"/>
            <w:vAlign w:val="center"/>
          </w:tcPr>
          <w:p w14:paraId="0DC72FF1"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Sistem Transaksi Tol Elektronik harus tersedia bagi Pengguna Jalan, yang mengoperasikan </w:t>
            </w:r>
            <w:r w:rsidRPr="00C84A0B">
              <w:rPr>
                <w:rFonts w:cs="Arial"/>
                <w:i/>
                <w:iCs/>
                <w:color w:val="000000" w:themeColor="text1"/>
                <w:lang w:val="en-US"/>
              </w:rPr>
              <w:t>toll declaration</w:t>
            </w:r>
            <w:r w:rsidRPr="00C84A0B">
              <w:rPr>
                <w:rFonts w:cs="Arial"/>
                <w:color w:val="000000" w:themeColor="text1"/>
                <w:lang w:val="en-US"/>
              </w:rPr>
              <w:t xml:space="preserve"> dan berfungsi dengan keakuratan pentarifan tol hingga 100%</w:t>
            </w:r>
          </w:p>
          <w:p w14:paraId="2D86E7B3"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Toll Collection system shall be available to the Road Users, which operates toll declaration and functions with 100% accuracy of toll tariffing</w:t>
            </w:r>
          </w:p>
          <w:p w14:paraId="2B738BE1" w14:textId="77777777" w:rsidR="00914B7B" w:rsidRDefault="00914B7B" w:rsidP="00805A74">
            <w:pPr>
              <w:pStyle w:val="ListParagraph"/>
              <w:spacing w:before="120" w:after="120"/>
              <w:ind w:left="0"/>
              <w:contextualSpacing w:val="0"/>
              <w:rPr>
                <w:rFonts w:cs="Arial"/>
                <w:b/>
                <w:bCs/>
                <w:color w:val="000000" w:themeColor="text1"/>
                <w:lang w:val="en-US"/>
              </w:rPr>
            </w:pPr>
            <w:r>
              <w:rPr>
                <w:rFonts w:cs="Arial"/>
                <w:b/>
                <w:bCs/>
                <w:color w:val="000000" w:themeColor="text1"/>
                <w:lang w:val="en-US"/>
              </w:rPr>
              <w:t>Tingkat yang diharapkan 99%</w:t>
            </w:r>
          </w:p>
          <w:p w14:paraId="0ACA0604" w14:textId="77777777" w:rsidR="00914B7B" w:rsidRPr="008D7C6C" w:rsidRDefault="00914B7B" w:rsidP="00805A74">
            <w:pPr>
              <w:pStyle w:val="ListParagraph"/>
              <w:spacing w:before="120" w:after="120"/>
              <w:ind w:left="0"/>
              <w:contextualSpacing w:val="0"/>
              <w:rPr>
                <w:rFonts w:cs="Arial"/>
                <w:b/>
                <w:bCs/>
                <w:color w:val="000000" w:themeColor="text1"/>
                <w:lang w:val="en-US"/>
              </w:rPr>
            </w:pPr>
            <w:r w:rsidRPr="008D7C6C">
              <w:rPr>
                <w:rFonts w:cs="Arial"/>
                <w:b/>
                <w:bCs/>
                <w:color w:val="000000" w:themeColor="text1"/>
                <w:lang w:val="en-US"/>
              </w:rPr>
              <w:t>Expected level: 99%</w:t>
            </w:r>
          </w:p>
        </w:tc>
      </w:tr>
      <w:tr w:rsidR="00914B7B" w:rsidRPr="00F44320" w14:paraId="6DE9AE41"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025C827F"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pendukung penegakan yang efektif</w:t>
            </w:r>
          </w:p>
          <w:p w14:paraId="320701E7"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Effective enforcement support system</w:t>
            </w:r>
          </w:p>
        </w:tc>
        <w:tc>
          <w:tcPr>
            <w:tcW w:w="4748" w:type="dxa"/>
            <w:gridSpan w:val="4"/>
            <w:shd w:val="clear" w:color="auto" w:fill="auto"/>
            <w:vAlign w:val="center"/>
          </w:tcPr>
          <w:p w14:paraId="51E0C480" w14:textId="796E14EE" w:rsidR="00914B7B" w:rsidRPr="00C84A0B" w:rsidRDefault="00914B7B" w:rsidP="00805A74">
            <w:pPr>
              <w:pStyle w:val="ListParagraph"/>
              <w:spacing w:before="120" w:after="120"/>
              <w:ind w:left="0"/>
              <w:rPr>
                <w:rFonts w:cs="Arial"/>
                <w:color w:val="000000" w:themeColor="text1"/>
                <w:lang w:val="en-US"/>
              </w:rPr>
            </w:pPr>
            <w:r w:rsidRPr="00C84A0B">
              <w:rPr>
                <w:rFonts w:cs="Arial"/>
                <w:color w:val="000000" w:themeColor="text1"/>
                <w:lang w:val="en-US"/>
              </w:rPr>
              <w:t xml:space="preserve">Pengumpulan </w:t>
            </w:r>
            <w:r w:rsidR="007F1D1A">
              <w:rPr>
                <w:rFonts w:cs="Arial"/>
                <w:color w:val="000000" w:themeColor="text1"/>
                <w:lang w:val="en-US"/>
              </w:rPr>
              <w:t xml:space="preserve">data </w:t>
            </w:r>
            <w:r w:rsidRPr="00493072">
              <w:rPr>
                <w:rFonts w:cs="Arial"/>
                <w:i/>
                <w:iCs/>
                <w:color w:val="000000" w:themeColor="text1"/>
                <w:lang w:val="en-US"/>
              </w:rPr>
              <w:t>roadside</w:t>
            </w:r>
            <w:r w:rsidRPr="00C84A0B">
              <w:rPr>
                <w:rFonts w:cs="Arial"/>
                <w:color w:val="000000" w:themeColor="text1"/>
                <w:lang w:val="en-US"/>
              </w:rPr>
              <w:t xml:space="preserve"> dan sistem identifikasi kendaraan untuk menangkap secara otomatis nomor plat dan kategori dari semua kendaraan yang melewati titik penegakan hukum</w:t>
            </w:r>
          </w:p>
          <w:p w14:paraId="36DF3B37"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Roadside data collection and vehicle identification system to capture automatically both license plate and category of all passing vehicles through enforcement points</w:t>
            </w:r>
          </w:p>
          <w:p w14:paraId="2CEF8938" w14:textId="77777777" w:rsidR="00914B7B" w:rsidRDefault="00914B7B" w:rsidP="00805A74">
            <w:pPr>
              <w:pStyle w:val="ListParagraph"/>
              <w:spacing w:before="120" w:after="120"/>
              <w:ind w:left="0"/>
              <w:contextualSpacing w:val="0"/>
              <w:rPr>
                <w:rFonts w:cs="Arial"/>
                <w:b/>
                <w:bCs/>
                <w:color w:val="000000" w:themeColor="text1"/>
                <w:lang w:val="en-US"/>
              </w:rPr>
            </w:pPr>
            <w:r>
              <w:rPr>
                <w:rFonts w:cs="Arial"/>
                <w:b/>
                <w:bCs/>
                <w:color w:val="000000" w:themeColor="text1"/>
                <w:lang w:val="en-US"/>
              </w:rPr>
              <w:t>Tingkat yang diharapkan 94%</w:t>
            </w:r>
          </w:p>
          <w:p w14:paraId="7C6FF3D2" w14:textId="77777777" w:rsidR="00914B7B" w:rsidRPr="008D7C6C" w:rsidRDefault="00914B7B" w:rsidP="00805A74">
            <w:pPr>
              <w:pStyle w:val="ListParagraph"/>
              <w:spacing w:before="120" w:after="120"/>
              <w:ind w:left="0"/>
              <w:contextualSpacing w:val="0"/>
              <w:rPr>
                <w:rFonts w:cs="Arial"/>
                <w:b/>
                <w:bCs/>
                <w:color w:val="000000" w:themeColor="text1"/>
                <w:highlight w:val="green"/>
                <w:lang w:val="en-US"/>
              </w:rPr>
            </w:pPr>
            <w:r w:rsidRPr="008D7C6C">
              <w:rPr>
                <w:rFonts w:cs="Arial"/>
                <w:b/>
                <w:bCs/>
                <w:color w:val="000000" w:themeColor="text1"/>
                <w:lang w:val="en-US"/>
              </w:rPr>
              <w:t>Expected level: 9</w:t>
            </w:r>
            <w:r>
              <w:rPr>
                <w:rFonts w:cs="Arial"/>
                <w:b/>
                <w:bCs/>
                <w:color w:val="000000" w:themeColor="text1"/>
                <w:lang w:val="en-US"/>
              </w:rPr>
              <w:t>4</w:t>
            </w:r>
            <w:r w:rsidRPr="008D7C6C">
              <w:rPr>
                <w:rFonts w:cs="Arial"/>
                <w:b/>
                <w:bCs/>
                <w:color w:val="000000" w:themeColor="text1"/>
                <w:lang w:val="en-US"/>
              </w:rPr>
              <w:t>%</w:t>
            </w:r>
          </w:p>
        </w:tc>
      </w:tr>
      <w:tr w:rsidR="00914B7B" w:rsidRPr="00F44320" w14:paraId="409A6B90"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38CEF444" w14:textId="77777777" w:rsidR="00914B7B" w:rsidRPr="00532BC0"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Pengumpulan data penegakan hukum pada saat padat </w:t>
            </w:r>
          </w:p>
          <w:p w14:paraId="767DA9E5"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Dense enforcement data collection</w:t>
            </w:r>
          </w:p>
        </w:tc>
        <w:tc>
          <w:tcPr>
            <w:tcW w:w="4748" w:type="dxa"/>
            <w:gridSpan w:val="4"/>
            <w:shd w:val="clear" w:color="auto" w:fill="auto"/>
            <w:vAlign w:val="center"/>
          </w:tcPr>
          <w:p w14:paraId="4DEBA430"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Pada ruas jalan tol dengan rasio yang tinggi, pengumpulan data penegakan hukum harus beroperasi dengan basis 24/7</w:t>
            </w:r>
          </w:p>
          <w:p w14:paraId="640691CA" w14:textId="77777777" w:rsidR="00914B7B" w:rsidRDefault="00914B7B" w:rsidP="00805A74">
            <w:pPr>
              <w:pStyle w:val="ListParagraph"/>
              <w:spacing w:before="120" w:after="120"/>
              <w:ind w:left="0"/>
              <w:contextualSpacing w:val="0"/>
              <w:rPr>
                <w:rFonts w:cs="Arial"/>
                <w:color w:val="000000" w:themeColor="text1"/>
                <w:lang w:val="en-US"/>
              </w:rPr>
            </w:pPr>
            <w:r w:rsidRPr="00F44320">
              <w:rPr>
                <w:rFonts w:cs="Arial"/>
                <w:color w:val="000000" w:themeColor="text1"/>
                <w:lang w:val="en-US"/>
              </w:rPr>
              <w:t>On a high ratio of the tolled road segments enforcement data collection shall be operational at a 24/7 basis.</w:t>
            </w:r>
          </w:p>
          <w:p w14:paraId="6B13CFBE" w14:textId="77777777" w:rsidR="00914B7B" w:rsidRDefault="00914B7B" w:rsidP="00805A74">
            <w:pPr>
              <w:pStyle w:val="ListParagraph"/>
              <w:spacing w:before="120" w:after="120"/>
              <w:ind w:left="0"/>
              <w:contextualSpacing w:val="0"/>
              <w:rPr>
                <w:rFonts w:cs="Arial"/>
                <w:b/>
                <w:bCs/>
                <w:color w:val="000000" w:themeColor="text1"/>
                <w:lang w:val="en-US"/>
              </w:rPr>
            </w:pPr>
            <w:r>
              <w:rPr>
                <w:rFonts w:cs="Arial"/>
                <w:b/>
                <w:bCs/>
                <w:color w:val="000000" w:themeColor="text1"/>
                <w:lang w:val="en-US"/>
              </w:rPr>
              <w:t>Tingkat yang diharapkan 50%</w:t>
            </w:r>
          </w:p>
          <w:p w14:paraId="7215924C" w14:textId="77777777" w:rsidR="00914B7B" w:rsidRPr="00F44320" w:rsidRDefault="00914B7B" w:rsidP="00805A74">
            <w:pPr>
              <w:pStyle w:val="ListParagraph"/>
              <w:spacing w:before="120" w:after="120"/>
              <w:ind w:left="0"/>
              <w:contextualSpacing w:val="0"/>
              <w:rPr>
                <w:rFonts w:cs="Arial"/>
                <w:color w:val="000000" w:themeColor="text1"/>
                <w:lang w:val="en-US"/>
              </w:rPr>
            </w:pPr>
            <w:r w:rsidRPr="008D7C6C">
              <w:rPr>
                <w:rFonts w:cs="Arial"/>
                <w:b/>
                <w:bCs/>
                <w:color w:val="000000" w:themeColor="text1"/>
                <w:lang w:val="en-US"/>
              </w:rPr>
              <w:t xml:space="preserve">Expected level: </w:t>
            </w:r>
            <w:r>
              <w:rPr>
                <w:rFonts w:cs="Arial"/>
                <w:b/>
                <w:bCs/>
                <w:color w:val="000000" w:themeColor="text1"/>
                <w:lang w:val="en-US"/>
              </w:rPr>
              <w:t>50</w:t>
            </w:r>
            <w:r w:rsidRPr="008D7C6C">
              <w:rPr>
                <w:rFonts w:cs="Arial"/>
                <w:b/>
                <w:bCs/>
                <w:color w:val="000000" w:themeColor="text1"/>
                <w:lang w:val="en-US"/>
              </w:rPr>
              <w:t>%</w:t>
            </w:r>
          </w:p>
        </w:tc>
      </w:tr>
      <w:tr w:rsidR="00914B7B" w:rsidRPr="00F44320" w14:paraId="24F273E7"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7F1D5A2F"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Kliring dan penyelesanan pembayaran</w:t>
            </w:r>
          </w:p>
          <w:p w14:paraId="2419CC57" w14:textId="77777777" w:rsidR="00914B7B" w:rsidRPr="005B5037" w:rsidRDefault="00914B7B" w:rsidP="00805A74">
            <w:pPr>
              <w:pStyle w:val="ListParagraph"/>
              <w:spacing w:before="120" w:after="120"/>
              <w:ind w:left="0"/>
              <w:contextualSpacing w:val="0"/>
              <w:rPr>
                <w:rFonts w:cs="Arial"/>
                <w:i/>
                <w:color w:val="000000" w:themeColor="text1"/>
                <w:lang w:val="en-US"/>
              </w:rPr>
            </w:pPr>
            <w:r w:rsidRPr="005B5037">
              <w:rPr>
                <w:rFonts w:cs="Arial"/>
                <w:i/>
                <w:color w:val="000000" w:themeColor="text1"/>
                <w:lang w:val="en-US"/>
              </w:rPr>
              <w:t>Clearing and payment settlement</w:t>
            </w:r>
          </w:p>
        </w:tc>
        <w:tc>
          <w:tcPr>
            <w:tcW w:w="4748" w:type="dxa"/>
            <w:gridSpan w:val="4"/>
            <w:shd w:val="clear" w:color="auto" w:fill="auto"/>
            <w:vAlign w:val="center"/>
          </w:tcPr>
          <w:p w14:paraId="5F09B8A4"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dapat merealisasikan penyelesaian dari penerimaan Jalan Tol kepada BUJT yang memulai transfer dalam waktu 48 jam (dua hari kerja perbankan) dari penggunaan Jalan Tol (Declaration). Perhitungan KPI ini ditangguhkan pada hari non-perbankan selama 24 jam.</w:t>
            </w:r>
          </w:p>
          <w:p w14:paraId="12FD5EBF"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be able to realize settlement of Toll Road income to TROs initiating the transfer within 48 hours (two banking days) of the Toll Road usage (declaration). The calculation of this KPI is suspended on non-banking days for 24 hours.</w:t>
            </w:r>
          </w:p>
          <w:p w14:paraId="1D287FD5" w14:textId="77777777" w:rsidR="00914B7B" w:rsidRDefault="00914B7B" w:rsidP="00805A74">
            <w:pPr>
              <w:rPr>
                <w:rFonts w:ascii="Arial" w:hAnsi="Arial" w:cs="Arial"/>
                <w:b/>
                <w:bCs/>
                <w:color w:val="000000" w:themeColor="text1"/>
                <w:sz w:val="21"/>
                <w:szCs w:val="21"/>
              </w:rPr>
            </w:pPr>
          </w:p>
          <w:p w14:paraId="35BCDBEE" w14:textId="77777777" w:rsidR="00914B7B" w:rsidRDefault="00914B7B" w:rsidP="00805A74">
            <w:pPr>
              <w:rPr>
                <w:rFonts w:ascii="Arial" w:hAnsi="Arial" w:cs="Arial"/>
                <w:b/>
                <w:bCs/>
                <w:color w:val="000000" w:themeColor="text1"/>
                <w:sz w:val="21"/>
                <w:szCs w:val="21"/>
              </w:rPr>
            </w:pPr>
            <w:r>
              <w:rPr>
                <w:rFonts w:ascii="Arial" w:hAnsi="Arial" w:cs="Arial"/>
                <w:b/>
                <w:bCs/>
                <w:color w:val="000000" w:themeColor="text1"/>
                <w:sz w:val="21"/>
                <w:szCs w:val="21"/>
              </w:rPr>
              <w:t xml:space="preserve">Tingkat yang diharapkan </w:t>
            </w:r>
            <w:r w:rsidRPr="00C84A0B">
              <w:rPr>
                <w:rFonts w:ascii="Arial" w:hAnsi="Arial" w:cs="Arial"/>
                <w:b/>
                <w:bCs/>
                <w:color w:val="000000" w:themeColor="text1"/>
                <w:sz w:val="21"/>
                <w:szCs w:val="21"/>
              </w:rPr>
              <w:t>memulai transfer dalam waktu 48 jam (hanya pada hari perbankan)</w:t>
            </w:r>
          </w:p>
          <w:p w14:paraId="294E133A" w14:textId="77777777" w:rsidR="00914B7B" w:rsidRDefault="00914B7B" w:rsidP="00805A74">
            <w:pPr>
              <w:rPr>
                <w:rFonts w:ascii="Arial" w:hAnsi="Arial" w:cs="Arial"/>
                <w:b/>
                <w:bCs/>
                <w:color w:val="000000" w:themeColor="text1"/>
                <w:sz w:val="21"/>
                <w:szCs w:val="21"/>
              </w:rPr>
            </w:pPr>
          </w:p>
          <w:p w14:paraId="334462C6" w14:textId="77777777" w:rsidR="00914B7B" w:rsidRPr="00C84A0B" w:rsidRDefault="00914B7B" w:rsidP="00805A74">
            <w:pPr>
              <w:rPr>
                <w:rFonts w:ascii="Times New Roman" w:hAnsi="Times New Roman" w:cs="Times New Roman"/>
                <w:i/>
                <w:iCs/>
                <w:sz w:val="24"/>
                <w:szCs w:val="24"/>
              </w:rPr>
            </w:pPr>
            <w:r w:rsidRPr="00C84A0B">
              <w:rPr>
                <w:rFonts w:ascii="Arial" w:hAnsi="Arial" w:cs="Arial"/>
                <w:b/>
                <w:bCs/>
                <w:i/>
                <w:iCs/>
                <w:color w:val="000000" w:themeColor="text1"/>
                <w:sz w:val="21"/>
                <w:szCs w:val="21"/>
              </w:rPr>
              <w:t>Expected level: Transfer initialization in 48 hours (banking days only).</w:t>
            </w:r>
            <w:r w:rsidRPr="00C84A0B">
              <w:rPr>
                <w:rFonts w:ascii="Times New Roman" w:hAnsi="Times New Roman" w:cs="Times New Roman"/>
                <w:i/>
                <w:iCs/>
                <w:sz w:val="24"/>
                <w:szCs w:val="24"/>
              </w:rPr>
              <w:t xml:space="preserve"> </w:t>
            </w:r>
          </w:p>
          <w:p w14:paraId="618E2370" w14:textId="77777777" w:rsidR="00914B7B" w:rsidRPr="00F44320" w:rsidRDefault="00914B7B" w:rsidP="00805A74">
            <w:pPr>
              <w:pStyle w:val="ListParagraph"/>
              <w:spacing w:before="120" w:after="120"/>
              <w:ind w:left="0"/>
              <w:contextualSpacing w:val="0"/>
              <w:rPr>
                <w:rFonts w:cs="Arial"/>
                <w:color w:val="000000" w:themeColor="text1"/>
                <w:highlight w:val="green"/>
                <w:lang w:val="en-US"/>
              </w:rPr>
            </w:pPr>
          </w:p>
        </w:tc>
      </w:tr>
      <w:tr w:rsidR="00914B7B" w:rsidRPr="00F44320" w14:paraId="437FF36A"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04553432" w14:textId="77777777" w:rsidR="00914B7B" w:rsidRPr="00532BC0"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Perluasan jaringan</w:t>
            </w:r>
          </w:p>
          <w:p w14:paraId="53C01C62"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Network extension</w:t>
            </w:r>
          </w:p>
        </w:tc>
        <w:tc>
          <w:tcPr>
            <w:tcW w:w="4748" w:type="dxa"/>
            <w:gridSpan w:val="4"/>
            <w:shd w:val="clear" w:color="auto" w:fill="auto"/>
            <w:vAlign w:val="center"/>
          </w:tcPr>
          <w:p w14:paraId="0C0DBA9D" w14:textId="0F25E4B3"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Sistem MLFF harus fleksibel. Pengumpulan Tol dan Sistem Penegakkan Hukum harus dapat ditambahkan dalam waktu yang cepat pada setiap ruas baru dalam jaringan Jalan Tol. </w:t>
            </w:r>
          </w:p>
          <w:p w14:paraId="05BCD8CE" w14:textId="3BC372A1" w:rsidR="00914B7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MLFF System shall be flexible. Toll Collection and Enforcement System shall be extended in short time to any new segment of Tolled Road Network.</w:t>
            </w:r>
          </w:p>
          <w:p w14:paraId="38D5FA0E" w14:textId="77777777" w:rsidR="00914B7B" w:rsidRPr="00C84A0B" w:rsidRDefault="00914B7B" w:rsidP="00805A74">
            <w:pPr>
              <w:pStyle w:val="ListParagraph"/>
              <w:spacing w:before="120" w:after="120"/>
              <w:ind w:left="0"/>
              <w:contextualSpacing w:val="0"/>
              <w:rPr>
                <w:rFonts w:cs="Arial"/>
                <w:b/>
                <w:bCs/>
                <w:color w:val="000000" w:themeColor="text1"/>
                <w:lang w:val="en-US"/>
              </w:rPr>
            </w:pPr>
            <w:r>
              <w:rPr>
                <w:rFonts w:cs="Arial"/>
                <w:b/>
                <w:bCs/>
                <w:color w:val="000000" w:themeColor="text1"/>
                <w:lang w:val="en-US"/>
              </w:rPr>
              <w:t>Tingkat yang diharapkan: 5 hari kalender</w:t>
            </w:r>
          </w:p>
          <w:p w14:paraId="03E6ACCD" w14:textId="77777777" w:rsidR="00914B7B" w:rsidRPr="00C84A0B" w:rsidRDefault="00914B7B" w:rsidP="00805A74">
            <w:pPr>
              <w:pStyle w:val="ListParagraph"/>
              <w:spacing w:before="120" w:after="120"/>
              <w:ind w:left="0"/>
              <w:contextualSpacing w:val="0"/>
              <w:rPr>
                <w:rFonts w:cs="Arial"/>
                <w:i/>
                <w:iCs/>
                <w:color w:val="000000" w:themeColor="text1"/>
                <w:highlight w:val="green"/>
                <w:lang w:val="en-US"/>
              </w:rPr>
            </w:pPr>
            <w:r w:rsidRPr="00C84A0B">
              <w:rPr>
                <w:rFonts w:cs="Arial"/>
                <w:b/>
                <w:bCs/>
                <w:i/>
                <w:iCs/>
                <w:color w:val="000000" w:themeColor="text1"/>
                <w:lang w:val="en-US"/>
              </w:rPr>
              <w:t>Expected level: 5 calendar days</w:t>
            </w:r>
          </w:p>
        </w:tc>
      </w:tr>
      <w:tr w:rsidR="0074713B" w:rsidRPr="00672F3A" w14:paraId="0DAC362C" w14:textId="77777777" w:rsidTr="008E629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9077" w:type="dxa"/>
            <w:gridSpan w:val="5"/>
            <w:shd w:val="clear" w:color="auto" w:fill="auto"/>
            <w:vAlign w:val="center"/>
          </w:tcPr>
          <w:p w14:paraId="371CD921" w14:textId="77777777" w:rsidR="0074713B" w:rsidRPr="00672F3A" w:rsidRDefault="0074713B" w:rsidP="008E629C">
            <w:pPr>
              <w:pStyle w:val="ListParagraph"/>
              <w:spacing w:before="120" w:after="120"/>
              <w:ind w:left="0"/>
              <w:contextualSpacing w:val="0"/>
              <w:rPr>
                <w:rFonts w:cs="Arial"/>
                <w:b/>
                <w:bCs/>
                <w:color w:val="000000" w:themeColor="text1"/>
                <w:lang w:val="en-US"/>
              </w:rPr>
            </w:pPr>
            <w:r w:rsidRPr="00672F3A">
              <w:rPr>
                <w:rFonts w:cs="Arial"/>
                <w:b/>
                <w:bCs/>
                <w:color w:val="000000" w:themeColor="text1"/>
                <w:lang w:val="en-US"/>
              </w:rPr>
              <w:t xml:space="preserve">Sistem </w:t>
            </w:r>
            <w:r>
              <w:rPr>
                <w:rFonts w:cs="Arial"/>
                <w:b/>
                <w:bCs/>
                <w:color w:val="000000" w:themeColor="text1"/>
                <w:lang w:val="en-US"/>
              </w:rPr>
              <w:t xml:space="preserve">tidak </w:t>
            </w:r>
            <w:r w:rsidRPr="00672F3A">
              <w:rPr>
                <w:rFonts w:cs="Arial"/>
                <w:b/>
                <w:bCs/>
                <w:color w:val="000000" w:themeColor="text1"/>
                <w:lang w:val="en-US"/>
              </w:rPr>
              <w:t xml:space="preserve">dinilai dengan Indikator Kinerja Utama </w:t>
            </w:r>
          </w:p>
          <w:p w14:paraId="68C2A120" w14:textId="77777777" w:rsidR="0074713B" w:rsidRPr="00672F3A" w:rsidRDefault="0074713B" w:rsidP="008E629C">
            <w:pPr>
              <w:pStyle w:val="ListParagraph"/>
              <w:spacing w:before="120" w:after="120"/>
              <w:ind w:left="0"/>
              <w:contextualSpacing w:val="0"/>
              <w:rPr>
                <w:rFonts w:cs="Arial"/>
                <w:b/>
                <w:bCs/>
                <w:color w:val="000000" w:themeColor="text1"/>
                <w:lang w:val="en-US"/>
              </w:rPr>
            </w:pPr>
            <w:r w:rsidRPr="00672F3A">
              <w:rPr>
                <w:rFonts w:cs="Arial"/>
                <w:b/>
                <w:bCs/>
                <w:color w:val="000000" w:themeColor="text1"/>
                <w:lang w:val="en-US"/>
              </w:rPr>
              <w:t xml:space="preserve">The System shall </w:t>
            </w:r>
            <w:r>
              <w:rPr>
                <w:rFonts w:cs="Arial"/>
                <w:b/>
                <w:bCs/>
                <w:color w:val="000000" w:themeColor="text1"/>
                <w:lang w:val="en-US"/>
              </w:rPr>
              <w:t xml:space="preserve">not </w:t>
            </w:r>
            <w:r w:rsidRPr="00672F3A">
              <w:rPr>
                <w:rFonts w:cs="Arial"/>
                <w:b/>
                <w:bCs/>
                <w:color w:val="000000" w:themeColor="text1"/>
                <w:lang w:val="en-US"/>
              </w:rPr>
              <w:t>be measured by the Key Performance Indicators</w:t>
            </w:r>
          </w:p>
        </w:tc>
      </w:tr>
      <w:tr w:rsidR="00914B7B" w:rsidRPr="00F44320" w14:paraId="1EC78A5F"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9077" w:type="dxa"/>
            <w:gridSpan w:val="5"/>
            <w:shd w:val="clear" w:color="auto" w:fill="auto"/>
            <w:vAlign w:val="center"/>
          </w:tcPr>
          <w:p w14:paraId="1EA9F32A" w14:textId="77777777" w:rsidR="00914B7B" w:rsidRPr="00F44320" w:rsidRDefault="00914B7B" w:rsidP="00805A74">
            <w:pPr>
              <w:pStyle w:val="ListParagraph"/>
              <w:spacing w:before="120" w:after="120"/>
              <w:ind w:left="0"/>
              <w:contextualSpacing w:val="0"/>
              <w:rPr>
                <w:rFonts w:cs="Arial"/>
                <w:b/>
                <w:bCs/>
                <w:color w:val="000000" w:themeColor="text1"/>
                <w:lang w:val="en-US"/>
              </w:rPr>
            </w:pPr>
            <w:r w:rsidRPr="00C84A0B">
              <w:rPr>
                <w:rFonts w:cs="Arial"/>
                <w:b/>
                <w:bCs/>
                <w:color w:val="000000" w:themeColor="text1"/>
                <w:lang w:val="en-US"/>
              </w:rPr>
              <w:t>Sistem harus mendukung proses berikut ini</w:t>
            </w:r>
          </w:p>
          <w:p w14:paraId="78E25AEF" w14:textId="77777777" w:rsidR="00914B7B" w:rsidRPr="00C84A0B" w:rsidRDefault="00914B7B" w:rsidP="00805A74">
            <w:pPr>
              <w:pStyle w:val="ListParagraph"/>
              <w:spacing w:before="120" w:after="120"/>
              <w:ind w:left="0"/>
              <w:contextualSpacing w:val="0"/>
              <w:rPr>
                <w:rFonts w:cs="Arial"/>
                <w:b/>
                <w:bCs/>
                <w:i/>
                <w:iCs/>
                <w:color w:val="000000" w:themeColor="text1"/>
                <w:lang w:val="en-US"/>
              </w:rPr>
            </w:pPr>
            <w:r w:rsidRPr="00C84A0B">
              <w:rPr>
                <w:rFonts w:cs="Arial"/>
                <w:b/>
                <w:bCs/>
                <w:i/>
                <w:iCs/>
                <w:color w:val="000000" w:themeColor="text1"/>
                <w:lang w:val="en-US"/>
              </w:rPr>
              <w:t>The System shall support the following processes</w:t>
            </w:r>
          </w:p>
        </w:tc>
      </w:tr>
      <w:tr w:rsidR="00914B7B" w:rsidRPr="00F44320" w14:paraId="73D1DAAF"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vAlign w:val="center"/>
          </w:tcPr>
          <w:p w14:paraId="6814289D"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Pendaftaran Pengguna Jalan dan Kendaraan</w:t>
            </w:r>
          </w:p>
          <w:p w14:paraId="68670186"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Registration of the Road Users and Vehicles</w:t>
            </w:r>
          </w:p>
        </w:tc>
        <w:tc>
          <w:tcPr>
            <w:tcW w:w="4748" w:type="dxa"/>
            <w:gridSpan w:val="4"/>
            <w:shd w:val="clear" w:color="auto" w:fill="auto"/>
            <w:vAlign w:val="center"/>
          </w:tcPr>
          <w:p w14:paraId="52B2607F" w14:textId="77777777" w:rsidR="00914B7B" w:rsidRPr="00BB102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Pengguna Jalan dan Kendaraan harus didaftarkan ke Sistem melalui interface yang ramah pengguna.</w:t>
            </w:r>
          </w:p>
          <w:p w14:paraId="202CDAC7" w14:textId="77777777" w:rsidR="00914B7B" w:rsidRPr="00F44320" w:rsidRDefault="00914B7B" w:rsidP="00805A74">
            <w:pPr>
              <w:pStyle w:val="ListParagraph"/>
              <w:spacing w:before="120" w:after="120"/>
              <w:ind w:left="0"/>
              <w:contextualSpacing w:val="0"/>
              <w:rPr>
                <w:rFonts w:cs="Arial"/>
                <w:color w:val="000000" w:themeColor="text1"/>
                <w:lang w:val="en-US"/>
              </w:rPr>
            </w:pPr>
            <w:r w:rsidRPr="00F44320">
              <w:rPr>
                <w:rFonts w:cs="Arial"/>
                <w:color w:val="000000" w:themeColor="text1"/>
                <w:lang w:val="en-US"/>
              </w:rPr>
              <w:t xml:space="preserve">Road Users and Vehicles shall be registered into the System via a user friendly interface. </w:t>
            </w:r>
          </w:p>
        </w:tc>
      </w:tr>
      <w:tr w:rsidR="00914B7B" w:rsidRPr="00F44320" w14:paraId="50838CC9"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54BF55F9" w14:textId="77777777" w:rsidR="00914B7B" w:rsidRPr="00C84A0B" w:rsidRDefault="00914B7B" w:rsidP="00805A74">
            <w:pPr>
              <w:pStyle w:val="ListParagraph"/>
              <w:spacing w:before="120" w:after="120"/>
              <w:ind w:left="0"/>
              <w:jc w:val="left"/>
              <w:rPr>
                <w:rFonts w:cs="Arial"/>
                <w:color w:val="000000" w:themeColor="text1"/>
                <w:lang w:val="en-US"/>
              </w:rPr>
            </w:pPr>
            <w:r w:rsidRPr="00C84A0B">
              <w:rPr>
                <w:rFonts w:cs="Arial"/>
                <w:color w:val="000000" w:themeColor="text1"/>
                <w:lang w:val="en-US"/>
              </w:rPr>
              <w:t>Pengelolaan saldo Pengguna Jalan Tol</w:t>
            </w:r>
          </w:p>
          <w:p w14:paraId="4B520899"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Balance management for the Road Users</w:t>
            </w:r>
          </w:p>
        </w:tc>
        <w:tc>
          <w:tcPr>
            <w:tcW w:w="4748" w:type="dxa"/>
            <w:gridSpan w:val="4"/>
            <w:shd w:val="clear" w:color="auto" w:fill="auto"/>
            <w:vAlign w:val="center"/>
          </w:tcPr>
          <w:p w14:paraId="7363A37B" w14:textId="0329FDD6"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color w:val="000000" w:themeColor="text1"/>
                <w:lang w:val="en-US"/>
              </w:rPr>
              <w:t xml:space="preserve">Sistem harus mengelola saldo </w:t>
            </w:r>
            <w:r w:rsidRPr="00493072">
              <w:rPr>
                <w:rFonts w:cs="Arial"/>
                <w:color w:val="000000" w:themeColor="text1"/>
              </w:rPr>
              <w:t>rekening virtual</w:t>
            </w:r>
            <w:r w:rsidRPr="00C84A0B">
              <w:rPr>
                <w:rFonts w:cs="Arial"/>
                <w:color w:val="000000" w:themeColor="text1"/>
                <w:lang w:val="en-US"/>
              </w:rPr>
              <w:t xml:space="preserve"> Pengguna Jalan Tol </w:t>
            </w:r>
            <w:r w:rsidRPr="00C84A0B">
              <w:rPr>
                <w:rFonts w:cs="Arial"/>
                <w:i/>
                <w:iCs/>
                <w:color w:val="000000" w:themeColor="text1"/>
                <w:lang w:val="en-US"/>
              </w:rPr>
              <w:t xml:space="preserve">The system shall manage the balance of the Road Users virtual accounts </w:t>
            </w:r>
          </w:p>
        </w:tc>
      </w:tr>
      <w:tr w:rsidR="00914B7B" w:rsidRPr="00F44320" w14:paraId="3A87AE80"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61BCD276" w14:textId="77777777" w:rsidR="00914B7B" w:rsidRDefault="00914B7B" w:rsidP="00805A74">
            <w:pPr>
              <w:pStyle w:val="ListParagraph"/>
              <w:spacing w:before="120" w:after="120"/>
              <w:ind w:left="0"/>
              <w:contextualSpacing w:val="0"/>
              <w:rPr>
                <w:rFonts w:cs="Arial"/>
                <w:color w:val="000000" w:themeColor="text1"/>
                <w:lang w:val="en-US"/>
              </w:rPr>
            </w:pPr>
            <w:r w:rsidRPr="00011A4E">
              <w:rPr>
                <w:rFonts w:cs="Arial"/>
                <w:color w:val="000000" w:themeColor="text1"/>
                <w:lang w:val="en-US"/>
              </w:rPr>
              <w:t>Integrasi solusi pembayaran elektronik (tanpa uang tunai) untuk penggunaan Jalan Tol</w:t>
            </w:r>
          </w:p>
          <w:p w14:paraId="23E2D1BC"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Integration of electronic (cashless) payment solutions for Toll Road usage</w:t>
            </w:r>
          </w:p>
        </w:tc>
        <w:tc>
          <w:tcPr>
            <w:tcW w:w="4748" w:type="dxa"/>
            <w:gridSpan w:val="4"/>
            <w:shd w:val="clear" w:color="auto" w:fill="auto"/>
            <w:vAlign w:val="center"/>
          </w:tcPr>
          <w:p w14:paraId="4F94DD1B" w14:textId="0E167614"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mendukung variasi sumber dana dalam pembayaran elektronik dan top-up dana dalam akun</w:t>
            </w:r>
            <w:r w:rsidR="006534A5">
              <w:rPr>
                <w:rFonts w:cs="Arial"/>
                <w:color w:val="000000" w:themeColor="text1"/>
                <w:lang w:val="en-US"/>
              </w:rPr>
              <w:t>. Sistem dapat memungkinkan pengguna untuk menarik saldo top-up dan/atau menggunakan saldo tersebut untuk kegunaan lain.</w:t>
            </w:r>
          </w:p>
          <w:p w14:paraId="1CF33D69" w14:textId="30714B2E" w:rsidR="00914B7B" w:rsidRPr="00C84A0B" w:rsidRDefault="00342C81">
            <w:pPr>
              <w:pStyle w:val="ListParagraph"/>
              <w:spacing w:before="120" w:after="120"/>
              <w:ind w:left="0"/>
              <w:contextualSpacing w:val="0"/>
              <w:rPr>
                <w:rFonts w:cs="Arial"/>
                <w:i/>
                <w:iCs/>
                <w:color w:val="000000" w:themeColor="text1"/>
                <w:lang w:val="en-US"/>
              </w:rPr>
            </w:pPr>
            <w:r w:rsidRPr="005D020B">
              <w:rPr>
                <w:rFonts w:cs="Arial"/>
                <w:i/>
                <w:iCs/>
                <w:color w:val="000000" w:themeColor="text1"/>
                <w:highlight w:val="yellow"/>
                <w:lang w:val="en-US"/>
              </w:rPr>
              <w:t xml:space="preserve">The system shall support different </w:t>
            </w:r>
            <w:r w:rsidR="001555C7" w:rsidRPr="005D020B">
              <w:rPr>
                <w:rFonts w:cs="Arial"/>
                <w:i/>
                <w:iCs/>
                <w:color w:val="000000" w:themeColor="text1"/>
                <w:highlight w:val="yellow"/>
                <w:lang w:val="en-US"/>
              </w:rPr>
              <w:t>methods</w:t>
            </w:r>
            <w:r w:rsidRPr="005D020B">
              <w:rPr>
                <w:rFonts w:cs="Arial"/>
                <w:i/>
                <w:iCs/>
                <w:color w:val="000000" w:themeColor="text1"/>
                <w:highlight w:val="yellow"/>
                <w:lang w:val="en-US"/>
              </w:rPr>
              <w:t xml:space="preserve"> of electronic payments (multi source of funds) and account top-ups</w:t>
            </w:r>
            <w:r w:rsidR="006534A5" w:rsidRPr="005D020B">
              <w:rPr>
                <w:rFonts w:cs="Arial"/>
                <w:i/>
                <w:iCs/>
                <w:color w:val="000000" w:themeColor="text1"/>
                <w:highlight w:val="yellow"/>
                <w:lang w:val="en-US"/>
              </w:rPr>
              <w:t>. The system may allow the user to withdraw the top-up balance and/or use the balance for other purposes</w:t>
            </w:r>
            <w:r w:rsidRPr="005D020B">
              <w:rPr>
                <w:rFonts w:cs="Arial"/>
                <w:i/>
                <w:iCs/>
                <w:color w:val="000000" w:themeColor="text1"/>
                <w:highlight w:val="yellow"/>
                <w:lang w:val="en-US"/>
              </w:rPr>
              <w:t>.</w:t>
            </w:r>
          </w:p>
        </w:tc>
      </w:tr>
      <w:tr w:rsidR="00914B7B" w:rsidRPr="00F44320" w14:paraId="5421CD55"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023E37AD" w14:textId="77777777" w:rsidR="00914B7B" w:rsidRPr="001D6F31"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Menyediakan layanan pusat pelayanan pelanggan </w:t>
            </w:r>
            <w:r w:rsidRPr="00C84A0B">
              <w:rPr>
                <w:rFonts w:cs="Arial"/>
                <w:i/>
                <w:iCs/>
                <w:color w:val="000000" w:themeColor="text1"/>
                <w:lang w:val="en-US"/>
              </w:rPr>
              <w:t>multichannel</w:t>
            </w:r>
          </w:p>
          <w:p w14:paraId="27EA8CCA"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Providing multichannel customer service center services</w:t>
            </w:r>
          </w:p>
        </w:tc>
        <w:tc>
          <w:tcPr>
            <w:tcW w:w="4748" w:type="dxa"/>
            <w:gridSpan w:val="4"/>
            <w:shd w:val="clear" w:color="auto" w:fill="auto"/>
            <w:vAlign w:val="center"/>
          </w:tcPr>
          <w:p w14:paraId="6C27E9EA"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BUP harus menyediakan layanan pusat pelayanan pelanggan multichannel kepada Pengguna Jalan Tol minimum melalui internet dan telepon.</w:t>
            </w:r>
          </w:p>
          <w:p w14:paraId="5245A041"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IBE shall provide multichannel customer care services to the Road Users minimum on the Internet and via telephone.</w:t>
            </w:r>
          </w:p>
        </w:tc>
      </w:tr>
      <w:tr w:rsidR="00914B7B" w:rsidRPr="00F44320" w14:paraId="3CC84C14"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2FCF090D"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Manajemen Deklarasi Jalan Tol</w:t>
            </w:r>
          </w:p>
          <w:p w14:paraId="349B0307"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Management of Toll Road Declaration</w:t>
            </w:r>
          </w:p>
        </w:tc>
        <w:tc>
          <w:tcPr>
            <w:tcW w:w="4748" w:type="dxa"/>
            <w:gridSpan w:val="4"/>
            <w:shd w:val="clear" w:color="auto" w:fill="auto"/>
            <w:vAlign w:val="center"/>
          </w:tcPr>
          <w:p w14:paraId="39CFEC13"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menerima, memverifikasi, mengenakan tarif dan mendaftarkan Toll Declarations.</w:t>
            </w:r>
          </w:p>
          <w:p w14:paraId="78A06825"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accept, verify, tariff and register Toll Declarations.</w:t>
            </w:r>
          </w:p>
        </w:tc>
      </w:tr>
      <w:tr w:rsidR="00914B7B" w:rsidRPr="00F44320" w14:paraId="58DAADBA"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6B1B5FD3" w14:textId="0D3E9582" w:rsidR="00914B7B" w:rsidRPr="001D6F31"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Penyelesaian dengan </w:t>
            </w:r>
            <w:r w:rsidR="00290A2D">
              <w:rPr>
                <w:rFonts w:cs="Arial"/>
                <w:color w:val="000000" w:themeColor="text1"/>
                <w:lang w:val="en-US"/>
              </w:rPr>
              <w:t xml:space="preserve">PJPK </w:t>
            </w:r>
            <w:r w:rsidRPr="00C84A0B">
              <w:rPr>
                <w:rFonts w:cs="Arial"/>
                <w:color w:val="000000" w:themeColor="text1"/>
                <w:lang w:val="en-US"/>
              </w:rPr>
              <w:t>dan Operator Jalan Tol</w:t>
            </w:r>
          </w:p>
          <w:p w14:paraId="14380336"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Settlement with GCA and Toll Road Operators</w:t>
            </w:r>
          </w:p>
        </w:tc>
        <w:tc>
          <w:tcPr>
            <w:tcW w:w="4748" w:type="dxa"/>
            <w:gridSpan w:val="4"/>
            <w:shd w:val="clear" w:color="auto" w:fill="auto"/>
            <w:vAlign w:val="center"/>
          </w:tcPr>
          <w:p w14:paraId="43DFF546" w14:textId="61725015"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Sistem harus mampu melakukan penyelesaian penerimaan Jalan Tol kepada </w:t>
            </w:r>
            <w:r w:rsidR="00342C81">
              <w:rPr>
                <w:rFonts w:cs="Arial"/>
                <w:color w:val="000000" w:themeColor="text1"/>
                <w:lang w:val="en-US"/>
              </w:rPr>
              <w:t>para pemangku kepentingan dan melakukan pembayaran sesuai KPI yang ditetapkan,</w:t>
            </w:r>
            <w:r w:rsidRPr="00C84A0B">
              <w:rPr>
                <w:rFonts w:cs="Arial"/>
                <w:color w:val="000000" w:themeColor="text1"/>
                <w:lang w:val="en-US"/>
              </w:rPr>
              <w:t xml:space="preserve"> </w:t>
            </w:r>
          </w:p>
          <w:p w14:paraId="01D1634A" w14:textId="00097797" w:rsidR="00914B7B" w:rsidRPr="00C84A0B" w:rsidRDefault="00342C81" w:rsidP="00805A74">
            <w:pPr>
              <w:pStyle w:val="ListParagraph"/>
              <w:spacing w:before="120" w:after="120"/>
              <w:ind w:left="0"/>
              <w:contextualSpacing w:val="0"/>
              <w:rPr>
                <w:rFonts w:cs="Arial"/>
                <w:i/>
                <w:iCs/>
                <w:color w:val="000000" w:themeColor="text1"/>
                <w:lang w:val="en-US"/>
              </w:rPr>
            </w:pPr>
            <w:r w:rsidRPr="00645B30">
              <w:rPr>
                <w:rFonts w:cs="Arial"/>
                <w:i/>
                <w:iCs/>
                <w:color w:val="000000" w:themeColor="text1"/>
                <w:lang w:val="en-US"/>
              </w:rPr>
              <w:t>The system shall be able to manage settlement of Toll Road income to stakeholders and initiate the payment according to the set KPIs</w:t>
            </w:r>
          </w:p>
        </w:tc>
      </w:tr>
      <w:tr w:rsidR="00914B7B" w:rsidRPr="00F44320" w14:paraId="6A443BF0"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584799FA"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 xml:space="preserve">Pengumpulan data penggunaan aktual jalan pada jaringan jalan tol </w:t>
            </w:r>
          </w:p>
          <w:p w14:paraId="4DEB01C2" w14:textId="063D8E36" w:rsidR="00914B7B" w:rsidRPr="00F44320" w:rsidRDefault="00914B7B" w:rsidP="00805A74">
            <w:pPr>
              <w:pStyle w:val="ListParagraph"/>
              <w:spacing w:before="120" w:after="120"/>
              <w:ind w:left="0"/>
              <w:contextualSpacing w:val="0"/>
              <w:rPr>
                <w:rFonts w:cs="Arial"/>
                <w:color w:val="000000" w:themeColor="text1"/>
                <w:lang w:val="en-US"/>
              </w:rPr>
            </w:pPr>
            <w:r w:rsidRPr="00F44320">
              <w:rPr>
                <w:rFonts w:cs="Arial"/>
                <w:color w:val="000000" w:themeColor="text1"/>
                <w:lang w:val="en-US"/>
              </w:rPr>
              <w:t>Data Collection on the toll road network of the actual road usage</w:t>
            </w:r>
          </w:p>
        </w:tc>
        <w:tc>
          <w:tcPr>
            <w:tcW w:w="4748" w:type="dxa"/>
            <w:gridSpan w:val="4"/>
            <w:shd w:val="clear" w:color="auto" w:fill="auto"/>
            <w:vAlign w:val="center"/>
          </w:tcPr>
          <w:p w14:paraId="4BAF4592" w14:textId="77777777" w:rsidR="00914B7B" w:rsidRPr="00A3271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mengumpulkan data penggunaan Jalan Tol. Sistem pengumpulan data dan identifikasi kendaraan harus menangkap secara otomatis baik nomor plat maupun kategori kendaraan yang melewati titik penegakan hukum</w:t>
            </w:r>
          </w:p>
          <w:p w14:paraId="1E0CC091" w14:textId="0285637F"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collect usage data on the Toll Road network. Data collection and vehicle identification system shall capture automatically both license plate and category of passing vehicles through enforcement points</w:t>
            </w:r>
          </w:p>
        </w:tc>
      </w:tr>
      <w:tr w:rsidR="00914B7B" w:rsidRPr="00F44320" w14:paraId="77285679"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56BC480B" w14:textId="77777777" w:rsidR="00914B7B" w:rsidRPr="00A3271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Pengklasifikasian pengguna jalan dan pemeriksaan legalitas</w:t>
            </w:r>
          </w:p>
          <w:p w14:paraId="1024B061"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Classification of road usage and eligibility check</w:t>
            </w:r>
          </w:p>
        </w:tc>
        <w:tc>
          <w:tcPr>
            <w:tcW w:w="4748" w:type="dxa"/>
            <w:gridSpan w:val="4"/>
            <w:shd w:val="clear" w:color="auto" w:fill="auto"/>
            <w:vAlign w:val="center"/>
          </w:tcPr>
          <w:p w14:paraId="6A8F3FAB" w14:textId="77777777" w:rsidR="00914B7B" w:rsidRPr="00BA278E" w:rsidRDefault="00914B7B" w:rsidP="00805A74">
            <w:pPr>
              <w:pStyle w:val="ListParagraph"/>
              <w:ind w:left="29" w:firstLine="3"/>
              <w:rPr>
                <w:color w:val="000000" w:themeColor="text1"/>
                <w:sz w:val="20"/>
                <w:szCs w:val="20"/>
              </w:rPr>
            </w:pPr>
            <w:r w:rsidRPr="00C84A0B">
              <w:rPr>
                <w:rFonts w:cs="Arial"/>
                <w:color w:val="000000" w:themeColor="text1"/>
                <w:lang w:val="en-US"/>
              </w:rPr>
              <w:t>Sistem harus mengklasifikasikan penggunaan jalan aktual apakah sah atau merupakan pelanggaran. Pelanggaran harus didokumentasikan sebagai bukti elektronik</w:t>
            </w:r>
            <w:r w:rsidRPr="00BA278E">
              <w:rPr>
                <w:color w:val="000000" w:themeColor="text1"/>
                <w:sz w:val="20"/>
                <w:szCs w:val="20"/>
              </w:rPr>
              <w:t>.</w:t>
            </w:r>
          </w:p>
          <w:p w14:paraId="148A7970" w14:textId="77777777" w:rsidR="00914B7B" w:rsidRDefault="00914B7B" w:rsidP="00805A74">
            <w:pPr>
              <w:pStyle w:val="ListParagraph"/>
              <w:spacing w:before="120" w:after="120"/>
              <w:ind w:left="0"/>
              <w:contextualSpacing w:val="0"/>
              <w:rPr>
                <w:rFonts w:cs="Arial"/>
                <w:color w:val="000000" w:themeColor="text1"/>
                <w:lang w:val="en-US"/>
              </w:rPr>
            </w:pPr>
          </w:p>
          <w:p w14:paraId="1F6169E6"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classify actual road usage as eligible or violation. Violations shall be documented as electronic evidence.</w:t>
            </w:r>
          </w:p>
        </w:tc>
      </w:tr>
      <w:tr w:rsidR="00914B7B" w:rsidRPr="00F44320" w14:paraId="083E665E"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618A4974" w14:textId="77777777" w:rsidR="00914B7B" w:rsidRDefault="00914B7B" w:rsidP="00805A74">
            <w:pPr>
              <w:pStyle w:val="ListParagraph"/>
              <w:spacing w:before="120" w:after="120"/>
              <w:ind w:left="0"/>
              <w:contextualSpacing w:val="0"/>
              <w:rPr>
                <w:rFonts w:cs="Arial"/>
                <w:color w:val="000000" w:themeColor="text1"/>
                <w:lang w:val="en-US"/>
              </w:rPr>
            </w:pPr>
            <w:r>
              <w:rPr>
                <w:rFonts w:cs="Arial"/>
                <w:color w:val="000000" w:themeColor="text1"/>
                <w:lang w:val="en-US"/>
              </w:rPr>
              <w:t>Sanksi</w:t>
            </w:r>
          </w:p>
          <w:p w14:paraId="1130DDC1"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Sanctioning</w:t>
            </w:r>
          </w:p>
        </w:tc>
        <w:tc>
          <w:tcPr>
            <w:tcW w:w="4748" w:type="dxa"/>
            <w:gridSpan w:val="4"/>
            <w:shd w:val="clear" w:color="auto" w:fill="auto"/>
            <w:vAlign w:val="center"/>
          </w:tcPr>
          <w:p w14:paraId="1AB7FD32"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mendukung proses pemberian sanksi.</w:t>
            </w:r>
          </w:p>
          <w:p w14:paraId="1F7936F7"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support the sanctioning process.</w:t>
            </w:r>
          </w:p>
        </w:tc>
      </w:tr>
      <w:tr w:rsidR="00914B7B" w:rsidRPr="00F44320" w14:paraId="68239CA5"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5CE9E64F"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Pengumpulan denda</w:t>
            </w:r>
          </w:p>
          <w:p w14:paraId="14354D74"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Collection of penalties</w:t>
            </w:r>
          </w:p>
        </w:tc>
        <w:tc>
          <w:tcPr>
            <w:tcW w:w="4748" w:type="dxa"/>
            <w:gridSpan w:val="4"/>
            <w:shd w:val="clear" w:color="auto" w:fill="auto"/>
            <w:vAlign w:val="center"/>
          </w:tcPr>
          <w:p w14:paraId="1CA0F99D" w14:textId="66C5B428" w:rsidR="008D111C"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mendukung dan mendokumentasikan pengumpulan denda</w:t>
            </w:r>
            <w:r w:rsidR="008D111C">
              <w:rPr>
                <w:rFonts w:cs="Arial"/>
                <w:color w:val="000000" w:themeColor="text1"/>
                <w:lang w:val="en-US"/>
              </w:rPr>
              <w:t xml:space="preserve"> dengan ketentuan sebagai </w:t>
            </w:r>
            <w:r w:rsidR="004231ED">
              <w:rPr>
                <w:rFonts w:cs="Arial"/>
                <w:color w:val="000000" w:themeColor="text1"/>
                <w:lang w:val="en-US"/>
              </w:rPr>
              <w:t>dijabarkan pada tabel pengenaan denda di bawah.</w:t>
            </w:r>
          </w:p>
          <w:p w14:paraId="27E30A6D" w14:textId="7CFD9DA6" w:rsidR="008D111C" w:rsidRDefault="00914B7B" w:rsidP="008D111C">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 xml:space="preserve">The System shall support and document the collection of </w:t>
            </w:r>
            <w:r w:rsidR="008D111C">
              <w:rPr>
                <w:rFonts w:cs="Arial"/>
                <w:i/>
                <w:iCs/>
                <w:color w:val="000000" w:themeColor="text1"/>
                <w:lang w:val="en-US"/>
              </w:rPr>
              <w:t xml:space="preserve">penalties </w:t>
            </w:r>
            <w:r w:rsidR="004231ED">
              <w:rPr>
                <w:rFonts w:cs="Arial"/>
                <w:i/>
                <w:iCs/>
                <w:color w:val="000000" w:themeColor="text1"/>
                <w:lang w:val="en-US"/>
              </w:rPr>
              <w:t>as described in the table on application of penalties below.</w:t>
            </w:r>
          </w:p>
          <w:p w14:paraId="1680D978" w14:textId="64206A0F" w:rsidR="00914B7B" w:rsidRPr="00C84A0B" w:rsidRDefault="00914B7B" w:rsidP="00F8008D">
            <w:pPr>
              <w:pStyle w:val="ListParagraph"/>
              <w:spacing w:before="120" w:after="120"/>
              <w:ind w:left="0"/>
              <w:contextualSpacing w:val="0"/>
              <w:rPr>
                <w:rFonts w:cs="Arial"/>
                <w:i/>
                <w:iCs/>
                <w:color w:val="000000" w:themeColor="text1"/>
                <w:lang w:val="en-US"/>
              </w:rPr>
            </w:pPr>
          </w:p>
        </w:tc>
      </w:tr>
      <w:tr w:rsidR="00914B7B" w:rsidRPr="00F44320" w14:paraId="747C2AFA"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393D4DCB" w14:textId="77777777" w:rsidR="00914B7B" w:rsidRPr="00A3271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Monitor lalu lintas dan sistem pengumpulan tol elektronik</w:t>
            </w:r>
          </w:p>
          <w:p w14:paraId="7FDE3524"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Monitoring the traffic and the electronic toll collection system</w:t>
            </w:r>
          </w:p>
        </w:tc>
        <w:tc>
          <w:tcPr>
            <w:tcW w:w="4748" w:type="dxa"/>
            <w:gridSpan w:val="4"/>
            <w:shd w:val="clear" w:color="auto" w:fill="auto"/>
            <w:vAlign w:val="center"/>
          </w:tcPr>
          <w:p w14:paraId="0AA9A276" w14:textId="77777777" w:rsidR="00914B7B" w:rsidRPr="00A3271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meliputi sistem monitoring elekronik yang transparan dan otomatis yang menghasilkan laporan bulanan. Subjek dari laporan dapat baik informasi lalu lintas atau pengoperasian sistem dan Indikator Kinerja Utama.</w:t>
            </w:r>
          </w:p>
          <w:p w14:paraId="28CA506D" w14:textId="77777777" w:rsidR="00914B7B" w:rsidRPr="00C84A0B" w:rsidRDefault="00914B7B" w:rsidP="00805A74">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include a transparent, automatic, electronic monitoring system, which generate monthly reports. The subject of the reports can be both traffic information or System operation and KPIs.</w:t>
            </w:r>
          </w:p>
        </w:tc>
      </w:tr>
      <w:tr w:rsidR="00914B7B" w:rsidRPr="00F44320" w14:paraId="4F57E670"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5A89C0AA" w14:textId="77777777" w:rsidR="00914B7B"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Pelaporan</w:t>
            </w:r>
          </w:p>
          <w:p w14:paraId="71B11FBC" w14:textId="77777777" w:rsidR="00914B7B" w:rsidRPr="00F44320" w:rsidRDefault="00914B7B" w:rsidP="00805A74">
            <w:pPr>
              <w:pStyle w:val="ListParagraph"/>
              <w:spacing w:before="120" w:after="120"/>
              <w:ind w:left="0"/>
              <w:contextualSpacing w:val="0"/>
              <w:rPr>
                <w:rFonts w:cs="Arial"/>
                <w:color w:val="000000" w:themeColor="text1"/>
                <w:lang w:val="en-US"/>
              </w:rPr>
            </w:pPr>
            <w:r w:rsidRPr="00F44320">
              <w:rPr>
                <w:rFonts w:cs="Arial"/>
                <w:color w:val="000000" w:themeColor="text1"/>
                <w:lang w:val="en-US"/>
              </w:rPr>
              <w:t>Reporting</w:t>
            </w:r>
          </w:p>
        </w:tc>
        <w:tc>
          <w:tcPr>
            <w:tcW w:w="4748" w:type="dxa"/>
            <w:gridSpan w:val="4"/>
            <w:shd w:val="clear" w:color="auto" w:fill="auto"/>
            <w:vAlign w:val="center"/>
          </w:tcPr>
          <w:p w14:paraId="331B514E" w14:textId="77777777" w:rsidR="00914B7B" w:rsidRPr="00A3271D" w:rsidRDefault="00914B7B" w:rsidP="00805A74">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akan mendukung fungsi pelaporan yang telah ditentukan dan kustom.</w:t>
            </w:r>
          </w:p>
          <w:p w14:paraId="3A0AE74A" w14:textId="77777777" w:rsidR="00914B7B" w:rsidRPr="00F44320" w:rsidRDefault="00914B7B" w:rsidP="00805A74">
            <w:pPr>
              <w:pStyle w:val="ListParagraph"/>
              <w:spacing w:before="120" w:after="120"/>
              <w:ind w:left="0"/>
              <w:contextualSpacing w:val="0"/>
              <w:rPr>
                <w:rFonts w:cs="Arial"/>
                <w:color w:val="000000" w:themeColor="text1"/>
                <w:lang w:val="en-US"/>
              </w:rPr>
            </w:pPr>
            <w:r w:rsidRPr="00F44320">
              <w:rPr>
                <w:rFonts w:cs="Arial"/>
                <w:color w:val="000000" w:themeColor="text1"/>
                <w:lang w:val="en-US"/>
              </w:rPr>
              <w:t>System shall support pre-defined and custom reporting functions.</w:t>
            </w:r>
          </w:p>
        </w:tc>
      </w:tr>
      <w:tr w:rsidR="00914B7B" w:rsidRPr="00F44320" w14:paraId="5BE568DC" w14:textId="77777777" w:rsidTr="009F10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4"/>
        </w:trPr>
        <w:tc>
          <w:tcPr>
            <w:tcW w:w="4329" w:type="dxa"/>
            <w:shd w:val="clear" w:color="auto" w:fill="auto"/>
          </w:tcPr>
          <w:p w14:paraId="7A302762" w14:textId="77777777" w:rsidR="00914B7B" w:rsidRPr="00F8008D" w:rsidRDefault="00914B7B" w:rsidP="00805A74">
            <w:pPr>
              <w:pStyle w:val="ListParagraph"/>
              <w:spacing w:before="120" w:after="120"/>
              <w:ind w:left="0"/>
              <w:contextualSpacing w:val="0"/>
              <w:rPr>
                <w:rFonts w:cs="Arial"/>
                <w:color w:val="000000" w:themeColor="text1"/>
                <w:lang w:val="en-US"/>
              </w:rPr>
            </w:pPr>
            <w:r w:rsidRPr="00F8008D">
              <w:rPr>
                <w:rFonts w:cs="Arial"/>
                <w:color w:val="000000" w:themeColor="text1"/>
              </w:rPr>
              <w:t>Big Data</w:t>
            </w:r>
          </w:p>
        </w:tc>
        <w:tc>
          <w:tcPr>
            <w:tcW w:w="4748" w:type="dxa"/>
            <w:gridSpan w:val="4"/>
            <w:shd w:val="clear" w:color="auto" w:fill="auto"/>
            <w:vAlign w:val="center"/>
          </w:tcPr>
          <w:p w14:paraId="7A06C168" w14:textId="49F22AA3" w:rsidR="00F8008D" w:rsidRDefault="00914B7B" w:rsidP="00F8008D">
            <w:pPr>
              <w:pStyle w:val="ListParagraph"/>
              <w:numPr>
                <w:ilvl w:val="0"/>
                <w:numId w:val="544"/>
              </w:numPr>
              <w:spacing w:before="120" w:after="120"/>
              <w:rPr>
                <w:rFonts w:cs="Arial"/>
                <w:color w:val="000000" w:themeColor="text1"/>
              </w:rPr>
            </w:pPr>
            <w:r w:rsidRPr="00F8008D">
              <w:rPr>
                <w:rFonts w:cs="Arial"/>
                <w:color w:val="000000" w:themeColor="text1"/>
              </w:rPr>
              <w:t>Sistem harus mengumpulkan, menyimpan data yang terkait dengan geolokasi pada jaringan Jalan Tol di dalam komponen-komponennya dan memasukkan data yang relevan ke dalam gudang data untuk diana</w:t>
            </w:r>
            <w:r w:rsidRPr="00F415B3">
              <w:rPr>
                <w:rFonts w:cs="Arial"/>
                <w:color w:val="000000" w:themeColor="text1"/>
              </w:rPr>
              <w:t xml:space="preserve">lisis. Sistem harus dapat mendukung </w:t>
            </w:r>
            <w:r w:rsidRPr="005D020B">
              <w:rPr>
                <w:rFonts w:cs="Arial"/>
                <w:i/>
                <w:iCs/>
                <w:color w:val="000000" w:themeColor="text1"/>
              </w:rPr>
              <w:t>machine learning</w:t>
            </w:r>
            <w:r w:rsidRPr="005D020B">
              <w:rPr>
                <w:rFonts w:cs="Arial"/>
                <w:color w:val="000000" w:themeColor="text1"/>
              </w:rPr>
              <w:t xml:space="preserve"> dan alat terkait Big Data lainnya untuk memanfaatkan data yang dikumpulkan. Tujuan analisis Big Data harus mencakup, tetapi tidak terbatas pada proyeksi kemacetan, pola perjalanan, dan arus lalu lintas.</w:t>
            </w:r>
          </w:p>
          <w:p w14:paraId="2D237CF3" w14:textId="063FF9B5" w:rsidR="00F8008D" w:rsidRDefault="00F8008D" w:rsidP="00F8008D">
            <w:pPr>
              <w:pStyle w:val="ListParagraph"/>
              <w:spacing w:before="120" w:after="120"/>
              <w:ind w:left="0"/>
              <w:rPr>
                <w:rFonts w:cs="Arial"/>
                <w:color w:val="000000" w:themeColor="text1"/>
              </w:rPr>
            </w:pPr>
            <w:r w:rsidRPr="00F8008D">
              <w:rPr>
                <w:rFonts w:cs="Arial"/>
                <w:color w:val="000000" w:themeColor="text1"/>
              </w:rPr>
              <w:t>Gudang data harus memiliki kapasitas minimum untuk</w:t>
            </w:r>
            <w:r w:rsidR="005D020B">
              <w:rPr>
                <w:rFonts w:cs="Arial"/>
                <w:color w:val="000000" w:themeColor="text1"/>
              </w:rPr>
              <w:t xml:space="preserve"> dua</w:t>
            </w:r>
            <w:r w:rsidRPr="00F8008D">
              <w:rPr>
                <w:rFonts w:cs="Arial"/>
                <w:color w:val="000000" w:themeColor="text1"/>
              </w:rPr>
              <w:t xml:space="preserve"> </w:t>
            </w:r>
            <w:r w:rsidR="005D020B">
              <w:rPr>
                <w:rFonts w:cs="Arial"/>
                <w:color w:val="000000" w:themeColor="text1"/>
              </w:rPr>
              <w:t>(</w:t>
            </w:r>
            <w:r w:rsidRPr="00F8008D">
              <w:rPr>
                <w:rFonts w:cs="Arial"/>
                <w:color w:val="000000" w:themeColor="text1"/>
              </w:rPr>
              <w:t>2</w:t>
            </w:r>
            <w:r w:rsidR="005D020B">
              <w:rPr>
                <w:rFonts w:cs="Arial"/>
                <w:color w:val="000000" w:themeColor="text1"/>
              </w:rPr>
              <w:t>)</w:t>
            </w:r>
            <w:r w:rsidRPr="00F8008D">
              <w:rPr>
                <w:rFonts w:cs="Arial"/>
                <w:color w:val="000000" w:themeColor="text1"/>
              </w:rPr>
              <w:t xml:space="preserve"> tahun retensi data.</w:t>
            </w:r>
          </w:p>
          <w:p w14:paraId="2C987696" w14:textId="270D46D4" w:rsidR="00F8008D" w:rsidRPr="00764EC1" w:rsidRDefault="00F8008D" w:rsidP="00F8008D">
            <w:pPr>
              <w:pStyle w:val="ListParagraph"/>
              <w:ind w:left="29" w:firstLine="3"/>
              <w:rPr>
                <w:rFonts w:cs="Arial"/>
              </w:rPr>
            </w:pPr>
            <w:r w:rsidRPr="00764EC1">
              <w:rPr>
                <w:rFonts w:cs="Arial"/>
              </w:rPr>
              <w:t xml:space="preserve">Sistem harus dirancang untuk mendukung ekspansi lebih lanjut dan menghubungkan sumber data tambahan melalui antarmuka ke </w:t>
            </w:r>
            <w:r w:rsidR="00290A2D">
              <w:rPr>
                <w:rFonts w:cs="Arial"/>
              </w:rPr>
              <w:t>si</w:t>
            </w:r>
            <w:r w:rsidR="004231ED">
              <w:rPr>
                <w:rFonts w:cs="Arial"/>
              </w:rPr>
              <w:t>stem</w:t>
            </w:r>
            <w:r w:rsidRPr="00764EC1">
              <w:rPr>
                <w:rFonts w:cs="Arial"/>
              </w:rPr>
              <w:t xml:space="preserve"> lain.</w:t>
            </w:r>
          </w:p>
          <w:p w14:paraId="360D057E" w14:textId="77777777" w:rsidR="00F8008D" w:rsidRPr="00F8008D" w:rsidRDefault="00F8008D" w:rsidP="00F8008D">
            <w:pPr>
              <w:pStyle w:val="ListParagraph"/>
              <w:spacing w:before="120" w:after="120"/>
              <w:ind w:left="0"/>
              <w:rPr>
                <w:rFonts w:cs="Arial"/>
                <w:color w:val="000000" w:themeColor="text1"/>
              </w:rPr>
            </w:pPr>
          </w:p>
          <w:p w14:paraId="6A5A8169" w14:textId="77777777" w:rsidR="00F8008D" w:rsidRPr="005D020B" w:rsidRDefault="00F8008D" w:rsidP="00F8008D">
            <w:pPr>
              <w:pStyle w:val="ListParagraph"/>
              <w:numPr>
                <w:ilvl w:val="0"/>
                <w:numId w:val="544"/>
              </w:numPr>
              <w:spacing w:before="120" w:after="120"/>
              <w:rPr>
                <w:rFonts w:cs="Arial"/>
                <w:color w:val="000000" w:themeColor="text1"/>
              </w:rPr>
            </w:pPr>
          </w:p>
          <w:p w14:paraId="23A8DB36" w14:textId="77777777" w:rsidR="00914B7B" w:rsidRPr="00F8008D" w:rsidRDefault="00914B7B" w:rsidP="00805A74">
            <w:pPr>
              <w:pStyle w:val="ListParagraph"/>
              <w:spacing w:before="120" w:after="120"/>
              <w:ind w:left="0"/>
              <w:rPr>
                <w:rFonts w:cs="Arial"/>
                <w:i/>
                <w:iCs/>
                <w:color w:val="000000" w:themeColor="text1"/>
              </w:rPr>
            </w:pPr>
            <w:r w:rsidRPr="00F415B3">
              <w:rPr>
                <w:rFonts w:cs="Arial"/>
                <w:i/>
                <w:iCs/>
                <w:color w:val="000000" w:themeColor="text1"/>
              </w:rPr>
              <w:t xml:space="preserve">System shall collect, store data linked to geolocations on the tolled road network within it’s components and feed relevant data into a datawarehouse for analysis. System shall be able to support machine </w:t>
            </w:r>
            <w:r w:rsidRPr="005D020B">
              <w:rPr>
                <w:rFonts w:cs="Arial"/>
                <w:i/>
                <w:iCs/>
                <w:color w:val="000000" w:themeColor="text1"/>
              </w:rPr>
              <w:t>learning and other big data related tools to utilize the data collected.The aim of Big Data analysis shall include, but not limited to forecast congestions, typical journey patterns and traffic flows.</w:t>
            </w:r>
          </w:p>
          <w:p w14:paraId="7036BB4C" w14:textId="77777777" w:rsidR="00F8008D" w:rsidRDefault="00F8008D" w:rsidP="00805A74">
            <w:pPr>
              <w:pStyle w:val="ListParagraph"/>
              <w:spacing w:before="120" w:after="120"/>
              <w:ind w:left="0"/>
              <w:rPr>
                <w:rFonts w:cs="Arial"/>
                <w:color w:val="000000" w:themeColor="text1"/>
              </w:rPr>
            </w:pPr>
          </w:p>
          <w:p w14:paraId="18EB9AE6" w14:textId="21089440" w:rsidR="00914B7B" w:rsidRPr="005F41DF" w:rsidRDefault="00914B7B" w:rsidP="00805A74">
            <w:pPr>
              <w:pStyle w:val="ListParagraph"/>
              <w:spacing w:before="120" w:after="120"/>
              <w:ind w:left="0"/>
              <w:rPr>
                <w:i/>
                <w:iCs/>
              </w:rPr>
            </w:pPr>
            <w:r w:rsidRPr="00375FA3">
              <w:rPr>
                <w:rFonts w:cs="Arial"/>
                <w:i/>
                <w:iCs/>
              </w:rPr>
              <w:t xml:space="preserve">The datawarehouse shall have the </w:t>
            </w:r>
            <w:r w:rsidRPr="005F41DF">
              <w:rPr>
                <w:rFonts w:cs="Arial"/>
                <w:i/>
                <w:iCs/>
              </w:rPr>
              <w:t>minimum capacity for the minimum of</w:t>
            </w:r>
            <w:r w:rsidR="005D020B">
              <w:rPr>
                <w:rFonts w:cs="Arial"/>
                <w:i/>
                <w:iCs/>
              </w:rPr>
              <w:t xml:space="preserve"> </w:t>
            </w:r>
            <w:r w:rsidR="005D020B" w:rsidRPr="005D020B">
              <w:rPr>
                <w:rFonts w:cs="Arial"/>
                <w:i/>
                <w:iCs/>
                <w:highlight w:val="yellow"/>
              </w:rPr>
              <w:t>two</w:t>
            </w:r>
            <w:r w:rsidRPr="005D020B">
              <w:rPr>
                <w:rFonts w:cs="Arial"/>
                <w:i/>
                <w:iCs/>
                <w:highlight w:val="yellow"/>
              </w:rPr>
              <w:t xml:space="preserve"> </w:t>
            </w:r>
            <w:r w:rsidR="005D020B" w:rsidRPr="005D020B">
              <w:rPr>
                <w:rFonts w:cs="Arial"/>
                <w:i/>
                <w:iCs/>
                <w:highlight w:val="yellow"/>
              </w:rPr>
              <w:t>(</w:t>
            </w:r>
            <w:r w:rsidRPr="005D020B">
              <w:rPr>
                <w:rFonts w:cs="Arial"/>
                <w:i/>
                <w:iCs/>
                <w:highlight w:val="yellow"/>
              </w:rPr>
              <w:t>2</w:t>
            </w:r>
            <w:r w:rsidR="005D020B" w:rsidRPr="005D020B">
              <w:rPr>
                <w:rFonts w:cs="Arial"/>
                <w:i/>
                <w:iCs/>
                <w:highlight w:val="yellow"/>
              </w:rPr>
              <w:t>)</w:t>
            </w:r>
            <w:r w:rsidRPr="005F41DF">
              <w:rPr>
                <w:rFonts w:cs="Arial"/>
                <w:i/>
                <w:iCs/>
              </w:rPr>
              <w:t xml:space="preserve"> years of data retention.</w:t>
            </w:r>
          </w:p>
          <w:p w14:paraId="6434E295" w14:textId="77777777" w:rsidR="00914B7B" w:rsidRPr="00F8008D" w:rsidRDefault="00914B7B" w:rsidP="00805A74">
            <w:pPr>
              <w:pStyle w:val="ListParagraph"/>
              <w:spacing w:before="120" w:after="120"/>
              <w:ind w:left="0"/>
              <w:contextualSpacing w:val="0"/>
              <w:rPr>
                <w:rFonts w:cs="Arial"/>
                <w:color w:val="000000" w:themeColor="text1"/>
                <w:lang w:val="en-US"/>
              </w:rPr>
            </w:pPr>
            <w:r w:rsidRPr="005D020B">
              <w:rPr>
                <w:rFonts w:cs="Arial"/>
                <w:i/>
                <w:iCs/>
              </w:rPr>
              <w:t>The system shall be designed to support further expansion and linking additional data sources through interfaces to other systems.</w:t>
            </w:r>
          </w:p>
        </w:tc>
      </w:tr>
    </w:tbl>
    <w:p w14:paraId="1B91AA20" w14:textId="77777777" w:rsidR="00914B7B" w:rsidRPr="00A67277" w:rsidRDefault="00914B7B" w:rsidP="00923319">
      <w:pPr>
        <w:rPr>
          <w:rFonts w:ascii="Arial" w:hAnsi="Arial" w:cs="Arial"/>
          <w:sz w:val="21"/>
          <w:szCs w:val="21"/>
        </w:rPr>
      </w:pPr>
    </w:p>
    <w:p w14:paraId="220736E8" w14:textId="3F4C35D6" w:rsidR="004231ED" w:rsidRDefault="004231ED" w:rsidP="004231ED">
      <w:pPr>
        <w:jc w:val="center"/>
        <w:rPr>
          <w:rFonts w:ascii="Arial" w:hAnsi="Arial" w:cs="Arial"/>
          <w:sz w:val="21"/>
          <w:szCs w:val="21"/>
        </w:rPr>
      </w:pPr>
    </w:p>
    <w:p w14:paraId="7BED8C38" w14:textId="77777777" w:rsidR="00290A2D" w:rsidRPr="004231ED" w:rsidRDefault="00290A2D" w:rsidP="00290A2D">
      <w:pPr>
        <w:jc w:val="center"/>
        <w:rPr>
          <w:rFonts w:ascii="Arial" w:hAnsi="Arial" w:cs="Arial"/>
          <w:b/>
          <w:sz w:val="21"/>
          <w:szCs w:val="21"/>
        </w:rPr>
      </w:pPr>
      <w:r w:rsidRPr="004231ED">
        <w:rPr>
          <w:rFonts w:ascii="Arial" w:hAnsi="Arial" w:cs="Arial"/>
          <w:b/>
          <w:sz w:val="21"/>
          <w:szCs w:val="21"/>
        </w:rPr>
        <w:t>Tabel mengenai Pengenaan Denda</w:t>
      </w:r>
    </w:p>
    <w:p w14:paraId="6329287E" w14:textId="77777777" w:rsidR="00290A2D" w:rsidRDefault="00290A2D" w:rsidP="00290A2D">
      <w:pPr>
        <w:jc w:val="center"/>
        <w:rPr>
          <w:rFonts w:ascii="Arial" w:hAnsi="Arial" w:cs="Arial"/>
          <w:b/>
          <w:i/>
          <w:sz w:val="21"/>
          <w:szCs w:val="21"/>
        </w:rPr>
      </w:pPr>
      <w:r w:rsidRPr="004231ED">
        <w:rPr>
          <w:rFonts w:ascii="Arial" w:hAnsi="Arial" w:cs="Arial"/>
          <w:b/>
          <w:i/>
          <w:sz w:val="21"/>
          <w:szCs w:val="21"/>
        </w:rPr>
        <w:t>Tabel on Application of Penalties</w:t>
      </w:r>
    </w:p>
    <w:p w14:paraId="3D03560C" w14:textId="77777777" w:rsidR="00290A2D" w:rsidRPr="004231ED" w:rsidRDefault="00290A2D" w:rsidP="00290A2D">
      <w:pPr>
        <w:jc w:val="center"/>
        <w:rPr>
          <w:rFonts w:ascii="Arial" w:hAnsi="Arial" w:cs="Arial"/>
          <w:b/>
          <w:i/>
          <w:sz w:val="21"/>
          <w:szCs w:val="21"/>
        </w:rPr>
      </w:pPr>
    </w:p>
    <w:tbl>
      <w:tblPr>
        <w:tblStyle w:val="TableGrid"/>
        <w:tblW w:w="0" w:type="auto"/>
        <w:shd w:val="clear" w:color="auto" w:fill="FFFFFF" w:themeFill="background1"/>
        <w:tblLook w:val="04A0" w:firstRow="1" w:lastRow="0" w:firstColumn="1" w:lastColumn="0" w:noHBand="0" w:noVBand="1"/>
      </w:tblPr>
      <w:tblGrid>
        <w:gridCol w:w="4248"/>
        <w:gridCol w:w="4808"/>
      </w:tblGrid>
      <w:tr w:rsidR="00290A2D" w:rsidRPr="006534A5" w14:paraId="23032457" w14:textId="77777777" w:rsidTr="00290A2D">
        <w:tc>
          <w:tcPr>
            <w:tcW w:w="4248" w:type="dxa"/>
            <w:shd w:val="clear" w:color="auto" w:fill="A6A6A6" w:themeFill="background1" w:themeFillShade="A6"/>
          </w:tcPr>
          <w:p w14:paraId="4408CFE5" w14:textId="77777777" w:rsidR="00290A2D" w:rsidRPr="006534A5" w:rsidRDefault="00290A2D" w:rsidP="00290A2D">
            <w:pPr>
              <w:pStyle w:val="NoSpacing"/>
              <w:spacing w:before="120" w:after="120"/>
              <w:jc w:val="center"/>
              <w:rPr>
                <w:rFonts w:ascii="Arial" w:hAnsi="Arial" w:cs="Arial"/>
                <w:b/>
                <w:sz w:val="21"/>
                <w:szCs w:val="21"/>
              </w:rPr>
            </w:pPr>
            <w:r w:rsidRPr="006534A5">
              <w:rPr>
                <w:rFonts w:ascii="Arial" w:hAnsi="Arial" w:cs="Arial"/>
                <w:b/>
                <w:sz w:val="21"/>
                <w:szCs w:val="21"/>
              </w:rPr>
              <w:br w:type="page"/>
            </w:r>
            <w:r w:rsidRPr="005D020B">
              <w:rPr>
                <w:rFonts w:ascii="Arial" w:hAnsi="Arial" w:cs="Arial"/>
                <w:b/>
                <w:bCs/>
                <w:sz w:val="21"/>
                <w:szCs w:val="21"/>
              </w:rPr>
              <w:t>Hasil Pemeriksaan Kepatuhan</w:t>
            </w:r>
          </w:p>
          <w:p w14:paraId="211C4D40" w14:textId="77777777" w:rsidR="00290A2D" w:rsidRPr="005D020B" w:rsidRDefault="00290A2D" w:rsidP="00290A2D">
            <w:pPr>
              <w:pStyle w:val="NoSpacing"/>
              <w:spacing w:before="120" w:after="120"/>
              <w:jc w:val="center"/>
              <w:rPr>
                <w:rFonts w:ascii="Arial" w:hAnsi="Arial" w:cs="Arial"/>
                <w:b/>
                <w:bCs/>
                <w:sz w:val="21"/>
                <w:szCs w:val="21"/>
              </w:rPr>
            </w:pPr>
            <w:r w:rsidRPr="005D020B">
              <w:rPr>
                <w:rFonts w:ascii="Arial" w:hAnsi="Arial" w:cs="Arial"/>
                <w:b/>
                <w:bCs/>
                <w:sz w:val="21"/>
                <w:szCs w:val="21"/>
              </w:rPr>
              <w:t>Result of Compliance Check</w:t>
            </w:r>
          </w:p>
        </w:tc>
        <w:tc>
          <w:tcPr>
            <w:tcW w:w="4808" w:type="dxa"/>
            <w:shd w:val="clear" w:color="auto" w:fill="A6A6A6" w:themeFill="background1" w:themeFillShade="A6"/>
          </w:tcPr>
          <w:p w14:paraId="55CC478C" w14:textId="77777777" w:rsidR="00290A2D" w:rsidRPr="00AF378E" w:rsidRDefault="00290A2D" w:rsidP="00290A2D">
            <w:pPr>
              <w:pStyle w:val="NoSpacing"/>
              <w:spacing w:before="120" w:after="120"/>
              <w:jc w:val="center"/>
              <w:rPr>
                <w:rFonts w:ascii="Arial" w:hAnsi="Arial" w:cs="Arial"/>
                <w:b/>
                <w:bCs/>
                <w:sz w:val="21"/>
                <w:szCs w:val="21"/>
              </w:rPr>
            </w:pPr>
            <w:r w:rsidRPr="005D020B">
              <w:rPr>
                <w:rFonts w:ascii="Arial" w:hAnsi="Arial" w:cs="Arial"/>
                <w:b/>
                <w:bCs/>
                <w:sz w:val="21"/>
                <w:szCs w:val="21"/>
              </w:rPr>
              <w:t>Tindakan BUP</w:t>
            </w:r>
          </w:p>
          <w:p w14:paraId="18E1A1A6" w14:textId="77777777" w:rsidR="00290A2D" w:rsidRPr="005D020B" w:rsidRDefault="00290A2D" w:rsidP="00290A2D">
            <w:pPr>
              <w:pStyle w:val="NoSpacing"/>
              <w:spacing w:before="120" w:after="120"/>
              <w:jc w:val="center"/>
              <w:rPr>
                <w:rFonts w:ascii="Arial" w:hAnsi="Arial" w:cs="Arial"/>
                <w:b/>
                <w:bCs/>
                <w:sz w:val="21"/>
                <w:szCs w:val="21"/>
              </w:rPr>
            </w:pPr>
            <w:r w:rsidRPr="005D020B">
              <w:rPr>
                <w:rFonts w:ascii="Arial" w:hAnsi="Arial" w:cs="Arial"/>
                <w:b/>
                <w:bCs/>
                <w:sz w:val="21"/>
                <w:szCs w:val="21"/>
              </w:rPr>
              <w:t>IBE Action</w:t>
            </w:r>
          </w:p>
        </w:tc>
      </w:tr>
      <w:tr w:rsidR="00290A2D" w:rsidRPr="006534A5" w14:paraId="07BA74B1" w14:textId="77777777" w:rsidTr="00290A2D">
        <w:tc>
          <w:tcPr>
            <w:tcW w:w="4248" w:type="dxa"/>
            <w:shd w:val="clear" w:color="auto" w:fill="FFFFFF" w:themeFill="background1"/>
          </w:tcPr>
          <w:p w14:paraId="4A95D893" w14:textId="77777777" w:rsidR="00290A2D" w:rsidRPr="005D020B" w:rsidRDefault="00290A2D" w:rsidP="005D020B">
            <w:pPr>
              <w:pStyle w:val="NoSpacing"/>
              <w:numPr>
                <w:ilvl w:val="0"/>
                <w:numId w:val="738"/>
              </w:numPr>
              <w:spacing w:before="120" w:after="120"/>
              <w:jc w:val="both"/>
              <w:rPr>
                <w:rFonts w:ascii="Arial" w:hAnsi="Arial" w:cs="Arial"/>
                <w:sz w:val="21"/>
                <w:szCs w:val="21"/>
              </w:rPr>
            </w:pPr>
            <w:r w:rsidRPr="005D020B">
              <w:rPr>
                <w:rFonts w:ascii="Arial" w:hAnsi="Arial" w:cs="Arial"/>
                <w:sz w:val="21"/>
                <w:szCs w:val="21"/>
              </w:rPr>
              <w:t>Kendaraan terdaftar dan tarif Tol yang tepat dibayarkan;</w:t>
            </w:r>
          </w:p>
          <w:p w14:paraId="71A2575E" w14:textId="77777777" w:rsidR="00290A2D" w:rsidRPr="005D020B" w:rsidRDefault="00290A2D" w:rsidP="005D020B">
            <w:pPr>
              <w:pStyle w:val="NoSpacing"/>
              <w:spacing w:before="120" w:after="120"/>
              <w:ind w:left="360"/>
              <w:jc w:val="both"/>
              <w:rPr>
                <w:rFonts w:ascii="Arial" w:hAnsi="Arial" w:cs="Arial"/>
                <w:i/>
                <w:sz w:val="21"/>
                <w:szCs w:val="21"/>
              </w:rPr>
            </w:pPr>
            <w:r w:rsidRPr="005D020B">
              <w:rPr>
                <w:rFonts w:ascii="Arial" w:hAnsi="Arial" w:cs="Arial"/>
                <w:i/>
                <w:sz w:val="21"/>
                <w:szCs w:val="21"/>
              </w:rPr>
              <w:t>Vehicle is registered and the correct amount of Toll was paid;</w:t>
            </w:r>
          </w:p>
        </w:tc>
        <w:tc>
          <w:tcPr>
            <w:tcW w:w="4808" w:type="dxa"/>
            <w:shd w:val="clear" w:color="auto" w:fill="FFFFFF" w:themeFill="background1"/>
          </w:tcPr>
          <w:p w14:paraId="7BFE946D" w14:textId="0C7FBC79" w:rsidR="00290A2D" w:rsidRPr="005D020B" w:rsidRDefault="00290A2D" w:rsidP="005D020B">
            <w:pPr>
              <w:pStyle w:val="NoSpacing"/>
              <w:spacing w:before="120" w:after="120"/>
              <w:jc w:val="both"/>
              <w:rPr>
                <w:rFonts w:ascii="Arial" w:hAnsi="Arial" w:cs="Arial"/>
                <w:sz w:val="21"/>
                <w:szCs w:val="21"/>
              </w:rPr>
            </w:pPr>
            <w:r w:rsidRPr="005D020B">
              <w:rPr>
                <w:rFonts w:ascii="Arial" w:hAnsi="Arial" w:cs="Arial"/>
                <w:sz w:val="21"/>
                <w:szCs w:val="21"/>
              </w:rPr>
              <w:t xml:space="preserve">Tidak ada tindakan yang diperlukan, penggunaan secara sah, Tol dibagi antara </w:t>
            </w:r>
            <w:r w:rsidR="006534A5">
              <w:rPr>
                <w:rFonts w:ascii="Arial" w:hAnsi="Arial" w:cs="Arial"/>
                <w:sz w:val="21"/>
                <w:szCs w:val="21"/>
              </w:rPr>
              <w:t xml:space="preserve">PJPK </w:t>
            </w:r>
            <w:r w:rsidRPr="005D020B">
              <w:rPr>
                <w:rFonts w:ascii="Arial" w:hAnsi="Arial" w:cs="Arial"/>
                <w:sz w:val="21"/>
                <w:szCs w:val="21"/>
              </w:rPr>
              <w:t>dan Badan Usaha Jalan Tol.</w:t>
            </w:r>
          </w:p>
          <w:p w14:paraId="70910D5C" w14:textId="77777777" w:rsidR="00290A2D" w:rsidRPr="005D020B" w:rsidRDefault="00290A2D" w:rsidP="005D020B">
            <w:pPr>
              <w:pStyle w:val="NoSpacing"/>
              <w:spacing w:before="120" w:after="120"/>
              <w:jc w:val="both"/>
              <w:rPr>
                <w:rFonts w:ascii="Arial" w:hAnsi="Arial" w:cs="Arial"/>
                <w:i/>
                <w:sz w:val="21"/>
                <w:szCs w:val="21"/>
              </w:rPr>
            </w:pPr>
            <w:r w:rsidRPr="005D020B">
              <w:rPr>
                <w:rFonts w:ascii="Arial" w:hAnsi="Arial" w:cs="Arial"/>
                <w:i/>
                <w:sz w:val="21"/>
                <w:szCs w:val="21"/>
              </w:rPr>
              <w:t>No action required, lawful usage, Toll cleared with GCA and Toll Road Operators.</w:t>
            </w:r>
          </w:p>
        </w:tc>
      </w:tr>
      <w:tr w:rsidR="00290A2D" w:rsidRPr="006534A5" w14:paraId="7149722B" w14:textId="77777777" w:rsidTr="00290A2D">
        <w:tc>
          <w:tcPr>
            <w:tcW w:w="4248" w:type="dxa"/>
            <w:shd w:val="clear" w:color="auto" w:fill="FFFFFF" w:themeFill="background1"/>
          </w:tcPr>
          <w:p w14:paraId="171B5DEE" w14:textId="77777777" w:rsidR="00290A2D" w:rsidRPr="005D020B" w:rsidRDefault="00290A2D" w:rsidP="005D020B">
            <w:pPr>
              <w:pStyle w:val="NoSpacing"/>
              <w:numPr>
                <w:ilvl w:val="0"/>
                <w:numId w:val="738"/>
              </w:numPr>
              <w:spacing w:before="120" w:after="120"/>
              <w:jc w:val="both"/>
              <w:rPr>
                <w:rFonts w:ascii="Arial" w:hAnsi="Arial" w:cs="Arial"/>
                <w:sz w:val="21"/>
                <w:szCs w:val="21"/>
              </w:rPr>
            </w:pPr>
            <w:r w:rsidRPr="005D020B">
              <w:rPr>
                <w:rFonts w:ascii="Arial" w:hAnsi="Arial" w:cs="Arial"/>
                <w:sz w:val="21"/>
                <w:szCs w:val="21"/>
              </w:rPr>
              <w:t>Kendaraan terdaftar, namun tarif Tol yang tepat tidak dibayarkan karena kurangnya dana di rekening</w:t>
            </w:r>
          </w:p>
          <w:p w14:paraId="0FEF2CB6" w14:textId="77777777" w:rsidR="00290A2D" w:rsidRPr="005D020B" w:rsidRDefault="00290A2D" w:rsidP="005D020B">
            <w:pPr>
              <w:pStyle w:val="NoSpacing"/>
              <w:spacing w:before="120" w:after="120"/>
              <w:ind w:left="360"/>
              <w:jc w:val="both"/>
              <w:rPr>
                <w:rFonts w:ascii="Arial" w:hAnsi="Arial" w:cs="Arial"/>
                <w:i/>
                <w:sz w:val="21"/>
                <w:szCs w:val="21"/>
              </w:rPr>
            </w:pPr>
            <w:r w:rsidRPr="005D020B">
              <w:rPr>
                <w:rFonts w:ascii="Arial" w:hAnsi="Arial" w:cs="Arial"/>
                <w:i/>
                <w:sz w:val="21"/>
                <w:szCs w:val="21"/>
              </w:rPr>
              <w:t>Vehicle is registered, but the correct amount of Toll was not paid due to low balance of the account;</w:t>
            </w:r>
          </w:p>
        </w:tc>
        <w:tc>
          <w:tcPr>
            <w:tcW w:w="4808" w:type="dxa"/>
            <w:shd w:val="clear" w:color="auto" w:fill="FFFFFF" w:themeFill="background1"/>
          </w:tcPr>
          <w:p w14:paraId="6592ECE6" w14:textId="77777777" w:rsidR="00290A2D" w:rsidRPr="005D020B" w:rsidRDefault="00290A2D" w:rsidP="005D020B">
            <w:pPr>
              <w:pStyle w:val="NoSpacing"/>
              <w:spacing w:before="120" w:after="120"/>
              <w:jc w:val="both"/>
              <w:rPr>
                <w:rFonts w:ascii="Arial" w:hAnsi="Arial" w:cs="Arial"/>
                <w:sz w:val="21"/>
                <w:szCs w:val="21"/>
              </w:rPr>
            </w:pPr>
            <w:r w:rsidRPr="005D020B">
              <w:rPr>
                <w:rFonts w:ascii="Arial" w:hAnsi="Arial" w:cs="Arial"/>
                <w:sz w:val="21"/>
                <w:szCs w:val="21"/>
              </w:rPr>
              <w:t>BUP menginformasikan Pengguna Terdartar melalui pesan telepon mengenai kekurangan dana dan meminta penambahan dana segera dalam jangka waktu empat puluh delapan (48) jam.</w:t>
            </w:r>
          </w:p>
          <w:p w14:paraId="509728E4" w14:textId="77777777" w:rsidR="00290A2D" w:rsidRPr="005D020B" w:rsidRDefault="00290A2D" w:rsidP="005D020B">
            <w:pPr>
              <w:pStyle w:val="NoSpacing"/>
              <w:numPr>
                <w:ilvl w:val="0"/>
                <w:numId w:val="741"/>
              </w:numPr>
              <w:spacing w:before="120" w:after="120"/>
              <w:ind w:left="360"/>
              <w:jc w:val="both"/>
              <w:rPr>
                <w:rFonts w:ascii="Arial" w:hAnsi="Arial" w:cs="Arial"/>
                <w:sz w:val="21"/>
                <w:szCs w:val="21"/>
              </w:rPr>
            </w:pPr>
            <w:r w:rsidRPr="005D020B">
              <w:rPr>
                <w:rFonts w:ascii="Arial" w:hAnsi="Arial" w:cs="Arial"/>
                <w:sz w:val="21"/>
                <w:szCs w:val="21"/>
              </w:rPr>
              <w:t>Pengguna menambah dana dan tarif tol ditambah biaya tambahan sebesar lima puluh persen (50%) dibayarkan – kasus ditutup sebagai opsi a);</w:t>
            </w:r>
          </w:p>
          <w:p w14:paraId="52089DE6" w14:textId="77777777" w:rsidR="00290A2D" w:rsidRPr="005D020B" w:rsidRDefault="00290A2D" w:rsidP="005D020B">
            <w:pPr>
              <w:pStyle w:val="NoSpacing"/>
              <w:numPr>
                <w:ilvl w:val="0"/>
                <w:numId w:val="741"/>
              </w:numPr>
              <w:spacing w:before="120" w:after="120"/>
              <w:ind w:left="360"/>
              <w:jc w:val="both"/>
              <w:rPr>
                <w:rFonts w:ascii="Arial" w:hAnsi="Arial" w:cs="Arial"/>
                <w:sz w:val="21"/>
                <w:szCs w:val="21"/>
              </w:rPr>
            </w:pPr>
            <w:r w:rsidRPr="005D020B">
              <w:rPr>
                <w:rFonts w:ascii="Arial" w:hAnsi="Arial" w:cs="Arial"/>
                <w:sz w:val="21"/>
                <w:szCs w:val="21"/>
              </w:rPr>
              <w:t>Dana tidak mencukupi atau tidak ada penambahan dana berakibat tidak adanya pembayaran – kasus dilanjutkan sebagai opsi c.</w:t>
            </w:r>
          </w:p>
          <w:p w14:paraId="2F9E700D" w14:textId="77777777" w:rsidR="00290A2D" w:rsidRPr="005D020B" w:rsidRDefault="00290A2D" w:rsidP="005D020B">
            <w:pPr>
              <w:pStyle w:val="NoSpacing"/>
              <w:spacing w:before="120" w:after="120"/>
              <w:jc w:val="both"/>
              <w:rPr>
                <w:rFonts w:ascii="Arial" w:hAnsi="Arial" w:cs="Arial"/>
                <w:i/>
                <w:sz w:val="21"/>
                <w:szCs w:val="21"/>
              </w:rPr>
            </w:pPr>
            <w:r w:rsidRPr="005D020B">
              <w:rPr>
                <w:rFonts w:ascii="Arial" w:hAnsi="Arial" w:cs="Arial"/>
                <w:i/>
                <w:sz w:val="21"/>
                <w:szCs w:val="21"/>
              </w:rPr>
              <w:t>IBE informs the Registered User via phone message on the low balance and requests immediate top up within 48 hours.</w:t>
            </w:r>
          </w:p>
          <w:p w14:paraId="6C3D60FC" w14:textId="77777777" w:rsidR="00290A2D" w:rsidRPr="005D020B" w:rsidRDefault="00290A2D" w:rsidP="005D020B">
            <w:pPr>
              <w:pStyle w:val="NoSpacing"/>
              <w:numPr>
                <w:ilvl w:val="0"/>
                <w:numId w:val="739"/>
              </w:numPr>
              <w:spacing w:before="120" w:after="120"/>
              <w:ind w:left="241" w:hanging="241"/>
              <w:jc w:val="both"/>
              <w:rPr>
                <w:rFonts w:ascii="Arial" w:hAnsi="Arial" w:cs="Arial"/>
                <w:i/>
                <w:sz w:val="21"/>
                <w:szCs w:val="21"/>
              </w:rPr>
            </w:pPr>
            <w:r w:rsidRPr="005D020B">
              <w:rPr>
                <w:rFonts w:ascii="Arial" w:hAnsi="Arial" w:cs="Arial"/>
                <w:i/>
                <w:sz w:val="21"/>
                <w:szCs w:val="21"/>
              </w:rPr>
              <w:t xml:space="preserve">User tops up the balance and toll plus 50% surcharge is paid - case closed as </w:t>
            </w:r>
            <w:r w:rsidRPr="005D020B">
              <w:rPr>
                <w:rFonts w:ascii="Arial" w:hAnsi="Arial" w:cs="Arial"/>
                <w:i/>
                <w:sz w:val="21"/>
                <w:szCs w:val="21"/>
                <w:u w:val="single"/>
              </w:rPr>
              <w:t>option a;</w:t>
            </w:r>
          </w:p>
          <w:p w14:paraId="09BEA194" w14:textId="77777777" w:rsidR="00290A2D" w:rsidRPr="005D020B" w:rsidRDefault="00290A2D" w:rsidP="005D020B">
            <w:pPr>
              <w:pStyle w:val="NoSpacing"/>
              <w:numPr>
                <w:ilvl w:val="0"/>
                <w:numId w:val="739"/>
              </w:numPr>
              <w:spacing w:before="120" w:after="120"/>
              <w:ind w:left="241" w:hanging="241"/>
              <w:jc w:val="both"/>
              <w:rPr>
                <w:rFonts w:ascii="Arial" w:hAnsi="Arial" w:cs="Arial"/>
                <w:sz w:val="21"/>
                <w:szCs w:val="21"/>
              </w:rPr>
            </w:pPr>
            <w:r w:rsidRPr="005D020B">
              <w:rPr>
                <w:rFonts w:ascii="Arial" w:hAnsi="Arial" w:cs="Arial"/>
                <w:i/>
                <w:sz w:val="21"/>
                <w:szCs w:val="21"/>
              </w:rPr>
              <w:t xml:space="preserve">Insufficient or no top up results in non payment. - case continues as </w:t>
            </w:r>
            <w:r w:rsidRPr="005D020B">
              <w:rPr>
                <w:rFonts w:ascii="Arial" w:hAnsi="Arial" w:cs="Arial"/>
                <w:i/>
                <w:sz w:val="21"/>
                <w:szCs w:val="21"/>
                <w:u w:val="single"/>
              </w:rPr>
              <w:t>option c).</w:t>
            </w:r>
          </w:p>
        </w:tc>
      </w:tr>
      <w:tr w:rsidR="00290A2D" w:rsidRPr="006534A5" w14:paraId="7A5A47E6" w14:textId="77777777" w:rsidTr="00290A2D">
        <w:tc>
          <w:tcPr>
            <w:tcW w:w="4248" w:type="dxa"/>
            <w:shd w:val="clear" w:color="auto" w:fill="FFFFFF" w:themeFill="background1"/>
          </w:tcPr>
          <w:p w14:paraId="29ADDFCC" w14:textId="222E7D4B" w:rsidR="00290A2D" w:rsidRPr="005D020B" w:rsidRDefault="00290A2D" w:rsidP="005D020B">
            <w:pPr>
              <w:pStyle w:val="NoSpacing"/>
              <w:numPr>
                <w:ilvl w:val="0"/>
                <w:numId w:val="738"/>
              </w:numPr>
              <w:spacing w:before="120" w:after="120"/>
              <w:jc w:val="both"/>
              <w:rPr>
                <w:rFonts w:ascii="Arial" w:hAnsi="Arial" w:cs="Arial"/>
                <w:sz w:val="21"/>
                <w:szCs w:val="21"/>
              </w:rPr>
            </w:pPr>
            <w:r w:rsidRPr="005D020B">
              <w:rPr>
                <w:rFonts w:ascii="Arial" w:hAnsi="Arial" w:cs="Arial"/>
                <w:sz w:val="21"/>
                <w:szCs w:val="21"/>
              </w:rPr>
              <w:t>Kendaraan terdaftar, namun bukti pengenaan tol tidak diterima (</w:t>
            </w:r>
            <w:r w:rsidR="008F0B3C">
              <w:rPr>
                <w:rFonts w:ascii="Arial" w:hAnsi="Arial" w:cs="Arial"/>
                <w:sz w:val="21"/>
                <w:szCs w:val="21"/>
              </w:rPr>
              <w:t xml:space="preserve">Perangkat Sistem MLFF Pengguna </w:t>
            </w:r>
            <w:r w:rsidRPr="005D020B">
              <w:rPr>
                <w:rFonts w:ascii="Arial" w:hAnsi="Arial" w:cs="Arial"/>
                <w:sz w:val="21"/>
                <w:szCs w:val="21"/>
              </w:rPr>
              <w:t>tidak digunakan dan tidak ada Tiket Terusan yang dibeli)</w:t>
            </w:r>
          </w:p>
          <w:p w14:paraId="0E6F5879" w14:textId="31A1DE7C" w:rsidR="00290A2D" w:rsidRPr="005D020B" w:rsidRDefault="00290A2D" w:rsidP="005D020B">
            <w:pPr>
              <w:pStyle w:val="NoSpacing"/>
              <w:spacing w:before="120" w:after="120"/>
              <w:ind w:left="360"/>
              <w:jc w:val="both"/>
              <w:rPr>
                <w:rFonts w:ascii="Arial" w:hAnsi="Arial" w:cs="Arial"/>
                <w:i/>
                <w:sz w:val="21"/>
                <w:szCs w:val="21"/>
              </w:rPr>
            </w:pPr>
            <w:r w:rsidRPr="005D020B">
              <w:rPr>
                <w:rFonts w:ascii="Arial" w:hAnsi="Arial" w:cs="Arial"/>
                <w:i/>
                <w:sz w:val="21"/>
                <w:szCs w:val="21"/>
              </w:rPr>
              <w:t>Vehicle is registered, but no toll declaration received (</w:t>
            </w:r>
            <w:r w:rsidR="008F0B3C">
              <w:rPr>
                <w:rFonts w:ascii="Arial" w:hAnsi="Arial" w:cs="Arial"/>
                <w:sz w:val="21"/>
                <w:szCs w:val="21"/>
              </w:rPr>
              <w:t xml:space="preserve">User MLFF System Device </w:t>
            </w:r>
            <w:r w:rsidRPr="005D020B">
              <w:rPr>
                <w:rFonts w:ascii="Arial" w:hAnsi="Arial" w:cs="Arial"/>
                <w:i/>
                <w:sz w:val="21"/>
                <w:szCs w:val="21"/>
              </w:rPr>
              <w:t>was not used and no Route Ticket purchased)</w:t>
            </w:r>
          </w:p>
          <w:p w14:paraId="60A1D8BF" w14:textId="77777777" w:rsidR="00290A2D" w:rsidRPr="005D020B" w:rsidRDefault="00290A2D" w:rsidP="00290A2D">
            <w:pPr>
              <w:pStyle w:val="NoSpacing"/>
              <w:spacing w:before="120" w:after="120"/>
              <w:ind w:left="360"/>
              <w:rPr>
                <w:rFonts w:ascii="Arial" w:hAnsi="Arial" w:cs="Arial"/>
                <w:i/>
                <w:sz w:val="21"/>
                <w:szCs w:val="21"/>
              </w:rPr>
            </w:pPr>
          </w:p>
        </w:tc>
        <w:tc>
          <w:tcPr>
            <w:tcW w:w="4808" w:type="dxa"/>
            <w:shd w:val="clear" w:color="auto" w:fill="FFFFFF" w:themeFill="background1"/>
          </w:tcPr>
          <w:p w14:paraId="3C04F978" w14:textId="77777777" w:rsidR="00290A2D" w:rsidRPr="005D020B" w:rsidRDefault="00290A2D" w:rsidP="005D020B">
            <w:pPr>
              <w:pStyle w:val="NoSpacing"/>
              <w:spacing w:before="120" w:after="120"/>
              <w:jc w:val="both"/>
              <w:rPr>
                <w:rFonts w:ascii="Arial" w:hAnsi="Arial" w:cs="Arial"/>
                <w:sz w:val="21"/>
                <w:szCs w:val="21"/>
              </w:rPr>
            </w:pPr>
            <w:r w:rsidRPr="005D020B">
              <w:rPr>
                <w:rFonts w:ascii="Arial" w:hAnsi="Arial" w:cs="Arial"/>
                <w:sz w:val="21"/>
                <w:szCs w:val="21"/>
              </w:rPr>
              <w:t>BUP menginformasikan Pengguna Terdaftar melalui pesan telepon/email mengenai pengenaan denda (10 kali dari tol yang tidak dibayar).</w:t>
            </w:r>
          </w:p>
          <w:p w14:paraId="25E34185" w14:textId="03843E81" w:rsidR="00290A2D" w:rsidRPr="005D020B" w:rsidRDefault="00290A2D" w:rsidP="005D020B">
            <w:pPr>
              <w:pStyle w:val="NoSpacing"/>
              <w:numPr>
                <w:ilvl w:val="0"/>
                <w:numId w:val="740"/>
              </w:numPr>
              <w:spacing w:before="120" w:after="120"/>
              <w:ind w:left="360"/>
              <w:jc w:val="both"/>
              <w:rPr>
                <w:rFonts w:ascii="Arial" w:hAnsi="Arial" w:cs="Arial"/>
                <w:sz w:val="21"/>
                <w:szCs w:val="21"/>
              </w:rPr>
            </w:pPr>
            <w:r w:rsidRPr="005D020B">
              <w:rPr>
                <w:rFonts w:ascii="Arial" w:hAnsi="Arial" w:cs="Arial"/>
                <w:sz w:val="21"/>
                <w:szCs w:val="21"/>
              </w:rPr>
              <w:t xml:space="preserve">Pengguna membayar </w:t>
            </w:r>
            <w:r w:rsidR="00C162E3" w:rsidRPr="005D020B">
              <w:rPr>
                <w:rFonts w:ascii="Arial" w:hAnsi="Arial" w:cs="Arial"/>
                <w:sz w:val="21"/>
                <w:szCs w:val="21"/>
              </w:rPr>
              <w:t>d</w:t>
            </w:r>
            <w:r w:rsidRPr="005D020B">
              <w:rPr>
                <w:rFonts w:ascii="Arial" w:hAnsi="Arial" w:cs="Arial"/>
                <w:sz w:val="21"/>
                <w:szCs w:val="21"/>
              </w:rPr>
              <w:t>enda secara dalam jaringan (</w:t>
            </w:r>
            <w:r w:rsidRPr="005D020B">
              <w:rPr>
                <w:rFonts w:ascii="Arial" w:hAnsi="Arial" w:cs="Arial"/>
                <w:i/>
                <w:sz w:val="21"/>
                <w:szCs w:val="21"/>
              </w:rPr>
              <w:t>online)</w:t>
            </w:r>
            <w:r w:rsidR="008F0B3C">
              <w:rPr>
                <w:rFonts w:ascii="Arial" w:hAnsi="Arial" w:cs="Arial"/>
                <w:sz w:val="21"/>
                <w:szCs w:val="21"/>
              </w:rPr>
              <w:t xml:space="preserve"> pada Sistem MLFF dengan poto</w:t>
            </w:r>
            <w:r w:rsidRPr="005D020B">
              <w:rPr>
                <w:rFonts w:ascii="Arial" w:hAnsi="Arial" w:cs="Arial"/>
                <w:sz w:val="21"/>
                <w:szCs w:val="21"/>
              </w:rPr>
              <w:t>ngan sebesar dua puluh perseratus (20%) – kasus ditutup.</w:t>
            </w:r>
          </w:p>
          <w:p w14:paraId="1A554563" w14:textId="77777777" w:rsidR="00290A2D" w:rsidRPr="005D020B" w:rsidRDefault="00290A2D" w:rsidP="005D020B">
            <w:pPr>
              <w:pStyle w:val="NoSpacing"/>
              <w:numPr>
                <w:ilvl w:val="0"/>
                <w:numId w:val="740"/>
              </w:numPr>
              <w:spacing w:before="120" w:after="120"/>
              <w:ind w:left="360"/>
              <w:jc w:val="both"/>
              <w:rPr>
                <w:rFonts w:ascii="Arial" w:hAnsi="Arial" w:cs="Arial"/>
                <w:sz w:val="21"/>
                <w:szCs w:val="21"/>
              </w:rPr>
            </w:pPr>
            <w:r w:rsidRPr="005D020B">
              <w:rPr>
                <w:rFonts w:ascii="Arial" w:hAnsi="Arial" w:cs="Arial"/>
                <w:sz w:val="21"/>
                <w:szCs w:val="21"/>
              </w:rPr>
              <w:t xml:space="preserve">Dalam hal tidak terdapat pembayaran denda dalam 2 (dua) minggu, kasus dan bukti (paket data elektronik) diberikan kepada PJPK (dan Kepolisian Republik Indonesia) – kasus dilanjutkan sebagai opsi d. </w:t>
            </w:r>
          </w:p>
          <w:p w14:paraId="5453B809" w14:textId="77777777" w:rsidR="00290A2D" w:rsidRPr="005D020B" w:rsidRDefault="00290A2D" w:rsidP="005D020B">
            <w:pPr>
              <w:pStyle w:val="NoSpacing"/>
              <w:spacing w:before="120" w:after="120"/>
              <w:jc w:val="both"/>
              <w:rPr>
                <w:rFonts w:ascii="Arial" w:hAnsi="Arial" w:cs="Arial"/>
                <w:i/>
                <w:sz w:val="21"/>
                <w:szCs w:val="21"/>
              </w:rPr>
            </w:pPr>
            <w:r w:rsidRPr="005D020B">
              <w:rPr>
                <w:rFonts w:ascii="Arial" w:hAnsi="Arial" w:cs="Arial"/>
                <w:i/>
                <w:sz w:val="21"/>
                <w:szCs w:val="21"/>
              </w:rPr>
              <w:t>IBE informs the Registered User via phone message/email on the penalty (10 times unpaid toll).</w:t>
            </w:r>
          </w:p>
          <w:p w14:paraId="2AC81FA4" w14:textId="64C61418" w:rsidR="00290A2D" w:rsidRPr="005D020B" w:rsidRDefault="00290A2D" w:rsidP="005D020B">
            <w:pPr>
              <w:pStyle w:val="NoSpacing"/>
              <w:numPr>
                <w:ilvl w:val="0"/>
                <w:numId w:val="742"/>
              </w:numPr>
              <w:spacing w:before="120" w:after="120"/>
              <w:ind w:left="360"/>
              <w:jc w:val="both"/>
              <w:rPr>
                <w:rFonts w:ascii="Arial" w:hAnsi="Arial" w:cs="Arial"/>
                <w:i/>
                <w:sz w:val="21"/>
                <w:szCs w:val="21"/>
              </w:rPr>
            </w:pPr>
            <w:r w:rsidRPr="005D020B">
              <w:rPr>
                <w:rFonts w:ascii="Arial" w:hAnsi="Arial" w:cs="Arial"/>
                <w:i/>
                <w:sz w:val="21"/>
                <w:szCs w:val="21"/>
              </w:rPr>
              <w:t xml:space="preserve">User pays the penalty online in the </w:t>
            </w:r>
            <w:r w:rsidR="008F0B3C">
              <w:rPr>
                <w:rFonts w:ascii="Arial" w:hAnsi="Arial" w:cs="Arial"/>
                <w:i/>
                <w:sz w:val="21"/>
                <w:szCs w:val="21"/>
              </w:rPr>
              <w:t>MLFF S</w:t>
            </w:r>
            <w:r w:rsidRPr="005D020B">
              <w:rPr>
                <w:rFonts w:ascii="Arial" w:hAnsi="Arial" w:cs="Arial"/>
                <w:i/>
                <w:sz w:val="21"/>
                <w:szCs w:val="21"/>
              </w:rPr>
              <w:t>ystem with twenty percent (20%) discount - case closed.</w:t>
            </w:r>
          </w:p>
          <w:p w14:paraId="5A729F68" w14:textId="77777777" w:rsidR="00290A2D" w:rsidRPr="005D020B" w:rsidRDefault="00290A2D" w:rsidP="005D020B">
            <w:pPr>
              <w:pStyle w:val="NoSpacing"/>
              <w:numPr>
                <w:ilvl w:val="0"/>
                <w:numId w:val="742"/>
              </w:numPr>
              <w:spacing w:before="120" w:after="120"/>
              <w:ind w:left="360"/>
              <w:jc w:val="both"/>
              <w:rPr>
                <w:rFonts w:ascii="Arial" w:hAnsi="Arial" w:cs="Arial"/>
                <w:sz w:val="21"/>
                <w:szCs w:val="21"/>
              </w:rPr>
            </w:pPr>
            <w:r w:rsidRPr="005D020B">
              <w:rPr>
                <w:rFonts w:ascii="Arial" w:hAnsi="Arial" w:cs="Arial"/>
                <w:i/>
                <w:sz w:val="21"/>
                <w:szCs w:val="21"/>
              </w:rPr>
              <w:t xml:space="preserve">In case no penalty payment in two (2) weeks, case and evidence (electronic data package) is given to GCA (and Indonesian National Police) - case continues as </w:t>
            </w:r>
            <w:r w:rsidRPr="005D020B">
              <w:rPr>
                <w:rFonts w:ascii="Arial" w:hAnsi="Arial" w:cs="Arial"/>
                <w:i/>
                <w:sz w:val="21"/>
                <w:szCs w:val="21"/>
                <w:u w:val="single"/>
              </w:rPr>
              <w:t>option d).</w:t>
            </w:r>
          </w:p>
        </w:tc>
      </w:tr>
      <w:tr w:rsidR="00290A2D" w:rsidRPr="006534A5" w14:paraId="2536F3FD" w14:textId="77777777" w:rsidTr="00290A2D">
        <w:trPr>
          <w:trHeight w:val="947"/>
        </w:trPr>
        <w:tc>
          <w:tcPr>
            <w:tcW w:w="4248" w:type="dxa"/>
            <w:shd w:val="clear" w:color="auto" w:fill="FFFFFF" w:themeFill="background1"/>
          </w:tcPr>
          <w:p w14:paraId="74852AB4" w14:textId="77777777" w:rsidR="00290A2D" w:rsidRPr="005D020B" w:rsidRDefault="00290A2D" w:rsidP="00290A2D">
            <w:pPr>
              <w:pStyle w:val="NoSpacing"/>
              <w:numPr>
                <w:ilvl w:val="0"/>
                <w:numId w:val="738"/>
              </w:numPr>
              <w:spacing w:before="120" w:after="120"/>
              <w:rPr>
                <w:rFonts w:ascii="Arial" w:hAnsi="Arial" w:cs="Arial"/>
                <w:sz w:val="21"/>
                <w:szCs w:val="21"/>
              </w:rPr>
            </w:pPr>
            <w:r w:rsidRPr="005D020B">
              <w:rPr>
                <w:rFonts w:ascii="Arial" w:hAnsi="Arial" w:cs="Arial"/>
                <w:sz w:val="21"/>
                <w:szCs w:val="21"/>
              </w:rPr>
              <w:t>Kendaraan tidak terdaftar</w:t>
            </w:r>
          </w:p>
          <w:p w14:paraId="33C427AA" w14:textId="77777777" w:rsidR="00290A2D" w:rsidRPr="005D020B" w:rsidRDefault="00290A2D" w:rsidP="00290A2D">
            <w:pPr>
              <w:pStyle w:val="NoSpacing"/>
              <w:spacing w:before="120" w:after="120"/>
              <w:ind w:left="360"/>
              <w:rPr>
                <w:rFonts w:ascii="Arial" w:hAnsi="Arial" w:cs="Arial"/>
                <w:i/>
                <w:sz w:val="21"/>
                <w:szCs w:val="21"/>
              </w:rPr>
            </w:pPr>
            <w:r w:rsidRPr="005D020B">
              <w:rPr>
                <w:rFonts w:ascii="Arial" w:hAnsi="Arial" w:cs="Arial"/>
                <w:i/>
                <w:sz w:val="21"/>
                <w:szCs w:val="21"/>
              </w:rPr>
              <w:t>Vehicle is not registered</w:t>
            </w:r>
          </w:p>
          <w:p w14:paraId="07326A5F" w14:textId="77777777" w:rsidR="00290A2D" w:rsidRPr="005D020B" w:rsidRDefault="00290A2D" w:rsidP="00290A2D">
            <w:pPr>
              <w:pStyle w:val="NoSpacing"/>
              <w:spacing w:before="120" w:after="120"/>
              <w:ind w:left="360"/>
              <w:rPr>
                <w:rFonts w:ascii="Arial" w:hAnsi="Arial" w:cs="Arial"/>
                <w:sz w:val="21"/>
                <w:szCs w:val="21"/>
              </w:rPr>
            </w:pPr>
          </w:p>
        </w:tc>
        <w:tc>
          <w:tcPr>
            <w:tcW w:w="4808" w:type="dxa"/>
            <w:shd w:val="clear" w:color="auto" w:fill="FFFFFF" w:themeFill="background1"/>
          </w:tcPr>
          <w:p w14:paraId="3427682C" w14:textId="77777777" w:rsidR="00290A2D" w:rsidRPr="005D020B" w:rsidRDefault="00290A2D" w:rsidP="005D020B">
            <w:pPr>
              <w:pStyle w:val="NoSpacing"/>
              <w:spacing w:before="120" w:after="120"/>
              <w:jc w:val="both"/>
              <w:rPr>
                <w:rFonts w:ascii="Arial" w:hAnsi="Arial" w:cs="Arial"/>
                <w:sz w:val="21"/>
                <w:szCs w:val="21"/>
              </w:rPr>
            </w:pPr>
            <w:r w:rsidRPr="005D020B">
              <w:rPr>
                <w:rFonts w:ascii="Arial" w:hAnsi="Arial" w:cs="Arial"/>
                <w:sz w:val="21"/>
                <w:szCs w:val="21"/>
              </w:rPr>
              <w:t>Bukti (paket data elekronik) diberikan kepada PJPK (dan Kepolisian Republik Indonesia)</w:t>
            </w:r>
          </w:p>
          <w:p w14:paraId="66D43986" w14:textId="67B0D73D" w:rsidR="00290A2D" w:rsidRPr="005D020B" w:rsidRDefault="00290A2D" w:rsidP="005D020B">
            <w:pPr>
              <w:pStyle w:val="NoSpacing"/>
              <w:spacing w:before="120" w:after="120"/>
              <w:jc w:val="both"/>
              <w:rPr>
                <w:rFonts w:ascii="Arial" w:hAnsi="Arial" w:cs="Arial"/>
                <w:sz w:val="21"/>
                <w:szCs w:val="21"/>
              </w:rPr>
            </w:pPr>
            <w:r w:rsidRPr="005D020B">
              <w:rPr>
                <w:rFonts w:ascii="Arial" w:hAnsi="Arial" w:cs="Arial"/>
                <w:sz w:val="21"/>
                <w:szCs w:val="21"/>
              </w:rPr>
              <w:t>Denda ditagihkan oleh Kepolisian Republik Indonesia dengan jumlah sebesar tiga puluh (30) kali dari j</w:t>
            </w:r>
            <w:r w:rsidR="005D020B">
              <w:rPr>
                <w:rFonts w:ascii="Arial" w:hAnsi="Arial" w:cs="Arial"/>
                <w:sz w:val="21"/>
                <w:szCs w:val="21"/>
              </w:rPr>
              <w:t>umlah Tol yang tidak dibayar. (D</w:t>
            </w:r>
            <w:r w:rsidRPr="005D020B">
              <w:rPr>
                <w:rFonts w:ascii="Arial" w:hAnsi="Arial" w:cs="Arial"/>
                <w:sz w:val="21"/>
                <w:szCs w:val="21"/>
              </w:rPr>
              <w:t>enda dibagi antara PJPK (25%) dan Kepolisian Republik Indonesia (75%).</w:t>
            </w:r>
          </w:p>
          <w:p w14:paraId="76AFA5D7" w14:textId="77777777" w:rsidR="00290A2D" w:rsidRPr="005D020B" w:rsidRDefault="00290A2D" w:rsidP="005D020B">
            <w:pPr>
              <w:pStyle w:val="NoSpacing"/>
              <w:spacing w:before="120" w:after="120"/>
              <w:jc w:val="both"/>
              <w:rPr>
                <w:rFonts w:ascii="Arial" w:hAnsi="Arial" w:cs="Arial"/>
                <w:i/>
                <w:sz w:val="21"/>
                <w:szCs w:val="21"/>
              </w:rPr>
            </w:pPr>
            <w:r w:rsidRPr="005D020B">
              <w:rPr>
                <w:rFonts w:ascii="Arial" w:hAnsi="Arial" w:cs="Arial"/>
                <w:i/>
                <w:sz w:val="21"/>
                <w:szCs w:val="21"/>
              </w:rPr>
              <w:t>Evidence (electronic data package) is given to GCA (and Indonesian National Police).</w:t>
            </w:r>
          </w:p>
          <w:p w14:paraId="4B7A12FB" w14:textId="77777777" w:rsidR="00290A2D" w:rsidRPr="005D020B" w:rsidRDefault="00290A2D" w:rsidP="005D020B">
            <w:pPr>
              <w:pStyle w:val="NoSpacing"/>
              <w:spacing w:before="120" w:after="120"/>
              <w:jc w:val="both"/>
              <w:rPr>
                <w:rFonts w:ascii="Arial" w:hAnsi="Arial" w:cs="Arial"/>
                <w:i/>
                <w:sz w:val="21"/>
                <w:szCs w:val="21"/>
              </w:rPr>
            </w:pPr>
            <w:r w:rsidRPr="005D020B">
              <w:rPr>
                <w:rFonts w:ascii="Arial" w:hAnsi="Arial" w:cs="Arial"/>
                <w:i/>
                <w:sz w:val="21"/>
                <w:szCs w:val="21"/>
              </w:rPr>
              <w:t>Penalty is collected by the Indonesian National Police with the amount of thirty (30) times of the unpaid Toll. (Fine is shared by the GCA (25%) and Indonesian National Police (75%)).</w:t>
            </w:r>
          </w:p>
        </w:tc>
      </w:tr>
    </w:tbl>
    <w:p w14:paraId="1800CD6B" w14:textId="3D58CF57" w:rsidR="004231ED" w:rsidRDefault="004231ED">
      <w:pPr>
        <w:rPr>
          <w:rFonts w:ascii="Arial" w:hAnsi="Arial" w:cs="Arial"/>
          <w:sz w:val="21"/>
          <w:szCs w:val="21"/>
        </w:rPr>
      </w:pPr>
    </w:p>
    <w:p w14:paraId="47B89C53" w14:textId="77777777" w:rsidR="004231ED" w:rsidRDefault="004231ED" w:rsidP="005D020B">
      <w:pPr>
        <w:jc w:val="both"/>
        <w:rPr>
          <w:rFonts w:ascii="Arial" w:hAnsi="Arial" w:cs="Arial"/>
          <w:sz w:val="21"/>
          <w:szCs w:val="21"/>
        </w:rPr>
      </w:pPr>
    </w:p>
    <w:p w14:paraId="0C97CB10" w14:textId="77777777" w:rsidR="009F105C" w:rsidRDefault="009F105C" w:rsidP="005D020B">
      <w:pPr>
        <w:jc w:val="center"/>
        <w:rPr>
          <w:rFonts w:ascii="Arial" w:hAnsi="Arial" w:cs="Arial"/>
          <w:sz w:val="21"/>
          <w:szCs w:val="21"/>
        </w:rPr>
      </w:pPr>
    </w:p>
    <w:p w14:paraId="22B8034E" w14:textId="4159D750" w:rsidR="00290A2D" w:rsidRDefault="00290A2D">
      <w:pPr>
        <w:rPr>
          <w:rFonts w:ascii="Arial" w:hAnsi="Arial" w:cs="Arial"/>
          <w:sz w:val="21"/>
          <w:szCs w:val="21"/>
        </w:rPr>
      </w:pPr>
      <w:r>
        <w:rPr>
          <w:rFonts w:ascii="Arial" w:hAnsi="Arial" w:cs="Arial"/>
          <w:sz w:val="21"/>
          <w:szCs w:val="21"/>
        </w:rPr>
        <w:br w:type="page"/>
      </w:r>
    </w:p>
    <w:p w14:paraId="2EA5EBAF" w14:textId="77777777" w:rsidR="00923319" w:rsidRPr="00A67277" w:rsidRDefault="00923319" w:rsidP="00923319">
      <w:pPr>
        <w:rPr>
          <w:rFonts w:ascii="Arial" w:hAnsi="Arial" w:cs="Arial"/>
          <w:sz w:val="21"/>
          <w:szCs w:val="21"/>
        </w:rPr>
      </w:pPr>
    </w:p>
    <w:tbl>
      <w:tblPr>
        <w:tblW w:w="9427" w:type="dxa"/>
        <w:tblInd w:w="-72" w:type="dxa"/>
        <w:tblLook w:val="04A0" w:firstRow="1" w:lastRow="0" w:firstColumn="1" w:lastColumn="0" w:noHBand="0" w:noVBand="1"/>
      </w:tblPr>
      <w:tblGrid>
        <w:gridCol w:w="4657"/>
        <w:gridCol w:w="270"/>
        <w:gridCol w:w="4500"/>
      </w:tblGrid>
      <w:tr w:rsidR="00923319" w:rsidRPr="00A67277" w14:paraId="3EDD2A7C" w14:textId="77777777" w:rsidTr="00923319">
        <w:trPr>
          <w:trHeight w:val="95"/>
        </w:trPr>
        <w:tc>
          <w:tcPr>
            <w:tcW w:w="4657" w:type="dxa"/>
            <w:shd w:val="clear" w:color="auto" w:fill="auto"/>
          </w:tcPr>
          <w:p w14:paraId="517A8050" w14:textId="78853BF4" w:rsidR="00923319" w:rsidRPr="00A67277" w:rsidRDefault="00923319" w:rsidP="00E030C4">
            <w:pPr>
              <w:jc w:val="center"/>
              <w:rPr>
                <w:rFonts w:ascii="Arial" w:hAnsi="Arial" w:cs="Arial"/>
                <w:b/>
                <w:sz w:val="21"/>
                <w:szCs w:val="21"/>
              </w:rPr>
            </w:pPr>
            <w:r w:rsidRPr="00A67277">
              <w:rPr>
                <w:rFonts w:ascii="Arial" w:hAnsi="Arial" w:cs="Arial"/>
                <w:b/>
                <w:sz w:val="21"/>
                <w:szCs w:val="21"/>
              </w:rPr>
              <w:t xml:space="preserve">APPENDIX </w:t>
            </w:r>
            <w:r w:rsidR="00E030C4" w:rsidRPr="00A67277">
              <w:rPr>
                <w:rFonts w:ascii="Arial" w:hAnsi="Arial" w:cs="Arial"/>
                <w:b/>
                <w:sz w:val="21"/>
                <w:szCs w:val="21"/>
              </w:rPr>
              <w:t xml:space="preserve">10 </w:t>
            </w:r>
            <w:r w:rsidRPr="00A67277">
              <w:rPr>
                <w:rFonts w:ascii="Arial" w:hAnsi="Arial" w:cs="Arial"/>
                <w:b/>
                <w:sz w:val="21"/>
                <w:szCs w:val="21"/>
              </w:rPr>
              <w:t>– INVOICING</w:t>
            </w:r>
          </w:p>
        </w:tc>
        <w:tc>
          <w:tcPr>
            <w:tcW w:w="270" w:type="dxa"/>
          </w:tcPr>
          <w:p w14:paraId="63996104" w14:textId="77777777" w:rsidR="00923319" w:rsidRPr="00A67277" w:rsidRDefault="00923319" w:rsidP="00923319">
            <w:pPr>
              <w:spacing w:before="120" w:after="120" w:line="240" w:lineRule="auto"/>
              <w:rPr>
                <w:rFonts w:ascii="Arial" w:hAnsi="Arial" w:cs="Arial"/>
                <w:sz w:val="21"/>
                <w:szCs w:val="21"/>
              </w:rPr>
            </w:pPr>
          </w:p>
        </w:tc>
        <w:tc>
          <w:tcPr>
            <w:tcW w:w="4500" w:type="dxa"/>
          </w:tcPr>
          <w:p w14:paraId="0E2BBC22" w14:textId="2A59F9C6" w:rsidR="00923319" w:rsidRPr="00A67277" w:rsidRDefault="00923319" w:rsidP="00E030C4">
            <w:pPr>
              <w:pStyle w:val="SchTitle"/>
              <w:rPr>
                <w:rFonts w:cs="Arial"/>
                <w:sz w:val="21"/>
              </w:rPr>
            </w:pPr>
            <w:r w:rsidRPr="00A67277">
              <w:rPr>
                <w:rFonts w:cs="Arial"/>
                <w:sz w:val="21"/>
              </w:rPr>
              <w:t xml:space="preserve">LAMPIRAN </w:t>
            </w:r>
            <w:r w:rsidR="00E030C4" w:rsidRPr="00A67277">
              <w:rPr>
                <w:rFonts w:cs="Arial"/>
                <w:sz w:val="21"/>
              </w:rPr>
              <w:t xml:space="preserve">10 </w:t>
            </w:r>
            <w:r w:rsidRPr="00A67277">
              <w:rPr>
                <w:rFonts w:cs="Arial"/>
                <w:sz w:val="21"/>
              </w:rPr>
              <w:t>– TAGIHAN</w:t>
            </w:r>
          </w:p>
        </w:tc>
      </w:tr>
    </w:tbl>
    <w:p w14:paraId="45B3B17C" w14:textId="77777777" w:rsidR="00923319" w:rsidRPr="00A67277" w:rsidRDefault="00923319" w:rsidP="00923319">
      <w:pPr>
        <w:rPr>
          <w:rFonts w:ascii="Arial" w:hAnsi="Arial" w:cs="Arial"/>
          <w:sz w:val="21"/>
          <w:szCs w:val="21"/>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280"/>
        <w:gridCol w:w="4574"/>
      </w:tblGrid>
      <w:tr w:rsidR="00923319" w:rsidRPr="00A67277" w14:paraId="5F19C7F9" w14:textId="77777777" w:rsidTr="00923319">
        <w:tc>
          <w:tcPr>
            <w:tcW w:w="4501" w:type="dxa"/>
          </w:tcPr>
          <w:p w14:paraId="19ACC51B" w14:textId="77777777" w:rsidR="00923319" w:rsidRPr="00A67277" w:rsidRDefault="00923319" w:rsidP="00923319">
            <w:pPr>
              <w:spacing w:before="120" w:after="120"/>
              <w:jc w:val="center"/>
              <w:rPr>
                <w:rFonts w:ascii="Arial" w:hAnsi="Arial" w:cs="Arial"/>
                <w:b/>
                <w:sz w:val="21"/>
                <w:szCs w:val="21"/>
              </w:rPr>
            </w:pPr>
            <w:r w:rsidRPr="00A67277">
              <w:rPr>
                <w:rFonts w:ascii="Arial" w:hAnsi="Arial" w:cs="Arial"/>
                <w:b/>
                <w:sz w:val="21"/>
                <w:szCs w:val="21"/>
              </w:rPr>
              <w:t>Letterhead of The IBE</w:t>
            </w:r>
          </w:p>
        </w:tc>
        <w:tc>
          <w:tcPr>
            <w:tcW w:w="280" w:type="dxa"/>
          </w:tcPr>
          <w:p w14:paraId="1412553C" w14:textId="77777777" w:rsidR="00923319" w:rsidRPr="00A67277" w:rsidRDefault="00923319" w:rsidP="00923319">
            <w:pPr>
              <w:spacing w:before="120" w:after="120"/>
              <w:rPr>
                <w:rFonts w:ascii="Arial" w:hAnsi="Arial" w:cs="Arial"/>
                <w:b/>
                <w:sz w:val="21"/>
                <w:szCs w:val="21"/>
              </w:rPr>
            </w:pPr>
          </w:p>
        </w:tc>
        <w:tc>
          <w:tcPr>
            <w:tcW w:w="4574" w:type="dxa"/>
          </w:tcPr>
          <w:p w14:paraId="1E5C89A9" w14:textId="77777777" w:rsidR="00923319" w:rsidRPr="00A67277" w:rsidRDefault="00923319" w:rsidP="00923319">
            <w:pPr>
              <w:spacing w:before="120" w:after="120"/>
              <w:jc w:val="center"/>
              <w:rPr>
                <w:rFonts w:ascii="Arial" w:hAnsi="Arial" w:cs="Arial"/>
                <w:b/>
                <w:sz w:val="21"/>
                <w:szCs w:val="21"/>
              </w:rPr>
            </w:pPr>
            <w:r w:rsidRPr="00A67277">
              <w:rPr>
                <w:rFonts w:ascii="Arial" w:hAnsi="Arial" w:cs="Arial"/>
                <w:b/>
                <w:sz w:val="21"/>
                <w:szCs w:val="21"/>
              </w:rPr>
              <w:t>Kop Surat BUP</w:t>
            </w:r>
          </w:p>
        </w:tc>
      </w:tr>
      <w:tr w:rsidR="00923319" w:rsidRPr="00A67277" w14:paraId="20219971" w14:textId="77777777" w:rsidTr="00923319">
        <w:tc>
          <w:tcPr>
            <w:tcW w:w="4501" w:type="dxa"/>
          </w:tcPr>
          <w:p w14:paraId="7B198268"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INVOICE/ TAGIHAN</w:t>
            </w:r>
          </w:p>
        </w:tc>
        <w:tc>
          <w:tcPr>
            <w:tcW w:w="280" w:type="dxa"/>
          </w:tcPr>
          <w:p w14:paraId="1CACBFA7" w14:textId="77777777" w:rsidR="00923319" w:rsidRPr="00A67277" w:rsidRDefault="00923319" w:rsidP="00923319">
            <w:pPr>
              <w:spacing w:before="120"/>
              <w:rPr>
                <w:rFonts w:ascii="Arial" w:hAnsi="Arial" w:cs="Arial"/>
                <w:sz w:val="21"/>
                <w:szCs w:val="21"/>
              </w:rPr>
            </w:pPr>
          </w:p>
        </w:tc>
        <w:tc>
          <w:tcPr>
            <w:tcW w:w="4574" w:type="dxa"/>
          </w:tcPr>
          <w:p w14:paraId="2A41247D" w14:textId="77777777" w:rsidR="00923319" w:rsidRPr="00A67277" w:rsidRDefault="00923319" w:rsidP="00923319">
            <w:pPr>
              <w:spacing w:before="120"/>
              <w:rPr>
                <w:rFonts w:ascii="Arial" w:hAnsi="Arial" w:cs="Arial"/>
                <w:sz w:val="21"/>
                <w:szCs w:val="21"/>
              </w:rPr>
            </w:pPr>
          </w:p>
        </w:tc>
      </w:tr>
      <w:tr w:rsidR="00923319" w:rsidRPr="00A67277" w14:paraId="3856B917" w14:textId="77777777" w:rsidTr="00923319">
        <w:tc>
          <w:tcPr>
            <w:tcW w:w="4501" w:type="dxa"/>
          </w:tcPr>
          <w:p w14:paraId="44084936"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Invoice Number/ Nomor Invoice:</w:t>
            </w:r>
          </w:p>
        </w:tc>
        <w:tc>
          <w:tcPr>
            <w:tcW w:w="280" w:type="dxa"/>
          </w:tcPr>
          <w:p w14:paraId="0CED6933" w14:textId="77777777" w:rsidR="00923319" w:rsidRPr="00A67277" w:rsidRDefault="00923319" w:rsidP="00923319">
            <w:pPr>
              <w:spacing w:before="120"/>
              <w:rPr>
                <w:rFonts w:ascii="Arial" w:hAnsi="Arial" w:cs="Arial"/>
                <w:sz w:val="21"/>
                <w:szCs w:val="21"/>
              </w:rPr>
            </w:pPr>
          </w:p>
        </w:tc>
        <w:tc>
          <w:tcPr>
            <w:tcW w:w="4574" w:type="dxa"/>
          </w:tcPr>
          <w:p w14:paraId="0AE96F12" w14:textId="77777777" w:rsidR="00923319" w:rsidRPr="00A67277" w:rsidRDefault="00923319" w:rsidP="00923319">
            <w:pPr>
              <w:tabs>
                <w:tab w:val="left" w:pos="1225"/>
              </w:tabs>
              <w:spacing w:before="120"/>
              <w:rPr>
                <w:rFonts w:ascii="Arial" w:hAnsi="Arial" w:cs="Arial"/>
                <w:sz w:val="21"/>
                <w:szCs w:val="21"/>
              </w:rPr>
            </w:pPr>
          </w:p>
        </w:tc>
      </w:tr>
      <w:tr w:rsidR="00923319" w:rsidRPr="00A67277" w14:paraId="0CB88E14" w14:textId="77777777" w:rsidTr="00923319">
        <w:tc>
          <w:tcPr>
            <w:tcW w:w="4501" w:type="dxa"/>
          </w:tcPr>
          <w:p w14:paraId="72077FFE"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Date/Tanggal:</w:t>
            </w:r>
          </w:p>
        </w:tc>
        <w:tc>
          <w:tcPr>
            <w:tcW w:w="280" w:type="dxa"/>
          </w:tcPr>
          <w:p w14:paraId="24C62EE8" w14:textId="77777777" w:rsidR="00923319" w:rsidRPr="00A67277" w:rsidRDefault="00923319" w:rsidP="00923319">
            <w:pPr>
              <w:spacing w:before="120"/>
              <w:rPr>
                <w:rFonts w:ascii="Arial" w:hAnsi="Arial" w:cs="Arial"/>
                <w:sz w:val="21"/>
                <w:szCs w:val="21"/>
              </w:rPr>
            </w:pPr>
          </w:p>
        </w:tc>
        <w:tc>
          <w:tcPr>
            <w:tcW w:w="4574" w:type="dxa"/>
          </w:tcPr>
          <w:p w14:paraId="62024907" w14:textId="77777777" w:rsidR="00923319" w:rsidRPr="00A67277" w:rsidRDefault="00923319" w:rsidP="00923319">
            <w:pPr>
              <w:tabs>
                <w:tab w:val="left" w:pos="1225"/>
              </w:tabs>
              <w:spacing w:before="120"/>
              <w:rPr>
                <w:rFonts w:ascii="Arial" w:hAnsi="Arial" w:cs="Arial"/>
                <w:sz w:val="21"/>
                <w:szCs w:val="21"/>
              </w:rPr>
            </w:pPr>
          </w:p>
        </w:tc>
      </w:tr>
      <w:tr w:rsidR="00923319" w:rsidRPr="00A67277" w14:paraId="003DEBA1" w14:textId="77777777" w:rsidTr="00923319">
        <w:tc>
          <w:tcPr>
            <w:tcW w:w="4501" w:type="dxa"/>
          </w:tcPr>
          <w:p w14:paraId="1F2F4466"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BILL TO/TAGIHAN UNTUK:</w:t>
            </w:r>
          </w:p>
        </w:tc>
        <w:tc>
          <w:tcPr>
            <w:tcW w:w="280" w:type="dxa"/>
          </w:tcPr>
          <w:p w14:paraId="735FBA32" w14:textId="77777777" w:rsidR="00923319" w:rsidRPr="00A67277" w:rsidRDefault="00923319" w:rsidP="00923319">
            <w:pPr>
              <w:spacing w:before="120"/>
              <w:rPr>
                <w:rFonts w:ascii="Arial" w:hAnsi="Arial" w:cs="Arial"/>
                <w:sz w:val="21"/>
                <w:szCs w:val="21"/>
              </w:rPr>
            </w:pPr>
          </w:p>
        </w:tc>
        <w:tc>
          <w:tcPr>
            <w:tcW w:w="4574" w:type="dxa"/>
          </w:tcPr>
          <w:p w14:paraId="3A76F265" w14:textId="77777777" w:rsidR="00923319" w:rsidRPr="00A67277" w:rsidRDefault="00923319" w:rsidP="00923319">
            <w:pPr>
              <w:spacing w:before="120"/>
              <w:rPr>
                <w:rFonts w:ascii="Arial" w:hAnsi="Arial" w:cs="Arial"/>
                <w:sz w:val="21"/>
                <w:szCs w:val="21"/>
              </w:rPr>
            </w:pPr>
          </w:p>
        </w:tc>
      </w:tr>
      <w:tr w:rsidR="00923319" w:rsidRPr="00A67277" w14:paraId="547F57FD" w14:textId="77777777" w:rsidTr="00923319">
        <w:tc>
          <w:tcPr>
            <w:tcW w:w="4501" w:type="dxa"/>
          </w:tcPr>
          <w:p w14:paraId="62853848"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THE GCA/PJPK</w:t>
            </w:r>
          </w:p>
        </w:tc>
        <w:tc>
          <w:tcPr>
            <w:tcW w:w="280" w:type="dxa"/>
          </w:tcPr>
          <w:p w14:paraId="2BCD1639" w14:textId="77777777" w:rsidR="00923319" w:rsidRPr="00A67277" w:rsidRDefault="00923319" w:rsidP="00923319">
            <w:pPr>
              <w:spacing w:before="120"/>
              <w:rPr>
                <w:rFonts w:ascii="Arial" w:hAnsi="Arial" w:cs="Arial"/>
                <w:sz w:val="21"/>
                <w:szCs w:val="21"/>
              </w:rPr>
            </w:pPr>
          </w:p>
        </w:tc>
        <w:tc>
          <w:tcPr>
            <w:tcW w:w="4574" w:type="dxa"/>
          </w:tcPr>
          <w:p w14:paraId="75DA586E" w14:textId="77777777" w:rsidR="00923319" w:rsidRPr="00A67277" w:rsidRDefault="00923319" w:rsidP="00923319">
            <w:pPr>
              <w:spacing w:before="120"/>
              <w:rPr>
                <w:rFonts w:ascii="Arial" w:hAnsi="Arial" w:cs="Arial"/>
                <w:sz w:val="21"/>
                <w:szCs w:val="21"/>
              </w:rPr>
            </w:pPr>
          </w:p>
        </w:tc>
      </w:tr>
      <w:tr w:rsidR="00923319" w:rsidRPr="00A67277" w14:paraId="356F0873" w14:textId="77777777" w:rsidTr="00923319">
        <w:tc>
          <w:tcPr>
            <w:tcW w:w="4501" w:type="dxa"/>
          </w:tcPr>
          <w:p w14:paraId="345F71A2" w14:textId="77777777" w:rsidR="00923319" w:rsidRPr="00A67277" w:rsidRDefault="00923319" w:rsidP="00923319">
            <w:pPr>
              <w:spacing w:before="120"/>
              <w:rPr>
                <w:rFonts w:ascii="Arial" w:hAnsi="Arial" w:cs="Arial"/>
                <w:sz w:val="21"/>
                <w:szCs w:val="21"/>
              </w:rPr>
            </w:pPr>
            <w:r w:rsidRPr="00A67277">
              <w:rPr>
                <w:rFonts w:ascii="Arial" w:hAnsi="Arial" w:cs="Arial"/>
                <w:sz w:val="21"/>
                <w:szCs w:val="21"/>
              </w:rPr>
              <w:t>Address/Alamat:</w:t>
            </w:r>
          </w:p>
        </w:tc>
        <w:tc>
          <w:tcPr>
            <w:tcW w:w="280" w:type="dxa"/>
          </w:tcPr>
          <w:p w14:paraId="4C971CD5" w14:textId="77777777" w:rsidR="00923319" w:rsidRPr="00A67277" w:rsidRDefault="00923319" w:rsidP="00923319">
            <w:pPr>
              <w:spacing w:before="120"/>
              <w:rPr>
                <w:rFonts w:ascii="Arial" w:hAnsi="Arial" w:cs="Arial"/>
                <w:sz w:val="21"/>
                <w:szCs w:val="21"/>
              </w:rPr>
            </w:pPr>
          </w:p>
        </w:tc>
        <w:tc>
          <w:tcPr>
            <w:tcW w:w="4574" w:type="dxa"/>
          </w:tcPr>
          <w:p w14:paraId="5C39EE12" w14:textId="77777777" w:rsidR="00923319" w:rsidRPr="00A67277" w:rsidRDefault="00923319" w:rsidP="00923319">
            <w:pPr>
              <w:spacing w:before="120"/>
              <w:rPr>
                <w:rFonts w:ascii="Arial" w:hAnsi="Arial" w:cs="Arial"/>
                <w:sz w:val="21"/>
                <w:szCs w:val="21"/>
              </w:rPr>
            </w:pPr>
          </w:p>
        </w:tc>
      </w:tr>
    </w:tbl>
    <w:p w14:paraId="7FA3EA6E" w14:textId="77777777" w:rsidR="00923319" w:rsidRPr="00A67277" w:rsidRDefault="00923319" w:rsidP="00923319">
      <w:pPr>
        <w:rPr>
          <w:rFonts w:ascii="Arial" w:hAnsi="Arial" w:cs="Arial"/>
          <w:sz w:val="21"/>
          <w:szCs w:val="21"/>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987"/>
        <w:gridCol w:w="4258"/>
      </w:tblGrid>
      <w:tr w:rsidR="00923319" w:rsidRPr="00A67277" w14:paraId="5EB66402" w14:textId="77777777" w:rsidTr="00923319">
        <w:trPr>
          <w:tblHeader/>
        </w:trPr>
        <w:tc>
          <w:tcPr>
            <w:tcW w:w="269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E65892D" w14:textId="77777777" w:rsidR="00923319" w:rsidRPr="00A67277" w:rsidRDefault="00923319" w:rsidP="00923319">
            <w:pPr>
              <w:suppressAutoHyphens/>
              <w:overflowPunct w:val="0"/>
              <w:autoSpaceDE w:val="0"/>
              <w:autoSpaceDN w:val="0"/>
              <w:adjustRightInd w:val="0"/>
              <w:spacing w:before="120" w:after="120" w:line="240" w:lineRule="auto"/>
              <w:jc w:val="center"/>
              <w:rPr>
                <w:rFonts w:ascii="Arial" w:eastAsia="Cambria" w:hAnsi="Arial" w:cs="Arial"/>
                <w:b/>
                <w:bCs/>
                <w:sz w:val="21"/>
                <w:szCs w:val="21"/>
              </w:rPr>
            </w:pPr>
            <w:r w:rsidRPr="00A67277">
              <w:rPr>
                <w:rFonts w:ascii="Arial" w:eastAsia="Cambria" w:hAnsi="Arial" w:cs="Arial"/>
                <w:b/>
                <w:bCs/>
                <w:sz w:val="21"/>
                <w:szCs w:val="21"/>
              </w:rPr>
              <w:t>Item/Deskripsi</w:t>
            </w:r>
          </w:p>
          <w:p w14:paraId="284C7012" w14:textId="77777777" w:rsidR="00923319" w:rsidRPr="00A67277" w:rsidRDefault="00923319" w:rsidP="00923319">
            <w:pPr>
              <w:suppressAutoHyphens/>
              <w:overflowPunct w:val="0"/>
              <w:autoSpaceDE w:val="0"/>
              <w:autoSpaceDN w:val="0"/>
              <w:adjustRightInd w:val="0"/>
              <w:spacing w:before="120" w:after="120" w:line="240" w:lineRule="auto"/>
              <w:jc w:val="center"/>
              <w:rPr>
                <w:rFonts w:ascii="Arial" w:eastAsia="Cambria" w:hAnsi="Arial" w:cs="Arial"/>
                <w:b/>
                <w:bCs/>
                <w:sz w:val="21"/>
                <w:szCs w:val="21"/>
              </w:rPr>
            </w:pPr>
            <w:r w:rsidRPr="00A67277">
              <w:rPr>
                <w:rFonts w:ascii="Arial" w:eastAsia="Cambria" w:hAnsi="Arial" w:cs="Arial"/>
                <w:b/>
                <w:bCs/>
                <w:sz w:val="21"/>
                <w:szCs w:val="21"/>
              </w:rPr>
              <w:t>Item/Description</w:t>
            </w:r>
          </w:p>
        </w:tc>
        <w:tc>
          <w:tcPr>
            <w:tcW w:w="230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7742B86" w14:textId="77777777" w:rsidR="00923319" w:rsidRPr="00A67277" w:rsidRDefault="00923319" w:rsidP="00923319">
            <w:pPr>
              <w:suppressAutoHyphens/>
              <w:overflowPunct w:val="0"/>
              <w:autoSpaceDE w:val="0"/>
              <w:autoSpaceDN w:val="0"/>
              <w:adjustRightInd w:val="0"/>
              <w:spacing w:before="120" w:after="120" w:line="240" w:lineRule="auto"/>
              <w:ind w:left="37" w:hanging="37"/>
              <w:jc w:val="center"/>
              <w:rPr>
                <w:rFonts w:ascii="Arial" w:eastAsia="Cambria" w:hAnsi="Arial" w:cs="Arial"/>
                <w:b/>
                <w:bCs/>
                <w:sz w:val="21"/>
                <w:szCs w:val="21"/>
              </w:rPr>
            </w:pPr>
            <w:r w:rsidRPr="00A67277">
              <w:rPr>
                <w:rFonts w:ascii="Arial" w:eastAsia="Cambria" w:hAnsi="Arial" w:cs="Arial"/>
                <w:b/>
                <w:bCs/>
                <w:sz w:val="21"/>
                <w:szCs w:val="21"/>
              </w:rPr>
              <w:t>Amount Jumlah (Rp)</w:t>
            </w:r>
          </w:p>
        </w:tc>
      </w:tr>
      <w:tr w:rsidR="00923319" w:rsidRPr="00A67277" w14:paraId="047EB3E0" w14:textId="77777777" w:rsidTr="00923319">
        <w:trPr>
          <w:trHeight w:val="514"/>
        </w:trPr>
        <w:tc>
          <w:tcPr>
            <w:tcW w:w="5000" w:type="pct"/>
            <w:gridSpan w:val="2"/>
            <w:tcBorders>
              <w:top w:val="single" w:sz="6" w:space="0" w:color="000000"/>
              <w:left w:val="single" w:sz="6" w:space="0" w:color="000000"/>
              <w:bottom w:val="single" w:sz="6" w:space="0" w:color="000000"/>
              <w:right w:val="single" w:sz="6" w:space="0" w:color="000000"/>
            </w:tcBorders>
          </w:tcPr>
          <w:p w14:paraId="162780A3" w14:textId="7777777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MS Mincho" w:hAnsi="Arial" w:cs="Arial"/>
                <w:sz w:val="21"/>
                <w:szCs w:val="21"/>
              </w:rPr>
              <w:t>Billing Period/Periode Penagihan:</w:t>
            </w:r>
          </w:p>
        </w:tc>
      </w:tr>
      <w:tr w:rsidR="00923319" w:rsidRPr="00A67277" w14:paraId="6463DAF7" w14:textId="77777777" w:rsidTr="00923319">
        <w:trPr>
          <w:trHeight w:val="691"/>
        </w:trPr>
        <w:tc>
          <w:tcPr>
            <w:tcW w:w="2697" w:type="pct"/>
            <w:tcBorders>
              <w:top w:val="single" w:sz="6" w:space="0" w:color="000000"/>
              <w:left w:val="single" w:sz="6" w:space="0" w:color="000000"/>
              <w:bottom w:val="single" w:sz="6" w:space="0" w:color="000000"/>
              <w:right w:val="single" w:sz="6" w:space="0" w:color="000000"/>
            </w:tcBorders>
            <w:hideMark/>
          </w:tcPr>
          <w:p w14:paraId="0BC756DE" w14:textId="61857A89" w:rsidR="00923319" w:rsidRPr="00A67277" w:rsidRDefault="00923319" w:rsidP="00923319">
            <w:pPr>
              <w:spacing w:before="120" w:after="120" w:line="240" w:lineRule="auto"/>
              <w:rPr>
                <w:rFonts w:ascii="Arial" w:eastAsia="MS Mincho" w:hAnsi="Arial" w:cs="Arial"/>
                <w:sz w:val="21"/>
                <w:szCs w:val="21"/>
              </w:rPr>
            </w:pPr>
            <w:r w:rsidRPr="00A67277">
              <w:rPr>
                <w:rFonts w:ascii="Arial" w:eastAsia="MS Mincho" w:hAnsi="Arial" w:cs="Arial"/>
                <w:sz w:val="21"/>
                <w:szCs w:val="21"/>
              </w:rPr>
              <w:t xml:space="preserve">Lump Sum </w:t>
            </w:r>
            <w:r w:rsidR="00FD6128">
              <w:rPr>
                <w:rFonts w:ascii="Arial" w:eastAsia="MS Mincho" w:hAnsi="Arial" w:cs="Arial"/>
                <w:sz w:val="21"/>
                <w:szCs w:val="21"/>
              </w:rPr>
              <w:t>Service Fee</w:t>
            </w:r>
            <w:r w:rsidRPr="00A67277">
              <w:rPr>
                <w:rFonts w:ascii="Arial" w:eastAsia="MS Mincho" w:hAnsi="Arial" w:cs="Arial"/>
                <w:sz w:val="21"/>
                <w:szCs w:val="21"/>
              </w:rPr>
              <w:t xml:space="preserve">/Pembayaran </w:t>
            </w:r>
            <w:r w:rsidR="00AA2619">
              <w:rPr>
                <w:rFonts w:ascii="Arial" w:eastAsia="MS Mincho" w:hAnsi="Arial" w:cs="Arial"/>
                <w:sz w:val="21"/>
                <w:szCs w:val="21"/>
              </w:rPr>
              <w:t>Biaya Layanan Lump Sum</w:t>
            </w:r>
          </w:p>
        </w:tc>
        <w:tc>
          <w:tcPr>
            <w:tcW w:w="2303" w:type="pct"/>
            <w:tcBorders>
              <w:top w:val="single" w:sz="6" w:space="0" w:color="000000"/>
              <w:left w:val="single" w:sz="6" w:space="0" w:color="000000"/>
              <w:bottom w:val="single" w:sz="6" w:space="0" w:color="000000"/>
              <w:right w:val="single" w:sz="6" w:space="0" w:color="000000"/>
            </w:tcBorders>
          </w:tcPr>
          <w:p w14:paraId="795C48DA" w14:textId="77777777" w:rsidR="00923319" w:rsidRPr="00A67277" w:rsidRDefault="00923319" w:rsidP="00923319">
            <w:pPr>
              <w:suppressAutoHyphens/>
              <w:overflowPunct w:val="0"/>
              <w:autoSpaceDE w:val="0"/>
              <w:autoSpaceDN w:val="0"/>
              <w:adjustRightInd w:val="0"/>
              <w:spacing w:before="120" w:after="120" w:line="240" w:lineRule="auto"/>
              <w:ind w:left="749"/>
              <w:rPr>
                <w:rFonts w:ascii="Arial" w:eastAsia="Cambria" w:hAnsi="Arial" w:cs="Arial"/>
                <w:bCs/>
                <w:sz w:val="21"/>
                <w:szCs w:val="21"/>
              </w:rPr>
            </w:pPr>
          </w:p>
        </w:tc>
      </w:tr>
      <w:tr w:rsidR="00923319" w:rsidRPr="00A67277" w14:paraId="1B75B113" w14:textId="77777777" w:rsidTr="00923319">
        <w:trPr>
          <w:trHeight w:val="659"/>
        </w:trPr>
        <w:tc>
          <w:tcPr>
            <w:tcW w:w="2697" w:type="pct"/>
            <w:tcBorders>
              <w:top w:val="single" w:sz="6" w:space="0" w:color="000000"/>
              <w:left w:val="single" w:sz="6" w:space="0" w:color="000000"/>
              <w:bottom w:val="single" w:sz="6" w:space="0" w:color="000000"/>
              <w:right w:val="single" w:sz="6" w:space="0" w:color="000000"/>
            </w:tcBorders>
            <w:hideMark/>
          </w:tcPr>
          <w:p w14:paraId="65D414AA" w14:textId="416B6808" w:rsidR="00923319" w:rsidRPr="00A67277" w:rsidRDefault="002C5282"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2C5282">
              <w:rPr>
                <w:rFonts w:ascii="Arial" w:eastAsia="Cambria" w:hAnsi="Arial" w:cs="Arial"/>
                <w:bCs/>
                <w:sz w:val="21"/>
                <w:szCs w:val="21"/>
              </w:rPr>
              <w:t xml:space="preserve">Tolled Lane Based Service Fee </w:t>
            </w:r>
            <w:r w:rsidR="00923319" w:rsidRPr="00A67277">
              <w:rPr>
                <w:rFonts w:ascii="Arial" w:eastAsia="Cambria" w:hAnsi="Arial" w:cs="Arial"/>
                <w:bCs/>
                <w:sz w:val="21"/>
                <w:szCs w:val="21"/>
              </w:rPr>
              <w:t>/</w:t>
            </w:r>
            <w:r w:rsidRPr="002C5282">
              <w:rPr>
                <w:rFonts w:ascii="Arial" w:eastAsia="Cambria" w:hAnsi="Arial" w:cs="Arial"/>
                <w:bCs/>
                <w:sz w:val="21"/>
                <w:szCs w:val="21"/>
              </w:rPr>
              <w:t xml:space="preserve">Biaya Layanan Berdasarkan Jalur Tol </w:t>
            </w:r>
            <w:r w:rsidR="00923319" w:rsidRPr="00A67277">
              <w:rPr>
                <w:rFonts w:ascii="Arial" w:eastAsia="Cambria" w:hAnsi="Arial" w:cs="Arial"/>
                <w:bCs/>
                <w:sz w:val="21"/>
                <w:szCs w:val="21"/>
              </w:rPr>
              <w:t>(if any)</w:t>
            </w:r>
          </w:p>
        </w:tc>
        <w:tc>
          <w:tcPr>
            <w:tcW w:w="2303" w:type="pct"/>
            <w:tcBorders>
              <w:top w:val="single" w:sz="6" w:space="0" w:color="000000"/>
              <w:left w:val="single" w:sz="6" w:space="0" w:color="000000"/>
              <w:bottom w:val="single" w:sz="6" w:space="0" w:color="000000"/>
              <w:right w:val="single" w:sz="6" w:space="0" w:color="000000"/>
            </w:tcBorders>
          </w:tcPr>
          <w:p w14:paraId="14299CEB" w14:textId="77777777" w:rsidR="00923319" w:rsidRPr="00A67277" w:rsidRDefault="00923319" w:rsidP="00923319">
            <w:pPr>
              <w:suppressAutoHyphens/>
              <w:overflowPunct w:val="0"/>
              <w:autoSpaceDE w:val="0"/>
              <w:autoSpaceDN w:val="0"/>
              <w:adjustRightInd w:val="0"/>
              <w:spacing w:before="120" w:after="120" w:line="240" w:lineRule="auto"/>
              <w:ind w:left="749"/>
              <w:rPr>
                <w:rFonts w:ascii="Arial" w:eastAsia="Cambria" w:hAnsi="Arial" w:cs="Arial"/>
                <w:bCs/>
                <w:sz w:val="21"/>
                <w:szCs w:val="21"/>
              </w:rPr>
            </w:pPr>
          </w:p>
        </w:tc>
      </w:tr>
      <w:tr w:rsidR="00923319" w:rsidRPr="00A67277" w14:paraId="40835CCF" w14:textId="77777777" w:rsidTr="00923319">
        <w:trPr>
          <w:trHeight w:val="486"/>
        </w:trPr>
        <w:tc>
          <w:tcPr>
            <w:tcW w:w="2697" w:type="pct"/>
            <w:tcBorders>
              <w:top w:val="single" w:sz="6" w:space="0" w:color="000000"/>
              <w:left w:val="single" w:sz="6" w:space="0" w:color="000000"/>
              <w:bottom w:val="single" w:sz="6" w:space="0" w:color="000000"/>
              <w:right w:val="single" w:sz="6" w:space="0" w:color="000000"/>
            </w:tcBorders>
          </w:tcPr>
          <w:p w14:paraId="0D16E73E" w14:textId="5082D21F"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Cambria" w:hAnsi="Arial" w:cs="Arial"/>
                <w:b/>
                <w:bCs/>
                <w:sz w:val="21"/>
                <w:szCs w:val="21"/>
              </w:rPr>
              <w:t xml:space="preserve">SUB TOTAL </w:t>
            </w:r>
            <w:r w:rsidR="00FD6128">
              <w:rPr>
                <w:rFonts w:ascii="Arial" w:eastAsia="Cambria" w:hAnsi="Arial" w:cs="Arial"/>
                <w:b/>
                <w:bCs/>
                <w:sz w:val="21"/>
                <w:szCs w:val="21"/>
              </w:rPr>
              <w:t>SERVICE FEE</w:t>
            </w:r>
          </w:p>
        </w:tc>
        <w:tc>
          <w:tcPr>
            <w:tcW w:w="2303" w:type="pct"/>
            <w:tcBorders>
              <w:top w:val="single" w:sz="6" w:space="0" w:color="000000"/>
              <w:left w:val="single" w:sz="6" w:space="0" w:color="000000"/>
              <w:bottom w:val="single" w:sz="6" w:space="0" w:color="000000"/>
              <w:right w:val="single" w:sz="6" w:space="0" w:color="000000"/>
            </w:tcBorders>
          </w:tcPr>
          <w:p w14:paraId="42B1F7FC" w14:textId="77777777" w:rsidR="00923319" w:rsidRPr="00A67277" w:rsidRDefault="00923319" w:rsidP="00923319">
            <w:pPr>
              <w:suppressAutoHyphens/>
              <w:overflowPunct w:val="0"/>
              <w:autoSpaceDE w:val="0"/>
              <w:autoSpaceDN w:val="0"/>
              <w:adjustRightInd w:val="0"/>
              <w:spacing w:before="120" w:after="120" w:line="240" w:lineRule="auto"/>
              <w:ind w:left="749"/>
              <w:rPr>
                <w:rFonts w:ascii="Arial" w:eastAsia="Cambria" w:hAnsi="Arial" w:cs="Arial"/>
                <w:bCs/>
                <w:sz w:val="21"/>
                <w:szCs w:val="21"/>
              </w:rPr>
            </w:pPr>
          </w:p>
        </w:tc>
      </w:tr>
      <w:tr w:rsidR="00923319" w:rsidRPr="00A67277" w14:paraId="75FAC97E" w14:textId="77777777" w:rsidTr="00923319">
        <w:trPr>
          <w:trHeight w:val="705"/>
        </w:trPr>
        <w:tc>
          <w:tcPr>
            <w:tcW w:w="2697" w:type="pct"/>
            <w:tcBorders>
              <w:top w:val="single" w:sz="6" w:space="0" w:color="000000"/>
              <w:left w:val="single" w:sz="6" w:space="0" w:color="000000"/>
              <w:bottom w:val="single" w:sz="6" w:space="0" w:color="000000"/>
              <w:right w:val="single" w:sz="6" w:space="0" w:color="000000"/>
            </w:tcBorders>
          </w:tcPr>
          <w:p w14:paraId="0A8C3803" w14:textId="7777777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Cambria" w:hAnsi="Arial" w:cs="Arial"/>
                <w:bCs/>
                <w:sz w:val="21"/>
                <w:szCs w:val="21"/>
              </w:rPr>
              <w:t>Deduction for Performance Failure/Pengurangan untuk Kegagalan Kinerja</w:t>
            </w:r>
          </w:p>
        </w:tc>
        <w:tc>
          <w:tcPr>
            <w:tcW w:w="2303" w:type="pct"/>
            <w:tcBorders>
              <w:top w:val="single" w:sz="6" w:space="0" w:color="000000"/>
              <w:left w:val="single" w:sz="6" w:space="0" w:color="000000"/>
              <w:bottom w:val="single" w:sz="6" w:space="0" w:color="000000"/>
              <w:right w:val="single" w:sz="6" w:space="0" w:color="000000"/>
            </w:tcBorders>
          </w:tcPr>
          <w:p w14:paraId="404D7127" w14:textId="77777777" w:rsidR="00923319" w:rsidRPr="00A67277" w:rsidRDefault="00923319" w:rsidP="00923319">
            <w:pPr>
              <w:suppressAutoHyphens/>
              <w:overflowPunct w:val="0"/>
              <w:autoSpaceDE w:val="0"/>
              <w:autoSpaceDN w:val="0"/>
              <w:adjustRightInd w:val="0"/>
              <w:spacing w:before="120" w:after="120" w:line="240" w:lineRule="auto"/>
              <w:ind w:left="749"/>
              <w:rPr>
                <w:rFonts w:ascii="Arial" w:eastAsia="Cambria" w:hAnsi="Arial" w:cs="Arial"/>
                <w:bCs/>
                <w:sz w:val="21"/>
                <w:szCs w:val="21"/>
              </w:rPr>
            </w:pPr>
          </w:p>
        </w:tc>
      </w:tr>
      <w:tr w:rsidR="00923319" w:rsidRPr="00A67277" w14:paraId="5DB422C4" w14:textId="77777777" w:rsidTr="00923319">
        <w:trPr>
          <w:trHeight w:val="546"/>
        </w:trPr>
        <w:tc>
          <w:tcPr>
            <w:tcW w:w="2697" w:type="pct"/>
            <w:tcBorders>
              <w:top w:val="single" w:sz="6" w:space="0" w:color="000000"/>
              <w:left w:val="single" w:sz="6" w:space="0" w:color="000000"/>
              <w:bottom w:val="single" w:sz="6" w:space="0" w:color="000000"/>
              <w:right w:val="single" w:sz="6" w:space="0" w:color="000000"/>
            </w:tcBorders>
          </w:tcPr>
          <w:p w14:paraId="3110EF4B" w14:textId="7777777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
                <w:bCs/>
                <w:sz w:val="21"/>
                <w:szCs w:val="21"/>
              </w:rPr>
            </w:pPr>
            <w:r w:rsidRPr="00A67277">
              <w:rPr>
                <w:rFonts w:ascii="Arial" w:eastAsia="Cambria" w:hAnsi="Arial" w:cs="Arial"/>
                <w:b/>
                <w:bCs/>
                <w:sz w:val="21"/>
                <w:szCs w:val="21"/>
              </w:rPr>
              <w:t xml:space="preserve">SUB TOTAL FOR DEDUCTION </w:t>
            </w:r>
          </w:p>
        </w:tc>
        <w:tc>
          <w:tcPr>
            <w:tcW w:w="2303" w:type="pct"/>
            <w:tcBorders>
              <w:top w:val="single" w:sz="6" w:space="0" w:color="000000"/>
              <w:left w:val="single" w:sz="6" w:space="0" w:color="000000"/>
              <w:bottom w:val="single" w:sz="6" w:space="0" w:color="000000"/>
              <w:right w:val="single" w:sz="6" w:space="0" w:color="000000"/>
            </w:tcBorders>
          </w:tcPr>
          <w:p w14:paraId="71B8E849" w14:textId="77777777" w:rsidR="00923319" w:rsidRPr="00A67277" w:rsidRDefault="00923319" w:rsidP="00923319">
            <w:pPr>
              <w:suppressAutoHyphens/>
              <w:overflowPunct w:val="0"/>
              <w:autoSpaceDE w:val="0"/>
              <w:autoSpaceDN w:val="0"/>
              <w:adjustRightInd w:val="0"/>
              <w:spacing w:before="120" w:after="120" w:line="240" w:lineRule="auto"/>
              <w:ind w:left="749"/>
              <w:rPr>
                <w:rFonts w:ascii="Arial" w:eastAsia="Cambria" w:hAnsi="Arial" w:cs="Arial"/>
                <w:bCs/>
                <w:sz w:val="21"/>
                <w:szCs w:val="21"/>
              </w:rPr>
            </w:pPr>
          </w:p>
        </w:tc>
      </w:tr>
      <w:tr w:rsidR="00923319" w:rsidRPr="00A67277" w14:paraId="79B2E795" w14:textId="77777777" w:rsidTr="00923319">
        <w:trPr>
          <w:trHeight w:val="695"/>
        </w:trPr>
        <w:tc>
          <w:tcPr>
            <w:tcW w:w="2697" w:type="pct"/>
            <w:tcBorders>
              <w:top w:val="single" w:sz="6" w:space="0" w:color="000000"/>
              <w:left w:val="single" w:sz="6" w:space="0" w:color="000000"/>
              <w:bottom w:val="single" w:sz="6" w:space="0" w:color="000000"/>
              <w:right w:val="single" w:sz="6" w:space="0" w:color="000000"/>
            </w:tcBorders>
          </w:tcPr>
          <w:p w14:paraId="62A6A8EB" w14:textId="057F1FAB"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
                <w:bCs/>
                <w:sz w:val="21"/>
                <w:szCs w:val="21"/>
              </w:rPr>
            </w:pPr>
            <w:r w:rsidRPr="00A67277">
              <w:rPr>
                <w:rFonts w:ascii="Arial" w:eastAsia="Cambria" w:hAnsi="Arial" w:cs="Arial"/>
                <w:b/>
                <w:bCs/>
                <w:sz w:val="21"/>
                <w:szCs w:val="21"/>
              </w:rPr>
              <w:t xml:space="preserve">TOTAL </w:t>
            </w:r>
            <w:r w:rsidR="00FD6128">
              <w:rPr>
                <w:rFonts w:ascii="Arial" w:eastAsia="Cambria" w:hAnsi="Arial" w:cs="Arial"/>
                <w:b/>
                <w:bCs/>
                <w:sz w:val="21"/>
                <w:szCs w:val="21"/>
              </w:rPr>
              <w:t>SERVICE FEE</w:t>
            </w:r>
            <w:r w:rsidRPr="00A67277">
              <w:rPr>
                <w:rFonts w:ascii="Arial" w:eastAsia="Cambria" w:hAnsi="Arial" w:cs="Arial"/>
                <w:b/>
                <w:bCs/>
                <w:sz w:val="21"/>
                <w:szCs w:val="21"/>
              </w:rPr>
              <w:t xml:space="preserve"> (Sub Total </w:t>
            </w:r>
            <w:r w:rsidR="00FD6128">
              <w:rPr>
                <w:rFonts w:ascii="Arial" w:eastAsia="Cambria" w:hAnsi="Arial" w:cs="Arial"/>
                <w:b/>
                <w:bCs/>
                <w:sz w:val="21"/>
                <w:szCs w:val="21"/>
              </w:rPr>
              <w:t>Service Fee</w:t>
            </w:r>
            <w:r w:rsidRPr="00A67277">
              <w:rPr>
                <w:rFonts w:ascii="Arial" w:eastAsia="Cambria" w:hAnsi="Arial" w:cs="Arial"/>
                <w:b/>
                <w:bCs/>
                <w:sz w:val="21"/>
                <w:szCs w:val="21"/>
              </w:rPr>
              <w:t xml:space="preserve"> – Sub Total for Deduction)</w:t>
            </w:r>
          </w:p>
        </w:tc>
        <w:tc>
          <w:tcPr>
            <w:tcW w:w="2303" w:type="pct"/>
            <w:tcBorders>
              <w:top w:val="single" w:sz="6" w:space="0" w:color="000000"/>
              <w:left w:val="single" w:sz="6" w:space="0" w:color="000000"/>
              <w:bottom w:val="single" w:sz="6" w:space="0" w:color="000000"/>
              <w:right w:val="single" w:sz="6" w:space="0" w:color="000000"/>
            </w:tcBorders>
          </w:tcPr>
          <w:p w14:paraId="2EAB38E8" w14:textId="78EEA43B"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Cambria" w:hAnsi="Arial" w:cs="Arial"/>
                <w:bCs/>
                <w:sz w:val="21"/>
                <w:szCs w:val="21"/>
              </w:rPr>
              <w:t xml:space="preserve">[Sub Total </w:t>
            </w:r>
            <w:r w:rsidR="00FD6128">
              <w:rPr>
                <w:rFonts w:ascii="Arial" w:eastAsia="Cambria" w:hAnsi="Arial" w:cs="Arial"/>
                <w:bCs/>
                <w:sz w:val="21"/>
                <w:szCs w:val="21"/>
              </w:rPr>
              <w:t>Service Fee</w:t>
            </w:r>
            <w:r w:rsidRPr="00A67277">
              <w:rPr>
                <w:rFonts w:ascii="Arial" w:eastAsia="Cambria" w:hAnsi="Arial" w:cs="Arial"/>
                <w:bCs/>
                <w:sz w:val="21"/>
                <w:szCs w:val="21"/>
              </w:rPr>
              <w:t xml:space="preserve"> – Sub Total for Deduction]</w:t>
            </w:r>
          </w:p>
        </w:tc>
      </w:tr>
      <w:tr w:rsidR="00923319" w:rsidRPr="00A67277" w14:paraId="56AC7ADE" w14:textId="77777777" w:rsidTr="00923319">
        <w:trPr>
          <w:trHeight w:val="408"/>
        </w:trPr>
        <w:tc>
          <w:tcPr>
            <w:tcW w:w="2697" w:type="pct"/>
            <w:tcBorders>
              <w:top w:val="single" w:sz="6" w:space="0" w:color="000000"/>
              <w:left w:val="single" w:sz="6" w:space="0" w:color="000000"/>
              <w:bottom w:val="single" w:sz="6" w:space="0" w:color="000000"/>
              <w:right w:val="single" w:sz="6" w:space="0" w:color="000000"/>
            </w:tcBorders>
          </w:tcPr>
          <w:p w14:paraId="5F6B2E05" w14:textId="7777777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
                <w:bCs/>
                <w:sz w:val="21"/>
                <w:szCs w:val="21"/>
              </w:rPr>
            </w:pPr>
            <w:r w:rsidRPr="00A67277">
              <w:rPr>
                <w:rFonts w:ascii="Arial" w:eastAsia="Cambria" w:hAnsi="Arial" w:cs="Arial"/>
                <w:b/>
                <w:bCs/>
                <w:sz w:val="21"/>
                <w:szCs w:val="21"/>
              </w:rPr>
              <w:t>VAT/PPN</w:t>
            </w:r>
          </w:p>
        </w:tc>
        <w:tc>
          <w:tcPr>
            <w:tcW w:w="2303" w:type="pct"/>
            <w:tcBorders>
              <w:top w:val="single" w:sz="6" w:space="0" w:color="000000"/>
              <w:left w:val="single" w:sz="6" w:space="0" w:color="000000"/>
              <w:bottom w:val="single" w:sz="6" w:space="0" w:color="000000"/>
              <w:right w:val="single" w:sz="6" w:space="0" w:color="000000"/>
            </w:tcBorders>
          </w:tcPr>
          <w:p w14:paraId="2DD16F6D" w14:textId="761F65B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Cambria" w:hAnsi="Arial" w:cs="Arial"/>
                <w:bCs/>
                <w:sz w:val="21"/>
                <w:szCs w:val="21"/>
              </w:rPr>
              <w:t xml:space="preserve">[VAT 10% of the Total </w:t>
            </w:r>
            <w:r w:rsidR="00FD6128">
              <w:rPr>
                <w:rFonts w:ascii="Arial" w:eastAsia="Cambria" w:hAnsi="Arial" w:cs="Arial"/>
                <w:bCs/>
                <w:sz w:val="21"/>
                <w:szCs w:val="21"/>
              </w:rPr>
              <w:t>Service Fee</w:t>
            </w:r>
            <w:r w:rsidRPr="00A67277">
              <w:rPr>
                <w:rFonts w:ascii="Arial" w:eastAsia="Cambria" w:hAnsi="Arial" w:cs="Arial"/>
                <w:bCs/>
                <w:sz w:val="21"/>
                <w:szCs w:val="21"/>
              </w:rPr>
              <w:t>]</w:t>
            </w:r>
          </w:p>
        </w:tc>
      </w:tr>
      <w:tr w:rsidR="00923319" w:rsidRPr="00A67277" w14:paraId="42A7A34F" w14:textId="77777777" w:rsidTr="00923319">
        <w:trPr>
          <w:trHeight w:val="380"/>
        </w:trPr>
        <w:tc>
          <w:tcPr>
            <w:tcW w:w="2697" w:type="pct"/>
            <w:tcBorders>
              <w:top w:val="single" w:sz="6" w:space="0" w:color="000000"/>
              <w:left w:val="single" w:sz="6" w:space="0" w:color="000000"/>
              <w:bottom w:val="single" w:sz="6" w:space="0" w:color="000000"/>
              <w:right w:val="single" w:sz="6" w:space="0" w:color="000000"/>
            </w:tcBorders>
          </w:tcPr>
          <w:p w14:paraId="31F2816C" w14:textId="77777777"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
                <w:bCs/>
                <w:sz w:val="21"/>
                <w:szCs w:val="21"/>
              </w:rPr>
            </w:pPr>
            <w:r w:rsidRPr="00A67277">
              <w:rPr>
                <w:rFonts w:ascii="Arial" w:eastAsia="Cambria" w:hAnsi="Arial" w:cs="Arial"/>
                <w:b/>
                <w:bCs/>
                <w:sz w:val="21"/>
                <w:szCs w:val="21"/>
              </w:rPr>
              <w:t>GRAND TOTAL</w:t>
            </w:r>
          </w:p>
        </w:tc>
        <w:tc>
          <w:tcPr>
            <w:tcW w:w="2303" w:type="pct"/>
            <w:tcBorders>
              <w:top w:val="single" w:sz="6" w:space="0" w:color="000000"/>
              <w:left w:val="single" w:sz="6" w:space="0" w:color="000000"/>
              <w:bottom w:val="single" w:sz="6" w:space="0" w:color="000000"/>
              <w:right w:val="single" w:sz="6" w:space="0" w:color="000000"/>
            </w:tcBorders>
          </w:tcPr>
          <w:p w14:paraId="3F5BDFDB" w14:textId="2D8E081B" w:rsidR="00923319" w:rsidRPr="00A67277" w:rsidRDefault="00923319" w:rsidP="00923319">
            <w:pPr>
              <w:suppressAutoHyphens/>
              <w:overflowPunct w:val="0"/>
              <w:autoSpaceDE w:val="0"/>
              <w:autoSpaceDN w:val="0"/>
              <w:adjustRightInd w:val="0"/>
              <w:spacing w:before="120" w:after="120" w:line="240" w:lineRule="auto"/>
              <w:rPr>
                <w:rFonts w:ascii="Arial" w:eastAsia="Cambria" w:hAnsi="Arial" w:cs="Arial"/>
                <w:bCs/>
                <w:sz w:val="21"/>
                <w:szCs w:val="21"/>
              </w:rPr>
            </w:pPr>
            <w:r w:rsidRPr="00A67277">
              <w:rPr>
                <w:rFonts w:ascii="Arial" w:eastAsia="Cambria" w:hAnsi="Arial" w:cs="Arial"/>
                <w:bCs/>
                <w:sz w:val="21"/>
                <w:szCs w:val="21"/>
              </w:rPr>
              <w:t xml:space="preserve">[Total </w:t>
            </w:r>
            <w:r w:rsidR="00FD6128">
              <w:rPr>
                <w:rFonts w:ascii="Arial" w:eastAsia="Cambria" w:hAnsi="Arial" w:cs="Arial"/>
                <w:bCs/>
                <w:sz w:val="21"/>
                <w:szCs w:val="21"/>
              </w:rPr>
              <w:t>Service Fee</w:t>
            </w:r>
            <w:r w:rsidRPr="00A67277">
              <w:rPr>
                <w:rFonts w:ascii="Arial" w:eastAsia="Cambria" w:hAnsi="Arial" w:cs="Arial"/>
                <w:bCs/>
                <w:sz w:val="21"/>
                <w:szCs w:val="21"/>
              </w:rPr>
              <w:t xml:space="preserve"> + VAT]</w:t>
            </w:r>
          </w:p>
        </w:tc>
      </w:tr>
    </w:tbl>
    <w:p w14:paraId="3430E3DE" w14:textId="77777777" w:rsidR="00923319" w:rsidRPr="00A67277" w:rsidRDefault="00923319" w:rsidP="00923319">
      <w:pPr>
        <w:rPr>
          <w:rFonts w:ascii="Arial" w:hAnsi="Arial" w:cs="Arial"/>
          <w:sz w:val="21"/>
          <w:szCs w:val="21"/>
        </w:rPr>
      </w:pPr>
    </w:p>
    <w:p w14:paraId="52A29124" w14:textId="77777777" w:rsidR="00923319" w:rsidRPr="00A67277" w:rsidRDefault="00923319" w:rsidP="00923319">
      <w:pPr>
        <w:rPr>
          <w:rFonts w:ascii="Arial" w:hAnsi="Arial" w:cs="Arial"/>
          <w:sz w:val="21"/>
          <w:szCs w:val="21"/>
        </w:rPr>
      </w:pPr>
    </w:p>
    <w:tbl>
      <w:tblPr>
        <w:tblW w:w="9236" w:type="dxa"/>
        <w:jc w:val="center"/>
        <w:tblLook w:val="04A0" w:firstRow="1" w:lastRow="0" w:firstColumn="1" w:lastColumn="0" w:noHBand="0" w:noVBand="1"/>
      </w:tblPr>
      <w:tblGrid>
        <w:gridCol w:w="4382"/>
        <w:gridCol w:w="612"/>
        <w:gridCol w:w="4242"/>
      </w:tblGrid>
      <w:tr w:rsidR="00923319" w:rsidRPr="00A67277" w14:paraId="26E4D959" w14:textId="77777777" w:rsidTr="00923319">
        <w:trPr>
          <w:jc w:val="center"/>
        </w:trPr>
        <w:tc>
          <w:tcPr>
            <w:tcW w:w="4382" w:type="dxa"/>
            <w:shd w:val="clear" w:color="auto" w:fill="auto"/>
            <w:hideMark/>
          </w:tcPr>
          <w:p w14:paraId="41A6F595" w14:textId="77777777" w:rsidR="00923319" w:rsidRPr="00A67277" w:rsidRDefault="00923319" w:rsidP="00923319">
            <w:pPr>
              <w:pStyle w:val="SchTitle"/>
              <w:spacing w:before="0" w:after="0"/>
              <w:rPr>
                <w:rFonts w:cs="Arial"/>
                <w:sz w:val="21"/>
              </w:rPr>
            </w:pPr>
            <w:r w:rsidRPr="00A67277">
              <w:rPr>
                <w:rFonts w:cs="Arial"/>
                <w:sz w:val="21"/>
              </w:rPr>
              <w:t>PLEASE REMIT PAYMENT TO:</w:t>
            </w:r>
          </w:p>
        </w:tc>
        <w:tc>
          <w:tcPr>
            <w:tcW w:w="612" w:type="dxa"/>
            <w:shd w:val="clear" w:color="auto" w:fill="auto"/>
          </w:tcPr>
          <w:p w14:paraId="3D28375C" w14:textId="77777777" w:rsidR="00923319" w:rsidRPr="00A67277" w:rsidRDefault="00923319" w:rsidP="00923319">
            <w:pPr>
              <w:spacing w:line="240" w:lineRule="auto"/>
              <w:jc w:val="center"/>
              <w:rPr>
                <w:rFonts w:ascii="Arial" w:hAnsi="Arial" w:cs="Arial"/>
                <w:sz w:val="21"/>
                <w:szCs w:val="21"/>
              </w:rPr>
            </w:pPr>
          </w:p>
        </w:tc>
        <w:tc>
          <w:tcPr>
            <w:tcW w:w="4242" w:type="dxa"/>
            <w:shd w:val="clear" w:color="auto" w:fill="auto"/>
          </w:tcPr>
          <w:p w14:paraId="4AE0A348" w14:textId="77777777" w:rsidR="00923319" w:rsidRPr="00A67277" w:rsidRDefault="00923319" w:rsidP="00923319">
            <w:pPr>
              <w:pStyle w:val="SchTitle"/>
              <w:spacing w:before="0" w:after="0"/>
              <w:rPr>
                <w:rFonts w:cs="Arial"/>
                <w:sz w:val="21"/>
              </w:rPr>
            </w:pPr>
            <w:r w:rsidRPr="00A67277">
              <w:rPr>
                <w:rFonts w:cs="Arial"/>
                <w:sz w:val="21"/>
              </w:rPr>
              <w:t>MOHON KIRIMKAN PEMBAYARAN KE:</w:t>
            </w:r>
          </w:p>
        </w:tc>
      </w:tr>
      <w:tr w:rsidR="00923319" w:rsidRPr="00A67277" w14:paraId="2AD52FC4" w14:textId="77777777" w:rsidTr="00923319">
        <w:trPr>
          <w:jc w:val="center"/>
        </w:trPr>
        <w:tc>
          <w:tcPr>
            <w:tcW w:w="4382" w:type="dxa"/>
            <w:shd w:val="clear" w:color="auto" w:fill="auto"/>
            <w:hideMark/>
          </w:tcPr>
          <w:p w14:paraId="3472FD28" w14:textId="77777777" w:rsidR="00923319" w:rsidRPr="00A67277" w:rsidRDefault="00923319" w:rsidP="00923319">
            <w:pPr>
              <w:pStyle w:val="SchTitle"/>
              <w:spacing w:before="0" w:after="0"/>
              <w:jc w:val="both"/>
              <w:rPr>
                <w:rFonts w:cs="Arial"/>
                <w:b w:val="0"/>
                <w:i/>
                <w:sz w:val="21"/>
              </w:rPr>
            </w:pPr>
            <w:r w:rsidRPr="00A67277">
              <w:rPr>
                <w:rFonts w:cs="Arial"/>
                <w:b w:val="0"/>
                <w:i/>
                <w:sz w:val="21"/>
              </w:rPr>
              <w:t>[TO INSERT PAYMENT INSTRUCTIONS]</w:t>
            </w:r>
          </w:p>
        </w:tc>
        <w:tc>
          <w:tcPr>
            <w:tcW w:w="612" w:type="dxa"/>
            <w:shd w:val="clear" w:color="auto" w:fill="auto"/>
          </w:tcPr>
          <w:p w14:paraId="3A66A87F" w14:textId="77777777" w:rsidR="00923319" w:rsidRPr="00A67277" w:rsidRDefault="00923319" w:rsidP="00923319">
            <w:pPr>
              <w:spacing w:line="240" w:lineRule="auto"/>
              <w:jc w:val="center"/>
              <w:rPr>
                <w:rFonts w:ascii="Arial" w:hAnsi="Arial" w:cs="Arial"/>
                <w:i/>
                <w:sz w:val="21"/>
                <w:szCs w:val="21"/>
              </w:rPr>
            </w:pPr>
          </w:p>
        </w:tc>
        <w:tc>
          <w:tcPr>
            <w:tcW w:w="4242" w:type="dxa"/>
            <w:shd w:val="clear" w:color="auto" w:fill="auto"/>
            <w:hideMark/>
          </w:tcPr>
          <w:p w14:paraId="0F5AD61F" w14:textId="77777777" w:rsidR="00923319" w:rsidRPr="00A67277" w:rsidRDefault="00923319" w:rsidP="00923319">
            <w:pPr>
              <w:spacing w:line="240" w:lineRule="auto"/>
              <w:jc w:val="center"/>
              <w:rPr>
                <w:rFonts w:ascii="Arial" w:hAnsi="Arial" w:cs="Arial"/>
                <w:i/>
                <w:sz w:val="21"/>
                <w:szCs w:val="21"/>
              </w:rPr>
            </w:pPr>
            <w:r w:rsidRPr="00A67277">
              <w:rPr>
                <w:rFonts w:ascii="Arial" w:hAnsi="Arial" w:cs="Arial"/>
                <w:i/>
                <w:sz w:val="21"/>
                <w:szCs w:val="21"/>
              </w:rPr>
              <w:t>[MASUKKAN INSTRUKSI PEMBAYARAN]</w:t>
            </w:r>
          </w:p>
        </w:tc>
      </w:tr>
    </w:tbl>
    <w:p w14:paraId="4F963723" w14:textId="77777777" w:rsidR="00923319" w:rsidRPr="00A67277" w:rsidRDefault="00923319" w:rsidP="00923319">
      <w:pPr>
        <w:rPr>
          <w:rFonts w:ascii="Arial" w:hAnsi="Arial" w:cs="Arial"/>
          <w:sz w:val="21"/>
          <w:szCs w:val="21"/>
        </w:rPr>
      </w:pPr>
    </w:p>
    <w:p w14:paraId="50CE17C0"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270"/>
        <w:gridCol w:w="4518"/>
      </w:tblGrid>
      <w:tr w:rsidR="00A67277" w:rsidRPr="00A67277" w14:paraId="7E5F844A" w14:textId="77777777" w:rsidTr="00A67277">
        <w:tc>
          <w:tcPr>
            <w:tcW w:w="4788" w:type="dxa"/>
          </w:tcPr>
          <w:p w14:paraId="0D71F905" w14:textId="58CFFD9D" w:rsidR="00923319" w:rsidRPr="00A67277" w:rsidRDefault="00923319" w:rsidP="00E030C4">
            <w:pPr>
              <w:pStyle w:val="Heading3"/>
              <w:numPr>
                <w:ilvl w:val="0"/>
                <w:numId w:val="0"/>
              </w:numPr>
              <w:spacing w:before="120" w:after="120"/>
              <w:ind w:left="709" w:hanging="709"/>
              <w:jc w:val="center"/>
              <w:rPr>
                <w:rFonts w:cs="Arial"/>
              </w:rPr>
            </w:pPr>
            <w:r w:rsidRPr="00A67277">
              <w:rPr>
                <w:rFonts w:cs="Arial"/>
              </w:rPr>
              <w:t xml:space="preserve">APPENDIX </w:t>
            </w:r>
            <w:r w:rsidR="00E030C4" w:rsidRPr="00A67277">
              <w:rPr>
                <w:rFonts w:cs="Arial"/>
              </w:rPr>
              <w:t xml:space="preserve">11 </w:t>
            </w:r>
            <w:r w:rsidRPr="00A67277">
              <w:rPr>
                <w:rFonts w:cs="Arial"/>
              </w:rPr>
              <w:t>– KEY AUTHORISATIONS</w:t>
            </w:r>
          </w:p>
        </w:tc>
        <w:tc>
          <w:tcPr>
            <w:tcW w:w="270" w:type="dxa"/>
          </w:tcPr>
          <w:p w14:paraId="686AE73E" w14:textId="77777777" w:rsidR="00923319" w:rsidRPr="00A67277" w:rsidRDefault="00923319" w:rsidP="00923319">
            <w:pPr>
              <w:spacing w:before="120" w:after="120"/>
              <w:jc w:val="center"/>
              <w:rPr>
                <w:rFonts w:ascii="Arial" w:hAnsi="Arial" w:cs="Arial"/>
                <w:b/>
                <w:sz w:val="21"/>
                <w:szCs w:val="21"/>
              </w:rPr>
            </w:pPr>
          </w:p>
        </w:tc>
        <w:tc>
          <w:tcPr>
            <w:tcW w:w="4518" w:type="dxa"/>
          </w:tcPr>
          <w:p w14:paraId="683618BA" w14:textId="3E416453" w:rsidR="00923319" w:rsidRPr="00A67277" w:rsidRDefault="00923319" w:rsidP="00E030C4">
            <w:pPr>
              <w:pStyle w:val="SchHeading1"/>
              <w:tabs>
                <w:tab w:val="clear" w:pos="709"/>
              </w:tabs>
              <w:spacing w:before="120" w:after="120"/>
              <w:jc w:val="center"/>
              <w:rPr>
                <w:rFonts w:cs="Arial"/>
              </w:rPr>
            </w:pPr>
            <w:r w:rsidRPr="00A67277">
              <w:rPr>
                <w:rFonts w:cs="Arial"/>
              </w:rPr>
              <w:t xml:space="preserve">LAMPIRAN </w:t>
            </w:r>
            <w:r w:rsidR="00E030C4" w:rsidRPr="00A67277">
              <w:rPr>
                <w:rFonts w:cs="Arial"/>
              </w:rPr>
              <w:t xml:space="preserve">11 </w:t>
            </w:r>
            <w:r w:rsidRPr="00A67277">
              <w:rPr>
                <w:rFonts w:cs="Arial"/>
              </w:rPr>
              <w:t>– PERSETUJUAN-PERSETUJUAN UTAMA</w:t>
            </w:r>
          </w:p>
        </w:tc>
      </w:tr>
      <w:tr w:rsidR="00A67277" w:rsidRPr="00A67277" w14:paraId="4F61F930" w14:textId="77777777" w:rsidTr="00A67277">
        <w:tc>
          <w:tcPr>
            <w:tcW w:w="4788" w:type="dxa"/>
          </w:tcPr>
          <w:p w14:paraId="3162FA3A" w14:textId="77777777" w:rsidR="00923319" w:rsidRPr="00A67277" w:rsidRDefault="00923319" w:rsidP="00923319">
            <w:pPr>
              <w:pStyle w:val="Heading3"/>
              <w:numPr>
                <w:ilvl w:val="0"/>
                <w:numId w:val="0"/>
              </w:numPr>
              <w:spacing w:before="120" w:after="120"/>
              <w:ind w:left="709" w:hanging="709"/>
              <w:rPr>
                <w:rFonts w:cs="Arial"/>
              </w:rPr>
            </w:pPr>
          </w:p>
        </w:tc>
        <w:tc>
          <w:tcPr>
            <w:tcW w:w="270" w:type="dxa"/>
          </w:tcPr>
          <w:p w14:paraId="3D2659EA" w14:textId="77777777" w:rsidR="00923319" w:rsidRPr="00A67277" w:rsidRDefault="00923319" w:rsidP="00923319">
            <w:pPr>
              <w:spacing w:before="120" w:after="120"/>
              <w:rPr>
                <w:rFonts w:ascii="Arial" w:hAnsi="Arial" w:cs="Arial"/>
                <w:sz w:val="21"/>
                <w:szCs w:val="21"/>
              </w:rPr>
            </w:pPr>
          </w:p>
        </w:tc>
        <w:tc>
          <w:tcPr>
            <w:tcW w:w="4518" w:type="dxa"/>
          </w:tcPr>
          <w:p w14:paraId="03542D7E" w14:textId="77777777" w:rsidR="00923319" w:rsidRPr="00A67277" w:rsidRDefault="00923319" w:rsidP="00923319">
            <w:pPr>
              <w:pStyle w:val="SchHeading1"/>
              <w:tabs>
                <w:tab w:val="clear" w:pos="709"/>
              </w:tabs>
              <w:spacing w:before="120" w:after="120"/>
              <w:rPr>
                <w:rFonts w:cs="Arial"/>
              </w:rPr>
            </w:pPr>
          </w:p>
        </w:tc>
      </w:tr>
      <w:tr w:rsidR="00A67277" w:rsidRPr="00A67277" w14:paraId="445520FF" w14:textId="77777777" w:rsidTr="00A67277">
        <w:tc>
          <w:tcPr>
            <w:tcW w:w="4788" w:type="dxa"/>
          </w:tcPr>
          <w:p w14:paraId="7CA18C0A" w14:textId="77777777" w:rsidR="00923319" w:rsidRPr="00A67277" w:rsidRDefault="00923319" w:rsidP="00923319">
            <w:pPr>
              <w:pStyle w:val="Heading3"/>
              <w:tabs>
                <w:tab w:val="clear" w:pos="709"/>
              </w:tabs>
              <w:spacing w:before="120" w:after="120"/>
              <w:ind w:left="360" w:hanging="360"/>
              <w:rPr>
                <w:rFonts w:cs="Arial"/>
              </w:rPr>
            </w:pPr>
            <w:bookmarkStart w:id="354" w:name="_Toc501178839"/>
            <w:r w:rsidRPr="00A67277">
              <w:rPr>
                <w:rFonts w:cs="Arial"/>
              </w:rPr>
              <w:t>General</w:t>
            </w:r>
            <w:bookmarkEnd w:id="354"/>
          </w:p>
        </w:tc>
        <w:tc>
          <w:tcPr>
            <w:tcW w:w="270" w:type="dxa"/>
          </w:tcPr>
          <w:p w14:paraId="5C86582A" w14:textId="77777777" w:rsidR="00923319" w:rsidRPr="00A67277" w:rsidRDefault="00923319" w:rsidP="00923319">
            <w:pPr>
              <w:spacing w:before="120" w:after="120"/>
              <w:rPr>
                <w:rFonts w:ascii="Arial" w:hAnsi="Arial" w:cs="Arial"/>
                <w:sz w:val="21"/>
                <w:szCs w:val="21"/>
              </w:rPr>
            </w:pPr>
          </w:p>
        </w:tc>
        <w:tc>
          <w:tcPr>
            <w:tcW w:w="4518" w:type="dxa"/>
          </w:tcPr>
          <w:p w14:paraId="28F118E7" w14:textId="77777777" w:rsidR="00923319" w:rsidRPr="00A67277" w:rsidRDefault="00923319" w:rsidP="00923319">
            <w:pPr>
              <w:pStyle w:val="SchHeading1"/>
              <w:numPr>
                <w:ilvl w:val="0"/>
                <w:numId w:val="577"/>
              </w:numPr>
              <w:spacing w:before="120" w:after="120"/>
              <w:ind w:left="681" w:hanging="630"/>
              <w:rPr>
                <w:rFonts w:cs="Arial"/>
              </w:rPr>
            </w:pPr>
            <w:r w:rsidRPr="00A67277">
              <w:rPr>
                <w:rFonts w:cs="Arial"/>
              </w:rPr>
              <w:t>Umum</w:t>
            </w:r>
          </w:p>
        </w:tc>
      </w:tr>
      <w:tr w:rsidR="00A67277" w:rsidRPr="00A67277" w14:paraId="1F919E77" w14:textId="77777777" w:rsidTr="00A67277">
        <w:tc>
          <w:tcPr>
            <w:tcW w:w="4788" w:type="dxa"/>
          </w:tcPr>
          <w:p w14:paraId="10DFB0A1" w14:textId="77777777" w:rsidR="00923319" w:rsidRPr="00A67277" w:rsidRDefault="00923319" w:rsidP="00923319">
            <w:pPr>
              <w:pStyle w:val="Body2"/>
              <w:spacing w:before="120" w:after="120"/>
              <w:ind w:left="360"/>
              <w:rPr>
                <w:rFonts w:cs="Arial"/>
              </w:rPr>
            </w:pPr>
            <w:r w:rsidRPr="00A67277">
              <w:rPr>
                <w:rFonts w:cs="Arial"/>
              </w:rPr>
              <w:t>The key Authorisations required for the Parties for the implementation of the Project are listed in section 2 and 3 below. The Parties acknowledge that these lists are not intended to be exhaustive, and such lists shall be without prejudice to each Party’s obligation to procure and maintain such other Authorisations required for the implementation of the Project (or for the performance of obligations of each Party under the Agreement) which are not listed therein.</w:t>
            </w:r>
          </w:p>
        </w:tc>
        <w:tc>
          <w:tcPr>
            <w:tcW w:w="270" w:type="dxa"/>
          </w:tcPr>
          <w:p w14:paraId="7087C9BB" w14:textId="77777777" w:rsidR="00923319" w:rsidRPr="00A67277" w:rsidRDefault="00923319" w:rsidP="00923319">
            <w:pPr>
              <w:spacing w:before="120" w:after="120"/>
              <w:rPr>
                <w:rFonts w:ascii="Arial" w:hAnsi="Arial" w:cs="Arial"/>
                <w:sz w:val="21"/>
                <w:szCs w:val="21"/>
              </w:rPr>
            </w:pPr>
          </w:p>
        </w:tc>
        <w:tc>
          <w:tcPr>
            <w:tcW w:w="4518" w:type="dxa"/>
          </w:tcPr>
          <w:p w14:paraId="24530272" w14:textId="77777777" w:rsidR="00923319" w:rsidRPr="00A67277" w:rsidRDefault="00923319" w:rsidP="00923319">
            <w:pPr>
              <w:pStyle w:val="Body2"/>
              <w:spacing w:before="120" w:after="120"/>
              <w:rPr>
                <w:rFonts w:cs="Arial"/>
              </w:rPr>
            </w:pPr>
            <w:r w:rsidRPr="00A67277">
              <w:rPr>
                <w:rFonts w:cs="Arial"/>
                <w:lang w:val="id-ID"/>
              </w:rPr>
              <w:t>Persetujuan-Persetujuan</w:t>
            </w:r>
            <w:r w:rsidRPr="00A67277">
              <w:rPr>
                <w:rFonts w:cs="Arial"/>
              </w:rPr>
              <w:t xml:space="preserve"> </w:t>
            </w:r>
            <w:r w:rsidRPr="00A67277">
              <w:rPr>
                <w:rFonts w:cs="Arial"/>
                <w:lang w:val="en-ID"/>
              </w:rPr>
              <w:t>u</w:t>
            </w:r>
            <w:r w:rsidRPr="00A67277">
              <w:rPr>
                <w:rFonts w:cs="Arial"/>
              </w:rPr>
              <w:t xml:space="preserve">tama yang dipersyaratkan bagi Para Pihak untuk pelaksanaan Proyek tercantum dalam bagian 2 dan 3 di bawah ini. Para Pihak mengakui bahwa daftar ini tidak dimaksudkan untuk menjadi lengkap, dan daftar tersebut tidak boleh mengurangi kewajiban masing-masing Pihak untuk mendapatkan dan memelihara </w:t>
            </w:r>
            <w:r w:rsidRPr="00A67277">
              <w:rPr>
                <w:rFonts w:cs="Arial"/>
                <w:lang w:val="id-ID"/>
              </w:rPr>
              <w:t>Pesetujuan-Persetujuan</w:t>
            </w:r>
            <w:r w:rsidRPr="00A67277">
              <w:rPr>
                <w:rFonts w:cs="Arial"/>
              </w:rPr>
              <w:t xml:space="preserve"> lain yang diperlukan untuk pelaksanaan Proyek (atau untuk pelaksanaan kewajiban masing-masing Pihak </w:t>
            </w:r>
            <w:r w:rsidRPr="00A67277">
              <w:rPr>
                <w:rFonts w:cs="Arial"/>
                <w:lang w:val="id-ID"/>
              </w:rPr>
              <w:t>berdasarkan</w:t>
            </w:r>
            <w:r w:rsidRPr="00A67277">
              <w:rPr>
                <w:rFonts w:cs="Arial"/>
              </w:rPr>
              <w:t xml:space="preserve"> Perjanjian</w:t>
            </w:r>
            <w:r w:rsidRPr="00A67277">
              <w:rPr>
                <w:rFonts w:cs="Arial"/>
                <w:lang w:val="id-ID"/>
              </w:rPr>
              <w:t xml:space="preserve"> ini</w:t>
            </w:r>
            <w:r w:rsidRPr="00A67277">
              <w:rPr>
                <w:rFonts w:cs="Arial"/>
              </w:rPr>
              <w:t xml:space="preserve">) yang tidak tercantum di dalamnya.  </w:t>
            </w:r>
          </w:p>
        </w:tc>
      </w:tr>
      <w:tr w:rsidR="00A67277" w:rsidRPr="00A67277" w14:paraId="277F7EA1" w14:textId="77777777" w:rsidTr="00A67277">
        <w:tc>
          <w:tcPr>
            <w:tcW w:w="4788" w:type="dxa"/>
          </w:tcPr>
          <w:p w14:paraId="307906E9" w14:textId="77777777" w:rsidR="00923319" w:rsidRPr="00A67277" w:rsidRDefault="00923319" w:rsidP="00923319">
            <w:pPr>
              <w:pStyle w:val="Heading3"/>
              <w:tabs>
                <w:tab w:val="clear" w:pos="709"/>
              </w:tabs>
              <w:spacing w:before="120" w:after="120"/>
              <w:ind w:left="360" w:hanging="360"/>
              <w:rPr>
                <w:rFonts w:cs="Arial"/>
              </w:rPr>
            </w:pPr>
            <w:bookmarkStart w:id="355" w:name="_Toc501178840"/>
            <w:r w:rsidRPr="00A67277">
              <w:rPr>
                <w:rFonts w:cs="Arial"/>
              </w:rPr>
              <w:t>Key Authorisations under Obligations of IBE</w:t>
            </w:r>
            <w:bookmarkEnd w:id="355"/>
          </w:p>
        </w:tc>
        <w:tc>
          <w:tcPr>
            <w:tcW w:w="270" w:type="dxa"/>
          </w:tcPr>
          <w:p w14:paraId="2E0ADDA8" w14:textId="77777777" w:rsidR="00923319" w:rsidRPr="00A67277" w:rsidRDefault="00923319" w:rsidP="00923319">
            <w:pPr>
              <w:spacing w:before="120" w:after="120"/>
              <w:rPr>
                <w:rFonts w:ascii="Arial" w:hAnsi="Arial" w:cs="Arial"/>
                <w:sz w:val="21"/>
                <w:szCs w:val="21"/>
              </w:rPr>
            </w:pPr>
          </w:p>
        </w:tc>
        <w:tc>
          <w:tcPr>
            <w:tcW w:w="4518" w:type="dxa"/>
          </w:tcPr>
          <w:p w14:paraId="71E634AB" w14:textId="77777777" w:rsidR="00923319" w:rsidRPr="00A67277" w:rsidRDefault="00923319" w:rsidP="00923319">
            <w:pPr>
              <w:pStyle w:val="SchHeading1"/>
              <w:numPr>
                <w:ilvl w:val="0"/>
                <w:numId w:val="577"/>
              </w:numPr>
              <w:spacing w:before="120" w:after="120"/>
              <w:ind w:left="681" w:hanging="630"/>
              <w:rPr>
                <w:rFonts w:cs="Arial"/>
                <w:lang w:val="de-DE"/>
              </w:rPr>
            </w:pPr>
            <w:r w:rsidRPr="00A67277">
              <w:rPr>
                <w:rFonts w:cs="Arial"/>
                <w:lang w:val="de-DE"/>
              </w:rPr>
              <w:t>persetujuan utama yang menjadi kewajiban bup</w:t>
            </w:r>
          </w:p>
        </w:tc>
      </w:tr>
      <w:tr w:rsidR="00A67277" w:rsidRPr="00A67277" w14:paraId="35191B9F" w14:textId="77777777" w:rsidTr="00A67277">
        <w:tc>
          <w:tcPr>
            <w:tcW w:w="4788" w:type="dxa"/>
          </w:tcPr>
          <w:p w14:paraId="6129BFBA" w14:textId="77777777" w:rsidR="00923319" w:rsidRPr="00A67277" w:rsidRDefault="00923319" w:rsidP="00923319">
            <w:pPr>
              <w:pStyle w:val="SchNumber2"/>
              <w:spacing w:before="120" w:after="120"/>
              <w:ind w:left="873" w:hanging="426"/>
              <w:rPr>
                <w:rFonts w:cs="Arial"/>
              </w:rPr>
            </w:pPr>
            <w:bookmarkStart w:id="356" w:name="_Toc501178841"/>
            <w:r w:rsidRPr="00A67277">
              <w:rPr>
                <w:rFonts w:cs="Arial"/>
              </w:rPr>
              <w:t>The followings are the list of key Authorisations must be procured by the IBE on the Effective Date:</w:t>
            </w:r>
            <w:bookmarkEnd w:id="356"/>
          </w:p>
        </w:tc>
        <w:tc>
          <w:tcPr>
            <w:tcW w:w="270" w:type="dxa"/>
          </w:tcPr>
          <w:p w14:paraId="19AD293A" w14:textId="77777777" w:rsidR="00923319" w:rsidRPr="00A67277" w:rsidRDefault="00923319" w:rsidP="00923319">
            <w:pPr>
              <w:spacing w:before="120" w:after="120"/>
              <w:rPr>
                <w:rFonts w:ascii="Arial" w:hAnsi="Arial" w:cs="Arial"/>
                <w:sz w:val="21"/>
                <w:szCs w:val="21"/>
              </w:rPr>
            </w:pPr>
          </w:p>
        </w:tc>
        <w:tc>
          <w:tcPr>
            <w:tcW w:w="4518" w:type="dxa"/>
          </w:tcPr>
          <w:p w14:paraId="231343B4" w14:textId="77777777" w:rsidR="00923319" w:rsidRPr="00A67277" w:rsidRDefault="00923319" w:rsidP="00923319">
            <w:pPr>
              <w:pStyle w:val="SchNumber2"/>
              <w:numPr>
                <w:ilvl w:val="0"/>
                <w:numId w:val="578"/>
              </w:numPr>
              <w:spacing w:before="120" w:after="120"/>
              <w:ind w:left="1221" w:hanging="489"/>
              <w:rPr>
                <w:rFonts w:cs="Arial"/>
              </w:rPr>
            </w:pPr>
            <w:r w:rsidRPr="00A67277">
              <w:rPr>
                <w:rFonts w:cs="Arial"/>
              </w:rPr>
              <w:t xml:space="preserve">Berikut </w:t>
            </w:r>
            <w:r w:rsidRPr="00A67277">
              <w:rPr>
                <w:rFonts w:cs="Arial"/>
                <w:lang w:val="id-ID"/>
              </w:rPr>
              <w:t xml:space="preserve">ini </w:t>
            </w:r>
            <w:r w:rsidRPr="00A67277">
              <w:rPr>
                <w:rFonts w:cs="Arial"/>
              </w:rPr>
              <w:t xml:space="preserve">adalah daftar </w:t>
            </w:r>
            <w:r w:rsidRPr="00A67277">
              <w:rPr>
                <w:rFonts w:cs="Arial"/>
                <w:lang w:val="id-ID"/>
              </w:rPr>
              <w:t>Persetu</w:t>
            </w:r>
            <w:r w:rsidRPr="00A67277">
              <w:rPr>
                <w:rFonts w:cs="Arial"/>
                <w:lang w:val="en-ID"/>
              </w:rPr>
              <w:t>j</w:t>
            </w:r>
            <w:r w:rsidRPr="00A67277">
              <w:rPr>
                <w:rFonts w:cs="Arial"/>
                <w:lang w:val="id-ID"/>
              </w:rPr>
              <w:t>uan-Persetujuan</w:t>
            </w:r>
            <w:r w:rsidRPr="00A67277">
              <w:rPr>
                <w:rFonts w:cs="Arial"/>
              </w:rPr>
              <w:t xml:space="preserve"> </w:t>
            </w:r>
            <w:r w:rsidRPr="00A67277">
              <w:rPr>
                <w:rFonts w:cs="Arial"/>
                <w:lang w:val="en-ID"/>
              </w:rPr>
              <w:t>u</w:t>
            </w:r>
            <w:r w:rsidRPr="00A67277">
              <w:rPr>
                <w:rFonts w:cs="Arial"/>
              </w:rPr>
              <w:t>tama yang harus diperoleh oleh BUP pada Tanggal Efektif:</w:t>
            </w:r>
          </w:p>
        </w:tc>
      </w:tr>
      <w:tr w:rsidR="00A67277" w:rsidRPr="00A67277" w14:paraId="7A3978E9" w14:textId="77777777" w:rsidTr="00A67277">
        <w:tc>
          <w:tcPr>
            <w:tcW w:w="4788" w:type="dxa"/>
          </w:tcPr>
          <w:p w14:paraId="1F456454"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Approval of the Minister of Law and Human Rights on the establishment of the IBE</w:t>
            </w:r>
          </w:p>
        </w:tc>
        <w:tc>
          <w:tcPr>
            <w:tcW w:w="270" w:type="dxa"/>
          </w:tcPr>
          <w:p w14:paraId="44269B85" w14:textId="77777777" w:rsidR="00923319" w:rsidRPr="00A67277" w:rsidRDefault="00923319" w:rsidP="00923319">
            <w:pPr>
              <w:spacing w:before="120" w:after="120"/>
              <w:rPr>
                <w:rFonts w:ascii="Arial" w:hAnsi="Arial" w:cs="Arial"/>
                <w:sz w:val="21"/>
                <w:szCs w:val="21"/>
              </w:rPr>
            </w:pPr>
          </w:p>
        </w:tc>
        <w:tc>
          <w:tcPr>
            <w:tcW w:w="4518" w:type="dxa"/>
          </w:tcPr>
          <w:p w14:paraId="18290F37" w14:textId="77777777"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Persetujuan Menteri Hukum dan Hak Asasi Manusia mengenai pendirian BUP;</w:t>
            </w:r>
          </w:p>
        </w:tc>
      </w:tr>
      <w:tr w:rsidR="00A67277" w:rsidRPr="00A67277" w14:paraId="41867AD8" w14:textId="77777777" w:rsidTr="00A67277">
        <w:tc>
          <w:tcPr>
            <w:tcW w:w="4788" w:type="dxa"/>
          </w:tcPr>
          <w:p w14:paraId="09E06AE0"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Company Domicile Certificate from Head of Sub-disctric;</w:t>
            </w:r>
          </w:p>
        </w:tc>
        <w:tc>
          <w:tcPr>
            <w:tcW w:w="270" w:type="dxa"/>
          </w:tcPr>
          <w:p w14:paraId="0170B9F8" w14:textId="77777777" w:rsidR="00923319" w:rsidRPr="00A67277" w:rsidRDefault="00923319" w:rsidP="00923319">
            <w:pPr>
              <w:spacing w:before="120" w:after="120"/>
              <w:rPr>
                <w:rFonts w:ascii="Arial" w:hAnsi="Arial" w:cs="Arial"/>
                <w:sz w:val="21"/>
                <w:szCs w:val="21"/>
              </w:rPr>
            </w:pPr>
          </w:p>
        </w:tc>
        <w:tc>
          <w:tcPr>
            <w:tcW w:w="4518" w:type="dxa"/>
          </w:tcPr>
          <w:p w14:paraId="5C9B011C" w14:textId="6DB29A64"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Surat Keterangan Dom</w:t>
            </w:r>
            <w:r w:rsidR="00830B91" w:rsidRPr="00A67277">
              <w:rPr>
                <w:rFonts w:cs="Arial"/>
                <w:lang w:val="de-DE"/>
              </w:rPr>
              <w:t>i</w:t>
            </w:r>
            <w:r w:rsidRPr="00A67277">
              <w:rPr>
                <w:rFonts w:cs="Arial"/>
                <w:lang w:val="de-DE"/>
              </w:rPr>
              <w:t>sili dari Kepala Kantor Kecamatan;</w:t>
            </w:r>
          </w:p>
        </w:tc>
      </w:tr>
      <w:tr w:rsidR="00A67277" w:rsidRPr="00A67277" w14:paraId="3F546811" w14:textId="77777777" w:rsidTr="00A67277">
        <w:tc>
          <w:tcPr>
            <w:tcW w:w="4788" w:type="dxa"/>
          </w:tcPr>
          <w:p w14:paraId="5F239672"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Tax Payer Identification Number and Registration Statement from the Directorate General of Tax, Ministry of Finance;</w:t>
            </w:r>
          </w:p>
        </w:tc>
        <w:tc>
          <w:tcPr>
            <w:tcW w:w="270" w:type="dxa"/>
          </w:tcPr>
          <w:p w14:paraId="734F756B" w14:textId="77777777" w:rsidR="00923319" w:rsidRPr="00A67277" w:rsidRDefault="00923319" w:rsidP="00923319">
            <w:pPr>
              <w:spacing w:before="120" w:after="120"/>
              <w:rPr>
                <w:rFonts w:ascii="Arial" w:hAnsi="Arial" w:cs="Arial"/>
                <w:sz w:val="21"/>
                <w:szCs w:val="21"/>
              </w:rPr>
            </w:pPr>
          </w:p>
        </w:tc>
        <w:tc>
          <w:tcPr>
            <w:tcW w:w="4518" w:type="dxa"/>
          </w:tcPr>
          <w:p w14:paraId="4A587A30" w14:textId="77777777"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Nomor Pokok Wajib Pajak dan Tanda Daftar Perusahaan</w:t>
            </w:r>
          </w:p>
        </w:tc>
      </w:tr>
      <w:tr w:rsidR="00A67277" w:rsidRPr="00A67277" w14:paraId="74952BCC" w14:textId="77777777" w:rsidTr="00A67277">
        <w:tc>
          <w:tcPr>
            <w:tcW w:w="4788" w:type="dxa"/>
          </w:tcPr>
          <w:p w14:paraId="24292BD8"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Business Identification Number from the Indonesian Investment Coordinating Board;</w:t>
            </w:r>
          </w:p>
        </w:tc>
        <w:tc>
          <w:tcPr>
            <w:tcW w:w="270" w:type="dxa"/>
          </w:tcPr>
          <w:p w14:paraId="5A83C4E0" w14:textId="77777777" w:rsidR="00923319" w:rsidRPr="00A67277" w:rsidRDefault="00923319" w:rsidP="00923319">
            <w:pPr>
              <w:spacing w:before="120" w:after="120"/>
              <w:rPr>
                <w:rFonts w:ascii="Arial" w:hAnsi="Arial" w:cs="Arial"/>
                <w:sz w:val="21"/>
                <w:szCs w:val="21"/>
              </w:rPr>
            </w:pPr>
          </w:p>
        </w:tc>
        <w:tc>
          <w:tcPr>
            <w:tcW w:w="4518" w:type="dxa"/>
          </w:tcPr>
          <w:p w14:paraId="0C24A330" w14:textId="77777777"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Nomor Induk Berusaha dari Badan Koordinasi Penanaman Modal;</w:t>
            </w:r>
          </w:p>
        </w:tc>
      </w:tr>
      <w:tr w:rsidR="00A67277" w:rsidRPr="00A67277" w14:paraId="084A6CC0" w14:textId="77777777" w:rsidTr="00A67277">
        <w:tc>
          <w:tcPr>
            <w:tcW w:w="4788" w:type="dxa"/>
          </w:tcPr>
          <w:p w14:paraId="19BE1644"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Approval relating to the utilization of foreign employee (if any) from the Ministry of Manpower;</w:t>
            </w:r>
          </w:p>
        </w:tc>
        <w:tc>
          <w:tcPr>
            <w:tcW w:w="270" w:type="dxa"/>
          </w:tcPr>
          <w:p w14:paraId="2C68EA93" w14:textId="77777777" w:rsidR="00923319" w:rsidRPr="00A67277" w:rsidRDefault="00923319" w:rsidP="00923319">
            <w:pPr>
              <w:spacing w:before="120" w:after="120"/>
              <w:rPr>
                <w:rFonts w:ascii="Arial" w:hAnsi="Arial" w:cs="Arial"/>
                <w:sz w:val="21"/>
                <w:szCs w:val="21"/>
              </w:rPr>
            </w:pPr>
          </w:p>
        </w:tc>
        <w:tc>
          <w:tcPr>
            <w:tcW w:w="4518" w:type="dxa"/>
          </w:tcPr>
          <w:p w14:paraId="4FFBC1E6" w14:textId="77777777"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Persetujuan penggunaan tenaga kerja asing (jika ada) dari Kementerian Ketenagakerjaan;</w:t>
            </w:r>
          </w:p>
        </w:tc>
      </w:tr>
      <w:tr w:rsidR="00A67277" w:rsidRPr="00A67277" w14:paraId="3CD0900A" w14:textId="77777777" w:rsidTr="00A67277">
        <w:tc>
          <w:tcPr>
            <w:tcW w:w="4788" w:type="dxa"/>
          </w:tcPr>
          <w:p w14:paraId="2A3AAD36" w14:textId="77777777" w:rsidR="00923319" w:rsidRPr="00A67277" w:rsidRDefault="00923319" w:rsidP="00923319">
            <w:pPr>
              <w:pStyle w:val="SchNumber3"/>
              <w:tabs>
                <w:tab w:val="clear" w:pos="1418"/>
              </w:tabs>
              <w:spacing w:before="120" w:after="120"/>
              <w:ind w:left="1440" w:hanging="529"/>
              <w:rPr>
                <w:rFonts w:cs="Arial"/>
              </w:rPr>
            </w:pPr>
            <w:r w:rsidRPr="00A67277">
              <w:rPr>
                <w:rFonts w:cs="Arial"/>
              </w:rPr>
              <w:t>Approval of the master list of imported capital goods from the Indonesian Investment Coordinating Board (if any);</w:t>
            </w:r>
          </w:p>
        </w:tc>
        <w:tc>
          <w:tcPr>
            <w:tcW w:w="270" w:type="dxa"/>
          </w:tcPr>
          <w:p w14:paraId="2813B195" w14:textId="77777777" w:rsidR="00923319" w:rsidRPr="00A67277" w:rsidRDefault="00923319" w:rsidP="00923319">
            <w:pPr>
              <w:spacing w:before="120" w:after="120"/>
              <w:rPr>
                <w:rFonts w:ascii="Arial" w:hAnsi="Arial" w:cs="Arial"/>
                <w:sz w:val="21"/>
                <w:szCs w:val="21"/>
              </w:rPr>
            </w:pPr>
          </w:p>
        </w:tc>
        <w:tc>
          <w:tcPr>
            <w:tcW w:w="4518" w:type="dxa"/>
          </w:tcPr>
          <w:p w14:paraId="1690671D" w14:textId="77777777" w:rsidR="00923319" w:rsidRPr="00A67277" w:rsidRDefault="00923319" w:rsidP="005D020B">
            <w:pPr>
              <w:pStyle w:val="SchNumber3"/>
              <w:numPr>
                <w:ilvl w:val="0"/>
                <w:numId w:val="579"/>
              </w:numPr>
              <w:spacing w:before="120" w:after="120"/>
              <w:ind w:left="1746" w:hanging="567"/>
              <w:rPr>
                <w:rFonts w:cs="Arial"/>
                <w:lang w:val="de-DE"/>
              </w:rPr>
            </w:pPr>
            <w:r w:rsidRPr="00A67277">
              <w:rPr>
                <w:rFonts w:cs="Arial"/>
                <w:lang w:val="de-DE"/>
              </w:rPr>
              <w:t xml:space="preserve">Persetujuan atas </w:t>
            </w:r>
            <w:r w:rsidRPr="00A67277">
              <w:rPr>
                <w:rFonts w:cs="Arial"/>
                <w:i/>
                <w:lang w:val="de-DE"/>
              </w:rPr>
              <w:t>master list</w:t>
            </w:r>
            <w:r w:rsidRPr="00A67277">
              <w:rPr>
                <w:rFonts w:cs="Arial"/>
                <w:lang w:val="de-DE"/>
              </w:rPr>
              <w:t xml:space="preserve"> barang modal yang diimpor dari Badan Koordinasi Penanaman Modal (jika ada);</w:t>
            </w:r>
          </w:p>
        </w:tc>
      </w:tr>
      <w:tr w:rsidR="00A67277" w:rsidRPr="00A67277" w14:paraId="7620AA63" w14:textId="77777777" w:rsidTr="00A67277">
        <w:tc>
          <w:tcPr>
            <w:tcW w:w="4788" w:type="dxa"/>
          </w:tcPr>
          <w:p w14:paraId="28329492" w14:textId="77777777" w:rsidR="00923319" w:rsidRPr="00A67277" w:rsidRDefault="00923319" w:rsidP="00923319">
            <w:pPr>
              <w:pStyle w:val="SchNumber2"/>
              <w:spacing w:before="120" w:after="120"/>
              <w:ind w:left="873" w:hanging="426"/>
              <w:rPr>
                <w:rFonts w:cs="Arial"/>
              </w:rPr>
            </w:pPr>
            <w:bookmarkStart w:id="357" w:name="_Toc501178847"/>
            <w:r w:rsidRPr="00A67277">
              <w:rPr>
                <w:rFonts w:cs="Arial"/>
              </w:rPr>
              <w:t>The followings are the list of key Authorisations must be procured and/or maintained by the IBE during Construction Period:</w:t>
            </w:r>
            <w:bookmarkEnd w:id="357"/>
          </w:p>
        </w:tc>
        <w:tc>
          <w:tcPr>
            <w:tcW w:w="270" w:type="dxa"/>
          </w:tcPr>
          <w:p w14:paraId="377A5CB6" w14:textId="77777777" w:rsidR="00923319" w:rsidRPr="00A67277" w:rsidRDefault="00923319" w:rsidP="00923319">
            <w:pPr>
              <w:spacing w:before="120" w:after="120"/>
              <w:rPr>
                <w:rFonts w:ascii="Arial" w:hAnsi="Arial" w:cs="Arial"/>
                <w:sz w:val="21"/>
                <w:szCs w:val="21"/>
              </w:rPr>
            </w:pPr>
          </w:p>
        </w:tc>
        <w:tc>
          <w:tcPr>
            <w:tcW w:w="4518" w:type="dxa"/>
          </w:tcPr>
          <w:p w14:paraId="6C438A61" w14:textId="77777777" w:rsidR="00923319" w:rsidRPr="00A67277" w:rsidRDefault="00923319" w:rsidP="00923319">
            <w:pPr>
              <w:pStyle w:val="SchNumber2"/>
              <w:numPr>
                <w:ilvl w:val="0"/>
                <w:numId w:val="578"/>
              </w:numPr>
              <w:spacing w:before="120" w:after="120"/>
              <w:ind w:left="1221" w:hanging="489"/>
              <w:rPr>
                <w:rFonts w:cs="Arial"/>
              </w:rPr>
            </w:pPr>
            <w:r w:rsidRPr="00A67277">
              <w:rPr>
                <w:rFonts w:cs="Arial"/>
              </w:rPr>
              <w:t>Berikut ini adalah daftar Persetujuan-Persetujuan utama yang harus diadakan dan/atau dijaga oleh BUP selama Jangka Waktu Konstruksi:</w:t>
            </w:r>
          </w:p>
        </w:tc>
      </w:tr>
      <w:tr w:rsidR="00A67277" w:rsidRPr="00A67277" w14:paraId="03A52781" w14:textId="77777777" w:rsidTr="00A67277">
        <w:tc>
          <w:tcPr>
            <w:tcW w:w="4788" w:type="dxa"/>
          </w:tcPr>
          <w:p w14:paraId="5E35A19B" w14:textId="77777777" w:rsidR="00923319" w:rsidRPr="00A67277" w:rsidRDefault="00923319" w:rsidP="005D020B">
            <w:pPr>
              <w:pStyle w:val="SchNumber3"/>
              <w:tabs>
                <w:tab w:val="clear" w:pos="1418"/>
              </w:tabs>
              <w:spacing w:before="120" w:after="120"/>
              <w:ind w:hanging="567"/>
              <w:rPr>
                <w:rFonts w:cs="Arial"/>
              </w:rPr>
            </w:pPr>
            <w:r w:rsidRPr="00A67277">
              <w:rPr>
                <w:rFonts w:cs="Arial"/>
              </w:rPr>
              <w:t>Construction Permit for Facility;</w:t>
            </w:r>
          </w:p>
          <w:p w14:paraId="4A85AB13" w14:textId="77777777" w:rsidR="00923319" w:rsidRPr="00A67277" w:rsidRDefault="00923319" w:rsidP="005D020B">
            <w:pPr>
              <w:pStyle w:val="SchNumber3"/>
              <w:numPr>
                <w:ilvl w:val="0"/>
                <w:numId w:val="0"/>
              </w:numPr>
              <w:spacing w:before="120" w:after="120"/>
              <w:ind w:left="1418" w:hanging="567"/>
              <w:rPr>
                <w:rFonts w:cs="Arial"/>
              </w:rPr>
            </w:pPr>
          </w:p>
        </w:tc>
        <w:tc>
          <w:tcPr>
            <w:tcW w:w="270" w:type="dxa"/>
          </w:tcPr>
          <w:p w14:paraId="0500C3BC" w14:textId="77777777" w:rsidR="00923319" w:rsidRPr="00A67277" w:rsidRDefault="00923319" w:rsidP="00923319">
            <w:pPr>
              <w:spacing w:before="120" w:after="120"/>
              <w:rPr>
                <w:rFonts w:ascii="Arial" w:hAnsi="Arial" w:cs="Arial"/>
                <w:sz w:val="21"/>
                <w:szCs w:val="21"/>
              </w:rPr>
            </w:pPr>
          </w:p>
        </w:tc>
        <w:tc>
          <w:tcPr>
            <w:tcW w:w="4518" w:type="dxa"/>
          </w:tcPr>
          <w:p w14:paraId="0961AFE2" w14:textId="77777777" w:rsidR="00923319" w:rsidRPr="005D020B" w:rsidRDefault="00923319" w:rsidP="005D020B">
            <w:pPr>
              <w:pStyle w:val="SchNumber3"/>
              <w:numPr>
                <w:ilvl w:val="4"/>
                <w:numId w:val="755"/>
              </w:numPr>
              <w:tabs>
                <w:tab w:val="clear" w:pos="1418"/>
              </w:tabs>
              <w:spacing w:before="120" w:after="120"/>
              <w:ind w:left="1746" w:hanging="567"/>
              <w:rPr>
                <w:rFonts w:cs="Arial"/>
                <w:lang w:val="de-DE"/>
              </w:rPr>
            </w:pPr>
            <w:r w:rsidRPr="005D020B">
              <w:rPr>
                <w:rFonts w:cs="Arial"/>
              </w:rPr>
              <w:t>Izin Pembangunan untuk Fasilitas;</w:t>
            </w:r>
          </w:p>
        </w:tc>
      </w:tr>
      <w:tr w:rsidR="00A67277" w:rsidRPr="00A67277" w14:paraId="4ADF86EB" w14:textId="77777777" w:rsidTr="00A67277">
        <w:tc>
          <w:tcPr>
            <w:tcW w:w="4788" w:type="dxa"/>
          </w:tcPr>
          <w:p w14:paraId="71E92E64" w14:textId="77777777" w:rsidR="00923319" w:rsidRPr="00A67277" w:rsidRDefault="00923319" w:rsidP="005D020B">
            <w:pPr>
              <w:pStyle w:val="SchNumber3"/>
              <w:tabs>
                <w:tab w:val="clear" w:pos="1418"/>
              </w:tabs>
              <w:spacing w:before="120" w:after="120"/>
              <w:ind w:hanging="567"/>
              <w:rPr>
                <w:rFonts w:cs="Arial"/>
              </w:rPr>
            </w:pPr>
            <w:r w:rsidRPr="00A67277">
              <w:rPr>
                <w:rFonts w:cs="Arial"/>
              </w:rPr>
              <w:t>Electronic system operator from the Ministry of Telecommunication and Informatics;</w:t>
            </w:r>
          </w:p>
        </w:tc>
        <w:tc>
          <w:tcPr>
            <w:tcW w:w="270" w:type="dxa"/>
          </w:tcPr>
          <w:p w14:paraId="19A5AAD1" w14:textId="77777777" w:rsidR="00923319" w:rsidRPr="00A67277" w:rsidRDefault="00923319" w:rsidP="00923319">
            <w:pPr>
              <w:spacing w:before="120" w:after="120"/>
              <w:rPr>
                <w:rFonts w:ascii="Arial" w:hAnsi="Arial" w:cs="Arial"/>
                <w:sz w:val="21"/>
                <w:szCs w:val="21"/>
              </w:rPr>
            </w:pPr>
          </w:p>
        </w:tc>
        <w:tc>
          <w:tcPr>
            <w:tcW w:w="4518" w:type="dxa"/>
          </w:tcPr>
          <w:p w14:paraId="0396CA67" w14:textId="77777777" w:rsidR="00923319" w:rsidRPr="00A67277" w:rsidRDefault="00923319" w:rsidP="005D020B">
            <w:pPr>
              <w:pStyle w:val="SchNumber3"/>
              <w:numPr>
                <w:ilvl w:val="4"/>
                <w:numId w:val="580"/>
              </w:numPr>
              <w:tabs>
                <w:tab w:val="clear" w:pos="1418"/>
              </w:tabs>
              <w:spacing w:before="120" w:after="120"/>
              <w:ind w:left="1746" w:hanging="567"/>
              <w:rPr>
                <w:rFonts w:cs="Arial"/>
              </w:rPr>
            </w:pPr>
            <w:r w:rsidRPr="00A67277">
              <w:rPr>
                <w:rFonts w:cs="Arial"/>
              </w:rPr>
              <w:t>Operator penyelenggara system elektronik dari Kementerian Komunikasi dan Informatika;</w:t>
            </w:r>
          </w:p>
        </w:tc>
      </w:tr>
      <w:tr w:rsidR="00A67277" w:rsidRPr="00A67277" w14:paraId="695EA79E" w14:textId="77777777" w:rsidTr="00A67277">
        <w:tc>
          <w:tcPr>
            <w:tcW w:w="4788" w:type="dxa"/>
          </w:tcPr>
          <w:p w14:paraId="7C47B35E" w14:textId="77777777" w:rsidR="00923319" w:rsidRPr="00A67277" w:rsidRDefault="00923319" w:rsidP="005D020B">
            <w:pPr>
              <w:pStyle w:val="SchNumber3"/>
              <w:tabs>
                <w:tab w:val="clear" w:pos="1418"/>
              </w:tabs>
              <w:spacing w:before="120" w:after="120"/>
              <w:ind w:hanging="567"/>
              <w:rPr>
                <w:rFonts w:cs="Arial"/>
              </w:rPr>
            </w:pPr>
            <w:r w:rsidRPr="00A67277">
              <w:rPr>
                <w:rFonts w:cs="Arial"/>
              </w:rPr>
              <w:t>Certification with respect to the equipments used in the Project from the Ministry of Telecommunication and Informatics;</w:t>
            </w:r>
          </w:p>
        </w:tc>
        <w:tc>
          <w:tcPr>
            <w:tcW w:w="270" w:type="dxa"/>
          </w:tcPr>
          <w:p w14:paraId="65B920B8" w14:textId="77777777" w:rsidR="00923319" w:rsidRPr="00A67277" w:rsidRDefault="00923319" w:rsidP="00923319">
            <w:pPr>
              <w:spacing w:before="120" w:after="120"/>
              <w:rPr>
                <w:rFonts w:ascii="Arial" w:hAnsi="Arial" w:cs="Arial"/>
                <w:sz w:val="21"/>
                <w:szCs w:val="21"/>
              </w:rPr>
            </w:pPr>
          </w:p>
        </w:tc>
        <w:tc>
          <w:tcPr>
            <w:tcW w:w="4518" w:type="dxa"/>
          </w:tcPr>
          <w:p w14:paraId="0A29318D" w14:textId="77777777" w:rsidR="00923319" w:rsidRPr="00A67277" w:rsidRDefault="00923319" w:rsidP="005D020B">
            <w:pPr>
              <w:pStyle w:val="SchNumber3"/>
              <w:numPr>
                <w:ilvl w:val="4"/>
                <w:numId w:val="580"/>
              </w:numPr>
              <w:tabs>
                <w:tab w:val="clear" w:pos="1418"/>
              </w:tabs>
              <w:spacing w:before="120" w:after="120"/>
              <w:ind w:left="1746" w:hanging="567"/>
              <w:rPr>
                <w:rFonts w:cs="Arial"/>
              </w:rPr>
            </w:pPr>
            <w:r w:rsidRPr="00A67277">
              <w:rPr>
                <w:rFonts w:cs="Arial"/>
              </w:rPr>
              <w:t>Sertifikasi atas perangkat telekomunikasi yang digunakan dalam Proyek dari Kementerian Komunikasi dan Informatika;</w:t>
            </w:r>
          </w:p>
        </w:tc>
      </w:tr>
      <w:tr w:rsidR="00A67277" w:rsidRPr="00A67277" w14:paraId="1D27CCFD" w14:textId="77777777" w:rsidTr="00A67277">
        <w:tc>
          <w:tcPr>
            <w:tcW w:w="4788" w:type="dxa"/>
          </w:tcPr>
          <w:p w14:paraId="6F51377B" w14:textId="77777777" w:rsidR="00923319" w:rsidRPr="00A67277" w:rsidRDefault="00923319" w:rsidP="00923319">
            <w:pPr>
              <w:pStyle w:val="SchHeading1"/>
              <w:numPr>
                <w:ilvl w:val="2"/>
                <w:numId w:val="1"/>
              </w:numPr>
              <w:spacing w:before="120" w:after="120"/>
              <w:ind w:left="447" w:hanging="447"/>
              <w:rPr>
                <w:rFonts w:cs="Arial"/>
              </w:rPr>
            </w:pPr>
            <w:bookmarkStart w:id="358" w:name="_Toc501178853"/>
            <w:r w:rsidRPr="00A67277">
              <w:rPr>
                <w:rFonts w:cs="Arial"/>
              </w:rPr>
              <w:t>Key Authorisations For Operation Period</w:t>
            </w:r>
            <w:bookmarkEnd w:id="358"/>
          </w:p>
        </w:tc>
        <w:tc>
          <w:tcPr>
            <w:tcW w:w="270" w:type="dxa"/>
          </w:tcPr>
          <w:p w14:paraId="19CA56C8" w14:textId="77777777" w:rsidR="00923319" w:rsidRPr="00A67277" w:rsidRDefault="00923319" w:rsidP="00923319">
            <w:pPr>
              <w:spacing w:before="120" w:after="120"/>
              <w:rPr>
                <w:rFonts w:ascii="Arial" w:hAnsi="Arial" w:cs="Arial"/>
                <w:sz w:val="21"/>
                <w:szCs w:val="21"/>
              </w:rPr>
            </w:pPr>
          </w:p>
        </w:tc>
        <w:tc>
          <w:tcPr>
            <w:tcW w:w="4518" w:type="dxa"/>
          </w:tcPr>
          <w:p w14:paraId="026FFC1E" w14:textId="77777777" w:rsidR="00923319" w:rsidRPr="00A67277" w:rsidRDefault="00923319" w:rsidP="00923319">
            <w:pPr>
              <w:pStyle w:val="SchHeading1"/>
              <w:numPr>
                <w:ilvl w:val="0"/>
                <w:numId w:val="577"/>
              </w:numPr>
              <w:spacing w:before="120" w:after="120"/>
              <w:ind w:left="681" w:hanging="630"/>
              <w:rPr>
                <w:rFonts w:cs="Arial"/>
              </w:rPr>
            </w:pPr>
            <w:r w:rsidRPr="00A67277">
              <w:rPr>
                <w:rFonts w:cs="Arial"/>
              </w:rPr>
              <w:t>Persetujuan Utama untuk Operasi</w:t>
            </w:r>
          </w:p>
        </w:tc>
      </w:tr>
      <w:tr w:rsidR="00A67277" w:rsidRPr="00A67277" w14:paraId="3254649D" w14:textId="77777777" w:rsidTr="00A67277">
        <w:tc>
          <w:tcPr>
            <w:tcW w:w="4788" w:type="dxa"/>
          </w:tcPr>
          <w:p w14:paraId="1AEFC155" w14:textId="77777777" w:rsidR="00923319" w:rsidRPr="00A67277" w:rsidRDefault="00923319" w:rsidP="00923319">
            <w:pPr>
              <w:pStyle w:val="SchNumber2"/>
              <w:spacing w:before="120" w:after="120"/>
              <w:ind w:left="873" w:hanging="426"/>
              <w:rPr>
                <w:rFonts w:cs="Arial"/>
              </w:rPr>
            </w:pPr>
            <w:r w:rsidRPr="00A67277">
              <w:rPr>
                <w:rFonts w:cs="Arial"/>
              </w:rPr>
              <w:t>The followings are the list of key Authorisations must be procured by the GCA on the Effective Date:</w:t>
            </w:r>
          </w:p>
        </w:tc>
        <w:tc>
          <w:tcPr>
            <w:tcW w:w="270" w:type="dxa"/>
          </w:tcPr>
          <w:p w14:paraId="7AD8A5EE" w14:textId="77777777" w:rsidR="00923319" w:rsidRPr="00A67277" w:rsidRDefault="00923319" w:rsidP="00923319">
            <w:pPr>
              <w:spacing w:before="120" w:after="120"/>
              <w:rPr>
                <w:rFonts w:ascii="Arial" w:hAnsi="Arial" w:cs="Arial"/>
                <w:sz w:val="21"/>
                <w:szCs w:val="21"/>
              </w:rPr>
            </w:pPr>
          </w:p>
        </w:tc>
        <w:tc>
          <w:tcPr>
            <w:tcW w:w="4518" w:type="dxa"/>
          </w:tcPr>
          <w:p w14:paraId="6462834F" w14:textId="77777777" w:rsidR="00923319" w:rsidRPr="00A67277" w:rsidRDefault="00923319" w:rsidP="00923319">
            <w:pPr>
              <w:pStyle w:val="SchNumber2"/>
              <w:numPr>
                <w:ilvl w:val="0"/>
                <w:numId w:val="581"/>
              </w:numPr>
              <w:spacing w:before="120" w:after="120"/>
              <w:ind w:left="1221" w:hanging="568"/>
              <w:rPr>
                <w:rFonts w:cs="Arial"/>
              </w:rPr>
            </w:pPr>
            <w:r w:rsidRPr="00A67277">
              <w:rPr>
                <w:rFonts w:cs="Arial"/>
              </w:rPr>
              <w:t xml:space="preserve">Berikut </w:t>
            </w:r>
            <w:r w:rsidRPr="00A67277">
              <w:rPr>
                <w:rFonts w:cs="Arial"/>
                <w:lang w:val="id-ID"/>
              </w:rPr>
              <w:t xml:space="preserve">ini </w:t>
            </w:r>
            <w:r w:rsidRPr="00A67277">
              <w:rPr>
                <w:rFonts w:cs="Arial"/>
              </w:rPr>
              <w:t xml:space="preserve">adalah daftar </w:t>
            </w:r>
            <w:r w:rsidRPr="00A67277">
              <w:rPr>
                <w:rFonts w:cs="Arial"/>
                <w:lang w:val="id-ID"/>
              </w:rPr>
              <w:t>Persetu</w:t>
            </w:r>
            <w:r w:rsidRPr="00A67277">
              <w:rPr>
                <w:rFonts w:cs="Arial"/>
                <w:lang w:val="en-ID"/>
              </w:rPr>
              <w:t>j</w:t>
            </w:r>
            <w:r w:rsidRPr="00A67277">
              <w:rPr>
                <w:rFonts w:cs="Arial"/>
                <w:lang w:val="id-ID"/>
              </w:rPr>
              <w:t>uan-Persetujuan</w:t>
            </w:r>
            <w:r w:rsidRPr="00A67277">
              <w:rPr>
                <w:rFonts w:cs="Arial"/>
              </w:rPr>
              <w:t xml:space="preserve"> </w:t>
            </w:r>
            <w:r w:rsidRPr="00A67277">
              <w:rPr>
                <w:rFonts w:cs="Arial"/>
                <w:lang w:val="en-ID"/>
              </w:rPr>
              <w:t>u</w:t>
            </w:r>
            <w:r w:rsidRPr="00A67277">
              <w:rPr>
                <w:rFonts w:cs="Arial"/>
              </w:rPr>
              <w:t>tama yang harus diperoleh oleh PJPK pada Tanggal Efektif:</w:t>
            </w:r>
          </w:p>
        </w:tc>
      </w:tr>
      <w:tr w:rsidR="00A67277" w:rsidRPr="00A67277" w14:paraId="3EB4EF76" w14:textId="77777777" w:rsidTr="00A67277">
        <w:tc>
          <w:tcPr>
            <w:tcW w:w="4788" w:type="dxa"/>
          </w:tcPr>
          <w:p w14:paraId="6AA498A0" w14:textId="77777777" w:rsidR="00923319" w:rsidRPr="00A67277" w:rsidRDefault="00923319" w:rsidP="005D020B">
            <w:pPr>
              <w:pStyle w:val="SchNumber3"/>
              <w:spacing w:before="120" w:after="120"/>
              <w:ind w:hanging="567"/>
              <w:rPr>
                <w:rFonts w:cs="Arial"/>
              </w:rPr>
            </w:pPr>
            <w:r w:rsidRPr="00A67277">
              <w:rPr>
                <w:rFonts w:cs="Arial"/>
              </w:rPr>
              <w:t>[***];</w:t>
            </w:r>
          </w:p>
        </w:tc>
        <w:tc>
          <w:tcPr>
            <w:tcW w:w="270" w:type="dxa"/>
          </w:tcPr>
          <w:p w14:paraId="478017CD" w14:textId="77777777" w:rsidR="00923319" w:rsidRPr="00A67277" w:rsidRDefault="00923319" w:rsidP="00923319">
            <w:pPr>
              <w:spacing w:before="120" w:after="120"/>
              <w:rPr>
                <w:rFonts w:ascii="Arial" w:hAnsi="Arial" w:cs="Arial"/>
                <w:sz w:val="21"/>
                <w:szCs w:val="21"/>
              </w:rPr>
            </w:pPr>
          </w:p>
        </w:tc>
        <w:tc>
          <w:tcPr>
            <w:tcW w:w="4518" w:type="dxa"/>
          </w:tcPr>
          <w:p w14:paraId="181DFFF9" w14:textId="77777777" w:rsidR="00923319" w:rsidRPr="00A67277" w:rsidRDefault="00923319" w:rsidP="00297681">
            <w:pPr>
              <w:pStyle w:val="SchNumber3"/>
              <w:numPr>
                <w:ilvl w:val="4"/>
                <w:numId w:val="725"/>
              </w:numPr>
              <w:tabs>
                <w:tab w:val="clear" w:pos="1418"/>
              </w:tabs>
              <w:spacing w:before="120" w:after="120"/>
              <w:ind w:left="1746" w:hanging="567"/>
              <w:rPr>
                <w:rFonts w:cs="Arial"/>
              </w:rPr>
            </w:pPr>
            <w:r w:rsidRPr="00A67277">
              <w:rPr>
                <w:rFonts w:cs="Arial"/>
              </w:rPr>
              <w:t>[***];</w:t>
            </w:r>
          </w:p>
          <w:p w14:paraId="51F1A788" w14:textId="77777777" w:rsidR="00923319" w:rsidRPr="00A67277" w:rsidRDefault="00923319" w:rsidP="00923319">
            <w:pPr>
              <w:pStyle w:val="SchNumber3"/>
              <w:numPr>
                <w:ilvl w:val="0"/>
                <w:numId w:val="0"/>
              </w:numPr>
              <w:spacing w:before="120" w:after="120"/>
              <w:rPr>
                <w:rFonts w:cs="Arial"/>
              </w:rPr>
            </w:pPr>
          </w:p>
        </w:tc>
      </w:tr>
      <w:tr w:rsidR="00A67277" w:rsidRPr="00A67277" w14:paraId="194F1B85" w14:textId="77777777" w:rsidTr="00A67277">
        <w:tc>
          <w:tcPr>
            <w:tcW w:w="4788" w:type="dxa"/>
          </w:tcPr>
          <w:p w14:paraId="3E5360A7" w14:textId="77777777" w:rsidR="00923319" w:rsidRPr="00A67277" w:rsidRDefault="00923319" w:rsidP="00923319">
            <w:pPr>
              <w:pStyle w:val="SchNumber2"/>
              <w:spacing w:before="120" w:after="120"/>
              <w:ind w:left="873" w:hanging="426"/>
              <w:rPr>
                <w:rFonts w:cs="Arial"/>
              </w:rPr>
            </w:pPr>
            <w:r w:rsidRPr="00A67277">
              <w:rPr>
                <w:rFonts w:cs="Arial"/>
              </w:rPr>
              <w:t>The followings are the list of key Authorisations must be procured by the GCA on the during Construction Period:</w:t>
            </w:r>
          </w:p>
        </w:tc>
        <w:tc>
          <w:tcPr>
            <w:tcW w:w="270" w:type="dxa"/>
          </w:tcPr>
          <w:p w14:paraId="1FAFB7E4" w14:textId="77777777" w:rsidR="00923319" w:rsidRPr="00A67277" w:rsidRDefault="00923319" w:rsidP="00923319">
            <w:pPr>
              <w:spacing w:before="120" w:after="120"/>
              <w:rPr>
                <w:rFonts w:ascii="Arial" w:hAnsi="Arial" w:cs="Arial"/>
                <w:sz w:val="21"/>
                <w:szCs w:val="21"/>
              </w:rPr>
            </w:pPr>
          </w:p>
        </w:tc>
        <w:tc>
          <w:tcPr>
            <w:tcW w:w="4518" w:type="dxa"/>
          </w:tcPr>
          <w:p w14:paraId="332E7BC6" w14:textId="77777777" w:rsidR="00923319" w:rsidRPr="00A67277" w:rsidRDefault="00923319" w:rsidP="00923319">
            <w:pPr>
              <w:pStyle w:val="SchNumber2"/>
              <w:numPr>
                <w:ilvl w:val="0"/>
                <w:numId w:val="581"/>
              </w:numPr>
              <w:spacing w:before="120" w:after="120"/>
              <w:ind w:left="1221" w:hanging="568"/>
              <w:rPr>
                <w:rFonts w:cs="Arial"/>
              </w:rPr>
            </w:pPr>
            <w:r w:rsidRPr="00A67277">
              <w:rPr>
                <w:rFonts w:cs="Arial"/>
              </w:rPr>
              <w:t xml:space="preserve">Berikut </w:t>
            </w:r>
            <w:r w:rsidRPr="00A67277">
              <w:rPr>
                <w:rFonts w:cs="Arial"/>
                <w:lang w:val="id-ID"/>
              </w:rPr>
              <w:t xml:space="preserve">ini </w:t>
            </w:r>
            <w:r w:rsidRPr="00A67277">
              <w:rPr>
                <w:rFonts w:cs="Arial"/>
              </w:rPr>
              <w:t xml:space="preserve">adalah daftar </w:t>
            </w:r>
            <w:r w:rsidRPr="00A67277">
              <w:rPr>
                <w:rFonts w:cs="Arial"/>
                <w:lang w:val="id-ID"/>
              </w:rPr>
              <w:t>Persetu</w:t>
            </w:r>
            <w:r w:rsidRPr="00A67277">
              <w:rPr>
                <w:rFonts w:cs="Arial"/>
                <w:lang w:val="en-ID"/>
              </w:rPr>
              <w:t>j</w:t>
            </w:r>
            <w:r w:rsidRPr="00A67277">
              <w:rPr>
                <w:rFonts w:cs="Arial"/>
                <w:lang w:val="id-ID"/>
              </w:rPr>
              <w:t>uan-Persetujuan</w:t>
            </w:r>
            <w:r w:rsidRPr="00A67277">
              <w:rPr>
                <w:rFonts w:cs="Arial"/>
              </w:rPr>
              <w:t xml:space="preserve"> </w:t>
            </w:r>
            <w:r w:rsidRPr="00A67277">
              <w:rPr>
                <w:rFonts w:cs="Arial"/>
                <w:lang w:val="en-ID"/>
              </w:rPr>
              <w:t>u</w:t>
            </w:r>
            <w:r w:rsidRPr="00A67277">
              <w:rPr>
                <w:rFonts w:cs="Arial"/>
              </w:rPr>
              <w:t>tama yang harus diperoleh oleh PJPK selama Jangka Waktu Konstruksi:</w:t>
            </w:r>
          </w:p>
        </w:tc>
      </w:tr>
      <w:tr w:rsidR="00A67277" w:rsidRPr="00A67277" w14:paraId="619E232D" w14:textId="77777777" w:rsidTr="00A67277">
        <w:tc>
          <w:tcPr>
            <w:tcW w:w="4788" w:type="dxa"/>
          </w:tcPr>
          <w:p w14:paraId="0ADF86D3" w14:textId="2876D9A9" w:rsidR="00923319" w:rsidRPr="00A67277" w:rsidRDefault="005D020B" w:rsidP="005D020B">
            <w:pPr>
              <w:pStyle w:val="SchNumber3"/>
              <w:spacing w:before="120" w:after="120"/>
              <w:ind w:hanging="567"/>
              <w:rPr>
                <w:rFonts w:cs="Arial"/>
              </w:rPr>
            </w:pPr>
            <w:r w:rsidRPr="00A67277">
              <w:rPr>
                <w:rFonts w:cs="Arial"/>
              </w:rPr>
              <w:t>[***];</w:t>
            </w:r>
          </w:p>
        </w:tc>
        <w:tc>
          <w:tcPr>
            <w:tcW w:w="270" w:type="dxa"/>
          </w:tcPr>
          <w:p w14:paraId="3C440766" w14:textId="77777777" w:rsidR="00923319" w:rsidRPr="00A67277" w:rsidRDefault="00923319" w:rsidP="00923319">
            <w:pPr>
              <w:spacing w:before="120" w:after="120"/>
              <w:rPr>
                <w:rFonts w:ascii="Arial" w:hAnsi="Arial" w:cs="Arial"/>
                <w:sz w:val="21"/>
                <w:szCs w:val="21"/>
              </w:rPr>
            </w:pPr>
          </w:p>
        </w:tc>
        <w:tc>
          <w:tcPr>
            <w:tcW w:w="4518" w:type="dxa"/>
          </w:tcPr>
          <w:p w14:paraId="18DC971E" w14:textId="5D8FA759" w:rsidR="00923319" w:rsidRPr="00A67277" w:rsidRDefault="005D020B" w:rsidP="005D020B">
            <w:pPr>
              <w:pStyle w:val="SchNumber3"/>
              <w:numPr>
                <w:ilvl w:val="4"/>
                <w:numId w:val="756"/>
              </w:numPr>
              <w:tabs>
                <w:tab w:val="clear" w:pos="1418"/>
              </w:tabs>
              <w:ind w:left="1746" w:hanging="567"/>
            </w:pPr>
            <w:r w:rsidRPr="00A67277">
              <w:t>[***];</w:t>
            </w:r>
          </w:p>
        </w:tc>
      </w:tr>
      <w:tr w:rsidR="00A67277" w:rsidRPr="00A67277" w14:paraId="4E93AA73" w14:textId="77777777" w:rsidTr="00A67277">
        <w:tc>
          <w:tcPr>
            <w:tcW w:w="4788" w:type="dxa"/>
          </w:tcPr>
          <w:p w14:paraId="0AB867EB" w14:textId="77777777" w:rsidR="00923319" w:rsidRPr="00A67277" w:rsidRDefault="00923319" w:rsidP="00923319">
            <w:pPr>
              <w:spacing w:before="120" w:after="120"/>
              <w:rPr>
                <w:rFonts w:ascii="Arial" w:hAnsi="Arial" w:cs="Arial"/>
                <w:sz w:val="21"/>
                <w:szCs w:val="21"/>
              </w:rPr>
            </w:pPr>
          </w:p>
        </w:tc>
        <w:tc>
          <w:tcPr>
            <w:tcW w:w="270" w:type="dxa"/>
          </w:tcPr>
          <w:p w14:paraId="5F774B6E" w14:textId="77777777" w:rsidR="00923319" w:rsidRPr="00A67277" w:rsidRDefault="00923319" w:rsidP="00923319">
            <w:pPr>
              <w:spacing w:before="120" w:after="120"/>
              <w:rPr>
                <w:rFonts w:ascii="Arial" w:hAnsi="Arial" w:cs="Arial"/>
                <w:sz w:val="21"/>
                <w:szCs w:val="21"/>
              </w:rPr>
            </w:pPr>
          </w:p>
        </w:tc>
        <w:tc>
          <w:tcPr>
            <w:tcW w:w="4518" w:type="dxa"/>
          </w:tcPr>
          <w:p w14:paraId="7E95A97A" w14:textId="77777777" w:rsidR="00923319" w:rsidRPr="00A67277" w:rsidRDefault="00923319" w:rsidP="00923319">
            <w:pPr>
              <w:spacing w:before="120" w:after="120"/>
              <w:rPr>
                <w:rFonts w:ascii="Arial" w:hAnsi="Arial" w:cs="Arial"/>
                <w:sz w:val="21"/>
                <w:szCs w:val="21"/>
              </w:rPr>
            </w:pPr>
          </w:p>
        </w:tc>
      </w:tr>
    </w:tbl>
    <w:p w14:paraId="479478D8" w14:textId="77777777" w:rsidR="005D020B" w:rsidRDefault="005D020B">
      <w:r>
        <w:br w:type="page"/>
      </w: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284"/>
        <w:gridCol w:w="4425"/>
      </w:tblGrid>
      <w:tr w:rsidR="00A67277" w:rsidRPr="00A67277" w14:paraId="1223D160" w14:textId="77777777" w:rsidTr="00291AD9">
        <w:tc>
          <w:tcPr>
            <w:tcW w:w="4644" w:type="dxa"/>
          </w:tcPr>
          <w:p w14:paraId="2EAAA58D" w14:textId="27497183" w:rsidR="00923319" w:rsidRPr="00375FA3" w:rsidRDefault="00923319" w:rsidP="00186054">
            <w:pPr>
              <w:spacing w:before="120" w:after="120"/>
              <w:jc w:val="center"/>
              <w:rPr>
                <w:rFonts w:ascii="Arial" w:hAnsi="Arial" w:cs="Arial"/>
                <w:b/>
                <w:sz w:val="21"/>
                <w:szCs w:val="21"/>
              </w:rPr>
            </w:pPr>
            <w:r w:rsidRPr="00375FA3">
              <w:rPr>
                <w:rFonts w:ascii="Arial" w:hAnsi="Arial" w:cs="Arial"/>
                <w:b/>
                <w:sz w:val="21"/>
                <w:szCs w:val="21"/>
              </w:rPr>
              <w:t xml:space="preserve">APPENDIX </w:t>
            </w:r>
            <w:r w:rsidR="00E030C4" w:rsidRPr="005D020B">
              <w:rPr>
                <w:rFonts w:ascii="Arial" w:hAnsi="Arial" w:cs="Arial"/>
                <w:b/>
                <w:sz w:val="21"/>
                <w:szCs w:val="21"/>
              </w:rPr>
              <w:t>12</w:t>
            </w:r>
          </w:p>
        </w:tc>
        <w:tc>
          <w:tcPr>
            <w:tcW w:w="284" w:type="dxa"/>
          </w:tcPr>
          <w:p w14:paraId="639DE95D" w14:textId="77777777" w:rsidR="00923319" w:rsidRPr="005F41DF" w:rsidRDefault="00923319" w:rsidP="00186054">
            <w:pPr>
              <w:spacing w:before="120" w:after="120"/>
              <w:jc w:val="center"/>
              <w:rPr>
                <w:rFonts w:ascii="Arial" w:hAnsi="Arial" w:cs="Arial"/>
                <w:b/>
                <w:sz w:val="21"/>
                <w:szCs w:val="21"/>
              </w:rPr>
            </w:pPr>
          </w:p>
        </w:tc>
        <w:tc>
          <w:tcPr>
            <w:tcW w:w="4425" w:type="dxa"/>
          </w:tcPr>
          <w:p w14:paraId="3C0E7824" w14:textId="7F05448C" w:rsidR="00923319" w:rsidRPr="00503D61" w:rsidRDefault="00923319" w:rsidP="00186054">
            <w:pPr>
              <w:spacing w:before="120" w:after="120"/>
              <w:jc w:val="center"/>
              <w:rPr>
                <w:rFonts w:ascii="Arial" w:hAnsi="Arial" w:cs="Arial"/>
                <w:b/>
                <w:sz w:val="21"/>
                <w:szCs w:val="21"/>
              </w:rPr>
            </w:pPr>
            <w:r w:rsidRPr="005F41DF">
              <w:rPr>
                <w:rFonts w:ascii="Arial" w:hAnsi="Arial" w:cs="Arial"/>
                <w:b/>
                <w:sz w:val="21"/>
                <w:szCs w:val="21"/>
              </w:rPr>
              <w:t xml:space="preserve">LAMPIRAN </w:t>
            </w:r>
            <w:r w:rsidR="00E030C4" w:rsidRPr="005F41DF">
              <w:rPr>
                <w:rFonts w:ascii="Arial" w:hAnsi="Arial" w:cs="Arial"/>
                <w:b/>
                <w:sz w:val="21"/>
                <w:szCs w:val="21"/>
              </w:rPr>
              <w:t>12</w:t>
            </w:r>
          </w:p>
        </w:tc>
      </w:tr>
      <w:tr w:rsidR="006D51C1" w:rsidRPr="00A67277" w14:paraId="7381566A" w14:textId="77777777" w:rsidTr="00291AD9">
        <w:tc>
          <w:tcPr>
            <w:tcW w:w="4644" w:type="dxa"/>
          </w:tcPr>
          <w:p w14:paraId="585DB80E" w14:textId="77777777" w:rsidR="006D51C1" w:rsidRPr="00375FA3" w:rsidRDefault="006D51C1" w:rsidP="00186054">
            <w:pPr>
              <w:spacing w:before="120" w:after="120"/>
              <w:jc w:val="center"/>
              <w:rPr>
                <w:rFonts w:ascii="Arial" w:hAnsi="Arial" w:cs="Arial"/>
                <w:b/>
                <w:sz w:val="21"/>
                <w:szCs w:val="21"/>
              </w:rPr>
            </w:pPr>
            <w:r w:rsidRPr="00375FA3">
              <w:rPr>
                <w:rFonts w:ascii="Arial" w:hAnsi="Arial" w:cs="Arial"/>
                <w:b/>
                <w:sz w:val="21"/>
                <w:szCs w:val="21"/>
              </w:rPr>
              <w:t>SERVICE FEE</w:t>
            </w:r>
          </w:p>
        </w:tc>
        <w:tc>
          <w:tcPr>
            <w:tcW w:w="284" w:type="dxa"/>
          </w:tcPr>
          <w:p w14:paraId="1E6AD9B0" w14:textId="77777777" w:rsidR="006D51C1" w:rsidRPr="005F41DF" w:rsidRDefault="006D51C1" w:rsidP="00186054">
            <w:pPr>
              <w:spacing w:before="120" w:after="120"/>
              <w:jc w:val="center"/>
              <w:rPr>
                <w:rFonts w:ascii="Arial" w:hAnsi="Arial" w:cs="Arial"/>
                <w:b/>
                <w:sz w:val="21"/>
                <w:szCs w:val="21"/>
              </w:rPr>
            </w:pPr>
          </w:p>
        </w:tc>
        <w:tc>
          <w:tcPr>
            <w:tcW w:w="4425" w:type="dxa"/>
          </w:tcPr>
          <w:p w14:paraId="042DFE4C" w14:textId="77777777" w:rsidR="006D51C1" w:rsidRPr="005F41DF" w:rsidRDefault="006D51C1" w:rsidP="00186054">
            <w:pPr>
              <w:spacing w:before="120" w:after="120"/>
              <w:jc w:val="center"/>
              <w:rPr>
                <w:rFonts w:ascii="Arial" w:hAnsi="Arial" w:cs="Arial"/>
                <w:b/>
                <w:sz w:val="21"/>
                <w:szCs w:val="21"/>
              </w:rPr>
            </w:pPr>
            <w:r w:rsidRPr="005F41DF">
              <w:rPr>
                <w:rFonts w:ascii="Arial" w:hAnsi="Arial" w:cs="Arial"/>
                <w:b/>
                <w:sz w:val="21"/>
                <w:szCs w:val="21"/>
              </w:rPr>
              <w:t>BIAYA LAYANAN</w:t>
            </w:r>
          </w:p>
        </w:tc>
      </w:tr>
      <w:tr w:rsidR="006D51C1" w:rsidRPr="00290A2D" w14:paraId="5780B1B5" w14:textId="77777777" w:rsidTr="00291AD9">
        <w:tc>
          <w:tcPr>
            <w:tcW w:w="4644" w:type="dxa"/>
          </w:tcPr>
          <w:p w14:paraId="43DD122D" w14:textId="69BA3220" w:rsidR="006D51C1" w:rsidRPr="00290A2D" w:rsidRDefault="006D51C1" w:rsidP="008E0C60">
            <w:pPr>
              <w:pStyle w:val="ListParagraph"/>
              <w:numPr>
                <w:ilvl w:val="0"/>
                <w:numId w:val="743"/>
              </w:numPr>
              <w:spacing w:before="120" w:after="120" w:line="240" w:lineRule="auto"/>
              <w:ind w:left="360"/>
              <w:contextualSpacing w:val="0"/>
              <w:rPr>
                <w:rFonts w:cs="Arial"/>
                <w:b/>
              </w:rPr>
            </w:pPr>
            <w:r w:rsidRPr="00290A2D">
              <w:rPr>
                <w:rFonts w:cs="Arial"/>
                <w:b/>
              </w:rPr>
              <w:t xml:space="preserve">Service Fee </w:t>
            </w:r>
            <w:r w:rsidR="008E0C60">
              <w:rPr>
                <w:rFonts w:cs="Arial"/>
                <w:b/>
              </w:rPr>
              <w:t xml:space="preserve">on the </w:t>
            </w:r>
            <w:r w:rsidRPr="00290A2D">
              <w:rPr>
                <w:rFonts w:cs="Arial"/>
                <w:b/>
              </w:rPr>
              <w:t>Commercial Operation Date</w:t>
            </w:r>
          </w:p>
        </w:tc>
        <w:tc>
          <w:tcPr>
            <w:tcW w:w="284" w:type="dxa"/>
          </w:tcPr>
          <w:p w14:paraId="130F10F5" w14:textId="77777777" w:rsidR="006D51C1" w:rsidRPr="00290A2D" w:rsidRDefault="006D51C1" w:rsidP="00186054">
            <w:pPr>
              <w:spacing w:before="120" w:after="120"/>
              <w:rPr>
                <w:rFonts w:cs="Arial"/>
                <w:b/>
              </w:rPr>
            </w:pPr>
          </w:p>
        </w:tc>
        <w:tc>
          <w:tcPr>
            <w:tcW w:w="4425" w:type="dxa"/>
          </w:tcPr>
          <w:p w14:paraId="440A3ADB" w14:textId="2721D83C" w:rsidR="006D51C1" w:rsidRPr="00290A2D" w:rsidRDefault="006D51C1" w:rsidP="008E0C60">
            <w:pPr>
              <w:pStyle w:val="ListParagraph"/>
              <w:numPr>
                <w:ilvl w:val="0"/>
                <w:numId w:val="744"/>
              </w:numPr>
              <w:spacing w:before="120" w:after="120" w:line="240" w:lineRule="auto"/>
              <w:ind w:left="459" w:hanging="459"/>
              <w:contextualSpacing w:val="0"/>
              <w:rPr>
                <w:rFonts w:asciiTheme="minorHAnsi" w:eastAsiaTheme="minorHAnsi" w:hAnsiTheme="minorHAnsi" w:cs="Arial"/>
                <w:b/>
                <w:sz w:val="22"/>
                <w:szCs w:val="22"/>
              </w:rPr>
            </w:pPr>
            <w:r w:rsidRPr="00290A2D">
              <w:rPr>
                <w:rFonts w:cs="Arial"/>
                <w:b/>
              </w:rPr>
              <w:t>Biaya</w:t>
            </w:r>
            <w:r w:rsidRPr="00290A2D">
              <w:rPr>
                <w:rFonts w:asciiTheme="minorHAnsi" w:hAnsiTheme="minorHAnsi" w:cs="Arial"/>
                <w:b/>
                <w:sz w:val="22"/>
                <w:szCs w:val="22"/>
              </w:rPr>
              <w:t xml:space="preserve"> Layanan </w:t>
            </w:r>
            <w:r w:rsidR="008E0C60">
              <w:rPr>
                <w:rFonts w:asciiTheme="minorHAnsi" w:hAnsiTheme="minorHAnsi" w:cs="Arial"/>
                <w:b/>
                <w:sz w:val="22"/>
                <w:szCs w:val="22"/>
              </w:rPr>
              <w:t xml:space="preserve">pada </w:t>
            </w:r>
            <w:r w:rsidRPr="00290A2D">
              <w:rPr>
                <w:rFonts w:asciiTheme="minorHAnsi" w:hAnsiTheme="minorHAnsi" w:cs="Arial"/>
                <w:b/>
                <w:sz w:val="22"/>
                <w:szCs w:val="22"/>
              </w:rPr>
              <w:t>Tanggal Operasi Komersial</w:t>
            </w:r>
          </w:p>
        </w:tc>
      </w:tr>
      <w:tr w:rsidR="006D51C1" w:rsidRPr="00A67277" w14:paraId="42629B47" w14:textId="77777777" w:rsidTr="00291AD9">
        <w:tc>
          <w:tcPr>
            <w:tcW w:w="4644" w:type="dxa"/>
          </w:tcPr>
          <w:p w14:paraId="7F2E57E6" w14:textId="58712AC5" w:rsidR="006D51C1" w:rsidRPr="00375FA3" w:rsidRDefault="006D51C1" w:rsidP="008E0C60">
            <w:pPr>
              <w:spacing w:before="120" w:after="120"/>
              <w:ind w:left="428"/>
              <w:jc w:val="both"/>
              <w:rPr>
                <w:rFonts w:cs="Arial"/>
                <w:b/>
              </w:rPr>
            </w:pPr>
            <w:r w:rsidRPr="00FA0219">
              <w:rPr>
                <w:rFonts w:ascii="Arial" w:hAnsi="Arial" w:cs="Arial"/>
                <w:sz w:val="21"/>
                <w:szCs w:val="21"/>
              </w:rPr>
              <w:t>The Service Fee</w:t>
            </w:r>
            <w:r>
              <w:rPr>
                <w:rFonts w:ascii="Arial" w:hAnsi="Arial" w:cs="Arial"/>
                <w:sz w:val="21"/>
                <w:szCs w:val="21"/>
              </w:rPr>
              <w:t xml:space="preserve"> </w:t>
            </w:r>
            <w:r w:rsidR="008E0C60">
              <w:rPr>
                <w:rFonts w:ascii="Arial" w:hAnsi="Arial" w:cs="Arial"/>
                <w:sz w:val="21"/>
                <w:szCs w:val="21"/>
              </w:rPr>
              <w:t xml:space="preserve">on the </w:t>
            </w:r>
            <w:r>
              <w:rPr>
                <w:rFonts w:ascii="Arial" w:hAnsi="Arial" w:cs="Arial"/>
                <w:sz w:val="21"/>
                <w:szCs w:val="21"/>
              </w:rPr>
              <w:t>Commercial Operation Date is as follows:</w:t>
            </w:r>
          </w:p>
        </w:tc>
        <w:tc>
          <w:tcPr>
            <w:tcW w:w="284" w:type="dxa"/>
          </w:tcPr>
          <w:p w14:paraId="2FEF0905" w14:textId="77777777" w:rsidR="006D51C1" w:rsidRPr="005F41DF" w:rsidRDefault="006D51C1" w:rsidP="00186054">
            <w:pPr>
              <w:spacing w:before="120" w:after="120"/>
              <w:rPr>
                <w:rFonts w:ascii="Arial" w:hAnsi="Arial" w:cs="Arial"/>
                <w:b/>
                <w:sz w:val="21"/>
                <w:szCs w:val="21"/>
              </w:rPr>
            </w:pPr>
          </w:p>
        </w:tc>
        <w:tc>
          <w:tcPr>
            <w:tcW w:w="4425" w:type="dxa"/>
          </w:tcPr>
          <w:p w14:paraId="0039BF0A" w14:textId="0749FE07" w:rsidR="006D51C1" w:rsidRPr="00290A2D" w:rsidRDefault="006D51C1" w:rsidP="008E0C60">
            <w:pPr>
              <w:spacing w:before="120" w:after="120"/>
              <w:ind w:left="459"/>
              <w:jc w:val="both"/>
              <w:rPr>
                <w:rFonts w:ascii="Arial" w:hAnsi="Arial" w:cs="Arial"/>
                <w:b/>
                <w:sz w:val="21"/>
                <w:szCs w:val="21"/>
              </w:rPr>
            </w:pPr>
            <w:r w:rsidRPr="00FA0219">
              <w:rPr>
                <w:rFonts w:ascii="Arial" w:hAnsi="Arial" w:cs="Arial"/>
                <w:bCs/>
                <w:sz w:val="21"/>
                <w:szCs w:val="21"/>
              </w:rPr>
              <w:t xml:space="preserve">Biaya Layanan </w:t>
            </w:r>
            <w:r w:rsidR="008E0C60">
              <w:rPr>
                <w:rFonts w:ascii="Arial" w:hAnsi="Arial" w:cs="Arial"/>
                <w:bCs/>
                <w:sz w:val="21"/>
                <w:szCs w:val="21"/>
              </w:rPr>
              <w:t xml:space="preserve">pada </w:t>
            </w:r>
            <w:r w:rsidRPr="00FA0219">
              <w:rPr>
                <w:rFonts w:ascii="Arial" w:hAnsi="Arial" w:cs="Arial"/>
                <w:bCs/>
                <w:sz w:val="21"/>
                <w:szCs w:val="21"/>
              </w:rPr>
              <w:t>Tanggal Operasi Komersial adalah sebagai berikut:</w:t>
            </w:r>
          </w:p>
        </w:tc>
      </w:tr>
      <w:tr w:rsidR="006D51C1" w:rsidRPr="00A67277" w14:paraId="6CDF9706" w14:textId="77777777" w:rsidTr="00291AD9">
        <w:tc>
          <w:tcPr>
            <w:tcW w:w="4644" w:type="dxa"/>
          </w:tcPr>
          <w:p w14:paraId="5BEBD8EC" w14:textId="77777777" w:rsidR="006D51C1" w:rsidRPr="00FA0219" w:rsidRDefault="006D51C1" w:rsidP="00186054">
            <w:pPr>
              <w:spacing w:before="120" w:after="120"/>
              <w:ind w:left="428"/>
              <w:jc w:val="both"/>
              <w:rPr>
                <w:rFonts w:ascii="Arial" w:hAnsi="Arial" w:cs="Arial"/>
                <w:sz w:val="21"/>
                <w:szCs w:val="21"/>
              </w:rPr>
            </w:pPr>
            <w:r>
              <w:rPr>
                <w:rFonts w:ascii="Arial" w:hAnsi="Arial" w:cs="Arial"/>
                <w:sz w:val="21"/>
                <w:szCs w:val="21"/>
              </w:rPr>
              <w:t xml:space="preserve">Lump Sum Service Fee : </w:t>
            </w:r>
            <w:r>
              <w:rPr>
                <w:rFonts w:ascii="Arial" w:hAnsi="Arial" w:cs="Arial"/>
                <w:bCs/>
                <w:sz w:val="21"/>
                <w:szCs w:val="21"/>
              </w:rPr>
              <w:t>Rp. [*</w:t>
            </w:r>
            <w:r w:rsidRPr="00FA0219">
              <w:rPr>
                <w:rFonts w:ascii="Arial" w:hAnsi="Arial" w:cs="Arial"/>
                <w:b/>
                <w:bCs/>
                <w:i/>
                <w:sz w:val="21"/>
                <w:szCs w:val="21"/>
              </w:rPr>
              <w:t>will be inserted the winning tender proposal</w:t>
            </w:r>
            <w:r>
              <w:rPr>
                <w:rFonts w:ascii="Arial" w:hAnsi="Arial" w:cs="Arial"/>
                <w:bCs/>
                <w:sz w:val="21"/>
                <w:szCs w:val="21"/>
              </w:rPr>
              <w:t>*]</w:t>
            </w:r>
          </w:p>
        </w:tc>
        <w:tc>
          <w:tcPr>
            <w:tcW w:w="284" w:type="dxa"/>
          </w:tcPr>
          <w:p w14:paraId="01EDADB4" w14:textId="77777777" w:rsidR="006D51C1" w:rsidRPr="005F41DF" w:rsidRDefault="006D51C1" w:rsidP="00186054">
            <w:pPr>
              <w:spacing w:before="120" w:after="120"/>
              <w:rPr>
                <w:rFonts w:ascii="Arial" w:hAnsi="Arial" w:cs="Arial"/>
                <w:b/>
                <w:sz w:val="21"/>
                <w:szCs w:val="21"/>
              </w:rPr>
            </w:pPr>
          </w:p>
        </w:tc>
        <w:tc>
          <w:tcPr>
            <w:tcW w:w="4425" w:type="dxa"/>
          </w:tcPr>
          <w:p w14:paraId="162D8F4F" w14:textId="77777777" w:rsidR="006D51C1" w:rsidRPr="00FA0219" w:rsidRDefault="006D51C1" w:rsidP="00186054">
            <w:pPr>
              <w:spacing w:before="120" w:after="120"/>
              <w:ind w:left="459"/>
              <w:jc w:val="both"/>
              <w:rPr>
                <w:rFonts w:ascii="Arial" w:hAnsi="Arial" w:cs="Arial"/>
                <w:bCs/>
                <w:sz w:val="21"/>
                <w:szCs w:val="21"/>
              </w:rPr>
            </w:pPr>
            <w:r>
              <w:rPr>
                <w:rFonts w:ascii="Arial" w:hAnsi="Arial" w:cs="Arial"/>
                <w:bCs/>
                <w:sz w:val="21"/>
                <w:szCs w:val="21"/>
              </w:rPr>
              <w:t>Biaya Layanan Lump Sum: Rp. [*</w:t>
            </w:r>
            <w:r>
              <w:rPr>
                <w:rFonts w:ascii="Arial" w:hAnsi="Arial" w:cs="Arial"/>
                <w:b/>
                <w:bCs/>
                <w:i/>
                <w:sz w:val="21"/>
                <w:szCs w:val="21"/>
              </w:rPr>
              <w:t>akan dimasukan penawaran pemenang lelang</w:t>
            </w:r>
            <w:r>
              <w:rPr>
                <w:rFonts w:ascii="Arial" w:hAnsi="Arial" w:cs="Arial"/>
                <w:bCs/>
                <w:sz w:val="21"/>
                <w:szCs w:val="21"/>
              </w:rPr>
              <w:t>*]</w:t>
            </w:r>
          </w:p>
        </w:tc>
      </w:tr>
      <w:tr w:rsidR="006D51C1" w:rsidRPr="00A67277" w14:paraId="458D07FD" w14:textId="77777777" w:rsidTr="00291AD9">
        <w:tc>
          <w:tcPr>
            <w:tcW w:w="4644" w:type="dxa"/>
          </w:tcPr>
          <w:p w14:paraId="58B1C367" w14:textId="77777777" w:rsidR="006D51C1" w:rsidRDefault="006D51C1" w:rsidP="00186054">
            <w:pPr>
              <w:spacing w:before="120" w:after="120"/>
              <w:ind w:left="428"/>
              <w:jc w:val="both"/>
              <w:rPr>
                <w:rFonts w:ascii="Arial" w:hAnsi="Arial" w:cs="Arial"/>
                <w:sz w:val="21"/>
                <w:szCs w:val="21"/>
              </w:rPr>
            </w:pPr>
            <w:r>
              <w:rPr>
                <w:rFonts w:ascii="Arial" w:hAnsi="Arial" w:cs="Arial"/>
                <w:sz w:val="21"/>
                <w:szCs w:val="21"/>
              </w:rPr>
              <w:t xml:space="preserve">Tolled Lane Based Service Fee : Rp. </w:t>
            </w:r>
            <w:r>
              <w:rPr>
                <w:rFonts w:ascii="Arial" w:hAnsi="Arial" w:cs="Arial"/>
                <w:bCs/>
                <w:sz w:val="21"/>
                <w:szCs w:val="21"/>
              </w:rPr>
              <w:t>[*</w:t>
            </w:r>
            <w:r w:rsidRPr="00FA0219">
              <w:rPr>
                <w:rFonts w:ascii="Arial" w:hAnsi="Arial" w:cs="Arial"/>
                <w:b/>
                <w:bCs/>
                <w:i/>
                <w:sz w:val="21"/>
                <w:szCs w:val="21"/>
              </w:rPr>
              <w:t>will be inserted the winning tender proposal</w:t>
            </w:r>
            <w:r>
              <w:rPr>
                <w:rFonts w:ascii="Arial" w:hAnsi="Arial" w:cs="Arial"/>
                <w:bCs/>
                <w:sz w:val="21"/>
                <w:szCs w:val="21"/>
              </w:rPr>
              <w:t>*] for each Additional Lane.</w:t>
            </w:r>
          </w:p>
        </w:tc>
        <w:tc>
          <w:tcPr>
            <w:tcW w:w="284" w:type="dxa"/>
          </w:tcPr>
          <w:p w14:paraId="36A23AC8" w14:textId="77777777" w:rsidR="006D51C1" w:rsidRPr="005F41DF" w:rsidRDefault="006D51C1" w:rsidP="00186054">
            <w:pPr>
              <w:spacing w:before="120" w:after="120"/>
              <w:rPr>
                <w:rFonts w:ascii="Arial" w:hAnsi="Arial" w:cs="Arial"/>
                <w:b/>
                <w:sz w:val="21"/>
                <w:szCs w:val="21"/>
              </w:rPr>
            </w:pPr>
          </w:p>
        </w:tc>
        <w:tc>
          <w:tcPr>
            <w:tcW w:w="4425" w:type="dxa"/>
          </w:tcPr>
          <w:p w14:paraId="08B5E7DF" w14:textId="77777777" w:rsidR="006D51C1" w:rsidRDefault="006D51C1" w:rsidP="00186054">
            <w:pPr>
              <w:spacing w:before="120" w:after="120"/>
              <w:ind w:left="459"/>
              <w:jc w:val="both"/>
              <w:rPr>
                <w:rFonts w:ascii="Arial" w:hAnsi="Arial" w:cs="Arial"/>
                <w:bCs/>
                <w:sz w:val="21"/>
                <w:szCs w:val="21"/>
              </w:rPr>
            </w:pPr>
            <w:r>
              <w:rPr>
                <w:rFonts w:ascii="Arial" w:hAnsi="Arial" w:cs="Arial"/>
                <w:bCs/>
                <w:sz w:val="21"/>
                <w:szCs w:val="21"/>
              </w:rPr>
              <w:t>Biaya Layanan Berdasar Jalur Tol : Rp. [*</w:t>
            </w:r>
            <w:r>
              <w:rPr>
                <w:rFonts w:ascii="Arial" w:hAnsi="Arial" w:cs="Arial"/>
                <w:b/>
                <w:bCs/>
                <w:i/>
                <w:sz w:val="21"/>
                <w:szCs w:val="21"/>
              </w:rPr>
              <w:t>akan dimasukan penawaran pemenang lelang</w:t>
            </w:r>
            <w:r>
              <w:rPr>
                <w:rFonts w:ascii="Arial" w:hAnsi="Arial" w:cs="Arial"/>
                <w:bCs/>
                <w:sz w:val="21"/>
                <w:szCs w:val="21"/>
              </w:rPr>
              <w:t>*] untuk setiap Jalur Tambahan</w:t>
            </w:r>
          </w:p>
        </w:tc>
      </w:tr>
      <w:tr w:rsidR="006D51C1" w:rsidRPr="00A67277" w14:paraId="48D9855E" w14:textId="77777777" w:rsidTr="00291AD9">
        <w:tc>
          <w:tcPr>
            <w:tcW w:w="4644" w:type="dxa"/>
          </w:tcPr>
          <w:p w14:paraId="4E7854AB" w14:textId="3DBD25F3" w:rsidR="006D51C1" w:rsidRPr="005D020B" w:rsidRDefault="006D51C1" w:rsidP="00186054">
            <w:pPr>
              <w:pStyle w:val="ListParagraph"/>
              <w:numPr>
                <w:ilvl w:val="0"/>
                <w:numId w:val="743"/>
              </w:numPr>
              <w:spacing w:before="120" w:after="120" w:line="240" w:lineRule="auto"/>
              <w:ind w:left="360"/>
              <w:contextualSpacing w:val="0"/>
              <w:rPr>
                <w:rFonts w:cs="Arial"/>
                <w:b/>
              </w:rPr>
            </w:pPr>
            <w:r w:rsidRPr="005D020B">
              <w:rPr>
                <w:rFonts w:cs="Arial"/>
                <w:b/>
              </w:rPr>
              <w:t>Adjustment</w:t>
            </w:r>
            <w:r w:rsidR="008E0C60">
              <w:rPr>
                <w:rFonts w:cs="Arial"/>
                <w:b/>
              </w:rPr>
              <w:t xml:space="preserve"> of Service Fee</w:t>
            </w:r>
          </w:p>
        </w:tc>
        <w:tc>
          <w:tcPr>
            <w:tcW w:w="284" w:type="dxa"/>
          </w:tcPr>
          <w:p w14:paraId="79550334" w14:textId="77777777" w:rsidR="006D51C1" w:rsidRPr="005D020B" w:rsidRDefault="006D51C1" w:rsidP="00186054">
            <w:pPr>
              <w:spacing w:before="120" w:after="120"/>
              <w:rPr>
                <w:rFonts w:ascii="Arial" w:hAnsi="Arial" w:cs="Arial"/>
                <w:b/>
                <w:sz w:val="21"/>
                <w:szCs w:val="21"/>
              </w:rPr>
            </w:pPr>
          </w:p>
        </w:tc>
        <w:tc>
          <w:tcPr>
            <w:tcW w:w="4425" w:type="dxa"/>
          </w:tcPr>
          <w:p w14:paraId="4D68CEFC" w14:textId="3E22B2A2" w:rsidR="006D51C1" w:rsidRPr="005D020B" w:rsidRDefault="005A3B2A" w:rsidP="00186054">
            <w:pPr>
              <w:pStyle w:val="ListParagraph"/>
              <w:numPr>
                <w:ilvl w:val="0"/>
                <w:numId w:val="744"/>
              </w:numPr>
              <w:spacing w:before="120" w:after="120" w:line="240" w:lineRule="auto"/>
              <w:ind w:left="459" w:hanging="459"/>
              <w:contextualSpacing w:val="0"/>
              <w:rPr>
                <w:rFonts w:cs="Arial"/>
                <w:b/>
              </w:rPr>
            </w:pPr>
            <w:r w:rsidRPr="005D020B">
              <w:rPr>
                <w:rFonts w:cs="Arial"/>
                <w:b/>
              </w:rPr>
              <w:t>Penyesuaian</w:t>
            </w:r>
            <w:r w:rsidR="008E0C60">
              <w:rPr>
                <w:rFonts w:cs="Arial"/>
                <w:b/>
              </w:rPr>
              <w:t xml:space="preserve"> Biaya Layanan</w:t>
            </w:r>
          </w:p>
        </w:tc>
      </w:tr>
      <w:tr w:rsidR="006D51C1" w:rsidRPr="00FA0219" w14:paraId="33F24015" w14:textId="77777777" w:rsidTr="002361C9">
        <w:trPr>
          <w:trHeight w:val="413"/>
        </w:trPr>
        <w:tc>
          <w:tcPr>
            <w:tcW w:w="4644" w:type="dxa"/>
          </w:tcPr>
          <w:p w14:paraId="5BDE4F99" w14:textId="7CCB70F5" w:rsidR="006D51C1" w:rsidRPr="005D020B" w:rsidRDefault="007A16EF" w:rsidP="00343F7F">
            <w:pPr>
              <w:spacing w:before="120" w:after="120"/>
              <w:ind w:left="428"/>
              <w:jc w:val="both"/>
              <w:rPr>
                <w:rFonts w:ascii="Arial" w:hAnsi="Arial" w:cs="Arial"/>
                <w:noProof/>
                <w:sz w:val="21"/>
                <w:szCs w:val="21"/>
                <w:lang w:val="hu-HU"/>
              </w:rPr>
            </w:pPr>
            <w:r w:rsidRPr="005D020B">
              <w:rPr>
                <w:rFonts w:ascii="Arial" w:hAnsi="Arial" w:cs="Arial"/>
                <w:sz w:val="21"/>
                <w:szCs w:val="21"/>
              </w:rPr>
              <w:t xml:space="preserve">The following adjustment formula is applied to </w:t>
            </w:r>
            <w:r w:rsidR="008D55A3">
              <w:rPr>
                <w:rFonts w:ascii="Arial" w:hAnsi="Arial" w:cs="Arial"/>
                <w:sz w:val="21"/>
                <w:szCs w:val="21"/>
              </w:rPr>
              <w:t xml:space="preserve">the </w:t>
            </w:r>
            <w:r w:rsidRPr="005D020B">
              <w:rPr>
                <w:rFonts w:ascii="Arial" w:hAnsi="Arial" w:cs="Arial"/>
                <w:sz w:val="21"/>
                <w:szCs w:val="21"/>
              </w:rPr>
              <w:t xml:space="preserve">Service Fee at the end of each </w:t>
            </w:r>
            <w:r w:rsidR="00A47854" w:rsidRPr="005D020B">
              <w:rPr>
                <w:rFonts w:ascii="Arial" w:hAnsi="Arial" w:cs="Arial"/>
                <w:sz w:val="21"/>
                <w:szCs w:val="21"/>
              </w:rPr>
              <w:t>Billing Period</w:t>
            </w:r>
            <w:r w:rsidRPr="005D020B">
              <w:rPr>
                <w:rFonts w:ascii="Arial" w:hAnsi="Arial" w:cs="Arial"/>
                <w:sz w:val="21"/>
                <w:szCs w:val="21"/>
              </w:rPr>
              <w:t>.</w:t>
            </w:r>
            <w:r w:rsidR="002361C9">
              <w:rPr>
                <w:rFonts w:ascii="Arial" w:hAnsi="Arial" w:cs="Arial"/>
                <w:sz w:val="21"/>
                <w:szCs w:val="21"/>
              </w:rPr>
              <w:t xml:space="preserve"> The formula and the nature of the adjustment takes into consideration practices in similar PPP projects in Indonesia</w:t>
            </w:r>
            <w:r w:rsidR="00343F7F">
              <w:rPr>
                <w:rFonts w:ascii="Arial" w:hAnsi="Arial" w:cs="Arial"/>
                <w:sz w:val="21"/>
                <w:szCs w:val="21"/>
              </w:rPr>
              <w:t xml:space="preserve"> which</w:t>
            </w:r>
            <w:r w:rsidR="008D55A3">
              <w:rPr>
                <w:rFonts w:ascii="Arial" w:hAnsi="Arial" w:cs="Arial"/>
                <w:sz w:val="21"/>
                <w:szCs w:val="21"/>
              </w:rPr>
              <w:t xml:space="preserve"> are structured with a</w:t>
            </w:r>
            <w:r w:rsidR="00343F7F">
              <w:rPr>
                <w:rFonts w:ascii="Arial" w:hAnsi="Arial" w:cs="Arial"/>
                <w:sz w:val="21"/>
                <w:szCs w:val="21"/>
              </w:rPr>
              <w:t xml:space="preserve"> </w:t>
            </w:r>
            <w:r w:rsidR="008D55A3">
              <w:rPr>
                <w:rFonts w:ascii="Arial" w:hAnsi="Arial" w:cs="Arial"/>
                <w:sz w:val="21"/>
                <w:szCs w:val="21"/>
              </w:rPr>
              <w:t xml:space="preserve">significant </w:t>
            </w:r>
            <w:r w:rsidR="00343F7F">
              <w:rPr>
                <w:rFonts w:ascii="Arial" w:hAnsi="Arial" w:cs="Arial"/>
                <w:sz w:val="21"/>
                <w:szCs w:val="21"/>
              </w:rPr>
              <w:t>CAPEX portion in USD</w:t>
            </w:r>
            <w:r w:rsidR="002361C9">
              <w:rPr>
                <w:rFonts w:ascii="Arial" w:hAnsi="Arial" w:cs="Arial"/>
                <w:sz w:val="21"/>
                <w:szCs w:val="21"/>
              </w:rPr>
              <w:t xml:space="preserve">, for example </w:t>
            </w:r>
            <w:r w:rsidR="00343F7F">
              <w:rPr>
                <w:rFonts w:ascii="Arial" w:hAnsi="Arial" w:cs="Arial"/>
                <w:sz w:val="21"/>
                <w:szCs w:val="21"/>
              </w:rPr>
              <w:t>in</w:t>
            </w:r>
            <w:r w:rsidR="008D55A3">
              <w:rPr>
                <w:rFonts w:ascii="Arial" w:hAnsi="Arial" w:cs="Arial"/>
                <w:sz w:val="21"/>
                <w:szCs w:val="21"/>
              </w:rPr>
              <w:t xml:space="preserve"> the</w:t>
            </w:r>
            <w:r w:rsidR="00343F7F">
              <w:rPr>
                <w:rFonts w:ascii="Arial" w:hAnsi="Arial" w:cs="Arial"/>
                <w:sz w:val="21"/>
                <w:szCs w:val="21"/>
              </w:rPr>
              <w:t xml:space="preserve"> power generat</w:t>
            </w:r>
            <w:r w:rsidR="008D55A3">
              <w:rPr>
                <w:rFonts w:ascii="Arial" w:hAnsi="Arial" w:cs="Arial"/>
                <w:sz w:val="21"/>
                <w:szCs w:val="21"/>
              </w:rPr>
              <w:t>ion</w:t>
            </w:r>
            <w:r w:rsidR="00343F7F">
              <w:rPr>
                <w:rFonts w:ascii="Arial" w:hAnsi="Arial" w:cs="Arial"/>
                <w:sz w:val="21"/>
                <w:szCs w:val="21"/>
              </w:rPr>
              <w:t xml:space="preserve"> sector</w:t>
            </w:r>
            <w:r w:rsidR="002361C9">
              <w:rPr>
                <w:rFonts w:ascii="Arial" w:hAnsi="Arial" w:cs="Arial"/>
                <w:sz w:val="21"/>
                <w:szCs w:val="21"/>
              </w:rPr>
              <w:t xml:space="preserve">. It is also international best practice used in many other countries for tollroad projects. </w:t>
            </w:r>
          </w:p>
        </w:tc>
        <w:tc>
          <w:tcPr>
            <w:tcW w:w="284" w:type="dxa"/>
          </w:tcPr>
          <w:p w14:paraId="7AA0825C" w14:textId="77777777" w:rsidR="006D51C1" w:rsidRPr="005D020B" w:rsidRDefault="006D51C1" w:rsidP="00186054">
            <w:pPr>
              <w:spacing w:before="120" w:after="120"/>
              <w:ind w:left="428"/>
              <w:jc w:val="both"/>
              <w:rPr>
                <w:rFonts w:ascii="Arial" w:hAnsi="Arial" w:cs="Arial"/>
                <w:sz w:val="21"/>
                <w:szCs w:val="21"/>
              </w:rPr>
            </w:pPr>
          </w:p>
        </w:tc>
        <w:tc>
          <w:tcPr>
            <w:tcW w:w="4425" w:type="dxa"/>
          </w:tcPr>
          <w:p w14:paraId="7AB60532" w14:textId="58E6DEA4" w:rsidR="006D51C1" w:rsidRPr="005D020B" w:rsidRDefault="00D374A8" w:rsidP="00343F7F">
            <w:pPr>
              <w:spacing w:before="120" w:after="120"/>
              <w:ind w:left="459"/>
              <w:jc w:val="both"/>
              <w:rPr>
                <w:rFonts w:ascii="Arial" w:hAnsi="Arial" w:cs="Arial"/>
                <w:bCs/>
                <w:sz w:val="21"/>
                <w:szCs w:val="21"/>
              </w:rPr>
            </w:pPr>
            <w:r w:rsidRPr="005D020B">
              <w:rPr>
                <w:rFonts w:ascii="Arial" w:hAnsi="Arial" w:cs="Arial"/>
                <w:bCs/>
                <w:sz w:val="21"/>
                <w:szCs w:val="21"/>
              </w:rPr>
              <w:t xml:space="preserve">Formula penyesuaian berikut diterapkan pada Biaya Layanan pada akhir setiap </w:t>
            </w:r>
            <w:r w:rsidR="00A47854" w:rsidRPr="005D020B">
              <w:rPr>
                <w:rFonts w:ascii="Arial" w:hAnsi="Arial" w:cs="Arial"/>
                <w:bCs/>
                <w:sz w:val="21"/>
                <w:szCs w:val="21"/>
              </w:rPr>
              <w:t>Periode Penagihan</w:t>
            </w:r>
            <w:r w:rsidR="00343F7F">
              <w:rPr>
                <w:rFonts w:ascii="Arial" w:hAnsi="Arial" w:cs="Arial"/>
                <w:bCs/>
                <w:sz w:val="21"/>
                <w:szCs w:val="21"/>
              </w:rPr>
              <w:t>. Formula dan sifat dari penyesuaian mempertimbangkan prakt</w:t>
            </w:r>
            <w:r w:rsidR="008D55A3">
              <w:rPr>
                <w:rFonts w:ascii="Arial" w:hAnsi="Arial" w:cs="Arial"/>
                <w:bCs/>
                <w:sz w:val="21"/>
                <w:szCs w:val="21"/>
              </w:rPr>
              <w:t>i</w:t>
            </w:r>
            <w:r w:rsidR="00343F7F">
              <w:rPr>
                <w:rFonts w:ascii="Arial" w:hAnsi="Arial" w:cs="Arial"/>
                <w:bCs/>
                <w:sz w:val="21"/>
                <w:szCs w:val="21"/>
              </w:rPr>
              <w:t xml:space="preserve">k pada proyek KPBU sejenis di Indonesia </w:t>
            </w:r>
            <w:r w:rsidR="008D55A3">
              <w:rPr>
                <w:rFonts w:ascii="Arial" w:hAnsi="Arial" w:cs="Arial"/>
                <w:bCs/>
                <w:sz w:val="21"/>
                <w:szCs w:val="21"/>
              </w:rPr>
              <w:t>dengan struktur</w:t>
            </w:r>
            <w:r w:rsidR="00343F7F">
              <w:rPr>
                <w:rFonts w:ascii="Arial" w:hAnsi="Arial" w:cs="Arial"/>
                <w:bCs/>
                <w:sz w:val="21"/>
                <w:szCs w:val="21"/>
              </w:rPr>
              <w:t xml:space="preserve"> jumlah porsi CAPEX yang besar dalam USD, seperti di sektor </w:t>
            </w:r>
            <w:r w:rsidR="008D55A3">
              <w:rPr>
                <w:rFonts w:ascii="Arial" w:hAnsi="Arial" w:cs="Arial"/>
                <w:bCs/>
                <w:sz w:val="21"/>
                <w:szCs w:val="21"/>
              </w:rPr>
              <w:t xml:space="preserve">pembangkitan </w:t>
            </w:r>
            <w:r w:rsidR="00343F7F">
              <w:rPr>
                <w:rFonts w:ascii="Arial" w:hAnsi="Arial" w:cs="Arial"/>
                <w:bCs/>
                <w:sz w:val="21"/>
                <w:szCs w:val="21"/>
              </w:rPr>
              <w:t>tenaga listrik. Hal ini juga merupakan prakt</w:t>
            </w:r>
            <w:r w:rsidR="008D55A3">
              <w:rPr>
                <w:rFonts w:ascii="Arial" w:hAnsi="Arial" w:cs="Arial"/>
                <w:bCs/>
                <w:sz w:val="21"/>
                <w:szCs w:val="21"/>
              </w:rPr>
              <w:t>i</w:t>
            </w:r>
            <w:r w:rsidR="00343F7F">
              <w:rPr>
                <w:rFonts w:ascii="Arial" w:hAnsi="Arial" w:cs="Arial"/>
                <w:bCs/>
                <w:sz w:val="21"/>
                <w:szCs w:val="21"/>
              </w:rPr>
              <w:t>k terbaik internasional yang digunakan di beberapa negara untuk proyek jalan tol.</w:t>
            </w:r>
          </w:p>
        </w:tc>
      </w:tr>
      <w:tr w:rsidR="007A16EF" w:rsidRPr="00FA0219" w14:paraId="6A19EDD2" w14:textId="77777777" w:rsidTr="00291AD9">
        <w:tc>
          <w:tcPr>
            <w:tcW w:w="4644" w:type="dxa"/>
          </w:tcPr>
          <w:p w14:paraId="1DDE37E0" w14:textId="046E77AC" w:rsidR="007A16EF" w:rsidRPr="00D374A8" w:rsidDel="005A3B2A" w:rsidRDefault="007A16EF" w:rsidP="00186054">
            <w:pPr>
              <w:spacing w:before="120" w:after="120"/>
              <w:ind w:left="428"/>
              <w:jc w:val="both"/>
              <w:rPr>
                <w:rStyle w:val="CommentReference"/>
                <w:rFonts w:ascii="Arial" w:hAnsi="Arial" w:cs="Arial"/>
                <w:noProof/>
                <w:sz w:val="21"/>
                <w:szCs w:val="21"/>
                <w:lang w:val="hu-HU"/>
              </w:rPr>
            </w:pPr>
            <w:r w:rsidRPr="005D020B">
              <w:rPr>
                <w:rFonts w:ascii="Arial" w:hAnsi="Arial" w:cs="Arial"/>
                <w:sz w:val="21"/>
                <w:szCs w:val="21"/>
              </w:rPr>
              <w:t>Total Service Fee in month m in year t is calculated as follows:</w:t>
            </w:r>
          </w:p>
        </w:tc>
        <w:tc>
          <w:tcPr>
            <w:tcW w:w="284" w:type="dxa"/>
          </w:tcPr>
          <w:p w14:paraId="711244CB" w14:textId="77777777" w:rsidR="007A16EF" w:rsidRPr="007A16EF" w:rsidRDefault="007A16EF" w:rsidP="00186054">
            <w:pPr>
              <w:spacing w:before="120" w:after="120"/>
              <w:ind w:left="428"/>
              <w:jc w:val="both"/>
              <w:rPr>
                <w:rFonts w:ascii="Arial" w:hAnsi="Arial" w:cs="Arial"/>
                <w:sz w:val="21"/>
                <w:szCs w:val="21"/>
              </w:rPr>
            </w:pPr>
          </w:p>
        </w:tc>
        <w:tc>
          <w:tcPr>
            <w:tcW w:w="4425" w:type="dxa"/>
          </w:tcPr>
          <w:p w14:paraId="64E61754" w14:textId="6E7CC9AB" w:rsidR="007A16EF" w:rsidRPr="005D020B" w:rsidRDefault="00D374A8" w:rsidP="00186054">
            <w:pPr>
              <w:spacing w:before="120" w:after="120"/>
              <w:ind w:left="459"/>
              <w:jc w:val="both"/>
              <w:rPr>
                <w:rFonts w:ascii="Arial" w:hAnsi="Arial" w:cs="Arial"/>
                <w:bCs/>
                <w:sz w:val="21"/>
                <w:szCs w:val="21"/>
              </w:rPr>
            </w:pPr>
            <w:r w:rsidRPr="005D020B">
              <w:rPr>
                <w:rFonts w:ascii="Arial" w:hAnsi="Arial" w:cs="Arial"/>
                <w:bCs/>
                <w:sz w:val="21"/>
                <w:szCs w:val="21"/>
              </w:rPr>
              <w:t>Total Biaya Layanan dalam bulan m pada tahun t dihitung sebagai berikut:</w:t>
            </w:r>
          </w:p>
        </w:tc>
      </w:tr>
      <w:tr w:rsidR="00186054" w:rsidRPr="00FA0219" w14:paraId="3BA5D2F4" w14:textId="77777777" w:rsidTr="00291AD9">
        <w:tc>
          <w:tcPr>
            <w:tcW w:w="9353" w:type="dxa"/>
            <w:gridSpan w:val="3"/>
          </w:tcPr>
          <w:p w14:paraId="32CE9E90" w14:textId="64428BE5" w:rsidR="00186054" w:rsidRPr="007A16EF" w:rsidRDefault="00186054" w:rsidP="008E0C60">
            <w:pPr>
              <w:spacing w:before="120" w:after="120"/>
              <w:ind w:left="459"/>
              <w:jc w:val="center"/>
              <w:rPr>
                <w:rFonts w:ascii="Arial" w:hAnsi="Arial" w:cs="Arial"/>
                <w:sz w:val="21"/>
                <w:szCs w:val="21"/>
              </w:rPr>
            </w:pPr>
            <w:r w:rsidRPr="00D374A8">
              <w:rPr>
                <w:rFonts w:ascii="Arial" w:hAnsi="Arial" w:cs="Arial"/>
                <w:b/>
                <w:i/>
                <w:noProof/>
                <w:sz w:val="21"/>
                <w:szCs w:val="21"/>
                <w:lang w:val="hu-HU"/>
              </w:rPr>
              <w:t>SF</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SF</w:t>
            </w:r>
            <w:r w:rsidRPr="00D374A8">
              <w:rPr>
                <w:rFonts w:ascii="Arial" w:hAnsi="Arial" w:cs="Arial"/>
                <w:b/>
                <w:i/>
                <w:noProof/>
                <w:sz w:val="21"/>
                <w:szCs w:val="21"/>
                <w:vertAlign w:val="subscript"/>
                <w:lang w:val="hu-HU"/>
              </w:rPr>
              <w:t>b</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mt</w:t>
            </w:r>
          </w:p>
        </w:tc>
      </w:tr>
      <w:tr w:rsidR="007A16EF" w:rsidRPr="00FA0219" w14:paraId="0C87CEEA" w14:textId="77777777" w:rsidTr="00291AD9">
        <w:tc>
          <w:tcPr>
            <w:tcW w:w="4644" w:type="dxa"/>
          </w:tcPr>
          <w:p w14:paraId="6164BDA2" w14:textId="3665094B" w:rsidR="007A16EF" w:rsidRPr="00D374A8" w:rsidRDefault="007A16EF" w:rsidP="008E0C60">
            <w:pPr>
              <w:pStyle w:val="MarginText"/>
              <w:spacing w:before="120" w:after="120" w:line="240" w:lineRule="auto"/>
              <w:ind w:left="426"/>
              <w:rPr>
                <w:rFonts w:ascii="Arial" w:hAnsi="Arial" w:cs="Arial"/>
                <w:i/>
                <w:noProof/>
                <w:sz w:val="21"/>
                <w:szCs w:val="21"/>
                <w:lang w:val="hu-HU"/>
              </w:rPr>
            </w:pPr>
            <w:r w:rsidRPr="00D374A8">
              <w:rPr>
                <w:rFonts w:ascii="Arial" w:hAnsi="Arial" w:cs="Arial"/>
                <w:i/>
                <w:noProof/>
                <w:sz w:val="21"/>
                <w:szCs w:val="21"/>
                <w:lang w:val="hu-HU"/>
              </w:rPr>
              <w:t>where:</w:t>
            </w:r>
          </w:p>
        </w:tc>
        <w:tc>
          <w:tcPr>
            <w:tcW w:w="284" w:type="dxa"/>
          </w:tcPr>
          <w:p w14:paraId="70CBD29B"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565B6D95" w14:textId="58AEA9C1" w:rsidR="007A16EF" w:rsidRPr="00D374A8" w:rsidRDefault="00D374A8" w:rsidP="008E0C60">
            <w:pPr>
              <w:spacing w:before="120" w:after="120"/>
              <w:ind w:left="459"/>
              <w:jc w:val="both"/>
              <w:rPr>
                <w:rFonts w:ascii="Arial" w:hAnsi="Arial" w:cs="Arial"/>
                <w:i/>
                <w:iCs/>
                <w:sz w:val="21"/>
                <w:szCs w:val="21"/>
              </w:rPr>
            </w:pPr>
            <w:r>
              <w:rPr>
                <w:rFonts w:ascii="Arial" w:hAnsi="Arial" w:cs="Arial"/>
                <w:i/>
                <w:iCs/>
                <w:sz w:val="21"/>
                <w:szCs w:val="21"/>
              </w:rPr>
              <w:t>dimana:</w:t>
            </w:r>
          </w:p>
        </w:tc>
      </w:tr>
      <w:tr w:rsidR="00186054" w:rsidRPr="00FA0219" w14:paraId="0FF7A19A" w14:textId="77777777" w:rsidTr="00291AD9">
        <w:tc>
          <w:tcPr>
            <w:tcW w:w="9353" w:type="dxa"/>
            <w:gridSpan w:val="3"/>
          </w:tcPr>
          <w:p w14:paraId="2C2E86D7" w14:textId="3D2EAC9C" w:rsidR="00186054" w:rsidRPr="007A16EF" w:rsidRDefault="00186054" w:rsidP="008E0C60">
            <w:pPr>
              <w:spacing w:before="120" w:after="120"/>
              <w:ind w:left="459"/>
              <w:jc w:val="center"/>
              <w:rPr>
                <w:rFonts w:ascii="Arial" w:hAnsi="Arial" w:cs="Arial"/>
                <w:sz w:val="21"/>
                <w:szCs w:val="21"/>
              </w:rPr>
            </w:pPr>
            <w:r w:rsidRPr="00D374A8">
              <w:rPr>
                <w:rFonts w:ascii="Arial" w:hAnsi="Arial" w:cs="Arial"/>
                <w:b/>
                <w:i/>
                <w:noProof/>
                <w:sz w:val="21"/>
                <w:szCs w:val="21"/>
                <w:lang w:val="hu-HU"/>
              </w:rPr>
              <w:t>SF</w:t>
            </w:r>
            <w:r w:rsidRPr="00D374A8">
              <w:rPr>
                <w:rFonts w:ascii="Arial" w:hAnsi="Arial" w:cs="Arial"/>
                <w:b/>
                <w:i/>
                <w:noProof/>
                <w:sz w:val="21"/>
                <w:szCs w:val="21"/>
                <w:vertAlign w:val="subscript"/>
                <w:lang w:val="hu-HU"/>
              </w:rPr>
              <w:t xml:space="preserve">b </w:t>
            </w:r>
            <w:r w:rsidRPr="00D374A8">
              <w:rPr>
                <w:rFonts w:ascii="Arial" w:hAnsi="Arial" w:cs="Arial"/>
                <w:b/>
                <w:i/>
                <w:noProof/>
                <w:sz w:val="21"/>
                <w:szCs w:val="21"/>
                <w:lang w:val="hu-HU"/>
              </w:rPr>
              <w:t xml:space="preserve">= LSF + </w:t>
            </w:r>
            <w:r>
              <w:rPr>
                <w:b/>
                <w:i/>
                <w:noProof/>
                <w:sz w:val="24"/>
                <w:szCs w:val="24"/>
                <w:lang w:val="hu-HU"/>
              </w:rPr>
              <w:t>TLB</w:t>
            </w:r>
            <w:r w:rsidRPr="00D63EA6">
              <w:rPr>
                <w:b/>
                <w:i/>
                <w:noProof/>
                <w:sz w:val="24"/>
                <w:szCs w:val="24"/>
                <w:lang w:val="hu-HU"/>
              </w:rPr>
              <w:t>SF</w:t>
            </w:r>
            <w:r w:rsidRPr="00D374A8">
              <w:rPr>
                <w:rFonts w:ascii="Arial" w:hAnsi="Arial" w:cs="Arial"/>
                <w:b/>
                <w:i/>
                <w:noProof/>
                <w:sz w:val="21"/>
                <w:szCs w:val="21"/>
                <w:lang w:val="hu-HU"/>
              </w:rPr>
              <w:t xml:space="preserve"> x L</w:t>
            </w:r>
          </w:p>
        </w:tc>
      </w:tr>
      <w:tr w:rsidR="007A16EF" w:rsidRPr="00FA0219" w14:paraId="18B21F7B" w14:textId="77777777" w:rsidTr="00291AD9">
        <w:tc>
          <w:tcPr>
            <w:tcW w:w="4644" w:type="dxa"/>
          </w:tcPr>
          <w:p w14:paraId="029DA8D4" w14:textId="787E4C57" w:rsidR="007A16EF" w:rsidRPr="00D374A8" w:rsidRDefault="007A16EF" w:rsidP="008E0C60">
            <w:pPr>
              <w:pStyle w:val="MarginText"/>
              <w:spacing w:before="120" w:after="120" w:line="240" w:lineRule="auto"/>
              <w:ind w:left="1134"/>
              <w:rPr>
                <w:rFonts w:ascii="Arial" w:hAnsi="Arial" w:cs="Arial"/>
                <w:noProof/>
                <w:sz w:val="21"/>
                <w:szCs w:val="21"/>
                <w:lang w:val="hu-HU"/>
              </w:rPr>
            </w:pPr>
            <w:r w:rsidRPr="00D374A8">
              <w:rPr>
                <w:rFonts w:ascii="Arial" w:hAnsi="Arial" w:cs="Arial"/>
                <w:noProof/>
                <w:sz w:val="21"/>
                <w:szCs w:val="21"/>
                <w:lang w:val="hu-HU"/>
              </w:rPr>
              <w:t>where:</w:t>
            </w:r>
          </w:p>
        </w:tc>
        <w:tc>
          <w:tcPr>
            <w:tcW w:w="284" w:type="dxa"/>
          </w:tcPr>
          <w:p w14:paraId="756286EF"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5FDF6853" w14:textId="0EAB3F1A" w:rsidR="007A16EF" w:rsidRPr="007A16EF" w:rsidRDefault="00D374A8" w:rsidP="008E0C60">
            <w:pPr>
              <w:spacing w:before="120" w:after="120"/>
              <w:ind w:left="1309"/>
              <w:jc w:val="both"/>
              <w:rPr>
                <w:rFonts w:ascii="Arial" w:hAnsi="Arial" w:cs="Arial"/>
                <w:sz w:val="21"/>
                <w:szCs w:val="21"/>
              </w:rPr>
            </w:pPr>
            <w:r>
              <w:rPr>
                <w:rFonts w:ascii="Arial" w:hAnsi="Arial" w:cs="Arial"/>
                <w:sz w:val="21"/>
                <w:szCs w:val="21"/>
              </w:rPr>
              <w:t>dimana</w:t>
            </w:r>
            <w:r w:rsidR="008E0C60">
              <w:rPr>
                <w:rFonts w:ascii="Arial" w:hAnsi="Arial" w:cs="Arial"/>
                <w:sz w:val="21"/>
                <w:szCs w:val="21"/>
              </w:rPr>
              <w:t>:</w:t>
            </w:r>
          </w:p>
        </w:tc>
      </w:tr>
      <w:tr w:rsidR="007A16EF" w:rsidRPr="00FA0219" w14:paraId="3B569092" w14:textId="77777777" w:rsidTr="00291AD9">
        <w:tc>
          <w:tcPr>
            <w:tcW w:w="4644" w:type="dxa"/>
          </w:tcPr>
          <w:p w14:paraId="6849A50B" w14:textId="0DEBB2FB" w:rsidR="007A16EF" w:rsidRPr="00D374A8" w:rsidRDefault="007A16EF" w:rsidP="008E0C60">
            <w:pPr>
              <w:spacing w:before="120" w:after="120"/>
              <w:ind w:left="1134"/>
              <w:jc w:val="both"/>
              <w:rPr>
                <w:rFonts w:ascii="Arial" w:hAnsi="Arial" w:cs="Arial"/>
                <w:sz w:val="21"/>
                <w:szCs w:val="21"/>
              </w:rPr>
            </w:pPr>
            <w:r w:rsidRPr="00D374A8">
              <w:rPr>
                <w:rFonts w:ascii="Arial" w:hAnsi="Arial" w:cs="Arial"/>
                <w:b/>
                <w:i/>
                <w:sz w:val="21"/>
                <w:szCs w:val="21"/>
              </w:rPr>
              <w:t>LSF</w:t>
            </w:r>
            <w:r w:rsidRPr="00D374A8">
              <w:rPr>
                <w:rFonts w:ascii="Arial" w:hAnsi="Arial" w:cs="Arial"/>
                <w:sz w:val="21"/>
                <w:szCs w:val="21"/>
              </w:rPr>
              <w:t xml:space="preserve"> = Lump Sum Service Fee at 2019 prices as proposed by the </w:t>
            </w:r>
            <w:r w:rsidR="005C68AB">
              <w:rPr>
                <w:rFonts w:ascii="Arial" w:hAnsi="Arial" w:cs="Arial"/>
                <w:sz w:val="21"/>
                <w:szCs w:val="21"/>
              </w:rPr>
              <w:t>Tender Winner</w:t>
            </w:r>
            <w:r w:rsidR="00186054">
              <w:rPr>
                <w:rFonts w:ascii="Arial" w:hAnsi="Arial" w:cs="Arial"/>
                <w:sz w:val="21"/>
                <w:szCs w:val="21"/>
              </w:rPr>
              <w:t>;</w:t>
            </w:r>
          </w:p>
          <w:p w14:paraId="43064B27" w14:textId="79AC7677" w:rsidR="007A16EF" w:rsidRPr="00D374A8" w:rsidRDefault="007A16EF" w:rsidP="008E0C60">
            <w:pPr>
              <w:spacing w:before="120" w:after="120"/>
              <w:ind w:left="1134"/>
              <w:rPr>
                <w:rFonts w:ascii="Arial" w:hAnsi="Arial" w:cs="Arial"/>
                <w:sz w:val="21"/>
                <w:szCs w:val="21"/>
              </w:rPr>
            </w:pPr>
          </w:p>
        </w:tc>
        <w:tc>
          <w:tcPr>
            <w:tcW w:w="284" w:type="dxa"/>
          </w:tcPr>
          <w:p w14:paraId="637DF19B"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71AAAA5C" w14:textId="31977523" w:rsidR="00D374A8" w:rsidRPr="007A16EF" w:rsidRDefault="00D374A8" w:rsidP="008E0C60">
            <w:pPr>
              <w:spacing w:before="120" w:after="120"/>
              <w:ind w:left="1309"/>
              <w:jc w:val="both"/>
              <w:rPr>
                <w:rFonts w:ascii="Arial" w:hAnsi="Arial" w:cs="Arial"/>
                <w:sz w:val="21"/>
                <w:szCs w:val="21"/>
              </w:rPr>
            </w:pPr>
            <w:r w:rsidRPr="00D374A8">
              <w:rPr>
                <w:rFonts w:ascii="Arial" w:hAnsi="Arial" w:cs="Arial"/>
                <w:b/>
                <w:i/>
                <w:sz w:val="21"/>
                <w:szCs w:val="21"/>
              </w:rPr>
              <w:t>LSF</w:t>
            </w:r>
            <w:r w:rsidRPr="00D374A8">
              <w:rPr>
                <w:rFonts w:ascii="Arial" w:hAnsi="Arial" w:cs="Arial"/>
                <w:sz w:val="21"/>
                <w:szCs w:val="21"/>
              </w:rPr>
              <w:t xml:space="preserve"> = </w:t>
            </w:r>
            <w:r>
              <w:rPr>
                <w:rFonts w:ascii="Arial" w:hAnsi="Arial" w:cs="Arial"/>
                <w:sz w:val="21"/>
                <w:szCs w:val="21"/>
              </w:rPr>
              <w:t xml:space="preserve">Biaya Layanan pada harga di  2019 sebagaimana diusulkan oleh </w:t>
            </w:r>
            <w:r w:rsidR="004370BE">
              <w:rPr>
                <w:rFonts w:ascii="Arial" w:hAnsi="Arial" w:cs="Arial"/>
                <w:sz w:val="21"/>
                <w:szCs w:val="21"/>
              </w:rPr>
              <w:t>Pemenang Lelang</w:t>
            </w:r>
            <w:r w:rsidR="00186054">
              <w:rPr>
                <w:rFonts w:ascii="Arial" w:hAnsi="Arial" w:cs="Arial"/>
                <w:sz w:val="21"/>
                <w:szCs w:val="21"/>
              </w:rPr>
              <w:t>;</w:t>
            </w:r>
            <w:r>
              <w:rPr>
                <w:rFonts w:ascii="Arial" w:hAnsi="Arial" w:cs="Arial"/>
                <w:sz w:val="21"/>
                <w:szCs w:val="21"/>
              </w:rPr>
              <w:t xml:space="preserve"> </w:t>
            </w:r>
          </w:p>
        </w:tc>
      </w:tr>
      <w:tr w:rsidR="007A16EF" w:rsidRPr="00FA0219" w14:paraId="1B45FD05" w14:textId="77777777" w:rsidTr="00291AD9">
        <w:tc>
          <w:tcPr>
            <w:tcW w:w="4644" w:type="dxa"/>
          </w:tcPr>
          <w:p w14:paraId="0153B7E2" w14:textId="263DFF88" w:rsidR="007A16EF" w:rsidRPr="00D374A8" w:rsidRDefault="007A16EF" w:rsidP="008E0C60">
            <w:pPr>
              <w:spacing w:before="120" w:after="120"/>
              <w:ind w:left="1134"/>
              <w:jc w:val="both"/>
              <w:rPr>
                <w:rFonts w:ascii="Arial" w:hAnsi="Arial" w:cs="Arial"/>
                <w:sz w:val="21"/>
                <w:szCs w:val="21"/>
              </w:rPr>
            </w:pPr>
            <w:r w:rsidRPr="00D374A8">
              <w:rPr>
                <w:rFonts w:ascii="Arial" w:hAnsi="Arial" w:cs="Arial"/>
                <w:b/>
                <w:i/>
                <w:sz w:val="21"/>
                <w:szCs w:val="21"/>
              </w:rPr>
              <w:t>TLBSF</w:t>
            </w:r>
            <w:r w:rsidRPr="00D374A8">
              <w:rPr>
                <w:rFonts w:ascii="Arial" w:hAnsi="Arial" w:cs="Arial"/>
                <w:sz w:val="21"/>
                <w:szCs w:val="21"/>
              </w:rPr>
              <w:t xml:space="preserve"> = Tolled Lane Based Service Fee at 2019 prices as proposed by the </w:t>
            </w:r>
            <w:r w:rsidR="005C68AB">
              <w:rPr>
                <w:rFonts w:ascii="Arial" w:hAnsi="Arial" w:cs="Arial"/>
                <w:sz w:val="21"/>
                <w:szCs w:val="21"/>
              </w:rPr>
              <w:t>Tender Winner</w:t>
            </w:r>
            <w:r w:rsidR="00186054">
              <w:rPr>
                <w:rFonts w:ascii="Arial" w:hAnsi="Arial" w:cs="Arial"/>
                <w:sz w:val="21"/>
                <w:szCs w:val="21"/>
              </w:rPr>
              <w:t>;</w:t>
            </w:r>
          </w:p>
          <w:p w14:paraId="60ED99DF" w14:textId="772FD6E3" w:rsidR="007A16EF" w:rsidRPr="00D374A8" w:rsidRDefault="007A16EF" w:rsidP="008E0C60">
            <w:pPr>
              <w:spacing w:before="120" w:after="120"/>
              <w:ind w:left="1134"/>
              <w:rPr>
                <w:rFonts w:ascii="Arial" w:hAnsi="Arial" w:cs="Arial"/>
                <w:sz w:val="21"/>
                <w:szCs w:val="21"/>
                <w:lang w:val="en-GB"/>
              </w:rPr>
            </w:pPr>
          </w:p>
        </w:tc>
        <w:tc>
          <w:tcPr>
            <w:tcW w:w="284" w:type="dxa"/>
          </w:tcPr>
          <w:p w14:paraId="1634EBB0"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07427317" w14:textId="149BC4F3" w:rsidR="007A16EF" w:rsidRPr="007A16EF" w:rsidRDefault="00D374A8" w:rsidP="00291AD9">
            <w:pPr>
              <w:spacing w:before="120" w:after="120"/>
              <w:ind w:left="1309"/>
              <w:jc w:val="both"/>
              <w:rPr>
                <w:rFonts w:ascii="Arial" w:hAnsi="Arial" w:cs="Arial"/>
                <w:sz w:val="21"/>
                <w:szCs w:val="21"/>
              </w:rPr>
            </w:pPr>
            <w:r w:rsidRPr="00D374A8">
              <w:rPr>
                <w:rFonts w:ascii="Arial" w:hAnsi="Arial" w:cs="Arial"/>
                <w:b/>
                <w:i/>
                <w:sz w:val="21"/>
                <w:szCs w:val="21"/>
              </w:rPr>
              <w:t>TLBSF</w:t>
            </w:r>
            <w:r w:rsidRPr="00D374A8">
              <w:rPr>
                <w:rFonts w:ascii="Arial" w:hAnsi="Arial" w:cs="Arial"/>
                <w:sz w:val="21"/>
                <w:szCs w:val="21"/>
              </w:rPr>
              <w:t xml:space="preserve"> = </w:t>
            </w:r>
            <w:r>
              <w:rPr>
                <w:rFonts w:ascii="Arial" w:hAnsi="Arial" w:cs="Arial"/>
                <w:sz w:val="21"/>
                <w:szCs w:val="21"/>
              </w:rPr>
              <w:t>Biaya Layanan Berdasarkan Jalur Tol pada harga di</w:t>
            </w:r>
            <w:r w:rsidRPr="00D374A8">
              <w:rPr>
                <w:rFonts w:ascii="Arial" w:hAnsi="Arial" w:cs="Arial"/>
                <w:sz w:val="21"/>
                <w:szCs w:val="21"/>
              </w:rPr>
              <w:t xml:space="preserve"> 2019 </w:t>
            </w:r>
            <w:r>
              <w:rPr>
                <w:rFonts w:ascii="Arial" w:hAnsi="Arial" w:cs="Arial"/>
                <w:sz w:val="21"/>
                <w:szCs w:val="21"/>
              </w:rPr>
              <w:t xml:space="preserve">sebagaimana diusulkan oleh </w:t>
            </w:r>
            <w:r w:rsidR="004370BE">
              <w:rPr>
                <w:rFonts w:ascii="Arial" w:hAnsi="Arial" w:cs="Arial"/>
                <w:sz w:val="21"/>
                <w:szCs w:val="21"/>
              </w:rPr>
              <w:t>Pemenang Lelang</w:t>
            </w:r>
            <w:r w:rsidR="00186054">
              <w:rPr>
                <w:rFonts w:ascii="Arial" w:hAnsi="Arial" w:cs="Arial"/>
                <w:sz w:val="21"/>
                <w:szCs w:val="21"/>
              </w:rPr>
              <w:t>;</w:t>
            </w:r>
          </w:p>
        </w:tc>
      </w:tr>
      <w:tr w:rsidR="007A16EF" w:rsidRPr="00FA0219" w14:paraId="75C2A728" w14:textId="77777777" w:rsidTr="00291AD9">
        <w:tc>
          <w:tcPr>
            <w:tcW w:w="4644" w:type="dxa"/>
          </w:tcPr>
          <w:p w14:paraId="3F64F111" w14:textId="6F850375" w:rsidR="007A16EF" w:rsidRPr="00D374A8" w:rsidRDefault="007A16EF" w:rsidP="008E0C60">
            <w:pPr>
              <w:spacing w:before="120" w:after="120"/>
              <w:ind w:left="1134"/>
              <w:rPr>
                <w:rFonts w:ascii="Arial" w:hAnsi="Arial" w:cs="Arial"/>
                <w:b/>
                <w:i/>
                <w:sz w:val="21"/>
                <w:szCs w:val="21"/>
              </w:rPr>
            </w:pPr>
            <w:r w:rsidRPr="00D374A8">
              <w:rPr>
                <w:rFonts w:ascii="Arial" w:hAnsi="Arial" w:cs="Arial"/>
                <w:b/>
                <w:i/>
                <w:sz w:val="21"/>
                <w:szCs w:val="21"/>
              </w:rPr>
              <w:t>L</w:t>
            </w:r>
            <w:r w:rsidRPr="00D374A8">
              <w:rPr>
                <w:rFonts w:ascii="Arial" w:hAnsi="Arial" w:cs="Arial"/>
                <w:sz w:val="21"/>
                <w:szCs w:val="21"/>
              </w:rPr>
              <w:t xml:space="preserve"> = number of additional lanes not covered in </w:t>
            </w:r>
            <w:r w:rsidRPr="00D374A8">
              <w:rPr>
                <w:rFonts w:ascii="Arial" w:hAnsi="Arial" w:cs="Arial"/>
                <w:b/>
                <w:i/>
                <w:sz w:val="21"/>
                <w:szCs w:val="21"/>
              </w:rPr>
              <w:t>LSF</w:t>
            </w:r>
            <w:r w:rsidR="00186054" w:rsidRPr="00186054">
              <w:rPr>
                <w:rFonts w:ascii="Arial" w:hAnsi="Arial" w:cs="Arial"/>
                <w:i/>
                <w:sz w:val="21"/>
                <w:szCs w:val="21"/>
              </w:rPr>
              <w:t>;</w:t>
            </w:r>
          </w:p>
          <w:p w14:paraId="1B8A134C" w14:textId="06BA97F9" w:rsidR="007A16EF" w:rsidRPr="00D374A8" w:rsidRDefault="007A16EF" w:rsidP="008E0C60">
            <w:pPr>
              <w:spacing w:before="120" w:after="120"/>
              <w:ind w:left="1134"/>
              <w:rPr>
                <w:rFonts w:ascii="Arial" w:hAnsi="Arial" w:cs="Arial"/>
                <w:b/>
                <w:i/>
                <w:sz w:val="21"/>
                <w:szCs w:val="21"/>
              </w:rPr>
            </w:pPr>
          </w:p>
        </w:tc>
        <w:tc>
          <w:tcPr>
            <w:tcW w:w="284" w:type="dxa"/>
          </w:tcPr>
          <w:p w14:paraId="1B131611"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46423A48" w14:textId="2B8F055E" w:rsidR="007A16EF" w:rsidRPr="00D374A8" w:rsidRDefault="00D374A8" w:rsidP="008E0C60">
            <w:pPr>
              <w:spacing w:before="120" w:after="120"/>
              <w:ind w:left="1309"/>
              <w:jc w:val="both"/>
              <w:rPr>
                <w:rFonts w:ascii="Arial" w:hAnsi="Arial" w:cs="Arial"/>
                <w:b/>
                <w:i/>
                <w:sz w:val="21"/>
                <w:szCs w:val="21"/>
              </w:rPr>
            </w:pPr>
            <w:r w:rsidRPr="00D374A8">
              <w:rPr>
                <w:rFonts w:ascii="Arial" w:hAnsi="Arial" w:cs="Arial"/>
                <w:b/>
                <w:i/>
                <w:sz w:val="21"/>
                <w:szCs w:val="21"/>
              </w:rPr>
              <w:t>L</w:t>
            </w:r>
            <w:r w:rsidRPr="00D374A8">
              <w:rPr>
                <w:rFonts w:ascii="Arial" w:hAnsi="Arial" w:cs="Arial"/>
                <w:sz w:val="21"/>
                <w:szCs w:val="21"/>
              </w:rPr>
              <w:t xml:space="preserve"> = </w:t>
            </w:r>
            <w:r>
              <w:rPr>
                <w:rFonts w:ascii="Arial" w:hAnsi="Arial" w:cs="Arial"/>
                <w:sz w:val="21"/>
                <w:szCs w:val="21"/>
              </w:rPr>
              <w:t>nomor jalur tamb</w:t>
            </w:r>
            <w:r w:rsidR="00C8744C">
              <w:rPr>
                <w:rFonts w:ascii="Arial" w:hAnsi="Arial" w:cs="Arial"/>
                <w:sz w:val="21"/>
                <w:szCs w:val="21"/>
              </w:rPr>
              <w:t>ahan</w:t>
            </w:r>
            <w:r>
              <w:rPr>
                <w:rFonts w:ascii="Arial" w:hAnsi="Arial" w:cs="Arial"/>
                <w:sz w:val="21"/>
                <w:szCs w:val="21"/>
              </w:rPr>
              <w:t xml:space="preserve"> yang tidak </w:t>
            </w:r>
            <w:r w:rsidR="00B609F1">
              <w:rPr>
                <w:rFonts w:ascii="Arial" w:hAnsi="Arial" w:cs="Arial"/>
                <w:sz w:val="21"/>
                <w:szCs w:val="21"/>
              </w:rPr>
              <w:t xml:space="preserve">termasuk </w:t>
            </w:r>
            <w:r>
              <w:rPr>
                <w:rFonts w:ascii="Arial" w:hAnsi="Arial" w:cs="Arial"/>
                <w:sz w:val="21"/>
                <w:szCs w:val="21"/>
              </w:rPr>
              <w:t xml:space="preserve">dalam </w:t>
            </w:r>
            <w:r w:rsidRPr="00D374A8">
              <w:rPr>
                <w:rFonts w:ascii="Arial" w:hAnsi="Arial" w:cs="Arial"/>
                <w:b/>
                <w:i/>
                <w:sz w:val="21"/>
                <w:szCs w:val="21"/>
              </w:rPr>
              <w:t>LSF</w:t>
            </w:r>
            <w:r w:rsidR="00186054" w:rsidRPr="00186054">
              <w:rPr>
                <w:rFonts w:ascii="Arial" w:hAnsi="Arial" w:cs="Arial"/>
                <w:i/>
                <w:sz w:val="21"/>
                <w:szCs w:val="21"/>
              </w:rPr>
              <w:t>;</w:t>
            </w:r>
          </w:p>
        </w:tc>
      </w:tr>
      <w:tr w:rsidR="00186054" w:rsidRPr="00FA0219" w14:paraId="61730D8C" w14:textId="77777777" w:rsidTr="00291AD9">
        <w:tc>
          <w:tcPr>
            <w:tcW w:w="9353" w:type="dxa"/>
            <w:gridSpan w:val="3"/>
          </w:tcPr>
          <w:p w14:paraId="6F245F90" w14:textId="20BD3FE4" w:rsidR="00186054" w:rsidRPr="00186054" w:rsidRDefault="00186054" w:rsidP="008E0C60">
            <w:pPr>
              <w:pStyle w:val="MarginText"/>
              <w:spacing w:before="120" w:after="120" w:line="240" w:lineRule="auto"/>
              <w:ind w:left="426"/>
              <w:jc w:val="center"/>
              <w:rPr>
                <w:rFonts w:ascii="Arial" w:hAnsi="Arial" w:cs="Arial"/>
                <w:b/>
                <w:i/>
                <w:noProof/>
                <w:sz w:val="21"/>
                <w:szCs w:val="21"/>
                <w:vertAlign w:val="subscript"/>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mt </w:t>
            </w:r>
            <w:r w:rsidRPr="00D374A8">
              <w:rPr>
                <w:rFonts w:ascii="Arial" w:hAnsi="Arial" w:cs="Arial"/>
                <w:b/>
                <w:i/>
                <w:noProof/>
                <w:sz w:val="21"/>
                <w:szCs w:val="21"/>
                <w:lang w:val="hu-HU"/>
              </w:rPr>
              <w:t>= w</w:t>
            </w:r>
            <w:r w:rsidRPr="00D374A8">
              <w:rPr>
                <w:rFonts w:ascii="Arial" w:hAnsi="Arial" w:cs="Arial"/>
                <w:b/>
                <w:i/>
                <w:noProof/>
                <w:sz w:val="21"/>
                <w:szCs w:val="21"/>
                <w:vertAlign w:val="subscript"/>
                <w:lang w:val="hu-HU"/>
              </w:rPr>
              <w:t>hr</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 xml:space="preserve">hr </w:t>
            </w:r>
            <w:r w:rsidRPr="00D374A8">
              <w:rPr>
                <w:rFonts w:ascii="Arial" w:hAnsi="Arial" w:cs="Arial"/>
                <w:b/>
                <w:i/>
                <w:noProof/>
                <w:sz w:val="21"/>
                <w:szCs w:val="21"/>
                <w:lang w:val="hu-HU"/>
              </w:rPr>
              <w:t>+ w</w:t>
            </w:r>
            <w:r w:rsidRPr="00D374A8">
              <w:rPr>
                <w:rFonts w:ascii="Arial" w:hAnsi="Arial" w:cs="Arial"/>
                <w:b/>
                <w:i/>
                <w:noProof/>
                <w:sz w:val="21"/>
                <w:szCs w:val="21"/>
                <w:vertAlign w:val="subscript"/>
                <w:lang w:val="hu-HU"/>
              </w:rPr>
              <w:t>it</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it</w:t>
            </w:r>
            <w:r w:rsidRPr="00D374A8">
              <w:rPr>
                <w:rFonts w:ascii="Arial" w:hAnsi="Arial" w:cs="Arial"/>
                <w:b/>
                <w:i/>
                <w:noProof/>
                <w:sz w:val="21"/>
                <w:szCs w:val="21"/>
                <w:lang w:val="hu-HU"/>
              </w:rPr>
              <w:t xml:space="preserve"> + w</w:t>
            </w:r>
            <w:r w:rsidRPr="00D374A8">
              <w:rPr>
                <w:rFonts w:ascii="Arial" w:hAnsi="Arial" w:cs="Arial"/>
                <w:b/>
                <w:i/>
                <w:noProof/>
                <w:sz w:val="21"/>
                <w:szCs w:val="21"/>
                <w:vertAlign w:val="subscript"/>
                <w:lang w:val="hu-HU"/>
              </w:rPr>
              <w:t>o</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o</w:t>
            </w:r>
            <w:r w:rsidRPr="00D374A8">
              <w:rPr>
                <w:rFonts w:ascii="Arial" w:hAnsi="Arial" w:cs="Arial"/>
                <w:b/>
                <w:i/>
                <w:noProof/>
                <w:sz w:val="21"/>
                <w:szCs w:val="21"/>
                <w:lang w:val="hu-HU"/>
              </w:rPr>
              <w:t xml:space="preserve"> + w</w:t>
            </w:r>
            <w:r w:rsidRPr="00D374A8">
              <w:rPr>
                <w:rFonts w:ascii="Arial" w:hAnsi="Arial" w:cs="Arial"/>
                <w:b/>
                <w:i/>
                <w:noProof/>
                <w:sz w:val="21"/>
                <w:szCs w:val="21"/>
                <w:vertAlign w:val="subscript"/>
                <w:lang w:val="hu-HU"/>
              </w:rPr>
              <w:t>d</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 xml:space="preserve">d </w:t>
            </w:r>
            <w:r w:rsidRPr="00D374A8">
              <w:rPr>
                <w:rFonts w:ascii="Arial" w:hAnsi="Arial" w:cs="Arial"/>
                <w:b/>
                <w:i/>
                <w:noProof/>
                <w:sz w:val="21"/>
                <w:szCs w:val="21"/>
                <w:lang w:val="hu-HU"/>
              </w:rPr>
              <w:t>+ w</w:t>
            </w:r>
            <w:r w:rsidRPr="00D374A8">
              <w:rPr>
                <w:rFonts w:ascii="Arial" w:hAnsi="Arial" w:cs="Arial"/>
                <w:b/>
                <w:i/>
                <w:noProof/>
                <w:sz w:val="21"/>
                <w:szCs w:val="21"/>
                <w:vertAlign w:val="subscript"/>
                <w:lang w:val="hu-HU"/>
              </w:rPr>
              <w:t>r</w:t>
            </w:r>
            <w:r w:rsidRPr="00D374A8">
              <w:rPr>
                <w:rFonts w:ascii="Arial" w:hAnsi="Arial" w:cs="Arial"/>
                <w:b/>
                <w:i/>
                <w:noProof/>
                <w:sz w:val="21"/>
                <w:szCs w:val="21"/>
                <w:lang w:val="hu-HU"/>
              </w:rPr>
              <w:t xml:space="preserve"> x IF</w:t>
            </w:r>
            <w:r w:rsidRPr="00D374A8">
              <w:rPr>
                <w:rFonts w:ascii="Arial" w:hAnsi="Arial" w:cs="Arial"/>
                <w:b/>
                <w:i/>
                <w:noProof/>
                <w:sz w:val="21"/>
                <w:szCs w:val="21"/>
                <w:vertAlign w:val="subscript"/>
                <w:lang w:val="hu-HU"/>
              </w:rPr>
              <w:t>r</w:t>
            </w:r>
          </w:p>
        </w:tc>
      </w:tr>
      <w:tr w:rsidR="00186054" w:rsidRPr="00FA0219" w14:paraId="0240C63F" w14:textId="77777777" w:rsidTr="00291AD9">
        <w:tc>
          <w:tcPr>
            <w:tcW w:w="4644" w:type="dxa"/>
          </w:tcPr>
          <w:p w14:paraId="5DB4A8E5" w14:textId="092E349E" w:rsidR="00186054" w:rsidRPr="00D374A8" w:rsidRDefault="00186054" w:rsidP="008E0C60">
            <w:pPr>
              <w:pStyle w:val="MarginText"/>
              <w:spacing w:before="120" w:after="120" w:line="240" w:lineRule="auto"/>
              <w:ind w:left="1134"/>
              <w:rPr>
                <w:rFonts w:ascii="Arial" w:hAnsi="Arial" w:cs="Arial"/>
                <w:b/>
                <w:i/>
                <w:noProof/>
                <w:sz w:val="21"/>
                <w:szCs w:val="21"/>
                <w:lang w:val="hu-HU"/>
              </w:rPr>
            </w:pPr>
            <w:r w:rsidRPr="00D374A8">
              <w:rPr>
                <w:rFonts w:ascii="Arial" w:hAnsi="Arial" w:cs="Arial"/>
                <w:i/>
                <w:noProof/>
                <w:sz w:val="21"/>
                <w:szCs w:val="21"/>
                <w:lang w:val="hu-HU"/>
              </w:rPr>
              <w:t>where:</w:t>
            </w:r>
          </w:p>
        </w:tc>
        <w:tc>
          <w:tcPr>
            <w:tcW w:w="284" w:type="dxa"/>
          </w:tcPr>
          <w:p w14:paraId="76C02EE8" w14:textId="77777777" w:rsidR="00186054" w:rsidRPr="007A16EF" w:rsidRDefault="00186054" w:rsidP="008E0C60">
            <w:pPr>
              <w:spacing w:before="120" w:after="120"/>
              <w:ind w:left="428"/>
              <w:jc w:val="both"/>
              <w:rPr>
                <w:rFonts w:ascii="Arial" w:hAnsi="Arial" w:cs="Arial"/>
                <w:sz w:val="21"/>
                <w:szCs w:val="21"/>
              </w:rPr>
            </w:pPr>
          </w:p>
        </w:tc>
        <w:tc>
          <w:tcPr>
            <w:tcW w:w="4425" w:type="dxa"/>
          </w:tcPr>
          <w:p w14:paraId="45D472B1" w14:textId="2B56EF65" w:rsidR="00186054" w:rsidRPr="00D374A8" w:rsidRDefault="00186054" w:rsidP="008E0C60">
            <w:pPr>
              <w:spacing w:before="120" w:after="120"/>
              <w:ind w:left="1309"/>
              <w:jc w:val="both"/>
              <w:rPr>
                <w:rFonts w:ascii="Arial" w:hAnsi="Arial" w:cs="Arial"/>
                <w:b/>
                <w:i/>
                <w:noProof/>
                <w:sz w:val="21"/>
                <w:szCs w:val="21"/>
                <w:lang w:val="hu-HU"/>
              </w:rPr>
            </w:pPr>
            <w:r>
              <w:rPr>
                <w:rFonts w:ascii="Arial" w:hAnsi="Arial" w:cs="Arial"/>
                <w:sz w:val="21"/>
                <w:szCs w:val="21"/>
              </w:rPr>
              <w:t>Dimana:</w:t>
            </w:r>
          </w:p>
        </w:tc>
      </w:tr>
      <w:tr w:rsidR="008E0C60" w:rsidRPr="00FA0219" w14:paraId="646E6375" w14:textId="77777777" w:rsidTr="00291AD9">
        <w:tc>
          <w:tcPr>
            <w:tcW w:w="4644" w:type="dxa"/>
          </w:tcPr>
          <w:p w14:paraId="21CB26C3" w14:textId="734CF6CF" w:rsidR="008E0C60" w:rsidRPr="00D374A8" w:rsidRDefault="008E0C60" w:rsidP="008E0C60">
            <w:pPr>
              <w:pStyle w:val="MarginText"/>
              <w:spacing w:before="120" w:after="120" w:line="240" w:lineRule="auto"/>
              <w:ind w:left="1134"/>
              <w:rPr>
                <w:rFonts w:ascii="Arial" w:hAnsi="Arial" w:cs="Arial"/>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hr </w:t>
            </w:r>
            <w:r w:rsidRPr="00D374A8">
              <w:rPr>
                <w:rFonts w:ascii="Arial" w:hAnsi="Arial" w:cs="Arial"/>
                <w:b/>
                <w:i/>
                <w:noProof/>
                <w:sz w:val="21"/>
                <w:szCs w:val="21"/>
                <w:lang w:val="hu-HU"/>
              </w:rPr>
              <w:t>= NW</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NW</w:t>
            </w:r>
            <w:r w:rsidRPr="00D374A8">
              <w:rPr>
                <w:rFonts w:ascii="Arial" w:hAnsi="Arial" w:cs="Arial"/>
                <w:b/>
                <w:i/>
                <w:noProof/>
                <w:sz w:val="21"/>
                <w:szCs w:val="21"/>
                <w:vertAlign w:val="subscript"/>
                <w:lang w:val="hu-HU"/>
              </w:rPr>
              <w:t>2019</w:t>
            </w:r>
          </w:p>
        </w:tc>
        <w:tc>
          <w:tcPr>
            <w:tcW w:w="284" w:type="dxa"/>
          </w:tcPr>
          <w:p w14:paraId="099ABE71" w14:textId="77777777" w:rsidR="008E0C60" w:rsidRPr="007A16EF" w:rsidRDefault="008E0C60" w:rsidP="008E0C60">
            <w:pPr>
              <w:spacing w:before="120" w:after="120"/>
              <w:ind w:left="428"/>
              <w:jc w:val="both"/>
              <w:rPr>
                <w:rFonts w:ascii="Arial" w:hAnsi="Arial" w:cs="Arial"/>
                <w:sz w:val="21"/>
                <w:szCs w:val="21"/>
              </w:rPr>
            </w:pPr>
          </w:p>
        </w:tc>
        <w:tc>
          <w:tcPr>
            <w:tcW w:w="4425" w:type="dxa"/>
          </w:tcPr>
          <w:p w14:paraId="10889FFD" w14:textId="268238F9" w:rsidR="008E0C60" w:rsidRDefault="008E0C60" w:rsidP="008E0C60">
            <w:pPr>
              <w:spacing w:before="120" w:after="120"/>
              <w:ind w:left="1309"/>
              <w:jc w:val="both"/>
              <w:rPr>
                <w:rFonts w:ascii="Arial" w:hAnsi="Arial" w:cs="Arial"/>
                <w:sz w:val="21"/>
                <w:szCs w:val="21"/>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hr </w:t>
            </w:r>
            <w:r w:rsidRPr="00D374A8">
              <w:rPr>
                <w:rFonts w:ascii="Arial" w:hAnsi="Arial" w:cs="Arial"/>
                <w:b/>
                <w:i/>
                <w:noProof/>
                <w:sz w:val="21"/>
                <w:szCs w:val="21"/>
                <w:lang w:val="hu-HU"/>
              </w:rPr>
              <w:t>= NWI</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NWI</w:t>
            </w:r>
            <w:r w:rsidRPr="00D374A8">
              <w:rPr>
                <w:rFonts w:ascii="Arial" w:hAnsi="Arial" w:cs="Arial"/>
                <w:b/>
                <w:i/>
                <w:noProof/>
                <w:sz w:val="21"/>
                <w:szCs w:val="21"/>
                <w:vertAlign w:val="subscript"/>
                <w:lang w:val="hu-HU"/>
              </w:rPr>
              <w:t>2019</w:t>
            </w:r>
          </w:p>
        </w:tc>
      </w:tr>
      <w:tr w:rsidR="007A16EF" w:rsidRPr="00FA0219" w14:paraId="03A4C461" w14:textId="77777777" w:rsidTr="00291AD9">
        <w:tc>
          <w:tcPr>
            <w:tcW w:w="4644" w:type="dxa"/>
          </w:tcPr>
          <w:p w14:paraId="52DDC147" w14:textId="3C6D8C43" w:rsidR="007A16EF" w:rsidRPr="00D374A8" w:rsidRDefault="007A16EF" w:rsidP="008E0C60">
            <w:pPr>
              <w:pStyle w:val="MarginText"/>
              <w:spacing w:before="120" w:after="120" w:line="240" w:lineRule="auto"/>
              <w:ind w:left="1701"/>
              <w:rPr>
                <w:rFonts w:ascii="Arial" w:hAnsi="Arial" w:cs="Arial"/>
                <w:i/>
                <w:noProof/>
                <w:sz w:val="21"/>
                <w:szCs w:val="21"/>
                <w:lang w:val="hu-HU"/>
              </w:rPr>
            </w:pPr>
            <w:r w:rsidRPr="00D374A8">
              <w:rPr>
                <w:rFonts w:ascii="Arial" w:hAnsi="Arial" w:cs="Arial"/>
                <w:i/>
                <w:noProof/>
                <w:sz w:val="21"/>
                <w:szCs w:val="21"/>
                <w:lang w:val="hu-HU"/>
              </w:rPr>
              <w:t>where:</w:t>
            </w:r>
          </w:p>
        </w:tc>
        <w:tc>
          <w:tcPr>
            <w:tcW w:w="284" w:type="dxa"/>
          </w:tcPr>
          <w:p w14:paraId="204CAC3E"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38788C22" w14:textId="317C6D43" w:rsidR="007A16EF" w:rsidRPr="007A16EF" w:rsidRDefault="008E0C60" w:rsidP="008E0C60">
            <w:pPr>
              <w:spacing w:before="120" w:after="120"/>
              <w:ind w:left="2018"/>
              <w:jc w:val="both"/>
              <w:rPr>
                <w:rFonts w:ascii="Arial" w:hAnsi="Arial" w:cs="Arial"/>
                <w:sz w:val="21"/>
                <w:szCs w:val="21"/>
              </w:rPr>
            </w:pPr>
            <w:r>
              <w:rPr>
                <w:rFonts w:ascii="Arial" w:hAnsi="Arial" w:cs="Arial"/>
                <w:sz w:val="21"/>
                <w:szCs w:val="21"/>
              </w:rPr>
              <w:t>D</w:t>
            </w:r>
            <w:r w:rsidR="00D374A8">
              <w:rPr>
                <w:rFonts w:ascii="Arial" w:hAnsi="Arial" w:cs="Arial"/>
                <w:sz w:val="21"/>
                <w:szCs w:val="21"/>
              </w:rPr>
              <w:t>imana</w:t>
            </w:r>
            <w:r>
              <w:rPr>
                <w:rFonts w:ascii="Arial" w:hAnsi="Arial" w:cs="Arial"/>
                <w:sz w:val="21"/>
                <w:szCs w:val="21"/>
              </w:rPr>
              <w:t>:</w:t>
            </w:r>
          </w:p>
        </w:tc>
      </w:tr>
      <w:tr w:rsidR="007A16EF" w:rsidRPr="00FA0219" w14:paraId="0A939960" w14:textId="77777777" w:rsidTr="00291AD9">
        <w:tc>
          <w:tcPr>
            <w:tcW w:w="4644" w:type="dxa"/>
          </w:tcPr>
          <w:p w14:paraId="7B28265C" w14:textId="71748DBF" w:rsidR="007A16EF" w:rsidRPr="00D374A8" w:rsidRDefault="007A16EF" w:rsidP="008E0C60">
            <w:pPr>
              <w:pStyle w:val="MarginText"/>
              <w:spacing w:before="120" w:after="120" w:line="240" w:lineRule="auto"/>
              <w:ind w:left="1701"/>
              <w:rPr>
                <w:rFonts w:ascii="Arial" w:hAnsi="Arial" w:cs="Arial"/>
                <w:noProof/>
                <w:sz w:val="21"/>
                <w:szCs w:val="21"/>
                <w:lang w:val="hu-HU"/>
              </w:rPr>
            </w:pPr>
            <w:r w:rsidRPr="00D374A8">
              <w:rPr>
                <w:rFonts w:ascii="Arial" w:hAnsi="Arial" w:cs="Arial"/>
                <w:b/>
                <w:i/>
                <w:noProof/>
                <w:sz w:val="21"/>
                <w:szCs w:val="21"/>
                <w:lang w:val="hu-HU"/>
              </w:rPr>
              <w:t>NW</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003413CA" w:rsidRPr="003413CA">
              <w:rPr>
                <w:rFonts w:ascii="Arial" w:hAnsi="Arial" w:cs="Arial"/>
                <w:noProof/>
                <w:sz w:val="21"/>
                <w:szCs w:val="21"/>
                <w:lang w:val="hu-HU"/>
              </w:rPr>
              <w:t>Net Income per Month of Casual Worker</w:t>
            </w:r>
            <w:r w:rsidR="003413CA">
              <w:rPr>
                <w:rFonts w:ascii="Arial" w:hAnsi="Arial" w:cs="Arial"/>
                <w:noProof/>
                <w:sz w:val="21"/>
                <w:szCs w:val="21"/>
                <w:lang w:val="hu-HU"/>
              </w:rPr>
              <w:t xml:space="preserve"> </w:t>
            </w:r>
            <w:r w:rsidRPr="00D374A8">
              <w:rPr>
                <w:rFonts w:ascii="Arial" w:hAnsi="Arial" w:cs="Arial"/>
                <w:noProof/>
                <w:sz w:val="21"/>
                <w:szCs w:val="21"/>
                <w:lang w:val="hu-HU"/>
              </w:rPr>
              <w:t>as published by Statistics Indonesia (Badan Pusat Statistik)</w:t>
            </w:r>
            <w:r w:rsidR="003413CA">
              <w:rPr>
                <w:rFonts w:ascii="Arial" w:hAnsi="Arial" w:cs="Arial"/>
                <w:noProof/>
                <w:sz w:val="21"/>
                <w:szCs w:val="21"/>
                <w:lang w:val="hu-HU"/>
              </w:rPr>
              <w:t xml:space="preserve"> for month m in year t</w:t>
            </w:r>
          </w:p>
        </w:tc>
        <w:tc>
          <w:tcPr>
            <w:tcW w:w="284" w:type="dxa"/>
          </w:tcPr>
          <w:p w14:paraId="4E5497A0"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1E49A6E0" w14:textId="1F6EBF0A" w:rsidR="007A16EF" w:rsidRPr="007A16EF" w:rsidRDefault="00D374A8" w:rsidP="00073A9E">
            <w:pPr>
              <w:spacing w:before="120" w:after="120"/>
              <w:ind w:left="2018"/>
              <w:jc w:val="both"/>
              <w:rPr>
                <w:rFonts w:ascii="Arial" w:hAnsi="Arial" w:cs="Arial"/>
                <w:sz w:val="21"/>
                <w:szCs w:val="21"/>
              </w:rPr>
            </w:pPr>
            <w:r w:rsidRPr="00D374A8">
              <w:rPr>
                <w:rFonts w:ascii="Arial" w:hAnsi="Arial" w:cs="Arial"/>
                <w:b/>
                <w:i/>
                <w:noProof/>
                <w:sz w:val="21"/>
                <w:szCs w:val="21"/>
                <w:lang w:val="hu-HU"/>
              </w:rPr>
              <w:t>NWI</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00073A9E">
              <w:rPr>
                <w:rFonts w:ascii="Arial" w:hAnsi="Arial" w:cs="Arial"/>
                <w:noProof/>
                <w:sz w:val="21"/>
                <w:szCs w:val="21"/>
                <w:lang w:val="hu-HU"/>
              </w:rPr>
              <w:t xml:space="preserve">Pendapatan bersih Perbulan dari Pekerja Biasa sebagaimana diterbitkan oleh </w:t>
            </w:r>
            <w:r w:rsidRPr="00D374A8">
              <w:rPr>
                <w:rFonts w:ascii="Arial" w:hAnsi="Arial" w:cs="Arial"/>
                <w:noProof/>
                <w:sz w:val="21"/>
                <w:szCs w:val="21"/>
                <w:lang w:val="hu-HU"/>
              </w:rPr>
              <w:t>Badan Pusat Statistik</w:t>
            </w:r>
            <w:r w:rsidR="00073A9E">
              <w:rPr>
                <w:rFonts w:ascii="Arial" w:hAnsi="Arial" w:cs="Arial"/>
                <w:noProof/>
                <w:sz w:val="21"/>
                <w:szCs w:val="21"/>
                <w:lang w:val="hu-HU"/>
              </w:rPr>
              <w:t xml:space="preserve"> untuk bulan m pada tahun t</w:t>
            </w:r>
          </w:p>
        </w:tc>
      </w:tr>
      <w:tr w:rsidR="007A16EF" w:rsidRPr="00FA0219" w14:paraId="27AE8F90" w14:textId="77777777" w:rsidTr="00291AD9">
        <w:tc>
          <w:tcPr>
            <w:tcW w:w="4644" w:type="dxa"/>
          </w:tcPr>
          <w:p w14:paraId="3195967C" w14:textId="1BB7624C" w:rsidR="007A16EF" w:rsidRPr="00D374A8" w:rsidRDefault="007A16EF" w:rsidP="00073A9E">
            <w:pPr>
              <w:pStyle w:val="MarginText"/>
              <w:spacing w:before="120" w:after="120" w:line="240" w:lineRule="auto"/>
              <w:ind w:left="1701"/>
              <w:rPr>
                <w:rFonts w:ascii="Arial" w:hAnsi="Arial" w:cs="Arial"/>
                <w:b/>
                <w:i/>
                <w:noProof/>
                <w:sz w:val="21"/>
                <w:szCs w:val="21"/>
                <w:lang w:val="hu-HU"/>
              </w:rPr>
            </w:pPr>
            <w:r w:rsidRPr="00D374A8">
              <w:rPr>
                <w:rFonts w:ascii="Arial" w:hAnsi="Arial" w:cs="Arial"/>
                <w:b/>
                <w:i/>
                <w:noProof/>
                <w:sz w:val="21"/>
                <w:szCs w:val="21"/>
                <w:lang w:val="hu-HU"/>
              </w:rPr>
              <w:t>NW</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w:t>
            </w:r>
            <w:r w:rsidR="003413CA" w:rsidRPr="003413CA">
              <w:rPr>
                <w:rFonts w:ascii="Arial" w:hAnsi="Arial" w:cs="Arial"/>
                <w:noProof/>
                <w:sz w:val="21"/>
                <w:szCs w:val="21"/>
                <w:lang w:val="hu-HU"/>
              </w:rPr>
              <w:t>Net Income per Month of Casual Worker</w:t>
            </w:r>
            <w:r w:rsidR="003413CA">
              <w:rPr>
                <w:rFonts w:ascii="Arial" w:hAnsi="Arial" w:cs="Arial"/>
                <w:noProof/>
                <w:sz w:val="21"/>
                <w:szCs w:val="21"/>
                <w:lang w:val="hu-HU"/>
              </w:rPr>
              <w:t xml:space="preserve"> </w:t>
            </w:r>
            <w:r w:rsidR="003413CA" w:rsidRPr="00D374A8">
              <w:rPr>
                <w:rFonts w:ascii="Arial" w:hAnsi="Arial" w:cs="Arial"/>
                <w:noProof/>
                <w:sz w:val="21"/>
                <w:szCs w:val="21"/>
                <w:lang w:val="hu-HU"/>
              </w:rPr>
              <w:t>as published by Statistics Indonesia (Badan Pusat Statistik)</w:t>
            </w:r>
            <w:r w:rsidR="003413CA">
              <w:rPr>
                <w:rFonts w:ascii="Arial" w:hAnsi="Arial" w:cs="Arial"/>
                <w:noProof/>
                <w:sz w:val="21"/>
                <w:szCs w:val="21"/>
                <w:lang w:val="hu-HU"/>
              </w:rPr>
              <w:t xml:space="preserve"> for 2019 equaling to IDR 1,456,000 </w:t>
            </w:r>
            <w:r w:rsidR="00073A9E">
              <w:rPr>
                <w:rFonts w:ascii="Arial" w:hAnsi="Arial" w:cs="Arial"/>
                <w:noProof/>
                <w:sz w:val="21"/>
                <w:szCs w:val="21"/>
                <w:lang w:val="hu-HU"/>
              </w:rPr>
              <w:t>[</w:t>
            </w:r>
            <w:r w:rsidR="003413CA">
              <w:rPr>
                <w:rFonts w:ascii="Arial" w:hAnsi="Arial" w:cs="Arial"/>
                <w:noProof/>
                <w:sz w:val="21"/>
                <w:szCs w:val="21"/>
                <w:lang w:val="hu-HU"/>
              </w:rPr>
              <w:t>(</w:t>
            </w:r>
            <w:r w:rsidR="003413CA" w:rsidRPr="003413CA">
              <w:rPr>
                <w:rFonts w:ascii="Arial" w:hAnsi="Arial" w:cs="Arial"/>
                <w:noProof/>
                <w:sz w:val="21"/>
                <w:szCs w:val="21"/>
                <w:lang w:val="hu-HU"/>
              </w:rPr>
              <w:t>https://www.bps.go.id/statictable/2019/08/02/2063/rata-rata-pendapatan-bersih-pekerja-bebas-menurut-provinsi-dan-lapangan-pekerjaan-utama-2019.html</w:t>
            </w:r>
            <w:r w:rsidR="003413CA">
              <w:rPr>
                <w:rFonts w:ascii="Arial" w:hAnsi="Arial" w:cs="Arial"/>
                <w:noProof/>
                <w:sz w:val="21"/>
                <w:szCs w:val="21"/>
                <w:lang w:val="hu-HU"/>
              </w:rPr>
              <w:t>)</w:t>
            </w:r>
            <w:r w:rsidR="00073A9E">
              <w:rPr>
                <w:rFonts w:ascii="Arial" w:hAnsi="Arial" w:cs="Arial"/>
                <w:noProof/>
                <w:sz w:val="21"/>
                <w:szCs w:val="21"/>
                <w:lang w:val="hu-HU"/>
              </w:rPr>
              <w:t>]</w:t>
            </w:r>
          </w:p>
        </w:tc>
        <w:tc>
          <w:tcPr>
            <w:tcW w:w="284" w:type="dxa"/>
          </w:tcPr>
          <w:p w14:paraId="52BAD5F5"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64AEF9B5" w14:textId="6542CBB8" w:rsidR="007A16EF" w:rsidRPr="007A16EF" w:rsidRDefault="00D374A8" w:rsidP="00073A9E">
            <w:pPr>
              <w:spacing w:before="120" w:after="120"/>
              <w:ind w:left="2018"/>
              <w:jc w:val="both"/>
              <w:rPr>
                <w:rFonts w:ascii="Arial" w:hAnsi="Arial" w:cs="Arial"/>
                <w:sz w:val="21"/>
                <w:szCs w:val="21"/>
              </w:rPr>
            </w:pPr>
            <w:r w:rsidRPr="00D374A8">
              <w:rPr>
                <w:rFonts w:ascii="Arial" w:hAnsi="Arial" w:cs="Arial"/>
                <w:b/>
                <w:i/>
                <w:noProof/>
                <w:sz w:val="21"/>
                <w:szCs w:val="21"/>
                <w:lang w:val="hu-HU"/>
              </w:rPr>
              <w:t>NWI</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w:t>
            </w:r>
            <w:r w:rsidR="00073A9E">
              <w:rPr>
                <w:rFonts w:ascii="Arial" w:hAnsi="Arial" w:cs="Arial"/>
                <w:noProof/>
                <w:sz w:val="21"/>
                <w:szCs w:val="21"/>
                <w:lang w:val="hu-HU"/>
              </w:rPr>
              <w:t xml:space="preserve">Pendapatan bersih Perbulan dari Pekerja Biasa sebagaimana diterbitkan oleh </w:t>
            </w:r>
            <w:r w:rsidR="00073A9E" w:rsidRPr="00D374A8">
              <w:rPr>
                <w:rFonts w:ascii="Arial" w:hAnsi="Arial" w:cs="Arial"/>
                <w:noProof/>
                <w:sz w:val="21"/>
                <w:szCs w:val="21"/>
                <w:lang w:val="hu-HU"/>
              </w:rPr>
              <w:t>Badan Pusat Statistik</w:t>
            </w:r>
            <w:r w:rsidR="00073A9E">
              <w:rPr>
                <w:rFonts w:ascii="Arial" w:hAnsi="Arial" w:cs="Arial"/>
                <w:noProof/>
                <w:sz w:val="21"/>
                <w:szCs w:val="21"/>
                <w:lang w:val="hu-HU"/>
              </w:rPr>
              <w:t xml:space="preserve"> untuk tahun 2019 sebesar Rp. 1.456.000 [(</w:t>
            </w:r>
            <w:r w:rsidR="00073A9E" w:rsidRPr="003413CA">
              <w:rPr>
                <w:rFonts w:ascii="Arial" w:hAnsi="Arial" w:cs="Arial"/>
                <w:noProof/>
                <w:sz w:val="21"/>
                <w:szCs w:val="21"/>
                <w:lang w:val="hu-HU"/>
              </w:rPr>
              <w:t>https://www.bps.go.id/statictable/2019/08/02/2063/rata-rata-pendapatan-bersih-pekerja-bebas-menurut-provinsi-dan-lapangan-pekerjaan-utama-2019.html</w:t>
            </w:r>
            <w:r w:rsidR="00073A9E">
              <w:rPr>
                <w:rFonts w:ascii="Arial" w:hAnsi="Arial" w:cs="Arial"/>
                <w:noProof/>
                <w:sz w:val="21"/>
                <w:szCs w:val="21"/>
                <w:lang w:val="hu-HU"/>
              </w:rPr>
              <w:t>)</w:t>
            </w:r>
          </w:p>
        </w:tc>
      </w:tr>
      <w:tr w:rsidR="007A16EF" w:rsidRPr="00FA0219" w14:paraId="1CF51548" w14:textId="77777777" w:rsidTr="00291AD9">
        <w:tc>
          <w:tcPr>
            <w:tcW w:w="4644" w:type="dxa"/>
          </w:tcPr>
          <w:p w14:paraId="77B0CB04" w14:textId="75C575A4" w:rsidR="007A16EF" w:rsidRPr="00D374A8" w:rsidRDefault="007A16EF" w:rsidP="008E0C60">
            <w:pPr>
              <w:pStyle w:val="MarginText"/>
              <w:spacing w:before="120" w:after="120" w:line="240" w:lineRule="auto"/>
              <w:ind w:left="1701"/>
              <w:rPr>
                <w:rFonts w:ascii="Arial" w:hAnsi="Arial" w:cs="Arial"/>
                <w:noProof/>
                <w:sz w:val="21"/>
                <w:szCs w:val="21"/>
                <w:lang w:val="hu-HU"/>
              </w:rPr>
            </w:pPr>
          </w:p>
        </w:tc>
        <w:tc>
          <w:tcPr>
            <w:tcW w:w="284" w:type="dxa"/>
          </w:tcPr>
          <w:p w14:paraId="54696072"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69A5E953" w14:textId="2987C787" w:rsidR="007A16EF" w:rsidRPr="00D374A8" w:rsidRDefault="007A16EF" w:rsidP="008E0C60">
            <w:pPr>
              <w:spacing w:before="120" w:after="120"/>
              <w:ind w:left="2018"/>
              <w:jc w:val="both"/>
              <w:rPr>
                <w:rFonts w:ascii="Arial" w:hAnsi="Arial" w:cs="Arial"/>
                <w:noProof/>
                <w:sz w:val="21"/>
                <w:szCs w:val="21"/>
                <w:lang w:val="hu-HU"/>
              </w:rPr>
            </w:pPr>
          </w:p>
        </w:tc>
      </w:tr>
      <w:tr w:rsidR="008E0C60" w:rsidRPr="00FA0219" w14:paraId="216ACD32" w14:textId="77777777" w:rsidTr="00291AD9">
        <w:tc>
          <w:tcPr>
            <w:tcW w:w="4644" w:type="dxa"/>
          </w:tcPr>
          <w:p w14:paraId="5997F288" w14:textId="443BF4F8" w:rsidR="008E0C60" w:rsidRPr="00D374A8" w:rsidRDefault="008E0C60" w:rsidP="008E0C60">
            <w:pPr>
              <w:pStyle w:val="MarginText"/>
              <w:spacing w:before="120" w:after="120" w:line="240" w:lineRule="auto"/>
              <w:ind w:left="1134"/>
              <w:rPr>
                <w:rFonts w:ascii="Arial" w:hAnsi="Arial" w:cs="Arial"/>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it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2019</w:t>
            </w:r>
            <w:r w:rsidRPr="00D374A8">
              <w:rPr>
                <w:rFonts w:ascii="Arial" w:hAnsi="Arial" w:cs="Arial"/>
                <w:b/>
                <w:i/>
                <w:noProof/>
                <w:sz w:val="21"/>
                <w:szCs w:val="21"/>
                <w:lang w:val="hu-HU"/>
              </w:rPr>
              <w:t xml:space="preserve"> x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2019</w:t>
            </w:r>
          </w:p>
        </w:tc>
        <w:tc>
          <w:tcPr>
            <w:tcW w:w="284" w:type="dxa"/>
          </w:tcPr>
          <w:p w14:paraId="35401F2D" w14:textId="77777777" w:rsidR="008E0C60" w:rsidRPr="007A16EF" w:rsidRDefault="008E0C60" w:rsidP="008E0C60">
            <w:pPr>
              <w:spacing w:before="120" w:after="120"/>
              <w:ind w:left="428"/>
              <w:jc w:val="both"/>
              <w:rPr>
                <w:rFonts w:ascii="Arial" w:hAnsi="Arial" w:cs="Arial"/>
                <w:sz w:val="21"/>
                <w:szCs w:val="21"/>
              </w:rPr>
            </w:pPr>
          </w:p>
        </w:tc>
        <w:tc>
          <w:tcPr>
            <w:tcW w:w="4425" w:type="dxa"/>
          </w:tcPr>
          <w:p w14:paraId="77F8DE08" w14:textId="3DADF411" w:rsidR="008E0C60" w:rsidRDefault="008E0C60" w:rsidP="008E0C60">
            <w:pPr>
              <w:spacing w:before="120" w:after="120"/>
              <w:ind w:left="1309"/>
              <w:jc w:val="both"/>
              <w:rPr>
                <w:rFonts w:ascii="Arial" w:hAnsi="Arial" w:cs="Arial"/>
                <w:sz w:val="21"/>
                <w:szCs w:val="21"/>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it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2019</w:t>
            </w:r>
            <w:r w:rsidRPr="00D374A8">
              <w:rPr>
                <w:rFonts w:ascii="Arial" w:hAnsi="Arial" w:cs="Arial"/>
                <w:b/>
                <w:i/>
                <w:noProof/>
                <w:sz w:val="21"/>
                <w:szCs w:val="21"/>
                <w:lang w:val="hu-HU"/>
              </w:rPr>
              <w:t xml:space="preserve"> x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2019</w:t>
            </w:r>
          </w:p>
        </w:tc>
      </w:tr>
      <w:tr w:rsidR="007A16EF" w:rsidRPr="00FA0219" w14:paraId="5DF67641" w14:textId="77777777" w:rsidTr="00291AD9">
        <w:tc>
          <w:tcPr>
            <w:tcW w:w="4644" w:type="dxa"/>
          </w:tcPr>
          <w:p w14:paraId="2229E95B" w14:textId="57A90B12" w:rsidR="007A16EF" w:rsidRPr="00D374A8" w:rsidRDefault="007A16EF" w:rsidP="008E0C60">
            <w:pPr>
              <w:pStyle w:val="MarginText"/>
              <w:spacing w:before="120" w:after="120" w:line="240" w:lineRule="auto"/>
              <w:ind w:left="1701"/>
              <w:rPr>
                <w:rFonts w:ascii="Arial" w:hAnsi="Arial" w:cs="Arial"/>
                <w:i/>
                <w:noProof/>
                <w:sz w:val="21"/>
                <w:szCs w:val="21"/>
                <w:lang w:val="hu-HU"/>
              </w:rPr>
            </w:pPr>
            <w:r w:rsidRPr="00D374A8">
              <w:rPr>
                <w:rFonts w:ascii="Arial" w:hAnsi="Arial" w:cs="Arial"/>
                <w:i/>
                <w:noProof/>
                <w:sz w:val="21"/>
                <w:szCs w:val="21"/>
                <w:lang w:val="hu-HU"/>
              </w:rPr>
              <w:t>where:</w:t>
            </w:r>
          </w:p>
        </w:tc>
        <w:tc>
          <w:tcPr>
            <w:tcW w:w="284" w:type="dxa"/>
          </w:tcPr>
          <w:p w14:paraId="3CE9FD09"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779D05DA" w14:textId="0620F569" w:rsidR="007A16EF" w:rsidRPr="007A16EF" w:rsidRDefault="00122536" w:rsidP="008E0C60">
            <w:pPr>
              <w:spacing w:before="120" w:after="120"/>
              <w:ind w:left="2018"/>
              <w:jc w:val="both"/>
              <w:rPr>
                <w:rFonts w:ascii="Arial" w:hAnsi="Arial" w:cs="Arial"/>
                <w:sz w:val="21"/>
                <w:szCs w:val="21"/>
              </w:rPr>
            </w:pPr>
            <w:r>
              <w:rPr>
                <w:rFonts w:ascii="Arial" w:hAnsi="Arial" w:cs="Arial"/>
                <w:sz w:val="21"/>
                <w:szCs w:val="21"/>
              </w:rPr>
              <w:t>dimana</w:t>
            </w:r>
          </w:p>
        </w:tc>
      </w:tr>
      <w:tr w:rsidR="007A16EF" w:rsidRPr="00FA0219" w14:paraId="75280C03" w14:textId="77777777" w:rsidTr="00291AD9">
        <w:tc>
          <w:tcPr>
            <w:tcW w:w="4644" w:type="dxa"/>
          </w:tcPr>
          <w:p w14:paraId="36243BEB" w14:textId="0CF2A087" w:rsidR="007A16EF" w:rsidRPr="00D374A8" w:rsidRDefault="007A16EF" w:rsidP="008E0C60">
            <w:pPr>
              <w:pStyle w:val="MarginText"/>
              <w:spacing w:before="120" w:after="120" w:line="240" w:lineRule="auto"/>
              <w:ind w:left="1701"/>
              <w:rPr>
                <w:rFonts w:ascii="Arial" w:hAnsi="Arial" w:cs="Arial"/>
                <w:noProof/>
                <w:sz w:val="21"/>
                <w:szCs w:val="21"/>
                <w:lang w:val="hu-HU"/>
              </w:rPr>
            </w:pP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Consumer price index in month </w:t>
            </w:r>
            <w:r w:rsidRPr="00D374A8">
              <w:rPr>
                <w:rFonts w:ascii="Arial" w:hAnsi="Arial" w:cs="Arial"/>
                <w:i/>
                <w:noProof/>
                <w:sz w:val="21"/>
                <w:szCs w:val="21"/>
                <w:lang w:val="hu-HU"/>
              </w:rPr>
              <w:t>m</w:t>
            </w:r>
            <w:r w:rsidRPr="00D374A8">
              <w:rPr>
                <w:rFonts w:ascii="Arial" w:hAnsi="Arial" w:cs="Arial"/>
                <w:noProof/>
                <w:sz w:val="21"/>
                <w:szCs w:val="21"/>
                <w:lang w:val="hu-HU"/>
              </w:rPr>
              <w:t xml:space="preserve"> in year </w:t>
            </w:r>
            <w:r w:rsidRPr="00D374A8">
              <w:rPr>
                <w:rFonts w:ascii="Arial" w:hAnsi="Arial" w:cs="Arial"/>
                <w:i/>
                <w:noProof/>
                <w:sz w:val="21"/>
                <w:szCs w:val="21"/>
                <w:lang w:val="hu-HU"/>
              </w:rPr>
              <w:t>t</w:t>
            </w:r>
            <w:r w:rsidRPr="00D374A8">
              <w:rPr>
                <w:rFonts w:ascii="Arial" w:hAnsi="Arial" w:cs="Arial"/>
                <w:noProof/>
                <w:sz w:val="21"/>
                <w:szCs w:val="21"/>
                <w:lang w:val="hu-HU"/>
              </w:rPr>
              <w:t xml:space="preserve"> as published by </w:t>
            </w:r>
            <w:r w:rsidR="00B609F1">
              <w:rPr>
                <w:rFonts w:ascii="Arial" w:hAnsi="Arial" w:cs="Arial"/>
                <w:noProof/>
                <w:sz w:val="21"/>
                <w:szCs w:val="21"/>
                <w:lang w:val="hu-HU"/>
              </w:rPr>
              <w:t xml:space="preserve">Central Bureau of </w:t>
            </w:r>
            <w:r w:rsidRPr="00D374A8">
              <w:rPr>
                <w:rFonts w:ascii="Arial" w:hAnsi="Arial" w:cs="Arial"/>
                <w:noProof/>
                <w:sz w:val="21"/>
                <w:szCs w:val="21"/>
                <w:lang w:val="hu-HU"/>
              </w:rPr>
              <w:t>Statistics Indonesia (</w:t>
            </w:r>
            <w:r w:rsidRPr="00B609F1">
              <w:rPr>
                <w:rFonts w:ascii="Arial" w:hAnsi="Arial" w:cs="Arial"/>
                <w:i/>
                <w:iCs/>
                <w:noProof/>
                <w:sz w:val="21"/>
                <w:szCs w:val="21"/>
                <w:lang w:val="hu-HU"/>
              </w:rPr>
              <w:t>Badan Pusat Statistik</w:t>
            </w:r>
            <w:r w:rsidRPr="00D374A8">
              <w:rPr>
                <w:rFonts w:ascii="Arial" w:hAnsi="Arial" w:cs="Arial"/>
                <w:noProof/>
                <w:sz w:val="21"/>
                <w:szCs w:val="21"/>
                <w:lang w:val="hu-HU"/>
              </w:rPr>
              <w:t>)</w:t>
            </w:r>
          </w:p>
        </w:tc>
        <w:tc>
          <w:tcPr>
            <w:tcW w:w="284" w:type="dxa"/>
          </w:tcPr>
          <w:p w14:paraId="271B70A0"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62BC8430" w14:textId="58FE4A27" w:rsidR="007A16EF" w:rsidRPr="007A16EF" w:rsidRDefault="00122536" w:rsidP="008E0C60">
            <w:pPr>
              <w:spacing w:before="120" w:after="120"/>
              <w:ind w:left="2018"/>
              <w:jc w:val="both"/>
              <w:rPr>
                <w:rFonts w:ascii="Arial" w:hAnsi="Arial" w:cs="Arial"/>
                <w:sz w:val="21"/>
                <w:szCs w:val="21"/>
              </w:rPr>
            </w:pP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00E20CE3">
              <w:rPr>
                <w:rFonts w:ascii="Arial" w:hAnsi="Arial" w:cs="Arial"/>
                <w:noProof/>
                <w:sz w:val="21"/>
                <w:szCs w:val="21"/>
                <w:lang w:val="hu-HU"/>
              </w:rPr>
              <w:t>Indeks Harga Kunsumen</w:t>
            </w:r>
            <w:r w:rsidRPr="00D374A8">
              <w:rPr>
                <w:rFonts w:ascii="Arial" w:hAnsi="Arial" w:cs="Arial"/>
                <w:noProof/>
                <w:sz w:val="21"/>
                <w:szCs w:val="21"/>
                <w:lang w:val="hu-HU"/>
              </w:rPr>
              <w:t xml:space="preserve"> </w:t>
            </w:r>
            <w:r>
              <w:rPr>
                <w:rFonts w:ascii="Arial" w:hAnsi="Arial" w:cs="Arial"/>
                <w:noProof/>
                <w:sz w:val="21"/>
                <w:szCs w:val="21"/>
                <w:lang w:val="hu-HU"/>
              </w:rPr>
              <w:t>pada</w:t>
            </w:r>
            <w:r w:rsidRPr="00D374A8">
              <w:rPr>
                <w:rFonts w:ascii="Arial" w:hAnsi="Arial" w:cs="Arial"/>
                <w:noProof/>
                <w:sz w:val="21"/>
                <w:szCs w:val="21"/>
                <w:lang w:val="hu-HU"/>
              </w:rPr>
              <w:t xml:space="preserve"> </w:t>
            </w:r>
            <w:r>
              <w:rPr>
                <w:rFonts w:ascii="Arial" w:hAnsi="Arial" w:cs="Arial"/>
                <w:noProof/>
                <w:sz w:val="21"/>
                <w:szCs w:val="21"/>
                <w:lang w:val="hu-HU"/>
              </w:rPr>
              <w:t>bulan</w:t>
            </w:r>
            <w:r w:rsidRPr="00D374A8">
              <w:rPr>
                <w:rFonts w:ascii="Arial" w:hAnsi="Arial" w:cs="Arial"/>
                <w:noProof/>
                <w:sz w:val="21"/>
                <w:szCs w:val="21"/>
                <w:lang w:val="hu-HU"/>
              </w:rPr>
              <w:t xml:space="preserve"> </w:t>
            </w:r>
            <w:r w:rsidRPr="00D374A8">
              <w:rPr>
                <w:rFonts w:ascii="Arial" w:hAnsi="Arial" w:cs="Arial"/>
                <w:i/>
                <w:noProof/>
                <w:sz w:val="21"/>
                <w:szCs w:val="21"/>
                <w:lang w:val="hu-HU"/>
              </w:rPr>
              <w:t>m</w:t>
            </w:r>
            <w:r w:rsidRPr="00D374A8">
              <w:rPr>
                <w:rFonts w:ascii="Arial" w:hAnsi="Arial" w:cs="Arial"/>
                <w:noProof/>
                <w:sz w:val="21"/>
                <w:szCs w:val="21"/>
                <w:lang w:val="hu-HU"/>
              </w:rPr>
              <w:t xml:space="preserve"> </w:t>
            </w:r>
            <w:r>
              <w:rPr>
                <w:rFonts w:ascii="Arial" w:hAnsi="Arial" w:cs="Arial"/>
                <w:noProof/>
                <w:sz w:val="21"/>
                <w:szCs w:val="21"/>
                <w:lang w:val="hu-HU"/>
              </w:rPr>
              <w:t>pada tahun</w:t>
            </w:r>
            <w:r w:rsidRPr="00D374A8">
              <w:rPr>
                <w:rFonts w:ascii="Arial" w:hAnsi="Arial" w:cs="Arial"/>
                <w:noProof/>
                <w:sz w:val="21"/>
                <w:szCs w:val="21"/>
                <w:lang w:val="hu-HU"/>
              </w:rPr>
              <w:t xml:space="preserve"> </w:t>
            </w:r>
            <w:r w:rsidRPr="00D374A8">
              <w:rPr>
                <w:rFonts w:ascii="Arial" w:hAnsi="Arial" w:cs="Arial"/>
                <w:i/>
                <w:noProof/>
                <w:sz w:val="21"/>
                <w:szCs w:val="21"/>
                <w:lang w:val="hu-HU"/>
              </w:rPr>
              <w:t>t</w:t>
            </w:r>
            <w:r w:rsidRPr="00D374A8">
              <w:rPr>
                <w:rFonts w:ascii="Arial" w:hAnsi="Arial" w:cs="Arial"/>
                <w:noProof/>
                <w:sz w:val="21"/>
                <w:szCs w:val="21"/>
                <w:lang w:val="hu-HU"/>
              </w:rPr>
              <w:t xml:space="preserve"> </w:t>
            </w:r>
            <w:r>
              <w:rPr>
                <w:rFonts w:ascii="Arial" w:hAnsi="Arial" w:cs="Arial"/>
                <w:noProof/>
                <w:sz w:val="21"/>
                <w:szCs w:val="21"/>
                <w:lang w:val="hu-HU"/>
              </w:rPr>
              <w:t xml:space="preserve">sebagaimana diterbitkan oleh </w:t>
            </w:r>
            <w:r w:rsidRPr="00D374A8">
              <w:rPr>
                <w:rFonts w:ascii="Arial" w:hAnsi="Arial" w:cs="Arial"/>
                <w:noProof/>
                <w:sz w:val="21"/>
                <w:szCs w:val="21"/>
                <w:lang w:val="hu-HU"/>
              </w:rPr>
              <w:t>Badan Pusat Statistik</w:t>
            </w:r>
          </w:p>
        </w:tc>
      </w:tr>
      <w:tr w:rsidR="007A16EF" w:rsidRPr="00FA0219" w14:paraId="4DD58D38" w14:textId="77777777" w:rsidTr="00291AD9">
        <w:tc>
          <w:tcPr>
            <w:tcW w:w="4644" w:type="dxa"/>
          </w:tcPr>
          <w:p w14:paraId="63D2F8BD" w14:textId="2E6F9848" w:rsidR="007A16EF" w:rsidRPr="00D374A8" w:rsidRDefault="007A16EF" w:rsidP="008E0C60">
            <w:pPr>
              <w:pStyle w:val="MarginText"/>
              <w:spacing w:before="120" w:after="120" w:line="240" w:lineRule="auto"/>
              <w:ind w:left="1701"/>
              <w:rPr>
                <w:rFonts w:ascii="Arial" w:hAnsi="Arial" w:cs="Arial"/>
                <w:noProof/>
                <w:sz w:val="21"/>
                <w:szCs w:val="21"/>
                <w:lang w:val="hu-HU"/>
              </w:rPr>
            </w:pP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w:t>
            </w:r>
            <w:r w:rsidRPr="00D374A8">
              <w:rPr>
                <w:rFonts w:ascii="Arial" w:hAnsi="Arial" w:cs="Arial"/>
                <w:noProof/>
                <w:color w:val="FF0000"/>
                <w:sz w:val="21"/>
                <w:szCs w:val="21"/>
                <w:lang w:val="hu-HU"/>
              </w:rPr>
              <w:t xml:space="preserve">[…] </w:t>
            </w:r>
            <w:r w:rsidRPr="00D374A8">
              <w:rPr>
                <w:rFonts w:ascii="Arial" w:hAnsi="Arial" w:cs="Arial"/>
                <w:noProof/>
                <w:sz w:val="21"/>
                <w:szCs w:val="21"/>
                <w:lang w:val="hu-HU"/>
              </w:rPr>
              <w:t xml:space="preserve">consumer price index for </w:t>
            </w:r>
            <w:r w:rsidR="003413CA">
              <w:rPr>
                <w:rFonts w:ascii="Arial" w:hAnsi="Arial" w:cs="Arial"/>
                <w:noProof/>
                <w:sz w:val="21"/>
                <w:szCs w:val="21"/>
                <w:lang w:val="hu-HU"/>
              </w:rPr>
              <w:t xml:space="preserve">January </w:t>
            </w:r>
            <w:r w:rsidRPr="00D374A8">
              <w:rPr>
                <w:rFonts w:ascii="Arial" w:hAnsi="Arial" w:cs="Arial"/>
                <w:noProof/>
                <w:sz w:val="21"/>
                <w:szCs w:val="21"/>
                <w:lang w:val="hu-HU"/>
              </w:rPr>
              <w:t>20</w:t>
            </w:r>
            <w:r w:rsidR="003413CA">
              <w:rPr>
                <w:rFonts w:ascii="Arial" w:hAnsi="Arial" w:cs="Arial"/>
                <w:noProof/>
                <w:sz w:val="21"/>
                <w:szCs w:val="21"/>
                <w:lang w:val="hu-HU"/>
              </w:rPr>
              <w:t>20 (</w:t>
            </w:r>
            <w:r w:rsidR="003413CA" w:rsidRPr="003413CA">
              <w:rPr>
                <w:rFonts w:ascii="Arial" w:hAnsi="Arial" w:cs="Arial"/>
                <w:noProof/>
                <w:sz w:val="21"/>
                <w:szCs w:val="21"/>
                <w:lang w:val="hu-HU"/>
              </w:rPr>
              <w:t>https://www.bi.go.id/sdds/SeriesGroup/06_ConsumerPriceIndicies.xls</w:t>
            </w:r>
            <w:r w:rsidR="003413CA" w:rsidRPr="003413CA" w:rsidDel="003413CA">
              <w:rPr>
                <w:rFonts w:ascii="Arial" w:hAnsi="Arial" w:cs="Arial"/>
                <w:noProof/>
                <w:sz w:val="21"/>
                <w:szCs w:val="21"/>
                <w:lang w:val="hu-HU"/>
              </w:rPr>
              <w:t xml:space="preserve"> </w:t>
            </w:r>
            <w:r w:rsidR="003413CA">
              <w:rPr>
                <w:rFonts w:ascii="Arial" w:hAnsi="Arial" w:cs="Arial"/>
                <w:noProof/>
                <w:sz w:val="21"/>
                <w:szCs w:val="21"/>
                <w:lang w:val="hu-HU"/>
              </w:rPr>
              <w:t>)</w:t>
            </w:r>
          </w:p>
        </w:tc>
        <w:tc>
          <w:tcPr>
            <w:tcW w:w="284" w:type="dxa"/>
          </w:tcPr>
          <w:p w14:paraId="2F9D4759"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3FC6EF42" w14:textId="3BA08B33" w:rsidR="007A16EF" w:rsidRPr="007A16EF" w:rsidRDefault="00122536" w:rsidP="008E0C60">
            <w:pPr>
              <w:spacing w:before="120" w:after="120"/>
              <w:ind w:left="2018"/>
              <w:jc w:val="both"/>
              <w:rPr>
                <w:rFonts w:ascii="Arial" w:hAnsi="Arial" w:cs="Arial"/>
                <w:sz w:val="21"/>
                <w:szCs w:val="21"/>
              </w:rPr>
            </w:pP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w:t>
            </w:r>
            <w:r w:rsidRPr="00D374A8">
              <w:rPr>
                <w:rFonts w:ascii="Arial" w:hAnsi="Arial" w:cs="Arial"/>
                <w:noProof/>
                <w:color w:val="FF0000"/>
                <w:sz w:val="21"/>
                <w:szCs w:val="21"/>
                <w:lang w:val="hu-HU"/>
              </w:rPr>
              <w:t>[…]</w:t>
            </w:r>
            <w:r w:rsidR="00E20CE3">
              <w:rPr>
                <w:rFonts w:ascii="Arial" w:hAnsi="Arial" w:cs="Arial"/>
                <w:noProof/>
                <w:color w:val="FF0000"/>
                <w:sz w:val="21"/>
                <w:szCs w:val="21"/>
                <w:lang w:val="hu-HU"/>
              </w:rPr>
              <w:t xml:space="preserve"> </w:t>
            </w:r>
            <w:r w:rsidR="00E20CE3">
              <w:rPr>
                <w:rFonts w:ascii="Arial" w:hAnsi="Arial" w:cs="Arial"/>
                <w:noProof/>
                <w:sz w:val="21"/>
                <w:szCs w:val="21"/>
                <w:lang w:val="hu-HU"/>
              </w:rPr>
              <w:t>Indeks Harga Kunsumen</w:t>
            </w:r>
            <w:r w:rsidR="00E20CE3" w:rsidRPr="00D374A8">
              <w:rPr>
                <w:rFonts w:ascii="Arial" w:hAnsi="Arial" w:cs="Arial"/>
                <w:noProof/>
                <w:sz w:val="21"/>
                <w:szCs w:val="21"/>
                <w:lang w:val="hu-HU"/>
              </w:rPr>
              <w:t xml:space="preserve"> </w:t>
            </w:r>
            <w:r>
              <w:rPr>
                <w:rFonts w:ascii="Arial" w:hAnsi="Arial" w:cs="Arial"/>
                <w:noProof/>
                <w:sz w:val="21"/>
                <w:szCs w:val="21"/>
                <w:lang w:val="hu-HU"/>
              </w:rPr>
              <w:t>untuk</w:t>
            </w:r>
            <w:r w:rsidRPr="00D374A8">
              <w:rPr>
                <w:rFonts w:ascii="Arial" w:hAnsi="Arial" w:cs="Arial"/>
                <w:noProof/>
                <w:sz w:val="21"/>
                <w:szCs w:val="21"/>
                <w:lang w:val="hu-HU"/>
              </w:rPr>
              <w:t xml:space="preserve"> 2019</w:t>
            </w:r>
            <w:r w:rsidR="00073A9E">
              <w:rPr>
                <w:rFonts w:ascii="Arial" w:hAnsi="Arial" w:cs="Arial"/>
                <w:noProof/>
                <w:sz w:val="21"/>
                <w:szCs w:val="21"/>
                <w:lang w:val="hu-HU"/>
              </w:rPr>
              <w:t xml:space="preserve"> [(</w:t>
            </w:r>
            <w:r w:rsidR="00073A9E" w:rsidRPr="003413CA">
              <w:rPr>
                <w:rFonts w:ascii="Arial" w:hAnsi="Arial" w:cs="Arial"/>
                <w:noProof/>
                <w:sz w:val="21"/>
                <w:szCs w:val="21"/>
                <w:lang w:val="hu-HU"/>
              </w:rPr>
              <w:t>https://www.bi.go.id/sdds/SeriesGroup/06_ConsumerPriceIndicies.xls</w:t>
            </w:r>
            <w:r w:rsidR="00073A9E" w:rsidRPr="003413CA" w:rsidDel="003413CA">
              <w:rPr>
                <w:rFonts w:ascii="Arial" w:hAnsi="Arial" w:cs="Arial"/>
                <w:noProof/>
                <w:sz w:val="21"/>
                <w:szCs w:val="21"/>
                <w:lang w:val="hu-HU"/>
              </w:rPr>
              <w:t xml:space="preserve"> </w:t>
            </w:r>
            <w:r w:rsidR="00073A9E">
              <w:rPr>
                <w:rFonts w:ascii="Arial" w:hAnsi="Arial" w:cs="Arial"/>
                <w:noProof/>
                <w:sz w:val="21"/>
                <w:szCs w:val="21"/>
                <w:lang w:val="hu-HU"/>
              </w:rPr>
              <w:t>)]</w:t>
            </w:r>
          </w:p>
        </w:tc>
      </w:tr>
      <w:tr w:rsidR="007A16EF" w:rsidRPr="00FA0219" w14:paraId="72BAE0FB" w14:textId="77777777" w:rsidTr="00291AD9">
        <w:tc>
          <w:tcPr>
            <w:tcW w:w="4644" w:type="dxa"/>
          </w:tcPr>
          <w:p w14:paraId="756B3E9D" w14:textId="1908E65E" w:rsidR="007A16EF" w:rsidRPr="00D374A8" w:rsidRDefault="007A16EF" w:rsidP="008E0C60">
            <w:pPr>
              <w:pStyle w:val="MarginText"/>
              <w:spacing w:before="120" w:after="120" w:line="240" w:lineRule="auto"/>
              <w:ind w:left="1701"/>
              <w:rPr>
                <w:rFonts w:ascii="Arial" w:hAnsi="Arial" w:cs="Arial"/>
                <w:noProof/>
                <w:sz w:val="21"/>
                <w:szCs w:val="21"/>
                <w:lang w:val="hu-HU"/>
              </w:rPr>
            </w:pPr>
            <w:r w:rsidRPr="00D374A8">
              <w:rPr>
                <w:rFonts w:ascii="Arial" w:hAnsi="Arial" w:cs="Arial"/>
                <w:noProof/>
                <w:sz w:val="21"/>
                <w:szCs w:val="21"/>
                <w:lang w:val="hu-HU"/>
              </w:rPr>
              <w:t xml:space="preserve">For the avoidance of doubt, </w:t>
            </w: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 xml:space="preserve">mt </w:t>
            </w:r>
            <w:r w:rsidRPr="00D374A8">
              <w:rPr>
                <w:rFonts w:ascii="Arial" w:hAnsi="Arial" w:cs="Arial"/>
                <w:noProof/>
                <w:sz w:val="21"/>
                <w:szCs w:val="21"/>
                <w:lang w:val="hu-HU"/>
              </w:rPr>
              <w:t xml:space="preserve">and </w:t>
            </w: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shall be base indices with the same base year (currently [</w:t>
            </w:r>
            <w:r w:rsidRPr="00D374A8">
              <w:rPr>
                <w:rFonts w:ascii="Arial" w:hAnsi="Arial" w:cs="Arial"/>
                <w:noProof/>
                <w:color w:val="FF0000"/>
                <w:sz w:val="21"/>
                <w:szCs w:val="21"/>
                <w:lang w:val="hu-HU"/>
              </w:rPr>
              <w:t>201</w:t>
            </w:r>
            <w:r w:rsidR="003413CA">
              <w:rPr>
                <w:rFonts w:ascii="Arial" w:hAnsi="Arial" w:cs="Arial"/>
                <w:noProof/>
                <w:color w:val="FF0000"/>
                <w:sz w:val="21"/>
                <w:szCs w:val="21"/>
                <w:lang w:val="hu-HU"/>
              </w:rPr>
              <w:t>8</w:t>
            </w:r>
            <w:r w:rsidRPr="00D374A8">
              <w:rPr>
                <w:rFonts w:ascii="Arial" w:hAnsi="Arial" w:cs="Arial"/>
                <w:noProof/>
                <w:sz w:val="21"/>
                <w:szCs w:val="21"/>
                <w:lang w:val="hu-HU"/>
              </w:rPr>
              <w:t xml:space="preserve">] in </w:t>
            </w:r>
            <w:r w:rsidR="003413CA" w:rsidRPr="003413CA">
              <w:rPr>
                <w:rFonts w:ascii="Arial" w:hAnsi="Arial" w:cs="Arial"/>
                <w:noProof/>
                <w:sz w:val="21"/>
                <w:szCs w:val="21"/>
                <w:lang w:val="hu-HU"/>
              </w:rPr>
              <w:t xml:space="preserve">Badan Pusat Statistik </w:t>
            </w:r>
            <w:r w:rsidRPr="00D374A8">
              <w:rPr>
                <w:rFonts w:ascii="Arial" w:hAnsi="Arial" w:cs="Arial"/>
                <w:noProof/>
                <w:sz w:val="21"/>
                <w:szCs w:val="21"/>
                <w:lang w:val="hu-HU"/>
              </w:rPr>
              <w:t>publications).</w:t>
            </w:r>
          </w:p>
        </w:tc>
        <w:tc>
          <w:tcPr>
            <w:tcW w:w="284" w:type="dxa"/>
          </w:tcPr>
          <w:p w14:paraId="2E4DF6FC"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0008F565" w14:textId="057A5887" w:rsidR="00122536" w:rsidRPr="00186054" w:rsidRDefault="00122536" w:rsidP="00073A9E">
            <w:pPr>
              <w:spacing w:before="120" w:after="120"/>
              <w:ind w:left="2018"/>
              <w:jc w:val="both"/>
              <w:rPr>
                <w:rFonts w:ascii="Arial" w:hAnsi="Arial" w:cs="Arial"/>
                <w:noProof/>
                <w:sz w:val="21"/>
                <w:szCs w:val="21"/>
                <w:lang w:val="hu-HU"/>
              </w:rPr>
            </w:pPr>
            <w:r w:rsidRPr="00D374A8">
              <w:rPr>
                <w:rFonts w:ascii="Arial" w:hAnsi="Arial" w:cs="Arial"/>
                <w:noProof/>
                <w:sz w:val="21"/>
                <w:szCs w:val="21"/>
                <w:lang w:val="hu-HU"/>
              </w:rPr>
              <w:t xml:space="preserve">For the avoidance of doubt, </w:t>
            </w: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 xml:space="preserve">mt </w:t>
            </w:r>
            <w:r w:rsidRPr="00D374A8">
              <w:rPr>
                <w:rFonts w:ascii="Arial" w:hAnsi="Arial" w:cs="Arial"/>
                <w:noProof/>
                <w:sz w:val="21"/>
                <w:szCs w:val="21"/>
                <w:lang w:val="hu-HU"/>
              </w:rPr>
              <w:t xml:space="preserve">and </w:t>
            </w:r>
            <w:r w:rsidRPr="00D374A8">
              <w:rPr>
                <w:rFonts w:ascii="Arial" w:hAnsi="Arial" w:cs="Arial"/>
                <w:b/>
                <w:i/>
                <w:noProof/>
                <w:sz w:val="21"/>
                <w:szCs w:val="21"/>
                <w:lang w:val="hu-HU"/>
              </w:rPr>
              <w:t>CPI</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harus merupakan indeks dasar dengan tahun dasar yang sama (</w:t>
            </w:r>
            <w:r>
              <w:rPr>
                <w:rFonts w:ascii="Arial" w:hAnsi="Arial" w:cs="Arial"/>
                <w:noProof/>
                <w:sz w:val="21"/>
                <w:szCs w:val="21"/>
                <w:lang w:val="hu-HU"/>
              </w:rPr>
              <w:t>pada saat ini</w:t>
            </w:r>
            <w:r w:rsidR="00073A9E">
              <w:rPr>
                <w:rFonts w:ascii="Arial" w:hAnsi="Arial" w:cs="Arial"/>
                <w:noProof/>
                <w:sz w:val="21"/>
                <w:szCs w:val="21"/>
                <w:lang w:val="hu-HU"/>
              </w:rPr>
              <w:t xml:space="preserve"> [2018] dalam</w:t>
            </w:r>
            <w:r>
              <w:rPr>
                <w:rFonts w:ascii="Arial" w:hAnsi="Arial" w:cs="Arial"/>
                <w:noProof/>
                <w:sz w:val="21"/>
                <w:szCs w:val="21"/>
                <w:lang w:val="hu-HU"/>
              </w:rPr>
              <w:t xml:space="preserve"> publikasi</w:t>
            </w:r>
            <w:r w:rsidRPr="00D374A8">
              <w:rPr>
                <w:rFonts w:ascii="Arial" w:hAnsi="Arial" w:cs="Arial"/>
                <w:noProof/>
                <w:sz w:val="21"/>
                <w:szCs w:val="21"/>
                <w:lang w:val="hu-HU"/>
              </w:rPr>
              <w:t xml:space="preserve"> </w:t>
            </w:r>
            <w:r w:rsidR="00073A9E">
              <w:rPr>
                <w:rFonts w:ascii="Arial" w:hAnsi="Arial" w:cs="Arial"/>
                <w:noProof/>
                <w:sz w:val="21"/>
                <w:szCs w:val="21"/>
                <w:lang w:val="hu-HU"/>
              </w:rPr>
              <w:t>Badan Pusat Statistik</w:t>
            </w:r>
            <w:r w:rsidRPr="00D374A8">
              <w:rPr>
                <w:rFonts w:ascii="Arial" w:hAnsi="Arial" w:cs="Arial"/>
                <w:noProof/>
                <w:sz w:val="21"/>
                <w:szCs w:val="21"/>
                <w:lang w:val="hu-HU"/>
              </w:rPr>
              <w:t>.</w:t>
            </w:r>
          </w:p>
        </w:tc>
      </w:tr>
      <w:tr w:rsidR="007A16EF" w:rsidRPr="00FA0219" w14:paraId="0E4969BE" w14:textId="77777777" w:rsidTr="00291AD9">
        <w:tc>
          <w:tcPr>
            <w:tcW w:w="4644" w:type="dxa"/>
          </w:tcPr>
          <w:p w14:paraId="32F42D22" w14:textId="21417030" w:rsidR="007A16EF" w:rsidRPr="00D374A8" w:rsidRDefault="007A16EF" w:rsidP="008E0C60">
            <w:pPr>
              <w:pStyle w:val="MarginText"/>
              <w:spacing w:before="120" w:after="120" w:line="240" w:lineRule="auto"/>
              <w:ind w:left="1701"/>
              <w:rPr>
                <w:rFonts w:ascii="Arial" w:hAnsi="Arial" w:cs="Arial"/>
                <w:b/>
                <w:i/>
                <w:noProof/>
                <w:sz w:val="21"/>
                <w:szCs w:val="21"/>
                <w:lang w:val="hu-HU"/>
              </w:rPr>
            </w:pPr>
            <w:r w:rsidRPr="00D374A8">
              <w:rPr>
                <w:rFonts w:ascii="Arial" w:hAnsi="Arial" w:cs="Arial"/>
                <w:b/>
                <w:i/>
                <w:noProof/>
                <w:sz w:val="21"/>
                <w:szCs w:val="21"/>
                <w:lang w:val="hu-HU"/>
              </w:rPr>
              <w:t>FX</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Monthly average of daily IDR to USD rates as published by </w:t>
            </w:r>
            <w:r w:rsidRPr="00D374A8">
              <w:rPr>
                <w:rFonts w:ascii="Arial" w:hAnsi="Arial" w:cs="Arial"/>
                <w:noProof/>
                <w:color w:val="FF0000"/>
                <w:sz w:val="21"/>
                <w:szCs w:val="21"/>
                <w:lang w:val="hu-HU"/>
              </w:rPr>
              <w:t>Bank Indonesia</w:t>
            </w:r>
            <w:r w:rsidR="00601291">
              <w:rPr>
                <w:rFonts w:ascii="Arial" w:hAnsi="Arial" w:cs="Arial"/>
                <w:noProof/>
                <w:color w:val="FF0000"/>
                <w:sz w:val="21"/>
                <w:szCs w:val="21"/>
                <w:lang w:val="hu-HU"/>
              </w:rPr>
              <w:t xml:space="preserve"> (</w:t>
            </w:r>
            <w:r w:rsidR="00601291" w:rsidRPr="00601291">
              <w:rPr>
                <w:rFonts w:ascii="Arial" w:hAnsi="Arial" w:cs="Arial"/>
                <w:noProof/>
                <w:color w:val="FF0000"/>
                <w:sz w:val="21"/>
                <w:szCs w:val="21"/>
                <w:lang w:val="hu-HU"/>
              </w:rPr>
              <w:t>https://www.bi.go.id/en/moneter/informasi-kurs/referensi-jisdor/Default.aspx</w:t>
            </w:r>
            <w:r w:rsidR="00601291">
              <w:rPr>
                <w:rFonts w:ascii="Arial" w:hAnsi="Arial" w:cs="Arial"/>
                <w:noProof/>
                <w:color w:val="FF0000"/>
                <w:sz w:val="21"/>
                <w:szCs w:val="21"/>
                <w:lang w:val="hu-HU"/>
              </w:rPr>
              <w:t>)</w:t>
            </w:r>
            <w:r w:rsidRPr="00D374A8">
              <w:rPr>
                <w:rFonts w:ascii="Arial" w:hAnsi="Arial" w:cs="Arial"/>
                <w:noProof/>
                <w:sz w:val="21"/>
                <w:szCs w:val="21"/>
                <w:lang w:val="hu-HU"/>
              </w:rPr>
              <w:t xml:space="preserve"> in month </w:t>
            </w:r>
            <w:r w:rsidRPr="00D374A8">
              <w:rPr>
                <w:rFonts w:ascii="Arial" w:hAnsi="Arial" w:cs="Arial"/>
                <w:i/>
                <w:noProof/>
                <w:sz w:val="21"/>
                <w:szCs w:val="21"/>
                <w:lang w:val="hu-HU"/>
              </w:rPr>
              <w:t>m</w:t>
            </w:r>
            <w:r w:rsidRPr="00D374A8">
              <w:rPr>
                <w:rFonts w:ascii="Arial" w:hAnsi="Arial" w:cs="Arial"/>
                <w:noProof/>
                <w:sz w:val="21"/>
                <w:szCs w:val="21"/>
                <w:lang w:val="hu-HU"/>
              </w:rPr>
              <w:t xml:space="preserve"> in year </w:t>
            </w:r>
            <w:r w:rsidRPr="00D374A8">
              <w:rPr>
                <w:rFonts w:ascii="Arial" w:hAnsi="Arial" w:cs="Arial"/>
                <w:i/>
                <w:noProof/>
                <w:sz w:val="21"/>
                <w:szCs w:val="21"/>
                <w:lang w:val="hu-HU"/>
              </w:rPr>
              <w:t>t</w:t>
            </w:r>
          </w:p>
        </w:tc>
        <w:tc>
          <w:tcPr>
            <w:tcW w:w="284" w:type="dxa"/>
          </w:tcPr>
          <w:p w14:paraId="5C744DA9"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74D44434" w14:textId="7BEF6BFB" w:rsidR="007A16EF" w:rsidRPr="007A16EF" w:rsidRDefault="00122536" w:rsidP="008E0C60">
            <w:pPr>
              <w:spacing w:before="120" w:after="120"/>
              <w:ind w:left="2018"/>
              <w:jc w:val="both"/>
              <w:rPr>
                <w:rFonts w:ascii="Arial" w:hAnsi="Arial" w:cs="Arial"/>
                <w:sz w:val="21"/>
                <w:szCs w:val="21"/>
              </w:rPr>
            </w:pPr>
            <w:r w:rsidRPr="00D374A8">
              <w:rPr>
                <w:rFonts w:ascii="Arial" w:hAnsi="Arial" w:cs="Arial"/>
                <w:b/>
                <w:i/>
                <w:noProof/>
                <w:sz w:val="21"/>
                <w:szCs w:val="21"/>
                <w:lang w:val="hu-HU"/>
              </w:rPr>
              <w:t>FX</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Pr>
                <w:rFonts w:ascii="Arial" w:hAnsi="Arial" w:cs="Arial"/>
                <w:noProof/>
                <w:sz w:val="21"/>
                <w:szCs w:val="21"/>
                <w:lang w:val="hu-HU"/>
              </w:rPr>
              <w:t>Kurs rata-rata bulanan IDR terhadap USD sebagaimana diterb</w:t>
            </w:r>
            <w:r w:rsidR="00582B22">
              <w:rPr>
                <w:rFonts w:ascii="Arial" w:hAnsi="Arial" w:cs="Arial"/>
                <w:noProof/>
                <w:sz w:val="21"/>
                <w:szCs w:val="21"/>
                <w:lang w:val="hu-HU"/>
              </w:rPr>
              <w:t>i</w:t>
            </w:r>
            <w:r>
              <w:rPr>
                <w:rFonts w:ascii="Arial" w:hAnsi="Arial" w:cs="Arial"/>
                <w:noProof/>
                <w:sz w:val="21"/>
                <w:szCs w:val="21"/>
                <w:lang w:val="hu-HU"/>
              </w:rPr>
              <w:t xml:space="preserve">tkan oleh </w:t>
            </w:r>
            <w:r w:rsidRPr="00D374A8">
              <w:rPr>
                <w:rFonts w:ascii="Arial" w:hAnsi="Arial" w:cs="Arial"/>
                <w:noProof/>
                <w:color w:val="FF0000"/>
                <w:sz w:val="21"/>
                <w:szCs w:val="21"/>
                <w:lang w:val="hu-HU"/>
              </w:rPr>
              <w:t>[Bank Indonesia]</w:t>
            </w:r>
            <w:r w:rsidRPr="00D374A8">
              <w:rPr>
                <w:rFonts w:ascii="Arial" w:hAnsi="Arial" w:cs="Arial"/>
                <w:noProof/>
                <w:sz w:val="21"/>
                <w:szCs w:val="21"/>
                <w:lang w:val="hu-HU"/>
              </w:rPr>
              <w:t xml:space="preserve"> </w:t>
            </w:r>
            <w:r w:rsidR="00073A9E">
              <w:rPr>
                <w:rFonts w:ascii="Arial" w:hAnsi="Arial" w:cs="Arial"/>
                <w:noProof/>
                <w:color w:val="FF0000"/>
                <w:sz w:val="21"/>
                <w:szCs w:val="21"/>
                <w:lang w:val="hu-HU"/>
              </w:rPr>
              <w:t>(</w:t>
            </w:r>
            <w:r w:rsidR="00073A9E" w:rsidRPr="00601291">
              <w:rPr>
                <w:rFonts w:ascii="Arial" w:hAnsi="Arial" w:cs="Arial"/>
                <w:noProof/>
                <w:color w:val="FF0000"/>
                <w:sz w:val="21"/>
                <w:szCs w:val="21"/>
                <w:lang w:val="hu-HU"/>
              </w:rPr>
              <w:t>https://www.bi.go.id/en/moneter/informasi-kurs/referensi-jisdor/Default.aspx</w:t>
            </w:r>
            <w:r w:rsidR="00073A9E">
              <w:rPr>
                <w:rFonts w:ascii="Arial" w:hAnsi="Arial" w:cs="Arial"/>
                <w:noProof/>
                <w:color w:val="FF0000"/>
                <w:sz w:val="21"/>
                <w:szCs w:val="21"/>
                <w:lang w:val="hu-HU"/>
              </w:rPr>
              <w:t>)</w:t>
            </w:r>
            <w:r w:rsidR="00073A9E" w:rsidRPr="00D374A8">
              <w:rPr>
                <w:rFonts w:ascii="Arial" w:hAnsi="Arial" w:cs="Arial"/>
                <w:noProof/>
                <w:sz w:val="21"/>
                <w:szCs w:val="21"/>
                <w:lang w:val="hu-HU"/>
              </w:rPr>
              <w:t xml:space="preserve"> </w:t>
            </w:r>
            <w:r>
              <w:rPr>
                <w:rFonts w:ascii="Arial" w:hAnsi="Arial" w:cs="Arial"/>
                <w:noProof/>
                <w:sz w:val="21"/>
                <w:szCs w:val="21"/>
                <w:lang w:val="hu-HU"/>
              </w:rPr>
              <w:t>pada bulan</w:t>
            </w:r>
            <w:r w:rsidRPr="00D374A8">
              <w:rPr>
                <w:rFonts w:ascii="Arial" w:hAnsi="Arial" w:cs="Arial"/>
                <w:noProof/>
                <w:sz w:val="21"/>
                <w:szCs w:val="21"/>
                <w:lang w:val="hu-HU"/>
              </w:rPr>
              <w:t xml:space="preserve"> </w:t>
            </w:r>
            <w:r w:rsidRPr="00D374A8">
              <w:rPr>
                <w:rFonts w:ascii="Arial" w:hAnsi="Arial" w:cs="Arial"/>
                <w:i/>
                <w:noProof/>
                <w:sz w:val="21"/>
                <w:szCs w:val="21"/>
                <w:lang w:val="hu-HU"/>
              </w:rPr>
              <w:t>m</w:t>
            </w:r>
            <w:r w:rsidRPr="00D374A8">
              <w:rPr>
                <w:rFonts w:ascii="Arial" w:hAnsi="Arial" w:cs="Arial"/>
                <w:noProof/>
                <w:sz w:val="21"/>
                <w:szCs w:val="21"/>
                <w:lang w:val="hu-HU"/>
              </w:rPr>
              <w:t xml:space="preserve"> </w:t>
            </w:r>
            <w:r>
              <w:rPr>
                <w:rFonts w:ascii="Arial" w:hAnsi="Arial" w:cs="Arial"/>
                <w:noProof/>
                <w:sz w:val="21"/>
                <w:szCs w:val="21"/>
                <w:lang w:val="hu-HU"/>
              </w:rPr>
              <w:t>di</w:t>
            </w:r>
            <w:r w:rsidRPr="00D374A8">
              <w:rPr>
                <w:rFonts w:ascii="Arial" w:hAnsi="Arial" w:cs="Arial"/>
                <w:noProof/>
                <w:sz w:val="21"/>
                <w:szCs w:val="21"/>
                <w:lang w:val="hu-HU"/>
              </w:rPr>
              <w:t xml:space="preserve"> </w:t>
            </w:r>
            <w:r>
              <w:rPr>
                <w:rFonts w:ascii="Arial" w:hAnsi="Arial" w:cs="Arial"/>
                <w:noProof/>
                <w:sz w:val="21"/>
                <w:szCs w:val="21"/>
                <w:lang w:val="hu-HU"/>
              </w:rPr>
              <w:t>tahun</w:t>
            </w:r>
            <w:r w:rsidRPr="00D374A8">
              <w:rPr>
                <w:rFonts w:ascii="Arial" w:hAnsi="Arial" w:cs="Arial"/>
                <w:noProof/>
                <w:sz w:val="21"/>
                <w:szCs w:val="21"/>
                <w:lang w:val="hu-HU"/>
              </w:rPr>
              <w:t xml:space="preserve"> </w:t>
            </w:r>
            <w:r w:rsidRPr="00D374A8">
              <w:rPr>
                <w:rFonts w:ascii="Arial" w:hAnsi="Arial" w:cs="Arial"/>
                <w:i/>
                <w:noProof/>
                <w:sz w:val="21"/>
                <w:szCs w:val="21"/>
                <w:lang w:val="hu-HU"/>
              </w:rPr>
              <w:t>t</w:t>
            </w:r>
          </w:p>
        </w:tc>
      </w:tr>
      <w:tr w:rsidR="007A16EF" w:rsidRPr="00FA0219" w14:paraId="7DE5FFBF" w14:textId="77777777" w:rsidTr="00291AD9">
        <w:tc>
          <w:tcPr>
            <w:tcW w:w="4644" w:type="dxa"/>
          </w:tcPr>
          <w:p w14:paraId="31009589" w14:textId="6FE4C295" w:rsidR="007A16EF" w:rsidRPr="00D374A8" w:rsidRDefault="007A16EF" w:rsidP="008E0C60">
            <w:pPr>
              <w:pStyle w:val="MarginText"/>
              <w:spacing w:before="120" w:after="120" w:line="240" w:lineRule="auto"/>
              <w:ind w:left="1701"/>
              <w:rPr>
                <w:rFonts w:ascii="Arial" w:hAnsi="Arial" w:cs="Arial"/>
                <w:noProof/>
                <w:sz w:val="21"/>
                <w:szCs w:val="21"/>
                <w:lang w:val="hu-HU"/>
              </w:rPr>
            </w:pPr>
            <w:r w:rsidRPr="00D374A8">
              <w:rPr>
                <w:rFonts w:ascii="Arial" w:hAnsi="Arial" w:cs="Arial"/>
                <w:b/>
                <w:i/>
                <w:noProof/>
                <w:sz w:val="21"/>
                <w:szCs w:val="21"/>
                <w:lang w:val="hu-HU"/>
              </w:rPr>
              <w:t>FX</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 13,882.5</w:t>
            </w:r>
          </w:p>
        </w:tc>
        <w:tc>
          <w:tcPr>
            <w:tcW w:w="284" w:type="dxa"/>
          </w:tcPr>
          <w:p w14:paraId="7E75709F"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7A6E8B61" w14:textId="7B59C084" w:rsidR="007A16EF" w:rsidRPr="007A16EF" w:rsidRDefault="00122536" w:rsidP="008E0C60">
            <w:pPr>
              <w:spacing w:before="120" w:after="120"/>
              <w:ind w:left="2018"/>
              <w:jc w:val="both"/>
              <w:rPr>
                <w:rFonts w:ascii="Arial" w:hAnsi="Arial" w:cs="Arial"/>
                <w:sz w:val="21"/>
                <w:szCs w:val="21"/>
              </w:rPr>
            </w:pPr>
            <w:r w:rsidRPr="00D374A8">
              <w:rPr>
                <w:rFonts w:ascii="Arial" w:hAnsi="Arial" w:cs="Arial"/>
                <w:b/>
                <w:i/>
                <w:noProof/>
                <w:sz w:val="21"/>
                <w:szCs w:val="21"/>
                <w:lang w:val="hu-HU"/>
              </w:rPr>
              <w:t>FX</w:t>
            </w:r>
            <w:r w:rsidRPr="00D374A8">
              <w:rPr>
                <w:rFonts w:ascii="Arial" w:hAnsi="Arial" w:cs="Arial"/>
                <w:b/>
                <w:i/>
                <w:noProof/>
                <w:sz w:val="21"/>
                <w:szCs w:val="21"/>
                <w:vertAlign w:val="subscript"/>
                <w:lang w:val="hu-HU"/>
              </w:rPr>
              <w:t>2019</w:t>
            </w:r>
            <w:r w:rsidRPr="00D374A8">
              <w:rPr>
                <w:rFonts w:ascii="Arial" w:hAnsi="Arial" w:cs="Arial"/>
                <w:noProof/>
                <w:sz w:val="21"/>
                <w:szCs w:val="21"/>
                <w:lang w:val="hu-HU"/>
              </w:rPr>
              <w:t xml:space="preserve"> = 13,882.5</w:t>
            </w:r>
          </w:p>
        </w:tc>
      </w:tr>
      <w:tr w:rsidR="008E0C60" w:rsidRPr="00FA0219" w14:paraId="285F876D" w14:textId="77777777" w:rsidTr="00291AD9">
        <w:tc>
          <w:tcPr>
            <w:tcW w:w="4644" w:type="dxa"/>
          </w:tcPr>
          <w:p w14:paraId="68E743F6" w14:textId="5D61F9AB" w:rsidR="008E0C60" w:rsidRPr="00D374A8" w:rsidRDefault="008E0C60" w:rsidP="008E0C60">
            <w:pPr>
              <w:pStyle w:val="MarginText"/>
              <w:spacing w:before="120" w:after="120" w:line="240" w:lineRule="auto"/>
              <w:ind w:left="1134"/>
              <w:rPr>
                <w:rFonts w:ascii="Arial" w:hAnsi="Arial" w:cs="Arial"/>
                <w:b/>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o </w:t>
            </w:r>
            <w:r w:rsidRPr="00D374A8">
              <w:rPr>
                <w:rFonts w:ascii="Arial" w:hAnsi="Arial" w:cs="Arial"/>
                <w:b/>
                <w:i/>
                <w:noProof/>
                <w:sz w:val="21"/>
                <w:szCs w:val="21"/>
                <w:lang w:val="hu-HU"/>
              </w:rPr>
              <w:t>= CPI</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2019</w:t>
            </w:r>
          </w:p>
        </w:tc>
        <w:tc>
          <w:tcPr>
            <w:tcW w:w="284" w:type="dxa"/>
          </w:tcPr>
          <w:p w14:paraId="0B272C68" w14:textId="77777777" w:rsidR="008E0C60" w:rsidRPr="007A16EF" w:rsidRDefault="008E0C60" w:rsidP="008E0C60">
            <w:pPr>
              <w:spacing w:before="120" w:after="120"/>
              <w:ind w:left="428"/>
              <w:jc w:val="both"/>
              <w:rPr>
                <w:rFonts w:ascii="Arial" w:hAnsi="Arial" w:cs="Arial"/>
                <w:sz w:val="21"/>
                <w:szCs w:val="21"/>
              </w:rPr>
            </w:pPr>
          </w:p>
        </w:tc>
        <w:tc>
          <w:tcPr>
            <w:tcW w:w="4425" w:type="dxa"/>
          </w:tcPr>
          <w:p w14:paraId="78DF44CE" w14:textId="12B3EAC4" w:rsidR="008E0C60" w:rsidRPr="00D374A8" w:rsidRDefault="008E0C60" w:rsidP="008E0C60">
            <w:pPr>
              <w:spacing w:before="120" w:after="120"/>
              <w:ind w:left="1309"/>
              <w:jc w:val="both"/>
              <w:rPr>
                <w:rFonts w:ascii="Arial" w:hAnsi="Arial" w:cs="Arial"/>
                <w:b/>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o </w:t>
            </w:r>
            <w:r w:rsidRPr="00D374A8">
              <w:rPr>
                <w:rFonts w:ascii="Arial" w:hAnsi="Arial" w:cs="Arial"/>
                <w:b/>
                <w:i/>
                <w:noProof/>
                <w:sz w:val="21"/>
                <w:szCs w:val="21"/>
                <w:lang w:val="hu-HU"/>
              </w:rPr>
              <w:t>= CPI</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CPI</w:t>
            </w:r>
            <w:r w:rsidRPr="00D374A8">
              <w:rPr>
                <w:rFonts w:ascii="Arial" w:hAnsi="Arial" w:cs="Arial"/>
                <w:b/>
                <w:i/>
                <w:noProof/>
                <w:sz w:val="21"/>
                <w:szCs w:val="21"/>
                <w:vertAlign w:val="subscript"/>
                <w:lang w:val="hu-HU"/>
              </w:rPr>
              <w:t>2019</w:t>
            </w:r>
          </w:p>
        </w:tc>
      </w:tr>
      <w:tr w:rsidR="00122536" w:rsidRPr="00FA0219" w14:paraId="3C6E6369" w14:textId="77777777" w:rsidTr="00291AD9">
        <w:tc>
          <w:tcPr>
            <w:tcW w:w="4644" w:type="dxa"/>
          </w:tcPr>
          <w:p w14:paraId="529D2AEA" w14:textId="1EE2847B" w:rsidR="00122536" w:rsidRPr="00D374A8" w:rsidRDefault="00122536" w:rsidP="008E0C60">
            <w:pPr>
              <w:pStyle w:val="MarginText"/>
              <w:spacing w:before="120" w:after="120" w:line="240" w:lineRule="auto"/>
              <w:ind w:left="1134"/>
              <w:rPr>
                <w:rFonts w:ascii="Arial" w:hAnsi="Arial" w:cs="Arial"/>
                <w:b/>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d </w:t>
            </w:r>
            <w:r w:rsidRPr="00D374A8">
              <w:rPr>
                <w:rFonts w:ascii="Arial" w:hAnsi="Arial" w:cs="Arial"/>
                <w:b/>
                <w:i/>
                <w:noProof/>
                <w:sz w:val="21"/>
                <w:szCs w:val="21"/>
                <w:lang w:val="hu-HU"/>
              </w:rPr>
              <w:t>=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 xml:space="preserve">2019 </w:t>
            </w:r>
          </w:p>
        </w:tc>
        <w:tc>
          <w:tcPr>
            <w:tcW w:w="284" w:type="dxa"/>
          </w:tcPr>
          <w:p w14:paraId="72843B3B" w14:textId="77777777" w:rsidR="00122536" w:rsidRPr="007A16EF" w:rsidRDefault="00122536" w:rsidP="008E0C60">
            <w:pPr>
              <w:spacing w:before="120" w:after="120"/>
              <w:ind w:left="428"/>
              <w:jc w:val="both"/>
              <w:rPr>
                <w:rFonts w:ascii="Arial" w:hAnsi="Arial" w:cs="Arial"/>
                <w:sz w:val="21"/>
                <w:szCs w:val="21"/>
              </w:rPr>
            </w:pPr>
          </w:p>
        </w:tc>
        <w:tc>
          <w:tcPr>
            <w:tcW w:w="4425" w:type="dxa"/>
          </w:tcPr>
          <w:p w14:paraId="55E139AC" w14:textId="7CC024BE" w:rsidR="00122536" w:rsidRPr="007A16EF" w:rsidRDefault="00122536" w:rsidP="008E0C60">
            <w:pPr>
              <w:spacing w:before="120" w:after="120"/>
              <w:ind w:left="1309"/>
              <w:jc w:val="both"/>
              <w:rPr>
                <w:rFonts w:ascii="Arial" w:hAnsi="Arial" w:cs="Arial"/>
                <w:sz w:val="21"/>
                <w:szCs w:val="21"/>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d </w:t>
            </w:r>
            <w:r w:rsidRPr="00D374A8">
              <w:rPr>
                <w:rFonts w:ascii="Arial" w:hAnsi="Arial" w:cs="Arial"/>
                <w:b/>
                <w:i/>
                <w:noProof/>
                <w:sz w:val="21"/>
                <w:szCs w:val="21"/>
                <w:lang w:val="hu-HU"/>
              </w:rPr>
              <w:t>=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 xml:space="preserve">2019 </w:t>
            </w:r>
          </w:p>
        </w:tc>
      </w:tr>
      <w:tr w:rsidR="00122536" w:rsidRPr="00FA0219" w14:paraId="5E0AE866" w14:textId="77777777" w:rsidTr="00291AD9">
        <w:tc>
          <w:tcPr>
            <w:tcW w:w="4644" w:type="dxa"/>
          </w:tcPr>
          <w:p w14:paraId="54BD65B4" w14:textId="5DD84179" w:rsidR="00122536" w:rsidRPr="00D374A8" w:rsidRDefault="00122536" w:rsidP="008E0C60">
            <w:pPr>
              <w:pStyle w:val="MarginText"/>
              <w:spacing w:before="120" w:after="120" w:line="240" w:lineRule="auto"/>
              <w:ind w:left="1134"/>
              <w:rPr>
                <w:rFonts w:ascii="Arial" w:hAnsi="Arial" w:cs="Arial"/>
                <w:b/>
                <w:i/>
                <w:noProof/>
                <w:sz w:val="21"/>
                <w:szCs w:val="21"/>
                <w:lang w:val="hu-HU"/>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r </w:t>
            </w:r>
            <w:r w:rsidRPr="00D374A8">
              <w:rPr>
                <w:rFonts w:ascii="Arial" w:hAnsi="Arial" w:cs="Arial"/>
                <w:b/>
                <w:i/>
                <w:noProof/>
                <w:sz w:val="21"/>
                <w:szCs w:val="21"/>
                <w:lang w:val="hu-HU"/>
              </w:rPr>
              <w:t>=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 xml:space="preserve">2019 </w:t>
            </w:r>
            <w:r w:rsidRPr="00D374A8">
              <w:rPr>
                <w:rFonts w:ascii="Arial" w:hAnsi="Arial" w:cs="Arial"/>
                <w:b/>
                <w:i/>
                <w:noProof/>
                <w:sz w:val="21"/>
                <w:szCs w:val="21"/>
                <w:lang w:val="hu-HU"/>
              </w:rPr>
              <w:t>x (RFR</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+ 5.45%) / 12.5%</w:t>
            </w:r>
          </w:p>
        </w:tc>
        <w:tc>
          <w:tcPr>
            <w:tcW w:w="284" w:type="dxa"/>
          </w:tcPr>
          <w:p w14:paraId="00F37E9D" w14:textId="77777777" w:rsidR="00122536" w:rsidRPr="007A16EF" w:rsidRDefault="00122536" w:rsidP="008E0C60">
            <w:pPr>
              <w:spacing w:before="120" w:after="120"/>
              <w:ind w:left="428"/>
              <w:jc w:val="both"/>
              <w:rPr>
                <w:rFonts w:ascii="Arial" w:hAnsi="Arial" w:cs="Arial"/>
                <w:sz w:val="21"/>
                <w:szCs w:val="21"/>
              </w:rPr>
            </w:pPr>
          </w:p>
        </w:tc>
        <w:tc>
          <w:tcPr>
            <w:tcW w:w="4425" w:type="dxa"/>
          </w:tcPr>
          <w:p w14:paraId="184D06CF" w14:textId="724E9743" w:rsidR="00122536" w:rsidRPr="007A16EF" w:rsidRDefault="00122536" w:rsidP="008E0C60">
            <w:pPr>
              <w:spacing w:before="120" w:after="120"/>
              <w:ind w:left="1309"/>
              <w:jc w:val="both"/>
              <w:rPr>
                <w:rFonts w:ascii="Arial" w:hAnsi="Arial" w:cs="Arial"/>
                <w:sz w:val="21"/>
                <w:szCs w:val="21"/>
              </w:rPr>
            </w:pP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 xml:space="preserve">r </w:t>
            </w:r>
            <w:r w:rsidRPr="00D374A8">
              <w:rPr>
                <w:rFonts w:ascii="Arial" w:hAnsi="Arial" w:cs="Arial"/>
                <w:b/>
                <w:i/>
                <w:noProof/>
                <w:sz w:val="21"/>
                <w:szCs w:val="21"/>
                <w:lang w:val="hu-HU"/>
              </w:rPr>
              <w:t>= FX</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FX</w:t>
            </w:r>
            <w:r w:rsidRPr="00D374A8">
              <w:rPr>
                <w:rFonts w:ascii="Arial" w:hAnsi="Arial" w:cs="Arial"/>
                <w:b/>
                <w:i/>
                <w:noProof/>
                <w:sz w:val="21"/>
                <w:szCs w:val="21"/>
                <w:vertAlign w:val="subscript"/>
                <w:lang w:val="hu-HU"/>
              </w:rPr>
              <w:t xml:space="preserve">2019 </w:t>
            </w:r>
            <w:r w:rsidRPr="00D374A8">
              <w:rPr>
                <w:rFonts w:ascii="Arial" w:hAnsi="Arial" w:cs="Arial"/>
                <w:b/>
                <w:i/>
                <w:noProof/>
                <w:sz w:val="21"/>
                <w:szCs w:val="21"/>
                <w:lang w:val="hu-HU"/>
              </w:rPr>
              <w:t>x (RFR</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+ 5.45%) / 12.5%</w:t>
            </w:r>
          </w:p>
        </w:tc>
      </w:tr>
      <w:tr w:rsidR="00122536" w:rsidRPr="00FA0219" w14:paraId="09AA55D2" w14:textId="77777777" w:rsidTr="00291AD9">
        <w:tc>
          <w:tcPr>
            <w:tcW w:w="4644" w:type="dxa"/>
          </w:tcPr>
          <w:p w14:paraId="7A09E6F4" w14:textId="22C60497" w:rsidR="00122536" w:rsidRPr="00D374A8" w:rsidRDefault="00122536" w:rsidP="008E0C60">
            <w:pPr>
              <w:pStyle w:val="MarginText"/>
              <w:spacing w:before="120" w:after="120" w:line="240" w:lineRule="auto"/>
              <w:ind w:left="1260"/>
              <w:rPr>
                <w:rFonts w:ascii="Arial" w:hAnsi="Arial" w:cs="Arial"/>
                <w:i/>
                <w:noProof/>
                <w:sz w:val="21"/>
                <w:szCs w:val="21"/>
                <w:lang w:val="hu-HU"/>
              </w:rPr>
            </w:pPr>
            <w:r w:rsidRPr="00D374A8">
              <w:rPr>
                <w:rFonts w:ascii="Arial" w:hAnsi="Arial" w:cs="Arial"/>
                <w:i/>
                <w:noProof/>
                <w:sz w:val="21"/>
                <w:szCs w:val="21"/>
                <w:lang w:val="hu-HU"/>
              </w:rPr>
              <w:t>where:</w:t>
            </w:r>
          </w:p>
        </w:tc>
        <w:tc>
          <w:tcPr>
            <w:tcW w:w="284" w:type="dxa"/>
          </w:tcPr>
          <w:p w14:paraId="68EE1C5E" w14:textId="77777777" w:rsidR="00122536" w:rsidRPr="007A16EF" w:rsidRDefault="00122536" w:rsidP="008E0C60">
            <w:pPr>
              <w:spacing w:before="120" w:after="120"/>
              <w:ind w:left="428"/>
              <w:jc w:val="both"/>
              <w:rPr>
                <w:rFonts w:ascii="Arial" w:hAnsi="Arial" w:cs="Arial"/>
                <w:sz w:val="21"/>
                <w:szCs w:val="21"/>
              </w:rPr>
            </w:pPr>
          </w:p>
        </w:tc>
        <w:tc>
          <w:tcPr>
            <w:tcW w:w="4425" w:type="dxa"/>
          </w:tcPr>
          <w:p w14:paraId="11C33A90" w14:textId="4CE98EB5" w:rsidR="00122536" w:rsidRPr="007A16EF" w:rsidRDefault="00122536" w:rsidP="00291AD9">
            <w:pPr>
              <w:spacing w:before="120" w:after="120"/>
              <w:ind w:left="1451"/>
              <w:jc w:val="both"/>
              <w:rPr>
                <w:rFonts w:ascii="Arial" w:hAnsi="Arial" w:cs="Arial"/>
                <w:sz w:val="21"/>
                <w:szCs w:val="21"/>
              </w:rPr>
            </w:pPr>
            <w:r w:rsidRPr="00D374A8">
              <w:rPr>
                <w:rFonts w:ascii="Arial" w:hAnsi="Arial" w:cs="Arial"/>
                <w:i/>
                <w:noProof/>
                <w:sz w:val="21"/>
                <w:szCs w:val="21"/>
                <w:lang w:val="hu-HU"/>
              </w:rPr>
              <w:t>where:</w:t>
            </w:r>
          </w:p>
        </w:tc>
      </w:tr>
      <w:tr w:rsidR="007A16EF" w:rsidRPr="00FA0219" w14:paraId="6B60140D" w14:textId="77777777" w:rsidTr="00291AD9">
        <w:tc>
          <w:tcPr>
            <w:tcW w:w="4644" w:type="dxa"/>
          </w:tcPr>
          <w:p w14:paraId="3D7B4C0E" w14:textId="660150C0" w:rsidR="007A16EF" w:rsidRPr="00D374A8" w:rsidRDefault="007A16EF" w:rsidP="008E0C60">
            <w:pPr>
              <w:pStyle w:val="MarginText"/>
              <w:spacing w:before="120" w:after="120" w:line="240" w:lineRule="auto"/>
              <w:ind w:left="1890"/>
              <w:rPr>
                <w:rFonts w:ascii="Arial" w:hAnsi="Arial" w:cs="Arial"/>
                <w:noProof/>
                <w:sz w:val="21"/>
                <w:szCs w:val="21"/>
                <w:lang w:val="hu-HU"/>
              </w:rPr>
            </w:pPr>
            <w:r w:rsidRPr="00D374A8">
              <w:rPr>
                <w:rFonts w:ascii="Arial" w:hAnsi="Arial" w:cs="Arial"/>
                <w:b/>
                <w:i/>
                <w:noProof/>
                <w:sz w:val="21"/>
                <w:szCs w:val="21"/>
                <w:lang w:val="hu-HU"/>
              </w:rPr>
              <w:t>RFR</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w:t>
            </w:r>
            <w:r w:rsidRPr="00D374A8">
              <w:rPr>
                <w:rFonts w:ascii="Arial" w:hAnsi="Arial" w:cs="Arial"/>
                <w:noProof/>
                <w:sz w:val="21"/>
                <w:szCs w:val="21"/>
                <w:lang w:val="hu-HU"/>
              </w:rPr>
              <w:t xml:space="preserve">= Indonesian 10 year government bond yield as published by </w:t>
            </w:r>
            <w:r w:rsidRPr="00D374A8">
              <w:rPr>
                <w:rFonts w:ascii="Arial" w:hAnsi="Arial" w:cs="Arial"/>
                <w:noProof/>
                <w:color w:val="FF0000"/>
                <w:sz w:val="21"/>
                <w:szCs w:val="21"/>
                <w:lang w:val="hu-HU"/>
              </w:rPr>
              <w:t>Indonesia</w:t>
            </w:r>
            <w:r w:rsidR="00601291">
              <w:rPr>
                <w:rFonts w:ascii="Arial" w:hAnsi="Arial" w:cs="Arial"/>
                <w:noProof/>
                <w:color w:val="FF0000"/>
                <w:sz w:val="21"/>
                <w:szCs w:val="21"/>
                <w:lang w:val="hu-HU"/>
              </w:rPr>
              <w:t xml:space="preserve"> Stock Exchange (</w:t>
            </w:r>
            <w:r w:rsidR="00601291" w:rsidRPr="00601291">
              <w:rPr>
                <w:rFonts w:ascii="Arial" w:hAnsi="Arial" w:cs="Arial"/>
                <w:noProof/>
                <w:color w:val="FF0000"/>
                <w:sz w:val="21"/>
                <w:szCs w:val="21"/>
                <w:lang w:val="hu-HU"/>
              </w:rPr>
              <w:t>https://www.idx.co.id/data-pasar/data-obligasi-sukuk/indonesia-government-securities-yield-curve-igsyc/</w:t>
            </w:r>
            <w:r w:rsidR="00601291">
              <w:rPr>
                <w:rFonts w:ascii="Arial" w:hAnsi="Arial" w:cs="Arial"/>
                <w:noProof/>
                <w:color w:val="FF0000"/>
                <w:sz w:val="21"/>
                <w:szCs w:val="21"/>
                <w:lang w:val="hu-HU"/>
              </w:rPr>
              <w:t>)</w:t>
            </w:r>
            <w:r w:rsidRPr="00D374A8">
              <w:rPr>
                <w:rFonts w:ascii="Arial" w:hAnsi="Arial" w:cs="Arial"/>
                <w:noProof/>
                <w:color w:val="FF0000"/>
                <w:sz w:val="21"/>
                <w:szCs w:val="21"/>
                <w:lang w:val="hu-HU"/>
              </w:rPr>
              <w:t xml:space="preserve"> </w:t>
            </w:r>
            <w:r w:rsidRPr="00D374A8">
              <w:rPr>
                <w:rFonts w:ascii="Arial" w:hAnsi="Arial" w:cs="Arial"/>
                <w:noProof/>
                <w:sz w:val="21"/>
                <w:szCs w:val="21"/>
                <w:lang w:val="hu-HU"/>
              </w:rPr>
              <w:t xml:space="preserve">in month </w:t>
            </w:r>
            <w:r w:rsidRPr="00D374A8">
              <w:rPr>
                <w:rFonts w:ascii="Arial" w:hAnsi="Arial" w:cs="Arial"/>
                <w:i/>
                <w:noProof/>
                <w:sz w:val="21"/>
                <w:szCs w:val="21"/>
                <w:lang w:val="hu-HU"/>
              </w:rPr>
              <w:t>m</w:t>
            </w:r>
            <w:r w:rsidRPr="00D374A8">
              <w:rPr>
                <w:rFonts w:ascii="Arial" w:hAnsi="Arial" w:cs="Arial"/>
                <w:noProof/>
                <w:sz w:val="21"/>
                <w:szCs w:val="21"/>
                <w:lang w:val="hu-HU"/>
              </w:rPr>
              <w:t xml:space="preserve"> in year </w:t>
            </w:r>
            <w:r w:rsidRPr="00D374A8">
              <w:rPr>
                <w:rFonts w:ascii="Arial" w:hAnsi="Arial" w:cs="Arial"/>
                <w:i/>
                <w:noProof/>
                <w:sz w:val="21"/>
                <w:szCs w:val="21"/>
                <w:lang w:val="hu-HU"/>
              </w:rPr>
              <w:t>t</w:t>
            </w:r>
            <w:r w:rsidRPr="00D374A8">
              <w:rPr>
                <w:rFonts w:ascii="Arial" w:hAnsi="Arial" w:cs="Arial"/>
                <w:noProof/>
                <w:sz w:val="21"/>
                <w:szCs w:val="21"/>
                <w:lang w:val="hu-HU"/>
              </w:rPr>
              <w:t xml:space="preserve"> </w:t>
            </w:r>
          </w:p>
        </w:tc>
        <w:tc>
          <w:tcPr>
            <w:tcW w:w="284" w:type="dxa"/>
          </w:tcPr>
          <w:p w14:paraId="3E2192F9"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08806AC5" w14:textId="5834A36A" w:rsidR="007A16EF" w:rsidRDefault="00122536" w:rsidP="00073A9E">
            <w:pPr>
              <w:spacing w:before="120" w:after="120"/>
              <w:ind w:left="1735"/>
              <w:jc w:val="both"/>
              <w:rPr>
                <w:rFonts w:ascii="Arial" w:hAnsi="Arial" w:cs="Arial"/>
                <w:i/>
                <w:noProof/>
                <w:sz w:val="21"/>
                <w:szCs w:val="21"/>
                <w:lang w:val="hu-HU"/>
              </w:rPr>
            </w:pPr>
            <w:r w:rsidRPr="00D374A8">
              <w:rPr>
                <w:rFonts w:ascii="Arial" w:hAnsi="Arial" w:cs="Arial"/>
                <w:b/>
                <w:i/>
                <w:noProof/>
                <w:sz w:val="21"/>
                <w:szCs w:val="21"/>
                <w:lang w:val="hu-HU"/>
              </w:rPr>
              <w:t>RFR</w:t>
            </w:r>
            <w:r w:rsidRPr="00D374A8">
              <w:rPr>
                <w:rFonts w:ascii="Arial" w:hAnsi="Arial" w:cs="Arial"/>
                <w:b/>
                <w:i/>
                <w:noProof/>
                <w:sz w:val="21"/>
                <w:szCs w:val="21"/>
                <w:vertAlign w:val="subscript"/>
                <w:lang w:val="hu-HU"/>
              </w:rPr>
              <w:t>mt</w:t>
            </w:r>
            <w:r w:rsidRPr="00D374A8">
              <w:rPr>
                <w:rFonts w:ascii="Arial" w:hAnsi="Arial" w:cs="Arial"/>
                <w:b/>
                <w:i/>
                <w:noProof/>
                <w:sz w:val="21"/>
                <w:szCs w:val="21"/>
                <w:lang w:val="hu-HU"/>
              </w:rPr>
              <w:t xml:space="preserve"> </w:t>
            </w:r>
            <w:r w:rsidRPr="00D374A8">
              <w:rPr>
                <w:rFonts w:ascii="Arial" w:hAnsi="Arial" w:cs="Arial"/>
                <w:noProof/>
                <w:sz w:val="21"/>
                <w:szCs w:val="21"/>
                <w:lang w:val="hu-HU"/>
              </w:rPr>
              <w:t xml:space="preserve">= </w:t>
            </w:r>
            <w:r w:rsidR="00582B22">
              <w:rPr>
                <w:rFonts w:ascii="Arial" w:hAnsi="Arial" w:cs="Arial"/>
                <w:noProof/>
                <w:sz w:val="21"/>
                <w:szCs w:val="21"/>
                <w:lang w:val="hu-HU"/>
              </w:rPr>
              <w:t xml:space="preserve">Imbal hasil obligasi 10 tahun pemerintah </w:t>
            </w:r>
            <w:r w:rsidRPr="00D374A8">
              <w:rPr>
                <w:rFonts w:ascii="Arial" w:hAnsi="Arial" w:cs="Arial"/>
                <w:noProof/>
                <w:sz w:val="21"/>
                <w:szCs w:val="21"/>
                <w:lang w:val="hu-HU"/>
              </w:rPr>
              <w:t xml:space="preserve">Indonesia </w:t>
            </w:r>
            <w:r w:rsidR="00582B22">
              <w:rPr>
                <w:rFonts w:ascii="Arial" w:hAnsi="Arial" w:cs="Arial"/>
                <w:noProof/>
                <w:sz w:val="21"/>
                <w:szCs w:val="21"/>
                <w:lang w:val="hu-HU"/>
              </w:rPr>
              <w:t xml:space="preserve">sebagaimana diterbitkan oleh </w:t>
            </w:r>
            <w:r w:rsidR="00582B22" w:rsidRPr="00D374A8">
              <w:rPr>
                <w:rFonts w:ascii="Arial" w:hAnsi="Arial" w:cs="Arial"/>
                <w:noProof/>
                <w:color w:val="FF0000"/>
                <w:sz w:val="21"/>
                <w:szCs w:val="21"/>
                <w:lang w:val="hu-HU"/>
              </w:rPr>
              <w:t>[</w:t>
            </w:r>
            <w:r w:rsidR="00073A9E">
              <w:rPr>
                <w:rFonts w:ascii="Arial" w:hAnsi="Arial" w:cs="Arial"/>
                <w:noProof/>
                <w:color w:val="FF0000"/>
                <w:sz w:val="21"/>
                <w:szCs w:val="21"/>
                <w:lang w:val="hu-HU"/>
              </w:rPr>
              <w:t>Bursa Efek Indonesia</w:t>
            </w:r>
            <w:r w:rsidR="00582B22" w:rsidRPr="00D374A8">
              <w:rPr>
                <w:rFonts w:ascii="Arial" w:hAnsi="Arial" w:cs="Arial"/>
                <w:noProof/>
                <w:color w:val="FF0000"/>
                <w:sz w:val="21"/>
                <w:szCs w:val="21"/>
                <w:lang w:val="hu-HU"/>
              </w:rPr>
              <w:t>]</w:t>
            </w:r>
            <w:r w:rsidR="00073A9E">
              <w:rPr>
                <w:rFonts w:ascii="Arial" w:hAnsi="Arial" w:cs="Arial"/>
                <w:noProof/>
                <w:color w:val="FF0000"/>
                <w:sz w:val="21"/>
                <w:szCs w:val="21"/>
                <w:lang w:val="hu-HU"/>
              </w:rPr>
              <w:t xml:space="preserve"> (</w:t>
            </w:r>
            <w:r w:rsidR="00073A9E" w:rsidRPr="00601291">
              <w:rPr>
                <w:rFonts w:ascii="Arial" w:hAnsi="Arial" w:cs="Arial"/>
                <w:noProof/>
                <w:color w:val="FF0000"/>
                <w:sz w:val="21"/>
                <w:szCs w:val="21"/>
                <w:lang w:val="hu-HU"/>
              </w:rPr>
              <w:t>https://www.idx.co.id/data-pasar/data-obligasi-sukuk/indonesia-government-securities-yield-curve-igsyc/</w:t>
            </w:r>
            <w:r w:rsidR="00073A9E">
              <w:rPr>
                <w:rFonts w:ascii="Arial" w:hAnsi="Arial" w:cs="Arial"/>
                <w:noProof/>
                <w:color w:val="FF0000"/>
                <w:sz w:val="21"/>
                <w:szCs w:val="21"/>
                <w:lang w:val="hu-HU"/>
              </w:rPr>
              <w:t>)</w:t>
            </w:r>
            <w:r w:rsidR="00582B22" w:rsidRPr="00D374A8">
              <w:rPr>
                <w:rFonts w:ascii="Arial" w:hAnsi="Arial" w:cs="Arial"/>
                <w:noProof/>
                <w:sz w:val="21"/>
                <w:szCs w:val="21"/>
                <w:lang w:val="hu-HU"/>
              </w:rPr>
              <w:t xml:space="preserve"> </w:t>
            </w:r>
            <w:r w:rsidR="00582B22">
              <w:rPr>
                <w:rFonts w:ascii="Arial" w:hAnsi="Arial" w:cs="Arial"/>
                <w:noProof/>
                <w:sz w:val="21"/>
                <w:szCs w:val="21"/>
                <w:lang w:val="hu-HU"/>
              </w:rPr>
              <w:t>pada bulan</w:t>
            </w:r>
            <w:r w:rsidR="00582B22" w:rsidRPr="00D374A8">
              <w:rPr>
                <w:rFonts w:ascii="Arial" w:hAnsi="Arial" w:cs="Arial"/>
                <w:noProof/>
                <w:sz w:val="21"/>
                <w:szCs w:val="21"/>
                <w:lang w:val="hu-HU"/>
              </w:rPr>
              <w:t xml:space="preserve"> </w:t>
            </w:r>
            <w:r w:rsidR="00582B22" w:rsidRPr="00D374A8">
              <w:rPr>
                <w:rFonts w:ascii="Arial" w:hAnsi="Arial" w:cs="Arial"/>
                <w:i/>
                <w:noProof/>
                <w:sz w:val="21"/>
                <w:szCs w:val="21"/>
                <w:lang w:val="hu-HU"/>
              </w:rPr>
              <w:t>m</w:t>
            </w:r>
            <w:r w:rsidR="00582B22" w:rsidRPr="00D374A8">
              <w:rPr>
                <w:rFonts w:ascii="Arial" w:hAnsi="Arial" w:cs="Arial"/>
                <w:noProof/>
                <w:sz w:val="21"/>
                <w:szCs w:val="21"/>
                <w:lang w:val="hu-HU"/>
              </w:rPr>
              <w:t xml:space="preserve"> </w:t>
            </w:r>
            <w:r w:rsidR="00582B22">
              <w:rPr>
                <w:rFonts w:ascii="Arial" w:hAnsi="Arial" w:cs="Arial"/>
                <w:noProof/>
                <w:sz w:val="21"/>
                <w:szCs w:val="21"/>
                <w:lang w:val="hu-HU"/>
              </w:rPr>
              <w:t>di</w:t>
            </w:r>
            <w:r w:rsidR="00582B22" w:rsidRPr="00D374A8">
              <w:rPr>
                <w:rFonts w:ascii="Arial" w:hAnsi="Arial" w:cs="Arial"/>
                <w:noProof/>
                <w:sz w:val="21"/>
                <w:szCs w:val="21"/>
                <w:lang w:val="hu-HU"/>
              </w:rPr>
              <w:t xml:space="preserve"> </w:t>
            </w:r>
            <w:r w:rsidR="00582B22">
              <w:rPr>
                <w:rFonts w:ascii="Arial" w:hAnsi="Arial" w:cs="Arial"/>
                <w:noProof/>
                <w:sz w:val="21"/>
                <w:szCs w:val="21"/>
                <w:lang w:val="hu-HU"/>
              </w:rPr>
              <w:t>tahun</w:t>
            </w:r>
            <w:r w:rsidR="00582B22" w:rsidRPr="00D374A8">
              <w:rPr>
                <w:rFonts w:ascii="Arial" w:hAnsi="Arial" w:cs="Arial"/>
                <w:noProof/>
                <w:sz w:val="21"/>
                <w:szCs w:val="21"/>
                <w:lang w:val="hu-HU"/>
              </w:rPr>
              <w:t xml:space="preserve"> </w:t>
            </w:r>
            <w:r w:rsidR="00582B22" w:rsidRPr="00D374A8">
              <w:rPr>
                <w:rFonts w:ascii="Arial" w:hAnsi="Arial" w:cs="Arial"/>
                <w:i/>
                <w:noProof/>
                <w:sz w:val="21"/>
                <w:szCs w:val="21"/>
                <w:lang w:val="hu-HU"/>
              </w:rPr>
              <w:t>t</w:t>
            </w:r>
          </w:p>
          <w:p w14:paraId="291024CA" w14:textId="1B541402" w:rsidR="00582B22" w:rsidRPr="007A16EF" w:rsidRDefault="00582B22" w:rsidP="008E0C60">
            <w:pPr>
              <w:spacing w:before="120" w:after="120"/>
              <w:ind w:left="428"/>
              <w:jc w:val="both"/>
              <w:rPr>
                <w:rFonts w:ascii="Arial" w:hAnsi="Arial" w:cs="Arial"/>
                <w:sz w:val="21"/>
                <w:szCs w:val="21"/>
              </w:rPr>
            </w:pPr>
          </w:p>
        </w:tc>
      </w:tr>
      <w:tr w:rsidR="007A16EF" w:rsidRPr="00FA0219" w14:paraId="2D767DE3" w14:textId="77777777" w:rsidTr="00291AD9">
        <w:tc>
          <w:tcPr>
            <w:tcW w:w="4644" w:type="dxa"/>
          </w:tcPr>
          <w:p w14:paraId="7148E982" w14:textId="5B83B701" w:rsidR="007A16EF" w:rsidRPr="00D374A8" w:rsidRDefault="007A16EF" w:rsidP="008E0C60">
            <w:pPr>
              <w:pStyle w:val="MarginText"/>
              <w:spacing w:before="120" w:after="120" w:line="240" w:lineRule="auto"/>
              <w:ind w:left="1134"/>
              <w:rPr>
                <w:rFonts w:ascii="Arial" w:hAnsi="Arial" w:cs="Arial"/>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 Personnel expenses in previous financial year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in previous financial year / Revenues in previous financial year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in previous financial year, based on last financial year’s audited financial statement, in case less than 12 mont</w:t>
            </w:r>
            <w:r w:rsidR="00E20CE3">
              <w:rPr>
                <w:rFonts w:ascii="Arial" w:hAnsi="Arial" w:cs="Arial"/>
                <w:noProof/>
                <w:sz w:val="21"/>
                <w:szCs w:val="21"/>
                <w:lang w:val="hu-HU"/>
              </w:rPr>
              <w:t>h</w:t>
            </w:r>
            <w:r w:rsidRPr="00D374A8">
              <w:rPr>
                <w:rFonts w:ascii="Arial" w:hAnsi="Arial" w:cs="Arial"/>
                <w:noProof/>
                <w:sz w:val="21"/>
                <w:szCs w:val="21"/>
                <w:lang w:val="hu-HU"/>
              </w:rPr>
              <w:t xml:space="preserve">s passed since </w:t>
            </w:r>
            <w:r w:rsidR="00E20CE3">
              <w:rPr>
                <w:rFonts w:ascii="Arial" w:hAnsi="Arial" w:cs="Arial"/>
                <w:noProof/>
                <w:sz w:val="21"/>
                <w:szCs w:val="21"/>
                <w:lang w:val="hu-HU"/>
              </w:rPr>
              <w:t>Commercial Operation Date</w:t>
            </w:r>
            <w:r w:rsidRPr="00D374A8">
              <w:rPr>
                <w:rFonts w:ascii="Arial" w:hAnsi="Arial" w:cs="Arial"/>
                <w:noProof/>
                <w:sz w:val="21"/>
                <w:szCs w:val="21"/>
                <w:lang w:val="hu-HU"/>
              </w:rPr>
              <w:t xml:space="preserve"> then [14%]</w:t>
            </w:r>
          </w:p>
        </w:tc>
        <w:tc>
          <w:tcPr>
            <w:tcW w:w="284" w:type="dxa"/>
          </w:tcPr>
          <w:p w14:paraId="1533241A"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65FCC74B" w14:textId="7A665E89" w:rsidR="00C8744C" w:rsidRPr="007A16EF" w:rsidRDefault="00582B22" w:rsidP="00291AD9">
            <w:pPr>
              <w:spacing w:before="120" w:after="120"/>
              <w:ind w:left="1309"/>
              <w:jc w:val="both"/>
              <w:rPr>
                <w:rFonts w:ascii="Arial" w:hAnsi="Arial" w:cs="Arial"/>
                <w:sz w:val="21"/>
                <w:szCs w:val="21"/>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 </w:t>
            </w:r>
            <w:r w:rsidR="00C8744C" w:rsidRPr="00C8744C">
              <w:rPr>
                <w:rFonts w:ascii="Arial" w:hAnsi="Arial" w:cs="Arial"/>
                <w:sz w:val="21"/>
                <w:szCs w:val="21"/>
              </w:rPr>
              <w:t xml:space="preserve">Pengeluaran pegawai pada tahun </w:t>
            </w:r>
            <w:r w:rsidR="00C8744C">
              <w:rPr>
                <w:rFonts w:ascii="Arial" w:hAnsi="Arial" w:cs="Arial"/>
                <w:sz w:val="21"/>
                <w:szCs w:val="21"/>
              </w:rPr>
              <w:t>fiskal</w:t>
            </w:r>
            <w:r w:rsidR="00C8744C" w:rsidRPr="00C8744C">
              <w:rPr>
                <w:rFonts w:ascii="Arial" w:hAnsi="Arial" w:cs="Arial"/>
                <w:sz w:val="21"/>
                <w:szCs w:val="21"/>
              </w:rPr>
              <w:t xml:space="preserve"> sebelumnya dibagi dengan</w:t>
            </w:r>
            <w:r w:rsidR="00C8744C" w:rsidRPr="00D374A8">
              <w:rPr>
                <w:rFonts w:ascii="Arial" w:hAnsi="Arial" w:cs="Arial"/>
                <w:b/>
                <w:i/>
                <w:noProof/>
                <w:sz w:val="21"/>
                <w:szCs w:val="21"/>
                <w:lang w:val="hu-HU"/>
              </w:rPr>
              <w:t xml:space="preserve">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w:t>
            </w:r>
            <w:r w:rsidR="00C8744C">
              <w:rPr>
                <w:rFonts w:ascii="Arial" w:hAnsi="Arial" w:cs="Arial"/>
                <w:noProof/>
                <w:sz w:val="21"/>
                <w:szCs w:val="21"/>
                <w:lang w:val="hu-HU"/>
              </w:rPr>
              <w:t xml:space="preserve"> </w:t>
            </w:r>
            <w:r w:rsidR="00C8744C" w:rsidRPr="00C8744C">
              <w:rPr>
                <w:rFonts w:ascii="Arial" w:hAnsi="Arial" w:cs="Arial"/>
                <w:sz w:val="21"/>
                <w:szCs w:val="21"/>
              </w:rPr>
              <w:t xml:space="preserve">pada tahun </w:t>
            </w:r>
            <w:r w:rsidR="00C8744C">
              <w:rPr>
                <w:rFonts w:ascii="Arial" w:hAnsi="Arial" w:cs="Arial"/>
                <w:sz w:val="21"/>
                <w:szCs w:val="21"/>
              </w:rPr>
              <w:t>fiskal</w:t>
            </w:r>
            <w:r w:rsidR="00C8744C" w:rsidRPr="00C8744C">
              <w:rPr>
                <w:rFonts w:ascii="Arial" w:hAnsi="Arial" w:cs="Arial"/>
                <w:sz w:val="21"/>
                <w:szCs w:val="21"/>
              </w:rPr>
              <w:t xml:space="preserve"> sebelumnya / Pendapatan pada tahun </w:t>
            </w:r>
            <w:r w:rsidR="00C8744C">
              <w:rPr>
                <w:rFonts w:ascii="Arial" w:hAnsi="Arial" w:cs="Arial"/>
                <w:sz w:val="21"/>
                <w:szCs w:val="21"/>
              </w:rPr>
              <w:t>fiskal</w:t>
            </w:r>
            <w:r w:rsidR="00C8744C" w:rsidRPr="00C8744C">
              <w:rPr>
                <w:rFonts w:ascii="Arial" w:hAnsi="Arial" w:cs="Arial"/>
                <w:sz w:val="21"/>
                <w:szCs w:val="21"/>
              </w:rPr>
              <w:t xml:space="preserve"> sebelumnya dibagi dengan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00C8744C" w:rsidRPr="00C8744C">
              <w:rPr>
                <w:rFonts w:ascii="Arial" w:hAnsi="Arial" w:cs="Arial"/>
                <w:sz w:val="21"/>
                <w:szCs w:val="21"/>
              </w:rPr>
              <w:t xml:space="preserve">pada tahun </w:t>
            </w:r>
            <w:r w:rsidR="00C8744C">
              <w:rPr>
                <w:rFonts w:ascii="Arial" w:hAnsi="Arial" w:cs="Arial"/>
                <w:sz w:val="21"/>
                <w:szCs w:val="21"/>
              </w:rPr>
              <w:t>fiskal</w:t>
            </w:r>
            <w:r w:rsidR="00C8744C" w:rsidRPr="00C8744C">
              <w:rPr>
                <w:rFonts w:ascii="Arial" w:hAnsi="Arial" w:cs="Arial"/>
                <w:sz w:val="21"/>
                <w:szCs w:val="21"/>
              </w:rPr>
              <w:t xml:space="preserve"> sebelumnya, berdasarkan</w:t>
            </w:r>
            <w:r w:rsidR="00747E6E">
              <w:rPr>
                <w:rFonts w:ascii="Arial" w:hAnsi="Arial" w:cs="Arial"/>
                <w:sz w:val="21"/>
                <w:szCs w:val="21"/>
              </w:rPr>
              <w:t xml:space="preserve"> pada</w:t>
            </w:r>
            <w:r w:rsidR="00C8744C" w:rsidRPr="00C8744C">
              <w:rPr>
                <w:rFonts w:ascii="Arial" w:hAnsi="Arial" w:cs="Arial"/>
                <w:sz w:val="21"/>
                <w:szCs w:val="21"/>
              </w:rPr>
              <w:t xml:space="preserve"> laporan</w:t>
            </w:r>
            <w:r w:rsidR="00747E6E">
              <w:rPr>
                <w:rFonts w:ascii="Arial" w:hAnsi="Arial" w:cs="Arial"/>
                <w:sz w:val="21"/>
                <w:szCs w:val="21"/>
              </w:rPr>
              <w:t xml:space="preserve"> keuangan</w:t>
            </w:r>
            <w:r w:rsidR="00E20CE3">
              <w:rPr>
                <w:rFonts w:ascii="Arial" w:hAnsi="Arial" w:cs="Arial"/>
                <w:sz w:val="21"/>
                <w:szCs w:val="21"/>
              </w:rPr>
              <w:t xml:space="preserve"> terau</w:t>
            </w:r>
            <w:r w:rsidR="00747E6E">
              <w:rPr>
                <w:rFonts w:ascii="Arial" w:hAnsi="Arial" w:cs="Arial"/>
                <w:sz w:val="21"/>
                <w:szCs w:val="21"/>
              </w:rPr>
              <w:t>dit</w:t>
            </w:r>
            <w:r w:rsidR="00C8744C" w:rsidRPr="00C8744C">
              <w:rPr>
                <w:rFonts w:ascii="Arial" w:hAnsi="Arial" w:cs="Arial"/>
                <w:sz w:val="21"/>
                <w:szCs w:val="21"/>
              </w:rPr>
              <w:t xml:space="preserve"> tahun fiskal terakhir, jika kurang dari 12 bulan </w:t>
            </w:r>
            <w:r w:rsidR="00C8744C">
              <w:rPr>
                <w:rFonts w:ascii="Arial" w:hAnsi="Arial" w:cs="Arial"/>
                <w:sz w:val="21"/>
                <w:szCs w:val="21"/>
              </w:rPr>
              <w:t xml:space="preserve">telah </w:t>
            </w:r>
            <w:r w:rsidR="00C8744C" w:rsidRPr="00C8744C">
              <w:rPr>
                <w:rFonts w:ascii="Arial" w:hAnsi="Arial" w:cs="Arial"/>
                <w:sz w:val="21"/>
                <w:szCs w:val="21"/>
              </w:rPr>
              <w:t xml:space="preserve">berlalu sejak </w:t>
            </w:r>
            <w:r w:rsidR="00E20CE3">
              <w:rPr>
                <w:rFonts w:ascii="Arial" w:hAnsi="Arial" w:cs="Arial"/>
                <w:sz w:val="21"/>
                <w:szCs w:val="21"/>
              </w:rPr>
              <w:t>Tanggal Operasi Komersial</w:t>
            </w:r>
            <w:r w:rsidR="0013527B">
              <w:rPr>
                <w:rFonts w:ascii="Arial" w:hAnsi="Arial" w:cs="Arial"/>
                <w:sz w:val="21"/>
                <w:szCs w:val="21"/>
              </w:rPr>
              <w:t xml:space="preserve"> maka</w:t>
            </w:r>
            <w:r w:rsidR="00E20CE3" w:rsidRPr="00C8744C">
              <w:rPr>
                <w:rFonts w:ascii="Arial" w:hAnsi="Arial" w:cs="Arial"/>
                <w:sz w:val="21"/>
                <w:szCs w:val="21"/>
              </w:rPr>
              <w:t xml:space="preserve"> </w:t>
            </w:r>
            <w:r w:rsidR="00C8744C" w:rsidRPr="00C8744C">
              <w:rPr>
                <w:rFonts w:ascii="Arial" w:hAnsi="Arial" w:cs="Arial"/>
                <w:sz w:val="21"/>
                <w:szCs w:val="21"/>
              </w:rPr>
              <w:t>[14%]</w:t>
            </w:r>
          </w:p>
        </w:tc>
      </w:tr>
      <w:tr w:rsidR="007A16EF" w:rsidRPr="00FA0219" w14:paraId="75A29DAE" w14:textId="77777777" w:rsidTr="00291AD9">
        <w:tc>
          <w:tcPr>
            <w:tcW w:w="4644" w:type="dxa"/>
          </w:tcPr>
          <w:p w14:paraId="58495A8E" w14:textId="3EEE09B0" w:rsidR="007A16EF" w:rsidRPr="00D374A8" w:rsidRDefault="007A16EF" w:rsidP="008E0C60">
            <w:pPr>
              <w:pStyle w:val="MarginText"/>
              <w:spacing w:before="120" w:after="120" w:line="240" w:lineRule="auto"/>
              <w:ind w:left="1134"/>
              <w:rPr>
                <w:rFonts w:ascii="Arial" w:hAnsi="Arial" w:cs="Arial"/>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it </w:t>
            </w:r>
            <w:r w:rsidRPr="00D374A8">
              <w:rPr>
                <w:rFonts w:ascii="Arial" w:hAnsi="Arial" w:cs="Arial"/>
                <w:noProof/>
                <w:sz w:val="21"/>
                <w:szCs w:val="21"/>
                <w:lang w:val="hu-HU"/>
              </w:rPr>
              <w:t xml:space="preserve">= IT related expenses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it</w:t>
            </w:r>
            <w:r w:rsidRPr="00D374A8">
              <w:rPr>
                <w:rFonts w:ascii="Arial" w:hAnsi="Arial" w:cs="Arial"/>
                <w:noProof/>
                <w:sz w:val="21"/>
                <w:szCs w:val="21"/>
                <w:lang w:val="hu-HU"/>
              </w:rPr>
              <w:t xml:space="preserve"> in previous financial year / Revenues in previous financial year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in previous financial year, based on last financial year’s audited financial statement, in case less than 12 </w:t>
            </w:r>
            <w:r w:rsidR="00E20CE3" w:rsidRPr="00D374A8">
              <w:rPr>
                <w:rFonts w:ascii="Arial" w:hAnsi="Arial" w:cs="Arial"/>
                <w:noProof/>
                <w:sz w:val="21"/>
                <w:szCs w:val="21"/>
                <w:lang w:val="hu-HU"/>
              </w:rPr>
              <w:t>mont</w:t>
            </w:r>
            <w:r w:rsidR="00E20CE3">
              <w:rPr>
                <w:rFonts w:ascii="Arial" w:hAnsi="Arial" w:cs="Arial"/>
                <w:noProof/>
                <w:sz w:val="21"/>
                <w:szCs w:val="21"/>
                <w:lang w:val="hu-HU"/>
              </w:rPr>
              <w:t>h</w:t>
            </w:r>
            <w:r w:rsidR="00E20CE3" w:rsidRPr="00D374A8">
              <w:rPr>
                <w:rFonts w:ascii="Arial" w:hAnsi="Arial" w:cs="Arial"/>
                <w:noProof/>
                <w:sz w:val="21"/>
                <w:szCs w:val="21"/>
                <w:lang w:val="hu-HU"/>
              </w:rPr>
              <w:t>s</w:t>
            </w:r>
            <w:r w:rsidRPr="00D374A8">
              <w:rPr>
                <w:rFonts w:ascii="Arial" w:hAnsi="Arial" w:cs="Arial"/>
                <w:noProof/>
                <w:sz w:val="21"/>
                <w:szCs w:val="21"/>
                <w:lang w:val="hu-HU"/>
              </w:rPr>
              <w:t xml:space="preserve"> passed since </w:t>
            </w:r>
            <w:r w:rsidR="00747E6E">
              <w:rPr>
                <w:rFonts w:ascii="Arial" w:hAnsi="Arial" w:cs="Arial"/>
                <w:noProof/>
                <w:sz w:val="21"/>
                <w:szCs w:val="21"/>
                <w:lang w:val="hu-HU"/>
              </w:rPr>
              <w:t>Commercial Operation Date</w:t>
            </w:r>
            <w:r w:rsidRPr="00D374A8">
              <w:rPr>
                <w:rFonts w:ascii="Arial" w:hAnsi="Arial" w:cs="Arial"/>
                <w:noProof/>
                <w:sz w:val="21"/>
                <w:szCs w:val="21"/>
                <w:lang w:val="hu-HU"/>
              </w:rPr>
              <w:t xml:space="preserve"> then [10%]</w:t>
            </w:r>
          </w:p>
        </w:tc>
        <w:tc>
          <w:tcPr>
            <w:tcW w:w="284" w:type="dxa"/>
          </w:tcPr>
          <w:p w14:paraId="1123E1AA"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2894F5B3" w14:textId="6DA36996" w:rsidR="00C8744C" w:rsidRPr="007A16EF" w:rsidRDefault="00C8744C" w:rsidP="00291AD9">
            <w:pPr>
              <w:spacing w:before="120" w:after="120"/>
              <w:ind w:left="1309"/>
              <w:jc w:val="both"/>
              <w:rPr>
                <w:rFonts w:ascii="Arial" w:hAnsi="Arial" w:cs="Arial"/>
                <w:sz w:val="21"/>
                <w:szCs w:val="21"/>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it </w:t>
            </w:r>
            <w:r w:rsidRPr="00D374A8">
              <w:rPr>
                <w:rFonts w:ascii="Arial" w:hAnsi="Arial" w:cs="Arial"/>
                <w:noProof/>
                <w:sz w:val="21"/>
                <w:szCs w:val="21"/>
                <w:lang w:val="hu-HU"/>
              </w:rPr>
              <w:t xml:space="preserve">= </w:t>
            </w:r>
            <w:r w:rsidRPr="00C8744C">
              <w:rPr>
                <w:rFonts w:ascii="Arial" w:hAnsi="Arial" w:cs="Arial"/>
                <w:sz w:val="21"/>
                <w:szCs w:val="21"/>
              </w:rPr>
              <w:t xml:space="preserve">Biaya terkait </w:t>
            </w:r>
            <w:r>
              <w:rPr>
                <w:rFonts w:ascii="Arial" w:hAnsi="Arial" w:cs="Arial"/>
                <w:sz w:val="21"/>
                <w:szCs w:val="21"/>
              </w:rPr>
              <w:t>IT</w:t>
            </w:r>
            <w:r w:rsidRPr="00C8744C">
              <w:rPr>
                <w:rFonts w:ascii="Arial" w:hAnsi="Arial" w:cs="Arial"/>
                <w:sz w:val="21"/>
                <w:szCs w:val="21"/>
              </w:rPr>
              <w:t xml:space="preserve"> dibagi dengan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it</w:t>
            </w:r>
            <w:r w:rsidRPr="00D374A8">
              <w:rPr>
                <w:rFonts w:ascii="Arial" w:hAnsi="Arial" w:cs="Arial"/>
                <w:noProof/>
                <w:sz w:val="21"/>
                <w:szCs w:val="21"/>
                <w:lang w:val="hu-HU"/>
              </w:rPr>
              <w:t xml:space="preserve"> </w:t>
            </w:r>
            <w:r w:rsidRPr="00C8744C">
              <w:rPr>
                <w:rFonts w:ascii="Arial" w:hAnsi="Arial" w:cs="Arial"/>
                <w:sz w:val="21"/>
                <w:szCs w:val="21"/>
              </w:rPr>
              <w:t xml:space="preserve">pada tahun </w:t>
            </w:r>
            <w:r>
              <w:rPr>
                <w:rFonts w:ascii="Arial" w:hAnsi="Arial" w:cs="Arial"/>
                <w:sz w:val="21"/>
                <w:szCs w:val="21"/>
              </w:rPr>
              <w:t>fiskal</w:t>
            </w:r>
            <w:r w:rsidRPr="00C8744C">
              <w:rPr>
                <w:rFonts w:ascii="Arial" w:hAnsi="Arial" w:cs="Arial"/>
                <w:sz w:val="21"/>
                <w:szCs w:val="21"/>
              </w:rPr>
              <w:t xml:space="preserve"> sebelumnya / Pendapatan pada tahun </w:t>
            </w:r>
            <w:r>
              <w:rPr>
                <w:rFonts w:ascii="Arial" w:hAnsi="Arial" w:cs="Arial"/>
                <w:sz w:val="21"/>
                <w:szCs w:val="21"/>
              </w:rPr>
              <w:t xml:space="preserve">fiskal </w:t>
            </w:r>
            <w:r w:rsidRPr="00C8744C">
              <w:rPr>
                <w:rFonts w:ascii="Arial" w:hAnsi="Arial" w:cs="Arial"/>
                <w:sz w:val="21"/>
                <w:szCs w:val="21"/>
              </w:rPr>
              <w:t>sebelumnya dibagi dengan</w:t>
            </w:r>
            <w:r w:rsidRPr="00D374A8">
              <w:rPr>
                <w:rFonts w:ascii="Arial" w:hAnsi="Arial" w:cs="Arial"/>
                <w:b/>
                <w:i/>
                <w:noProof/>
                <w:sz w:val="21"/>
                <w:szCs w:val="21"/>
                <w:lang w:val="hu-HU"/>
              </w:rPr>
              <w:t xml:space="preserve"> 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Pr="00C8744C">
              <w:rPr>
                <w:rFonts w:ascii="Arial" w:hAnsi="Arial" w:cs="Arial"/>
                <w:sz w:val="21"/>
                <w:szCs w:val="21"/>
              </w:rPr>
              <w:t xml:space="preserve">pada tahun </w:t>
            </w:r>
            <w:r w:rsidR="00B609F1">
              <w:rPr>
                <w:rFonts w:ascii="Arial" w:hAnsi="Arial" w:cs="Arial"/>
                <w:sz w:val="21"/>
                <w:szCs w:val="21"/>
              </w:rPr>
              <w:t>fiskal</w:t>
            </w:r>
            <w:r w:rsidR="00B609F1" w:rsidRPr="00C8744C">
              <w:rPr>
                <w:rFonts w:ascii="Arial" w:hAnsi="Arial" w:cs="Arial"/>
                <w:sz w:val="21"/>
                <w:szCs w:val="21"/>
              </w:rPr>
              <w:t xml:space="preserve"> </w:t>
            </w:r>
            <w:r w:rsidRPr="00C8744C">
              <w:rPr>
                <w:rFonts w:ascii="Arial" w:hAnsi="Arial" w:cs="Arial"/>
                <w:sz w:val="21"/>
                <w:szCs w:val="21"/>
              </w:rPr>
              <w:t>sebelumnya, berdasarkan pada laporan keuangan</w:t>
            </w:r>
            <w:r w:rsidR="00747E6E">
              <w:rPr>
                <w:rFonts w:ascii="Arial" w:hAnsi="Arial" w:cs="Arial"/>
                <w:sz w:val="21"/>
                <w:szCs w:val="21"/>
              </w:rPr>
              <w:t xml:space="preserve"> teraudi</w:t>
            </w:r>
            <w:r w:rsidR="00B609F1">
              <w:rPr>
                <w:rFonts w:ascii="Arial" w:hAnsi="Arial" w:cs="Arial"/>
                <w:sz w:val="21"/>
                <w:szCs w:val="21"/>
              </w:rPr>
              <w:t>t</w:t>
            </w:r>
            <w:r w:rsidRPr="00C8744C">
              <w:rPr>
                <w:rFonts w:ascii="Arial" w:hAnsi="Arial" w:cs="Arial"/>
                <w:sz w:val="21"/>
                <w:szCs w:val="21"/>
              </w:rPr>
              <w:t xml:space="preserve"> tahun fiskal, jika kurang dari 12 bulan </w:t>
            </w:r>
            <w:r>
              <w:rPr>
                <w:rFonts w:ascii="Arial" w:hAnsi="Arial" w:cs="Arial"/>
                <w:sz w:val="21"/>
                <w:szCs w:val="21"/>
              </w:rPr>
              <w:t xml:space="preserve">telah </w:t>
            </w:r>
            <w:r w:rsidRPr="00C8744C">
              <w:rPr>
                <w:rFonts w:ascii="Arial" w:hAnsi="Arial" w:cs="Arial"/>
                <w:sz w:val="21"/>
                <w:szCs w:val="21"/>
              </w:rPr>
              <w:t xml:space="preserve">berlalu sejak </w:t>
            </w:r>
            <w:r w:rsidR="00747E6E">
              <w:rPr>
                <w:rFonts w:ascii="Arial" w:hAnsi="Arial" w:cs="Arial"/>
                <w:sz w:val="21"/>
                <w:szCs w:val="21"/>
              </w:rPr>
              <w:t>Tanggal Operasi Komersial</w:t>
            </w:r>
            <w:r w:rsidR="0013527B">
              <w:rPr>
                <w:rFonts w:ascii="Arial" w:hAnsi="Arial" w:cs="Arial"/>
                <w:sz w:val="21"/>
                <w:szCs w:val="21"/>
              </w:rPr>
              <w:t xml:space="preserve"> maka</w:t>
            </w:r>
            <w:r w:rsidR="00747E6E" w:rsidRPr="00C8744C">
              <w:rPr>
                <w:rFonts w:ascii="Arial" w:hAnsi="Arial" w:cs="Arial"/>
                <w:sz w:val="21"/>
                <w:szCs w:val="21"/>
              </w:rPr>
              <w:t xml:space="preserve"> </w:t>
            </w:r>
            <w:r w:rsidRPr="00C8744C">
              <w:rPr>
                <w:rFonts w:ascii="Arial" w:hAnsi="Arial" w:cs="Arial"/>
                <w:sz w:val="21"/>
                <w:szCs w:val="21"/>
              </w:rPr>
              <w:t>[10%]</w:t>
            </w:r>
          </w:p>
        </w:tc>
      </w:tr>
      <w:tr w:rsidR="007A16EF" w:rsidRPr="00FA0219" w14:paraId="07E4B278" w14:textId="77777777" w:rsidTr="00291AD9">
        <w:tc>
          <w:tcPr>
            <w:tcW w:w="4644" w:type="dxa"/>
          </w:tcPr>
          <w:p w14:paraId="2BD0CA15" w14:textId="61FF88AE" w:rsidR="007A16EF" w:rsidRPr="00D374A8" w:rsidRDefault="007A16EF" w:rsidP="008E0C60">
            <w:pPr>
              <w:pStyle w:val="MarginText"/>
              <w:spacing w:before="120" w:after="120" w:line="240" w:lineRule="auto"/>
              <w:ind w:left="1134"/>
              <w:rPr>
                <w:rFonts w:ascii="Arial" w:hAnsi="Arial" w:cs="Arial"/>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o </w:t>
            </w:r>
            <w:r w:rsidRPr="00D374A8">
              <w:rPr>
                <w:rFonts w:ascii="Arial" w:hAnsi="Arial" w:cs="Arial"/>
                <w:noProof/>
                <w:sz w:val="21"/>
                <w:szCs w:val="21"/>
                <w:lang w:val="hu-HU"/>
              </w:rPr>
              <w:t xml:space="preserve">= All other operating expenditures (except for personnel and IT related expenses)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o</w:t>
            </w:r>
            <w:r w:rsidRPr="00D374A8">
              <w:rPr>
                <w:rFonts w:ascii="Arial" w:hAnsi="Arial" w:cs="Arial"/>
                <w:noProof/>
                <w:sz w:val="21"/>
                <w:szCs w:val="21"/>
                <w:lang w:val="hu-HU"/>
              </w:rPr>
              <w:t xml:space="preserve"> in previous financial year / Revenues in previous financial year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in previous financial year, based on last financial year’s audited financial statement, in case less than 12 </w:t>
            </w:r>
            <w:r w:rsidR="00E20CE3" w:rsidRPr="00D374A8">
              <w:rPr>
                <w:rFonts w:ascii="Arial" w:hAnsi="Arial" w:cs="Arial"/>
                <w:noProof/>
                <w:sz w:val="21"/>
                <w:szCs w:val="21"/>
                <w:lang w:val="hu-HU"/>
              </w:rPr>
              <w:t>mont</w:t>
            </w:r>
            <w:r w:rsidR="00E20CE3">
              <w:rPr>
                <w:rFonts w:ascii="Arial" w:hAnsi="Arial" w:cs="Arial"/>
                <w:noProof/>
                <w:sz w:val="21"/>
                <w:szCs w:val="21"/>
                <w:lang w:val="hu-HU"/>
              </w:rPr>
              <w:t>h</w:t>
            </w:r>
            <w:r w:rsidR="00E20CE3" w:rsidRPr="00D374A8">
              <w:rPr>
                <w:rFonts w:ascii="Arial" w:hAnsi="Arial" w:cs="Arial"/>
                <w:noProof/>
                <w:sz w:val="21"/>
                <w:szCs w:val="21"/>
                <w:lang w:val="hu-HU"/>
              </w:rPr>
              <w:t>s</w:t>
            </w:r>
            <w:r w:rsidRPr="00D374A8">
              <w:rPr>
                <w:rFonts w:ascii="Arial" w:hAnsi="Arial" w:cs="Arial"/>
                <w:noProof/>
                <w:sz w:val="21"/>
                <w:szCs w:val="21"/>
                <w:lang w:val="hu-HU"/>
              </w:rPr>
              <w:t xml:space="preserve"> passed since</w:t>
            </w:r>
            <w:r w:rsidR="00747E6E">
              <w:rPr>
                <w:rFonts w:ascii="Arial" w:hAnsi="Arial" w:cs="Arial"/>
                <w:noProof/>
                <w:sz w:val="21"/>
                <w:szCs w:val="21"/>
                <w:lang w:val="hu-HU"/>
              </w:rPr>
              <w:t xml:space="preserve"> Commercial Operation Date</w:t>
            </w:r>
            <w:r w:rsidRPr="00D374A8">
              <w:rPr>
                <w:rFonts w:ascii="Arial" w:hAnsi="Arial" w:cs="Arial"/>
                <w:noProof/>
                <w:sz w:val="21"/>
                <w:szCs w:val="21"/>
                <w:lang w:val="hu-HU"/>
              </w:rPr>
              <w:t xml:space="preserve"> then [3</w:t>
            </w:r>
            <w:r w:rsidR="00E20CE3">
              <w:rPr>
                <w:rFonts w:ascii="Arial" w:hAnsi="Arial" w:cs="Arial"/>
                <w:noProof/>
                <w:sz w:val="21"/>
                <w:szCs w:val="21"/>
                <w:lang w:val="hu-HU"/>
              </w:rPr>
              <w:t>4</w:t>
            </w:r>
            <w:r w:rsidRPr="00D374A8">
              <w:rPr>
                <w:rFonts w:ascii="Arial" w:hAnsi="Arial" w:cs="Arial"/>
                <w:noProof/>
                <w:sz w:val="21"/>
                <w:szCs w:val="21"/>
                <w:lang w:val="hu-HU"/>
              </w:rPr>
              <w:t>%]</w:t>
            </w:r>
          </w:p>
        </w:tc>
        <w:tc>
          <w:tcPr>
            <w:tcW w:w="284" w:type="dxa"/>
          </w:tcPr>
          <w:p w14:paraId="03E53F28"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0CB49C81" w14:textId="2D780A7C" w:rsidR="00C8744C" w:rsidRPr="007A16EF" w:rsidRDefault="00747E6E" w:rsidP="00291AD9">
            <w:pPr>
              <w:spacing w:before="120" w:after="120"/>
              <w:ind w:left="1309"/>
              <w:jc w:val="both"/>
              <w:rPr>
                <w:rFonts w:ascii="Arial" w:hAnsi="Arial" w:cs="Arial"/>
                <w:sz w:val="21"/>
                <w:szCs w:val="21"/>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o </w:t>
            </w:r>
            <w:r w:rsidRPr="00D374A8">
              <w:rPr>
                <w:rFonts w:ascii="Arial" w:hAnsi="Arial" w:cs="Arial"/>
                <w:noProof/>
                <w:sz w:val="21"/>
                <w:szCs w:val="21"/>
                <w:lang w:val="hu-HU"/>
              </w:rPr>
              <w:t xml:space="preserve">= </w:t>
            </w:r>
            <w:r w:rsidRPr="00747E6E">
              <w:rPr>
                <w:rFonts w:ascii="Arial" w:hAnsi="Arial" w:cs="Arial"/>
                <w:noProof/>
                <w:sz w:val="21"/>
                <w:szCs w:val="21"/>
                <w:lang w:val="hu-HU"/>
              </w:rPr>
              <w:t xml:space="preserve">Semua pengeluaran operasional lainnya (kecuali untuk pegawai dan pengeluaran terkait </w:t>
            </w:r>
            <w:r>
              <w:rPr>
                <w:rFonts w:ascii="Arial" w:hAnsi="Arial" w:cs="Arial"/>
                <w:noProof/>
                <w:sz w:val="21"/>
                <w:szCs w:val="21"/>
                <w:lang w:val="hu-HU"/>
              </w:rPr>
              <w:t>IT</w:t>
            </w:r>
            <w:r w:rsidRPr="00747E6E">
              <w:rPr>
                <w:rFonts w:ascii="Arial" w:hAnsi="Arial" w:cs="Arial"/>
                <w:noProof/>
                <w:sz w:val="21"/>
                <w:szCs w:val="21"/>
                <w:lang w:val="hu-HU"/>
              </w:rPr>
              <w:t>) dibagi dengan</w:t>
            </w:r>
            <w:r w:rsidRPr="00D374A8">
              <w:rPr>
                <w:rFonts w:ascii="Arial" w:hAnsi="Arial" w:cs="Arial"/>
                <w:noProof/>
                <w:sz w:val="21"/>
                <w:szCs w:val="21"/>
                <w:lang w:val="hu-HU"/>
              </w:rPr>
              <w:t xml:space="preserve">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o</w:t>
            </w:r>
            <w:r w:rsidRPr="00D374A8">
              <w:rPr>
                <w:rFonts w:ascii="Arial" w:hAnsi="Arial" w:cs="Arial"/>
                <w:noProof/>
                <w:sz w:val="21"/>
                <w:szCs w:val="21"/>
                <w:lang w:val="hu-HU"/>
              </w:rPr>
              <w:t xml:space="preserve"> </w:t>
            </w:r>
            <w:r w:rsidRPr="00747E6E">
              <w:rPr>
                <w:rFonts w:ascii="Arial" w:hAnsi="Arial" w:cs="Arial"/>
                <w:noProof/>
                <w:sz w:val="21"/>
                <w:szCs w:val="21"/>
                <w:lang w:val="hu-HU"/>
              </w:rPr>
              <w:t xml:space="preserve">pada tahun </w:t>
            </w:r>
            <w:r>
              <w:rPr>
                <w:rFonts w:ascii="Arial" w:hAnsi="Arial" w:cs="Arial"/>
                <w:noProof/>
                <w:sz w:val="21"/>
                <w:szCs w:val="21"/>
                <w:lang w:val="hu-HU"/>
              </w:rPr>
              <w:t>fiskal</w:t>
            </w:r>
            <w:r w:rsidRPr="00747E6E">
              <w:rPr>
                <w:rFonts w:ascii="Arial" w:hAnsi="Arial" w:cs="Arial"/>
                <w:noProof/>
                <w:sz w:val="21"/>
                <w:szCs w:val="21"/>
                <w:lang w:val="hu-HU"/>
              </w:rPr>
              <w:t xml:space="preserve"> sebelumnya / Pendapatan pada tahun fiskal sebelumnya dibagi dengan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Pr="00747E6E">
              <w:rPr>
                <w:rFonts w:ascii="Arial" w:hAnsi="Arial" w:cs="Arial"/>
                <w:noProof/>
                <w:sz w:val="21"/>
                <w:szCs w:val="21"/>
                <w:lang w:val="hu-HU"/>
              </w:rPr>
              <w:t xml:space="preserve">pada tahun </w:t>
            </w:r>
            <w:r>
              <w:rPr>
                <w:rFonts w:ascii="Arial" w:hAnsi="Arial" w:cs="Arial"/>
                <w:noProof/>
                <w:sz w:val="21"/>
                <w:szCs w:val="21"/>
                <w:lang w:val="hu-HU"/>
              </w:rPr>
              <w:t>fiskal</w:t>
            </w:r>
            <w:r w:rsidRPr="00747E6E">
              <w:rPr>
                <w:rFonts w:ascii="Arial" w:hAnsi="Arial" w:cs="Arial"/>
                <w:noProof/>
                <w:sz w:val="21"/>
                <w:szCs w:val="21"/>
                <w:lang w:val="hu-HU"/>
              </w:rPr>
              <w:t xml:space="preserve"> sebelumnya, berdasarkan laporan keuangan </w:t>
            </w:r>
            <w:r>
              <w:rPr>
                <w:rFonts w:ascii="Arial" w:hAnsi="Arial" w:cs="Arial"/>
                <w:noProof/>
                <w:sz w:val="21"/>
                <w:szCs w:val="21"/>
                <w:lang w:val="hu-HU"/>
              </w:rPr>
              <w:t>teraudit pada</w:t>
            </w:r>
            <w:r w:rsidRPr="00747E6E">
              <w:rPr>
                <w:rFonts w:ascii="Arial" w:hAnsi="Arial" w:cs="Arial"/>
                <w:noProof/>
                <w:sz w:val="21"/>
                <w:szCs w:val="21"/>
                <w:lang w:val="hu-HU"/>
              </w:rPr>
              <w:t xml:space="preserve"> tahun </w:t>
            </w:r>
            <w:r>
              <w:rPr>
                <w:rFonts w:ascii="Arial" w:hAnsi="Arial" w:cs="Arial"/>
                <w:noProof/>
                <w:sz w:val="21"/>
                <w:szCs w:val="21"/>
                <w:lang w:val="hu-HU"/>
              </w:rPr>
              <w:t>fiskal</w:t>
            </w:r>
            <w:r w:rsidRPr="00747E6E">
              <w:rPr>
                <w:rFonts w:ascii="Arial" w:hAnsi="Arial" w:cs="Arial"/>
                <w:noProof/>
                <w:sz w:val="21"/>
                <w:szCs w:val="21"/>
                <w:lang w:val="hu-HU"/>
              </w:rPr>
              <w:t xml:space="preserve"> terakhir, jika kurang dari 12 bulan</w:t>
            </w:r>
            <w:r>
              <w:rPr>
                <w:rFonts w:ascii="Arial" w:hAnsi="Arial" w:cs="Arial"/>
                <w:noProof/>
                <w:sz w:val="21"/>
                <w:szCs w:val="21"/>
                <w:lang w:val="hu-HU"/>
              </w:rPr>
              <w:t xml:space="preserve"> telah</w:t>
            </w:r>
            <w:r w:rsidRPr="00747E6E">
              <w:rPr>
                <w:rFonts w:ascii="Arial" w:hAnsi="Arial" w:cs="Arial"/>
                <w:noProof/>
                <w:sz w:val="21"/>
                <w:szCs w:val="21"/>
                <w:lang w:val="hu-HU"/>
              </w:rPr>
              <w:t xml:space="preserve"> berlalu sejak </w:t>
            </w:r>
            <w:r>
              <w:rPr>
                <w:rFonts w:ascii="Arial" w:hAnsi="Arial" w:cs="Arial"/>
                <w:noProof/>
                <w:sz w:val="21"/>
                <w:szCs w:val="21"/>
                <w:lang w:val="hu-HU"/>
              </w:rPr>
              <w:t>Tanggal Operasi Komersial</w:t>
            </w:r>
            <w:r w:rsidRPr="00747E6E">
              <w:rPr>
                <w:rFonts w:ascii="Arial" w:hAnsi="Arial" w:cs="Arial"/>
                <w:noProof/>
                <w:sz w:val="21"/>
                <w:szCs w:val="21"/>
                <w:lang w:val="hu-HU"/>
              </w:rPr>
              <w:t xml:space="preserve"> </w:t>
            </w:r>
            <w:r w:rsidR="0013527B">
              <w:rPr>
                <w:rFonts w:ascii="Arial" w:hAnsi="Arial" w:cs="Arial"/>
                <w:noProof/>
                <w:sz w:val="21"/>
                <w:szCs w:val="21"/>
                <w:lang w:val="hu-HU"/>
              </w:rPr>
              <w:t xml:space="preserve">maka </w:t>
            </w:r>
            <w:r w:rsidRPr="00747E6E">
              <w:rPr>
                <w:rFonts w:ascii="Arial" w:hAnsi="Arial" w:cs="Arial"/>
                <w:noProof/>
                <w:sz w:val="21"/>
                <w:szCs w:val="21"/>
                <w:lang w:val="hu-HU"/>
              </w:rPr>
              <w:t>[34%]</w:t>
            </w:r>
          </w:p>
        </w:tc>
      </w:tr>
      <w:tr w:rsidR="007A16EF" w:rsidRPr="00FA0219" w14:paraId="5951EE77" w14:textId="77777777" w:rsidTr="00291AD9">
        <w:trPr>
          <w:trHeight w:val="2391"/>
        </w:trPr>
        <w:tc>
          <w:tcPr>
            <w:tcW w:w="4644" w:type="dxa"/>
          </w:tcPr>
          <w:p w14:paraId="135B82BB" w14:textId="332F172F" w:rsidR="007A16EF" w:rsidRPr="00D374A8" w:rsidRDefault="007A16EF" w:rsidP="008E0C60">
            <w:pPr>
              <w:pStyle w:val="MarginText"/>
              <w:spacing w:before="120" w:after="120" w:line="240" w:lineRule="auto"/>
              <w:ind w:left="1134"/>
              <w:rPr>
                <w:rFonts w:ascii="Arial" w:hAnsi="Arial" w:cs="Arial"/>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d</w:t>
            </w:r>
            <w:r w:rsidRPr="00D374A8">
              <w:rPr>
                <w:rFonts w:ascii="Arial" w:hAnsi="Arial" w:cs="Arial"/>
                <w:noProof/>
                <w:sz w:val="21"/>
                <w:szCs w:val="21"/>
                <w:lang w:val="hu-HU"/>
              </w:rPr>
              <w:t xml:space="preserve"> = Depreciation / Revenues in previous financial year divided by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in previous financial year, based on last financial year’s audited financial statement, in case less than 12 </w:t>
            </w:r>
            <w:r w:rsidR="00E20CE3" w:rsidRPr="00D374A8">
              <w:rPr>
                <w:rFonts w:ascii="Arial" w:hAnsi="Arial" w:cs="Arial"/>
                <w:noProof/>
                <w:sz w:val="21"/>
                <w:szCs w:val="21"/>
                <w:lang w:val="hu-HU"/>
              </w:rPr>
              <w:t>mont</w:t>
            </w:r>
            <w:r w:rsidR="00E20CE3">
              <w:rPr>
                <w:rFonts w:ascii="Arial" w:hAnsi="Arial" w:cs="Arial"/>
                <w:noProof/>
                <w:sz w:val="21"/>
                <w:szCs w:val="21"/>
                <w:lang w:val="hu-HU"/>
              </w:rPr>
              <w:t>h</w:t>
            </w:r>
            <w:r w:rsidR="00E20CE3" w:rsidRPr="00D374A8">
              <w:rPr>
                <w:rFonts w:ascii="Arial" w:hAnsi="Arial" w:cs="Arial"/>
                <w:noProof/>
                <w:sz w:val="21"/>
                <w:szCs w:val="21"/>
                <w:lang w:val="hu-HU"/>
              </w:rPr>
              <w:t>s</w:t>
            </w:r>
            <w:r w:rsidRPr="00D374A8">
              <w:rPr>
                <w:rFonts w:ascii="Arial" w:hAnsi="Arial" w:cs="Arial"/>
                <w:noProof/>
                <w:sz w:val="21"/>
                <w:szCs w:val="21"/>
                <w:lang w:val="hu-HU"/>
              </w:rPr>
              <w:t xml:space="preserve"> passed since </w:t>
            </w:r>
            <w:r w:rsidR="0013527B">
              <w:rPr>
                <w:rFonts w:ascii="Arial" w:hAnsi="Arial" w:cs="Arial"/>
                <w:noProof/>
                <w:sz w:val="21"/>
                <w:szCs w:val="21"/>
                <w:lang w:val="hu-HU"/>
              </w:rPr>
              <w:t>Commercial Operation Date</w:t>
            </w:r>
            <w:r w:rsidRPr="00D374A8">
              <w:rPr>
                <w:rFonts w:ascii="Arial" w:hAnsi="Arial" w:cs="Arial"/>
                <w:noProof/>
                <w:sz w:val="21"/>
                <w:szCs w:val="21"/>
                <w:lang w:val="hu-HU"/>
              </w:rPr>
              <w:t xml:space="preserve"> then [</w:t>
            </w:r>
            <w:r w:rsidR="00E20CE3">
              <w:rPr>
                <w:rFonts w:ascii="Arial" w:hAnsi="Arial" w:cs="Arial"/>
                <w:noProof/>
                <w:sz w:val="21"/>
                <w:szCs w:val="21"/>
                <w:lang w:val="hu-HU"/>
              </w:rPr>
              <w:t>28</w:t>
            </w:r>
            <w:r w:rsidRPr="00D374A8">
              <w:rPr>
                <w:rFonts w:ascii="Arial" w:hAnsi="Arial" w:cs="Arial"/>
                <w:noProof/>
                <w:sz w:val="21"/>
                <w:szCs w:val="21"/>
                <w:lang w:val="hu-HU"/>
              </w:rPr>
              <w:t>%]</w:t>
            </w:r>
            <w:r w:rsidR="00291AD9">
              <w:rPr>
                <w:rFonts w:ascii="Arial" w:hAnsi="Arial" w:cs="Arial"/>
                <w:noProof/>
                <w:sz w:val="21"/>
                <w:szCs w:val="21"/>
                <w:lang w:val="hu-HU"/>
              </w:rPr>
              <w:t>.</w:t>
            </w:r>
          </w:p>
          <w:p w14:paraId="4F458280" w14:textId="77777777" w:rsidR="007A16EF" w:rsidRPr="00D374A8" w:rsidRDefault="007A16EF" w:rsidP="008E0C60">
            <w:pPr>
              <w:pStyle w:val="MarginText"/>
              <w:spacing w:before="120" w:after="120" w:line="240" w:lineRule="auto"/>
              <w:rPr>
                <w:rFonts w:ascii="Arial" w:hAnsi="Arial" w:cs="Arial"/>
                <w:b/>
                <w:i/>
                <w:noProof/>
                <w:sz w:val="21"/>
                <w:szCs w:val="21"/>
                <w:lang w:val="hu-HU"/>
              </w:rPr>
            </w:pPr>
          </w:p>
        </w:tc>
        <w:tc>
          <w:tcPr>
            <w:tcW w:w="284" w:type="dxa"/>
          </w:tcPr>
          <w:p w14:paraId="38AC44E3" w14:textId="77777777" w:rsidR="007A16EF" w:rsidRPr="007A16EF" w:rsidRDefault="007A16EF" w:rsidP="008E0C60">
            <w:pPr>
              <w:spacing w:before="120" w:after="120"/>
              <w:ind w:left="428"/>
              <w:jc w:val="both"/>
              <w:rPr>
                <w:rFonts w:ascii="Arial" w:hAnsi="Arial" w:cs="Arial"/>
                <w:sz w:val="21"/>
                <w:szCs w:val="21"/>
              </w:rPr>
            </w:pPr>
          </w:p>
        </w:tc>
        <w:tc>
          <w:tcPr>
            <w:tcW w:w="4425" w:type="dxa"/>
          </w:tcPr>
          <w:p w14:paraId="43DB90E1" w14:textId="01470288" w:rsidR="00747E6E" w:rsidRPr="00747E6E" w:rsidRDefault="00747E6E" w:rsidP="008E0C60">
            <w:pPr>
              <w:pStyle w:val="MarginText"/>
              <w:spacing w:before="120" w:after="120" w:line="240" w:lineRule="auto"/>
              <w:ind w:left="1309"/>
              <w:rPr>
                <w:rFonts w:ascii="Arial" w:hAnsi="Arial" w:cs="Arial"/>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d</w:t>
            </w:r>
            <w:r w:rsidRPr="00D374A8">
              <w:rPr>
                <w:rFonts w:ascii="Arial" w:hAnsi="Arial" w:cs="Arial"/>
                <w:noProof/>
                <w:sz w:val="21"/>
                <w:szCs w:val="21"/>
                <w:lang w:val="hu-HU"/>
              </w:rPr>
              <w:t xml:space="preserve"> = </w:t>
            </w:r>
            <w:r w:rsidRPr="00747E6E">
              <w:rPr>
                <w:rFonts w:ascii="Arial" w:hAnsi="Arial" w:cs="Arial"/>
                <w:noProof/>
                <w:sz w:val="21"/>
                <w:szCs w:val="21"/>
                <w:lang w:val="hu-HU"/>
              </w:rPr>
              <w:t xml:space="preserve">Depresiasi / Pendapatan pada tahun </w:t>
            </w:r>
            <w:r>
              <w:rPr>
                <w:rFonts w:ascii="Arial" w:hAnsi="Arial" w:cs="Arial"/>
                <w:noProof/>
                <w:sz w:val="21"/>
                <w:szCs w:val="21"/>
                <w:lang w:val="hu-HU"/>
              </w:rPr>
              <w:t>fiskal</w:t>
            </w:r>
            <w:r w:rsidRPr="00747E6E">
              <w:rPr>
                <w:rFonts w:ascii="Arial" w:hAnsi="Arial" w:cs="Arial"/>
                <w:noProof/>
                <w:sz w:val="21"/>
                <w:szCs w:val="21"/>
                <w:lang w:val="hu-HU"/>
              </w:rPr>
              <w:t xml:space="preserve"> sebelumnya dibagi dengan </w:t>
            </w:r>
            <w:r w:rsidRPr="00D374A8">
              <w:rPr>
                <w:rFonts w:ascii="Arial" w:hAnsi="Arial" w:cs="Arial"/>
                <w:b/>
                <w:i/>
                <w:noProof/>
                <w:sz w:val="21"/>
                <w:szCs w:val="21"/>
                <w:lang w:val="hu-HU"/>
              </w:rPr>
              <w:t>IF</w:t>
            </w:r>
            <w:r w:rsidRPr="00D374A8">
              <w:rPr>
                <w:rFonts w:ascii="Arial" w:hAnsi="Arial" w:cs="Arial"/>
                <w:b/>
                <w:i/>
                <w:noProof/>
                <w:sz w:val="21"/>
                <w:szCs w:val="21"/>
                <w:vertAlign w:val="subscript"/>
                <w:lang w:val="hu-HU"/>
              </w:rPr>
              <w:t>mt</w:t>
            </w:r>
            <w:r w:rsidRPr="00D374A8">
              <w:rPr>
                <w:rFonts w:ascii="Arial" w:hAnsi="Arial" w:cs="Arial"/>
                <w:noProof/>
                <w:sz w:val="21"/>
                <w:szCs w:val="21"/>
                <w:lang w:val="hu-HU"/>
              </w:rPr>
              <w:t xml:space="preserve"> </w:t>
            </w:r>
            <w:r w:rsidR="0013527B" w:rsidRPr="00747E6E">
              <w:rPr>
                <w:rFonts w:ascii="Arial" w:hAnsi="Arial" w:cs="Arial"/>
                <w:noProof/>
                <w:sz w:val="21"/>
                <w:szCs w:val="21"/>
                <w:lang w:val="hu-HU"/>
              </w:rPr>
              <w:t xml:space="preserve">pada tahun </w:t>
            </w:r>
            <w:r w:rsidR="00B609F1">
              <w:rPr>
                <w:rFonts w:ascii="Arial" w:hAnsi="Arial" w:cs="Arial"/>
                <w:noProof/>
                <w:sz w:val="21"/>
                <w:szCs w:val="21"/>
                <w:lang w:val="hu-HU"/>
              </w:rPr>
              <w:t>fiskal</w:t>
            </w:r>
            <w:r w:rsidR="0013527B" w:rsidRPr="00747E6E">
              <w:rPr>
                <w:rFonts w:ascii="Arial" w:hAnsi="Arial" w:cs="Arial"/>
                <w:noProof/>
                <w:sz w:val="21"/>
                <w:szCs w:val="21"/>
                <w:lang w:val="hu-HU"/>
              </w:rPr>
              <w:t xml:space="preserve"> sebelumnya, berdasar pada laporan keuangan </w:t>
            </w:r>
            <w:r w:rsidR="0013527B">
              <w:rPr>
                <w:rFonts w:ascii="Arial" w:hAnsi="Arial" w:cs="Arial"/>
                <w:noProof/>
                <w:sz w:val="21"/>
                <w:szCs w:val="21"/>
                <w:lang w:val="hu-HU"/>
              </w:rPr>
              <w:t>teraudit terakhir</w:t>
            </w:r>
            <w:r w:rsidR="0013527B" w:rsidRPr="00747E6E">
              <w:rPr>
                <w:rFonts w:ascii="Arial" w:hAnsi="Arial" w:cs="Arial"/>
                <w:noProof/>
                <w:sz w:val="21"/>
                <w:szCs w:val="21"/>
                <w:lang w:val="hu-HU"/>
              </w:rPr>
              <w:t>, jika kurang dari 12 bulan</w:t>
            </w:r>
            <w:r w:rsidR="0013527B">
              <w:rPr>
                <w:rFonts w:ascii="Arial" w:hAnsi="Arial" w:cs="Arial"/>
                <w:noProof/>
                <w:sz w:val="21"/>
                <w:szCs w:val="21"/>
                <w:lang w:val="hu-HU"/>
              </w:rPr>
              <w:t xml:space="preserve"> telah</w:t>
            </w:r>
            <w:r w:rsidR="0013527B" w:rsidRPr="00747E6E">
              <w:rPr>
                <w:rFonts w:ascii="Arial" w:hAnsi="Arial" w:cs="Arial"/>
                <w:noProof/>
                <w:sz w:val="21"/>
                <w:szCs w:val="21"/>
                <w:lang w:val="hu-HU"/>
              </w:rPr>
              <w:t xml:space="preserve"> berlalu sejak </w:t>
            </w:r>
            <w:r w:rsidR="0013527B">
              <w:rPr>
                <w:rFonts w:ascii="Arial" w:hAnsi="Arial" w:cs="Arial"/>
                <w:noProof/>
                <w:sz w:val="21"/>
                <w:szCs w:val="21"/>
                <w:lang w:val="hu-HU"/>
              </w:rPr>
              <w:t>Tanggal Operasi Komersial</w:t>
            </w:r>
            <w:r w:rsidR="0013527B" w:rsidRPr="00747E6E">
              <w:rPr>
                <w:rFonts w:ascii="Arial" w:hAnsi="Arial" w:cs="Arial"/>
                <w:noProof/>
                <w:sz w:val="21"/>
                <w:szCs w:val="21"/>
                <w:lang w:val="hu-HU"/>
              </w:rPr>
              <w:t xml:space="preserve"> maka [28%]</w:t>
            </w:r>
            <w:r w:rsidR="00291AD9">
              <w:rPr>
                <w:rFonts w:ascii="Arial" w:hAnsi="Arial" w:cs="Arial"/>
                <w:noProof/>
                <w:sz w:val="21"/>
                <w:szCs w:val="21"/>
                <w:lang w:val="hu-HU"/>
              </w:rPr>
              <w:t>.</w:t>
            </w:r>
          </w:p>
        </w:tc>
      </w:tr>
      <w:tr w:rsidR="00747E6E" w:rsidRPr="00FA0219" w14:paraId="694C65B8" w14:textId="77777777" w:rsidTr="00291AD9">
        <w:tc>
          <w:tcPr>
            <w:tcW w:w="4644" w:type="dxa"/>
          </w:tcPr>
          <w:p w14:paraId="34D62536" w14:textId="1B422C49" w:rsidR="00747E6E" w:rsidRPr="00D374A8" w:rsidRDefault="00747E6E" w:rsidP="008E0C60">
            <w:pPr>
              <w:pStyle w:val="MarginText"/>
              <w:spacing w:before="120" w:after="120" w:line="240" w:lineRule="auto"/>
              <w:ind w:left="1134"/>
              <w:rPr>
                <w:rFonts w:ascii="Arial" w:hAnsi="Arial" w:cs="Arial"/>
                <w:b/>
                <w:i/>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r</w:t>
            </w:r>
            <w:r w:rsidRPr="00D374A8">
              <w:rPr>
                <w:rFonts w:ascii="Arial" w:hAnsi="Arial" w:cs="Arial"/>
                <w:b/>
                <w:i/>
                <w:noProof/>
                <w:sz w:val="21"/>
                <w:szCs w:val="21"/>
                <w:lang w:val="hu-HU"/>
              </w:rPr>
              <w:t xml:space="preserve"> </w:t>
            </w:r>
            <w:r w:rsidRPr="00D374A8">
              <w:rPr>
                <w:rFonts w:ascii="Arial" w:hAnsi="Arial" w:cs="Arial"/>
                <w:noProof/>
                <w:sz w:val="21"/>
                <w:szCs w:val="21"/>
                <w:lang w:val="hu-HU"/>
              </w:rPr>
              <w:t xml:space="preserve">= 1 –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it  </w:t>
            </w:r>
            <w:r w:rsidRPr="00D374A8">
              <w:rPr>
                <w:rFonts w:ascii="Arial" w:hAnsi="Arial" w:cs="Arial"/>
                <w:noProof/>
                <w:sz w:val="21"/>
                <w:szCs w:val="21"/>
                <w:lang w:val="hu-HU"/>
              </w:rPr>
              <w:t xml:space="preserve">–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o </w:t>
            </w:r>
            <w:r w:rsidRPr="00D374A8">
              <w:rPr>
                <w:rFonts w:ascii="Arial" w:hAnsi="Arial" w:cs="Arial"/>
                <w:noProof/>
                <w:sz w:val="21"/>
                <w:szCs w:val="21"/>
                <w:lang w:val="hu-HU"/>
              </w:rPr>
              <w:t xml:space="preserve">–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d</w:t>
            </w:r>
          </w:p>
        </w:tc>
        <w:tc>
          <w:tcPr>
            <w:tcW w:w="284" w:type="dxa"/>
          </w:tcPr>
          <w:p w14:paraId="165E45B0" w14:textId="77777777" w:rsidR="00747E6E" w:rsidRPr="007A16EF" w:rsidRDefault="00747E6E" w:rsidP="008E0C60">
            <w:pPr>
              <w:spacing w:before="120" w:after="120"/>
              <w:ind w:left="428"/>
              <w:jc w:val="both"/>
              <w:rPr>
                <w:rFonts w:ascii="Arial" w:hAnsi="Arial" w:cs="Arial"/>
                <w:sz w:val="21"/>
                <w:szCs w:val="21"/>
              </w:rPr>
            </w:pPr>
          </w:p>
        </w:tc>
        <w:tc>
          <w:tcPr>
            <w:tcW w:w="4425" w:type="dxa"/>
          </w:tcPr>
          <w:p w14:paraId="39A425D6" w14:textId="54A9A025" w:rsidR="00747E6E" w:rsidRPr="00D374A8" w:rsidRDefault="00747E6E" w:rsidP="008E0C60">
            <w:pPr>
              <w:pStyle w:val="MarginText"/>
              <w:spacing w:before="120" w:after="120" w:line="240" w:lineRule="auto"/>
              <w:ind w:left="1309"/>
              <w:rPr>
                <w:rFonts w:ascii="Arial" w:hAnsi="Arial" w:cs="Arial"/>
                <w:b/>
                <w:i/>
                <w:noProof/>
                <w:sz w:val="21"/>
                <w:szCs w:val="21"/>
                <w:lang w:val="hu-HU"/>
              </w:rPr>
            </w:pP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r</w:t>
            </w:r>
            <w:r w:rsidRPr="00D374A8">
              <w:rPr>
                <w:rFonts w:ascii="Arial" w:hAnsi="Arial" w:cs="Arial"/>
                <w:b/>
                <w:i/>
                <w:noProof/>
                <w:sz w:val="21"/>
                <w:szCs w:val="21"/>
                <w:lang w:val="hu-HU"/>
              </w:rPr>
              <w:t xml:space="preserve"> </w:t>
            </w:r>
            <w:r w:rsidRPr="00D374A8">
              <w:rPr>
                <w:rFonts w:ascii="Arial" w:hAnsi="Arial" w:cs="Arial"/>
                <w:noProof/>
                <w:sz w:val="21"/>
                <w:szCs w:val="21"/>
                <w:lang w:val="hu-HU"/>
              </w:rPr>
              <w:t xml:space="preserve">= 1 –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hr</w:t>
            </w:r>
            <w:r w:rsidRPr="00D374A8">
              <w:rPr>
                <w:rFonts w:ascii="Arial" w:hAnsi="Arial" w:cs="Arial"/>
                <w:noProof/>
                <w:sz w:val="21"/>
                <w:szCs w:val="21"/>
                <w:lang w:val="hu-HU"/>
              </w:rPr>
              <w:t xml:space="preserve"> –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it  </w:t>
            </w:r>
            <w:r w:rsidRPr="00D374A8">
              <w:rPr>
                <w:rFonts w:ascii="Arial" w:hAnsi="Arial" w:cs="Arial"/>
                <w:noProof/>
                <w:sz w:val="21"/>
                <w:szCs w:val="21"/>
                <w:lang w:val="hu-HU"/>
              </w:rPr>
              <w:t xml:space="preserve">–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 xml:space="preserve">o </w:t>
            </w:r>
            <w:r w:rsidRPr="00D374A8">
              <w:rPr>
                <w:rFonts w:ascii="Arial" w:hAnsi="Arial" w:cs="Arial"/>
                <w:noProof/>
                <w:sz w:val="21"/>
                <w:szCs w:val="21"/>
                <w:lang w:val="hu-HU"/>
              </w:rPr>
              <w:t xml:space="preserve">– </w:t>
            </w:r>
            <w:r w:rsidRPr="00D374A8">
              <w:rPr>
                <w:rFonts w:ascii="Arial" w:hAnsi="Arial" w:cs="Arial"/>
                <w:b/>
                <w:i/>
                <w:noProof/>
                <w:sz w:val="21"/>
                <w:szCs w:val="21"/>
                <w:lang w:val="hu-HU"/>
              </w:rPr>
              <w:t>w</w:t>
            </w:r>
            <w:r w:rsidRPr="00D374A8">
              <w:rPr>
                <w:rFonts w:ascii="Arial" w:hAnsi="Arial" w:cs="Arial"/>
                <w:b/>
                <w:i/>
                <w:noProof/>
                <w:sz w:val="21"/>
                <w:szCs w:val="21"/>
                <w:vertAlign w:val="subscript"/>
                <w:lang w:val="hu-HU"/>
              </w:rPr>
              <w:t>d</w:t>
            </w:r>
          </w:p>
        </w:tc>
      </w:tr>
      <w:tr w:rsidR="00442660" w:rsidRPr="00A67277" w14:paraId="5CEB7A5A" w14:textId="77777777" w:rsidTr="00291AD9">
        <w:tc>
          <w:tcPr>
            <w:tcW w:w="4644" w:type="dxa"/>
          </w:tcPr>
          <w:p w14:paraId="12B15974" w14:textId="5C86DB49" w:rsidR="00442660" w:rsidRPr="007A16EF" w:rsidRDefault="00442660" w:rsidP="00186054">
            <w:pPr>
              <w:pStyle w:val="ListParagraph"/>
              <w:numPr>
                <w:ilvl w:val="0"/>
                <w:numId w:val="743"/>
              </w:numPr>
              <w:spacing w:before="120" w:after="120" w:line="240" w:lineRule="auto"/>
              <w:ind w:left="360"/>
              <w:contextualSpacing w:val="0"/>
              <w:rPr>
                <w:rFonts w:cs="Arial"/>
                <w:b/>
                <w:bCs/>
              </w:rPr>
            </w:pPr>
            <w:r w:rsidRPr="007A16EF">
              <w:rPr>
                <w:rFonts w:cs="Arial"/>
                <w:b/>
                <w:bCs/>
              </w:rPr>
              <w:t>Deduction for Performance Failure</w:t>
            </w:r>
          </w:p>
        </w:tc>
        <w:tc>
          <w:tcPr>
            <w:tcW w:w="284" w:type="dxa"/>
          </w:tcPr>
          <w:p w14:paraId="38C1733C" w14:textId="77777777" w:rsidR="00442660" w:rsidRPr="007A16EF" w:rsidRDefault="00442660" w:rsidP="00186054">
            <w:pPr>
              <w:spacing w:before="120" w:after="120"/>
              <w:rPr>
                <w:rFonts w:ascii="Arial" w:hAnsi="Arial" w:cs="Arial"/>
                <w:b/>
                <w:bCs/>
                <w:sz w:val="21"/>
                <w:szCs w:val="21"/>
              </w:rPr>
            </w:pPr>
          </w:p>
        </w:tc>
        <w:tc>
          <w:tcPr>
            <w:tcW w:w="4425" w:type="dxa"/>
          </w:tcPr>
          <w:p w14:paraId="706E9232" w14:textId="77777777" w:rsidR="00442660" w:rsidRPr="007A16EF" w:rsidRDefault="00442660" w:rsidP="00186054">
            <w:pPr>
              <w:pStyle w:val="ListParagraph"/>
              <w:numPr>
                <w:ilvl w:val="0"/>
                <w:numId w:val="744"/>
              </w:numPr>
              <w:spacing w:before="120" w:after="120" w:line="240" w:lineRule="auto"/>
              <w:ind w:left="459" w:hanging="459"/>
              <w:contextualSpacing w:val="0"/>
              <w:rPr>
                <w:rFonts w:eastAsiaTheme="minorHAnsi" w:cs="Arial"/>
                <w:b/>
                <w:bCs/>
              </w:rPr>
            </w:pPr>
            <w:r w:rsidRPr="007A16EF">
              <w:rPr>
                <w:rFonts w:cs="Arial"/>
                <w:b/>
                <w:bCs/>
              </w:rPr>
              <w:t>Pengurangan</w:t>
            </w:r>
            <w:r w:rsidRPr="007A16EF">
              <w:rPr>
                <w:rFonts w:eastAsiaTheme="minorHAnsi" w:cs="Arial"/>
                <w:b/>
                <w:bCs/>
                <w:lang w:val="en-US" w:eastAsia="en-US"/>
              </w:rPr>
              <w:t xml:space="preserve"> Untuk Kegagalan Kinerja</w:t>
            </w:r>
          </w:p>
        </w:tc>
      </w:tr>
      <w:tr w:rsidR="00442660" w:rsidRPr="00A67277" w14:paraId="73BF236F" w14:textId="77777777" w:rsidTr="00291AD9">
        <w:tc>
          <w:tcPr>
            <w:tcW w:w="4644" w:type="dxa"/>
          </w:tcPr>
          <w:p w14:paraId="50C1C801" w14:textId="77777777" w:rsidR="00442660" w:rsidRPr="00375FA3" w:rsidRDefault="00442660" w:rsidP="00186054">
            <w:pPr>
              <w:spacing w:before="120" w:after="120"/>
              <w:ind w:left="428"/>
              <w:jc w:val="both"/>
              <w:rPr>
                <w:rFonts w:cs="Arial"/>
              </w:rPr>
            </w:pPr>
            <w:r w:rsidRPr="00290A2D">
              <w:rPr>
                <w:rFonts w:ascii="Arial" w:hAnsi="Arial" w:cs="Arial"/>
                <w:sz w:val="21"/>
                <w:szCs w:val="21"/>
              </w:rPr>
              <w:t>The service fee is dependent on the number of lanes and subject to deductions (Deduction for Performace Failure) in case KPIs are not met. In case all the KPIs are met, the Service Fee is only dependent on the number of lanes and it is not affected by other factors. In case the system is not performing according to the KPIs, the Service Fee is reduced.</w:t>
            </w:r>
          </w:p>
        </w:tc>
        <w:tc>
          <w:tcPr>
            <w:tcW w:w="284" w:type="dxa"/>
          </w:tcPr>
          <w:p w14:paraId="3522AB20" w14:textId="77777777" w:rsidR="00442660" w:rsidRPr="005F41DF" w:rsidRDefault="00442660" w:rsidP="00186054">
            <w:pPr>
              <w:spacing w:before="120" w:after="120"/>
              <w:rPr>
                <w:rFonts w:ascii="Arial" w:hAnsi="Arial" w:cs="Arial"/>
                <w:b/>
                <w:sz w:val="21"/>
                <w:szCs w:val="21"/>
              </w:rPr>
            </w:pPr>
          </w:p>
        </w:tc>
        <w:tc>
          <w:tcPr>
            <w:tcW w:w="4425" w:type="dxa"/>
          </w:tcPr>
          <w:p w14:paraId="0E0BBF86" w14:textId="77777777" w:rsidR="00442660" w:rsidRPr="00290A2D" w:rsidRDefault="00442660" w:rsidP="00186054">
            <w:pPr>
              <w:spacing w:before="120" w:after="120"/>
              <w:ind w:left="459"/>
              <w:jc w:val="both"/>
              <w:rPr>
                <w:rFonts w:ascii="Arial" w:hAnsi="Arial" w:cs="Arial"/>
                <w:bCs/>
                <w:sz w:val="21"/>
                <w:szCs w:val="21"/>
              </w:rPr>
            </w:pPr>
            <w:r w:rsidRPr="00290A2D">
              <w:rPr>
                <w:rFonts w:ascii="Arial" w:hAnsi="Arial" w:cs="Arial"/>
                <w:bCs/>
                <w:sz w:val="21"/>
                <w:szCs w:val="21"/>
              </w:rPr>
              <w:t>Biaya layanan tergantung pada jumlah jalur dan tunduk pada pemotongan (</w:t>
            </w:r>
            <w:r w:rsidRPr="00375FA3">
              <w:rPr>
                <w:rFonts w:ascii="Arial" w:hAnsi="Arial" w:cs="Arial"/>
                <w:bCs/>
                <w:sz w:val="21"/>
                <w:szCs w:val="21"/>
              </w:rPr>
              <w:t>Pengurangan Untuk Kegagalan Kinerja</w:t>
            </w:r>
            <w:r w:rsidRPr="00290A2D">
              <w:rPr>
                <w:rFonts w:ascii="Arial" w:hAnsi="Arial" w:cs="Arial"/>
                <w:bCs/>
                <w:sz w:val="21"/>
                <w:szCs w:val="21"/>
              </w:rPr>
              <w:t xml:space="preserve">) jika Indikator Kinerja Utama (IKU) tidak terpenuhi. Jika semua IKU terpenuhi, </w:t>
            </w:r>
            <w:r w:rsidRPr="00375FA3">
              <w:rPr>
                <w:rFonts w:ascii="Arial" w:hAnsi="Arial" w:cs="Arial"/>
                <w:bCs/>
                <w:sz w:val="21"/>
                <w:szCs w:val="21"/>
              </w:rPr>
              <w:t>B</w:t>
            </w:r>
            <w:r w:rsidRPr="00290A2D">
              <w:rPr>
                <w:rFonts w:ascii="Arial" w:hAnsi="Arial" w:cs="Arial"/>
                <w:bCs/>
                <w:sz w:val="21"/>
                <w:szCs w:val="21"/>
              </w:rPr>
              <w:t xml:space="preserve">iaya </w:t>
            </w:r>
            <w:r w:rsidRPr="00375FA3">
              <w:rPr>
                <w:rFonts w:ascii="Arial" w:hAnsi="Arial" w:cs="Arial"/>
                <w:bCs/>
                <w:sz w:val="21"/>
                <w:szCs w:val="21"/>
              </w:rPr>
              <w:t>L</w:t>
            </w:r>
            <w:r w:rsidRPr="00290A2D">
              <w:rPr>
                <w:rFonts w:ascii="Arial" w:hAnsi="Arial" w:cs="Arial"/>
                <w:bCs/>
                <w:sz w:val="21"/>
                <w:szCs w:val="21"/>
              </w:rPr>
              <w:t xml:space="preserve">ayanan hanya tergantung pada jumlah lajur dan tidak dipengaruhi oleh faktor lain. Jika sistem tidak bekerja sesuai dengan IKU, </w:t>
            </w:r>
            <w:r w:rsidRPr="00375FA3">
              <w:rPr>
                <w:rFonts w:ascii="Arial" w:hAnsi="Arial" w:cs="Arial"/>
                <w:bCs/>
                <w:sz w:val="21"/>
                <w:szCs w:val="21"/>
              </w:rPr>
              <w:t>B</w:t>
            </w:r>
            <w:r w:rsidRPr="00290A2D">
              <w:rPr>
                <w:rFonts w:ascii="Arial" w:hAnsi="Arial" w:cs="Arial"/>
                <w:bCs/>
                <w:sz w:val="21"/>
                <w:szCs w:val="21"/>
              </w:rPr>
              <w:t xml:space="preserve">iaya </w:t>
            </w:r>
            <w:r w:rsidRPr="00375FA3">
              <w:rPr>
                <w:rFonts w:ascii="Arial" w:hAnsi="Arial" w:cs="Arial"/>
                <w:bCs/>
                <w:sz w:val="21"/>
                <w:szCs w:val="21"/>
              </w:rPr>
              <w:t>L</w:t>
            </w:r>
            <w:r w:rsidRPr="00290A2D">
              <w:rPr>
                <w:rFonts w:ascii="Arial" w:hAnsi="Arial" w:cs="Arial"/>
                <w:bCs/>
                <w:sz w:val="21"/>
                <w:szCs w:val="21"/>
              </w:rPr>
              <w:t xml:space="preserve">ayanan akan </w:t>
            </w:r>
            <w:r>
              <w:rPr>
                <w:rFonts w:ascii="Arial" w:hAnsi="Arial" w:cs="Arial"/>
                <w:bCs/>
                <w:sz w:val="21"/>
                <w:szCs w:val="21"/>
              </w:rPr>
              <w:t>dikurangi</w:t>
            </w:r>
            <w:r w:rsidRPr="00290A2D">
              <w:rPr>
                <w:rFonts w:ascii="Arial" w:hAnsi="Arial" w:cs="Arial"/>
                <w:bCs/>
                <w:sz w:val="21"/>
                <w:szCs w:val="21"/>
              </w:rPr>
              <w:t>.</w:t>
            </w:r>
          </w:p>
        </w:tc>
      </w:tr>
      <w:tr w:rsidR="00442660" w:rsidRPr="00A67277" w14:paraId="5CAE1D87" w14:textId="77777777" w:rsidTr="00291AD9">
        <w:tc>
          <w:tcPr>
            <w:tcW w:w="4644" w:type="dxa"/>
          </w:tcPr>
          <w:p w14:paraId="22AF7CAD" w14:textId="556DAB90" w:rsidR="00442660" w:rsidRPr="00290A2D" w:rsidRDefault="00442660" w:rsidP="00186054">
            <w:pPr>
              <w:spacing w:before="120" w:after="120"/>
              <w:ind w:left="428"/>
              <w:jc w:val="both"/>
              <w:rPr>
                <w:rFonts w:ascii="Arial" w:hAnsi="Arial" w:cs="Arial"/>
                <w:sz w:val="21"/>
                <w:szCs w:val="21"/>
              </w:rPr>
            </w:pPr>
            <w:r w:rsidRPr="00442660">
              <w:rPr>
                <w:rFonts w:ascii="Arial" w:hAnsi="Arial" w:cs="Arial"/>
                <w:sz w:val="21"/>
                <w:szCs w:val="21"/>
              </w:rPr>
              <w:t>The maximum penalty per month shall be fifteen (15%) of the Service Fee of the given month. In case the calculated penalty exceeds the maximum, the maximum shall be applied.</w:t>
            </w:r>
          </w:p>
        </w:tc>
        <w:tc>
          <w:tcPr>
            <w:tcW w:w="284" w:type="dxa"/>
          </w:tcPr>
          <w:p w14:paraId="414EB2D8" w14:textId="77777777" w:rsidR="00442660" w:rsidRPr="005F41DF" w:rsidRDefault="00442660" w:rsidP="00186054">
            <w:pPr>
              <w:spacing w:before="120" w:after="120"/>
              <w:rPr>
                <w:rFonts w:ascii="Arial" w:hAnsi="Arial" w:cs="Arial"/>
                <w:b/>
                <w:sz w:val="21"/>
                <w:szCs w:val="21"/>
              </w:rPr>
            </w:pPr>
          </w:p>
        </w:tc>
        <w:tc>
          <w:tcPr>
            <w:tcW w:w="4425" w:type="dxa"/>
          </w:tcPr>
          <w:p w14:paraId="032FD294" w14:textId="594E4DB6" w:rsidR="00442660" w:rsidRPr="00290A2D" w:rsidRDefault="00442660" w:rsidP="00186054">
            <w:pPr>
              <w:spacing w:before="120" w:after="120"/>
              <w:ind w:left="459"/>
              <w:jc w:val="both"/>
              <w:rPr>
                <w:rFonts w:ascii="Arial" w:hAnsi="Arial" w:cs="Arial"/>
                <w:bCs/>
                <w:sz w:val="21"/>
                <w:szCs w:val="21"/>
              </w:rPr>
            </w:pPr>
            <w:r w:rsidRPr="00442660">
              <w:rPr>
                <w:rFonts w:ascii="Arial" w:hAnsi="Arial" w:cs="Arial"/>
                <w:sz w:val="21"/>
                <w:szCs w:val="21"/>
              </w:rPr>
              <w:t>Jumlah denda maksimum untuk setipa bulan adalah lima belas persen (15%) untuk Biaya Layanan bulan terkait. Dalam hal perhitungan denda melebihi jumlah maksimum, maka jumlah maksimum yang dikenakan.</w:t>
            </w:r>
          </w:p>
        </w:tc>
      </w:tr>
      <w:tr w:rsidR="00442660" w:rsidRPr="00A67277" w14:paraId="0653653E" w14:textId="77777777" w:rsidTr="00291AD9">
        <w:tc>
          <w:tcPr>
            <w:tcW w:w="4644" w:type="dxa"/>
          </w:tcPr>
          <w:p w14:paraId="06BF5C87" w14:textId="77777777" w:rsidR="00442660" w:rsidRPr="00290A2D" w:rsidRDefault="00442660" w:rsidP="00186054">
            <w:pPr>
              <w:spacing w:before="120" w:after="120" w:line="259" w:lineRule="auto"/>
              <w:ind w:left="428"/>
              <w:jc w:val="both"/>
              <w:rPr>
                <w:rFonts w:ascii="Arial" w:hAnsi="Arial" w:cs="Arial"/>
                <w:sz w:val="21"/>
                <w:szCs w:val="21"/>
              </w:rPr>
            </w:pPr>
            <w:r w:rsidRPr="00290A2D">
              <w:rPr>
                <w:rFonts w:ascii="Arial" w:hAnsi="Arial" w:cs="Arial"/>
                <w:sz w:val="21"/>
                <w:szCs w:val="21"/>
              </w:rPr>
              <w:t>IBE system includes a sub-system that generates the KPI compliance reports which are submitted to the GCA on a regular basis. Similarly to the current self-assessment of Toll Road Operators. This sub-system may be subject to regular audit.</w:t>
            </w:r>
          </w:p>
        </w:tc>
        <w:tc>
          <w:tcPr>
            <w:tcW w:w="284" w:type="dxa"/>
          </w:tcPr>
          <w:p w14:paraId="764D5C9D" w14:textId="77777777" w:rsidR="00442660" w:rsidRPr="00375FA3" w:rsidRDefault="00442660" w:rsidP="00186054">
            <w:pPr>
              <w:spacing w:before="120" w:after="120"/>
              <w:rPr>
                <w:rFonts w:ascii="Arial" w:hAnsi="Arial" w:cs="Arial"/>
                <w:b/>
                <w:sz w:val="21"/>
                <w:szCs w:val="21"/>
              </w:rPr>
            </w:pPr>
          </w:p>
        </w:tc>
        <w:tc>
          <w:tcPr>
            <w:tcW w:w="4425" w:type="dxa"/>
          </w:tcPr>
          <w:p w14:paraId="10E6EE5F" w14:textId="77777777" w:rsidR="00442660" w:rsidRPr="00290A2D" w:rsidRDefault="00442660" w:rsidP="00186054">
            <w:pPr>
              <w:spacing w:before="120" w:after="120"/>
              <w:ind w:left="459"/>
              <w:jc w:val="both"/>
              <w:rPr>
                <w:rFonts w:ascii="Arial" w:hAnsi="Arial" w:cs="Arial"/>
                <w:b/>
                <w:sz w:val="21"/>
                <w:szCs w:val="21"/>
              </w:rPr>
            </w:pPr>
            <w:r w:rsidRPr="00290A2D">
              <w:rPr>
                <w:rFonts w:ascii="Arial" w:hAnsi="Arial" w:cs="Arial"/>
                <w:bCs/>
                <w:sz w:val="21"/>
                <w:szCs w:val="21"/>
              </w:rPr>
              <w:t xml:space="preserve">Sistem BUP mencakup sub-sistem yang menghasilkan laporan kepatuhan KPI yang disampaikan kepada </w:t>
            </w:r>
            <w:r w:rsidRPr="00375FA3">
              <w:rPr>
                <w:rFonts w:ascii="Arial" w:hAnsi="Arial" w:cs="Arial"/>
                <w:bCs/>
                <w:sz w:val="21"/>
                <w:szCs w:val="21"/>
              </w:rPr>
              <w:t>PJPK</w:t>
            </w:r>
            <w:r w:rsidRPr="00290A2D">
              <w:rPr>
                <w:rFonts w:ascii="Arial" w:hAnsi="Arial" w:cs="Arial"/>
                <w:bCs/>
                <w:sz w:val="21"/>
                <w:szCs w:val="21"/>
              </w:rPr>
              <w:t xml:space="preserve"> secara teratur. Demikian pula untuk penilaian mandiri Badan Usaha Jalan Tol saat ini. Sub-sistem ini dapat dikenakan audit rutin.</w:t>
            </w:r>
          </w:p>
        </w:tc>
      </w:tr>
      <w:tr w:rsidR="006225B9" w:rsidRPr="00A67277" w14:paraId="7CD5FBFC" w14:textId="77777777" w:rsidTr="00291AD9">
        <w:tc>
          <w:tcPr>
            <w:tcW w:w="4644" w:type="dxa"/>
          </w:tcPr>
          <w:p w14:paraId="24279D31" w14:textId="77777777" w:rsidR="006225B9" w:rsidRPr="00290A2D" w:rsidRDefault="006225B9" w:rsidP="00186054">
            <w:pPr>
              <w:spacing w:before="120" w:after="120"/>
              <w:ind w:left="428"/>
              <w:jc w:val="both"/>
              <w:rPr>
                <w:rFonts w:ascii="Arial" w:hAnsi="Arial" w:cs="Arial"/>
                <w:sz w:val="21"/>
                <w:szCs w:val="21"/>
              </w:rPr>
            </w:pPr>
            <w:r>
              <w:rPr>
                <w:rFonts w:ascii="Arial" w:hAnsi="Arial" w:cs="Arial"/>
                <w:sz w:val="21"/>
                <w:szCs w:val="21"/>
              </w:rPr>
              <w:t>The following is the deduction for performance failur:</w:t>
            </w:r>
          </w:p>
        </w:tc>
        <w:tc>
          <w:tcPr>
            <w:tcW w:w="284" w:type="dxa"/>
          </w:tcPr>
          <w:p w14:paraId="1EC62896" w14:textId="77777777" w:rsidR="006225B9" w:rsidRPr="00375FA3" w:rsidRDefault="006225B9" w:rsidP="00186054">
            <w:pPr>
              <w:spacing w:before="120" w:after="120"/>
              <w:rPr>
                <w:rFonts w:ascii="Arial" w:hAnsi="Arial" w:cs="Arial"/>
                <w:b/>
                <w:sz w:val="21"/>
                <w:szCs w:val="21"/>
              </w:rPr>
            </w:pPr>
          </w:p>
        </w:tc>
        <w:tc>
          <w:tcPr>
            <w:tcW w:w="4425" w:type="dxa"/>
          </w:tcPr>
          <w:p w14:paraId="330FB66B" w14:textId="77777777" w:rsidR="006225B9" w:rsidRPr="00290A2D" w:rsidRDefault="006225B9" w:rsidP="00186054">
            <w:pPr>
              <w:spacing w:before="120" w:after="120"/>
              <w:ind w:left="459"/>
              <w:jc w:val="both"/>
              <w:rPr>
                <w:rFonts w:ascii="Arial" w:hAnsi="Arial" w:cs="Arial"/>
                <w:bCs/>
                <w:sz w:val="21"/>
                <w:szCs w:val="21"/>
              </w:rPr>
            </w:pPr>
            <w:r>
              <w:rPr>
                <w:rFonts w:ascii="Arial" w:hAnsi="Arial" w:cs="Arial"/>
                <w:bCs/>
                <w:sz w:val="21"/>
                <w:szCs w:val="21"/>
              </w:rPr>
              <w:t>Berikut perhitungan pengurangan untuk kegagalan kinerja</w:t>
            </w:r>
          </w:p>
        </w:tc>
      </w:tr>
    </w:tbl>
    <w:p w14:paraId="485FADE0" w14:textId="77777777" w:rsidR="00442660" w:rsidRDefault="00442660" w:rsidP="00442660"/>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56"/>
        <w:gridCol w:w="1314"/>
        <w:gridCol w:w="1473"/>
        <w:gridCol w:w="1821"/>
        <w:gridCol w:w="1276"/>
      </w:tblGrid>
      <w:tr w:rsidR="006225B9" w:rsidRPr="00375FA3" w14:paraId="0C63FC05" w14:textId="77777777" w:rsidTr="008E629C">
        <w:trPr>
          <w:trHeight w:val="1040"/>
          <w:tblHeader/>
        </w:trPr>
        <w:tc>
          <w:tcPr>
            <w:tcW w:w="3756" w:type="dxa"/>
            <w:shd w:val="clear" w:color="auto" w:fill="BFBFBF" w:themeFill="background1" w:themeFillShade="BF"/>
            <w:vAlign w:val="center"/>
            <w:hideMark/>
          </w:tcPr>
          <w:p w14:paraId="064BA42F" w14:textId="77777777" w:rsidR="006225B9" w:rsidRDefault="006225B9" w:rsidP="008E629C">
            <w:pPr>
              <w:jc w:val="center"/>
              <w:rPr>
                <w:rFonts w:ascii="Arial" w:hAnsi="Arial" w:cs="Arial"/>
                <w:b/>
                <w:sz w:val="21"/>
                <w:szCs w:val="21"/>
              </w:rPr>
            </w:pPr>
            <w:r>
              <w:rPr>
                <w:rFonts w:ascii="Arial" w:hAnsi="Arial" w:cs="Arial"/>
                <w:b/>
                <w:sz w:val="21"/>
                <w:szCs w:val="21"/>
              </w:rPr>
              <w:t>IKU</w:t>
            </w:r>
          </w:p>
          <w:p w14:paraId="1EE6473D" w14:textId="77777777" w:rsidR="006225B9" w:rsidRPr="00442660" w:rsidRDefault="006225B9" w:rsidP="008E629C">
            <w:pPr>
              <w:jc w:val="center"/>
              <w:rPr>
                <w:rFonts w:ascii="Arial" w:hAnsi="Arial" w:cs="Arial"/>
                <w:b/>
                <w:i/>
                <w:sz w:val="21"/>
                <w:szCs w:val="21"/>
              </w:rPr>
            </w:pPr>
            <w:r w:rsidRPr="00442660">
              <w:rPr>
                <w:rFonts w:ascii="Arial" w:hAnsi="Arial" w:cs="Arial"/>
                <w:b/>
                <w:i/>
                <w:sz w:val="21"/>
                <w:szCs w:val="21"/>
              </w:rPr>
              <w:t>KPI</w:t>
            </w:r>
          </w:p>
        </w:tc>
        <w:tc>
          <w:tcPr>
            <w:tcW w:w="1314" w:type="dxa"/>
            <w:shd w:val="clear" w:color="auto" w:fill="BFBFBF" w:themeFill="background1" w:themeFillShade="BF"/>
            <w:vAlign w:val="center"/>
            <w:hideMark/>
          </w:tcPr>
          <w:p w14:paraId="0347B06D" w14:textId="77777777" w:rsidR="006225B9" w:rsidRDefault="006225B9" w:rsidP="008E629C">
            <w:pPr>
              <w:jc w:val="center"/>
              <w:rPr>
                <w:rFonts w:ascii="Arial" w:hAnsi="Arial" w:cs="Arial"/>
                <w:b/>
                <w:sz w:val="21"/>
                <w:szCs w:val="21"/>
              </w:rPr>
            </w:pPr>
            <w:r>
              <w:rPr>
                <w:rFonts w:ascii="Arial" w:hAnsi="Arial" w:cs="Arial"/>
                <w:b/>
                <w:sz w:val="21"/>
                <w:szCs w:val="21"/>
              </w:rPr>
              <w:t>Tingkat yang Diharapkan</w:t>
            </w:r>
          </w:p>
          <w:p w14:paraId="70480117" w14:textId="77777777" w:rsidR="006225B9" w:rsidRPr="00442660" w:rsidRDefault="006225B9" w:rsidP="008E629C">
            <w:pPr>
              <w:jc w:val="center"/>
              <w:rPr>
                <w:rFonts w:ascii="Arial" w:hAnsi="Arial" w:cs="Arial"/>
                <w:b/>
                <w:i/>
                <w:sz w:val="21"/>
                <w:szCs w:val="21"/>
              </w:rPr>
            </w:pPr>
            <w:r w:rsidRPr="00442660">
              <w:rPr>
                <w:rFonts w:ascii="Arial" w:hAnsi="Arial" w:cs="Arial"/>
                <w:b/>
                <w:i/>
                <w:sz w:val="21"/>
                <w:szCs w:val="21"/>
              </w:rPr>
              <w:t>Expected level</w:t>
            </w:r>
          </w:p>
        </w:tc>
        <w:tc>
          <w:tcPr>
            <w:tcW w:w="1473" w:type="dxa"/>
            <w:shd w:val="clear" w:color="auto" w:fill="BFBFBF" w:themeFill="background1" w:themeFillShade="BF"/>
            <w:vAlign w:val="center"/>
            <w:hideMark/>
          </w:tcPr>
          <w:p w14:paraId="155EB1BE" w14:textId="77777777" w:rsidR="006225B9" w:rsidRDefault="006225B9" w:rsidP="008E629C">
            <w:pPr>
              <w:jc w:val="center"/>
              <w:rPr>
                <w:rFonts w:ascii="Arial" w:hAnsi="Arial" w:cs="Arial"/>
                <w:b/>
                <w:sz w:val="21"/>
                <w:szCs w:val="21"/>
              </w:rPr>
            </w:pPr>
            <w:r>
              <w:rPr>
                <w:rFonts w:ascii="Arial" w:hAnsi="Arial" w:cs="Arial"/>
                <w:b/>
                <w:sz w:val="21"/>
                <w:szCs w:val="21"/>
              </w:rPr>
              <w:t>Langkah Deviasi</w:t>
            </w:r>
          </w:p>
          <w:p w14:paraId="6CD57D18" w14:textId="77777777" w:rsidR="006225B9" w:rsidRPr="00442660" w:rsidRDefault="006225B9" w:rsidP="008E629C">
            <w:pPr>
              <w:jc w:val="center"/>
              <w:rPr>
                <w:rFonts w:ascii="Arial" w:hAnsi="Arial" w:cs="Arial"/>
                <w:b/>
                <w:i/>
                <w:sz w:val="21"/>
                <w:szCs w:val="21"/>
              </w:rPr>
            </w:pPr>
            <w:r w:rsidRPr="00442660">
              <w:rPr>
                <w:rFonts w:ascii="Arial" w:hAnsi="Arial" w:cs="Arial"/>
                <w:b/>
                <w:i/>
                <w:sz w:val="21"/>
                <w:szCs w:val="21"/>
              </w:rPr>
              <w:t>Deviation step</w:t>
            </w:r>
          </w:p>
        </w:tc>
        <w:tc>
          <w:tcPr>
            <w:tcW w:w="1821" w:type="dxa"/>
            <w:shd w:val="clear" w:color="auto" w:fill="BFBFBF" w:themeFill="background1" w:themeFillShade="BF"/>
            <w:vAlign w:val="center"/>
            <w:hideMark/>
          </w:tcPr>
          <w:p w14:paraId="552CEEF7" w14:textId="77777777" w:rsidR="006225B9" w:rsidRDefault="006225B9" w:rsidP="008E629C">
            <w:pPr>
              <w:jc w:val="center"/>
              <w:rPr>
                <w:rFonts w:ascii="Arial" w:hAnsi="Arial" w:cs="Arial"/>
                <w:b/>
                <w:sz w:val="21"/>
                <w:szCs w:val="21"/>
              </w:rPr>
            </w:pPr>
            <w:r>
              <w:rPr>
                <w:rFonts w:ascii="Arial" w:hAnsi="Arial" w:cs="Arial"/>
                <w:b/>
                <w:sz w:val="21"/>
                <w:szCs w:val="21"/>
              </w:rPr>
              <w:t>Denda dalam persentase dari Biaya Layanan bulanan untuk setiap Langkah Deviasi</w:t>
            </w:r>
          </w:p>
          <w:p w14:paraId="37D84D20" w14:textId="77777777" w:rsidR="006225B9" w:rsidRPr="005B5037" w:rsidRDefault="006225B9" w:rsidP="008E629C">
            <w:pPr>
              <w:jc w:val="center"/>
              <w:rPr>
                <w:rFonts w:ascii="Arial" w:hAnsi="Arial" w:cs="Arial"/>
                <w:b/>
                <w:i/>
                <w:sz w:val="21"/>
                <w:szCs w:val="21"/>
              </w:rPr>
            </w:pPr>
            <w:r w:rsidRPr="005B5037">
              <w:rPr>
                <w:rFonts w:ascii="Arial" w:hAnsi="Arial" w:cs="Arial"/>
                <w:b/>
                <w:i/>
                <w:sz w:val="21"/>
                <w:szCs w:val="21"/>
              </w:rPr>
              <w:t>Penalty in percentage of the monthly Service Fee for each deviation step</w:t>
            </w:r>
          </w:p>
        </w:tc>
        <w:tc>
          <w:tcPr>
            <w:tcW w:w="1276" w:type="dxa"/>
            <w:shd w:val="clear" w:color="auto" w:fill="BFBFBF" w:themeFill="background1" w:themeFillShade="BF"/>
            <w:vAlign w:val="center"/>
            <w:hideMark/>
          </w:tcPr>
          <w:p w14:paraId="0013A4D6" w14:textId="77777777" w:rsidR="006225B9" w:rsidRPr="005B5037" w:rsidRDefault="006225B9" w:rsidP="008E629C">
            <w:pPr>
              <w:jc w:val="center"/>
              <w:rPr>
                <w:rFonts w:ascii="Arial" w:hAnsi="Arial" w:cs="Arial"/>
                <w:b/>
                <w:i/>
                <w:sz w:val="21"/>
                <w:szCs w:val="21"/>
              </w:rPr>
            </w:pPr>
            <w:r w:rsidRPr="005B5037">
              <w:rPr>
                <w:rFonts w:ascii="Arial" w:hAnsi="Arial" w:cs="Arial"/>
                <w:b/>
                <w:i/>
                <w:sz w:val="21"/>
                <w:szCs w:val="21"/>
              </w:rPr>
              <w:t>Tingkat Layanan dengan maksimum denda</w:t>
            </w:r>
          </w:p>
          <w:p w14:paraId="0CA761EA" w14:textId="77777777" w:rsidR="006225B9" w:rsidRPr="00D822BF" w:rsidRDefault="006225B9" w:rsidP="008E629C">
            <w:pPr>
              <w:jc w:val="center"/>
              <w:rPr>
                <w:rFonts w:ascii="Arial" w:hAnsi="Arial" w:cs="Arial"/>
                <w:b/>
                <w:sz w:val="21"/>
                <w:szCs w:val="21"/>
              </w:rPr>
            </w:pPr>
            <w:r w:rsidRPr="00D822BF">
              <w:rPr>
                <w:rFonts w:ascii="Arial" w:hAnsi="Arial" w:cs="Arial"/>
                <w:b/>
                <w:sz w:val="21"/>
                <w:szCs w:val="21"/>
              </w:rPr>
              <w:t>Service level with maximum penalty</w:t>
            </w:r>
          </w:p>
        </w:tc>
      </w:tr>
      <w:tr w:rsidR="006225B9" w:rsidRPr="00375FA3" w14:paraId="3D9C2512" w14:textId="77777777" w:rsidTr="008E629C">
        <w:trPr>
          <w:trHeight w:val="1020"/>
        </w:trPr>
        <w:tc>
          <w:tcPr>
            <w:tcW w:w="3756" w:type="dxa"/>
            <w:shd w:val="clear" w:color="auto" w:fill="auto"/>
            <w:noWrap/>
            <w:hideMark/>
          </w:tcPr>
          <w:p w14:paraId="72C7FAD0" w14:textId="77777777" w:rsidR="006225B9" w:rsidRDefault="006225B9" w:rsidP="008E629C">
            <w:pPr>
              <w:rPr>
                <w:rFonts w:ascii="Arial" w:hAnsi="Arial" w:cs="Arial"/>
                <w:sz w:val="21"/>
                <w:szCs w:val="21"/>
              </w:rPr>
            </w:pPr>
          </w:p>
          <w:p w14:paraId="7CEDF1A4"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Transaksi Tol Elektronik</w:t>
            </w:r>
          </w:p>
          <w:p w14:paraId="4F5C26C6"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Sistem Transaksi Tol Elektronik harus tersedia bagi Pengguna Jalan, yang mengoperasikan </w:t>
            </w:r>
            <w:r w:rsidRPr="00C84A0B">
              <w:rPr>
                <w:rFonts w:cs="Arial"/>
                <w:i/>
                <w:iCs/>
                <w:color w:val="000000" w:themeColor="text1"/>
                <w:lang w:val="en-US"/>
              </w:rPr>
              <w:t>toll declaration</w:t>
            </w:r>
            <w:r w:rsidRPr="00C84A0B">
              <w:rPr>
                <w:rFonts w:cs="Arial"/>
                <w:color w:val="000000" w:themeColor="text1"/>
                <w:lang w:val="en-US"/>
              </w:rPr>
              <w:t xml:space="preserve"> dan berfungsi dengan keakuratan pentarifan tol hingga 100%</w:t>
            </w:r>
          </w:p>
          <w:p w14:paraId="1D48600F" w14:textId="77777777" w:rsidR="006225B9" w:rsidRDefault="006225B9" w:rsidP="008E629C">
            <w:pPr>
              <w:pStyle w:val="ListParagraph"/>
              <w:spacing w:before="120" w:after="120"/>
              <w:ind w:left="0"/>
              <w:contextualSpacing w:val="0"/>
              <w:rPr>
                <w:rFonts w:cs="Arial"/>
                <w:color w:val="000000" w:themeColor="text1"/>
                <w:lang w:val="en-US"/>
              </w:rPr>
            </w:pPr>
          </w:p>
          <w:p w14:paraId="7C99E907" w14:textId="77777777" w:rsidR="006225B9" w:rsidRDefault="006225B9" w:rsidP="008E629C">
            <w:pPr>
              <w:rPr>
                <w:rFonts w:ascii="Arial" w:hAnsi="Arial" w:cs="Arial"/>
                <w:sz w:val="21"/>
                <w:szCs w:val="21"/>
              </w:rPr>
            </w:pPr>
            <w:r w:rsidRPr="00C84A0B">
              <w:rPr>
                <w:rFonts w:cs="Arial"/>
                <w:i/>
                <w:iCs/>
                <w:color w:val="000000" w:themeColor="text1"/>
              </w:rPr>
              <w:t>Electronic Toll Collection system</w:t>
            </w:r>
            <w:r w:rsidRPr="00D822BF">
              <w:rPr>
                <w:rFonts w:ascii="Arial" w:hAnsi="Arial" w:cs="Arial"/>
                <w:sz w:val="21"/>
                <w:szCs w:val="21"/>
              </w:rPr>
              <w:t xml:space="preserve"> </w:t>
            </w:r>
          </w:p>
          <w:p w14:paraId="378D999F" w14:textId="77777777" w:rsidR="006225B9" w:rsidRPr="00C84A0B" w:rsidRDefault="006225B9" w:rsidP="008E629C">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Toll Collection system shall be available to the Road Users, which operates toll declaration and functions with 100% accuracy of toll tariffing</w:t>
            </w:r>
          </w:p>
          <w:p w14:paraId="4E4B27C7" w14:textId="77777777" w:rsidR="006225B9" w:rsidRPr="00D822BF" w:rsidRDefault="006225B9" w:rsidP="008E629C">
            <w:pPr>
              <w:rPr>
                <w:rFonts w:ascii="Arial" w:hAnsi="Arial" w:cs="Arial"/>
                <w:sz w:val="21"/>
                <w:szCs w:val="21"/>
              </w:rPr>
            </w:pPr>
          </w:p>
        </w:tc>
        <w:tc>
          <w:tcPr>
            <w:tcW w:w="1314" w:type="dxa"/>
            <w:shd w:val="clear" w:color="auto" w:fill="auto"/>
            <w:noWrap/>
            <w:vAlign w:val="center"/>
            <w:hideMark/>
          </w:tcPr>
          <w:p w14:paraId="3441CDEB"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99,00%</w:t>
            </w:r>
          </w:p>
        </w:tc>
        <w:tc>
          <w:tcPr>
            <w:tcW w:w="1473" w:type="dxa"/>
            <w:shd w:val="clear" w:color="auto" w:fill="auto"/>
            <w:noWrap/>
            <w:vAlign w:val="center"/>
            <w:hideMark/>
          </w:tcPr>
          <w:p w14:paraId="5B8574EE"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0,10%</w:t>
            </w:r>
          </w:p>
        </w:tc>
        <w:tc>
          <w:tcPr>
            <w:tcW w:w="1821" w:type="dxa"/>
            <w:shd w:val="clear" w:color="auto" w:fill="auto"/>
            <w:noWrap/>
            <w:vAlign w:val="center"/>
            <w:hideMark/>
          </w:tcPr>
          <w:p w14:paraId="29E3B005"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0,50%</w:t>
            </w:r>
          </w:p>
        </w:tc>
        <w:tc>
          <w:tcPr>
            <w:tcW w:w="1276" w:type="dxa"/>
            <w:shd w:val="clear" w:color="auto" w:fill="auto"/>
            <w:noWrap/>
            <w:vAlign w:val="center"/>
            <w:hideMark/>
          </w:tcPr>
          <w:p w14:paraId="1EE47654"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96,00%</w:t>
            </w:r>
          </w:p>
        </w:tc>
      </w:tr>
      <w:tr w:rsidR="006225B9" w:rsidRPr="00375FA3" w14:paraId="636F1E9C" w14:textId="77777777" w:rsidTr="008E629C">
        <w:trPr>
          <w:trHeight w:val="1020"/>
        </w:trPr>
        <w:tc>
          <w:tcPr>
            <w:tcW w:w="3756" w:type="dxa"/>
            <w:shd w:val="clear" w:color="auto" w:fill="auto"/>
            <w:noWrap/>
            <w:hideMark/>
          </w:tcPr>
          <w:p w14:paraId="2A46F1FE"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pendukung penegakan yang efektif</w:t>
            </w:r>
          </w:p>
          <w:p w14:paraId="7EBE5790" w14:textId="77777777" w:rsidR="006225B9" w:rsidRPr="00C84A0B" w:rsidRDefault="006225B9" w:rsidP="008E629C">
            <w:pPr>
              <w:pStyle w:val="ListParagraph"/>
              <w:spacing w:before="120" w:after="120"/>
              <w:ind w:left="0"/>
              <w:rPr>
                <w:rFonts w:cs="Arial"/>
                <w:color w:val="000000" w:themeColor="text1"/>
                <w:lang w:val="en-US"/>
              </w:rPr>
            </w:pPr>
            <w:r w:rsidRPr="00C84A0B">
              <w:rPr>
                <w:rFonts w:cs="Arial"/>
                <w:color w:val="000000" w:themeColor="text1"/>
                <w:lang w:val="en-US"/>
              </w:rPr>
              <w:t xml:space="preserve">Pengumpulan </w:t>
            </w:r>
            <w:r>
              <w:rPr>
                <w:rFonts w:cs="Arial"/>
                <w:color w:val="000000" w:themeColor="text1"/>
                <w:lang w:val="en-US"/>
              </w:rPr>
              <w:t xml:space="preserve">data </w:t>
            </w:r>
            <w:r w:rsidRPr="00254892">
              <w:rPr>
                <w:rFonts w:cs="Arial"/>
                <w:i/>
                <w:iCs/>
                <w:color w:val="000000" w:themeColor="text1"/>
                <w:lang w:val="en-US"/>
              </w:rPr>
              <w:t>roadside</w:t>
            </w:r>
            <w:r w:rsidRPr="00C84A0B">
              <w:rPr>
                <w:rFonts w:cs="Arial"/>
                <w:color w:val="000000" w:themeColor="text1"/>
                <w:lang w:val="en-US"/>
              </w:rPr>
              <w:t xml:space="preserve"> dan sistem identifikasi kendaraan untuk menangkap secara otomatis nomor plat dan kategori dari semua kendaraan yang melewati titik penegakan hukum</w:t>
            </w:r>
          </w:p>
          <w:p w14:paraId="67323BA7" w14:textId="77777777" w:rsidR="006225B9" w:rsidRDefault="006225B9" w:rsidP="008E629C">
            <w:pPr>
              <w:pStyle w:val="ListParagraph"/>
              <w:spacing w:before="120" w:after="120"/>
              <w:ind w:left="0"/>
              <w:contextualSpacing w:val="0"/>
              <w:rPr>
                <w:rFonts w:cs="Arial"/>
                <w:color w:val="000000" w:themeColor="text1"/>
                <w:lang w:val="en-US"/>
              </w:rPr>
            </w:pPr>
          </w:p>
          <w:p w14:paraId="0D2757C1" w14:textId="77777777" w:rsidR="006225B9" w:rsidRDefault="006225B9" w:rsidP="008E629C">
            <w:pPr>
              <w:rPr>
                <w:rFonts w:ascii="Arial" w:hAnsi="Arial" w:cs="Arial"/>
                <w:sz w:val="21"/>
                <w:szCs w:val="21"/>
              </w:rPr>
            </w:pPr>
            <w:r w:rsidRPr="00C84A0B">
              <w:rPr>
                <w:rFonts w:cs="Arial"/>
                <w:i/>
                <w:iCs/>
                <w:color w:val="000000" w:themeColor="text1"/>
              </w:rPr>
              <w:t>Effective enforcement support system</w:t>
            </w:r>
            <w:r w:rsidRPr="00D822BF">
              <w:rPr>
                <w:rFonts w:ascii="Arial" w:hAnsi="Arial" w:cs="Arial"/>
                <w:sz w:val="21"/>
                <w:szCs w:val="21"/>
              </w:rPr>
              <w:t xml:space="preserve"> </w:t>
            </w:r>
          </w:p>
          <w:p w14:paraId="395E31AC" w14:textId="77777777" w:rsidR="006225B9" w:rsidRPr="00C84A0B" w:rsidRDefault="006225B9" w:rsidP="008E629C">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Roadside data collection and vehicle identification system to capture automatically both license plate and category of all passing vehicles through enforcement points</w:t>
            </w:r>
          </w:p>
          <w:p w14:paraId="6DA473EA" w14:textId="77777777" w:rsidR="006225B9" w:rsidRPr="00D822BF" w:rsidRDefault="006225B9" w:rsidP="008E629C">
            <w:pPr>
              <w:rPr>
                <w:rFonts w:ascii="Arial" w:hAnsi="Arial" w:cs="Arial"/>
                <w:sz w:val="21"/>
                <w:szCs w:val="21"/>
              </w:rPr>
            </w:pPr>
          </w:p>
        </w:tc>
        <w:tc>
          <w:tcPr>
            <w:tcW w:w="1314" w:type="dxa"/>
            <w:shd w:val="clear" w:color="auto" w:fill="auto"/>
            <w:noWrap/>
            <w:vAlign w:val="center"/>
            <w:hideMark/>
          </w:tcPr>
          <w:p w14:paraId="58FFCF71"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94,00%</w:t>
            </w:r>
          </w:p>
        </w:tc>
        <w:tc>
          <w:tcPr>
            <w:tcW w:w="1473" w:type="dxa"/>
            <w:shd w:val="clear" w:color="auto" w:fill="auto"/>
            <w:noWrap/>
            <w:vAlign w:val="center"/>
            <w:hideMark/>
          </w:tcPr>
          <w:p w14:paraId="68C6106B"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0,10%</w:t>
            </w:r>
          </w:p>
        </w:tc>
        <w:tc>
          <w:tcPr>
            <w:tcW w:w="1821" w:type="dxa"/>
            <w:shd w:val="clear" w:color="auto" w:fill="auto"/>
            <w:noWrap/>
            <w:vAlign w:val="center"/>
            <w:hideMark/>
          </w:tcPr>
          <w:p w14:paraId="1170C811"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0,20%</w:t>
            </w:r>
          </w:p>
        </w:tc>
        <w:tc>
          <w:tcPr>
            <w:tcW w:w="1276" w:type="dxa"/>
            <w:shd w:val="clear" w:color="auto" w:fill="auto"/>
            <w:noWrap/>
            <w:vAlign w:val="center"/>
            <w:hideMark/>
          </w:tcPr>
          <w:p w14:paraId="2EB7FCEF"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86,50%</w:t>
            </w:r>
          </w:p>
        </w:tc>
      </w:tr>
      <w:tr w:rsidR="006225B9" w:rsidRPr="00375FA3" w14:paraId="00139115" w14:textId="77777777" w:rsidTr="008E629C">
        <w:trPr>
          <w:trHeight w:val="1020"/>
        </w:trPr>
        <w:tc>
          <w:tcPr>
            <w:tcW w:w="3756" w:type="dxa"/>
            <w:shd w:val="clear" w:color="auto" w:fill="auto"/>
            <w:noWrap/>
            <w:hideMark/>
          </w:tcPr>
          <w:p w14:paraId="38F632F2"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 xml:space="preserve">Pengumpulan data penegakan hukum pada saat padat </w:t>
            </w:r>
          </w:p>
          <w:p w14:paraId="580D3372"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Pada ruas jalan tol dengan rasio yang tinggi, pengumpulan data penegakan hukum harus beroperasi dengan basis 24/7</w:t>
            </w:r>
          </w:p>
          <w:p w14:paraId="0D7B8BD6" w14:textId="77777777" w:rsidR="006225B9" w:rsidRDefault="006225B9" w:rsidP="008E629C">
            <w:pPr>
              <w:rPr>
                <w:rFonts w:ascii="Arial" w:hAnsi="Arial" w:cs="Arial"/>
                <w:sz w:val="21"/>
                <w:szCs w:val="21"/>
              </w:rPr>
            </w:pPr>
            <w:r w:rsidRPr="00C84A0B">
              <w:rPr>
                <w:rFonts w:cs="Arial"/>
                <w:i/>
                <w:iCs/>
                <w:color w:val="000000" w:themeColor="text1"/>
              </w:rPr>
              <w:t>Dense enforcement data collection</w:t>
            </w:r>
            <w:r w:rsidRPr="00D822BF">
              <w:rPr>
                <w:rFonts w:ascii="Arial" w:hAnsi="Arial" w:cs="Arial"/>
                <w:sz w:val="21"/>
                <w:szCs w:val="21"/>
              </w:rPr>
              <w:t xml:space="preserve"> </w:t>
            </w:r>
          </w:p>
          <w:p w14:paraId="57B0480A" w14:textId="77777777" w:rsidR="006225B9" w:rsidRPr="005B5037" w:rsidRDefault="006225B9" w:rsidP="008E629C">
            <w:pPr>
              <w:pStyle w:val="ListParagraph"/>
              <w:spacing w:before="120" w:after="120"/>
              <w:ind w:left="0"/>
              <w:contextualSpacing w:val="0"/>
              <w:rPr>
                <w:rFonts w:cs="Arial"/>
                <w:i/>
                <w:color w:val="000000" w:themeColor="text1"/>
                <w:lang w:val="en-US"/>
              </w:rPr>
            </w:pPr>
            <w:r w:rsidRPr="005B5037">
              <w:rPr>
                <w:rFonts w:cs="Arial"/>
                <w:i/>
                <w:color w:val="000000" w:themeColor="text1"/>
                <w:lang w:val="en-US"/>
              </w:rPr>
              <w:t>On a high ratio of the tolled road segments enforcement data collection shall be operational at a 24/7 basis.</w:t>
            </w:r>
          </w:p>
        </w:tc>
        <w:tc>
          <w:tcPr>
            <w:tcW w:w="1314" w:type="dxa"/>
            <w:shd w:val="clear" w:color="auto" w:fill="auto"/>
            <w:noWrap/>
            <w:vAlign w:val="center"/>
            <w:hideMark/>
          </w:tcPr>
          <w:p w14:paraId="20C8836C"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50,00%</w:t>
            </w:r>
          </w:p>
        </w:tc>
        <w:tc>
          <w:tcPr>
            <w:tcW w:w="1473" w:type="dxa"/>
            <w:shd w:val="clear" w:color="auto" w:fill="auto"/>
            <w:noWrap/>
            <w:vAlign w:val="center"/>
            <w:hideMark/>
          </w:tcPr>
          <w:p w14:paraId="47668D44"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0,50%</w:t>
            </w:r>
          </w:p>
        </w:tc>
        <w:tc>
          <w:tcPr>
            <w:tcW w:w="1821" w:type="dxa"/>
            <w:shd w:val="clear" w:color="auto" w:fill="auto"/>
            <w:noWrap/>
            <w:vAlign w:val="center"/>
            <w:hideMark/>
          </w:tcPr>
          <w:p w14:paraId="44464B09"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1,00%</w:t>
            </w:r>
          </w:p>
        </w:tc>
        <w:tc>
          <w:tcPr>
            <w:tcW w:w="1276" w:type="dxa"/>
            <w:shd w:val="clear" w:color="auto" w:fill="auto"/>
            <w:noWrap/>
            <w:vAlign w:val="center"/>
            <w:hideMark/>
          </w:tcPr>
          <w:p w14:paraId="57B9703C"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42,50%</w:t>
            </w:r>
          </w:p>
        </w:tc>
      </w:tr>
      <w:tr w:rsidR="006225B9" w:rsidRPr="00375FA3" w14:paraId="46D6C328" w14:textId="77777777" w:rsidTr="008E629C">
        <w:trPr>
          <w:trHeight w:val="1360"/>
        </w:trPr>
        <w:tc>
          <w:tcPr>
            <w:tcW w:w="3756" w:type="dxa"/>
            <w:shd w:val="clear" w:color="auto" w:fill="auto"/>
            <w:noWrap/>
            <w:hideMark/>
          </w:tcPr>
          <w:p w14:paraId="09B17998"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Kliring dan penyelesanan pembayaran</w:t>
            </w:r>
          </w:p>
          <w:p w14:paraId="78928113"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harus dapat merealisasikan penyelesaian dari penerimaan Jalan Tol kepada BUJT yang memulai transfer dalam waktu 48 jam (dua hari kerja perbankan) dari penggunaan Jalan Tol (Declaration). Perhitungan KPI ini ditangguhkan pada hari non-perbankan selama 24 jam.</w:t>
            </w:r>
          </w:p>
          <w:p w14:paraId="276EC0FD" w14:textId="77777777" w:rsidR="006225B9" w:rsidRDefault="006225B9" w:rsidP="008E629C">
            <w:pPr>
              <w:pStyle w:val="ListParagraph"/>
              <w:spacing w:before="120" w:after="120"/>
              <w:ind w:left="0"/>
              <w:contextualSpacing w:val="0"/>
              <w:rPr>
                <w:rFonts w:cs="Arial"/>
                <w:color w:val="000000" w:themeColor="text1"/>
                <w:lang w:val="en-US"/>
              </w:rPr>
            </w:pPr>
          </w:p>
          <w:p w14:paraId="5EEE80C0" w14:textId="77777777" w:rsidR="006225B9" w:rsidRDefault="006225B9" w:rsidP="008E629C">
            <w:pPr>
              <w:rPr>
                <w:rFonts w:cs="Arial"/>
                <w:i/>
                <w:color w:val="000000" w:themeColor="text1"/>
              </w:rPr>
            </w:pPr>
            <w:r w:rsidRPr="005B5037">
              <w:rPr>
                <w:rFonts w:cs="Arial"/>
                <w:i/>
                <w:color w:val="000000" w:themeColor="text1"/>
              </w:rPr>
              <w:t>Clearing and payment settlement</w:t>
            </w:r>
          </w:p>
          <w:p w14:paraId="7ECE3397" w14:textId="77777777" w:rsidR="006225B9" w:rsidRPr="00C84A0B" w:rsidRDefault="006225B9" w:rsidP="008E629C">
            <w:pPr>
              <w:pStyle w:val="ListParagraph"/>
              <w:spacing w:before="120" w:after="120"/>
              <w:ind w:left="0"/>
              <w:contextualSpacing w:val="0"/>
              <w:rPr>
                <w:rFonts w:cs="Arial"/>
                <w:i/>
                <w:iCs/>
                <w:color w:val="000000" w:themeColor="text1"/>
                <w:lang w:val="en-US"/>
              </w:rPr>
            </w:pPr>
            <w:r w:rsidRPr="00C84A0B">
              <w:rPr>
                <w:rFonts w:cs="Arial"/>
                <w:i/>
                <w:iCs/>
                <w:color w:val="000000" w:themeColor="text1"/>
                <w:lang w:val="en-US"/>
              </w:rPr>
              <w:t>The system shall be able to realize settlement of Toll Road income to TROs initiating the transfer within 48 hours (two banking days) of the Toll Road usage (declaration). The calculation of this KPI is suspended on non-banking days for 24 hours.</w:t>
            </w:r>
          </w:p>
          <w:p w14:paraId="479E32FF" w14:textId="77777777" w:rsidR="006225B9" w:rsidRPr="00D822BF" w:rsidRDefault="006225B9" w:rsidP="008E629C">
            <w:pPr>
              <w:rPr>
                <w:rFonts w:ascii="Arial" w:hAnsi="Arial" w:cs="Arial"/>
                <w:sz w:val="21"/>
                <w:szCs w:val="21"/>
              </w:rPr>
            </w:pPr>
          </w:p>
        </w:tc>
        <w:tc>
          <w:tcPr>
            <w:tcW w:w="1314" w:type="dxa"/>
            <w:shd w:val="clear" w:color="auto" w:fill="auto"/>
            <w:vAlign w:val="center"/>
            <w:hideMark/>
          </w:tcPr>
          <w:p w14:paraId="1B174651" w14:textId="77777777" w:rsidR="006225B9" w:rsidRDefault="006225B9" w:rsidP="008E629C">
            <w:pPr>
              <w:numPr>
                <w:ilvl w:val="0"/>
                <w:numId w:val="544"/>
              </w:numPr>
              <w:jc w:val="center"/>
              <w:rPr>
                <w:rFonts w:ascii="Arial" w:hAnsi="Arial" w:cs="Arial"/>
                <w:sz w:val="21"/>
                <w:szCs w:val="21"/>
              </w:rPr>
            </w:pPr>
            <w:r>
              <w:rPr>
                <w:rFonts w:ascii="Arial" w:hAnsi="Arial" w:cs="Arial"/>
                <w:sz w:val="21"/>
                <w:szCs w:val="21"/>
              </w:rPr>
              <w:t>48 jam</w:t>
            </w:r>
          </w:p>
          <w:p w14:paraId="66F1578E"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48 hours</w:t>
            </w:r>
          </w:p>
        </w:tc>
        <w:tc>
          <w:tcPr>
            <w:tcW w:w="1473" w:type="dxa"/>
            <w:shd w:val="clear" w:color="auto" w:fill="auto"/>
            <w:noWrap/>
            <w:vAlign w:val="center"/>
            <w:hideMark/>
          </w:tcPr>
          <w:p w14:paraId="53B8E363" w14:textId="77777777" w:rsidR="006225B9" w:rsidRPr="00291AD9" w:rsidRDefault="006225B9" w:rsidP="008E629C">
            <w:pPr>
              <w:numPr>
                <w:ilvl w:val="0"/>
                <w:numId w:val="544"/>
              </w:numPr>
              <w:jc w:val="center"/>
              <w:rPr>
                <w:rFonts w:ascii="Arial" w:hAnsi="Arial" w:cs="Arial"/>
                <w:sz w:val="21"/>
                <w:szCs w:val="21"/>
              </w:rPr>
            </w:pPr>
            <w:r w:rsidRPr="00291AD9">
              <w:rPr>
                <w:rFonts w:ascii="Arial" w:hAnsi="Arial" w:cs="Arial"/>
                <w:sz w:val="21"/>
                <w:szCs w:val="21"/>
              </w:rPr>
              <w:t>1-hari kalender terlambat</w:t>
            </w:r>
          </w:p>
          <w:p w14:paraId="76F83004" w14:textId="77777777" w:rsidR="006225B9" w:rsidRPr="00291AD9" w:rsidRDefault="006225B9" w:rsidP="008E629C">
            <w:pPr>
              <w:numPr>
                <w:ilvl w:val="0"/>
                <w:numId w:val="544"/>
              </w:numPr>
              <w:jc w:val="center"/>
              <w:rPr>
                <w:rFonts w:ascii="Arial" w:hAnsi="Arial" w:cs="Arial"/>
                <w:sz w:val="21"/>
                <w:szCs w:val="21"/>
              </w:rPr>
            </w:pPr>
            <w:r w:rsidRPr="00291AD9">
              <w:rPr>
                <w:rFonts w:ascii="Arial" w:hAnsi="Arial" w:cs="Arial"/>
                <w:sz w:val="21"/>
                <w:szCs w:val="21"/>
              </w:rPr>
              <w:t>1- calendar day delay</w:t>
            </w:r>
          </w:p>
        </w:tc>
        <w:tc>
          <w:tcPr>
            <w:tcW w:w="1821" w:type="dxa"/>
            <w:shd w:val="clear" w:color="auto" w:fill="auto"/>
            <w:noWrap/>
            <w:vAlign w:val="center"/>
            <w:hideMark/>
          </w:tcPr>
          <w:p w14:paraId="2A570E9A" w14:textId="77777777" w:rsidR="006225B9" w:rsidRPr="00291AD9" w:rsidRDefault="006225B9" w:rsidP="008E629C">
            <w:pPr>
              <w:numPr>
                <w:ilvl w:val="0"/>
                <w:numId w:val="544"/>
              </w:numPr>
              <w:jc w:val="center"/>
              <w:rPr>
                <w:rFonts w:ascii="Arial" w:hAnsi="Arial" w:cs="Arial"/>
                <w:sz w:val="21"/>
                <w:szCs w:val="21"/>
              </w:rPr>
            </w:pPr>
            <w:r w:rsidRPr="00291AD9">
              <w:rPr>
                <w:rFonts w:ascii="Arial" w:hAnsi="Arial" w:cs="Arial"/>
                <w:sz w:val="21"/>
                <w:szCs w:val="21"/>
              </w:rPr>
              <w:t>1,00%</w:t>
            </w:r>
          </w:p>
        </w:tc>
        <w:tc>
          <w:tcPr>
            <w:tcW w:w="1276" w:type="dxa"/>
            <w:shd w:val="clear" w:color="auto" w:fill="auto"/>
            <w:noWrap/>
            <w:vAlign w:val="center"/>
            <w:hideMark/>
          </w:tcPr>
          <w:p w14:paraId="68D7FB3E" w14:textId="77777777" w:rsidR="006225B9" w:rsidRPr="00291AD9" w:rsidRDefault="006225B9" w:rsidP="008E629C">
            <w:pPr>
              <w:numPr>
                <w:ilvl w:val="0"/>
                <w:numId w:val="544"/>
              </w:numPr>
              <w:jc w:val="center"/>
              <w:rPr>
                <w:rFonts w:ascii="Arial" w:hAnsi="Arial" w:cs="Arial"/>
                <w:sz w:val="21"/>
                <w:szCs w:val="21"/>
              </w:rPr>
            </w:pPr>
            <w:r w:rsidRPr="00291AD9">
              <w:rPr>
                <w:rFonts w:ascii="Arial" w:hAnsi="Arial" w:cs="Arial"/>
                <w:sz w:val="21"/>
                <w:szCs w:val="21"/>
              </w:rPr>
              <w:t>15-hari kalender terlambat</w:t>
            </w:r>
          </w:p>
          <w:p w14:paraId="40CE566F" w14:textId="77777777" w:rsidR="006225B9" w:rsidRPr="00291AD9" w:rsidRDefault="006225B9" w:rsidP="008E629C">
            <w:pPr>
              <w:numPr>
                <w:ilvl w:val="0"/>
                <w:numId w:val="544"/>
              </w:numPr>
              <w:jc w:val="center"/>
              <w:rPr>
                <w:rFonts w:ascii="Arial" w:hAnsi="Arial" w:cs="Arial"/>
                <w:sz w:val="21"/>
                <w:szCs w:val="21"/>
              </w:rPr>
            </w:pPr>
            <w:r w:rsidRPr="00291AD9">
              <w:rPr>
                <w:rFonts w:ascii="Arial" w:hAnsi="Arial" w:cs="Arial"/>
                <w:sz w:val="21"/>
                <w:szCs w:val="21"/>
              </w:rPr>
              <w:t>15- calendar day delay</w:t>
            </w:r>
          </w:p>
        </w:tc>
      </w:tr>
      <w:tr w:rsidR="006225B9" w:rsidRPr="00375FA3" w14:paraId="0D53E4CC" w14:textId="77777777" w:rsidTr="008E629C">
        <w:trPr>
          <w:trHeight w:val="1020"/>
        </w:trPr>
        <w:tc>
          <w:tcPr>
            <w:tcW w:w="3756" w:type="dxa"/>
            <w:shd w:val="clear" w:color="auto" w:fill="auto"/>
            <w:noWrap/>
            <w:hideMark/>
          </w:tcPr>
          <w:p w14:paraId="38099F69" w14:textId="77777777" w:rsidR="006225B9"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Perluasan jaringan</w:t>
            </w:r>
          </w:p>
          <w:p w14:paraId="64355CBA" w14:textId="77777777" w:rsidR="006225B9" w:rsidRPr="00532BC0" w:rsidRDefault="006225B9" w:rsidP="008E629C">
            <w:pPr>
              <w:pStyle w:val="ListParagraph"/>
              <w:spacing w:before="120" w:after="120"/>
              <w:ind w:left="0"/>
              <w:contextualSpacing w:val="0"/>
              <w:rPr>
                <w:rFonts w:cs="Arial"/>
                <w:color w:val="000000" w:themeColor="text1"/>
                <w:lang w:val="en-US"/>
              </w:rPr>
            </w:pPr>
            <w:r w:rsidRPr="00C84A0B">
              <w:rPr>
                <w:rFonts w:cs="Arial"/>
                <w:color w:val="000000" w:themeColor="text1"/>
                <w:lang w:val="en-US"/>
              </w:rPr>
              <w:t>Sistem MLFF harus fleksibel. Pengumpulan Tol dan Sistem Penegakkan Hukum harus dapat ditambahkan dalam waktu yang cepat pada setiap ruas baru dalam jaringan Jalan Tol.</w:t>
            </w:r>
          </w:p>
          <w:p w14:paraId="6E3346C0" w14:textId="77777777" w:rsidR="006225B9" w:rsidRDefault="006225B9" w:rsidP="008E629C">
            <w:pPr>
              <w:rPr>
                <w:rFonts w:cs="Arial"/>
                <w:i/>
                <w:iCs/>
                <w:color w:val="000000" w:themeColor="text1"/>
              </w:rPr>
            </w:pPr>
            <w:r w:rsidRPr="00C84A0B">
              <w:rPr>
                <w:rFonts w:cs="Arial"/>
                <w:i/>
                <w:iCs/>
                <w:color w:val="000000" w:themeColor="text1"/>
              </w:rPr>
              <w:t>Network extension</w:t>
            </w:r>
          </w:p>
          <w:p w14:paraId="402E2544" w14:textId="77777777" w:rsidR="006225B9" w:rsidRPr="00D822BF" w:rsidRDefault="006225B9" w:rsidP="008E629C">
            <w:pPr>
              <w:rPr>
                <w:rFonts w:ascii="Arial" w:hAnsi="Arial" w:cs="Arial"/>
                <w:sz w:val="21"/>
                <w:szCs w:val="21"/>
              </w:rPr>
            </w:pPr>
            <w:r w:rsidRPr="00C84A0B">
              <w:rPr>
                <w:rFonts w:cs="Arial"/>
                <w:i/>
                <w:iCs/>
                <w:color w:val="000000" w:themeColor="text1"/>
              </w:rPr>
              <w:t>The MLFF System shall be flexible. Toll Collection and Enforcement System shall be extended in short time to any new segment of Tolled Road Network.</w:t>
            </w:r>
          </w:p>
        </w:tc>
        <w:tc>
          <w:tcPr>
            <w:tcW w:w="1314" w:type="dxa"/>
            <w:shd w:val="clear" w:color="auto" w:fill="auto"/>
            <w:vAlign w:val="center"/>
            <w:hideMark/>
          </w:tcPr>
          <w:p w14:paraId="455882BC" w14:textId="77777777" w:rsidR="006225B9" w:rsidRDefault="006225B9" w:rsidP="008E629C">
            <w:pPr>
              <w:numPr>
                <w:ilvl w:val="0"/>
                <w:numId w:val="544"/>
              </w:numPr>
              <w:jc w:val="center"/>
              <w:rPr>
                <w:rFonts w:ascii="Arial" w:hAnsi="Arial" w:cs="Arial"/>
                <w:sz w:val="21"/>
                <w:szCs w:val="21"/>
              </w:rPr>
            </w:pPr>
            <w:r>
              <w:rPr>
                <w:rFonts w:ascii="Arial" w:hAnsi="Arial" w:cs="Arial"/>
                <w:sz w:val="21"/>
                <w:szCs w:val="21"/>
              </w:rPr>
              <w:t>5 hari kelender</w:t>
            </w:r>
          </w:p>
          <w:p w14:paraId="6F9C48C0"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5 calendar days</w:t>
            </w:r>
          </w:p>
        </w:tc>
        <w:tc>
          <w:tcPr>
            <w:tcW w:w="1473" w:type="dxa"/>
            <w:shd w:val="clear" w:color="auto" w:fill="auto"/>
            <w:noWrap/>
            <w:vAlign w:val="center"/>
            <w:hideMark/>
          </w:tcPr>
          <w:p w14:paraId="599FE183" w14:textId="77777777" w:rsidR="006225B9" w:rsidRDefault="006225B9" w:rsidP="008E629C">
            <w:pPr>
              <w:numPr>
                <w:ilvl w:val="0"/>
                <w:numId w:val="544"/>
              </w:numPr>
              <w:jc w:val="center"/>
              <w:rPr>
                <w:rFonts w:ascii="Arial" w:hAnsi="Arial" w:cs="Arial"/>
                <w:sz w:val="21"/>
                <w:szCs w:val="21"/>
              </w:rPr>
            </w:pPr>
            <w:r>
              <w:rPr>
                <w:rFonts w:ascii="Arial" w:hAnsi="Arial" w:cs="Arial"/>
                <w:sz w:val="21"/>
                <w:szCs w:val="21"/>
              </w:rPr>
              <w:t>1-hari kelender terlambat</w:t>
            </w:r>
          </w:p>
          <w:p w14:paraId="659B50DB"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1-</w:t>
            </w:r>
            <w:r>
              <w:rPr>
                <w:rFonts w:ascii="Arial" w:hAnsi="Arial" w:cs="Arial"/>
                <w:sz w:val="21"/>
                <w:szCs w:val="21"/>
              </w:rPr>
              <w:t xml:space="preserve"> calendar </w:t>
            </w:r>
            <w:r w:rsidRPr="00D822BF">
              <w:rPr>
                <w:rFonts w:ascii="Arial" w:hAnsi="Arial" w:cs="Arial"/>
                <w:sz w:val="21"/>
                <w:szCs w:val="21"/>
              </w:rPr>
              <w:t>day delay</w:t>
            </w:r>
          </w:p>
        </w:tc>
        <w:tc>
          <w:tcPr>
            <w:tcW w:w="1821" w:type="dxa"/>
            <w:shd w:val="clear" w:color="auto" w:fill="auto"/>
            <w:noWrap/>
            <w:vAlign w:val="center"/>
            <w:hideMark/>
          </w:tcPr>
          <w:p w14:paraId="1279BB7A"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2,00%</w:t>
            </w:r>
          </w:p>
        </w:tc>
        <w:tc>
          <w:tcPr>
            <w:tcW w:w="1276" w:type="dxa"/>
            <w:shd w:val="clear" w:color="auto" w:fill="auto"/>
            <w:noWrap/>
            <w:vAlign w:val="center"/>
            <w:hideMark/>
          </w:tcPr>
          <w:p w14:paraId="6319E998" w14:textId="77777777" w:rsidR="006225B9" w:rsidRDefault="006225B9" w:rsidP="008E629C">
            <w:pPr>
              <w:numPr>
                <w:ilvl w:val="0"/>
                <w:numId w:val="544"/>
              </w:numPr>
              <w:jc w:val="center"/>
              <w:rPr>
                <w:rFonts w:ascii="Arial" w:hAnsi="Arial" w:cs="Arial"/>
                <w:sz w:val="21"/>
                <w:szCs w:val="21"/>
              </w:rPr>
            </w:pPr>
            <w:r>
              <w:rPr>
                <w:rFonts w:ascii="Arial" w:hAnsi="Arial" w:cs="Arial"/>
                <w:sz w:val="21"/>
                <w:szCs w:val="21"/>
              </w:rPr>
              <w:t>7.5 hari kelender terlambat</w:t>
            </w:r>
          </w:p>
          <w:p w14:paraId="742367D9" w14:textId="77777777" w:rsidR="006225B9" w:rsidRPr="00D822BF" w:rsidRDefault="006225B9" w:rsidP="008E629C">
            <w:pPr>
              <w:numPr>
                <w:ilvl w:val="0"/>
                <w:numId w:val="544"/>
              </w:numPr>
              <w:jc w:val="center"/>
              <w:rPr>
                <w:rFonts w:ascii="Arial" w:hAnsi="Arial" w:cs="Arial"/>
                <w:sz w:val="21"/>
                <w:szCs w:val="21"/>
              </w:rPr>
            </w:pPr>
            <w:r w:rsidRPr="00D822BF">
              <w:rPr>
                <w:rFonts w:ascii="Arial" w:hAnsi="Arial" w:cs="Arial"/>
                <w:sz w:val="21"/>
                <w:szCs w:val="21"/>
              </w:rPr>
              <w:t xml:space="preserve">7,5 </w:t>
            </w:r>
            <w:r>
              <w:rPr>
                <w:rFonts w:ascii="Arial" w:hAnsi="Arial" w:cs="Arial"/>
                <w:sz w:val="21"/>
                <w:szCs w:val="21"/>
              </w:rPr>
              <w:t xml:space="preserve">– calendar </w:t>
            </w:r>
            <w:r w:rsidRPr="00D822BF">
              <w:rPr>
                <w:rFonts w:ascii="Arial" w:hAnsi="Arial" w:cs="Arial"/>
                <w:sz w:val="21"/>
                <w:szCs w:val="21"/>
              </w:rPr>
              <w:t>day delay</w:t>
            </w:r>
          </w:p>
        </w:tc>
      </w:tr>
    </w:tbl>
    <w:p w14:paraId="2EAE1EC1" w14:textId="77777777" w:rsidR="00442660" w:rsidRDefault="00442660" w:rsidP="004426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442660" w:rsidRPr="00442660" w14:paraId="08F19FDE" w14:textId="77777777" w:rsidTr="005B5037">
        <w:tc>
          <w:tcPr>
            <w:tcW w:w="4509" w:type="dxa"/>
          </w:tcPr>
          <w:p w14:paraId="68DEA92E" w14:textId="77777777" w:rsidR="00442660" w:rsidRPr="00442660" w:rsidRDefault="00442660" w:rsidP="005B5037">
            <w:pPr>
              <w:jc w:val="both"/>
              <w:rPr>
                <w:rFonts w:ascii="Arial" w:hAnsi="Arial" w:cs="Arial"/>
                <w:sz w:val="21"/>
                <w:szCs w:val="21"/>
              </w:rPr>
            </w:pPr>
            <w:r w:rsidRPr="00442660">
              <w:rPr>
                <w:rFonts w:ascii="Arial" w:hAnsi="Arial" w:cs="Arial"/>
                <w:sz w:val="21"/>
                <w:szCs w:val="21"/>
              </w:rPr>
              <w:t>Calculation of Service fee reduction on the monthly basis.</w:t>
            </w:r>
          </w:p>
          <w:p w14:paraId="410D2619" w14:textId="77777777" w:rsidR="00442660" w:rsidRPr="00442660" w:rsidRDefault="00442660" w:rsidP="005B5037">
            <w:pPr>
              <w:ind w:left="428"/>
              <w:jc w:val="both"/>
              <w:rPr>
                <w:rFonts w:ascii="Arial" w:hAnsi="Arial" w:cs="Arial"/>
                <w:sz w:val="21"/>
                <w:szCs w:val="21"/>
              </w:rPr>
            </w:pPr>
          </w:p>
        </w:tc>
        <w:tc>
          <w:tcPr>
            <w:tcW w:w="4510" w:type="dxa"/>
          </w:tcPr>
          <w:p w14:paraId="307B6580" w14:textId="77777777" w:rsidR="00442660" w:rsidRPr="00442660" w:rsidRDefault="00442660" w:rsidP="005B5037">
            <w:pPr>
              <w:jc w:val="both"/>
              <w:rPr>
                <w:rFonts w:ascii="Arial" w:hAnsi="Arial" w:cs="Arial"/>
                <w:sz w:val="21"/>
                <w:szCs w:val="21"/>
              </w:rPr>
            </w:pPr>
            <w:r w:rsidRPr="00442660">
              <w:rPr>
                <w:rFonts w:ascii="Arial" w:hAnsi="Arial" w:cs="Arial"/>
                <w:sz w:val="21"/>
                <w:szCs w:val="21"/>
              </w:rPr>
              <w:t>Perhitungan pengurangan Biaya Layanan dilakukan setiap bulan.</w:t>
            </w:r>
          </w:p>
        </w:tc>
      </w:tr>
      <w:tr w:rsidR="00442660" w:rsidRPr="00442660" w14:paraId="60009644" w14:textId="77777777" w:rsidTr="005B5037">
        <w:trPr>
          <w:trHeight w:val="98"/>
        </w:trPr>
        <w:tc>
          <w:tcPr>
            <w:tcW w:w="4509" w:type="dxa"/>
          </w:tcPr>
          <w:p w14:paraId="388EBC40" w14:textId="5ED10DCB" w:rsidR="00442660" w:rsidRPr="00442660" w:rsidRDefault="00442660" w:rsidP="005B5037">
            <w:pPr>
              <w:jc w:val="both"/>
              <w:rPr>
                <w:rFonts w:ascii="Arial" w:hAnsi="Arial" w:cs="Arial"/>
                <w:sz w:val="21"/>
                <w:szCs w:val="21"/>
              </w:rPr>
            </w:pPr>
            <w:r w:rsidRPr="00442660">
              <w:rPr>
                <w:rFonts w:ascii="Arial" w:hAnsi="Arial" w:cs="Arial"/>
                <w:sz w:val="21"/>
                <w:szCs w:val="21"/>
              </w:rPr>
              <w:t>In case, the KPI is not met, the gap must be divided by the deviation step and the result will be the multiplicator by which the deduction of the Service Fee shall be imposed. The deduction is defined as a percentage of the monthly Service Fee. For the avoidance of doubt, the following is the example of Service Fee rededuction calculation on monthly basis:</w:t>
            </w:r>
          </w:p>
          <w:p w14:paraId="56D8AA5B" w14:textId="77777777" w:rsidR="00442660" w:rsidRPr="00442660" w:rsidRDefault="00442660" w:rsidP="005B5037">
            <w:pPr>
              <w:ind w:left="428"/>
              <w:jc w:val="both"/>
              <w:rPr>
                <w:rFonts w:ascii="Arial" w:hAnsi="Arial" w:cs="Arial"/>
                <w:sz w:val="21"/>
                <w:szCs w:val="21"/>
              </w:rPr>
            </w:pPr>
          </w:p>
        </w:tc>
        <w:tc>
          <w:tcPr>
            <w:tcW w:w="4510" w:type="dxa"/>
          </w:tcPr>
          <w:p w14:paraId="510C4D5C" w14:textId="13E2E94B" w:rsidR="00442660" w:rsidRPr="00442660" w:rsidRDefault="00442660" w:rsidP="005B5037">
            <w:pPr>
              <w:jc w:val="both"/>
              <w:rPr>
                <w:rFonts w:ascii="Arial" w:hAnsi="Arial" w:cs="Arial"/>
                <w:sz w:val="21"/>
                <w:szCs w:val="21"/>
              </w:rPr>
            </w:pPr>
            <w:r w:rsidRPr="00442660">
              <w:rPr>
                <w:rFonts w:ascii="Arial" w:hAnsi="Arial" w:cs="Arial"/>
                <w:sz w:val="21"/>
                <w:szCs w:val="21"/>
              </w:rPr>
              <w:t xml:space="preserve">Dalam hal IKU tidak terpenuhi, selisih harus dibagi dengan </w:t>
            </w:r>
            <w:r w:rsidRPr="00442660">
              <w:rPr>
                <w:rFonts w:ascii="Arial" w:hAnsi="Arial" w:cs="Arial"/>
                <w:i/>
                <w:iCs/>
                <w:sz w:val="21"/>
                <w:szCs w:val="21"/>
              </w:rPr>
              <w:t>deviation step</w:t>
            </w:r>
            <w:r w:rsidRPr="00442660">
              <w:rPr>
                <w:rFonts w:ascii="Arial" w:hAnsi="Arial" w:cs="Arial"/>
                <w:sz w:val="21"/>
                <w:szCs w:val="21"/>
              </w:rPr>
              <w:t xml:space="preserve"> dan hasilnya akan menjadi multiplikator dimana pengurangan Biaya Layanan akan dikenakan. Pengurangan didefinisikan sebagai persentase dari Biaya Layanan bulanan. Untuk menghindari keragu-raguan, berikut contoh perhitungan pengurangan Biaya Layanan secara bulanan:</w:t>
            </w:r>
          </w:p>
        </w:tc>
      </w:tr>
    </w:tbl>
    <w:p w14:paraId="1191925C" w14:textId="77777777" w:rsidR="00442660" w:rsidRPr="00442660" w:rsidRDefault="00442660" w:rsidP="004426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284"/>
        <w:gridCol w:w="4173"/>
      </w:tblGrid>
      <w:tr w:rsidR="00442660" w:rsidRPr="00442660" w14:paraId="4942EA84" w14:textId="77777777" w:rsidTr="005B5037">
        <w:tc>
          <w:tcPr>
            <w:tcW w:w="4786" w:type="dxa"/>
          </w:tcPr>
          <w:p w14:paraId="18A89D3B" w14:textId="77777777" w:rsidR="00442660" w:rsidRPr="00442660" w:rsidRDefault="00442660" w:rsidP="005B5037">
            <w:pPr>
              <w:spacing w:after="120"/>
              <w:rPr>
                <w:rFonts w:ascii="Arial" w:hAnsi="Arial" w:cs="Arial"/>
                <w:sz w:val="21"/>
                <w:szCs w:val="21"/>
              </w:rPr>
            </w:pPr>
            <w:r w:rsidRPr="00442660">
              <w:rPr>
                <w:rFonts w:ascii="Arial" w:hAnsi="Arial" w:cs="Arial"/>
                <w:sz w:val="21"/>
                <w:szCs w:val="21"/>
              </w:rPr>
              <w:t>KPI</w:t>
            </w:r>
            <w:r w:rsidRPr="00442660">
              <w:rPr>
                <w:rFonts w:ascii="Arial" w:hAnsi="Arial" w:cs="Arial"/>
                <w:sz w:val="21"/>
                <w:szCs w:val="21"/>
              </w:rPr>
              <w:tab/>
            </w:r>
            <w:r w:rsidRPr="00442660">
              <w:rPr>
                <w:rFonts w:ascii="Arial" w:hAnsi="Arial" w:cs="Arial"/>
                <w:sz w:val="21"/>
                <w:szCs w:val="21"/>
              </w:rPr>
              <w:tab/>
            </w:r>
            <w:r w:rsidRPr="00442660">
              <w:rPr>
                <w:rFonts w:ascii="Arial" w:hAnsi="Arial" w:cs="Arial"/>
                <w:sz w:val="21"/>
                <w:szCs w:val="21"/>
              </w:rPr>
              <w:tab/>
              <w:t>99,00%</w:t>
            </w:r>
          </w:p>
        </w:tc>
        <w:tc>
          <w:tcPr>
            <w:tcW w:w="284" w:type="dxa"/>
          </w:tcPr>
          <w:p w14:paraId="17A490B1" w14:textId="77777777" w:rsidR="00442660" w:rsidRPr="00442660" w:rsidRDefault="00442660" w:rsidP="005B5037">
            <w:pPr>
              <w:spacing w:after="120"/>
              <w:rPr>
                <w:rFonts w:ascii="Arial" w:hAnsi="Arial" w:cs="Arial"/>
                <w:sz w:val="21"/>
                <w:szCs w:val="21"/>
              </w:rPr>
            </w:pPr>
          </w:p>
        </w:tc>
        <w:tc>
          <w:tcPr>
            <w:tcW w:w="4173" w:type="dxa"/>
          </w:tcPr>
          <w:p w14:paraId="1F4F88E1" w14:textId="77777777" w:rsidR="00442660" w:rsidRPr="00442660" w:rsidRDefault="00442660" w:rsidP="005B5037">
            <w:pPr>
              <w:spacing w:after="120"/>
              <w:rPr>
                <w:rFonts w:ascii="Arial" w:hAnsi="Arial" w:cs="Arial"/>
                <w:sz w:val="21"/>
                <w:szCs w:val="21"/>
              </w:rPr>
            </w:pPr>
            <w:r w:rsidRPr="00442660">
              <w:rPr>
                <w:rFonts w:ascii="Arial" w:hAnsi="Arial" w:cs="Arial"/>
                <w:sz w:val="21"/>
                <w:szCs w:val="21"/>
              </w:rPr>
              <w:t>IKU</w:t>
            </w:r>
            <w:r w:rsidRPr="00442660">
              <w:rPr>
                <w:rFonts w:ascii="Arial" w:hAnsi="Arial" w:cs="Arial"/>
                <w:sz w:val="21"/>
                <w:szCs w:val="21"/>
              </w:rPr>
              <w:tab/>
            </w:r>
            <w:r w:rsidRPr="00442660">
              <w:rPr>
                <w:rFonts w:ascii="Arial" w:hAnsi="Arial" w:cs="Arial"/>
                <w:sz w:val="21"/>
                <w:szCs w:val="21"/>
              </w:rPr>
              <w:tab/>
            </w:r>
            <w:r w:rsidRPr="00442660">
              <w:rPr>
                <w:rFonts w:ascii="Arial" w:hAnsi="Arial" w:cs="Arial"/>
                <w:sz w:val="21"/>
                <w:szCs w:val="21"/>
              </w:rPr>
              <w:tab/>
              <w:t>99.00%</w:t>
            </w:r>
          </w:p>
        </w:tc>
      </w:tr>
      <w:tr w:rsidR="00442660" w:rsidRPr="00442660" w14:paraId="0AA3835D" w14:textId="77777777" w:rsidTr="005B5037">
        <w:tc>
          <w:tcPr>
            <w:tcW w:w="4786" w:type="dxa"/>
          </w:tcPr>
          <w:p w14:paraId="272BAE6F" w14:textId="77777777" w:rsidR="00442660" w:rsidRPr="00442660" w:rsidRDefault="00442660" w:rsidP="005B5037">
            <w:pPr>
              <w:spacing w:after="120"/>
              <w:rPr>
                <w:rFonts w:ascii="Arial" w:hAnsi="Arial" w:cs="Arial"/>
                <w:sz w:val="21"/>
                <w:szCs w:val="21"/>
              </w:rPr>
            </w:pPr>
            <w:r w:rsidRPr="00442660">
              <w:rPr>
                <w:rFonts w:ascii="Arial" w:hAnsi="Arial" w:cs="Arial"/>
                <w:sz w:val="21"/>
                <w:szCs w:val="21"/>
              </w:rPr>
              <w:t>Deviation step</w:t>
            </w:r>
            <w:r w:rsidRPr="00442660">
              <w:rPr>
                <w:rFonts w:ascii="Arial" w:hAnsi="Arial" w:cs="Arial"/>
                <w:sz w:val="21"/>
                <w:szCs w:val="21"/>
              </w:rPr>
              <w:tab/>
            </w:r>
            <w:r w:rsidRPr="00442660">
              <w:rPr>
                <w:rFonts w:ascii="Arial" w:hAnsi="Arial" w:cs="Arial"/>
                <w:sz w:val="21"/>
                <w:szCs w:val="21"/>
              </w:rPr>
              <w:tab/>
              <w:t>0,10%</w:t>
            </w:r>
          </w:p>
        </w:tc>
        <w:tc>
          <w:tcPr>
            <w:tcW w:w="284" w:type="dxa"/>
          </w:tcPr>
          <w:p w14:paraId="51CFA20E" w14:textId="77777777" w:rsidR="00442660" w:rsidRPr="00442660" w:rsidRDefault="00442660" w:rsidP="005B5037">
            <w:pPr>
              <w:spacing w:after="120"/>
              <w:rPr>
                <w:rFonts w:ascii="Arial" w:hAnsi="Arial" w:cs="Arial"/>
                <w:sz w:val="21"/>
                <w:szCs w:val="21"/>
              </w:rPr>
            </w:pPr>
          </w:p>
        </w:tc>
        <w:tc>
          <w:tcPr>
            <w:tcW w:w="4173" w:type="dxa"/>
          </w:tcPr>
          <w:p w14:paraId="2588C2BD" w14:textId="77777777" w:rsidR="00442660" w:rsidRPr="00442660" w:rsidRDefault="00442660" w:rsidP="005B5037">
            <w:pPr>
              <w:spacing w:after="120"/>
              <w:rPr>
                <w:rFonts w:ascii="Arial" w:hAnsi="Arial" w:cs="Arial"/>
                <w:sz w:val="21"/>
                <w:szCs w:val="21"/>
              </w:rPr>
            </w:pPr>
            <w:r w:rsidRPr="00442660">
              <w:rPr>
                <w:rFonts w:ascii="Arial" w:hAnsi="Arial" w:cs="Arial"/>
                <w:i/>
                <w:sz w:val="21"/>
                <w:szCs w:val="21"/>
              </w:rPr>
              <w:t>Deviation step</w:t>
            </w:r>
            <w:r w:rsidRPr="00442660">
              <w:rPr>
                <w:rFonts w:ascii="Arial" w:hAnsi="Arial" w:cs="Arial"/>
                <w:sz w:val="21"/>
                <w:szCs w:val="21"/>
              </w:rPr>
              <w:tab/>
            </w:r>
            <w:r w:rsidRPr="00442660">
              <w:rPr>
                <w:rFonts w:ascii="Arial" w:hAnsi="Arial" w:cs="Arial"/>
                <w:sz w:val="21"/>
                <w:szCs w:val="21"/>
              </w:rPr>
              <w:tab/>
              <w:t>0,10%</w:t>
            </w:r>
          </w:p>
        </w:tc>
      </w:tr>
      <w:tr w:rsidR="00442660" w:rsidRPr="00442660" w14:paraId="13422D24" w14:textId="77777777" w:rsidTr="005B5037">
        <w:tc>
          <w:tcPr>
            <w:tcW w:w="4786" w:type="dxa"/>
          </w:tcPr>
          <w:p w14:paraId="3DF32AD3" w14:textId="77777777" w:rsidR="00442660" w:rsidRPr="00442660" w:rsidRDefault="00442660" w:rsidP="005B5037">
            <w:pPr>
              <w:spacing w:after="120"/>
              <w:rPr>
                <w:rFonts w:ascii="Arial" w:hAnsi="Arial" w:cs="Arial"/>
                <w:sz w:val="21"/>
                <w:szCs w:val="21"/>
              </w:rPr>
            </w:pPr>
            <w:r w:rsidRPr="00442660">
              <w:rPr>
                <w:rFonts w:ascii="Arial" w:hAnsi="Arial" w:cs="Arial"/>
                <w:sz w:val="21"/>
                <w:szCs w:val="21"/>
              </w:rPr>
              <w:t>Penalty</w:t>
            </w:r>
            <w:r w:rsidRPr="00442660">
              <w:rPr>
                <w:rFonts w:ascii="Arial" w:hAnsi="Arial" w:cs="Arial"/>
                <w:sz w:val="21"/>
                <w:szCs w:val="21"/>
              </w:rPr>
              <w:tab/>
            </w:r>
            <w:r w:rsidRPr="00442660">
              <w:rPr>
                <w:rFonts w:ascii="Arial" w:hAnsi="Arial" w:cs="Arial"/>
                <w:sz w:val="21"/>
                <w:szCs w:val="21"/>
              </w:rPr>
              <w:tab/>
            </w:r>
            <w:r w:rsidRPr="00442660">
              <w:rPr>
                <w:rFonts w:ascii="Arial" w:hAnsi="Arial" w:cs="Arial"/>
                <w:sz w:val="21"/>
                <w:szCs w:val="21"/>
              </w:rPr>
              <w:tab/>
              <w:t>0,50%</w:t>
            </w:r>
          </w:p>
        </w:tc>
        <w:tc>
          <w:tcPr>
            <w:tcW w:w="284" w:type="dxa"/>
          </w:tcPr>
          <w:p w14:paraId="34BEC8A7" w14:textId="77777777" w:rsidR="00442660" w:rsidRPr="00442660" w:rsidRDefault="00442660" w:rsidP="005B5037">
            <w:pPr>
              <w:spacing w:after="120"/>
              <w:rPr>
                <w:rFonts w:ascii="Arial" w:hAnsi="Arial" w:cs="Arial"/>
                <w:sz w:val="21"/>
                <w:szCs w:val="21"/>
              </w:rPr>
            </w:pPr>
          </w:p>
        </w:tc>
        <w:tc>
          <w:tcPr>
            <w:tcW w:w="4173" w:type="dxa"/>
          </w:tcPr>
          <w:p w14:paraId="16248D01"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Denda</w:t>
            </w:r>
            <w:r w:rsidRPr="00442660">
              <w:rPr>
                <w:rFonts w:ascii="Arial" w:hAnsi="Arial" w:cs="Arial"/>
                <w:sz w:val="21"/>
                <w:szCs w:val="21"/>
              </w:rPr>
              <w:tab/>
            </w:r>
            <w:r w:rsidRPr="00442660">
              <w:rPr>
                <w:rFonts w:ascii="Arial" w:hAnsi="Arial" w:cs="Arial"/>
                <w:sz w:val="21"/>
                <w:szCs w:val="21"/>
              </w:rPr>
              <w:tab/>
            </w:r>
            <w:r w:rsidRPr="00442660">
              <w:rPr>
                <w:rFonts w:ascii="Arial" w:hAnsi="Arial" w:cs="Arial"/>
                <w:sz w:val="21"/>
                <w:szCs w:val="21"/>
              </w:rPr>
              <w:tab/>
              <w:t>0,50%</w:t>
            </w:r>
          </w:p>
        </w:tc>
      </w:tr>
      <w:tr w:rsidR="00442660" w:rsidRPr="00442660" w14:paraId="73C17BBD" w14:textId="77777777" w:rsidTr="005B5037">
        <w:tc>
          <w:tcPr>
            <w:tcW w:w="4786" w:type="dxa"/>
          </w:tcPr>
          <w:p w14:paraId="6CCA8662"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If the actual availability in one month is 99,60%, then the gap is 99,90% - 99,60% = 0,3%</w:t>
            </w:r>
          </w:p>
        </w:tc>
        <w:tc>
          <w:tcPr>
            <w:tcW w:w="284" w:type="dxa"/>
          </w:tcPr>
          <w:p w14:paraId="3092424E" w14:textId="77777777" w:rsidR="00442660" w:rsidRPr="00442660" w:rsidRDefault="00442660" w:rsidP="005B5037">
            <w:pPr>
              <w:spacing w:after="120"/>
              <w:rPr>
                <w:rFonts w:ascii="Arial" w:hAnsi="Arial" w:cs="Arial"/>
                <w:sz w:val="21"/>
                <w:szCs w:val="21"/>
              </w:rPr>
            </w:pPr>
          </w:p>
        </w:tc>
        <w:tc>
          <w:tcPr>
            <w:tcW w:w="4173" w:type="dxa"/>
          </w:tcPr>
          <w:p w14:paraId="760688F8"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Jika ketersediaan aktual dalam satu bulan adalah 99.60% maka gap adalah 99,90% -99-60% = 0,3%.</w:t>
            </w:r>
          </w:p>
        </w:tc>
      </w:tr>
      <w:tr w:rsidR="00442660" w:rsidRPr="00442660" w14:paraId="35E28292" w14:textId="77777777" w:rsidTr="005B5037">
        <w:tc>
          <w:tcPr>
            <w:tcW w:w="4786" w:type="dxa"/>
          </w:tcPr>
          <w:p w14:paraId="60B50635"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The gaps is 2 times the deviation step (0,3% / 0,1% = 3)</w:t>
            </w:r>
          </w:p>
        </w:tc>
        <w:tc>
          <w:tcPr>
            <w:tcW w:w="284" w:type="dxa"/>
          </w:tcPr>
          <w:p w14:paraId="1BBC0589" w14:textId="77777777" w:rsidR="00442660" w:rsidRPr="00442660" w:rsidRDefault="00442660" w:rsidP="005B5037">
            <w:pPr>
              <w:spacing w:after="120"/>
              <w:rPr>
                <w:rFonts w:ascii="Arial" w:hAnsi="Arial" w:cs="Arial"/>
                <w:sz w:val="21"/>
                <w:szCs w:val="21"/>
              </w:rPr>
            </w:pPr>
          </w:p>
        </w:tc>
        <w:tc>
          <w:tcPr>
            <w:tcW w:w="4173" w:type="dxa"/>
          </w:tcPr>
          <w:p w14:paraId="172D09ED"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 xml:space="preserve">Gap adalah 2 kali dari </w:t>
            </w:r>
            <w:r w:rsidRPr="00442660">
              <w:rPr>
                <w:rFonts w:ascii="Arial" w:hAnsi="Arial" w:cs="Arial"/>
                <w:i/>
                <w:sz w:val="21"/>
                <w:szCs w:val="21"/>
              </w:rPr>
              <w:t>deviation step</w:t>
            </w:r>
            <w:r w:rsidRPr="00442660">
              <w:rPr>
                <w:rFonts w:ascii="Arial" w:hAnsi="Arial" w:cs="Arial"/>
                <w:sz w:val="21"/>
                <w:szCs w:val="21"/>
              </w:rPr>
              <w:t xml:space="preserve"> (0,3%/0.1% = 3).</w:t>
            </w:r>
          </w:p>
        </w:tc>
      </w:tr>
      <w:tr w:rsidR="00442660" w:rsidRPr="00442660" w14:paraId="747E753A" w14:textId="77777777" w:rsidTr="005B5037">
        <w:tc>
          <w:tcPr>
            <w:tcW w:w="4786" w:type="dxa"/>
          </w:tcPr>
          <w:p w14:paraId="4DB7DABA"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This means the Service Fee reduction will be 1,5%  (3 * 0,5%)</w:t>
            </w:r>
          </w:p>
        </w:tc>
        <w:tc>
          <w:tcPr>
            <w:tcW w:w="284" w:type="dxa"/>
          </w:tcPr>
          <w:p w14:paraId="214EFA8C" w14:textId="77777777" w:rsidR="00442660" w:rsidRPr="00442660" w:rsidRDefault="00442660" w:rsidP="005B5037">
            <w:pPr>
              <w:spacing w:after="120"/>
              <w:rPr>
                <w:rFonts w:ascii="Arial" w:hAnsi="Arial" w:cs="Arial"/>
                <w:sz w:val="21"/>
                <w:szCs w:val="21"/>
              </w:rPr>
            </w:pPr>
          </w:p>
        </w:tc>
        <w:tc>
          <w:tcPr>
            <w:tcW w:w="4173" w:type="dxa"/>
          </w:tcPr>
          <w:p w14:paraId="6DEE92B1"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Hal ini berarti pengurangan Biaya Layanan adalah 1.5% (3*o,5%).</w:t>
            </w:r>
          </w:p>
        </w:tc>
      </w:tr>
      <w:tr w:rsidR="00442660" w:rsidRPr="00442660" w14:paraId="154CAECC" w14:textId="77777777" w:rsidTr="005B5037">
        <w:tc>
          <w:tcPr>
            <w:tcW w:w="4786" w:type="dxa"/>
          </w:tcPr>
          <w:p w14:paraId="326425B0"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The Service Fee deduction shall be the Penalties by each KPI for that specific month totaled.</w:t>
            </w:r>
          </w:p>
        </w:tc>
        <w:tc>
          <w:tcPr>
            <w:tcW w:w="284" w:type="dxa"/>
          </w:tcPr>
          <w:p w14:paraId="47068EE7" w14:textId="77777777" w:rsidR="00442660" w:rsidRPr="00442660" w:rsidRDefault="00442660" w:rsidP="005B5037">
            <w:pPr>
              <w:spacing w:after="120"/>
              <w:rPr>
                <w:rFonts w:ascii="Arial" w:hAnsi="Arial" w:cs="Arial"/>
                <w:sz w:val="21"/>
                <w:szCs w:val="21"/>
              </w:rPr>
            </w:pPr>
          </w:p>
        </w:tc>
        <w:tc>
          <w:tcPr>
            <w:tcW w:w="4173" w:type="dxa"/>
          </w:tcPr>
          <w:p w14:paraId="61A51613"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 xml:space="preserve">Pengurangan Biaya Layanan merupakan denda-denda untuk setiap IKU untuk total bulan tertentu. </w:t>
            </w:r>
          </w:p>
        </w:tc>
      </w:tr>
      <w:tr w:rsidR="00442660" w:rsidRPr="00442660" w14:paraId="79772C38" w14:textId="77777777" w:rsidTr="005B5037">
        <w:tc>
          <w:tcPr>
            <w:tcW w:w="4786" w:type="dxa"/>
          </w:tcPr>
          <w:p w14:paraId="39DA7E0F"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The maximum penalty per month shall be fifteen (15%) of the Service Fee of the given month. In case the calculated penalty exceeds the maximum, the maximum shall be applied.</w:t>
            </w:r>
          </w:p>
        </w:tc>
        <w:tc>
          <w:tcPr>
            <w:tcW w:w="284" w:type="dxa"/>
          </w:tcPr>
          <w:p w14:paraId="0E22D6E6" w14:textId="77777777" w:rsidR="00442660" w:rsidRPr="00442660" w:rsidRDefault="00442660" w:rsidP="005B5037">
            <w:pPr>
              <w:spacing w:after="120"/>
              <w:rPr>
                <w:rFonts w:ascii="Arial" w:hAnsi="Arial" w:cs="Arial"/>
                <w:sz w:val="21"/>
                <w:szCs w:val="21"/>
              </w:rPr>
            </w:pPr>
          </w:p>
        </w:tc>
        <w:tc>
          <w:tcPr>
            <w:tcW w:w="4173" w:type="dxa"/>
          </w:tcPr>
          <w:p w14:paraId="699AFA09" w14:textId="77777777" w:rsidR="00442660" w:rsidRPr="00442660" w:rsidRDefault="00442660" w:rsidP="005B5037">
            <w:pPr>
              <w:spacing w:after="120"/>
              <w:jc w:val="both"/>
              <w:rPr>
                <w:rFonts w:ascii="Arial" w:hAnsi="Arial" w:cs="Arial"/>
                <w:sz w:val="21"/>
                <w:szCs w:val="21"/>
              </w:rPr>
            </w:pPr>
            <w:r w:rsidRPr="00442660">
              <w:rPr>
                <w:rFonts w:ascii="Arial" w:hAnsi="Arial" w:cs="Arial"/>
                <w:sz w:val="21"/>
                <w:szCs w:val="21"/>
              </w:rPr>
              <w:t>Jumlah denda maksimum untuk setipa bulan adalah lima belas persen (15%) untuk Biaya Layanan bulan terkait. Dalam hal perhitungan denda melebihi jumlah maksimum, maka jumlah maksimum yang dikenakan.</w:t>
            </w:r>
          </w:p>
        </w:tc>
      </w:tr>
    </w:tbl>
    <w:p w14:paraId="6BE85155" w14:textId="77777777" w:rsidR="00442660" w:rsidRDefault="00442660" w:rsidP="00442660"/>
    <w:p w14:paraId="4A8526C9" w14:textId="77777777" w:rsidR="00442660" w:rsidRDefault="00442660" w:rsidP="00442660"/>
    <w:p w14:paraId="0D29A0A9" w14:textId="77777777" w:rsidR="006945C5" w:rsidRDefault="006945C5" w:rsidP="00923319"/>
    <w:p w14:paraId="5B392229" w14:textId="22E11733" w:rsidR="00375FA3" w:rsidRDefault="00375FA3">
      <w:r>
        <w:br w:type="page"/>
      </w:r>
    </w:p>
    <w:p w14:paraId="3043D326" w14:textId="77777777" w:rsidR="006945C5" w:rsidRDefault="006945C5" w:rsidP="00923319"/>
    <w:p w14:paraId="5F2BC2DA" w14:textId="77777777" w:rsidR="00FF0BFA" w:rsidRPr="00A67277" w:rsidRDefault="00FF0BFA" w:rsidP="00923319"/>
    <w:tbl>
      <w:tblPr>
        <w:tblW w:w="9648" w:type="dxa"/>
        <w:tblInd w:w="-72" w:type="dxa"/>
        <w:tblLayout w:type="fixed"/>
        <w:tblLook w:val="04A0" w:firstRow="1" w:lastRow="0" w:firstColumn="1" w:lastColumn="0" w:noHBand="0" w:noVBand="1"/>
      </w:tblPr>
      <w:tblGrid>
        <w:gridCol w:w="4860"/>
        <w:gridCol w:w="270"/>
        <w:gridCol w:w="4518"/>
      </w:tblGrid>
      <w:tr w:rsidR="00923319" w:rsidRPr="00A67277" w14:paraId="2E24E81D" w14:textId="77777777" w:rsidTr="00923319">
        <w:trPr>
          <w:trHeight w:val="95"/>
        </w:trPr>
        <w:tc>
          <w:tcPr>
            <w:tcW w:w="4860" w:type="dxa"/>
            <w:shd w:val="clear" w:color="auto" w:fill="auto"/>
          </w:tcPr>
          <w:p w14:paraId="4754023B" w14:textId="5CAC4410" w:rsidR="00923319" w:rsidRPr="00A67277" w:rsidRDefault="00923319" w:rsidP="00E030C4">
            <w:pPr>
              <w:pStyle w:val="SchTitle"/>
              <w:rPr>
                <w:rFonts w:cs="Arial"/>
                <w:sz w:val="21"/>
              </w:rPr>
            </w:pPr>
            <w:r w:rsidRPr="00A67277">
              <w:rPr>
                <w:rFonts w:cs="Arial"/>
                <w:sz w:val="21"/>
              </w:rPr>
              <w:br w:type="page"/>
              <w:t xml:space="preserve">Appendix </w:t>
            </w:r>
            <w:r w:rsidR="00E030C4" w:rsidRPr="00A67277">
              <w:rPr>
                <w:rFonts w:cs="Arial"/>
                <w:sz w:val="21"/>
              </w:rPr>
              <w:t xml:space="preserve">13 </w:t>
            </w:r>
            <w:r w:rsidRPr="00A67277">
              <w:rPr>
                <w:rFonts w:cs="Arial"/>
                <w:sz w:val="21"/>
              </w:rPr>
              <w:t>– list of toll road lanes</w:t>
            </w:r>
          </w:p>
        </w:tc>
        <w:tc>
          <w:tcPr>
            <w:tcW w:w="270" w:type="dxa"/>
          </w:tcPr>
          <w:p w14:paraId="7CE66A72" w14:textId="77777777" w:rsidR="00923319" w:rsidRPr="00A67277" w:rsidRDefault="00923319" w:rsidP="00923319">
            <w:pPr>
              <w:spacing w:before="120" w:after="120" w:line="240" w:lineRule="auto"/>
              <w:jc w:val="center"/>
              <w:rPr>
                <w:rFonts w:ascii="Arial" w:hAnsi="Arial" w:cs="Arial"/>
                <w:sz w:val="21"/>
                <w:szCs w:val="21"/>
              </w:rPr>
            </w:pPr>
          </w:p>
        </w:tc>
        <w:tc>
          <w:tcPr>
            <w:tcW w:w="4518" w:type="dxa"/>
          </w:tcPr>
          <w:p w14:paraId="2E8E8F87" w14:textId="62C6A516" w:rsidR="00923319" w:rsidRPr="00A67277" w:rsidRDefault="00923319" w:rsidP="00E030C4">
            <w:pPr>
              <w:pStyle w:val="SchTitle"/>
              <w:rPr>
                <w:rFonts w:cs="Arial"/>
                <w:sz w:val="21"/>
                <w:lang w:val="fr-FR"/>
              </w:rPr>
            </w:pPr>
            <w:r w:rsidRPr="00A67277">
              <w:rPr>
                <w:rFonts w:cs="Arial"/>
                <w:sz w:val="21"/>
                <w:lang w:val="fr-FR"/>
              </w:rPr>
              <w:t xml:space="preserve">Lampiran </w:t>
            </w:r>
            <w:r w:rsidR="00E030C4" w:rsidRPr="00A67277">
              <w:rPr>
                <w:rFonts w:cs="Arial"/>
                <w:sz w:val="21"/>
                <w:lang w:val="fr-FR"/>
              </w:rPr>
              <w:t xml:space="preserve">13  </w:t>
            </w:r>
            <w:r w:rsidRPr="00A67277">
              <w:rPr>
                <w:rFonts w:cs="Arial"/>
                <w:sz w:val="21"/>
                <w:lang w:val="fr-FR"/>
              </w:rPr>
              <w:t>– daftar jalur jalan tol</w:t>
            </w:r>
          </w:p>
        </w:tc>
      </w:tr>
    </w:tbl>
    <w:p w14:paraId="58E9719B" w14:textId="77777777" w:rsidR="00923319" w:rsidRPr="00A67277" w:rsidRDefault="00923319" w:rsidP="00923319">
      <w:pPr>
        <w:jc w:val="both"/>
      </w:pPr>
    </w:p>
    <w:tbl>
      <w:tblPr>
        <w:tblW w:w="5000" w:type="pct"/>
        <w:tblLook w:val="04A0" w:firstRow="1" w:lastRow="0" w:firstColumn="1" w:lastColumn="0" w:noHBand="0" w:noVBand="1"/>
      </w:tblPr>
      <w:tblGrid>
        <w:gridCol w:w="496"/>
        <w:gridCol w:w="5410"/>
        <w:gridCol w:w="1033"/>
        <w:gridCol w:w="1195"/>
        <w:gridCol w:w="1111"/>
      </w:tblGrid>
      <w:tr w:rsidR="00923319" w:rsidRPr="00A67277" w14:paraId="6172298C" w14:textId="77777777" w:rsidTr="00923319">
        <w:trPr>
          <w:trHeight w:val="925"/>
          <w:tblHeader/>
        </w:trPr>
        <w:tc>
          <w:tcPr>
            <w:tcW w:w="275" w:type="pct"/>
            <w:tcBorders>
              <w:top w:val="nil"/>
              <w:left w:val="nil"/>
              <w:bottom w:val="nil"/>
              <w:right w:val="nil"/>
            </w:tcBorders>
            <w:shd w:val="clear" w:color="auto" w:fill="BFBFBF" w:themeFill="background1" w:themeFillShade="BF"/>
            <w:vAlign w:val="center"/>
            <w:hideMark/>
          </w:tcPr>
          <w:p w14:paraId="0EB835AE" w14:textId="77777777" w:rsidR="00923319" w:rsidRPr="00A67277" w:rsidRDefault="00923319" w:rsidP="00923319">
            <w:pPr>
              <w:spacing w:after="0" w:line="240" w:lineRule="auto"/>
              <w:jc w:val="center"/>
              <w:rPr>
                <w:rFonts w:ascii="Arial" w:eastAsia="Times New Roman" w:hAnsi="Arial" w:cs="Arial"/>
                <w:b/>
                <w:bCs/>
                <w:sz w:val="21"/>
                <w:szCs w:val="21"/>
              </w:rPr>
            </w:pPr>
            <w:r w:rsidRPr="00A67277">
              <w:rPr>
                <w:rFonts w:ascii="Arial" w:eastAsia="Times New Roman" w:hAnsi="Arial" w:cs="Arial"/>
                <w:b/>
                <w:bCs/>
                <w:sz w:val="21"/>
                <w:szCs w:val="21"/>
              </w:rPr>
              <w:t>No</w:t>
            </w:r>
          </w:p>
        </w:tc>
        <w:tc>
          <w:tcPr>
            <w:tcW w:w="2700" w:type="pct"/>
            <w:tcBorders>
              <w:top w:val="nil"/>
              <w:left w:val="nil"/>
              <w:bottom w:val="nil"/>
              <w:right w:val="nil"/>
            </w:tcBorders>
            <w:shd w:val="clear" w:color="auto" w:fill="BFBFBF" w:themeFill="background1" w:themeFillShade="BF"/>
            <w:vAlign w:val="center"/>
            <w:hideMark/>
          </w:tcPr>
          <w:p w14:paraId="4BF01D0A" w14:textId="77777777" w:rsidR="00923319" w:rsidRPr="00A67277" w:rsidRDefault="00923319" w:rsidP="00923319">
            <w:pPr>
              <w:spacing w:after="0" w:line="240" w:lineRule="auto"/>
              <w:rPr>
                <w:rFonts w:ascii="Arial" w:eastAsia="Times New Roman" w:hAnsi="Arial" w:cs="Arial"/>
                <w:b/>
                <w:bCs/>
                <w:sz w:val="21"/>
                <w:szCs w:val="21"/>
              </w:rPr>
            </w:pPr>
            <w:r w:rsidRPr="00A67277">
              <w:rPr>
                <w:rFonts w:ascii="Arial" w:eastAsia="Times New Roman" w:hAnsi="Arial" w:cs="Arial"/>
                <w:b/>
                <w:bCs/>
                <w:sz w:val="21"/>
                <w:szCs w:val="21"/>
              </w:rPr>
              <w:t>Name of Toll Road / Nama Ruas Jalan Tol</w:t>
            </w:r>
          </w:p>
        </w:tc>
        <w:tc>
          <w:tcPr>
            <w:tcW w:w="552" w:type="pct"/>
            <w:tcBorders>
              <w:top w:val="nil"/>
              <w:left w:val="nil"/>
              <w:bottom w:val="nil"/>
              <w:right w:val="nil"/>
            </w:tcBorders>
            <w:shd w:val="clear" w:color="auto" w:fill="BFBFBF" w:themeFill="background1" w:themeFillShade="BF"/>
            <w:vAlign w:val="center"/>
            <w:hideMark/>
          </w:tcPr>
          <w:p w14:paraId="5596F7C0" w14:textId="77777777" w:rsidR="00923319" w:rsidRPr="00A67277" w:rsidRDefault="00923319" w:rsidP="00923319">
            <w:pPr>
              <w:spacing w:after="0" w:line="240" w:lineRule="auto"/>
              <w:jc w:val="center"/>
              <w:rPr>
                <w:rFonts w:ascii="Arial" w:eastAsia="Times New Roman" w:hAnsi="Arial" w:cs="Arial"/>
                <w:b/>
                <w:bCs/>
                <w:sz w:val="21"/>
                <w:szCs w:val="21"/>
              </w:rPr>
            </w:pPr>
            <w:r w:rsidRPr="00A67277">
              <w:rPr>
                <w:rFonts w:ascii="Arial" w:eastAsia="Times New Roman" w:hAnsi="Arial" w:cs="Arial"/>
                <w:b/>
                <w:bCs/>
                <w:sz w:val="21"/>
                <w:szCs w:val="21"/>
              </w:rPr>
              <w:t>Length / Panjang</w:t>
            </w:r>
          </w:p>
        </w:tc>
        <w:tc>
          <w:tcPr>
            <w:tcW w:w="795" w:type="pct"/>
            <w:tcBorders>
              <w:top w:val="nil"/>
              <w:left w:val="nil"/>
              <w:bottom w:val="nil"/>
              <w:right w:val="nil"/>
            </w:tcBorders>
            <w:shd w:val="clear" w:color="auto" w:fill="BFBFBF" w:themeFill="background1" w:themeFillShade="BF"/>
            <w:vAlign w:val="center"/>
            <w:hideMark/>
          </w:tcPr>
          <w:p w14:paraId="1BAB68E7" w14:textId="77777777" w:rsidR="00923319" w:rsidRPr="00A67277" w:rsidRDefault="00923319" w:rsidP="00923319">
            <w:pPr>
              <w:spacing w:after="0" w:line="240" w:lineRule="auto"/>
              <w:jc w:val="center"/>
              <w:rPr>
                <w:rFonts w:ascii="Arial" w:eastAsia="Times New Roman" w:hAnsi="Arial" w:cs="Arial"/>
                <w:b/>
                <w:bCs/>
                <w:sz w:val="21"/>
                <w:szCs w:val="21"/>
              </w:rPr>
            </w:pPr>
            <w:r w:rsidRPr="00A67277">
              <w:rPr>
                <w:rFonts w:ascii="Arial" w:eastAsia="Times New Roman" w:hAnsi="Arial" w:cs="Arial"/>
                <w:b/>
                <w:bCs/>
                <w:sz w:val="21"/>
                <w:szCs w:val="21"/>
              </w:rPr>
              <w:t>Number of Sections / Jumlah Seksi</w:t>
            </w:r>
          </w:p>
        </w:tc>
        <w:tc>
          <w:tcPr>
            <w:tcW w:w="678" w:type="pct"/>
            <w:tcBorders>
              <w:top w:val="nil"/>
              <w:left w:val="nil"/>
              <w:bottom w:val="nil"/>
              <w:right w:val="nil"/>
            </w:tcBorders>
            <w:shd w:val="clear" w:color="auto" w:fill="BFBFBF" w:themeFill="background1" w:themeFillShade="BF"/>
            <w:vAlign w:val="center"/>
            <w:hideMark/>
          </w:tcPr>
          <w:p w14:paraId="19E42BD4" w14:textId="77777777" w:rsidR="00923319" w:rsidRPr="00A67277" w:rsidRDefault="00923319" w:rsidP="00923319">
            <w:pPr>
              <w:spacing w:after="0" w:line="240" w:lineRule="auto"/>
              <w:jc w:val="center"/>
              <w:rPr>
                <w:rFonts w:ascii="Arial" w:eastAsia="Times New Roman" w:hAnsi="Arial" w:cs="Arial"/>
                <w:b/>
                <w:bCs/>
                <w:sz w:val="21"/>
                <w:szCs w:val="21"/>
              </w:rPr>
            </w:pPr>
            <w:r w:rsidRPr="00A67277">
              <w:rPr>
                <w:rFonts w:ascii="Arial" w:eastAsia="Times New Roman" w:hAnsi="Arial" w:cs="Arial"/>
                <w:b/>
                <w:bCs/>
                <w:sz w:val="21"/>
                <w:szCs w:val="21"/>
              </w:rPr>
              <w:t>Number of Traffic Lanes / Jumlah Jalur Lalu Lintas</w:t>
            </w:r>
          </w:p>
        </w:tc>
      </w:tr>
      <w:tr w:rsidR="00923319" w:rsidRPr="00A67277" w14:paraId="64A5392E" w14:textId="77777777" w:rsidTr="00923319">
        <w:trPr>
          <w:trHeight w:val="285"/>
        </w:trPr>
        <w:tc>
          <w:tcPr>
            <w:tcW w:w="275" w:type="pct"/>
            <w:tcBorders>
              <w:top w:val="nil"/>
              <w:left w:val="nil"/>
              <w:bottom w:val="nil"/>
              <w:right w:val="nil"/>
            </w:tcBorders>
            <w:shd w:val="clear" w:color="000000" w:fill="F2F2F2"/>
            <w:noWrap/>
            <w:vAlign w:val="bottom"/>
            <w:hideMark/>
          </w:tcPr>
          <w:p w14:paraId="73B0CF4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w:t>
            </w:r>
          </w:p>
        </w:tc>
        <w:tc>
          <w:tcPr>
            <w:tcW w:w="2700" w:type="pct"/>
            <w:tcBorders>
              <w:top w:val="nil"/>
              <w:left w:val="nil"/>
              <w:bottom w:val="nil"/>
              <w:right w:val="nil"/>
            </w:tcBorders>
            <w:shd w:val="clear" w:color="000000" w:fill="F2F2F2"/>
            <w:noWrap/>
            <w:vAlign w:val="bottom"/>
            <w:hideMark/>
          </w:tcPr>
          <w:p w14:paraId="610CB474"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Tangerang - Merak</w:t>
            </w:r>
          </w:p>
        </w:tc>
        <w:tc>
          <w:tcPr>
            <w:tcW w:w="552" w:type="pct"/>
            <w:tcBorders>
              <w:top w:val="nil"/>
              <w:left w:val="nil"/>
              <w:bottom w:val="nil"/>
              <w:right w:val="nil"/>
            </w:tcBorders>
            <w:shd w:val="clear" w:color="000000" w:fill="F2F2F2"/>
            <w:noWrap/>
            <w:vAlign w:val="bottom"/>
            <w:hideMark/>
          </w:tcPr>
          <w:p w14:paraId="3F73A21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73</w:t>
            </w:r>
          </w:p>
        </w:tc>
        <w:tc>
          <w:tcPr>
            <w:tcW w:w="795" w:type="pct"/>
            <w:tcBorders>
              <w:top w:val="nil"/>
              <w:left w:val="nil"/>
              <w:bottom w:val="nil"/>
              <w:right w:val="nil"/>
            </w:tcBorders>
            <w:shd w:val="clear" w:color="000000" w:fill="F2F2F2"/>
            <w:noWrap/>
            <w:vAlign w:val="bottom"/>
            <w:hideMark/>
          </w:tcPr>
          <w:p w14:paraId="521DAE3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w:t>
            </w:r>
          </w:p>
        </w:tc>
        <w:tc>
          <w:tcPr>
            <w:tcW w:w="678" w:type="pct"/>
            <w:tcBorders>
              <w:top w:val="nil"/>
              <w:left w:val="nil"/>
              <w:bottom w:val="nil"/>
              <w:right w:val="nil"/>
            </w:tcBorders>
            <w:shd w:val="clear" w:color="000000" w:fill="F2F2F2"/>
            <w:noWrap/>
            <w:vAlign w:val="bottom"/>
            <w:hideMark/>
          </w:tcPr>
          <w:p w14:paraId="57B20CE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BA3D78B" w14:textId="77777777" w:rsidTr="00923319">
        <w:trPr>
          <w:trHeight w:val="285"/>
        </w:trPr>
        <w:tc>
          <w:tcPr>
            <w:tcW w:w="275" w:type="pct"/>
            <w:tcBorders>
              <w:top w:val="nil"/>
              <w:left w:val="nil"/>
              <w:bottom w:val="nil"/>
              <w:right w:val="nil"/>
            </w:tcBorders>
            <w:shd w:val="clear" w:color="auto" w:fill="auto"/>
            <w:noWrap/>
            <w:vAlign w:val="bottom"/>
            <w:hideMark/>
          </w:tcPr>
          <w:p w14:paraId="318F75F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2700" w:type="pct"/>
            <w:tcBorders>
              <w:top w:val="nil"/>
              <w:left w:val="nil"/>
              <w:bottom w:val="nil"/>
              <w:right w:val="nil"/>
            </w:tcBorders>
            <w:shd w:val="clear" w:color="auto" w:fill="auto"/>
            <w:noWrap/>
            <w:vAlign w:val="bottom"/>
            <w:hideMark/>
          </w:tcPr>
          <w:p w14:paraId="67ACB5C1"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Jakarta - Tangerang</w:t>
            </w:r>
          </w:p>
        </w:tc>
        <w:tc>
          <w:tcPr>
            <w:tcW w:w="552" w:type="pct"/>
            <w:tcBorders>
              <w:top w:val="nil"/>
              <w:left w:val="nil"/>
              <w:bottom w:val="nil"/>
              <w:right w:val="nil"/>
            </w:tcBorders>
            <w:shd w:val="clear" w:color="auto" w:fill="auto"/>
            <w:noWrap/>
            <w:vAlign w:val="bottom"/>
            <w:hideMark/>
          </w:tcPr>
          <w:p w14:paraId="67C59C1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33</w:t>
            </w:r>
          </w:p>
        </w:tc>
        <w:tc>
          <w:tcPr>
            <w:tcW w:w="795" w:type="pct"/>
            <w:tcBorders>
              <w:top w:val="nil"/>
              <w:left w:val="nil"/>
              <w:bottom w:val="nil"/>
              <w:right w:val="nil"/>
            </w:tcBorders>
            <w:shd w:val="clear" w:color="auto" w:fill="auto"/>
            <w:noWrap/>
            <w:vAlign w:val="bottom"/>
            <w:hideMark/>
          </w:tcPr>
          <w:p w14:paraId="2301ABD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w:t>
            </w:r>
          </w:p>
        </w:tc>
        <w:tc>
          <w:tcPr>
            <w:tcW w:w="678" w:type="pct"/>
            <w:tcBorders>
              <w:top w:val="nil"/>
              <w:left w:val="nil"/>
              <w:bottom w:val="nil"/>
              <w:right w:val="nil"/>
            </w:tcBorders>
            <w:shd w:val="clear" w:color="auto" w:fill="auto"/>
            <w:noWrap/>
            <w:vAlign w:val="bottom"/>
            <w:hideMark/>
          </w:tcPr>
          <w:p w14:paraId="122A4B9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w:t>
            </w:r>
          </w:p>
        </w:tc>
      </w:tr>
      <w:tr w:rsidR="00923319" w:rsidRPr="00A67277" w14:paraId="7FF10F31" w14:textId="77777777" w:rsidTr="00923319">
        <w:trPr>
          <w:trHeight w:val="285"/>
        </w:trPr>
        <w:tc>
          <w:tcPr>
            <w:tcW w:w="275" w:type="pct"/>
            <w:tcBorders>
              <w:top w:val="nil"/>
              <w:left w:val="nil"/>
              <w:bottom w:val="nil"/>
              <w:right w:val="nil"/>
            </w:tcBorders>
            <w:shd w:val="clear" w:color="000000" w:fill="F2F2F2"/>
            <w:noWrap/>
            <w:vAlign w:val="bottom"/>
            <w:hideMark/>
          </w:tcPr>
          <w:p w14:paraId="5790E5F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2700" w:type="pct"/>
            <w:tcBorders>
              <w:top w:val="nil"/>
              <w:left w:val="nil"/>
              <w:bottom w:val="nil"/>
              <w:right w:val="nil"/>
            </w:tcBorders>
            <w:shd w:val="clear" w:color="000000" w:fill="F2F2F2"/>
            <w:noWrap/>
            <w:vAlign w:val="bottom"/>
            <w:hideMark/>
          </w:tcPr>
          <w:p w14:paraId="6CD2C896"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Prof. Dr. Ir. Sedyatmo</w:t>
            </w:r>
          </w:p>
        </w:tc>
        <w:tc>
          <w:tcPr>
            <w:tcW w:w="552" w:type="pct"/>
            <w:tcBorders>
              <w:top w:val="nil"/>
              <w:left w:val="nil"/>
              <w:bottom w:val="nil"/>
              <w:right w:val="nil"/>
            </w:tcBorders>
            <w:shd w:val="clear" w:color="000000" w:fill="F2F2F2"/>
            <w:noWrap/>
            <w:vAlign w:val="bottom"/>
            <w:hideMark/>
          </w:tcPr>
          <w:p w14:paraId="6D66018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14,3</w:t>
            </w:r>
          </w:p>
        </w:tc>
        <w:tc>
          <w:tcPr>
            <w:tcW w:w="795" w:type="pct"/>
            <w:tcBorders>
              <w:top w:val="nil"/>
              <w:left w:val="nil"/>
              <w:bottom w:val="nil"/>
              <w:right w:val="nil"/>
            </w:tcBorders>
            <w:shd w:val="clear" w:color="000000" w:fill="F2F2F2"/>
            <w:noWrap/>
            <w:vAlign w:val="bottom"/>
            <w:hideMark/>
          </w:tcPr>
          <w:p w14:paraId="7D5471A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2B97F72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w:t>
            </w:r>
          </w:p>
        </w:tc>
      </w:tr>
      <w:tr w:rsidR="00923319" w:rsidRPr="00A67277" w14:paraId="28C83ACD" w14:textId="77777777" w:rsidTr="00923319">
        <w:trPr>
          <w:trHeight w:val="285"/>
        </w:trPr>
        <w:tc>
          <w:tcPr>
            <w:tcW w:w="275" w:type="pct"/>
            <w:tcBorders>
              <w:top w:val="nil"/>
              <w:left w:val="nil"/>
              <w:bottom w:val="nil"/>
              <w:right w:val="nil"/>
            </w:tcBorders>
            <w:shd w:val="clear" w:color="auto" w:fill="auto"/>
            <w:noWrap/>
            <w:vAlign w:val="bottom"/>
            <w:hideMark/>
          </w:tcPr>
          <w:p w14:paraId="5DE0D95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2700" w:type="pct"/>
            <w:tcBorders>
              <w:top w:val="nil"/>
              <w:left w:val="nil"/>
              <w:bottom w:val="nil"/>
              <w:right w:val="nil"/>
            </w:tcBorders>
            <w:shd w:val="clear" w:color="auto" w:fill="auto"/>
            <w:noWrap/>
            <w:vAlign w:val="bottom"/>
            <w:hideMark/>
          </w:tcPr>
          <w:p w14:paraId="15FDBE7D"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JORR W1 (Kebon Jeruk - Penjaringan)</w:t>
            </w:r>
          </w:p>
        </w:tc>
        <w:tc>
          <w:tcPr>
            <w:tcW w:w="552" w:type="pct"/>
            <w:tcBorders>
              <w:top w:val="nil"/>
              <w:left w:val="nil"/>
              <w:bottom w:val="nil"/>
              <w:right w:val="nil"/>
            </w:tcBorders>
            <w:shd w:val="clear" w:color="auto" w:fill="auto"/>
            <w:noWrap/>
            <w:vAlign w:val="bottom"/>
            <w:hideMark/>
          </w:tcPr>
          <w:p w14:paraId="42816E8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9,85</w:t>
            </w:r>
          </w:p>
        </w:tc>
        <w:tc>
          <w:tcPr>
            <w:tcW w:w="795" w:type="pct"/>
            <w:tcBorders>
              <w:top w:val="nil"/>
              <w:left w:val="nil"/>
              <w:bottom w:val="nil"/>
              <w:right w:val="nil"/>
            </w:tcBorders>
            <w:shd w:val="clear" w:color="auto" w:fill="auto"/>
            <w:noWrap/>
            <w:vAlign w:val="bottom"/>
            <w:hideMark/>
          </w:tcPr>
          <w:p w14:paraId="7A79A52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c>
          <w:tcPr>
            <w:tcW w:w="678" w:type="pct"/>
            <w:tcBorders>
              <w:top w:val="nil"/>
              <w:left w:val="nil"/>
              <w:bottom w:val="nil"/>
              <w:right w:val="nil"/>
            </w:tcBorders>
            <w:shd w:val="clear" w:color="auto" w:fill="auto"/>
            <w:noWrap/>
            <w:vAlign w:val="bottom"/>
            <w:hideMark/>
          </w:tcPr>
          <w:p w14:paraId="27C0C16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57C14B1B" w14:textId="77777777" w:rsidTr="00923319">
        <w:trPr>
          <w:trHeight w:val="285"/>
        </w:trPr>
        <w:tc>
          <w:tcPr>
            <w:tcW w:w="275" w:type="pct"/>
            <w:tcBorders>
              <w:top w:val="nil"/>
              <w:left w:val="nil"/>
              <w:bottom w:val="nil"/>
              <w:right w:val="nil"/>
            </w:tcBorders>
            <w:shd w:val="clear" w:color="000000" w:fill="F2F2F2"/>
            <w:noWrap/>
            <w:vAlign w:val="bottom"/>
            <w:hideMark/>
          </w:tcPr>
          <w:p w14:paraId="24848EA9"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w:t>
            </w:r>
          </w:p>
        </w:tc>
        <w:tc>
          <w:tcPr>
            <w:tcW w:w="2700" w:type="pct"/>
            <w:tcBorders>
              <w:top w:val="nil"/>
              <w:left w:val="nil"/>
              <w:bottom w:val="nil"/>
              <w:right w:val="nil"/>
            </w:tcBorders>
            <w:shd w:val="clear" w:color="000000" w:fill="F2F2F2"/>
            <w:noWrap/>
            <w:vAlign w:val="bottom"/>
            <w:hideMark/>
          </w:tcPr>
          <w:p w14:paraId="0C61A81D"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JORR W2 Utara (Kebon Jeruk - Ulujami)</w:t>
            </w:r>
          </w:p>
        </w:tc>
        <w:tc>
          <w:tcPr>
            <w:tcW w:w="552" w:type="pct"/>
            <w:tcBorders>
              <w:top w:val="nil"/>
              <w:left w:val="nil"/>
              <w:bottom w:val="nil"/>
              <w:right w:val="nil"/>
            </w:tcBorders>
            <w:shd w:val="clear" w:color="000000" w:fill="F2F2F2"/>
            <w:noWrap/>
            <w:vAlign w:val="bottom"/>
            <w:hideMark/>
          </w:tcPr>
          <w:p w14:paraId="197B154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7,87</w:t>
            </w:r>
          </w:p>
        </w:tc>
        <w:tc>
          <w:tcPr>
            <w:tcW w:w="795" w:type="pct"/>
            <w:tcBorders>
              <w:top w:val="nil"/>
              <w:left w:val="nil"/>
              <w:bottom w:val="nil"/>
              <w:right w:val="nil"/>
            </w:tcBorders>
            <w:shd w:val="clear" w:color="000000" w:fill="F2F2F2"/>
            <w:noWrap/>
            <w:vAlign w:val="bottom"/>
            <w:hideMark/>
          </w:tcPr>
          <w:p w14:paraId="21EC669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0527826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2184EE86" w14:textId="77777777" w:rsidTr="00923319">
        <w:trPr>
          <w:trHeight w:val="285"/>
        </w:trPr>
        <w:tc>
          <w:tcPr>
            <w:tcW w:w="275" w:type="pct"/>
            <w:tcBorders>
              <w:top w:val="nil"/>
              <w:left w:val="nil"/>
              <w:bottom w:val="nil"/>
              <w:right w:val="nil"/>
            </w:tcBorders>
            <w:shd w:val="clear" w:color="auto" w:fill="auto"/>
            <w:noWrap/>
            <w:vAlign w:val="bottom"/>
            <w:hideMark/>
          </w:tcPr>
          <w:p w14:paraId="2D6B276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c>
          <w:tcPr>
            <w:tcW w:w="2700" w:type="pct"/>
            <w:tcBorders>
              <w:top w:val="nil"/>
              <w:left w:val="nil"/>
              <w:bottom w:val="nil"/>
              <w:right w:val="nil"/>
            </w:tcBorders>
            <w:shd w:val="clear" w:color="auto" w:fill="auto"/>
            <w:noWrap/>
            <w:vAlign w:val="bottom"/>
            <w:hideMark/>
          </w:tcPr>
          <w:p w14:paraId="02D42132"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Pondok Aren - Bintaro Viaduct - Ulujami</w:t>
            </w:r>
          </w:p>
        </w:tc>
        <w:tc>
          <w:tcPr>
            <w:tcW w:w="552" w:type="pct"/>
            <w:tcBorders>
              <w:top w:val="nil"/>
              <w:left w:val="nil"/>
              <w:bottom w:val="nil"/>
              <w:right w:val="nil"/>
            </w:tcBorders>
            <w:shd w:val="clear" w:color="auto" w:fill="auto"/>
            <w:noWrap/>
            <w:vAlign w:val="bottom"/>
            <w:hideMark/>
          </w:tcPr>
          <w:p w14:paraId="1F0A2F2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5,55</w:t>
            </w:r>
          </w:p>
        </w:tc>
        <w:tc>
          <w:tcPr>
            <w:tcW w:w="795" w:type="pct"/>
            <w:tcBorders>
              <w:top w:val="nil"/>
              <w:left w:val="nil"/>
              <w:bottom w:val="nil"/>
              <w:right w:val="nil"/>
            </w:tcBorders>
            <w:shd w:val="clear" w:color="auto" w:fill="auto"/>
            <w:noWrap/>
            <w:vAlign w:val="bottom"/>
            <w:hideMark/>
          </w:tcPr>
          <w:p w14:paraId="64C03A5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w:t>
            </w:r>
          </w:p>
        </w:tc>
        <w:tc>
          <w:tcPr>
            <w:tcW w:w="678" w:type="pct"/>
            <w:tcBorders>
              <w:top w:val="nil"/>
              <w:left w:val="nil"/>
              <w:bottom w:val="nil"/>
              <w:right w:val="nil"/>
            </w:tcBorders>
            <w:shd w:val="clear" w:color="auto" w:fill="auto"/>
            <w:noWrap/>
            <w:vAlign w:val="bottom"/>
            <w:hideMark/>
          </w:tcPr>
          <w:p w14:paraId="3D8B3BE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60A37179" w14:textId="77777777" w:rsidTr="00923319">
        <w:trPr>
          <w:trHeight w:val="285"/>
        </w:trPr>
        <w:tc>
          <w:tcPr>
            <w:tcW w:w="275" w:type="pct"/>
            <w:tcBorders>
              <w:top w:val="nil"/>
              <w:left w:val="nil"/>
              <w:bottom w:val="nil"/>
              <w:right w:val="nil"/>
            </w:tcBorders>
            <w:shd w:val="clear" w:color="000000" w:fill="F2F2F2"/>
            <w:noWrap/>
            <w:vAlign w:val="bottom"/>
            <w:hideMark/>
          </w:tcPr>
          <w:p w14:paraId="03BF3E9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w:t>
            </w:r>
          </w:p>
        </w:tc>
        <w:tc>
          <w:tcPr>
            <w:tcW w:w="2700" w:type="pct"/>
            <w:tcBorders>
              <w:top w:val="nil"/>
              <w:left w:val="nil"/>
              <w:bottom w:val="nil"/>
              <w:right w:val="nil"/>
            </w:tcBorders>
            <w:shd w:val="clear" w:color="000000" w:fill="F2F2F2"/>
            <w:noWrap/>
            <w:vAlign w:val="bottom"/>
            <w:hideMark/>
          </w:tcPr>
          <w:p w14:paraId="5AD1956D"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Pondok Aren - Serpong</w:t>
            </w:r>
          </w:p>
        </w:tc>
        <w:tc>
          <w:tcPr>
            <w:tcW w:w="552" w:type="pct"/>
            <w:tcBorders>
              <w:top w:val="nil"/>
              <w:left w:val="nil"/>
              <w:bottom w:val="nil"/>
              <w:right w:val="nil"/>
            </w:tcBorders>
            <w:shd w:val="clear" w:color="000000" w:fill="F2F2F2"/>
            <w:noWrap/>
            <w:vAlign w:val="bottom"/>
            <w:hideMark/>
          </w:tcPr>
          <w:p w14:paraId="355E5DA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7,24</w:t>
            </w:r>
          </w:p>
        </w:tc>
        <w:tc>
          <w:tcPr>
            <w:tcW w:w="795" w:type="pct"/>
            <w:tcBorders>
              <w:top w:val="nil"/>
              <w:left w:val="nil"/>
              <w:bottom w:val="nil"/>
              <w:right w:val="nil"/>
            </w:tcBorders>
            <w:shd w:val="clear" w:color="000000" w:fill="F2F2F2"/>
            <w:noWrap/>
            <w:vAlign w:val="bottom"/>
            <w:hideMark/>
          </w:tcPr>
          <w:p w14:paraId="003A939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000000" w:fill="F2F2F2"/>
            <w:noWrap/>
            <w:vAlign w:val="bottom"/>
            <w:hideMark/>
          </w:tcPr>
          <w:p w14:paraId="623D319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5E6BE75E" w14:textId="77777777" w:rsidTr="00923319">
        <w:trPr>
          <w:trHeight w:val="285"/>
        </w:trPr>
        <w:tc>
          <w:tcPr>
            <w:tcW w:w="275" w:type="pct"/>
            <w:tcBorders>
              <w:top w:val="nil"/>
              <w:left w:val="nil"/>
              <w:bottom w:val="nil"/>
              <w:right w:val="nil"/>
            </w:tcBorders>
            <w:shd w:val="clear" w:color="auto" w:fill="auto"/>
            <w:noWrap/>
            <w:vAlign w:val="bottom"/>
            <w:hideMark/>
          </w:tcPr>
          <w:p w14:paraId="7945297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w:t>
            </w:r>
          </w:p>
        </w:tc>
        <w:tc>
          <w:tcPr>
            <w:tcW w:w="2700" w:type="pct"/>
            <w:tcBorders>
              <w:top w:val="nil"/>
              <w:left w:val="nil"/>
              <w:bottom w:val="nil"/>
              <w:right w:val="nil"/>
            </w:tcBorders>
            <w:shd w:val="clear" w:color="auto" w:fill="auto"/>
            <w:noWrap/>
            <w:vAlign w:val="bottom"/>
            <w:hideMark/>
          </w:tcPr>
          <w:p w14:paraId="6D549365"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JORR Non S (W2S-E1-E2-E3)</w:t>
            </w:r>
          </w:p>
        </w:tc>
        <w:tc>
          <w:tcPr>
            <w:tcW w:w="552" w:type="pct"/>
            <w:tcBorders>
              <w:top w:val="nil"/>
              <w:left w:val="nil"/>
              <w:bottom w:val="nil"/>
              <w:right w:val="nil"/>
            </w:tcBorders>
            <w:shd w:val="clear" w:color="auto" w:fill="auto"/>
            <w:noWrap/>
            <w:vAlign w:val="bottom"/>
            <w:hideMark/>
          </w:tcPr>
          <w:p w14:paraId="60A7698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31,18</w:t>
            </w:r>
          </w:p>
        </w:tc>
        <w:tc>
          <w:tcPr>
            <w:tcW w:w="795" w:type="pct"/>
            <w:tcBorders>
              <w:top w:val="nil"/>
              <w:left w:val="nil"/>
              <w:bottom w:val="nil"/>
              <w:right w:val="nil"/>
            </w:tcBorders>
            <w:shd w:val="clear" w:color="auto" w:fill="auto"/>
            <w:noWrap/>
            <w:vAlign w:val="bottom"/>
            <w:hideMark/>
          </w:tcPr>
          <w:p w14:paraId="11881FC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w:t>
            </w:r>
          </w:p>
        </w:tc>
        <w:tc>
          <w:tcPr>
            <w:tcW w:w="678" w:type="pct"/>
            <w:tcBorders>
              <w:top w:val="nil"/>
              <w:left w:val="nil"/>
              <w:bottom w:val="nil"/>
              <w:right w:val="nil"/>
            </w:tcBorders>
            <w:shd w:val="clear" w:color="auto" w:fill="auto"/>
            <w:noWrap/>
            <w:vAlign w:val="bottom"/>
            <w:hideMark/>
          </w:tcPr>
          <w:p w14:paraId="2E3911C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482989EE" w14:textId="77777777" w:rsidTr="00923319">
        <w:trPr>
          <w:trHeight w:val="285"/>
        </w:trPr>
        <w:tc>
          <w:tcPr>
            <w:tcW w:w="275" w:type="pct"/>
            <w:tcBorders>
              <w:top w:val="nil"/>
              <w:left w:val="nil"/>
              <w:bottom w:val="nil"/>
              <w:right w:val="nil"/>
            </w:tcBorders>
            <w:shd w:val="clear" w:color="000000" w:fill="F2F2F2"/>
            <w:noWrap/>
            <w:vAlign w:val="bottom"/>
            <w:hideMark/>
          </w:tcPr>
          <w:p w14:paraId="6C97E67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w:t>
            </w:r>
          </w:p>
        </w:tc>
        <w:tc>
          <w:tcPr>
            <w:tcW w:w="2700" w:type="pct"/>
            <w:tcBorders>
              <w:top w:val="nil"/>
              <w:left w:val="nil"/>
              <w:bottom w:val="nil"/>
              <w:right w:val="nil"/>
            </w:tcBorders>
            <w:shd w:val="clear" w:color="000000" w:fill="F2F2F2"/>
            <w:noWrap/>
            <w:vAlign w:val="bottom"/>
            <w:hideMark/>
          </w:tcPr>
          <w:p w14:paraId="1A70B9CC"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JORR S (Pd. Pinang-Ulujami)</w:t>
            </w:r>
          </w:p>
        </w:tc>
        <w:tc>
          <w:tcPr>
            <w:tcW w:w="552" w:type="pct"/>
            <w:tcBorders>
              <w:top w:val="nil"/>
              <w:left w:val="nil"/>
              <w:bottom w:val="nil"/>
              <w:right w:val="nil"/>
            </w:tcBorders>
            <w:shd w:val="clear" w:color="000000" w:fill="F2F2F2"/>
            <w:noWrap/>
            <w:vAlign w:val="bottom"/>
            <w:hideMark/>
          </w:tcPr>
          <w:p w14:paraId="71948FD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14,25</w:t>
            </w:r>
          </w:p>
        </w:tc>
        <w:tc>
          <w:tcPr>
            <w:tcW w:w="795" w:type="pct"/>
            <w:tcBorders>
              <w:top w:val="nil"/>
              <w:left w:val="nil"/>
              <w:bottom w:val="nil"/>
              <w:right w:val="nil"/>
            </w:tcBorders>
            <w:shd w:val="clear" w:color="000000" w:fill="F2F2F2"/>
            <w:noWrap/>
            <w:vAlign w:val="bottom"/>
            <w:hideMark/>
          </w:tcPr>
          <w:p w14:paraId="6B5FF96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11</w:t>
            </w:r>
          </w:p>
        </w:tc>
        <w:tc>
          <w:tcPr>
            <w:tcW w:w="678" w:type="pct"/>
            <w:tcBorders>
              <w:top w:val="nil"/>
              <w:left w:val="nil"/>
              <w:bottom w:val="nil"/>
              <w:right w:val="nil"/>
            </w:tcBorders>
            <w:shd w:val="clear" w:color="000000" w:fill="F2F2F2"/>
            <w:noWrap/>
            <w:vAlign w:val="bottom"/>
            <w:hideMark/>
          </w:tcPr>
          <w:p w14:paraId="5BF103B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43B08123" w14:textId="77777777" w:rsidTr="00923319">
        <w:trPr>
          <w:trHeight w:val="285"/>
        </w:trPr>
        <w:tc>
          <w:tcPr>
            <w:tcW w:w="275" w:type="pct"/>
            <w:tcBorders>
              <w:top w:val="nil"/>
              <w:left w:val="nil"/>
              <w:bottom w:val="nil"/>
              <w:right w:val="nil"/>
            </w:tcBorders>
            <w:shd w:val="clear" w:color="auto" w:fill="auto"/>
            <w:noWrap/>
            <w:vAlign w:val="bottom"/>
            <w:hideMark/>
          </w:tcPr>
          <w:p w14:paraId="7C9D5D9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10</w:t>
            </w:r>
          </w:p>
        </w:tc>
        <w:tc>
          <w:tcPr>
            <w:tcW w:w="2700" w:type="pct"/>
            <w:tcBorders>
              <w:top w:val="nil"/>
              <w:left w:val="nil"/>
              <w:bottom w:val="nil"/>
              <w:right w:val="nil"/>
            </w:tcBorders>
            <w:shd w:val="clear" w:color="auto" w:fill="auto"/>
            <w:noWrap/>
            <w:vAlign w:val="bottom"/>
            <w:hideMark/>
          </w:tcPr>
          <w:p w14:paraId="3C1CDD99"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Akses (Access to) Tanjung Priok</w:t>
            </w:r>
          </w:p>
        </w:tc>
        <w:tc>
          <w:tcPr>
            <w:tcW w:w="552" w:type="pct"/>
            <w:tcBorders>
              <w:top w:val="nil"/>
              <w:left w:val="nil"/>
              <w:bottom w:val="nil"/>
              <w:right w:val="nil"/>
            </w:tcBorders>
            <w:shd w:val="clear" w:color="auto" w:fill="auto"/>
            <w:noWrap/>
            <w:vAlign w:val="bottom"/>
            <w:hideMark/>
          </w:tcPr>
          <w:p w14:paraId="3A6E0BC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11,4</w:t>
            </w:r>
          </w:p>
        </w:tc>
        <w:tc>
          <w:tcPr>
            <w:tcW w:w="795" w:type="pct"/>
            <w:tcBorders>
              <w:top w:val="nil"/>
              <w:left w:val="nil"/>
              <w:bottom w:val="nil"/>
              <w:right w:val="nil"/>
            </w:tcBorders>
            <w:shd w:val="clear" w:color="auto" w:fill="auto"/>
            <w:noWrap/>
            <w:vAlign w:val="bottom"/>
            <w:hideMark/>
          </w:tcPr>
          <w:p w14:paraId="2AC698E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auto" w:fill="auto"/>
            <w:noWrap/>
            <w:vAlign w:val="bottom"/>
            <w:hideMark/>
          </w:tcPr>
          <w:p w14:paraId="1FE5887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204F402" w14:textId="77777777" w:rsidTr="00923319">
        <w:trPr>
          <w:trHeight w:val="285"/>
        </w:trPr>
        <w:tc>
          <w:tcPr>
            <w:tcW w:w="275" w:type="pct"/>
            <w:tcBorders>
              <w:top w:val="nil"/>
              <w:left w:val="nil"/>
              <w:bottom w:val="nil"/>
              <w:right w:val="nil"/>
            </w:tcBorders>
            <w:shd w:val="clear" w:color="000000" w:fill="F2F2F2"/>
            <w:noWrap/>
            <w:vAlign w:val="bottom"/>
            <w:hideMark/>
          </w:tcPr>
          <w:p w14:paraId="655701F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11</w:t>
            </w:r>
          </w:p>
        </w:tc>
        <w:tc>
          <w:tcPr>
            <w:tcW w:w="2700" w:type="pct"/>
            <w:tcBorders>
              <w:top w:val="nil"/>
              <w:left w:val="nil"/>
              <w:bottom w:val="nil"/>
              <w:right w:val="nil"/>
            </w:tcBorders>
            <w:shd w:val="clear" w:color="000000" w:fill="F2F2F2"/>
            <w:noWrap/>
            <w:vAlign w:val="bottom"/>
            <w:hideMark/>
          </w:tcPr>
          <w:p w14:paraId="55F444CA"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Cawang - Tj. Priok - Ancol Timur - Jembatan Tiga / Pluit</w:t>
            </w:r>
          </w:p>
        </w:tc>
        <w:tc>
          <w:tcPr>
            <w:tcW w:w="552" w:type="pct"/>
            <w:tcBorders>
              <w:top w:val="nil"/>
              <w:left w:val="nil"/>
              <w:bottom w:val="nil"/>
              <w:right w:val="nil"/>
            </w:tcBorders>
            <w:shd w:val="clear" w:color="000000" w:fill="F2F2F2"/>
            <w:noWrap/>
            <w:vAlign w:val="bottom"/>
            <w:hideMark/>
          </w:tcPr>
          <w:p w14:paraId="16FFD93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27,05</w:t>
            </w:r>
          </w:p>
        </w:tc>
        <w:tc>
          <w:tcPr>
            <w:tcW w:w="795" w:type="pct"/>
            <w:tcBorders>
              <w:top w:val="nil"/>
              <w:left w:val="nil"/>
              <w:bottom w:val="nil"/>
              <w:right w:val="nil"/>
            </w:tcBorders>
            <w:shd w:val="clear" w:color="000000" w:fill="F2F2F2"/>
            <w:noWrap/>
            <w:vAlign w:val="bottom"/>
            <w:hideMark/>
          </w:tcPr>
          <w:p w14:paraId="703CF90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10</w:t>
            </w:r>
          </w:p>
        </w:tc>
        <w:tc>
          <w:tcPr>
            <w:tcW w:w="678" w:type="pct"/>
            <w:tcBorders>
              <w:top w:val="nil"/>
              <w:left w:val="nil"/>
              <w:bottom w:val="nil"/>
              <w:right w:val="nil"/>
            </w:tcBorders>
            <w:shd w:val="clear" w:color="000000" w:fill="F2F2F2"/>
            <w:noWrap/>
            <w:vAlign w:val="bottom"/>
            <w:hideMark/>
          </w:tcPr>
          <w:p w14:paraId="6E2A90E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C710FF8" w14:textId="77777777" w:rsidTr="00923319">
        <w:trPr>
          <w:trHeight w:val="285"/>
        </w:trPr>
        <w:tc>
          <w:tcPr>
            <w:tcW w:w="275" w:type="pct"/>
            <w:tcBorders>
              <w:top w:val="nil"/>
              <w:left w:val="nil"/>
              <w:bottom w:val="nil"/>
              <w:right w:val="nil"/>
            </w:tcBorders>
            <w:shd w:val="clear" w:color="auto" w:fill="auto"/>
            <w:noWrap/>
            <w:vAlign w:val="bottom"/>
            <w:hideMark/>
          </w:tcPr>
          <w:p w14:paraId="4311DCB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12</w:t>
            </w:r>
          </w:p>
        </w:tc>
        <w:tc>
          <w:tcPr>
            <w:tcW w:w="2700" w:type="pct"/>
            <w:tcBorders>
              <w:top w:val="nil"/>
              <w:left w:val="nil"/>
              <w:bottom w:val="nil"/>
              <w:right w:val="nil"/>
            </w:tcBorders>
            <w:shd w:val="clear" w:color="auto" w:fill="auto"/>
            <w:noWrap/>
            <w:vAlign w:val="bottom"/>
            <w:hideMark/>
          </w:tcPr>
          <w:p w14:paraId="1F4C8F21"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Cawang - Tomang - Pluit</w:t>
            </w:r>
          </w:p>
        </w:tc>
        <w:tc>
          <w:tcPr>
            <w:tcW w:w="552" w:type="pct"/>
            <w:tcBorders>
              <w:top w:val="nil"/>
              <w:left w:val="nil"/>
              <w:bottom w:val="nil"/>
              <w:right w:val="nil"/>
            </w:tcBorders>
            <w:shd w:val="clear" w:color="auto" w:fill="auto"/>
            <w:noWrap/>
            <w:vAlign w:val="bottom"/>
            <w:hideMark/>
          </w:tcPr>
          <w:p w14:paraId="571B9F2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23,5</w:t>
            </w:r>
          </w:p>
        </w:tc>
        <w:tc>
          <w:tcPr>
            <w:tcW w:w="795" w:type="pct"/>
            <w:tcBorders>
              <w:top w:val="nil"/>
              <w:left w:val="nil"/>
              <w:bottom w:val="nil"/>
              <w:right w:val="nil"/>
            </w:tcBorders>
            <w:shd w:val="clear" w:color="auto" w:fill="auto"/>
            <w:noWrap/>
            <w:vAlign w:val="bottom"/>
            <w:hideMark/>
          </w:tcPr>
          <w:p w14:paraId="59B4B36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13</w:t>
            </w:r>
          </w:p>
        </w:tc>
        <w:tc>
          <w:tcPr>
            <w:tcW w:w="678" w:type="pct"/>
            <w:tcBorders>
              <w:top w:val="nil"/>
              <w:left w:val="nil"/>
              <w:bottom w:val="nil"/>
              <w:right w:val="nil"/>
            </w:tcBorders>
            <w:shd w:val="clear" w:color="auto" w:fill="auto"/>
            <w:noWrap/>
            <w:vAlign w:val="bottom"/>
            <w:hideMark/>
          </w:tcPr>
          <w:p w14:paraId="0452ED9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5E864F6" w14:textId="77777777" w:rsidTr="00923319">
        <w:trPr>
          <w:trHeight w:val="285"/>
        </w:trPr>
        <w:tc>
          <w:tcPr>
            <w:tcW w:w="275" w:type="pct"/>
            <w:tcBorders>
              <w:top w:val="nil"/>
              <w:left w:val="nil"/>
              <w:bottom w:val="nil"/>
              <w:right w:val="nil"/>
            </w:tcBorders>
            <w:shd w:val="clear" w:color="000000" w:fill="F2F2F2"/>
            <w:noWrap/>
            <w:vAlign w:val="bottom"/>
            <w:hideMark/>
          </w:tcPr>
          <w:p w14:paraId="187E88B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13</w:t>
            </w:r>
          </w:p>
        </w:tc>
        <w:tc>
          <w:tcPr>
            <w:tcW w:w="2700" w:type="pct"/>
            <w:tcBorders>
              <w:top w:val="nil"/>
              <w:left w:val="nil"/>
              <w:bottom w:val="nil"/>
              <w:right w:val="nil"/>
            </w:tcBorders>
            <w:shd w:val="clear" w:color="000000" w:fill="F2F2F2"/>
            <w:noWrap/>
            <w:vAlign w:val="bottom"/>
            <w:hideMark/>
          </w:tcPr>
          <w:p w14:paraId="494EC1D8"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Ciawi - Sukabumi</w:t>
            </w:r>
          </w:p>
        </w:tc>
        <w:tc>
          <w:tcPr>
            <w:tcW w:w="552" w:type="pct"/>
            <w:tcBorders>
              <w:top w:val="nil"/>
              <w:left w:val="nil"/>
              <w:bottom w:val="nil"/>
              <w:right w:val="nil"/>
            </w:tcBorders>
            <w:shd w:val="clear" w:color="000000" w:fill="F2F2F2"/>
            <w:noWrap/>
            <w:vAlign w:val="bottom"/>
            <w:hideMark/>
          </w:tcPr>
          <w:p w14:paraId="6D6F699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15,34</w:t>
            </w:r>
          </w:p>
        </w:tc>
        <w:tc>
          <w:tcPr>
            <w:tcW w:w="795" w:type="pct"/>
            <w:tcBorders>
              <w:top w:val="nil"/>
              <w:left w:val="nil"/>
              <w:bottom w:val="nil"/>
              <w:right w:val="nil"/>
            </w:tcBorders>
            <w:shd w:val="clear" w:color="000000" w:fill="F2F2F2"/>
            <w:noWrap/>
            <w:vAlign w:val="bottom"/>
            <w:hideMark/>
          </w:tcPr>
          <w:p w14:paraId="6633865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000000" w:fill="F2F2F2"/>
            <w:noWrap/>
            <w:vAlign w:val="bottom"/>
            <w:hideMark/>
          </w:tcPr>
          <w:p w14:paraId="61B4F35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3F712D95" w14:textId="77777777" w:rsidTr="00923319">
        <w:trPr>
          <w:trHeight w:val="285"/>
        </w:trPr>
        <w:tc>
          <w:tcPr>
            <w:tcW w:w="275" w:type="pct"/>
            <w:tcBorders>
              <w:top w:val="nil"/>
              <w:left w:val="nil"/>
              <w:bottom w:val="nil"/>
              <w:right w:val="nil"/>
            </w:tcBorders>
            <w:shd w:val="clear" w:color="auto" w:fill="auto"/>
            <w:noWrap/>
            <w:vAlign w:val="bottom"/>
            <w:hideMark/>
          </w:tcPr>
          <w:p w14:paraId="6F76241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14</w:t>
            </w:r>
          </w:p>
        </w:tc>
        <w:tc>
          <w:tcPr>
            <w:tcW w:w="2700" w:type="pct"/>
            <w:tcBorders>
              <w:top w:val="nil"/>
              <w:left w:val="nil"/>
              <w:bottom w:val="nil"/>
              <w:right w:val="nil"/>
            </w:tcBorders>
            <w:shd w:val="clear" w:color="auto" w:fill="auto"/>
            <w:noWrap/>
            <w:vAlign w:val="bottom"/>
            <w:hideMark/>
          </w:tcPr>
          <w:p w14:paraId="22531711"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Depok - Antasari</w:t>
            </w:r>
          </w:p>
        </w:tc>
        <w:tc>
          <w:tcPr>
            <w:tcW w:w="552" w:type="pct"/>
            <w:tcBorders>
              <w:top w:val="nil"/>
              <w:left w:val="nil"/>
              <w:bottom w:val="nil"/>
              <w:right w:val="nil"/>
            </w:tcBorders>
            <w:shd w:val="clear" w:color="auto" w:fill="auto"/>
            <w:noWrap/>
            <w:vAlign w:val="bottom"/>
            <w:hideMark/>
          </w:tcPr>
          <w:p w14:paraId="68A8AE2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5,8</w:t>
            </w:r>
          </w:p>
        </w:tc>
        <w:tc>
          <w:tcPr>
            <w:tcW w:w="795" w:type="pct"/>
            <w:tcBorders>
              <w:top w:val="nil"/>
              <w:left w:val="nil"/>
              <w:bottom w:val="nil"/>
              <w:right w:val="nil"/>
            </w:tcBorders>
            <w:shd w:val="clear" w:color="auto" w:fill="auto"/>
            <w:noWrap/>
            <w:vAlign w:val="bottom"/>
            <w:hideMark/>
          </w:tcPr>
          <w:p w14:paraId="2A2D28B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auto" w:fill="auto"/>
            <w:noWrap/>
            <w:vAlign w:val="bottom"/>
            <w:hideMark/>
          </w:tcPr>
          <w:p w14:paraId="217FD09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27864C3C" w14:textId="77777777" w:rsidTr="00923319">
        <w:trPr>
          <w:trHeight w:val="285"/>
        </w:trPr>
        <w:tc>
          <w:tcPr>
            <w:tcW w:w="275" w:type="pct"/>
            <w:tcBorders>
              <w:top w:val="nil"/>
              <w:left w:val="nil"/>
              <w:bottom w:val="nil"/>
              <w:right w:val="nil"/>
            </w:tcBorders>
            <w:shd w:val="clear" w:color="000000" w:fill="F2F2F2"/>
            <w:noWrap/>
            <w:vAlign w:val="bottom"/>
            <w:hideMark/>
          </w:tcPr>
          <w:p w14:paraId="73EE7DF9"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15</w:t>
            </w:r>
          </w:p>
        </w:tc>
        <w:tc>
          <w:tcPr>
            <w:tcW w:w="2700" w:type="pct"/>
            <w:tcBorders>
              <w:top w:val="nil"/>
              <w:left w:val="nil"/>
              <w:bottom w:val="nil"/>
              <w:right w:val="nil"/>
            </w:tcBorders>
            <w:shd w:val="clear" w:color="000000" w:fill="F2F2F2"/>
            <w:noWrap/>
            <w:vAlign w:val="bottom"/>
            <w:hideMark/>
          </w:tcPr>
          <w:p w14:paraId="1F63B949"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Bekasi - Cawang - Kampung Melayu</w:t>
            </w:r>
          </w:p>
        </w:tc>
        <w:tc>
          <w:tcPr>
            <w:tcW w:w="552" w:type="pct"/>
            <w:tcBorders>
              <w:top w:val="nil"/>
              <w:left w:val="nil"/>
              <w:bottom w:val="nil"/>
              <w:right w:val="nil"/>
            </w:tcBorders>
            <w:shd w:val="clear" w:color="000000" w:fill="F2F2F2"/>
            <w:noWrap/>
            <w:vAlign w:val="bottom"/>
            <w:hideMark/>
          </w:tcPr>
          <w:p w14:paraId="4FC7FAD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8,4</w:t>
            </w:r>
          </w:p>
        </w:tc>
        <w:tc>
          <w:tcPr>
            <w:tcW w:w="795" w:type="pct"/>
            <w:tcBorders>
              <w:top w:val="nil"/>
              <w:left w:val="nil"/>
              <w:bottom w:val="nil"/>
              <w:right w:val="nil"/>
            </w:tcBorders>
            <w:shd w:val="clear" w:color="000000" w:fill="F2F2F2"/>
            <w:noWrap/>
            <w:vAlign w:val="bottom"/>
            <w:hideMark/>
          </w:tcPr>
          <w:p w14:paraId="45EFC5D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1A8626A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4D4B825" w14:textId="77777777" w:rsidTr="00923319">
        <w:trPr>
          <w:trHeight w:val="285"/>
        </w:trPr>
        <w:tc>
          <w:tcPr>
            <w:tcW w:w="275" w:type="pct"/>
            <w:tcBorders>
              <w:top w:val="nil"/>
              <w:left w:val="nil"/>
              <w:bottom w:val="nil"/>
              <w:right w:val="nil"/>
            </w:tcBorders>
            <w:shd w:val="clear" w:color="auto" w:fill="auto"/>
            <w:noWrap/>
            <w:vAlign w:val="bottom"/>
            <w:hideMark/>
          </w:tcPr>
          <w:p w14:paraId="662752A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16</w:t>
            </w:r>
          </w:p>
        </w:tc>
        <w:tc>
          <w:tcPr>
            <w:tcW w:w="2700" w:type="pct"/>
            <w:tcBorders>
              <w:top w:val="nil"/>
              <w:left w:val="nil"/>
              <w:bottom w:val="nil"/>
              <w:right w:val="nil"/>
            </w:tcBorders>
            <w:shd w:val="clear" w:color="auto" w:fill="auto"/>
            <w:noWrap/>
            <w:vAlign w:val="bottom"/>
            <w:hideMark/>
          </w:tcPr>
          <w:p w14:paraId="0D9B3ECB"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Cinere - Jagorawi (SS Cimanggis - SS Raya Bogor)</w:t>
            </w:r>
          </w:p>
        </w:tc>
        <w:tc>
          <w:tcPr>
            <w:tcW w:w="552" w:type="pct"/>
            <w:tcBorders>
              <w:top w:val="nil"/>
              <w:left w:val="nil"/>
              <w:bottom w:val="nil"/>
              <w:right w:val="nil"/>
            </w:tcBorders>
            <w:shd w:val="clear" w:color="auto" w:fill="auto"/>
            <w:noWrap/>
            <w:vAlign w:val="bottom"/>
            <w:hideMark/>
          </w:tcPr>
          <w:p w14:paraId="17C4AEF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3,7</w:t>
            </w:r>
          </w:p>
        </w:tc>
        <w:tc>
          <w:tcPr>
            <w:tcW w:w="795" w:type="pct"/>
            <w:tcBorders>
              <w:top w:val="nil"/>
              <w:left w:val="nil"/>
              <w:bottom w:val="nil"/>
              <w:right w:val="nil"/>
            </w:tcBorders>
            <w:shd w:val="clear" w:color="auto" w:fill="auto"/>
            <w:noWrap/>
            <w:vAlign w:val="bottom"/>
            <w:hideMark/>
          </w:tcPr>
          <w:p w14:paraId="6F78FC9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auto" w:fill="auto"/>
            <w:noWrap/>
            <w:vAlign w:val="bottom"/>
            <w:hideMark/>
          </w:tcPr>
          <w:p w14:paraId="0F7E216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7E641E33" w14:textId="77777777" w:rsidTr="00923319">
        <w:trPr>
          <w:trHeight w:val="285"/>
        </w:trPr>
        <w:tc>
          <w:tcPr>
            <w:tcW w:w="275" w:type="pct"/>
            <w:tcBorders>
              <w:top w:val="nil"/>
              <w:left w:val="nil"/>
              <w:bottom w:val="nil"/>
              <w:right w:val="nil"/>
            </w:tcBorders>
            <w:shd w:val="clear" w:color="000000" w:fill="F2F2F2"/>
            <w:noWrap/>
            <w:vAlign w:val="bottom"/>
            <w:hideMark/>
          </w:tcPr>
          <w:p w14:paraId="1FA95F1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17</w:t>
            </w:r>
          </w:p>
        </w:tc>
        <w:tc>
          <w:tcPr>
            <w:tcW w:w="2700" w:type="pct"/>
            <w:tcBorders>
              <w:top w:val="nil"/>
              <w:left w:val="nil"/>
              <w:bottom w:val="nil"/>
              <w:right w:val="nil"/>
            </w:tcBorders>
            <w:shd w:val="clear" w:color="000000" w:fill="F2F2F2"/>
            <w:noWrap/>
            <w:vAlign w:val="bottom"/>
            <w:hideMark/>
          </w:tcPr>
          <w:p w14:paraId="3FB12AA7"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Bogor Ring Road</w:t>
            </w:r>
          </w:p>
        </w:tc>
        <w:tc>
          <w:tcPr>
            <w:tcW w:w="552" w:type="pct"/>
            <w:tcBorders>
              <w:top w:val="nil"/>
              <w:left w:val="nil"/>
              <w:bottom w:val="nil"/>
              <w:right w:val="nil"/>
            </w:tcBorders>
            <w:shd w:val="clear" w:color="000000" w:fill="F2F2F2"/>
            <w:noWrap/>
            <w:vAlign w:val="bottom"/>
            <w:hideMark/>
          </w:tcPr>
          <w:p w14:paraId="0ABE1ED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8,45</w:t>
            </w:r>
          </w:p>
        </w:tc>
        <w:tc>
          <w:tcPr>
            <w:tcW w:w="795" w:type="pct"/>
            <w:tcBorders>
              <w:top w:val="nil"/>
              <w:left w:val="nil"/>
              <w:bottom w:val="nil"/>
              <w:right w:val="nil"/>
            </w:tcBorders>
            <w:shd w:val="clear" w:color="000000" w:fill="F2F2F2"/>
            <w:noWrap/>
            <w:vAlign w:val="bottom"/>
            <w:hideMark/>
          </w:tcPr>
          <w:p w14:paraId="3AB1CD3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000000" w:fill="F2F2F2"/>
            <w:noWrap/>
            <w:vAlign w:val="bottom"/>
            <w:hideMark/>
          </w:tcPr>
          <w:p w14:paraId="521B5A4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50B7E998" w14:textId="77777777" w:rsidTr="00923319">
        <w:trPr>
          <w:trHeight w:val="285"/>
        </w:trPr>
        <w:tc>
          <w:tcPr>
            <w:tcW w:w="275" w:type="pct"/>
            <w:tcBorders>
              <w:top w:val="nil"/>
              <w:left w:val="nil"/>
              <w:bottom w:val="nil"/>
              <w:right w:val="nil"/>
            </w:tcBorders>
            <w:shd w:val="clear" w:color="auto" w:fill="auto"/>
            <w:noWrap/>
            <w:vAlign w:val="bottom"/>
            <w:hideMark/>
          </w:tcPr>
          <w:p w14:paraId="61E78FC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18</w:t>
            </w:r>
          </w:p>
        </w:tc>
        <w:tc>
          <w:tcPr>
            <w:tcW w:w="2700" w:type="pct"/>
            <w:tcBorders>
              <w:top w:val="nil"/>
              <w:left w:val="nil"/>
              <w:bottom w:val="nil"/>
              <w:right w:val="nil"/>
            </w:tcBorders>
            <w:shd w:val="clear" w:color="auto" w:fill="auto"/>
            <w:noWrap/>
            <w:vAlign w:val="bottom"/>
            <w:hideMark/>
          </w:tcPr>
          <w:p w14:paraId="0B829118"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Jakarta - Bogor - Ciawi</w:t>
            </w:r>
          </w:p>
        </w:tc>
        <w:tc>
          <w:tcPr>
            <w:tcW w:w="552" w:type="pct"/>
            <w:tcBorders>
              <w:top w:val="nil"/>
              <w:left w:val="nil"/>
              <w:bottom w:val="nil"/>
              <w:right w:val="nil"/>
            </w:tcBorders>
            <w:shd w:val="clear" w:color="auto" w:fill="auto"/>
            <w:noWrap/>
            <w:vAlign w:val="bottom"/>
            <w:hideMark/>
          </w:tcPr>
          <w:p w14:paraId="2B04FF1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59</w:t>
            </w:r>
          </w:p>
        </w:tc>
        <w:tc>
          <w:tcPr>
            <w:tcW w:w="795" w:type="pct"/>
            <w:tcBorders>
              <w:top w:val="nil"/>
              <w:left w:val="nil"/>
              <w:bottom w:val="nil"/>
              <w:right w:val="nil"/>
            </w:tcBorders>
            <w:shd w:val="clear" w:color="auto" w:fill="auto"/>
            <w:noWrap/>
            <w:vAlign w:val="bottom"/>
            <w:hideMark/>
          </w:tcPr>
          <w:p w14:paraId="79BBDA9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11</w:t>
            </w:r>
          </w:p>
        </w:tc>
        <w:tc>
          <w:tcPr>
            <w:tcW w:w="678" w:type="pct"/>
            <w:tcBorders>
              <w:top w:val="nil"/>
              <w:left w:val="nil"/>
              <w:bottom w:val="nil"/>
              <w:right w:val="nil"/>
            </w:tcBorders>
            <w:shd w:val="clear" w:color="auto" w:fill="auto"/>
            <w:noWrap/>
            <w:vAlign w:val="bottom"/>
            <w:hideMark/>
          </w:tcPr>
          <w:p w14:paraId="36BECC7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w:t>
            </w:r>
          </w:p>
        </w:tc>
      </w:tr>
      <w:tr w:rsidR="00923319" w:rsidRPr="00A67277" w14:paraId="70FBCBA5" w14:textId="77777777" w:rsidTr="00923319">
        <w:trPr>
          <w:trHeight w:val="285"/>
        </w:trPr>
        <w:tc>
          <w:tcPr>
            <w:tcW w:w="275" w:type="pct"/>
            <w:tcBorders>
              <w:top w:val="nil"/>
              <w:left w:val="nil"/>
              <w:bottom w:val="nil"/>
              <w:right w:val="nil"/>
            </w:tcBorders>
            <w:shd w:val="clear" w:color="000000" w:fill="F2F2F2"/>
            <w:noWrap/>
            <w:vAlign w:val="bottom"/>
            <w:hideMark/>
          </w:tcPr>
          <w:p w14:paraId="3A8954A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19</w:t>
            </w:r>
          </w:p>
        </w:tc>
        <w:tc>
          <w:tcPr>
            <w:tcW w:w="2700" w:type="pct"/>
            <w:tcBorders>
              <w:top w:val="nil"/>
              <w:left w:val="nil"/>
              <w:bottom w:val="nil"/>
              <w:right w:val="nil"/>
            </w:tcBorders>
            <w:shd w:val="clear" w:color="000000" w:fill="F2F2F2"/>
            <w:noWrap/>
            <w:vAlign w:val="bottom"/>
            <w:hideMark/>
          </w:tcPr>
          <w:p w14:paraId="418205E7"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Jakarta - Cikampek</w:t>
            </w:r>
          </w:p>
        </w:tc>
        <w:tc>
          <w:tcPr>
            <w:tcW w:w="552" w:type="pct"/>
            <w:tcBorders>
              <w:top w:val="nil"/>
              <w:left w:val="nil"/>
              <w:bottom w:val="nil"/>
              <w:right w:val="nil"/>
            </w:tcBorders>
            <w:shd w:val="clear" w:color="000000" w:fill="F2F2F2"/>
            <w:noWrap/>
            <w:vAlign w:val="bottom"/>
            <w:hideMark/>
          </w:tcPr>
          <w:p w14:paraId="34294A5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83</w:t>
            </w:r>
          </w:p>
        </w:tc>
        <w:tc>
          <w:tcPr>
            <w:tcW w:w="795" w:type="pct"/>
            <w:tcBorders>
              <w:top w:val="nil"/>
              <w:left w:val="nil"/>
              <w:bottom w:val="nil"/>
              <w:right w:val="nil"/>
            </w:tcBorders>
            <w:shd w:val="clear" w:color="000000" w:fill="F2F2F2"/>
            <w:noWrap/>
            <w:vAlign w:val="bottom"/>
            <w:hideMark/>
          </w:tcPr>
          <w:p w14:paraId="2F15696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15</w:t>
            </w:r>
          </w:p>
        </w:tc>
        <w:tc>
          <w:tcPr>
            <w:tcW w:w="678" w:type="pct"/>
            <w:tcBorders>
              <w:top w:val="nil"/>
              <w:left w:val="nil"/>
              <w:bottom w:val="nil"/>
              <w:right w:val="nil"/>
            </w:tcBorders>
            <w:shd w:val="clear" w:color="000000" w:fill="F2F2F2"/>
            <w:noWrap/>
            <w:vAlign w:val="bottom"/>
            <w:hideMark/>
          </w:tcPr>
          <w:p w14:paraId="637A96E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w:t>
            </w:r>
          </w:p>
        </w:tc>
      </w:tr>
      <w:tr w:rsidR="00923319" w:rsidRPr="00A67277" w14:paraId="7E57D162" w14:textId="77777777" w:rsidTr="00923319">
        <w:trPr>
          <w:trHeight w:val="285"/>
        </w:trPr>
        <w:tc>
          <w:tcPr>
            <w:tcW w:w="275" w:type="pct"/>
            <w:tcBorders>
              <w:top w:val="nil"/>
              <w:left w:val="nil"/>
              <w:bottom w:val="nil"/>
              <w:right w:val="nil"/>
            </w:tcBorders>
            <w:shd w:val="clear" w:color="auto" w:fill="auto"/>
            <w:noWrap/>
            <w:vAlign w:val="bottom"/>
            <w:hideMark/>
          </w:tcPr>
          <w:p w14:paraId="06C06DD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20</w:t>
            </w:r>
          </w:p>
        </w:tc>
        <w:tc>
          <w:tcPr>
            <w:tcW w:w="2700" w:type="pct"/>
            <w:tcBorders>
              <w:top w:val="nil"/>
              <w:left w:val="nil"/>
              <w:bottom w:val="nil"/>
              <w:right w:val="nil"/>
            </w:tcBorders>
            <w:shd w:val="clear" w:color="auto" w:fill="auto"/>
            <w:noWrap/>
            <w:vAlign w:val="bottom"/>
            <w:hideMark/>
          </w:tcPr>
          <w:p w14:paraId="1F4245A5"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Cikampek - Purwakarta - Padalarang</w:t>
            </w:r>
          </w:p>
        </w:tc>
        <w:tc>
          <w:tcPr>
            <w:tcW w:w="552" w:type="pct"/>
            <w:tcBorders>
              <w:top w:val="nil"/>
              <w:left w:val="nil"/>
              <w:bottom w:val="nil"/>
              <w:right w:val="nil"/>
            </w:tcBorders>
            <w:shd w:val="clear" w:color="auto" w:fill="auto"/>
            <w:noWrap/>
            <w:vAlign w:val="bottom"/>
            <w:hideMark/>
          </w:tcPr>
          <w:p w14:paraId="4C76866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58,5</w:t>
            </w:r>
          </w:p>
        </w:tc>
        <w:tc>
          <w:tcPr>
            <w:tcW w:w="795" w:type="pct"/>
            <w:tcBorders>
              <w:top w:val="nil"/>
              <w:left w:val="nil"/>
              <w:bottom w:val="nil"/>
              <w:right w:val="nil"/>
            </w:tcBorders>
            <w:shd w:val="clear" w:color="auto" w:fill="auto"/>
            <w:noWrap/>
            <w:vAlign w:val="bottom"/>
            <w:hideMark/>
          </w:tcPr>
          <w:p w14:paraId="7A1032B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auto" w:fill="auto"/>
            <w:noWrap/>
            <w:vAlign w:val="bottom"/>
            <w:hideMark/>
          </w:tcPr>
          <w:p w14:paraId="5A76102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7B02BC87" w14:textId="77777777" w:rsidTr="00923319">
        <w:trPr>
          <w:trHeight w:val="285"/>
        </w:trPr>
        <w:tc>
          <w:tcPr>
            <w:tcW w:w="275" w:type="pct"/>
            <w:tcBorders>
              <w:top w:val="nil"/>
              <w:left w:val="nil"/>
              <w:bottom w:val="nil"/>
              <w:right w:val="nil"/>
            </w:tcBorders>
            <w:shd w:val="clear" w:color="000000" w:fill="F2F2F2"/>
            <w:noWrap/>
            <w:vAlign w:val="bottom"/>
            <w:hideMark/>
          </w:tcPr>
          <w:p w14:paraId="0A08958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21</w:t>
            </w:r>
          </w:p>
        </w:tc>
        <w:tc>
          <w:tcPr>
            <w:tcW w:w="2700" w:type="pct"/>
            <w:tcBorders>
              <w:top w:val="nil"/>
              <w:left w:val="nil"/>
              <w:bottom w:val="nil"/>
              <w:right w:val="nil"/>
            </w:tcBorders>
            <w:shd w:val="clear" w:color="000000" w:fill="F2F2F2"/>
            <w:noWrap/>
            <w:vAlign w:val="bottom"/>
            <w:hideMark/>
          </w:tcPr>
          <w:p w14:paraId="065D8935"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Padalarang - Cileunyi</w:t>
            </w:r>
          </w:p>
        </w:tc>
        <w:tc>
          <w:tcPr>
            <w:tcW w:w="552" w:type="pct"/>
            <w:tcBorders>
              <w:top w:val="nil"/>
              <w:left w:val="nil"/>
              <w:bottom w:val="nil"/>
              <w:right w:val="nil"/>
            </w:tcBorders>
            <w:shd w:val="clear" w:color="000000" w:fill="F2F2F2"/>
            <w:noWrap/>
            <w:vAlign w:val="bottom"/>
            <w:hideMark/>
          </w:tcPr>
          <w:p w14:paraId="4D6560F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64,4</w:t>
            </w:r>
          </w:p>
        </w:tc>
        <w:tc>
          <w:tcPr>
            <w:tcW w:w="795" w:type="pct"/>
            <w:tcBorders>
              <w:top w:val="nil"/>
              <w:left w:val="nil"/>
              <w:bottom w:val="nil"/>
              <w:right w:val="nil"/>
            </w:tcBorders>
            <w:shd w:val="clear" w:color="000000" w:fill="F2F2F2"/>
            <w:noWrap/>
            <w:vAlign w:val="bottom"/>
            <w:hideMark/>
          </w:tcPr>
          <w:p w14:paraId="4545ABB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w:t>
            </w:r>
          </w:p>
        </w:tc>
        <w:tc>
          <w:tcPr>
            <w:tcW w:w="678" w:type="pct"/>
            <w:tcBorders>
              <w:top w:val="nil"/>
              <w:left w:val="nil"/>
              <w:bottom w:val="nil"/>
              <w:right w:val="nil"/>
            </w:tcBorders>
            <w:shd w:val="clear" w:color="000000" w:fill="F2F2F2"/>
            <w:noWrap/>
            <w:vAlign w:val="bottom"/>
            <w:hideMark/>
          </w:tcPr>
          <w:p w14:paraId="1CDA3A7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53803819" w14:textId="77777777" w:rsidTr="00923319">
        <w:trPr>
          <w:trHeight w:val="285"/>
        </w:trPr>
        <w:tc>
          <w:tcPr>
            <w:tcW w:w="275" w:type="pct"/>
            <w:tcBorders>
              <w:top w:val="nil"/>
              <w:left w:val="nil"/>
              <w:bottom w:val="nil"/>
              <w:right w:val="nil"/>
            </w:tcBorders>
            <w:shd w:val="clear" w:color="auto" w:fill="auto"/>
            <w:noWrap/>
            <w:vAlign w:val="bottom"/>
            <w:hideMark/>
          </w:tcPr>
          <w:p w14:paraId="33076F3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22</w:t>
            </w:r>
          </w:p>
        </w:tc>
        <w:tc>
          <w:tcPr>
            <w:tcW w:w="2700" w:type="pct"/>
            <w:tcBorders>
              <w:top w:val="nil"/>
              <w:left w:val="nil"/>
              <w:bottom w:val="nil"/>
              <w:right w:val="nil"/>
            </w:tcBorders>
            <w:shd w:val="clear" w:color="auto" w:fill="auto"/>
            <w:noWrap/>
            <w:vAlign w:val="bottom"/>
            <w:hideMark/>
          </w:tcPr>
          <w:p w14:paraId="3F419739"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Soreang - Pasir Koja</w:t>
            </w:r>
          </w:p>
        </w:tc>
        <w:tc>
          <w:tcPr>
            <w:tcW w:w="552" w:type="pct"/>
            <w:tcBorders>
              <w:top w:val="nil"/>
              <w:left w:val="nil"/>
              <w:bottom w:val="nil"/>
              <w:right w:val="nil"/>
            </w:tcBorders>
            <w:shd w:val="clear" w:color="auto" w:fill="auto"/>
            <w:noWrap/>
            <w:vAlign w:val="bottom"/>
            <w:hideMark/>
          </w:tcPr>
          <w:p w14:paraId="5253392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8,15</w:t>
            </w:r>
          </w:p>
        </w:tc>
        <w:tc>
          <w:tcPr>
            <w:tcW w:w="795" w:type="pct"/>
            <w:tcBorders>
              <w:top w:val="nil"/>
              <w:left w:val="nil"/>
              <w:bottom w:val="nil"/>
              <w:right w:val="nil"/>
            </w:tcBorders>
            <w:shd w:val="clear" w:color="auto" w:fill="auto"/>
            <w:noWrap/>
            <w:vAlign w:val="bottom"/>
            <w:hideMark/>
          </w:tcPr>
          <w:p w14:paraId="5DC55A8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auto" w:fill="auto"/>
            <w:noWrap/>
            <w:vAlign w:val="bottom"/>
            <w:hideMark/>
          </w:tcPr>
          <w:p w14:paraId="772EA51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458D3AAE" w14:textId="77777777" w:rsidTr="00923319">
        <w:trPr>
          <w:trHeight w:val="285"/>
        </w:trPr>
        <w:tc>
          <w:tcPr>
            <w:tcW w:w="275" w:type="pct"/>
            <w:tcBorders>
              <w:top w:val="nil"/>
              <w:left w:val="nil"/>
              <w:bottom w:val="nil"/>
              <w:right w:val="nil"/>
            </w:tcBorders>
            <w:shd w:val="clear" w:color="000000" w:fill="F2F2F2"/>
            <w:noWrap/>
            <w:vAlign w:val="bottom"/>
            <w:hideMark/>
          </w:tcPr>
          <w:p w14:paraId="78F501B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23</w:t>
            </w:r>
          </w:p>
        </w:tc>
        <w:tc>
          <w:tcPr>
            <w:tcW w:w="2700" w:type="pct"/>
            <w:tcBorders>
              <w:top w:val="nil"/>
              <w:left w:val="nil"/>
              <w:bottom w:val="nil"/>
              <w:right w:val="nil"/>
            </w:tcBorders>
            <w:shd w:val="clear" w:color="000000" w:fill="F2F2F2"/>
            <w:noWrap/>
            <w:vAlign w:val="bottom"/>
            <w:hideMark/>
          </w:tcPr>
          <w:p w14:paraId="6A4F426F"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Cikampek - Palimanan</w:t>
            </w:r>
          </w:p>
        </w:tc>
        <w:tc>
          <w:tcPr>
            <w:tcW w:w="552" w:type="pct"/>
            <w:tcBorders>
              <w:top w:val="nil"/>
              <w:left w:val="nil"/>
              <w:bottom w:val="nil"/>
              <w:right w:val="nil"/>
            </w:tcBorders>
            <w:shd w:val="clear" w:color="000000" w:fill="F2F2F2"/>
            <w:noWrap/>
            <w:vAlign w:val="bottom"/>
            <w:hideMark/>
          </w:tcPr>
          <w:p w14:paraId="7DB499D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116,75</w:t>
            </w:r>
          </w:p>
        </w:tc>
        <w:tc>
          <w:tcPr>
            <w:tcW w:w="795" w:type="pct"/>
            <w:tcBorders>
              <w:top w:val="nil"/>
              <w:left w:val="nil"/>
              <w:bottom w:val="nil"/>
              <w:right w:val="nil"/>
            </w:tcBorders>
            <w:shd w:val="clear" w:color="000000" w:fill="F2F2F2"/>
            <w:noWrap/>
            <w:vAlign w:val="bottom"/>
            <w:hideMark/>
          </w:tcPr>
          <w:p w14:paraId="147E3D6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c>
          <w:tcPr>
            <w:tcW w:w="678" w:type="pct"/>
            <w:tcBorders>
              <w:top w:val="nil"/>
              <w:left w:val="nil"/>
              <w:bottom w:val="nil"/>
              <w:right w:val="nil"/>
            </w:tcBorders>
            <w:shd w:val="clear" w:color="000000" w:fill="F2F2F2"/>
            <w:noWrap/>
            <w:vAlign w:val="bottom"/>
            <w:hideMark/>
          </w:tcPr>
          <w:p w14:paraId="4A0539F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05828354" w14:textId="77777777" w:rsidTr="00923319">
        <w:trPr>
          <w:trHeight w:val="285"/>
        </w:trPr>
        <w:tc>
          <w:tcPr>
            <w:tcW w:w="275" w:type="pct"/>
            <w:tcBorders>
              <w:top w:val="nil"/>
              <w:left w:val="nil"/>
              <w:bottom w:val="nil"/>
              <w:right w:val="nil"/>
            </w:tcBorders>
            <w:shd w:val="clear" w:color="auto" w:fill="auto"/>
            <w:noWrap/>
            <w:vAlign w:val="bottom"/>
            <w:hideMark/>
          </w:tcPr>
          <w:p w14:paraId="5610F469"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24</w:t>
            </w:r>
          </w:p>
        </w:tc>
        <w:tc>
          <w:tcPr>
            <w:tcW w:w="2700" w:type="pct"/>
            <w:tcBorders>
              <w:top w:val="nil"/>
              <w:left w:val="nil"/>
              <w:bottom w:val="nil"/>
              <w:right w:val="nil"/>
            </w:tcBorders>
            <w:shd w:val="clear" w:color="auto" w:fill="auto"/>
            <w:noWrap/>
            <w:vAlign w:val="bottom"/>
            <w:hideMark/>
          </w:tcPr>
          <w:p w14:paraId="637D39C2"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Palimanan - Plumbon - Kanci</w:t>
            </w:r>
          </w:p>
        </w:tc>
        <w:tc>
          <w:tcPr>
            <w:tcW w:w="552" w:type="pct"/>
            <w:tcBorders>
              <w:top w:val="nil"/>
              <w:left w:val="nil"/>
              <w:bottom w:val="nil"/>
              <w:right w:val="nil"/>
            </w:tcBorders>
            <w:shd w:val="clear" w:color="auto" w:fill="auto"/>
            <w:noWrap/>
            <w:vAlign w:val="bottom"/>
            <w:hideMark/>
          </w:tcPr>
          <w:p w14:paraId="561DAA9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26,3</w:t>
            </w:r>
          </w:p>
        </w:tc>
        <w:tc>
          <w:tcPr>
            <w:tcW w:w="795" w:type="pct"/>
            <w:tcBorders>
              <w:top w:val="nil"/>
              <w:left w:val="nil"/>
              <w:bottom w:val="nil"/>
              <w:right w:val="nil"/>
            </w:tcBorders>
            <w:shd w:val="clear" w:color="auto" w:fill="auto"/>
            <w:noWrap/>
            <w:vAlign w:val="bottom"/>
            <w:hideMark/>
          </w:tcPr>
          <w:p w14:paraId="4B26E21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auto" w:fill="auto"/>
            <w:noWrap/>
            <w:vAlign w:val="bottom"/>
            <w:hideMark/>
          </w:tcPr>
          <w:p w14:paraId="2DBB4CE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2BA8DC96" w14:textId="77777777" w:rsidTr="00923319">
        <w:trPr>
          <w:trHeight w:val="285"/>
        </w:trPr>
        <w:tc>
          <w:tcPr>
            <w:tcW w:w="275" w:type="pct"/>
            <w:tcBorders>
              <w:top w:val="nil"/>
              <w:left w:val="nil"/>
              <w:bottom w:val="nil"/>
              <w:right w:val="nil"/>
            </w:tcBorders>
            <w:shd w:val="clear" w:color="000000" w:fill="F2F2F2"/>
            <w:noWrap/>
            <w:vAlign w:val="bottom"/>
            <w:hideMark/>
          </w:tcPr>
          <w:p w14:paraId="7AF4EA9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25</w:t>
            </w:r>
          </w:p>
        </w:tc>
        <w:tc>
          <w:tcPr>
            <w:tcW w:w="2700" w:type="pct"/>
            <w:tcBorders>
              <w:top w:val="nil"/>
              <w:left w:val="nil"/>
              <w:bottom w:val="nil"/>
              <w:right w:val="nil"/>
            </w:tcBorders>
            <w:shd w:val="clear" w:color="000000" w:fill="F2F2F2"/>
            <w:noWrap/>
            <w:vAlign w:val="bottom"/>
            <w:hideMark/>
          </w:tcPr>
          <w:p w14:paraId="20D83165"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Kanci - Pejagan</w:t>
            </w:r>
          </w:p>
        </w:tc>
        <w:tc>
          <w:tcPr>
            <w:tcW w:w="552" w:type="pct"/>
            <w:tcBorders>
              <w:top w:val="nil"/>
              <w:left w:val="nil"/>
              <w:bottom w:val="nil"/>
              <w:right w:val="nil"/>
            </w:tcBorders>
            <w:shd w:val="clear" w:color="000000" w:fill="F2F2F2"/>
            <w:noWrap/>
            <w:vAlign w:val="bottom"/>
            <w:hideMark/>
          </w:tcPr>
          <w:p w14:paraId="20EBAC7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35</w:t>
            </w:r>
          </w:p>
        </w:tc>
        <w:tc>
          <w:tcPr>
            <w:tcW w:w="795" w:type="pct"/>
            <w:tcBorders>
              <w:top w:val="nil"/>
              <w:left w:val="nil"/>
              <w:bottom w:val="nil"/>
              <w:right w:val="nil"/>
            </w:tcBorders>
            <w:shd w:val="clear" w:color="000000" w:fill="F2F2F2"/>
            <w:noWrap/>
            <w:vAlign w:val="bottom"/>
            <w:hideMark/>
          </w:tcPr>
          <w:p w14:paraId="0C43EA4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247EB31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7E9E939F" w14:textId="77777777" w:rsidTr="00923319">
        <w:trPr>
          <w:trHeight w:val="285"/>
        </w:trPr>
        <w:tc>
          <w:tcPr>
            <w:tcW w:w="275" w:type="pct"/>
            <w:tcBorders>
              <w:top w:val="nil"/>
              <w:left w:val="nil"/>
              <w:bottom w:val="nil"/>
              <w:right w:val="nil"/>
            </w:tcBorders>
            <w:shd w:val="clear" w:color="auto" w:fill="auto"/>
            <w:noWrap/>
            <w:vAlign w:val="bottom"/>
            <w:hideMark/>
          </w:tcPr>
          <w:p w14:paraId="0823239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26</w:t>
            </w:r>
          </w:p>
        </w:tc>
        <w:tc>
          <w:tcPr>
            <w:tcW w:w="2700" w:type="pct"/>
            <w:tcBorders>
              <w:top w:val="nil"/>
              <w:left w:val="nil"/>
              <w:bottom w:val="nil"/>
              <w:right w:val="nil"/>
            </w:tcBorders>
            <w:shd w:val="clear" w:color="auto" w:fill="auto"/>
            <w:noWrap/>
            <w:vAlign w:val="bottom"/>
            <w:hideMark/>
          </w:tcPr>
          <w:p w14:paraId="47180036"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Pejagan - Pemalang</w:t>
            </w:r>
          </w:p>
        </w:tc>
        <w:tc>
          <w:tcPr>
            <w:tcW w:w="552" w:type="pct"/>
            <w:tcBorders>
              <w:top w:val="nil"/>
              <w:left w:val="nil"/>
              <w:bottom w:val="nil"/>
              <w:right w:val="nil"/>
            </w:tcBorders>
            <w:shd w:val="clear" w:color="auto" w:fill="auto"/>
            <w:noWrap/>
            <w:vAlign w:val="bottom"/>
            <w:hideMark/>
          </w:tcPr>
          <w:p w14:paraId="7ECCFA9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57,5</w:t>
            </w:r>
          </w:p>
        </w:tc>
        <w:tc>
          <w:tcPr>
            <w:tcW w:w="795" w:type="pct"/>
            <w:tcBorders>
              <w:top w:val="nil"/>
              <w:left w:val="nil"/>
              <w:bottom w:val="nil"/>
              <w:right w:val="nil"/>
            </w:tcBorders>
            <w:shd w:val="clear" w:color="auto" w:fill="auto"/>
            <w:noWrap/>
            <w:vAlign w:val="bottom"/>
            <w:hideMark/>
          </w:tcPr>
          <w:p w14:paraId="18B6976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auto" w:fill="auto"/>
            <w:noWrap/>
            <w:vAlign w:val="bottom"/>
            <w:hideMark/>
          </w:tcPr>
          <w:p w14:paraId="2FDAF96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69B4FC2C" w14:textId="77777777" w:rsidTr="00923319">
        <w:trPr>
          <w:trHeight w:val="285"/>
        </w:trPr>
        <w:tc>
          <w:tcPr>
            <w:tcW w:w="275" w:type="pct"/>
            <w:tcBorders>
              <w:top w:val="nil"/>
              <w:left w:val="nil"/>
              <w:bottom w:val="nil"/>
              <w:right w:val="nil"/>
            </w:tcBorders>
            <w:shd w:val="clear" w:color="000000" w:fill="F2F2F2"/>
            <w:noWrap/>
            <w:vAlign w:val="bottom"/>
            <w:hideMark/>
          </w:tcPr>
          <w:p w14:paraId="2492253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27</w:t>
            </w:r>
          </w:p>
        </w:tc>
        <w:tc>
          <w:tcPr>
            <w:tcW w:w="2700" w:type="pct"/>
            <w:tcBorders>
              <w:top w:val="nil"/>
              <w:left w:val="nil"/>
              <w:bottom w:val="nil"/>
              <w:right w:val="nil"/>
            </w:tcBorders>
            <w:shd w:val="clear" w:color="000000" w:fill="F2F2F2"/>
            <w:noWrap/>
            <w:vAlign w:val="bottom"/>
            <w:hideMark/>
          </w:tcPr>
          <w:p w14:paraId="15AB4CFC"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Pemalang - Batang</w:t>
            </w:r>
          </w:p>
        </w:tc>
        <w:tc>
          <w:tcPr>
            <w:tcW w:w="552" w:type="pct"/>
            <w:tcBorders>
              <w:top w:val="nil"/>
              <w:left w:val="nil"/>
              <w:bottom w:val="nil"/>
              <w:right w:val="nil"/>
            </w:tcBorders>
            <w:shd w:val="clear" w:color="000000" w:fill="F2F2F2"/>
            <w:noWrap/>
            <w:vAlign w:val="bottom"/>
            <w:hideMark/>
          </w:tcPr>
          <w:p w14:paraId="67B51F62"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39</w:t>
            </w:r>
          </w:p>
        </w:tc>
        <w:tc>
          <w:tcPr>
            <w:tcW w:w="795" w:type="pct"/>
            <w:tcBorders>
              <w:top w:val="nil"/>
              <w:left w:val="nil"/>
              <w:bottom w:val="nil"/>
              <w:right w:val="nil"/>
            </w:tcBorders>
            <w:shd w:val="clear" w:color="000000" w:fill="F2F2F2"/>
            <w:noWrap/>
            <w:vAlign w:val="bottom"/>
            <w:hideMark/>
          </w:tcPr>
          <w:p w14:paraId="2A81E98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54E82A8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39CDCCD5" w14:textId="77777777" w:rsidTr="00923319">
        <w:trPr>
          <w:trHeight w:val="285"/>
        </w:trPr>
        <w:tc>
          <w:tcPr>
            <w:tcW w:w="275" w:type="pct"/>
            <w:tcBorders>
              <w:top w:val="nil"/>
              <w:left w:val="nil"/>
              <w:bottom w:val="nil"/>
              <w:right w:val="nil"/>
            </w:tcBorders>
            <w:shd w:val="clear" w:color="auto" w:fill="auto"/>
            <w:noWrap/>
            <w:vAlign w:val="bottom"/>
            <w:hideMark/>
          </w:tcPr>
          <w:p w14:paraId="5F3B107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28</w:t>
            </w:r>
          </w:p>
        </w:tc>
        <w:tc>
          <w:tcPr>
            <w:tcW w:w="2700" w:type="pct"/>
            <w:tcBorders>
              <w:top w:val="nil"/>
              <w:left w:val="nil"/>
              <w:bottom w:val="nil"/>
              <w:right w:val="nil"/>
            </w:tcBorders>
            <w:shd w:val="clear" w:color="auto" w:fill="auto"/>
            <w:noWrap/>
            <w:vAlign w:val="bottom"/>
            <w:hideMark/>
          </w:tcPr>
          <w:p w14:paraId="77F4191E"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Semarang - Batang</w:t>
            </w:r>
          </w:p>
        </w:tc>
        <w:tc>
          <w:tcPr>
            <w:tcW w:w="552" w:type="pct"/>
            <w:tcBorders>
              <w:top w:val="nil"/>
              <w:left w:val="nil"/>
              <w:bottom w:val="nil"/>
              <w:right w:val="nil"/>
            </w:tcBorders>
            <w:shd w:val="clear" w:color="auto" w:fill="auto"/>
            <w:noWrap/>
            <w:vAlign w:val="bottom"/>
            <w:hideMark/>
          </w:tcPr>
          <w:p w14:paraId="6A749D5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75</w:t>
            </w:r>
          </w:p>
        </w:tc>
        <w:tc>
          <w:tcPr>
            <w:tcW w:w="795" w:type="pct"/>
            <w:tcBorders>
              <w:top w:val="nil"/>
              <w:left w:val="nil"/>
              <w:bottom w:val="nil"/>
              <w:right w:val="nil"/>
            </w:tcBorders>
            <w:shd w:val="clear" w:color="auto" w:fill="auto"/>
            <w:noWrap/>
            <w:vAlign w:val="bottom"/>
            <w:hideMark/>
          </w:tcPr>
          <w:p w14:paraId="16C40B5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auto" w:fill="auto"/>
            <w:noWrap/>
            <w:vAlign w:val="bottom"/>
            <w:hideMark/>
          </w:tcPr>
          <w:p w14:paraId="79F4A79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4F536259" w14:textId="77777777" w:rsidTr="00923319">
        <w:trPr>
          <w:trHeight w:val="285"/>
        </w:trPr>
        <w:tc>
          <w:tcPr>
            <w:tcW w:w="275" w:type="pct"/>
            <w:tcBorders>
              <w:top w:val="nil"/>
              <w:left w:val="nil"/>
              <w:bottom w:val="nil"/>
              <w:right w:val="nil"/>
            </w:tcBorders>
            <w:shd w:val="clear" w:color="000000" w:fill="F2F2F2"/>
            <w:noWrap/>
            <w:vAlign w:val="bottom"/>
            <w:hideMark/>
          </w:tcPr>
          <w:p w14:paraId="2737C8C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29</w:t>
            </w:r>
          </w:p>
        </w:tc>
        <w:tc>
          <w:tcPr>
            <w:tcW w:w="2700" w:type="pct"/>
            <w:tcBorders>
              <w:top w:val="nil"/>
              <w:left w:val="nil"/>
              <w:bottom w:val="nil"/>
              <w:right w:val="nil"/>
            </w:tcBorders>
            <w:shd w:val="clear" w:color="000000" w:fill="F2F2F2"/>
            <w:noWrap/>
            <w:vAlign w:val="bottom"/>
            <w:hideMark/>
          </w:tcPr>
          <w:p w14:paraId="221EDD2E"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Semarang Section A, B, C</w:t>
            </w:r>
          </w:p>
        </w:tc>
        <w:tc>
          <w:tcPr>
            <w:tcW w:w="552" w:type="pct"/>
            <w:tcBorders>
              <w:top w:val="nil"/>
              <w:left w:val="nil"/>
              <w:bottom w:val="nil"/>
              <w:right w:val="nil"/>
            </w:tcBorders>
            <w:shd w:val="clear" w:color="000000" w:fill="F2F2F2"/>
            <w:noWrap/>
            <w:vAlign w:val="bottom"/>
            <w:hideMark/>
          </w:tcPr>
          <w:p w14:paraId="1517E17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24,75</w:t>
            </w:r>
          </w:p>
        </w:tc>
        <w:tc>
          <w:tcPr>
            <w:tcW w:w="795" w:type="pct"/>
            <w:tcBorders>
              <w:top w:val="nil"/>
              <w:left w:val="nil"/>
              <w:bottom w:val="nil"/>
              <w:right w:val="nil"/>
            </w:tcBorders>
            <w:shd w:val="clear" w:color="000000" w:fill="F2F2F2"/>
            <w:noWrap/>
            <w:vAlign w:val="bottom"/>
            <w:hideMark/>
          </w:tcPr>
          <w:p w14:paraId="50323F9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w:t>
            </w:r>
          </w:p>
        </w:tc>
        <w:tc>
          <w:tcPr>
            <w:tcW w:w="678" w:type="pct"/>
            <w:tcBorders>
              <w:top w:val="nil"/>
              <w:left w:val="nil"/>
              <w:bottom w:val="nil"/>
              <w:right w:val="nil"/>
            </w:tcBorders>
            <w:shd w:val="clear" w:color="000000" w:fill="F2F2F2"/>
            <w:noWrap/>
            <w:vAlign w:val="bottom"/>
            <w:hideMark/>
          </w:tcPr>
          <w:p w14:paraId="32BE732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78FAFB03" w14:textId="77777777" w:rsidTr="00923319">
        <w:trPr>
          <w:trHeight w:val="285"/>
        </w:trPr>
        <w:tc>
          <w:tcPr>
            <w:tcW w:w="275" w:type="pct"/>
            <w:tcBorders>
              <w:top w:val="nil"/>
              <w:left w:val="nil"/>
              <w:bottom w:val="nil"/>
              <w:right w:val="nil"/>
            </w:tcBorders>
            <w:shd w:val="clear" w:color="auto" w:fill="auto"/>
            <w:noWrap/>
            <w:vAlign w:val="bottom"/>
            <w:hideMark/>
          </w:tcPr>
          <w:p w14:paraId="4CF0D45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30</w:t>
            </w:r>
          </w:p>
        </w:tc>
        <w:tc>
          <w:tcPr>
            <w:tcW w:w="2700" w:type="pct"/>
            <w:tcBorders>
              <w:top w:val="nil"/>
              <w:left w:val="nil"/>
              <w:bottom w:val="nil"/>
              <w:right w:val="nil"/>
            </w:tcBorders>
            <w:shd w:val="clear" w:color="auto" w:fill="auto"/>
            <w:noWrap/>
            <w:vAlign w:val="bottom"/>
            <w:hideMark/>
          </w:tcPr>
          <w:p w14:paraId="4E0FBA11"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Semarang - Solo Seksi I, II, III</w:t>
            </w:r>
          </w:p>
        </w:tc>
        <w:tc>
          <w:tcPr>
            <w:tcW w:w="552" w:type="pct"/>
            <w:tcBorders>
              <w:top w:val="nil"/>
              <w:left w:val="nil"/>
              <w:bottom w:val="nil"/>
              <w:right w:val="nil"/>
            </w:tcBorders>
            <w:shd w:val="clear" w:color="auto" w:fill="auto"/>
            <w:noWrap/>
            <w:vAlign w:val="bottom"/>
            <w:hideMark/>
          </w:tcPr>
          <w:p w14:paraId="4C62068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72,66</w:t>
            </w:r>
          </w:p>
        </w:tc>
        <w:tc>
          <w:tcPr>
            <w:tcW w:w="795" w:type="pct"/>
            <w:tcBorders>
              <w:top w:val="nil"/>
              <w:left w:val="nil"/>
              <w:bottom w:val="nil"/>
              <w:right w:val="nil"/>
            </w:tcBorders>
            <w:shd w:val="clear" w:color="auto" w:fill="auto"/>
            <w:noWrap/>
            <w:vAlign w:val="bottom"/>
            <w:hideMark/>
          </w:tcPr>
          <w:p w14:paraId="67A22A09"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auto" w:fill="auto"/>
            <w:noWrap/>
            <w:vAlign w:val="bottom"/>
            <w:hideMark/>
          </w:tcPr>
          <w:p w14:paraId="53337AC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67949A3A" w14:textId="77777777" w:rsidTr="00923319">
        <w:trPr>
          <w:trHeight w:val="285"/>
        </w:trPr>
        <w:tc>
          <w:tcPr>
            <w:tcW w:w="275" w:type="pct"/>
            <w:tcBorders>
              <w:top w:val="nil"/>
              <w:left w:val="nil"/>
              <w:bottom w:val="nil"/>
              <w:right w:val="nil"/>
            </w:tcBorders>
            <w:shd w:val="clear" w:color="000000" w:fill="F2F2F2"/>
            <w:noWrap/>
            <w:vAlign w:val="bottom"/>
            <w:hideMark/>
          </w:tcPr>
          <w:p w14:paraId="4F7C9B8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31</w:t>
            </w:r>
          </w:p>
        </w:tc>
        <w:tc>
          <w:tcPr>
            <w:tcW w:w="2700" w:type="pct"/>
            <w:tcBorders>
              <w:top w:val="nil"/>
              <w:left w:val="nil"/>
              <w:bottom w:val="nil"/>
              <w:right w:val="nil"/>
            </w:tcBorders>
            <w:shd w:val="clear" w:color="000000" w:fill="F2F2F2"/>
            <w:noWrap/>
            <w:vAlign w:val="bottom"/>
            <w:hideMark/>
          </w:tcPr>
          <w:p w14:paraId="7A6834A1"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Solo - Ngawi</w:t>
            </w:r>
          </w:p>
        </w:tc>
        <w:tc>
          <w:tcPr>
            <w:tcW w:w="552" w:type="pct"/>
            <w:tcBorders>
              <w:top w:val="nil"/>
              <w:left w:val="nil"/>
              <w:bottom w:val="nil"/>
              <w:right w:val="nil"/>
            </w:tcBorders>
            <w:shd w:val="clear" w:color="000000" w:fill="F2F2F2"/>
            <w:noWrap/>
            <w:vAlign w:val="bottom"/>
            <w:hideMark/>
          </w:tcPr>
          <w:p w14:paraId="0AB7FE7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90,43</w:t>
            </w:r>
          </w:p>
        </w:tc>
        <w:tc>
          <w:tcPr>
            <w:tcW w:w="795" w:type="pct"/>
            <w:tcBorders>
              <w:top w:val="nil"/>
              <w:left w:val="nil"/>
              <w:bottom w:val="nil"/>
              <w:right w:val="nil"/>
            </w:tcBorders>
            <w:shd w:val="clear" w:color="000000" w:fill="F2F2F2"/>
            <w:noWrap/>
            <w:vAlign w:val="bottom"/>
            <w:hideMark/>
          </w:tcPr>
          <w:p w14:paraId="4FAA36B5"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7</w:t>
            </w:r>
          </w:p>
        </w:tc>
        <w:tc>
          <w:tcPr>
            <w:tcW w:w="678" w:type="pct"/>
            <w:tcBorders>
              <w:top w:val="nil"/>
              <w:left w:val="nil"/>
              <w:bottom w:val="nil"/>
              <w:right w:val="nil"/>
            </w:tcBorders>
            <w:shd w:val="clear" w:color="000000" w:fill="F2F2F2"/>
            <w:noWrap/>
            <w:vAlign w:val="bottom"/>
            <w:hideMark/>
          </w:tcPr>
          <w:p w14:paraId="500193E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2DD96BA5" w14:textId="77777777" w:rsidTr="00923319">
        <w:trPr>
          <w:trHeight w:val="285"/>
        </w:trPr>
        <w:tc>
          <w:tcPr>
            <w:tcW w:w="275" w:type="pct"/>
            <w:tcBorders>
              <w:top w:val="nil"/>
              <w:left w:val="nil"/>
              <w:bottom w:val="nil"/>
              <w:right w:val="nil"/>
            </w:tcBorders>
            <w:shd w:val="clear" w:color="auto" w:fill="auto"/>
            <w:noWrap/>
            <w:vAlign w:val="bottom"/>
            <w:hideMark/>
          </w:tcPr>
          <w:p w14:paraId="4AED869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32</w:t>
            </w:r>
          </w:p>
        </w:tc>
        <w:tc>
          <w:tcPr>
            <w:tcW w:w="2700" w:type="pct"/>
            <w:tcBorders>
              <w:top w:val="nil"/>
              <w:left w:val="nil"/>
              <w:bottom w:val="nil"/>
              <w:right w:val="nil"/>
            </w:tcBorders>
            <w:shd w:val="clear" w:color="auto" w:fill="auto"/>
            <w:noWrap/>
            <w:vAlign w:val="bottom"/>
            <w:hideMark/>
          </w:tcPr>
          <w:p w14:paraId="155097A3"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Ngawi - Kertosono</w:t>
            </w:r>
          </w:p>
        </w:tc>
        <w:tc>
          <w:tcPr>
            <w:tcW w:w="552" w:type="pct"/>
            <w:tcBorders>
              <w:top w:val="nil"/>
              <w:left w:val="nil"/>
              <w:bottom w:val="nil"/>
              <w:right w:val="nil"/>
            </w:tcBorders>
            <w:shd w:val="clear" w:color="auto" w:fill="auto"/>
            <w:noWrap/>
            <w:vAlign w:val="bottom"/>
            <w:hideMark/>
          </w:tcPr>
          <w:p w14:paraId="4FD600B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85,46</w:t>
            </w:r>
          </w:p>
        </w:tc>
        <w:tc>
          <w:tcPr>
            <w:tcW w:w="795" w:type="pct"/>
            <w:tcBorders>
              <w:top w:val="nil"/>
              <w:left w:val="nil"/>
              <w:bottom w:val="nil"/>
              <w:right w:val="nil"/>
            </w:tcBorders>
            <w:shd w:val="clear" w:color="auto" w:fill="auto"/>
            <w:noWrap/>
            <w:vAlign w:val="bottom"/>
            <w:hideMark/>
          </w:tcPr>
          <w:p w14:paraId="5FE61E4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auto" w:fill="auto"/>
            <w:noWrap/>
            <w:vAlign w:val="bottom"/>
            <w:hideMark/>
          </w:tcPr>
          <w:p w14:paraId="1A258E8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17ECD5F5" w14:textId="77777777" w:rsidTr="00923319">
        <w:trPr>
          <w:trHeight w:val="285"/>
        </w:trPr>
        <w:tc>
          <w:tcPr>
            <w:tcW w:w="275" w:type="pct"/>
            <w:tcBorders>
              <w:top w:val="nil"/>
              <w:left w:val="nil"/>
              <w:bottom w:val="nil"/>
              <w:right w:val="nil"/>
            </w:tcBorders>
            <w:shd w:val="clear" w:color="000000" w:fill="F2F2F2"/>
            <w:noWrap/>
            <w:vAlign w:val="bottom"/>
            <w:hideMark/>
          </w:tcPr>
          <w:p w14:paraId="09035EE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33</w:t>
            </w:r>
          </w:p>
        </w:tc>
        <w:tc>
          <w:tcPr>
            <w:tcW w:w="2700" w:type="pct"/>
            <w:tcBorders>
              <w:top w:val="nil"/>
              <w:left w:val="nil"/>
              <w:bottom w:val="nil"/>
              <w:right w:val="nil"/>
            </w:tcBorders>
            <w:shd w:val="clear" w:color="000000" w:fill="F2F2F2"/>
            <w:noWrap/>
            <w:vAlign w:val="bottom"/>
            <w:hideMark/>
          </w:tcPr>
          <w:p w14:paraId="615D7699"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Kertosono - Mojokerto</w:t>
            </w:r>
          </w:p>
        </w:tc>
        <w:tc>
          <w:tcPr>
            <w:tcW w:w="552" w:type="pct"/>
            <w:tcBorders>
              <w:top w:val="nil"/>
              <w:left w:val="nil"/>
              <w:bottom w:val="nil"/>
              <w:right w:val="nil"/>
            </w:tcBorders>
            <w:shd w:val="clear" w:color="000000" w:fill="F2F2F2"/>
            <w:noWrap/>
            <w:vAlign w:val="bottom"/>
            <w:hideMark/>
          </w:tcPr>
          <w:p w14:paraId="599BB6E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40,23</w:t>
            </w:r>
          </w:p>
        </w:tc>
        <w:tc>
          <w:tcPr>
            <w:tcW w:w="795" w:type="pct"/>
            <w:tcBorders>
              <w:top w:val="nil"/>
              <w:left w:val="nil"/>
              <w:bottom w:val="nil"/>
              <w:right w:val="nil"/>
            </w:tcBorders>
            <w:shd w:val="clear" w:color="000000" w:fill="F2F2F2"/>
            <w:noWrap/>
            <w:vAlign w:val="bottom"/>
            <w:hideMark/>
          </w:tcPr>
          <w:p w14:paraId="45C3B3C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7FD48B31"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7D6D9815" w14:textId="77777777" w:rsidTr="00923319">
        <w:trPr>
          <w:trHeight w:val="285"/>
        </w:trPr>
        <w:tc>
          <w:tcPr>
            <w:tcW w:w="275" w:type="pct"/>
            <w:tcBorders>
              <w:top w:val="nil"/>
              <w:left w:val="nil"/>
              <w:bottom w:val="nil"/>
              <w:right w:val="nil"/>
            </w:tcBorders>
            <w:shd w:val="clear" w:color="auto" w:fill="auto"/>
            <w:noWrap/>
            <w:vAlign w:val="bottom"/>
            <w:hideMark/>
          </w:tcPr>
          <w:p w14:paraId="73D8D4E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34</w:t>
            </w:r>
          </w:p>
        </w:tc>
        <w:tc>
          <w:tcPr>
            <w:tcW w:w="2700" w:type="pct"/>
            <w:tcBorders>
              <w:top w:val="nil"/>
              <w:left w:val="nil"/>
              <w:bottom w:val="nil"/>
              <w:right w:val="nil"/>
            </w:tcBorders>
            <w:shd w:val="clear" w:color="auto" w:fill="auto"/>
            <w:noWrap/>
            <w:vAlign w:val="bottom"/>
            <w:hideMark/>
          </w:tcPr>
          <w:p w14:paraId="606D2F0F"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Surabaya - Mojokerto</w:t>
            </w:r>
          </w:p>
        </w:tc>
        <w:tc>
          <w:tcPr>
            <w:tcW w:w="552" w:type="pct"/>
            <w:tcBorders>
              <w:top w:val="nil"/>
              <w:left w:val="nil"/>
              <w:bottom w:val="nil"/>
              <w:right w:val="nil"/>
            </w:tcBorders>
            <w:shd w:val="clear" w:color="auto" w:fill="auto"/>
            <w:noWrap/>
            <w:vAlign w:val="bottom"/>
            <w:hideMark/>
          </w:tcPr>
          <w:p w14:paraId="57B33DA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36,27</w:t>
            </w:r>
          </w:p>
        </w:tc>
        <w:tc>
          <w:tcPr>
            <w:tcW w:w="795" w:type="pct"/>
            <w:tcBorders>
              <w:top w:val="nil"/>
              <w:left w:val="nil"/>
              <w:bottom w:val="nil"/>
              <w:right w:val="nil"/>
            </w:tcBorders>
            <w:shd w:val="clear" w:color="auto" w:fill="auto"/>
            <w:noWrap/>
            <w:vAlign w:val="bottom"/>
            <w:hideMark/>
          </w:tcPr>
          <w:p w14:paraId="1251C68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auto" w:fill="auto"/>
            <w:noWrap/>
            <w:vAlign w:val="bottom"/>
            <w:hideMark/>
          </w:tcPr>
          <w:p w14:paraId="663AEB9B"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04B35AAE" w14:textId="77777777" w:rsidTr="00923319">
        <w:trPr>
          <w:trHeight w:val="285"/>
        </w:trPr>
        <w:tc>
          <w:tcPr>
            <w:tcW w:w="275" w:type="pct"/>
            <w:tcBorders>
              <w:top w:val="nil"/>
              <w:left w:val="nil"/>
              <w:bottom w:val="nil"/>
              <w:right w:val="nil"/>
            </w:tcBorders>
            <w:shd w:val="clear" w:color="000000" w:fill="F2F2F2"/>
            <w:noWrap/>
            <w:vAlign w:val="bottom"/>
            <w:hideMark/>
          </w:tcPr>
          <w:p w14:paraId="70706AB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35</w:t>
            </w:r>
          </w:p>
        </w:tc>
        <w:tc>
          <w:tcPr>
            <w:tcW w:w="2700" w:type="pct"/>
            <w:tcBorders>
              <w:top w:val="nil"/>
              <w:left w:val="nil"/>
              <w:bottom w:val="nil"/>
              <w:right w:val="nil"/>
            </w:tcBorders>
            <w:shd w:val="clear" w:color="000000" w:fill="F2F2F2"/>
            <w:noWrap/>
            <w:vAlign w:val="bottom"/>
            <w:hideMark/>
          </w:tcPr>
          <w:p w14:paraId="23BAEFE2"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Surabaya - Gempol</w:t>
            </w:r>
          </w:p>
        </w:tc>
        <w:tc>
          <w:tcPr>
            <w:tcW w:w="552" w:type="pct"/>
            <w:tcBorders>
              <w:top w:val="nil"/>
              <w:left w:val="nil"/>
              <w:bottom w:val="nil"/>
              <w:right w:val="nil"/>
            </w:tcBorders>
            <w:shd w:val="clear" w:color="000000" w:fill="F2F2F2"/>
            <w:noWrap/>
            <w:vAlign w:val="bottom"/>
            <w:hideMark/>
          </w:tcPr>
          <w:p w14:paraId="55917F4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49</w:t>
            </w:r>
          </w:p>
        </w:tc>
        <w:tc>
          <w:tcPr>
            <w:tcW w:w="795" w:type="pct"/>
            <w:tcBorders>
              <w:top w:val="nil"/>
              <w:left w:val="nil"/>
              <w:bottom w:val="nil"/>
              <w:right w:val="nil"/>
            </w:tcBorders>
            <w:shd w:val="clear" w:color="000000" w:fill="F2F2F2"/>
            <w:noWrap/>
            <w:vAlign w:val="bottom"/>
            <w:hideMark/>
          </w:tcPr>
          <w:p w14:paraId="49CBA56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9</w:t>
            </w:r>
          </w:p>
        </w:tc>
        <w:tc>
          <w:tcPr>
            <w:tcW w:w="678" w:type="pct"/>
            <w:tcBorders>
              <w:top w:val="nil"/>
              <w:left w:val="nil"/>
              <w:bottom w:val="nil"/>
              <w:right w:val="nil"/>
            </w:tcBorders>
            <w:shd w:val="clear" w:color="000000" w:fill="F2F2F2"/>
            <w:noWrap/>
            <w:vAlign w:val="bottom"/>
            <w:hideMark/>
          </w:tcPr>
          <w:p w14:paraId="24950A2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51B7CB7C" w14:textId="77777777" w:rsidTr="00923319">
        <w:trPr>
          <w:trHeight w:val="285"/>
        </w:trPr>
        <w:tc>
          <w:tcPr>
            <w:tcW w:w="275" w:type="pct"/>
            <w:tcBorders>
              <w:top w:val="nil"/>
              <w:left w:val="nil"/>
              <w:bottom w:val="nil"/>
              <w:right w:val="nil"/>
            </w:tcBorders>
            <w:shd w:val="clear" w:color="auto" w:fill="auto"/>
            <w:noWrap/>
            <w:vAlign w:val="bottom"/>
            <w:hideMark/>
          </w:tcPr>
          <w:p w14:paraId="6FAA76E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36</w:t>
            </w:r>
          </w:p>
        </w:tc>
        <w:tc>
          <w:tcPr>
            <w:tcW w:w="2700" w:type="pct"/>
            <w:tcBorders>
              <w:top w:val="nil"/>
              <w:left w:val="nil"/>
              <w:bottom w:val="nil"/>
              <w:right w:val="nil"/>
            </w:tcBorders>
            <w:shd w:val="clear" w:color="auto" w:fill="auto"/>
            <w:noWrap/>
            <w:vAlign w:val="bottom"/>
            <w:hideMark/>
          </w:tcPr>
          <w:p w14:paraId="799FCCB6"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Simpang Susun Waru - Bandara Juanda (Airport)</w:t>
            </w:r>
          </w:p>
        </w:tc>
        <w:tc>
          <w:tcPr>
            <w:tcW w:w="552" w:type="pct"/>
            <w:tcBorders>
              <w:top w:val="nil"/>
              <w:left w:val="nil"/>
              <w:bottom w:val="nil"/>
              <w:right w:val="nil"/>
            </w:tcBorders>
            <w:shd w:val="clear" w:color="auto" w:fill="auto"/>
            <w:noWrap/>
            <w:vAlign w:val="bottom"/>
            <w:hideMark/>
          </w:tcPr>
          <w:p w14:paraId="027D51D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12,8</w:t>
            </w:r>
          </w:p>
        </w:tc>
        <w:tc>
          <w:tcPr>
            <w:tcW w:w="795" w:type="pct"/>
            <w:tcBorders>
              <w:top w:val="nil"/>
              <w:left w:val="nil"/>
              <w:bottom w:val="nil"/>
              <w:right w:val="nil"/>
            </w:tcBorders>
            <w:shd w:val="clear" w:color="auto" w:fill="auto"/>
            <w:noWrap/>
            <w:vAlign w:val="bottom"/>
            <w:hideMark/>
          </w:tcPr>
          <w:p w14:paraId="1CB951FD"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auto" w:fill="auto"/>
            <w:noWrap/>
            <w:vAlign w:val="bottom"/>
            <w:hideMark/>
          </w:tcPr>
          <w:p w14:paraId="0C8B293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60600D3B" w14:textId="77777777" w:rsidTr="00923319">
        <w:trPr>
          <w:trHeight w:val="285"/>
        </w:trPr>
        <w:tc>
          <w:tcPr>
            <w:tcW w:w="275" w:type="pct"/>
            <w:tcBorders>
              <w:top w:val="nil"/>
              <w:left w:val="nil"/>
              <w:bottom w:val="nil"/>
              <w:right w:val="nil"/>
            </w:tcBorders>
            <w:shd w:val="clear" w:color="000000" w:fill="F2F2F2"/>
            <w:noWrap/>
            <w:vAlign w:val="bottom"/>
            <w:hideMark/>
          </w:tcPr>
          <w:p w14:paraId="130644F8"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37</w:t>
            </w:r>
          </w:p>
        </w:tc>
        <w:tc>
          <w:tcPr>
            <w:tcW w:w="2700" w:type="pct"/>
            <w:tcBorders>
              <w:top w:val="nil"/>
              <w:left w:val="nil"/>
              <w:bottom w:val="nil"/>
              <w:right w:val="nil"/>
            </w:tcBorders>
            <w:shd w:val="clear" w:color="000000" w:fill="F2F2F2"/>
            <w:noWrap/>
            <w:vAlign w:val="bottom"/>
            <w:hideMark/>
          </w:tcPr>
          <w:p w14:paraId="7290874D"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Surabaya - Gresik</w:t>
            </w:r>
          </w:p>
        </w:tc>
        <w:tc>
          <w:tcPr>
            <w:tcW w:w="552" w:type="pct"/>
            <w:tcBorders>
              <w:top w:val="nil"/>
              <w:left w:val="nil"/>
              <w:bottom w:val="nil"/>
              <w:right w:val="nil"/>
            </w:tcBorders>
            <w:shd w:val="clear" w:color="000000" w:fill="F2F2F2"/>
            <w:noWrap/>
            <w:vAlign w:val="bottom"/>
            <w:hideMark/>
          </w:tcPr>
          <w:p w14:paraId="2DA3916E"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20,7</w:t>
            </w:r>
          </w:p>
        </w:tc>
        <w:tc>
          <w:tcPr>
            <w:tcW w:w="795" w:type="pct"/>
            <w:tcBorders>
              <w:top w:val="nil"/>
              <w:left w:val="nil"/>
              <w:bottom w:val="nil"/>
              <w:right w:val="nil"/>
            </w:tcBorders>
            <w:shd w:val="clear" w:color="000000" w:fill="F2F2F2"/>
            <w:noWrap/>
            <w:vAlign w:val="bottom"/>
            <w:hideMark/>
          </w:tcPr>
          <w:p w14:paraId="770EF78F"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c>
          <w:tcPr>
            <w:tcW w:w="678" w:type="pct"/>
            <w:tcBorders>
              <w:top w:val="nil"/>
              <w:left w:val="nil"/>
              <w:bottom w:val="nil"/>
              <w:right w:val="nil"/>
            </w:tcBorders>
            <w:shd w:val="clear" w:color="000000" w:fill="F2F2F2"/>
            <w:noWrap/>
            <w:vAlign w:val="bottom"/>
            <w:hideMark/>
          </w:tcPr>
          <w:p w14:paraId="143C178C"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7EAED9AC" w14:textId="77777777" w:rsidTr="00923319">
        <w:trPr>
          <w:trHeight w:val="285"/>
        </w:trPr>
        <w:tc>
          <w:tcPr>
            <w:tcW w:w="275" w:type="pct"/>
            <w:tcBorders>
              <w:top w:val="nil"/>
              <w:left w:val="nil"/>
              <w:bottom w:val="nil"/>
              <w:right w:val="nil"/>
            </w:tcBorders>
            <w:shd w:val="clear" w:color="auto" w:fill="auto"/>
            <w:noWrap/>
            <w:vAlign w:val="bottom"/>
            <w:hideMark/>
          </w:tcPr>
          <w:p w14:paraId="5FE8733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38</w:t>
            </w:r>
          </w:p>
        </w:tc>
        <w:tc>
          <w:tcPr>
            <w:tcW w:w="2700" w:type="pct"/>
            <w:tcBorders>
              <w:top w:val="nil"/>
              <w:left w:val="nil"/>
              <w:bottom w:val="nil"/>
              <w:right w:val="nil"/>
            </w:tcBorders>
            <w:shd w:val="clear" w:color="auto" w:fill="auto"/>
            <w:noWrap/>
            <w:vAlign w:val="bottom"/>
            <w:hideMark/>
          </w:tcPr>
          <w:p w14:paraId="7397E1B5"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Surabaya - Madura Bridge</w:t>
            </w:r>
          </w:p>
        </w:tc>
        <w:tc>
          <w:tcPr>
            <w:tcW w:w="552" w:type="pct"/>
            <w:tcBorders>
              <w:top w:val="nil"/>
              <w:left w:val="nil"/>
              <w:bottom w:val="nil"/>
              <w:right w:val="nil"/>
            </w:tcBorders>
            <w:shd w:val="clear" w:color="auto" w:fill="auto"/>
            <w:noWrap/>
            <w:vAlign w:val="bottom"/>
            <w:hideMark/>
          </w:tcPr>
          <w:p w14:paraId="24BAE4D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5,4</w:t>
            </w:r>
          </w:p>
        </w:tc>
        <w:tc>
          <w:tcPr>
            <w:tcW w:w="795" w:type="pct"/>
            <w:tcBorders>
              <w:top w:val="nil"/>
              <w:left w:val="nil"/>
              <w:bottom w:val="nil"/>
              <w:right w:val="nil"/>
            </w:tcBorders>
            <w:shd w:val="clear" w:color="auto" w:fill="auto"/>
            <w:noWrap/>
            <w:vAlign w:val="bottom"/>
            <w:hideMark/>
          </w:tcPr>
          <w:p w14:paraId="30E94719"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w:t>
            </w:r>
          </w:p>
        </w:tc>
        <w:tc>
          <w:tcPr>
            <w:tcW w:w="678" w:type="pct"/>
            <w:tcBorders>
              <w:top w:val="nil"/>
              <w:left w:val="nil"/>
              <w:bottom w:val="nil"/>
              <w:right w:val="nil"/>
            </w:tcBorders>
            <w:shd w:val="clear" w:color="auto" w:fill="auto"/>
            <w:noWrap/>
            <w:vAlign w:val="bottom"/>
            <w:hideMark/>
          </w:tcPr>
          <w:p w14:paraId="005958C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019D1513" w14:textId="77777777" w:rsidTr="00923319">
        <w:trPr>
          <w:trHeight w:val="285"/>
        </w:trPr>
        <w:tc>
          <w:tcPr>
            <w:tcW w:w="275" w:type="pct"/>
            <w:tcBorders>
              <w:top w:val="nil"/>
              <w:left w:val="nil"/>
              <w:bottom w:val="nil"/>
              <w:right w:val="nil"/>
            </w:tcBorders>
            <w:shd w:val="clear" w:color="000000" w:fill="F2F2F2"/>
            <w:noWrap/>
            <w:vAlign w:val="bottom"/>
            <w:hideMark/>
          </w:tcPr>
          <w:p w14:paraId="14E19B77"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39</w:t>
            </w:r>
          </w:p>
        </w:tc>
        <w:tc>
          <w:tcPr>
            <w:tcW w:w="2700" w:type="pct"/>
            <w:tcBorders>
              <w:top w:val="nil"/>
              <w:left w:val="nil"/>
              <w:bottom w:val="nil"/>
              <w:right w:val="nil"/>
            </w:tcBorders>
            <w:shd w:val="clear" w:color="000000" w:fill="F2F2F2"/>
            <w:noWrap/>
            <w:vAlign w:val="bottom"/>
            <w:hideMark/>
          </w:tcPr>
          <w:p w14:paraId="2E15EF63"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Gempol - Pasuruan</w:t>
            </w:r>
          </w:p>
        </w:tc>
        <w:tc>
          <w:tcPr>
            <w:tcW w:w="552" w:type="pct"/>
            <w:tcBorders>
              <w:top w:val="nil"/>
              <w:left w:val="nil"/>
              <w:bottom w:val="nil"/>
              <w:right w:val="nil"/>
            </w:tcBorders>
            <w:shd w:val="clear" w:color="000000" w:fill="F2F2F2"/>
            <w:noWrap/>
            <w:vAlign w:val="bottom"/>
            <w:hideMark/>
          </w:tcPr>
          <w:p w14:paraId="1A8D639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35,95</w:t>
            </w:r>
          </w:p>
        </w:tc>
        <w:tc>
          <w:tcPr>
            <w:tcW w:w="795" w:type="pct"/>
            <w:tcBorders>
              <w:top w:val="nil"/>
              <w:left w:val="nil"/>
              <w:bottom w:val="nil"/>
              <w:right w:val="nil"/>
            </w:tcBorders>
            <w:shd w:val="clear" w:color="000000" w:fill="F2F2F2"/>
            <w:noWrap/>
            <w:vAlign w:val="bottom"/>
            <w:hideMark/>
          </w:tcPr>
          <w:p w14:paraId="3D314070"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000000" w:fill="F2F2F2"/>
            <w:noWrap/>
            <w:vAlign w:val="bottom"/>
            <w:hideMark/>
          </w:tcPr>
          <w:p w14:paraId="2581DA3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w:t>
            </w:r>
          </w:p>
        </w:tc>
      </w:tr>
      <w:tr w:rsidR="00923319" w:rsidRPr="00A67277" w14:paraId="55031BC5" w14:textId="77777777" w:rsidTr="00923319">
        <w:trPr>
          <w:trHeight w:val="285"/>
        </w:trPr>
        <w:tc>
          <w:tcPr>
            <w:tcW w:w="275" w:type="pct"/>
            <w:tcBorders>
              <w:top w:val="nil"/>
              <w:left w:val="nil"/>
              <w:bottom w:val="nil"/>
              <w:right w:val="nil"/>
            </w:tcBorders>
            <w:shd w:val="clear" w:color="auto" w:fill="auto"/>
            <w:noWrap/>
            <w:vAlign w:val="bottom"/>
            <w:hideMark/>
          </w:tcPr>
          <w:p w14:paraId="023E2A03"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40</w:t>
            </w:r>
          </w:p>
        </w:tc>
        <w:tc>
          <w:tcPr>
            <w:tcW w:w="2700" w:type="pct"/>
            <w:tcBorders>
              <w:top w:val="nil"/>
              <w:left w:val="nil"/>
              <w:bottom w:val="nil"/>
              <w:right w:val="nil"/>
            </w:tcBorders>
            <w:shd w:val="clear" w:color="auto" w:fill="auto"/>
            <w:noWrap/>
            <w:vAlign w:val="bottom"/>
            <w:hideMark/>
          </w:tcPr>
          <w:p w14:paraId="25DE59BC"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Gempol - Pandaan</w:t>
            </w:r>
          </w:p>
        </w:tc>
        <w:tc>
          <w:tcPr>
            <w:tcW w:w="552" w:type="pct"/>
            <w:tcBorders>
              <w:top w:val="nil"/>
              <w:left w:val="nil"/>
              <w:bottom w:val="nil"/>
              <w:right w:val="nil"/>
            </w:tcBorders>
            <w:shd w:val="clear" w:color="auto" w:fill="auto"/>
            <w:noWrap/>
            <w:vAlign w:val="bottom"/>
            <w:hideMark/>
          </w:tcPr>
          <w:p w14:paraId="5E25397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12,05</w:t>
            </w:r>
          </w:p>
        </w:tc>
        <w:tc>
          <w:tcPr>
            <w:tcW w:w="795" w:type="pct"/>
            <w:tcBorders>
              <w:top w:val="nil"/>
              <w:left w:val="nil"/>
              <w:bottom w:val="nil"/>
              <w:right w:val="nil"/>
            </w:tcBorders>
            <w:shd w:val="clear" w:color="auto" w:fill="auto"/>
            <w:noWrap/>
            <w:vAlign w:val="bottom"/>
            <w:hideMark/>
          </w:tcPr>
          <w:p w14:paraId="5519F284"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2</w:t>
            </w:r>
          </w:p>
        </w:tc>
        <w:tc>
          <w:tcPr>
            <w:tcW w:w="678" w:type="pct"/>
            <w:tcBorders>
              <w:top w:val="nil"/>
              <w:left w:val="nil"/>
              <w:bottom w:val="nil"/>
              <w:right w:val="nil"/>
            </w:tcBorders>
            <w:shd w:val="clear" w:color="auto" w:fill="auto"/>
            <w:noWrap/>
            <w:vAlign w:val="bottom"/>
            <w:hideMark/>
          </w:tcPr>
          <w:p w14:paraId="5F798C2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r w:rsidR="00923319" w:rsidRPr="00A67277" w14:paraId="026D7BD9" w14:textId="77777777" w:rsidTr="00923319">
        <w:trPr>
          <w:trHeight w:val="285"/>
        </w:trPr>
        <w:tc>
          <w:tcPr>
            <w:tcW w:w="275" w:type="pct"/>
            <w:tcBorders>
              <w:top w:val="nil"/>
              <w:left w:val="nil"/>
              <w:bottom w:val="nil"/>
              <w:right w:val="nil"/>
            </w:tcBorders>
            <w:shd w:val="clear" w:color="000000" w:fill="F2F2F2"/>
            <w:noWrap/>
            <w:vAlign w:val="bottom"/>
            <w:hideMark/>
          </w:tcPr>
          <w:p w14:paraId="734D3FB6"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41</w:t>
            </w:r>
          </w:p>
        </w:tc>
        <w:tc>
          <w:tcPr>
            <w:tcW w:w="2700" w:type="pct"/>
            <w:tcBorders>
              <w:top w:val="nil"/>
              <w:left w:val="nil"/>
              <w:bottom w:val="nil"/>
              <w:right w:val="nil"/>
            </w:tcBorders>
            <w:shd w:val="clear" w:color="000000" w:fill="F2F2F2"/>
            <w:noWrap/>
            <w:vAlign w:val="bottom"/>
            <w:hideMark/>
          </w:tcPr>
          <w:p w14:paraId="75921F93" w14:textId="77777777" w:rsidR="00923319" w:rsidRPr="00A67277" w:rsidRDefault="00923319" w:rsidP="00923319">
            <w:pPr>
              <w:spacing w:after="0" w:line="240" w:lineRule="auto"/>
              <w:rPr>
                <w:rFonts w:ascii="Arial" w:eastAsia="Times New Roman" w:hAnsi="Arial" w:cs="Arial"/>
                <w:sz w:val="21"/>
                <w:szCs w:val="21"/>
              </w:rPr>
            </w:pPr>
            <w:r w:rsidRPr="00A67277">
              <w:rPr>
                <w:rFonts w:ascii="Arial" w:eastAsia="Times New Roman" w:hAnsi="Arial" w:cs="Arial"/>
                <w:sz w:val="21"/>
                <w:szCs w:val="21"/>
              </w:rPr>
              <w:t>Nusa Dua - Ngurah Rai - Benoa</w:t>
            </w:r>
          </w:p>
        </w:tc>
        <w:tc>
          <w:tcPr>
            <w:tcW w:w="552" w:type="pct"/>
            <w:tcBorders>
              <w:top w:val="nil"/>
              <w:left w:val="nil"/>
              <w:bottom w:val="nil"/>
              <w:right w:val="nil"/>
            </w:tcBorders>
            <w:shd w:val="clear" w:color="000000" w:fill="F2F2F2"/>
            <w:noWrap/>
            <w:vAlign w:val="bottom"/>
            <w:hideMark/>
          </w:tcPr>
          <w:p w14:paraId="01D2515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10,07</w:t>
            </w:r>
          </w:p>
        </w:tc>
        <w:tc>
          <w:tcPr>
            <w:tcW w:w="795" w:type="pct"/>
            <w:tcBorders>
              <w:top w:val="nil"/>
              <w:left w:val="nil"/>
              <w:bottom w:val="nil"/>
              <w:right w:val="nil"/>
            </w:tcBorders>
            <w:shd w:val="clear" w:color="000000" w:fill="F2F2F2"/>
            <w:noWrap/>
            <w:vAlign w:val="bottom"/>
            <w:hideMark/>
          </w:tcPr>
          <w:p w14:paraId="7C87A26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3</w:t>
            </w:r>
          </w:p>
        </w:tc>
        <w:tc>
          <w:tcPr>
            <w:tcW w:w="678" w:type="pct"/>
            <w:tcBorders>
              <w:top w:val="nil"/>
              <w:left w:val="nil"/>
              <w:bottom w:val="nil"/>
              <w:right w:val="nil"/>
            </w:tcBorders>
            <w:shd w:val="clear" w:color="000000" w:fill="F2F2F2"/>
            <w:noWrap/>
            <w:vAlign w:val="bottom"/>
            <w:hideMark/>
          </w:tcPr>
          <w:p w14:paraId="7A6EA99A" w14:textId="77777777" w:rsidR="00923319" w:rsidRPr="00A67277" w:rsidRDefault="00923319" w:rsidP="00923319">
            <w:pPr>
              <w:spacing w:after="0" w:line="240" w:lineRule="auto"/>
              <w:jc w:val="center"/>
              <w:rPr>
                <w:rFonts w:ascii="Arial" w:eastAsia="Times New Roman" w:hAnsi="Arial" w:cs="Arial"/>
                <w:sz w:val="21"/>
                <w:szCs w:val="21"/>
              </w:rPr>
            </w:pPr>
            <w:r w:rsidRPr="00A67277">
              <w:rPr>
                <w:rFonts w:ascii="Arial" w:eastAsia="Times New Roman" w:hAnsi="Arial" w:cs="Arial"/>
                <w:sz w:val="21"/>
                <w:szCs w:val="21"/>
              </w:rPr>
              <w:t>6</w:t>
            </w:r>
          </w:p>
        </w:tc>
      </w:tr>
    </w:tbl>
    <w:p w14:paraId="3D34F3E5" w14:textId="77777777" w:rsidR="00923319" w:rsidRPr="00A67277" w:rsidRDefault="00923319" w:rsidP="00923319"/>
    <w:p w14:paraId="337D7DA6" w14:textId="77777777" w:rsidR="00923319" w:rsidRPr="00A67277" w:rsidRDefault="00923319" w:rsidP="00923319">
      <w:r w:rsidRPr="00A67277">
        <w:br w:type="page"/>
      </w:r>
    </w:p>
    <w:p w14:paraId="704A1188" w14:textId="77777777" w:rsidR="00923319" w:rsidRPr="00A67277" w:rsidRDefault="00923319" w:rsidP="00923319"/>
    <w:tbl>
      <w:tblPr>
        <w:tblStyle w:val="TableGrid"/>
        <w:tblW w:w="969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270"/>
        <w:gridCol w:w="4567"/>
      </w:tblGrid>
      <w:tr w:rsidR="00923319" w:rsidRPr="00A67277" w14:paraId="68BF993B" w14:textId="77777777" w:rsidTr="00923319">
        <w:tc>
          <w:tcPr>
            <w:tcW w:w="4860" w:type="dxa"/>
          </w:tcPr>
          <w:p w14:paraId="648F9281" w14:textId="79B81DCC" w:rsidR="00923319" w:rsidRPr="00A67277" w:rsidRDefault="00923319" w:rsidP="00E030C4">
            <w:pPr>
              <w:pStyle w:val="SchTitle"/>
              <w:rPr>
                <w:rFonts w:cs="Arial"/>
                <w:sz w:val="21"/>
              </w:rPr>
            </w:pPr>
            <w:r w:rsidRPr="00A67277">
              <w:rPr>
                <w:rFonts w:cs="Arial"/>
                <w:sz w:val="21"/>
              </w:rPr>
              <w:t xml:space="preserve">Appendix </w:t>
            </w:r>
            <w:r w:rsidR="00E030C4" w:rsidRPr="00A67277">
              <w:rPr>
                <w:rFonts w:cs="Arial"/>
                <w:sz w:val="21"/>
              </w:rPr>
              <w:t xml:space="preserve">14 </w:t>
            </w:r>
            <w:r w:rsidRPr="00A67277">
              <w:rPr>
                <w:rFonts w:cs="Arial"/>
                <w:sz w:val="21"/>
              </w:rPr>
              <w:t>– Termination Payment</w:t>
            </w:r>
          </w:p>
        </w:tc>
        <w:tc>
          <w:tcPr>
            <w:tcW w:w="270" w:type="dxa"/>
          </w:tcPr>
          <w:p w14:paraId="72F441B1" w14:textId="77777777" w:rsidR="00923319" w:rsidRPr="00A67277" w:rsidRDefault="00923319" w:rsidP="00923319">
            <w:pPr>
              <w:spacing w:before="120" w:after="120"/>
              <w:jc w:val="center"/>
              <w:rPr>
                <w:rFonts w:ascii="Arial" w:hAnsi="Arial" w:cs="Arial"/>
                <w:sz w:val="21"/>
                <w:szCs w:val="21"/>
              </w:rPr>
            </w:pPr>
          </w:p>
        </w:tc>
        <w:tc>
          <w:tcPr>
            <w:tcW w:w="4567" w:type="dxa"/>
          </w:tcPr>
          <w:p w14:paraId="1F89138C" w14:textId="275C0F06" w:rsidR="00923319" w:rsidRPr="00A67277" w:rsidRDefault="00923319" w:rsidP="00E030C4">
            <w:pPr>
              <w:pStyle w:val="SchTitle"/>
              <w:numPr>
                <w:ilvl w:val="0"/>
                <w:numId w:val="564"/>
              </w:numPr>
              <w:rPr>
                <w:rFonts w:cs="Arial"/>
                <w:sz w:val="21"/>
              </w:rPr>
            </w:pPr>
            <w:r w:rsidRPr="00A67277">
              <w:rPr>
                <w:rFonts w:cs="Arial"/>
                <w:sz w:val="21"/>
              </w:rPr>
              <w:t xml:space="preserve">Lampiran </w:t>
            </w:r>
            <w:r w:rsidR="00E030C4" w:rsidRPr="00A67277">
              <w:rPr>
                <w:rFonts w:cs="Arial"/>
                <w:sz w:val="21"/>
              </w:rPr>
              <w:t xml:space="preserve">14 </w:t>
            </w:r>
            <w:r w:rsidRPr="00A67277">
              <w:rPr>
                <w:rFonts w:cs="Arial"/>
                <w:sz w:val="21"/>
              </w:rPr>
              <w:t>– Pembayaran Pengakhiran</w:t>
            </w:r>
          </w:p>
        </w:tc>
      </w:tr>
      <w:tr w:rsidR="00923319" w:rsidRPr="00A67277" w14:paraId="783E9318" w14:textId="77777777" w:rsidTr="00923319">
        <w:tc>
          <w:tcPr>
            <w:tcW w:w="4860" w:type="dxa"/>
          </w:tcPr>
          <w:p w14:paraId="19664F31" w14:textId="77777777" w:rsidR="00923319" w:rsidRPr="00A67277" w:rsidRDefault="00923319" w:rsidP="00923319">
            <w:pPr>
              <w:pStyle w:val="SchHeading1"/>
              <w:numPr>
                <w:ilvl w:val="2"/>
                <w:numId w:val="1"/>
              </w:numPr>
              <w:spacing w:before="120" w:after="120"/>
              <w:rPr>
                <w:rFonts w:cs="Arial"/>
                <w:lang w:val="en-US"/>
              </w:rPr>
            </w:pPr>
            <w:bookmarkStart w:id="359" w:name="_Toc501178979"/>
            <w:r w:rsidRPr="00A67277">
              <w:rPr>
                <w:rFonts w:cs="Arial"/>
                <w:lang w:val="en-US"/>
              </w:rPr>
              <w:t>Definition</w:t>
            </w:r>
            <w:bookmarkEnd w:id="359"/>
          </w:p>
        </w:tc>
        <w:tc>
          <w:tcPr>
            <w:tcW w:w="270" w:type="dxa"/>
          </w:tcPr>
          <w:p w14:paraId="04F8CDB7" w14:textId="77777777" w:rsidR="00923319" w:rsidRPr="00A67277" w:rsidRDefault="00923319" w:rsidP="00923319">
            <w:pPr>
              <w:spacing w:before="120" w:after="120"/>
              <w:rPr>
                <w:rFonts w:ascii="Arial" w:hAnsi="Arial" w:cs="Arial"/>
                <w:sz w:val="21"/>
                <w:szCs w:val="21"/>
              </w:rPr>
            </w:pPr>
          </w:p>
        </w:tc>
        <w:tc>
          <w:tcPr>
            <w:tcW w:w="4567" w:type="dxa"/>
          </w:tcPr>
          <w:p w14:paraId="57F8A0D3" w14:textId="77777777" w:rsidR="00923319" w:rsidRPr="00A67277" w:rsidRDefault="00923319" w:rsidP="00923319">
            <w:pPr>
              <w:pStyle w:val="ListParagraph"/>
              <w:numPr>
                <w:ilvl w:val="0"/>
                <w:numId w:val="583"/>
              </w:numPr>
              <w:spacing w:before="120" w:after="120" w:line="240" w:lineRule="auto"/>
              <w:ind w:hanging="648"/>
              <w:rPr>
                <w:rFonts w:cs="Arial"/>
                <w:b/>
              </w:rPr>
            </w:pPr>
            <w:r w:rsidRPr="00A67277">
              <w:rPr>
                <w:rFonts w:cs="Arial"/>
                <w:b/>
              </w:rPr>
              <w:t>Definisi</w:t>
            </w:r>
          </w:p>
        </w:tc>
      </w:tr>
      <w:tr w:rsidR="00923319" w:rsidRPr="00A67277" w14:paraId="18D9C0C8" w14:textId="77777777" w:rsidTr="00923319">
        <w:tc>
          <w:tcPr>
            <w:tcW w:w="4860" w:type="dxa"/>
          </w:tcPr>
          <w:p w14:paraId="139DF4C3" w14:textId="77777777" w:rsidR="00923319" w:rsidRPr="00A67277" w:rsidRDefault="00923319" w:rsidP="00923319">
            <w:pPr>
              <w:pStyle w:val="Body2"/>
              <w:spacing w:before="120" w:after="120"/>
              <w:ind w:right="241"/>
              <w:rPr>
                <w:rFonts w:cs="Arial"/>
              </w:rPr>
            </w:pPr>
            <w:r w:rsidRPr="00A67277">
              <w:rPr>
                <w:rFonts w:cs="Arial"/>
              </w:rPr>
              <w:t xml:space="preserve">Except as otherwise defined herein or as the context may otherwise require, any capitalized term used in this Appendix shall have the same meaning given to such term in the Agreement to which this Appendix is attached and of which is a part. </w:t>
            </w:r>
          </w:p>
        </w:tc>
        <w:tc>
          <w:tcPr>
            <w:tcW w:w="270" w:type="dxa"/>
          </w:tcPr>
          <w:p w14:paraId="2DC385D4" w14:textId="77777777" w:rsidR="00923319" w:rsidRPr="00A67277" w:rsidRDefault="00923319" w:rsidP="00923319">
            <w:pPr>
              <w:spacing w:before="120" w:after="120"/>
              <w:rPr>
                <w:rFonts w:ascii="Arial" w:hAnsi="Arial" w:cs="Arial"/>
                <w:sz w:val="21"/>
                <w:szCs w:val="21"/>
              </w:rPr>
            </w:pPr>
          </w:p>
        </w:tc>
        <w:tc>
          <w:tcPr>
            <w:tcW w:w="4567" w:type="dxa"/>
          </w:tcPr>
          <w:p w14:paraId="40F1D734" w14:textId="11B93306" w:rsidR="00923319" w:rsidRPr="00A67277" w:rsidRDefault="00923319" w:rsidP="00923319">
            <w:pPr>
              <w:spacing w:before="120" w:after="120"/>
              <w:ind w:left="762"/>
              <w:jc w:val="both"/>
              <w:rPr>
                <w:rFonts w:ascii="Arial" w:hAnsi="Arial" w:cs="Arial"/>
                <w:sz w:val="21"/>
                <w:szCs w:val="21"/>
              </w:rPr>
            </w:pPr>
            <w:r w:rsidRPr="00A67277">
              <w:rPr>
                <w:rFonts w:ascii="Arial" w:hAnsi="Arial" w:cs="Arial"/>
                <w:sz w:val="21"/>
                <w:szCs w:val="21"/>
              </w:rPr>
              <w:t xml:space="preserve">Kecuali didefinisikan lain atau konteksnya menentukan lain, setiap istilah dengan huruf </w:t>
            </w:r>
            <w:r w:rsidR="00830B91" w:rsidRPr="00A67277">
              <w:rPr>
                <w:rFonts w:ascii="Arial" w:hAnsi="Arial" w:cs="Arial"/>
                <w:sz w:val="21"/>
                <w:szCs w:val="21"/>
              </w:rPr>
              <w:t>K</w:t>
            </w:r>
            <w:r w:rsidRPr="00A67277">
              <w:rPr>
                <w:rFonts w:ascii="Arial" w:hAnsi="Arial" w:cs="Arial"/>
                <w:sz w:val="21"/>
                <w:szCs w:val="21"/>
              </w:rPr>
              <w:t>apital yang digunakan dalam Lampiran ini memiliki arti yang sama sebagaimana diberikan pada istilah tersebut dalam Perjanjian dimana Lampiran ini terlampir dan menjadi bagian daripadanya.</w:t>
            </w:r>
          </w:p>
        </w:tc>
      </w:tr>
      <w:tr w:rsidR="00923319" w:rsidRPr="00A67277" w14:paraId="3FECBA67" w14:textId="77777777" w:rsidTr="00923319">
        <w:trPr>
          <w:trHeight w:val="683"/>
        </w:trPr>
        <w:tc>
          <w:tcPr>
            <w:tcW w:w="4860" w:type="dxa"/>
          </w:tcPr>
          <w:p w14:paraId="74C578CB" w14:textId="77777777" w:rsidR="00923319" w:rsidRPr="00A67277" w:rsidRDefault="00923319" w:rsidP="00923319">
            <w:pPr>
              <w:pStyle w:val="Body2"/>
              <w:spacing w:before="120" w:after="120"/>
              <w:rPr>
                <w:rFonts w:cs="Arial"/>
              </w:rPr>
            </w:pPr>
            <w:bookmarkStart w:id="360" w:name="_Toc501178980"/>
            <w:r w:rsidRPr="00A67277">
              <w:rPr>
                <w:rFonts w:cs="Arial"/>
              </w:rPr>
              <w:t>For the purpose of this Appendix, the following terms shall have the meaning as below:</w:t>
            </w:r>
            <w:bookmarkEnd w:id="360"/>
          </w:p>
        </w:tc>
        <w:tc>
          <w:tcPr>
            <w:tcW w:w="270" w:type="dxa"/>
          </w:tcPr>
          <w:p w14:paraId="56B7F02B" w14:textId="77777777" w:rsidR="00923319" w:rsidRPr="00A67277" w:rsidRDefault="00923319" w:rsidP="00923319">
            <w:pPr>
              <w:spacing w:before="120" w:after="120"/>
              <w:rPr>
                <w:rFonts w:ascii="Arial" w:hAnsi="Arial" w:cs="Arial"/>
                <w:sz w:val="21"/>
                <w:szCs w:val="21"/>
              </w:rPr>
            </w:pPr>
          </w:p>
        </w:tc>
        <w:tc>
          <w:tcPr>
            <w:tcW w:w="4567" w:type="dxa"/>
          </w:tcPr>
          <w:p w14:paraId="6985752A"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sz w:val="21"/>
                <w:szCs w:val="21"/>
              </w:rPr>
              <w:t>Untuk Lampiran ini, istilah berikut memiliki pengertian sebagaimana di bawah ini:</w:t>
            </w:r>
          </w:p>
        </w:tc>
      </w:tr>
      <w:tr w:rsidR="00923319" w:rsidRPr="00A67277" w14:paraId="333FF51B" w14:textId="77777777" w:rsidTr="00923319">
        <w:tc>
          <w:tcPr>
            <w:tcW w:w="4860" w:type="dxa"/>
          </w:tcPr>
          <w:p w14:paraId="77B7DBB4" w14:textId="77777777" w:rsidR="00923319" w:rsidRPr="00A67277" w:rsidRDefault="00923319" w:rsidP="00923319">
            <w:pPr>
              <w:pStyle w:val="Body2"/>
              <w:spacing w:before="120" w:after="120"/>
              <w:rPr>
                <w:rFonts w:cs="Arial"/>
              </w:rPr>
            </w:pPr>
            <w:r w:rsidRPr="00A67277">
              <w:rPr>
                <w:rFonts w:cs="Arial"/>
                <w:b/>
              </w:rPr>
              <w:t>"Calculation Date"</w:t>
            </w:r>
            <w:r w:rsidRPr="00A67277">
              <w:rPr>
                <w:rFonts w:cs="Arial"/>
              </w:rPr>
              <w:t xml:space="preserve"> means the date specified for termination in the Termination Notice.</w:t>
            </w:r>
          </w:p>
        </w:tc>
        <w:tc>
          <w:tcPr>
            <w:tcW w:w="270" w:type="dxa"/>
          </w:tcPr>
          <w:p w14:paraId="637483DF" w14:textId="77777777" w:rsidR="00923319" w:rsidRPr="00A67277" w:rsidRDefault="00923319" w:rsidP="00923319">
            <w:pPr>
              <w:spacing w:before="120" w:after="120"/>
              <w:rPr>
                <w:rFonts w:ascii="Arial" w:hAnsi="Arial" w:cs="Arial"/>
                <w:sz w:val="21"/>
                <w:szCs w:val="21"/>
              </w:rPr>
            </w:pPr>
          </w:p>
        </w:tc>
        <w:tc>
          <w:tcPr>
            <w:tcW w:w="4567" w:type="dxa"/>
          </w:tcPr>
          <w:p w14:paraId="07F3E90B"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“Tanggal Perhitungan”</w:t>
            </w:r>
            <w:r w:rsidRPr="00A67277">
              <w:rPr>
                <w:rFonts w:ascii="Arial" w:hAnsi="Arial" w:cs="Arial"/>
                <w:sz w:val="21"/>
                <w:szCs w:val="21"/>
              </w:rPr>
              <w:t xml:space="preserve"> berarti tanggal spesifik untuk pengakhiran dalam Pemberitahuan Pengakhiran.</w:t>
            </w:r>
          </w:p>
        </w:tc>
      </w:tr>
      <w:tr w:rsidR="00923319" w:rsidRPr="00A67277" w14:paraId="5E0C955B" w14:textId="77777777" w:rsidTr="00923319">
        <w:tc>
          <w:tcPr>
            <w:tcW w:w="4860" w:type="dxa"/>
          </w:tcPr>
          <w:p w14:paraId="37AAE9CC"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Contractor Termination Cost</w:t>
            </w:r>
            <w:r w:rsidRPr="00A67277">
              <w:rPr>
                <w:rFonts w:cs="Arial"/>
              </w:rPr>
              <w:t>"</w:t>
            </w:r>
            <w:r w:rsidRPr="00A67277">
              <w:rPr>
                <w:rFonts w:cs="Arial"/>
                <w:b/>
              </w:rPr>
              <w:t xml:space="preserve"> </w:t>
            </w:r>
            <w:r w:rsidRPr="00A67277">
              <w:rPr>
                <w:rFonts w:cs="Arial"/>
              </w:rPr>
              <w:t>means any Loss which the Contractor has been / will be reasonably occurred as a direct result of termination of this Agreement, but only applicable if:</w:t>
            </w:r>
          </w:p>
        </w:tc>
        <w:tc>
          <w:tcPr>
            <w:tcW w:w="270" w:type="dxa"/>
          </w:tcPr>
          <w:p w14:paraId="32D7FA8C" w14:textId="77777777" w:rsidR="00923319" w:rsidRPr="00A67277" w:rsidRDefault="00923319" w:rsidP="00923319">
            <w:pPr>
              <w:spacing w:before="120" w:after="120"/>
              <w:rPr>
                <w:rFonts w:ascii="Arial" w:hAnsi="Arial" w:cs="Arial"/>
                <w:sz w:val="21"/>
                <w:szCs w:val="21"/>
              </w:rPr>
            </w:pPr>
          </w:p>
        </w:tc>
        <w:tc>
          <w:tcPr>
            <w:tcW w:w="4567" w:type="dxa"/>
          </w:tcPr>
          <w:p w14:paraId="22B3929F"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“Biaya Pengakhiran Kontraktor”</w:t>
            </w:r>
            <w:r w:rsidRPr="00A67277">
              <w:rPr>
                <w:rFonts w:ascii="Arial" w:hAnsi="Arial" w:cs="Arial"/>
                <w:sz w:val="21"/>
                <w:szCs w:val="21"/>
              </w:rPr>
              <w:t xml:space="preserve"> berarti setiap Kerugian yang telah/akan terjadi secara wajar pada Kontraktor sebagai hasil langsung pengakhiran Perjanjian ini, namun hanya berlaku jika:</w:t>
            </w:r>
          </w:p>
        </w:tc>
      </w:tr>
      <w:tr w:rsidR="00923319" w:rsidRPr="00A67277" w14:paraId="61B4B1CB" w14:textId="77777777" w:rsidTr="00923319">
        <w:tc>
          <w:tcPr>
            <w:tcW w:w="4860" w:type="dxa"/>
          </w:tcPr>
          <w:p w14:paraId="23CABBB9" w14:textId="77777777" w:rsidR="00923319" w:rsidRPr="00A67277" w:rsidRDefault="00923319" w:rsidP="00923319">
            <w:pPr>
              <w:pStyle w:val="SchNumber3"/>
              <w:tabs>
                <w:tab w:val="clear" w:pos="1418"/>
                <w:tab w:val="num" w:pos="1688"/>
              </w:tabs>
              <w:spacing w:before="120" w:after="120"/>
              <w:ind w:left="1238" w:hanging="540"/>
              <w:rPr>
                <w:rFonts w:cs="Arial"/>
              </w:rPr>
            </w:pPr>
            <w:bookmarkStart w:id="361" w:name="_Toc501178981"/>
            <w:r w:rsidRPr="00A67277">
              <w:rPr>
                <w:rFonts w:cs="Arial"/>
              </w:rPr>
              <w:t>the Loss arising related to the Project, includes:</w:t>
            </w:r>
            <w:bookmarkEnd w:id="361"/>
          </w:p>
        </w:tc>
        <w:tc>
          <w:tcPr>
            <w:tcW w:w="270" w:type="dxa"/>
          </w:tcPr>
          <w:p w14:paraId="33905EC2" w14:textId="77777777" w:rsidR="00923319" w:rsidRPr="00A67277" w:rsidRDefault="00923319" w:rsidP="00923319">
            <w:pPr>
              <w:spacing w:before="120" w:after="120"/>
              <w:rPr>
                <w:rFonts w:ascii="Arial" w:hAnsi="Arial" w:cs="Arial"/>
                <w:sz w:val="21"/>
                <w:szCs w:val="21"/>
              </w:rPr>
            </w:pPr>
          </w:p>
        </w:tc>
        <w:tc>
          <w:tcPr>
            <w:tcW w:w="4567" w:type="dxa"/>
          </w:tcPr>
          <w:p w14:paraId="448FF4F2" w14:textId="77777777" w:rsidR="00923319" w:rsidRPr="00A67277" w:rsidRDefault="00923319" w:rsidP="00923319">
            <w:pPr>
              <w:pStyle w:val="ListParagraph"/>
              <w:numPr>
                <w:ilvl w:val="0"/>
                <w:numId w:val="584"/>
              </w:numPr>
              <w:spacing w:before="120" w:after="120" w:line="240" w:lineRule="auto"/>
              <w:ind w:left="1032"/>
              <w:rPr>
                <w:rFonts w:cs="Arial"/>
              </w:rPr>
            </w:pPr>
            <w:r w:rsidRPr="00A67277">
              <w:rPr>
                <w:rFonts w:cs="Arial"/>
              </w:rPr>
              <w:t>kerugian yang terjadi berhubungan dengan Proyek, termasuk:</w:t>
            </w:r>
          </w:p>
        </w:tc>
      </w:tr>
      <w:tr w:rsidR="00923319" w:rsidRPr="00A67277" w14:paraId="4BA7F2AB" w14:textId="77777777" w:rsidTr="00923319">
        <w:tc>
          <w:tcPr>
            <w:tcW w:w="4860" w:type="dxa"/>
          </w:tcPr>
          <w:p w14:paraId="6C159654" w14:textId="77777777" w:rsidR="00923319" w:rsidRPr="00A67277" w:rsidRDefault="00923319" w:rsidP="00923319">
            <w:pPr>
              <w:pStyle w:val="SchNumber4"/>
              <w:tabs>
                <w:tab w:val="clear" w:pos="2126"/>
                <w:tab w:val="num" w:pos="2498"/>
              </w:tabs>
              <w:spacing w:before="120" w:after="120"/>
              <w:ind w:left="1598" w:hanging="360"/>
              <w:rPr>
                <w:rFonts w:cs="Arial"/>
              </w:rPr>
            </w:pPr>
            <w:r w:rsidRPr="00A67277">
              <w:rPr>
                <w:rFonts w:cs="Arial"/>
              </w:rPr>
              <w:t>materials or items ordered or subcontracts made which cannot be cancelled without the incurrence of any Loss;</w:t>
            </w:r>
          </w:p>
        </w:tc>
        <w:tc>
          <w:tcPr>
            <w:tcW w:w="270" w:type="dxa"/>
          </w:tcPr>
          <w:p w14:paraId="13350FB3" w14:textId="77777777" w:rsidR="00923319" w:rsidRPr="00A67277" w:rsidRDefault="00923319" w:rsidP="00923319">
            <w:pPr>
              <w:spacing w:before="120" w:after="120"/>
              <w:rPr>
                <w:rFonts w:ascii="Arial" w:hAnsi="Arial" w:cs="Arial"/>
                <w:sz w:val="21"/>
                <w:szCs w:val="21"/>
              </w:rPr>
            </w:pPr>
          </w:p>
        </w:tc>
        <w:tc>
          <w:tcPr>
            <w:tcW w:w="4567" w:type="dxa"/>
          </w:tcPr>
          <w:p w14:paraId="75A8112D" w14:textId="77777777" w:rsidR="00923319" w:rsidRPr="00A67277" w:rsidRDefault="00923319" w:rsidP="00923319">
            <w:pPr>
              <w:pStyle w:val="ListParagraph"/>
              <w:numPr>
                <w:ilvl w:val="0"/>
                <w:numId w:val="585"/>
              </w:numPr>
              <w:spacing w:before="120" w:after="120" w:line="240" w:lineRule="auto"/>
              <w:ind w:left="1392" w:hanging="228"/>
              <w:rPr>
                <w:rFonts w:cs="Arial"/>
              </w:rPr>
            </w:pPr>
            <w:r w:rsidRPr="00A67277">
              <w:rPr>
                <w:rFonts w:cs="Arial"/>
              </w:rPr>
              <w:t>bahan atau barang yang dipesan atau dibuat subkontrak yang tidak dapat dibatalkan tanpa Kerugian apapun;</w:t>
            </w:r>
          </w:p>
        </w:tc>
      </w:tr>
      <w:tr w:rsidR="00923319" w:rsidRPr="00A67277" w14:paraId="6099E445" w14:textId="77777777" w:rsidTr="00923319">
        <w:tc>
          <w:tcPr>
            <w:tcW w:w="4860" w:type="dxa"/>
          </w:tcPr>
          <w:p w14:paraId="051565C3" w14:textId="77777777" w:rsidR="00923319" w:rsidRPr="00A67277" w:rsidRDefault="00923319" w:rsidP="00923319">
            <w:pPr>
              <w:pStyle w:val="SchNumber4"/>
              <w:tabs>
                <w:tab w:val="clear" w:pos="2126"/>
                <w:tab w:val="num" w:pos="2498"/>
              </w:tabs>
              <w:spacing w:before="120" w:after="120"/>
              <w:ind w:left="1598" w:hanging="360"/>
              <w:rPr>
                <w:rFonts w:cs="Arial"/>
              </w:rPr>
            </w:pPr>
            <w:r w:rsidRPr="00A67277">
              <w:rPr>
                <w:rFonts w:cs="Arial"/>
              </w:rPr>
              <w:t>any expenses spent in anticipation of future non-reimbursable service or work completion;</w:t>
            </w:r>
          </w:p>
        </w:tc>
        <w:tc>
          <w:tcPr>
            <w:tcW w:w="270" w:type="dxa"/>
          </w:tcPr>
          <w:p w14:paraId="20EDA2F0" w14:textId="77777777" w:rsidR="00923319" w:rsidRPr="00A67277" w:rsidRDefault="00923319" w:rsidP="00923319">
            <w:pPr>
              <w:spacing w:before="120" w:after="120"/>
              <w:rPr>
                <w:rFonts w:ascii="Arial" w:hAnsi="Arial" w:cs="Arial"/>
                <w:sz w:val="21"/>
                <w:szCs w:val="21"/>
              </w:rPr>
            </w:pPr>
          </w:p>
        </w:tc>
        <w:tc>
          <w:tcPr>
            <w:tcW w:w="4567" w:type="dxa"/>
          </w:tcPr>
          <w:p w14:paraId="57909466" w14:textId="77777777" w:rsidR="00923319" w:rsidRPr="00A67277" w:rsidRDefault="00923319" w:rsidP="00923319">
            <w:pPr>
              <w:pStyle w:val="ListParagraph"/>
              <w:numPr>
                <w:ilvl w:val="0"/>
                <w:numId w:val="585"/>
              </w:numPr>
              <w:spacing w:before="120" w:after="120" w:line="240" w:lineRule="auto"/>
              <w:ind w:left="1392" w:hanging="228"/>
              <w:rPr>
                <w:rFonts w:cs="Arial"/>
              </w:rPr>
            </w:pPr>
            <w:r w:rsidRPr="00A67277">
              <w:rPr>
                <w:rFonts w:cs="Arial"/>
              </w:rPr>
              <w:t>segala pengeluaran yang dibelanjakan dalam antisipasi layanan yang tidak dapat diganti di masa depan atau penyelesaian pekerjaan;</w:t>
            </w:r>
          </w:p>
        </w:tc>
      </w:tr>
      <w:tr w:rsidR="00923319" w:rsidRPr="00A67277" w14:paraId="490280D1" w14:textId="77777777" w:rsidTr="00923319">
        <w:tc>
          <w:tcPr>
            <w:tcW w:w="4860" w:type="dxa"/>
          </w:tcPr>
          <w:p w14:paraId="0AD71565" w14:textId="77777777" w:rsidR="00923319" w:rsidRPr="00A67277" w:rsidRDefault="00923319" w:rsidP="00923319">
            <w:pPr>
              <w:pStyle w:val="SchNumber4"/>
              <w:tabs>
                <w:tab w:val="clear" w:pos="2126"/>
                <w:tab w:val="num" w:pos="2498"/>
              </w:tabs>
              <w:spacing w:before="120" w:after="120"/>
              <w:ind w:left="1598" w:hanging="360"/>
              <w:rPr>
                <w:rFonts w:cs="Arial"/>
              </w:rPr>
            </w:pPr>
            <w:r w:rsidRPr="00A67277">
              <w:rPr>
                <w:rFonts w:cs="Arial"/>
              </w:rPr>
              <w:t>the cost of demolition includes the cost of transfer of equipment used related to the Project; and</w:t>
            </w:r>
          </w:p>
        </w:tc>
        <w:tc>
          <w:tcPr>
            <w:tcW w:w="270" w:type="dxa"/>
          </w:tcPr>
          <w:p w14:paraId="785C6D80" w14:textId="77777777" w:rsidR="00923319" w:rsidRPr="00A67277" w:rsidRDefault="00923319" w:rsidP="00923319">
            <w:pPr>
              <w:spacing w:before="120" w:after="120"/>
              <w:rPr>
                <w:rFonts w:ascii="Arial" w:hAnsi="Arial" w:cs="Arial"/>
                <w:sz w:val="21"/>
                <w:szCs w:val="21"/>
              </w:rPr>
            </w:pPr>
          </w:p>
        </w:tc>
        <w:tc>
          <w:tcPr>
            <w:tcW w:w="4567" w:type="dxa"/>
          </w:tcPr>
          <w:p w14:paraId="0CE1AEFB" w14:textId="77777777" w:rsidR="00923319" w:rsidRPr="00A67277" w:rsidRDefault="00923319" w:rsidP="00923319">
            <w:pPr>
              <w:pStyle w:val="ListParagraph"/>
              <w:numPr>
                <w:ilvl w:val="0"/>
                <w:numId w:val="585"/>
              </w:numPr>
              <w:spacing w:before="120" w:after="120" w:line="240" w:lineRule="auto"/>
              <w:ind w:left="1392" w:hanging="228"/>
              <w:rPr>
                <w:rFonts w:cs="Arial"/>
              </w:rPr>
            </w:pPr>
            <w:r w:rsidRPr="00A67277">
              <w:rPr>
                <w:rFonts w:cs="Arial"/>
              </w:rPr>
              <w:t>biaya pembongkaran termasuk biaya perpindahan peralatan yang digunakan sehubungan dengan Proyek; dan</w:t>
            </w:r>
          </w:p>
        </w:tc>
      </w:tr>
      <w:tr w:rsidR="00923319" w:rsidRPr="00A67277" w14:paraId="3C30AC87" w14:textId="77777777" w:rsidTr="00923319">
        <w:tc>
          <w:tcPr>
            <w:tcW w:w="4860" w:type="dxa"/>
          </w:tcPr>
          <w:p w14:paraId="00149D28" w14:textId="77777777" w:rsidR="00923319" w:rsidRPr="00A67277" w:rsidRDefault="00923319" w:rsidP="00923319">
            <w:pPr>
              <w:pStyle w:val="SchNumber4"/>
              <w:tabs>
                <w:tab w:val="clear" w:pos="2126"/>
                <w:tab w:val="num" w:pos="2498"/>
              </w:tabs>
              <w:spacing w:before="120" w:after="120"/>
              <w:ind w:left="1598" w:hanging="360"/>
              <w:rPr>
                <w:rFonts w:cs="Arial"/>
              </w:rPr>
            </w:pPr>
            <w:r w:rsidRPr="00A67277">
              <w:rPr>
                <w:rFonts w:cs="Arial"/>
              </w:rPr>
              <w:t>employee termination payment;</w:t>
            </w:r>
          </w:p>
        </w:tc>
        <w:tc>
          <w:tcPr>
            <w:tcW w:w="270" w:type="dxa"/>
          </w:tcPr>
          <w:p w14:paraId="31DDC918" w14:textId="77777777" w:rsidR="00923319" w:rsidRPr="00A67277" w:rsidRDefault="00923319" w:rsidP="00923319">
            <w:pPr>
              <w:spacing w:before="120" w:after="120"/>
              <w:rPr>
                <w:rFonts w:ascii="Arial" w:hAnsi="Arial" w:cs="Arial"/>
                <w:sz w:val="21"/>
                <w:szCs w:val="21"/>
              </w:rPr>
            </w:pPr>
          </w:p>
        </w:tc>
        <w:tc>
          <w:tcPr>
            <w:tcW w:w="4567" w:type="dxa"/>
          </w:tcPr>
          <w:p w14:paraId="24787517" w14:textId="08E7187E" w:rsidR="00923319" w:rsidRPr="00A67277" w:rsidRDefault="00923319" w:rsidP="00923319">
            <w:pPr>
              <w:pStyle w:val="ListParagraph"/>
              <w:numPr>
                <w:ilvl w:val="0"/>
                <w:numId w:val="585"/>
              </w:numPr>
              <w:spacing w:before="120" w:after="120" w:line="240" w:lineRule="auto"/>
              <w:ind w:left="1392" w:hanging="228"/>
              <w:rPr>
                <w:rFonts w:cs="Arial"/>
              </w:rPr>
            </w:pPr>
            <w:r w:rsidRPr="00A67277">
              <w:rPr>
                <w:rFonts w:cs="Arial"/>
              </w:rPr>
              <w:t xml:space="preserve">pembayaran pengakhiran </w:t>
            </w:r>
            <w:r w:rsidR="00830B91" w:rsidRPr="00A67277">
              <w:rPr>
                <w:rFonts w:cs="Arial"/>
              </w:rPr>
              <w:t>karyawan</w:t>
            </w:r>
            <w:r w:rsidRPr="00A67277">
              <w:rPr>
                <w:rFonts w:cs="Arial"/>
              </w:rPr>
              <w:t>;</w:t>
            </w:r>
          </w:p>
        </w:tc>
      </w:tr>
      <w:tr w:rsidR="00923319" w:rsidRPr="00A67277" w14:paraId="0C0C25A4" w14:textId="77777777" w:rsidTr="00923319">
        <w:tc>
          <w:tcPr>
            <w:tcW w:w="4860" w:type="dxa"/>
          </w:tcPr>
          <w:p w14:paraId="32578139" w14:textId="77777777" w:rsidR="00923319" w:rsidRPr="00A67277" w:rsidRDefault="00923319" w:rsidP="00923319">
            <w:pPr>
              <w:pStyle w:val="SchNumber3"/>
              <w:tabs>
                <w:tab w:val="clear" w:pos="1418"/>
                <w:tab w:val="num" w:pos="1688"/>
              </w:tabs>
              <w:spacing w:before="120" w:after="120"/>
              <w:ind w:left="1238" w:hanging="540"/>
              <w:rPr>
                <w:rFonts w:cs="Arial"/>
              </w:rPr>
            </w:pPr>
            <w:bookmarkStart w:id="362" w:name="_Toc501178983"/>
            <w:r w:rsidRPr="00A67277">
              <w:rPr>
                <w:rFonts w:cs="Arial"/>
              </w:rPr>
              <w:t>each contractor and sub-contractor has exercised their best effort to rectify the Losses;</w:t>
            </w:r>
            <w:bookmarkEnd w:id="362"/>
          </w:p>
        </w:tc>
        <w:tc>
          <w:tcPr>
            <w:tcW w:w="270" w:type="dxa"/>
          </w:tcPr>
          <w:p w14:paraId="62053ACD" w14:textId="77777777" w:rsidR="00923319" w:rsidRPr="00A67277" w:rsidRDefault="00923319" w:rsidP="00923319">
            <w:pPr>
              <w:spacing w:before="120" w:after="120"/>
              <w:rPr>
                <w:rFonts w:ascii="Arial" w:hAnsi="Arial" w:cs="Arial"/>
                <w:sz w:val="21"/>
                <w:szCs w:val="21"/>
              </w:rPr>
            </w:pPr>
          </w:p>
        </w:tc>
        <w:tc>
          <w:tcPr>
            <w:tcW w:w="4567" w:type="dxa"/>
          </w:tcPr>
          <w:p w14:paraId="7DADB52B" w14:textId="77777777" w:rsidR="00923319" w:rsidRPr="00A67277" w:rsidRDefault="00923319" w:rsidP="00923319">
            <w:pPr>
              <w:pStyle w:val="ListParagraph"/>
              <w:numPr>
                <w:ilvl w:val="0"/>
                <w:numId w:val="584"/>
              </w:numPr>
              <w:spacing w:before="120" w:after="120" w:line="240" w:lineRule="auto"/>
              <w:ind w:left="1032"/>
              <w:rPr>
                <w:rFonts w:cs="Arial"/>
              </w:rPr>
            </w:pPr>
            <w:r w:rsidRPr="00A67277">
              <w:rPr>
                <w:rFonts w:cs="Arial"/>
              </w:rPr>
              <w:t>setiap kontraktor dan subkontraktor telah melakukan usaha terbaiknya untuk memperbaikin Kerugian;</w:t>
            </w:r>
          </w:p>
        </w:tc>
      </w:tr>
      <w:tr w:rsidR="00923319" w:rsidRPr="00A67277" w14:paraId="102573B5" w14:textId="77777777" w:rsidTr="00923319">
        <w:tc>
          <w:tcPr>
            <w:tcW w:w="4860" w:type="dxa"/>
          </w:tcPr>
          <w:p w14:paraId="58B6CE2E"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Cost Component</w:t>
            </w:r>
            <w:r w:rsidRPr="00A67277">
              <w:rPr>
                <w:rFonts w:cs="Arial"/>
              </w:rPr>
              <w:t>" or "</w:t>
            </w:r>
            <w:r w:rsidRPr="00A67277">
              <w:rPr>
                <w:rFonts w:cs="Arial"/>
                <w:b/>
              </w:rPr>
              <w:t>C</w:t>
            </w:r>
            <w:r w:rsidRPr="00A67277">
              <w:rPr>
                <w:rFonts w:cs="Arial"/>
              </w:rPr>
              <w:t xml:space="preserve">" means the aggregate of: </w:t>
            </w:r>
          </w:p>
        </w:tc>
        <w:tc>
          <w:tcPr>
            <w:tcW w:w="270" w:type="dxa"/>
          </w:tcPr>
          <w:p w14:paraId="78109692" w14:textId="77777777" w:rsidR="00923319" w:rsidRPr="00A67277" w:rsidRDefault="00923319" w:rsidP="00923319">
            <w:pPr>
              <w:spacing w:before="120" w:after="120"/>
              <w:rPr>
                <w:rFonts w:ascii="Arial" w:hAnsi="Arial" w:cs="Arial"/>
                <w:sz w:val="21"/>
                <w:szCs w:val="21"/>
              </w:rPr>
            </w:pPr>
          </w:p>
        </w:tc>
        <w:tc>
          <w:tcPr>
            <w:tcW w:w="4567" w:type="dxa"/>
          </w:tcPr>
          <w:p w14:paraId="2F6D5367" w14:textId="77777777" w:rsidR="00923319" w:rsidRPr="00A67277" w:rsidRDefault="00923319" w:rsidP="00923319">
            <w:pPr>
              <w:spacing w:before="120" w:after="120"/>
              <w:ind w:left="762"/>
              <w:jc w:val="both"/>
              <w:rPr>
                <w:rFonts w:ascii="Arial" w:hAnsi="Arial" w:cs="Arial"/>
                <w:sz w:val="21"/>
                <w:szCs w:val="21"/>
                <w:lang w:val="de-DE"/>
              </w:rPr>
            </w:pPr>
            <w:r w:rsidRPr="00A67277">
              <w:rPr>
                <w:rFonts w:ascii="Arial" w:hAnsi="Arial" w:cs="Arial"/>
                <w:b/>
                <w:sz w:val="21"/>
                <w:szCs w:val="21"/>
              </w:rPr>
              <w:t xml:space="preserve"> </w:t>
            </w:r>
            <w:r w:rsidRPr="00A67277">
              <w:rPr>
                <w:rFonts w:ascii="Arial" w:hAnsi="Arial" w:cs="Arial"/>
                <w:b/>
                <w:sz w:val="21"/>
                <w:szCs w:val="21"/>
                <w:lang w:val="de-DE"/>
              </w:rPr>
              <w:t>“Komponen Biaya”</w:t>
            </w:r>
            <w:r w:rsidRPr="00A67277">
              <w:rPr>
                <w:rFonts w:ascii="Arial" w:hAnsi="Arial" w:cs="Arial"/>
                <w:sz w:val="21"/>
                <w:szCs w:val="21"/>
                <w:lang w:val="de-DE"/>
              </w:rPr>
              <w:t xml:space="preserve"> atau </w:t>
            </w:r>
            <w:r w:rsidRPr="00A67277">
              <w:rPr>
                <w:rFonts w:ascii="Arial" w:hAnsi="Arial" w:cs="Arial"/>
                <w:b/>
                <w:sz w:val="21"/>
                <w:szCs w:val="21"/>
                <w:lang w:val="de-DE"/>
              </w:rPr>
              <w:t>“C”</w:t>
            </w:r>
            <w:r w:rsidRPr="00A67277">
              <w:rPr>
                <w:rFonts w:ascii="Arial" w:hAnsi="Arial" w:cs="Arial"/>
                <w:sz w:val="21"/>
                <w:szCs w:val="21"/>
                <w:lang w:val="de-DE"/>
              </w:rPr>
              <w:t xml:space="preserve"> berarti hasil dari: </w:t>
            </w:r>
          </w:p>
        </w:tc>
      </w:tr>
      <w:tr w:rsidR="00923319" w:rsidRPr="00A67277" w14:paraId="6936358E" w14:textId="77777777" w:rsidTr="00923319">
        <w:tc>
          <w:tcPr>
            <w:tcW w:w="4860" w:type="dxa"/>
          </w:tcPr>
          <w:p w14:paraId="07D49FB4"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3" w:name="_Toc501178984"/>
            <w:r w:rsidRPr="00A67277">
              <w:rPr>
                <w:rFonts w:cs="Arial"/>
              </w:rPr>
              <w:t>Contractor Termination Cost; plus</w:t>
            </w:r>
            <w:bookmarkEnd w:id="363"/>
          </w:p>
        </w:tc>
        <w:tc>
          <w:tcPr>
            <w:tcW w:w="270" w:type="dxa"/>
          </w:tcPr>
          <w:p w14:paraId="02FF71AB" w14:textId="77777777" w:rsidR="00923319" w:rsidRPr="00A67277" w:rsidRDefault="00923319" w:rsidP="00923319">
            <w:pPr>
              <w:spacing w:before="120" w:after="120"/>
              <w:rPr>
                <w:rFonts w:ascii="Arial" w:hAnsi="Arial" w:cs="Arial"/>
                <w:sz w:val="21"/>
                <w:szCs w:val="21"/>
              </w:rPr>
            </w:pPr>
          </w:p>
        </w:tc>
        <w:tc>
          <w:tcPr>
            <w:tcW w:w="4567" w:type="dxa"/>
          </w:tcPr>
          <w:p w14:paraId="1CB86638" w14:textId="77777777"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biaya Pengakhiran Kontraktor; tambah</w:t>
            </w:r>
          </w:p>
        </w:tc>
      </w:tr>
      <w:tr w:rsidR="00923319" w:rsidRPr="00A67277" w14:paraId="067586E3" w14:textId="77777777" w:rsidTr="00923319">
        <w:tc>
          <w:tcPr>
            <w:tcW w:w="4860" w:type="dxa"/>
          </w:tcPr>
          <w:p w14:paraId="5FB176CE"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4" w:name="_Toc501178985"/>
            <w:r w:rsidRPr="00A67277">
              <w:rPr>
                <w:rFonts w:cs="Arial"/>
              </w:rPr>
              <w:t>all amounts payable and must be paid by the IBE to the supplier of the goods and services upon termination of such supply of goods and services contract related to the completion of the work by the supplier and the work which has not been paid by the IBE and for such purpose is not taken from the proceeds of Senior Debt or Equity; plus</w:t>
            </w:r>
            <w:bookmarkEnd w:id="364"/>
          </w:p>
        </w:tc>
        <w:tc>
          <w:tcPr>
            <w:tcW w:w="270" w:type="dxa"/>
          </w:tcPr>
          <w:p w14:paraId="36279E18" w14:textId="77777777" w:rsidR="00923319" w:rsidRPr="00A67277" w:rsidRDefault="00923319" w:rsidP="00923319">
            <w:pPr>
              <w:spacing w:before="120" w:after="120"/>
              <w:rPr>
                <w:rFonts w:ascii="Arial" w:hAnsi="Arial" w:cs="Arial"/>
                <w:sz w:val="21"/>
                <w:szCs w:val="21"/>
              </w:rPr>
            </w:pPr>
          </w:p>
        </w:tc>
        <w:tc>
          <w:tcPr>
            <w:tcW w:w="4567" w:type="dxa"/>
          </w:tcPr>
          <w:p w14:paraId="28E8CFB8" w14:textId="77777777"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seluruh jumlah yang dapat dibayarkan dan harus dibayarkan oleh BUP kepada pemasok barang dan jasa atas pengakhiran pemasokan barang dan jasa tersebut sehubungan dengan penyelesaian pekerjaan oleh pemasok dan pekerjaan yang belum dibayarkan oleh BUP dan untuk tujuan tersebut tidak dilakukan dari Hutang Senior atau Ekuitas; tambah</w:t>
            </w:r>
          </w:p>
        </w:tc>
      </w:tr>
      <w:tr w:rsidR="00923319" w:rsidRPr="00A67277" w14:paraId="5D049E6E" w14:textId="77777777" w:rsidTr="00923319">
        <w:tc>
          <w:tcPr>
            <w:tcW w:w="4860" w:type="dxa"/>
          </w:tcPr>
          <w:p w14:paraId="65C4590D"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5" w:name="_Toc501178986"/>
            <w:r w:rsidRPr="00A67277">
              <w:rPr>
                <w:rFonts w:cs="Arial"/>
              </w:rPr>
              <w:t>all income taxes, receipts, sales taxes, value added taxes, transfer taxes, property taxes or other taxes and charges imposed on IBE by the GCA as a result of termination of the Agreement, transfer of right, title of ownership and interest of IBE to the Project to GCA, as well as payment of Termination Cost; plus</w:t>
            </w:r>
            <w:bookmarkEnd w:id="365"/>
          </w:p>
        </w:tc>
        <w:tc>
          <w:tcPr>
            <w:tcW w:w="270" w:type="dxa"/>
          </w:tcPr>
          <w:p w14:paraId="38993678" w14:textId="77777777" w:rsidR="00923319" w:rsidRPr="00A67277" w:rsidRDefault="00923319" w:rsidP="00923319">
            <w:pPr>
              <w:spacing w:before="120" w:after="120"/>
              <w:rPr>
                <w:rFonts w:ascii="Arial" w:hAnsi="Arial" w:cs="Arial"/>
                <w:sz w:val="21"/>
                <w:szCs w:val="21"/>
              </w:rPr>
            </w:pPr>
          </w:p>
        </w:tc>
        <w:tc>
          <w:tcPr>
            <w:tcW w:w="4567" w:type="dxa"/>
          </w:tcPr>
          <w:p w14:paraId="68CB5EE6" w14:textId="24A34CCD"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seluruh pajak pendapatan, penerimaan, pajak penjualan, pajak pertambahan nilai, pajak perpindahan, pajak propert</w:t>
            </w:r>
            <w:r w:rsidR="00830B91" w:rsidRPr="00A67277">
              <w:rPr>
                <w:rFonts w:cs="Arial"/>
              </w:rPr>
              <w:t>i</w:t>
            </w:r>
            <w:r w:rsidRPr="00A67277">
              <w:rPr>
                <w:rFonts w:cs="Arial"/>
              </w:rPr>
              <w:t xml:space="preserve"> atau pajak dan biaya lainnya yang timbul atas BUP oleh PJPK karena pengakhiran Perjanjian, transfer hak, hak kepemilikan dan kepentingan BUP terhadap Proyek kepada PJPK, serta Biaya Pengakhiran; tambah</w:t>
            </w:r>
          </w:p>
        </w:tc>
      </w:tr>
      <w:tr w:rsidR="00923319" w:rsidRPr="00A67277" w14:paraId="7179BA66" w14:textId="77777777" w:rsidTr="00923319">
        <w:tc>
          <w:tcPr>
            <w:tcW w:w="4860" w:type="dxa"/>
          </w:tcPr>
          <w:p w14:paraId="153ECBFD"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6" w:name="_Toc501178987"/>
            <w:r w:rsidRPr="00A67277">
              <w:rPr>
                <w:rFonts w:cs="Arial"/>
              </w:rPr>
              <w:t>termination charges/ break-cost of the interest period under the Financing Agreements; plus</w:t>
            </w:r>
            <w:bookmarkEnd w:id="366"/>
          </w:p>
        </w:tc>
        <w:tc>
          <w:tcPr>
            <w:tcW w:w="270" w:type="dxa"/>
          </w:tcPr>
          <w:p w14:paraId="25245D36" w14:textId="77777777" w:rsidR="00923319" w:rsidRPr="00A67277" w:rsidRDefault="00923319" w:rsidP="00923319">
            <w:pPr>
              <w:spacing w:before="120" w:after="120"/>
              <w:rPr>
                <w:rFonts w:ascii="Arial" w:hAnsi="Arial" w:cs="Arial"/>
                <w:sz w:val="21"/>
                <w:szCs w:val="21"/>
              </w:rPr>
            </w:pPr>
          </w:p>
        </w:tc>
        <w:tc>
          <w:tcPr>
            <w:tcW w:w="4567" w:type="dxa"/>
          </w:tcPr>
          <w:p w14:paraId="7F18B236" w14:textId="77777777"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biaya pengakhiran/</w:t>
            </w:r>
            <w:r w:rsidRPr="00A67277">
              <w:rPr>
                <w:rFonts w:cs="Arial"/>
                <w:i/>
                <w:iCs/>
              </w:rPr>
              <w:t>break-cost</w:t>
            </w:r>
            <w:r w:rsidRPr="00A67277">
              <w:rPr>
                <w:rFonts w:cs="Arial"/>
              </w:rPr>
              <w:t xml:space="preserve"> jangka waktu bunga berdasarkan Perjanjian Pembiayaan; tambah</w:t>
            </w:r>
          </w:p>
        </w:tc>
      </w:tr>
      <w:tr w:rsidR="00923319" w:rsidRPr="00A67277" w14:paraId="730A2980" w14:textId="77777777" w:rsidTr="00923319">
        <w:tc>
          <w:tcPr>
            <w:tcW w:w="4860" w:type="dxa"/>
          </w:tcPr>
          <w:p w14:paraId="65F0D3C3"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7" w:name="_Toc501178988"/>
            <w:r w:rsidRPr="00A67277">
              <w:rPr>
                <w:rFonts w:cs="Arial"/>
              </w:rPr>
              <w:t>commitment fee, initial payment of premium and earlier repayment of penalties arising out of Financing Agreements; plus</w:t>
            </w:r>
            <w:bookmarkEnd w:id="367"/>
          </w:p>
        </w:tc>
        <w:tc>
          <w:tcPr>
            <w:tcW w:w="270" w:type="dxa"/>
          </w:tcPr>
          <w:p w14:paraId="62F8D1A7" w14:textId="77777777" w:rsidR="00923319" w:rsidRPr="00A67277" w:rsidRDefault="00923319" w:rsidP="00923319">
            <w:pPr>
              <w:spacing w:before="120" w:after="120"/>
              <w:rPr>
                <w:rFonts w:ascii="Arial" w:hAnsi="Arial" w:cs="Arial"/>
                <w:sz w:val="21"/>
                <w:szCs w:val="21"/>
              </w:rPr>
            </w:pPr>
          </w:p>
        </w:tc>
        <w:tc>
          <w:tcPr>
            <w:tcW w:w="4567" w:type="dxa"/>
          </w:tcPr>
          <w:p w14:paraId="7E8FF07F" w14:textId="77777777"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biaya komitmen, pembayaran awal premi dan pembayaran kembali denda yang timbul dari Perjanjian Pembiayaan; tambah</w:t>
            </w:r>
          </w:p>
        </w:tc>
      </w:tr>
      <w:tr w:rsidR="00923319" w:rsidRPr="00A67277" w14:paraId="57E375C2" w14:textId="77777777" w:rsidTr="00923319">
        <w:tc>
          <w:tcPr>
            <w:tcW w:w="4860" w:type="dxa"/>
          </w:tcPr>
          <w:p w14:paraId="67E70CF5" w14:textId="77777777" w:rsidR="00923319" w:rsidRPr="00A67277" w:rsidRDefault="00923319" w:rsidP="00923319">
            <w:pPr>
              <w:pStyle w:val="SchNumber3"/>
              <w:numPr>
                <w:ilvl w:val="4"/>
                <w:numId w:val="566"/>
              </w:numPr>
              <w:tabs>
                <w:tab w:val="clear" w:pos="1418"/>
              </w:tabs>
              <w:spacing w:before="120" w:after="120"/>
              <w:ind w:left="1238" w:hanging="540"/>
              <w:rPr>
                <w:rFonts w:cs="Arial"/>
              </w:rPr>
            </w:pPr>
            <w:bookmarkStart w:id="368" w:name="_Toc501178989"/>
            <w:r w:rsidRPr="00A67277">
              <w:rPr>
                <w:rFonts w:cs="Arial"/>
              </w:rPr>
              <w:t>Forex Rate Swap Termination Cost and Interest Rate Swap Termination Cost.</w:t>
            </w:r>
            <w:bookmarkEnd w:id="368"/>
          </w:p>
        </w:tc>
        <w:tc>
          <w:tcPr>
            <w:tcW w:w="270" w:type="dxa"/>
          </w:tcPr>
          <w:p w14:paraId="25E8FDC7" w14:textId="77777777" w:rsidR="00923319" w:rsidRPr="00A67277" w:rsidRDefault="00923319" w:rsidP="00923319">
            <w:pPr>
              <w:spacing w:before="120" w:after="120"/>
              <w:rPr>
                <w:rFonts w:ascii="Arial" w:hAnsi="Arial" w:cs="Arial"/>
                <w:sz w:val="21"/>
                <w:szCs w:val="21"/>
              </w:rPr>
            </w:pPr>
          </w:p>
        </w:tc>
        <w:tc>
          <w:tcPr>
            <w:tcW w:w="4567" w:type="dxa"/>
          </w:tcPr>
          <w:p w14:paraId="765C8EE9" w14:textId="77777777" w:rsidR="00923319" w:rsidRPr="00A67277" w:rsidRDefault="00923319" w:rsidP="00923319">
            <w:pPr>
              <w:pStyle w:val="ListParagraph"/>
              <w:numPr>
                <w:ilvl w:val="0"/>
                <w:numId w:val="586"/>
              </w:numPr>
              <w:spacing w:before="120" w:after="120" w:line="240" w:lineRule="auto"/>
              <w:ind w:left="1049"/>
              <w:rPr>
                <w:rFonts w:cs="Arial"/>
              </w:rPr>
            </w:pPr>
            <w:r w:rsidRPr="00A67277">
              <w:rPr>
                <w:rFonts w:cs="Arial"/>
              </w:rPr>
              <w:t xml:space="preserve">Biaya Pengakhiran </w:t>
            </w:r>
            <w:r w:rsidRPr="00A67277">
              <w:rPr>
                <w:rFonts w:cs="Arial"/>
                <w:i/>
                <w:iCs/>
              </w:rPr>
              <w:t>Forex Rate Swap</w:t>
            </w:r>
            <w:r w:rsidRPr="00A67277">
              <w:rPr>
                <w:rFonts w:cs="Arial"/>
              </w:rPr>
              <w:t xml:space="preserve"> dan Biaya Pengakhiran Bunga </w:t>
            </w:r>
            <w:r w:rsidRPr="00A67277">
              <w:rPr>
                <w:rFonts w:cs="Arial"/>
                <w:i/>
                <w:iCs/>
              </w:rPr>
              <w:t>Rate Swap</w:t>
            </w:r>
            <w:r w:rsidRPr="00A67277">
              <w:rPr>
                <w:rFonts w:cs="Arial"/>
              </w:rPr>
              <w:t xml:space="preserve">. </w:t>
            </w:r>
          </w:p>
        </w:tc>
      </w:tr>
      <w:tr w:rsidR="00923319" w:rsidRPr="00A67277" w14:paraId="77D79C85" w14:textId="77777777" w:rsidTr="00923319">
        <w:tc>
          <w:tcPr>
            <w:tcW w:w="4860" w:type="dxa"/>
          </w:tcPr>
          <w:p w14:paraId="4C2969B8"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Distributions</w:t>
            </w:r>
            <w:r w:rsidRPr="00A67277">
              <w:rPr>
                <w:rFonts w:cs="Arial"/>
              </w:rPr>
              <w:t>" has the meaning as defined it in the Agreement.</w:t>
            </w:r>
          </w:p>
        </w:tc>
        <w:tc>
          <w:tcPr>
            <w:tcW w:w="270" w:type="dxa"/>
          </w:tcPr>
          <w:p w14:paraId="6BC9944E" w14:textId="77777777" w:rsidR="00923319" w:rsidRPr="00A67277" w:rsidRDefault="00923319" w:rsidP="00923319">
            <w:pPr>
              <w:spacing w:before="120" w:after="120"/>
              <w:rPr>
                <w:rFonts w:ascii="Arial" w:hAnsi="Arial" w:cs="Arial"/>
                <w:sz w:val="21"/>
                <w:szCs w:val="21"/>
              </w:rPr>
            </w:pPr>
          </w:p>
        </w:tc>
        <w:tc>
          <w:tcPr>
            <w:tcW w:w="4567" w:type="dxa"/>
          </w:tcPr>
          <w:p w14:paraId="2F4B53B9"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“Distribusi” </w:t>
            </w:r>
            <w:r w:rsidRPr="00A67277">
              <w:rPr>
                <w:rFonts w:ascii="Arial" w:hAnsi="Arial" w:cs="Arial"/>
                <w:sz w:val="21"/>
                <w:szCs w:val="21"/>
              </w:rPr>
              <w:t>berarti sebagaimana terdapat dalam Perjanjian.</w:t>
            </w:r>
          </w:p>
        </w:tc>
      </w:tr>
      <w:tr w:rsidR="00923319" w:rsidRPr="00A67277" w14:paraId="77428F1B" w14:textId="77777777" w:rsidTr="00923319">
        <w:tc>
          <w:tcPr>
            <w:tcW w:w="4860" w:type="dxa"/>
          </w:tcPr>
          <w:p w14:paraId="259CA2FD"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Equity</w:t>
            </w:r>
            <w:r w:rsidRPr="00A67277">
              <w:rPr>
                <w:rFonts w:cs="Arial"/>
              </w:rPr>
              <w:t>" has the meaning as defined it in the Agreement.</w:t>
            </w:r>
          </w:p>
        </w:tc>
        <w:tc>
          <w:tcPr>
            <w:tcW w:w="270" w:type="dxa"/>
          </w:tcPr>
          <w:p w14:paraId="05258361" w14:textId="77777777" w:rsidR="00923319" w:rsidRPr="00A67277" w:rsidRDefault="00923319" w:rsidP="00923319">
            <w:pPr>
              <w:spacing w:before="120" w:after="120"/>
              <w:rPr>
                <w:rFonts w:ascii="Arial" w:hAnsi="Arial" w:cs="Arial"/>
                <w:sz w:val="21"/>
                <w:szCs w:val="21"/>
              </w:rPr>
            </w:pPr>
          </w:p>
        </w:tc>
        <w:tc>
          <w:tcPr>
            <w:tcW w:w="4567" w:type="dxa"/>
          </w:tcPr>
          <w:p w14:paraId="0B2DCDF3"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”Ekuitas” </w:t>
            </w:r>
            <w:r w:rsidRPr="00A67277">
              <w:rPr>
                <w:rFonts w:ascii="Arial" w:hAnsi="Arial" w:cs="Arial"/>
                <w:sz w:val="21"/>
                <w:szCs w:val="21"/>
              </w:rPr>
              <w:t>berarti sebagaimana terdapat dalam Perjanjian.</w:t>
            </w:r>
          </w:p>
        </w:tc>
      </w:tr>
      <w:tr w:rsidR="00923319" w:rsidRPr="00A67277" w14:paraId="74E339C6" w14:textId="77777777" w:rsidTr="00923319">
        <w:tc>
          <w:tcPr>
            <w:tcW w:w="4860" w:type="dxa"/>
          </w:tcPr>
          <w:p w14:paraId="4F7908FA"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Equity</w:t>
            </w:r>
            <w:r w:rsidRPr="00A67277">
              <w:rPr>
                <w:rFonts w:cs="Arial"/>
              </w:rPr>
              <w:t xml:space="preserve"> </w:t>
            </w:r>
            <w:r w:rsidRPr="00A67277">
              <w:rPr>
                <w:rFonts w:cs="Arial"/>
                <w:b/>
              </w:rPr>
              <w:t>Component</w:t>
            </w:r>
            <w:r w:rsidRPr="00A67277">
              <w:rPr>
                <w:rFonts w:cs="Arial"/>
              </w:rPr>
              <w:t>" or "</w:t>
            </w:r>
            <w:r w:rsidRPr="00A67277">
              <w:rPr>
                <w:rFonts w:cs="Arial"/>
                <w:b/>
              </w:rPr>
              <w:t>E</w:t>
            </w:r>
            <w:r w:rsidRPr="00A67277">
              <w:rPr>
                <w:rFonts w:cs="Arial"/>
              </w:rPr>
              <w:t>" means:</w:t>
            </w:r>
          </w:p>
        </w:tc>
        <w:tc>
          <w:tcPr>
            <w:tcW w:w="270" w:type="dxa"/>
          </w:tcPr>
          <w:p w14:paraId="715A368F" w14:textId="77777777" w:rsidR="00923319" w:rsidRPr="00A67277" w:rsidRDefault="00923319" w:rsidP="00923319">
            <w:pPr>
              <w:spacing w:before="120" w:after="120"/>
              <w:rPr>
                <w:rFonts w:ascii="Arial" w:hAnsi="Arial" w:cs="Arial"/>
                <w:sz w:val="21"/>
                <w:szCs w:val="21"/>
              </w:rPr>
            </w:pPr>
          </w:p>
        </w:tc>
        <w:tc>
          <w:tcPr>
            <w:tcW w:w="4567" w:type="dxa"/>
          </w:tcPr>
          <w:p w14:paraId="2CEC00B0" w14:textId="77777777" w:rsidR="00923319" w:rsidRPr="00A67277" w:rsidRDefault="00923319" w:rsidP="00923319">
            <w:pPr>
              <w:spacing w:before="120" w:after="120"/>
              <w:ind w:left="762"/>
              <w:jc w:val="both"/>
              <w:rPr>
                <w:rFonts w:ascii="Arial" w:hAnsi="Arial" w:cs="Arial"/>
                <w:sz w:val="21"/>
                <w:szCs w:val="21"/>
                <w:lang w:val="de-DE"/>
              </w:rPr>
            </w:pPr>
            <w:r w:rsidRPr="00A67277">
              <w:rPr>
                <w:rFonts w:ascii="Arial" w:hAnsi="Arial" w:cs="Arial"/>
                <w:b/>
                <w:sz w:val="21"/>
                <w:szCs w:val="21"/>
                <w:lang w:val="de-DE"/>
              </w:rPr>
              <w:t xml:space="preserve">“Komponen Ekuitas” </w:t>
            </w:r>
            <w:r w:rsidRPr="00A67277">
              <w:rPr>
                <w:rFonts w:ascii="Arial" w:hAnsi="Arial" w:cs="Arial"/>
                <w:sz w:val="21"/>
                <w:szCs w:val="21"/>
                <w:lang w:val="de-DE"/>
              </w:rPr>
              <w:t>atau “</w:t>
            </w:r>
            <w:r w:rsidRPr="00A67277">
              <w:rPr>
                <w:rFonts w:ascii="Arial" w:hAnsi="Arial" w:cs="Arial"/>
                <w:b/>
                <w:sz w:val="21"/>
                <w:szCs w:val="21"/>
                <w:lang w:val="de-DE"/>
              </w:rPr>
              <w:t>E”</w:t>
            </w:r>
            <w:r w:rsidRPr="00A67277">
              <w:rPr>
                <w:rFonts w:ascii="Arial" w:hAnsi="Arial" w:cs="Arial"/>
                <w:sz w:val="21"/>
                <w:szCs w:val="21"/>
                <w:lang w:val="de-DE"/>
              </w:rPr>
              <w:t xml:space="preserve"> berarti:</w:t>
            </w:r>
          </w:p>
        </w:tc>
      </w:tr>
      <w:tr w:rsidR="00923319" w:rsidRPr="00A67277" w14:paraId="1B025EF2" w14:textId="77777777" w:rsidTr="00923319">
        <w:tc>
          <w:tcPr>
            <w:tcW w:w="4860" w:type="dxa"/>
          </w:tcPr>
          <w:p w14:paraId="4C2C58F7" w14:textId="1B7200FE" w:rsidR="00923319" w:rsidRPr="00A67277" w:rsidRDefault="00923319" w:rsidP="00291AD9">
            <w:pPr>
              <w:pStyle w:val="SchNumber3"/>
              <w:numPr>
                <w:ilvl w:val="4"/>
                <w:numId w:val="566"/>
              </w:numPr>
              <w:tabs>
                <w:tab w:val="clear" w:pos="1418"/>
                <w:tab w:val="num" w:pos="1958"/>
              </w:tabs>
              <w:spacing w:before="120" w:after="120"/>
              <w:ind w:left="1148" w:hanging="450"/>
              <w:rPr>
                <w:rFonts w:cs="Arial"/>
              </w:rPr>
            </w:pPr>
            <w:bookmarkStart w:id="369" w:name="_Toc501178990"/>
            <w:r w:rsidRPr="00A67277">
              <w:rPr>
                <w:rFonts w:cs="Arial"/>
              </w:rPr>
              <w:t>(if the Termination Date occurs prior to the Commercial Operation Date) the</w:t>
            </w:r>
            <w:bookmarkEnd w:id="369"/>
            <w:r w:rsidR="008F0B3C">
              <w:rPr>
                <w:rFonts w:cs="Arial"/>
              </w:rPr>
              <w:t xml:space="preserve"> actual total Equity have been spent adjust</w:t>
            </w:r>
            <w:r w:rsidR="00ED277C">
              <w:rPr>
                <w:rFonts w:cs="Arial"/>
              </w:rPr>
              <w:t xml:space="preserve">ed </w:t>
            </w:r>
            <w:r w:rsidR="008F0B3C">
              <w:rPr>
                <w:rFonts w:cs="Arial"/>
              </w:rPr>
              <w:t xml:space="preserve">by </w:t>
            </w:r>
            <w:r w:rsidR="00E14CC9">
              <w:rPr>
                <w:rFonts w:cs="Arial"/>
              </w:rPr>
              <w:t xml:space="preserve">the </w:t>
            </w:r>
            <w:r w:rsidR="008F0B3C">
              <w:rPr>
                <w:rFonts w:cs="Arial"/>
              </w:rPr>
              <w:t>Base C</w:t>
            </w:r>
            <w:r w:rsidR="00ED277C">
              <w:rPr>
                <w:rFonts w:cs="Arial"/>
              </w:rPr>
              <w:t xml:space="preserve">ase </w:t>
            </w:r>
            <w:r w:rsidR="008F0B3C">
              <w:rPr>
                <w:rFonts w:cs="Arial"/>
              </w:rPr>
              <w:t xml:space="preserve">Equity </w:t>
            </w:r>
            <w:r w:rsidR="00ED277C">
              <w:rPr>
                <w:rFonts w:cs="Arial"/>
              </w:rPr>
              <w:t xml:space="preserve">IRR taking </w:t>
            </w:r>
            <w:r w:rsidR="00E14CC9">
              <w:rPr>
                <w:rFonts w:cs="Arial"/>
              </w:rPr>
              <w:t xml:space="preserve">into </w:t>
            </w:r>
            <w:r w:rsidR="00ED277C">
              <w:rPr>
                <w:rFonts w:cs="Arial"/>
              </w:rPr>
              <w:t xml:space="preserve">consideration </w:t>
            </w:r>
            <w:r w:rsidR="00E14CC9">
              <w:rPr>
                <w:rFonts w:cs="Arial"/>
              </w:rPr>
              <w:t xml:space="preserve">the </w:t>
            </w:r>
            <w:r w:rsidR="00ED277C">
              <w:rPr>
                <w:rFonts w:cs="Arial"/>
              </w:rPr>
              <w:t>elapse</w:t>
            </w:r>
            <w:r w:rsidR="00E14CC9">
              <w:rPr>
                <w:rFonts w:cs="Arial"/>
              </w:rPr>
              <w:t>d time</w:t>
            </w:r>
            <w:r w:rsidR="00ED277C">
              <w:rPr>
                <w:rFonts w:cs="Arial"/>
              </w:rPr>
              <w:t xml:space="preserve"> be</w:t>
            </w:r>
            <w:r w:rsidR="008F0B3C">
              <w:rPr>
                <w:rFonts w:cs="Arial"/>
              </w:rPr>
              <w:t>tween the E</w:t>
            </w:r>
            <w:r w:rsidR="00ED277C">
              <w:rPr>
                <w:rFonts w:cs="Arial"/>
              </w:rPr>
              <w:t xml:space="preserve">ffective </w:t>
            </w:r>
            <w:r w:rsidR="008F0B3C">
              <w:rPr>
                <w:rFonts w:cs="Arial"/>
              </w:rPr>
              <w:t>Date and Termination D</w:t>
            </w:r>
            <w:r w:rsidR="00ED277C">
              <w:rPr>
                <w:rFonts w:cs="Arial"/>
              </w:rPr>
              <w:t>ate</w:t>
            </w:r>
            <w:r w:rsidR="008F0B3C">
              <w:rPr>
                <w:rFonts w:cs="Arial"/>
              </w:rPr>
              <w:t>.</w:t>
            </w:r>
          </w:p>
        </w:tc>
        <w:tc>
          <w:tcPr>
            <w:tcW w:w="270" w:type="dxa"/>
          </w:tcPr>
          <w:p w14:paraId="5C5DD545" w14:textId="77777777" w:rsidR="00923319" w:rsidRPr="00A67277" w:rsidRDefault="00923319" w:rsidP="00923319">
            <w:pPr>
              <w:spacing w:before="120" w:after="120"/>
              <w:rPr>
                <w:rFonts w:ascii="Arial" w:hAnsi="Arial" w:cs="Arial"/>
                <w:sz w:val="21"/>
                <w:szCs w:val="21"/>
              </w:rPr>
            </w:pPr>
          </w:p>
        </w:tc>
        <w:tc>
          <w:tcPr>
            <w:tcW w:w="4567" w:type="dxa"/>
          </w:tcPr>
          <w:p w14:paraId="16CB943B" w14:textId="325C37CF" w:rsidR="00923319" w:rsidRPr="00A67277" w:rsidRDefault="00923319">
            <w:pPr>
              <w:pStyle w:val="ListParagraph"/>
              <w:numPr>
                <w:ilvl w:val="0"/>
                <w:numId w:val="587"/>
              </w:numPr>
              <w:spacing w:before="120" w:after="120" w:line="240" w:lineRule="auto"/>
              <w:ind w:left="1302"/>
              <w:rPr>
                <w:rFonts w:cs="Arial"/>
              </w:rPr>
            </w:pPr>
            <w:r w:rsidRPr="00A67277">
              <w:rPr>
                <w:rFonts w:cs="Arial"/>
              </w:rPr>
              <w:t xml:space="preserve">(jika Tanggal Pengakhiran terjadi sebelum Tanggal Operasi Komersial) nilai </w:t>
            </w:r>
            <w:r w:rsidR="008F0B3C">
              <w:rPr>
                <w:rFonts w:cs="Arial"/>
              </w:rPr>
              <w:t xml:space="preserve"> Ekuitas aktual yang dikeluarkan disesuaikan dengan Posisi Dasar IRR Ekuitas dengan mempertimbangkan waktu antara Tanggal Efektif dan Tanggal Pengakhiran</w:t>
            </w:r>
            <w:r w:rsidRPr="00A67277">
              <w:rPr>
                <w:rFonts w:cs="Arial"/>
              </w:rPr>
              <w:t>;</w:t>
            </w:r>
          </w:p>
        </w:tc>
      </w:tr>
      <w:tr w:rsidR="00923319" w:rsidRPr="00A67277" w14:paraId="4F0A82E3" w14:textId="77777777" w:rsidTr="00923319">
        <w:tc>
          <w:tcPr>
            <w:tcW w:w="4860" w:type="dxa"/>
          </w:tcPr>
          <w:p w14:paraId="450136A4" w14:textId="77777777" w:rsidR="00923319" w:rsidRPr="00A67277" w:rsidRDefault="00923319" w:rsidP="00923319">
            <w:pPr>
              <w:pStyle w:val="SchNumber3"/>
              <w:numPr>
                <w:ilvl w:val="4"/>
                <w:numId w:val="566"/>
              </w:numPr>
              <w:tabs>
                <w:tab w:val="clear" w:pos="1418"/>
                <w:tab w:val="num" w:pos="1958"/>
              </w:tabs>
              <w:spacing w:before="120" w:after="120"/>
              <w:ind w:left="1148" w:hanging="450"/>
              <w:rPr>
                <w:rFonts w:cs="Arial"/>
              </w:rPr>
            </w:pPr>
            <w:r w:rsidRPr="00A67277">
              <w:rPr>
                <w:rFonts w:cs="Arial"/>
              </w:rPr>
              <w:t>(if the Termination Date occurs after the Commercial Operation Date) the current value of the estimated Project’s cash flows to the Equity, which must include the current value at the Termination Date of the estimate of Distributions to the Equity to the Shareholders and outstanding principal and interest payments of any Shareholder Loans to be paid on the Termination Date for the period starting from the Calculation Date and terminating on the expiry of the Term (other than early termination) of the Equity contribution estimate (including additional Shareholder Loans) to be performed by Shareholders during the period, whereby</w:t>
            </w:r>
          </w:p>
        </w:tc>
        <w:tc>
          <w:tcPr>
            <w:tcW w:w="270" w:type="dxa"/>
          </w:tcPr>
          <w:p w14:paraId="5A9A0B6A" w14:textId="77777777" w:rsidR="00923319" w:rsidRPr="00A67277" w:rsidRDefault="00923319" w:rsidP="00923319">
            <w:pPr>
              <w:spacing w:before="120" w:after="120"/>
              <w:rPr>
                <w:rFonts w:ascii="Arial" w:hAnsi="Arial" w:cs="Arial"/>
                <w:sz w:val="21"/>
                <w:szCs w:val="21"/>
              </w:rPr>
            </w:pPr>
          </w:p>
        </w:tc>
        <w:tc>
          <w:tcPr>
            <w:tcW w:w="4567" w:type="dxa"/>
          </w:tcPr>
          <w:p w14:paraId="62B4D98B" w14:textId="16D5C86F" w:rsidR="00923319" w:rsidRPr="00A67277" w:rsidRDefault="00923319" w:rsidP="00B62CA3">
            <w:pPr>
              <w:pStyle w:val="ListParagraph"/>
              <w:numPr>
                <w:ilvl w:val="0"/>
                <w:numId w:val="587"/>
              </w:numPr>
              <w:spacing w:before="120" w:after="120" w:line="240" w:lineRule="auto"/>
              <w:ind w:left="1302"/>
              <w:rPr>
                <w:rFonts w:cs="Arial"/>
              </w:rPr>
            </w:pPr>
            <w:r w:rsidRPr="00A67277">
              <w:rPr>
                <w:rFonts w:cs="Arial"/>
              </w:rPr>
              <w:t xml:space="preserve">(jika Tanggal Pengakhiran terjadi setelah Tanggal Operasi Komersial) nilai estimasi arus kas Proyek terhadap Ekuitas, yang harus mencakup nilai pada saat Tanggal Pengakhiran estimasi Distribusi terhadap Ekuitas </w:t>
            </w:r>
            <w:r w:rsidR="00B62CA3">
              <w:rPr>
                <w:rFonts w:cs="Arial"/>
              </w:rPr>
              <w:t xml:space="preserve">terhadap </w:t>
            </w:r>
            <w:r w:rsidRPr="00A67277">
              <w:rPr>
                <w:rFonts w:cs="Arial"/>
              </w:rPr>
              <w:t>Pemegang Saham dan prinsip terkemuka dan pembayaran bunga bagi Pinjaman Pemegang Saham dan mengakhiri kadaluarsa Jangka Waktu (selain dari pengakhiran) dari estimasi kontribusi Ekuitas (termasuk Pinjaman Pemegang Saham tambahan) untuk dilakukan oleh Pemegang Saham selama jangka waktu, dimana:</w:t>
            </w:r>
          </w:p>
        </w:tc>
      </w:tr>
      <w:tr w:rsidR="00923319" w:rsidRPr="00A67277" w14:paraId="60BC15B1" w14:textId="77777777" w:rsidTr="00923319">
        <w:tc>
          <w:tcPr>
            <w:tcW w:w="4860" w:type="dxa"/>
          </w:tcPr>
          <w:p w14:paraId="614C0CB0" w14:textId="5462BD40" w:rsidR="00923319" w:rsidRPr="00A67277" w:rsidRDefault="00923319">
            <w:pPr>
              <w:pStyle w:val="SchNumber4"/>
              <w:numPr>
                <w:ilvl w:val="5"/>
                <w:numId w:val="566"/>
              </w:numPr>
              <w:tabs>
                <w:tab w:val="clear" w:pos="2126"/>
              </w:tabs>
              <w:spacing w:before="120" w:after="120"/>
              <w:ind w:left="1603" w:hanging="433"/>
              <w:rPr>
                <w:rFonts w:cs="Arial"/>
              </w:rPr>
            </w:pPr>
            <w:r w:rsidRPr="00A67277">
              <w:rPr>
                <w:rFonts w:cs="Arial"/>
              </w:rPr>
              <w:t xml:space="preserve">to obtain the latest value, the estimated cash flows to Equity should be discounted by using the </w:t>
            </w:r>
            <w:r w:rsidR="008F0B3C">
              <w:rPr>
                <w:rFonts w:cs="Arial"/>
              </w:rPr>
              <w:t>Base C</w:t>
            </w:r>
            <w:r w:rsidR="00ED277C">
              <w:rPr>
                <w:rFonts w:cs="Arial"/>
              </w:rPr>
              <w:t xml:space="preserve">ase </w:t>
            </w:r>
            <w:r w:rsidR="008F0B3C">
              <w:rPr>
                <w:rFonts w:cs="Arial"/>
              </w:rPr>
              <w:t>E</w:t>
            </w:r>
            <w:r w:rsidR="00ED277C">
              <w:rPr>
                <w:rFonts w:cs="Arial"/>
              </w:rPr>
              <w:t>quity IRR</w:t>
            </w:r>
            <w:r w:rsidRPr="00A67277">
              <w:rPr>
                <w:rFonts w:cs="Arial"/>
              </w:rPr>
              <w:t>, and for the avoidance of doubt:</w:t>
            </w:r>
          </w:p>
        </w:tc>
        <w:tc>
          <w:tcPr>
            <w:tcW w:w="270" w:type="dxa"/>
          </w:tcPr>
          <w:p w14:paraId="3D8FAE0E" w14:textId="77777777" w:rsidR="00923319" w:rsidRPr="00A67277" w:rsidRDefault="00923319" w:rsidP="00923319">
            <w:pPr>
              <w:spacing w:before="120" w:after="120"/>
              <w:rPr>
                <w:rFonts w:ascii="Arial" w:hAnsi="Arial" w:cs="Arial"/>
                <w:sz w:val="21"/>
                <w:szCs w:val="21"/>
              </w:rPr>
            </w:pPr>
          </w:p>
        </w:tc>
        <w:tc>
          <w:tcPr>
            <w:tcW w:w="4567" w:type="dxa"/>
          </w:tcPr>
          <w:p w14:paraId="4C151B10" w14:textId="72D2E197" w:rsidR="00923319" w:rsidRPr="00A67277" w:rsidRDefault="00923319">
            <w:pPr>
              <w:pStyle w:val="ListParagraph"/>
              <w:numPr>
                <w:ilvl w:val="0"/>
                <w:numId w:val="588"/>
              </w:numPr>
              <w:spacing w:before="120" w:after="120" w:line="240" w:lineRule="auto"/>
              <w:ind w:left="1842"/>
              <w:rPr>
                <w:rFonts w:cs="Arial"/>
              </w:rPr>
            </w:pPr>
            <w:r w:rsidRPr="00A67277">
              <w:rPr>
                <w:rFonts w:cs="Arial"/>
              </w:rPr>
              <w:t xml:space="preserve">untuk mendapat nilai terakhir, estimasi arus kas pada Ekuitas harus didiskon dengan menggunakan </w:t>
            </w:r>
            <w:r w:rsidR="00DD01A2">
              <w:rPr>
                <w:rFonts w:cs="Arial"/>
              </w:rPr>
              <w:t>Posisi Dasar IRR Ekuitas</w:t>
            </w:r>
            <w:r w:rsidRPr="00A67277">
              <w:rPr>
                <w:rFonts w:cs="Arial"/>
              </w:rPr>
              <w:t>, dan untuk menghindari keraguan:</w:t>
            </w:r>
          </w:p>
        </w:tc>
      </w:tr>
      <w:tr w:rsidR="00923319" w:rsidRPr="00A67277" w14:paraId="03308ABA" w14:textId="77777777" w:rsidTr="00923319">
        <w:tc>
          <w:tcPr>
            <w:tcW w:w="4860" w:type="dxa"/>
          </w:tcPr>
          <w:p w14:paraId="2A99222F" w14:textId="77777777" w:rsidR="00923319" w:rsidRPr="00A67277" w:rsidRDefault="00923319" w:rsidP="00923319">
            <w:pPr>
              <w:pStyle w:val="SchNumber5"/>
              <w:numPr>
                <w:ilvl w:val="6"/>
                <w:numId w:val="566"/>
              </w:numPr>
              <w:tabs>
                <w:tab w:val="clear" w:pos="2835"/>
                <w:tab w:val="num" w:pos="3746"/>
              </w:tabs>
              <w:spacing w:before="120" w:after="120"/>
              <w:ind w:left="2216" w:hanging="540"/>
              <w:rPr>
                <w:rFonts w:cs="Arial"/>
              </w:rPr>
            </w:pPr>
            <w:r w:rsidRPr="00A67277">
              <w:rPr>
                <w:rFonts w:cs="Arial"/>
              </w:rPr>
              <w:t>the Expert must assume the Shareholder Loans will be repaid by the IBE and the Equity will be disbursed by the Shareholders on the last day of the Term (other than early termination) unless Shareholder Agreement or the underlying financing documents submitted to the GCA before the Effective Date specifies an earlier repayment date (in such case an earlier date will be used as the basis for this calculation); and</w:t>
            </w:r>
          </w:p>
        </w:tc>
        <w:tc>
          <w:tcPr>
            <w:tcW w:w="270" w:type="dxa"/>
          </w:tcPr>
          <w:p w14:paraId="4FC13AB7" w14:textId="77777777" w:rsidR="00923319" w:rsidRPr="00A67277" w:rsidRDefault="00923319" w:rsidP="00923319">
            <w:pPr>
              <w:spacing w:before="120" w:after="120"/>
              <w:rPr>
                <w:rFonts w:ascii="Arial" w:hAnsi="Arial" w:cs="Arial"/>
                <w:sz w:val="21"/>
                <w:szCs w:val="21"/>
              </w:rPr>
            </w:pPr>
          </w:p>
        </w:tc>
        <w:tc>
          <w:tcPr>
            <w:tcW w:w="4567" w:type="dxa"/>
          </w:tcPr>
          <w:p w14:paraId="42F66FEC" w14:textId="77777777" w:rsidR="00923319" w:rsidRPr="00A67277" w:rsidRDefault="00923319" w:rsidP="00923319">
            <w:pPr>
              <w:pStyle w:val="ListParagraph"/>
              <w:numPr>
                <w:ilvl w:val="0"/>
                <w:numId w:val="589"/>
              </w:numPr>
              <w:spacing w:before="120" w:after="120" w:line="240" w:lineRule="auto"/>
              <w:ind w:left="2292" w:hanging="450"/>
              <w:rPr>
                <w:rFonts w:cs="Arial"/>
              </w:rPr>
            </w:pPr>
            <w:r w:rsidRPr="00A67277">
              <w:rPr>
                <w:rFonts w:cs="Arial"/>
              </w:rPr>
              <w:t>Ahli Independen harus mengasumsikan Pinjaman Pemegang Saham akan dibayar kembali oleh BUP dan Ekuitas akan dicairkan oleh Pemegang Saham pada hari terakhir Jangka Waktu (selain dari pengakhiran lebih awal) kecuali Perjanjian Pemegang Saham atau dokumen pembiayaan dasar diserahkan kepada PJPK sebelum Tanggal Efektif memberikan spesifikasi suatu tanggal pembayaran kembali yang lebih awal (dalam hal tersebut suatu tanggal lebih awal akan digunakan sebagai dasar untuk perhitungan ini); dan</w:t>
            </w:r>
          </w:p>
        </w:tc>
      </w:tr>
      <w:tr w:rsidR="00923319" w:rsidRPr="00A67277" w14:paraId="374ABCBF" w14:textId="77777777" w:rsidTr="00923319">
        <w:tc>
          <w:tcPr>
            <w:tcW w:w="4860" w:type="dxa"/>
          </w:tcPr>
          <w:p w14:paraId="7846BAD0" w14:textId="77777777" w:rsidR="00923319" w:rsidRPr="00A67277" w:rsidRDefault="00923319" w:rsidP="00923319">
            <w:pPr>
              <w:pStyle w:val="SchNumber5"/>
              <w:numPr>
                <w:ilvl w:val="6"/>
                <w:numId w:val="566"/>
              </w:numPr>
              <w:tabs>
                <w:tab w:val="clear" w:pos="2835"/>
                <w:tab w:val="num" w:pos="3746"/>
              </w:tabs>
              <w:spacing w:before="120" w:after="120"/>
              <w:ind w:left="2216" w:hanging="540"/>
              <w:rPr>
                <w:rFonts w:cs="Arial"/>
              </w:rPr>
            </w:pPr>
            <w:r w:rsidRPr="00A67277">
              <w:rPr>
                <w:rFonts w:cs="Arial"/>
              </w:rPr>
              <w:t>the calculation of E shall not include any amount used in the calculation of S;</w:t>
            </w:r>
          </w:p>
        </w:tc>
        <w:tc>
          <w:tcPr>
            <w:tcW w:w="270" w:type="dxa"/>
          </w:tcPr>
          <w:p w14:paraId="4C79B513" w14:textId="77777777" w:rsidR="00923319" w:rsidRPr="00A67277" w:rsidRDefault="00923319" w:rsidP="00923319">
            <w:pPr>
              <w:spacing w:before="120" w:after="120"/>
              <w:rPr>
                <w:rFonts w:ascii="Arial" w:hAnsi="Arial" w:cs="Arial"/>
                <w:sz w:val="21"/>
                <w:szCs w:val="21"/>
              </w:rPr>
            </w:pPr>
          </w:p>
        </w:tc>
        <w:tc>
          <w:tcPr>
            <w:tcW w:w="4567" w:type="dxa"/>
          </w:tcPr>
          <w:p w14:paraId="74247FE0" w14:textId="77777777" w:rsidR="00923319" w:rsidRPr="00A67277" w:rsidRDefault="00923319" w:rsidP="00923319">
            <w:pPr>
              <w:pStyle w:val="ListParagraph"/>
              <w:numPr>
                <w:ilvl w:val="0"/>
                <w:numId w:val="589"/>
              </w:numPr>
              <w:spacing w:before="120" w:after="120" w:line="240" w:lineRule="auto"/>
              <w:ind w:left="2292" w:hanging="450"/>
              <w:rPr>
                <w:rFonts w:cs="Arial"/>
              </w:rPr>
            </w:pPr>
            <w:r w:rsidRPr="00A67277">
              <w:rPr>
                <w:rFonts w:cs="Arial"/>
              </w:rPr>
              <w:t>perhitungan E tidak memasukkan jumlah berapapun yang digunakan dalam perhitungan S;</w:t>
            </w:r>
          </w:p>
        </w:tc>
      </w:tr>
      <w:tr w:rsidR="00923319" w:rsidRPr="00A67277" w14:paraId="61F4FAD2" w14:textId="77777777" w:rsidTr="00923319">
        <w:tc>
          <w:tcPr>
            <w:tcW w:w="4860" w:type="dxa"/>
          </w:tcPr>
          <w:p w14:paraId="4937B557" w14:textId="77777777" w:rsidR="00923319" w:rsidRPr="00A67277" w:rsidRDefault="00923319" w:rsidP="00923319">
            <w:pPr>
              <w:pStyle w:val="SchNumber4"/>
              <w:numPr>
                <w:ilvl w:val="5"/>
                <w:numId w:val="566"/>
              </w:numPr>
              <w:tabs>
                <w:tab w:val="clear" w:pos="2126"/>
              </w:tabs>
              <w:spacing w:before="120" w:after="120"/>
              <w:ind w:left="1603" w:hanging="433"/>
              <w:rPr>
                <w:rFonts w:cs="Arial"/>
              </w:rPr>
            </w:pPr>
            <w:r w:rsidRPr="00A67277">
              <w:rPr>
                <w:rFonts w:cs="Arial"/>
              </w:rPr>
              <w:t>when estimating the cash flows of the IBE, the Experts (with input from professional consultants, including Independent Supervisor Consultant (if on duty)) shall consider, and to the extent possible, use actual data on the performance and operation of the Facility on the Calculation Date, for example (but not limited to), capital expenditure program, operational costs, working capital, terms of Financing Agreements and so forth; provided that the actual data on the performance and operation of the Facility on the Calculation Date is adversely affected by Default by GCA or Political Event, the Expert shall determine an alternative date before the Calculation Date for such estimate or by other means to eliminate the impact of the Default by GCA or Political Event to the actual performance and operational data of the Facility used for estimation.</w:t>
            </w:r>
          </w:p>
        </w:tc>
        <w:tc>
          <w:tcPr>
            <w:tcW w:w="270" w:type="dxa"/>
          </w:tcPr>
          <w:p w14:paraId="7934AF28" w14:textId="77777777" w:rsidR="00923319" w:rsidRPr="00A67277" w:rsidRDefault="00923319" w:rsidP="00923319">
            <w:pPr>
              <w:spacing w:before="120" w:after="120"/>
              <w:rPr>
                <w:rFonts w:ascii="Arial" w:hAnsi="Arial" w:cs="Arial"/>
                <w:sz w:val="21"/>
                <w:szCs w:val="21"/>
              </w:rPr>
            </w:pPr>
          </w:p>
        </w:tc>
        <w:tc>
          <w:tcPr>
            <w:tcW w:w="4567" w:type="dxa"/>
          </w:tcPr>
          <w:p w14:paraId="75308897" w14:textId="77777777" w:rsidR="00923319" w:rsidRPr="00A67277" w:rsidRDefault="00923319" w:rsidP="00923319">
            <w:pPr>
              <w:pStyle w:val="ListParagraph"/>
              <w:numPr>
                <w:ilvl w:val="0"/>
                <w:numId w:val="588"/>
              </w:numPr>
              <w:spacing w:before="120" w:after="120" w:line="240" w:lineRule="auto"/>
              <w:ind w:left="1842"/>
              <w:rPr>
                <w:rFonts w:cs="Arial"/>
              </w:rPr>
            </w:pPr>
            <w:r w:rsidRPr="00A67277">
              <w:rPr>
                <w:rFonts w:cs="Arial"/>
              </w:rPr>
              <w:t>ketika memperkirakan arus kas BUP, Ahli Independen (dengan masukkan dari konsultan professional, termasuk Konsultan Pengawas Independen (jika masih bertugas)) harus mempertimbangkan, dan mempebesar kemungkinan, penggunaan data aktual dalam pelaksanaan dan pengoperasian Fasilitas pada Tanggal Perhitungan, sebagai contoh (namun tidak terbatas pada), program belanja modal, biaya operasional, modal kerja, syarat Perjanjian Pembiayaan dan selanjutnya; dengan ketentuan bahwa data aktual pelaksanaan dan operasi Fasilitas pada Tanggal Perhitungan telah berpengaruh buruk oleh Cidera Janji oleh PJPK atau Peristiwa Politik, Ahli Independen harus menentukan tanggal alternatif sebelum Tanggal Perhitungan untuk perkiraan tersebut atau dengan kata lain untuk mengeliminasi pengaruh Cidera Janji oleh PJPK atau Peristiwa Politik pada data pelaksanaan dan operasional aktual dari Fasilitas yang digunakan untuk perkiraan.</w:t>
            </w:r>
          </w:p>
        </w:tc>
      </w:tr>
      <w:tr w:rsidR="00923319" w:rsidRPr="00A67277" w14:paraId="59523509" w14:textId="77777777" w:rsidTr="00923319">
        <w:tc>
          <w:tcPr>
            <w:tcW w:w="4860" w:type="dxa"/>
          </w:tcPr>
          <w:p w14:paraId="0E472EC5" w14:textId="77777777" w:rsidR="00923319" w:rsidRPr="00A67277" w:rsidRDefault="00923319" w:rsidP="00923319">
            <w:pPr>
              <w:pStyle w:val="Body2"/>
              <w:spacing w:before="120" w:after="120"/>
              <w:rPr>
                <w:rFonts w:cs="Arial"/>
              </w:rPr>
            </w:pPr>
            <w:r w:rsidRPr="00A67277">
              <w:rPr>
                <w:rFonts w:cs="Arial"/>
                <w:b/>
              </w:rPr>
              <w:t>"Default"</w:t>
            </w:r>
            <w:r w:rsidRPr="00A67277">
              <w:rPr>
                <w:rFonts w:cs="Arial"/>
              </w:rPr>
              <w:t xml:space="preserve"> means the default as provided in Section 23 (</w:t>
            </w:r>
            <w:r w:rsidRPr="00A67277">
              <w:rPr>
                <w:rFonts w:cs="Arial"/>
                <w:i/>
              </w:rPr>
              <w:t>Default</w:t>
            </w:r>
            <w:r w:rsidRPr="00A67277">
              <w:rPr>
                <w:rFonts w:cs="Arial"/>
              </w:rPr>
              <w:t xml:space="preserve">) of the Agreement. </w:t>
            </w:r>
          </w:p>
        </w:tc>
        <w:tc>
          <w:tcPr>
            <w:tcW w:w="270" w:type="dxa"/>
          </w:tcPr>
          <w:p w14:paraId="5BDA054B" w14:textId="77777777" w:rsidR="00923319" w:rsidRPr="00A67277" w:rsidRDefault="00923319" w:rsidP="00923319">
            <w:pPr>
              <w:spacing w:before="120" w:after="120"/>
              <w:rPr>
                <w:rFonts w:ascii="Arial" w:hAnsi="Arial" w:cs="Arial"/>
                <w:sz w:val="21"/>
                <w:szCs w:val="21"/>
              </w:rPr>
            </w:pPr>
          </w:p>
        </w:tc>
        <w:tc>
          <w:tcPr>
            <w:tcW w:w="4567" w:type="dxa"/>
          </w:tcPr>
          <w:p w14:paraId="560A0442"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“Cidera Janji”</w:t>
            </w:r>
            <w:r w:rsidRPr="00A67277">
              <w:rPr>
                <w:rFonts w:ascii="Arial" w:hAnsi="Arial" w:cs="Arial"/>
                <w:sz w:val="21"/>
                <w:szCs w:val="21"/>
              </w:rPr>
              <w:t xml:space="preserve"> berarti cidera janji sebagaimana diatur dalam Pasal 23 (</w:t>
            </w:r>
            <w:r w:rsidRPr="00A67277">
              <w:rPr>
                <w:rFonts w:ascii="Arial" w:hAnsi="Arial" w:cs="Arial"/>
                <w:i/>
                <w:sz w:val="21"/>
                <w:szCs w:val="21"/>
              </w:rPr>
              <w:t>Cidera Janji</w:t>
            </w:r>
            <w:r w:rsidRPr="00A67277">
              <w:rPr>
                <w:rFonts w:ascii="Arial" w:hAnsi="Arial" w:cs="Arial"/>
                <w:sz w:val="21"/>
                <w:szCs w:val="21"/>
              </w:rPr>
              <w:t>) dalam Perjanjian.</w:t>
            </w:r>
          </w:p>
        </w:tc>
      </w:tr>
      <w:tr w:rsidR="00923319" w:rsidRPr="00A67277" w14:paraId="761E3E44" w14:textId="77777777" w:rsidTr="00923319">
        <w:tc>
          <w:tcPr>
            <w:tcW w:w="4860" w:type="dxa"/>
          </w:tcPr>
          <w:p w14:paraId="41C98B09"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Equity Bridge Loan</w:t>
            </w:r>
            <w:r w:rsidRPr="00A67277">
              <w:rPr>
                <w:rFonts w:cs="Arial"/>
              </w:rPr>
              <w:t>" has the meaning as defined it in the Agreement.</w:t>
            </w:r>
          </w:p>
        </w:tc>
        <w:tc>
          <w:tcPr>
            <w:tcW w:w="270" w:type="dxa"/>
          </w:tcPr>
          <w:p w14:paraId="6BE7C045" w14:textId="77777777" w:rsidR="00923319" w:rsidRPr="00A67277" w:rsidRDefault="00923319" w:rsidP="00923319">
            <w:pPr>
              <w:spacing w:before="120" w:after="120"/>
              <w:rPr>
                <w:rFonts w:ascii="Arial" w:hAnsi="Arial" w:cs="Arial"/>
                <w:sz w:val="21"/>
                <w:szCs w:val="21"/>
              </w:rPr>
            </w:pPr>
          </w:p>
        </w:tc>
        <w:tc>
          <w:tcPr>
            <w:tcW w:w="4567" w:type="dxa"/>
          </w:tcPr>
          <w:p w14:paraId="34C7F567"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“Pinjaman Talangan Ekuitas</w:t>
            </w:r>
            <w:r w:rsidRPr="00A67277">
              <w:rPr>
                <w:rFonts w:ascii="Arial" w:hAnsi="Arial" w:cs="Arial"/>
                <w:sz w:val="21"/>
                <w:szCs w:val="21"/>
              </w:rPr>
              <w:t>” berarti sebagaimana terdapat dalam Perjanjian.</w:t>
            </w:r>
          </w:p>
        </w:tc>
      </w:tr>
      <w:tr w:rsidR="00923319" w:rsidRPr="00A67277" w14:paraId="1035C0CA" w14:textId="77777777" w:rsidTr="00923319">
        <w:tc>
          <w:tcPr>
            <w:tcW w:w="4860" w:type="dxa"/>
          </w:tcPr>
          <w:p w14:paraId="0147AC58"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Facility</w:t>
            </w:r>
            <w:r w:rsidRPr="00A67277">
              <w:rPr>
                <w:rFonts w:cs="Arial"/>
              </w:rPr>
              <w:t>" has the meaning as defined it in the Agreement.</w:t>
            </w:r>
          </w:p>
        </w:tc>
        <w:tc>
          <w:tcPr>
            <w:tcW w:w="270" w:type="dxa"/>
          </w:tcPr>
          <w:p w14:paraId="35AB6657" w14:textId="77777777" w:rsidR="00923319" w:rsidRPr="00A67277" w:rsidRDefault="00923319" w:rsidP="00923319">
            <w:pPr>
              <w:spacing w:before="120" w:after="120"/>
              <w:rPr>
                <w:rFonts w:ascii="Arial" w:hAnsi="Arial" w:cs="Arial"/>
                <w:sz w:val="21"/>
                <w:szCs w:val="21"/>
              </w:rPr>
            </w:pPr>
          </w:p>
        </w:tc>
        <w:tc>
          <w:tcPr>
            <w:tcW w:w="4567" w:type="dxa"/>
          </w:tcPr>
          <w:p w14:paraId="0B81DE31"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sz w:val="21"/>
                <w:szCs w:val="21"/>
              </w:rPr>
              <w:t>“</w:t>
            </w:r>
            <w:r w:rsidRPr="00A67277">
              <w:rPr>
                <w:rFonts w:ascii="Arial" w:hAnsi="Arial" w:cs="Arial"/>
                <w:b/>
                <w:sz w:val="21"/>
                <w:szCs w:val="21"/>
              </w:rPr>
              <w:t>Fasilitas”</w:t>
            </w:r>
            <w:r w:rsidRPr="00A67277">
              <w:rPr>
                <w:rFonts w:ascii="Arial" w:hAnsi="Arial" w:cs="Arial"/>
                <w:sz w:val="21"/>
                <w:szCs w:val="21"/>
              </w:rPr>
              <w:t xml:space="preserve"> berarti sebagaimana terdapat dalam Perjanjian.</w:t>
            </w:r>
          </w:p>
        </w:tc>
      </w:tr>
      <w:tr w:rsidR="00923319" w:rsidRPr="00A67277" w14:paraId="46EBC00B" w14:textId="77777777" w:rsidTr="00923319">
        <w:tc>
          <w:tcPr>
            <w:tcW w:w="4860" w:type="dxa"/>
          </w:tcPr>
          <w:p w14:paraId="7931C7B1"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Financing Agreement</w:t>
            </w:r>
            <w:r w:rsidRPr="00A67277">
              <w:rPr>
                <w:rFonts w:cs="Arial"/>
              </w:rPr>
              <w:t>" has the meaning as defined it in the Agreement.</w:t>
            </w:r>
          </w:p>
        </w:tc>
        <w:tc>
          <w:tcPr>
            <w:tcW w:w="270" w:type="dxa"/>
          </w:tcPr>
          <w:p w14:paraId="05C6C7FE" w14:textId="77777777" w:rsidR="00923319" w:rsidRPr="00A67277" w:rsidRDefault="00923319" w:rsidP="00923319">
            <w:pPr>
              <w:spacing w:before="120" w:after="120"/>
              <w:rPr>
                <w:rFonts w:ascii="Arial" w:hAnsi="Arial" w:cs="Arial"/>
                <w:sz w:val="21"/>
                <w:szCs w:val="21"/>
              </w:rPr>
            </w:pPr>
          </w:p>
        </w:tc>
        <w:tc>
          <w:tcPr>
            <w:tcW w:w="4567" w:type="dxa"/>
          </w:tcPr>
          <w:p w14:paraId="35F303F6"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“Perjanjian Pembiayaan”</w:t>
            </w:r>
            <w:r w:rsidRPr="00A67277">
              <w:rPr>
                <w:rFonts w:ascii="Arial" w:hAnsi="Arial" w:cs="Arial"/>
                <w:sz w:val="21"/>
                <w:szCs w:val="21"/>
              </w:rPr>
              <w:t xml:space="preserve"> berarti sebagaimana terdapat dalam Perjanjian.</w:t>
            </w:r>
          </w:p>
        </w:tc>
      </w:tr>
      <w:tr w:rsidR="00923319" w:rsidRPr="00A67277" w14:paraId="5B2FFA3A" w14:textId="77777777" w:rsidTr="00923319">
        <w:tc>
          <w:tcPr>
            <w:tcW w:w="4860" w:type="dxa"/>
          </w:tcPr>
          <w:p w14:paraId="5D33515E"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Effective Date</w:t>
            </w:r>
            <w:r w:rsidRPr="00A67277">
              <w:rPr>
                <w:rFonts w:cs="Arial"/>
              </w:rPr>
              <w:t>" has the meaning as defined it in the Agreement.</w:t>
            </w:r>
          </w:p>
        </w:tc>
        <w:tc>
          <w:tcPr>
            <w:tcW w:w="270" w:type="dxa"/>
          </w:tcPr>
          <w:p w14:paraId="14C56828" w14:textId="77777777" w:rsidR="00923319" w:rsidRPr="00A67277" w:rsidRDefault="00923319" w:rsidP="00923319">
            <w:pPr>
              <w:spacing w:before="120" w:after="120"/>
              <w:rPr>
                <w:rFonts w:ascii="Arial" w:hAnsi="Arial" w:cs="Arial"/>
                <w:sz w:val="21"/>
                <w:szCs w:val="21"/>
              </w:rPr>
            </w:pPr>
          </w:p>
        </w:tc>
        <w:tc>
          <w:tcPr>
            <w:tcW w:w="4567" w:type="dxa"/>
          </w:tcPr>
          <w:p w14:paraId="7439744F"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“Tanggal Efektif” </w:t>
            </w:r>
            <w:r w:rsidRPr="00A67277">
              <w:rPr>
                <w:rFonts w:ascii="Arial" w:hAnsi="Arial" w:cs="Arial"/>
                <w:sz w:val="21"/>
                <w:szCs w:val="21"/>
              </w:rPr>
              <w:t>berarti sebagaimana terdapat dalam Perjanjian.</w:t>
            </w:r>
          </w:p>
        </w:tc>
      </w:tr>
      <w:tr w:rsidR="00923319" w:rsidRPr="00A67277" w14:paraId="23C42460" w14:textId="77777777" w:rsidTr="00923319">
        <w:tc>
          <w:tcPr>
            <w:tcW w:w="4860" w:type="dxa"/>
          </w:tcPr>
          <w:p w14:paraId="5A9F62E7"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Financing Parties</w:t>
            </w:r>
            <w:r w:rsidRPr="00A67277">
              <w:rPr>
                <w:rFonts w:cs="Arial"/>
              </w:rPr>
              <w:t>" has the meaning as defined it in the Agreement.</w:t>
            </w:r>
          </w:p>
        </w:tc>
        <w:tc>
          <w:tcPr>
            <w:tcW w:w="270" w:type="dxa"/>
          </w:tcPr>
          <w:p w14:paraId="2FA21DF9" w14:textId="77777777" w:rsidR="00923319" w:rsidRPr="00A67277" w:rsidRDefault="00923319" w:rsidP="00923319">
            <w:pPr>
              <w:spacing w:before="120" w:after="120"/>
              <w:rPr>
                <w:rFonts w:ascii="Arial" w:hAnsi="Arial" w:cs="Arial"/>
                <w:sz w:val="21"/>
                <w:szCs w:val="21"/>
              </w:rPr>
            </w:pPr>
          </w:p>
        </w:tc>
        <w:tc>
          <w:tcPr>
            <w:tcW w:w="4567" w:type="dxa"/>
          </w:tcPr>
          <w:p w14:paraId="79649C11"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“Pihak Pembiaya” </w:t>
            </w:r>
            <w:r w:rsidRPr="00A67277">
              <w:rPr>
                <w:rFonts w:ascii="Arial" w:hAnsi="Arial" w:cs="Arial"/>
                <w:sz w:val="21"/>
                <w:szCs w:val="21"/>
              </w:rPr>
              <w:t>berarti sebagaimana terdapat dalam Perjanjian.</w:t>
            </w:r>
          </w:p>
        </w:tc>
      </w:tr>
      <w:tr w:rsidR="00923319" w:rsidRPr="00A67277" w14:paraId="3114BD5E" w14:textId="77777777" w:rsidTr="00923319">
        <w:tc>
          <w:tcPr>
            <w:tcW w:w="4860" w:type="dxa"/>
          </w:tcPr>
          <w:p w14:paraId="36B43571"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Force Majeure Event</w:t>
            </w:r>
            <w:r w:rsidRPr="00A67277">
              <w:rPr>
                <w:rFonts w:cs="Arial"/>
              </w:rPr>
              <w:t>" has the meaning as defined it in the Agreement.</w:t>
            </w:r>
          </w:p>
        </w:tc>
        <w:tc>
          <w:tcPr>
            <w:tcW w:w="270" w:type="dxa"/>
          </w:tcPr>
          <w:p w14:paraId="3A72FD3A" w14:textId="77777777" w:rsidR="00923319" w:rsidRPr="00A67277" w:rsidRDefault="00923319" w:rsidP="00923319">
            <w:pPr>
              <w:spacing w:before="120" w:after="120"/>
              <w:rPr>
                <w:rFonts w:ascii="Arial" w:hAnsi="Arial" w:cs="Arial"/>
                <w:sz w:val="21"/>
                <w:szCs w:val="21"/>
              </w:rPr>
            </w:pPr>
          </w:p>
        </w:tc>
        <w:tc>
          <w:tcPr>
            <w:tcW w:w="4567" w:type="dxa"/>
          </w:tcPr>
          <w:p w14:paraId="6869775B"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 “Peristiwa Keadaan Kahar” </w:t>
            </w:r>
            <w:r w:rsidRPr="00A67277">
              <w:rPr>
                <w:rFonts w:ascii="Arial" w:hAnsi="Arial" w:cs="Arial"/>
                <w:sz w:val="21"/>
                <w:szCs w:val="21"/>
              </w:rPr>
              <w:t>berarti sebagaimana terdapat dalam Perjanjian.</w:t>
            </w:r>
          </w:p>
        </w:tc>
      </w:tr>
      <w:tr w:rsidR="00923319" w:rsidRPr="00A67277" w14:paraId="6BD96568" w14:textId="77777777" w:rsidTr="00923319">
        <w:tc>
          <w:tcPr>
            <w:tcW w:w="4860" w:type="dxa"/>
          </w:tcPr>
          <w:p w14:paraId="03B19ACA"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Forex Rate Swap Termination Cost</w:t>
            </w:r>
            <w:r w:rsidRPr="00A67277">
              <w:rPr>
                <w:rFonts w:cs="Arial"/>
              </w:rPr>
              <w:t>" means the costs to be paid to or for the benefit of the Financing Parties as long as it shall be paid under the Financing Agreements or under agreements signed by the IBE related to the Financing Agreement as a result of the termination of the foreign exchange swap arrangement due to the termination of this Agreement, provided that a payment which is definitely received by the IBE related to the termination of the foreign exchange swap arrangement shall be included in the reduction of the number of relevant Termination Cost calculated in accordance with the provisions of this Appendix.</w:t>
            </w:r>
          </w:p>
        </w:tc>
        <w:tc>
          <w:tcPr>
            <w:tcW w:w="270" w:type="dxa"/>
          </w:tcPr>
          <w:p w14:paraId="4F8BF07A" w14:textId="77777777" w:rsidR="00923319" w:rsidRPr="00A67277" w:rsidRDefault="00923319" w:rsidP="00923319">
            <w:pPr>
              <w:spacing w:before="120" w:after="120"/>
              <w:rPr>
                <w:rFonts w:ascii="Arial" w:hAnsi="Arial" w:cs="Arial"/>
                <w:sz w:val="21"/>
                <w:szCs w:val="21"/>
              </w:rPr>
            </w:pPr>
          </w:p>
        </w:tc>
        <w:tc>
          <w:tcPr>
            <w:tcW w:w="4567" w:type="dxa"/>
          </w:tcPr>
          <w:p w14:paraId="469561E5"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“Biaya Pengakhiran Forex Rate Swap</w:t>
            </w:r>
            <w:r w:rsidRPr="00A67277">
              <w:rPr>
                <w:rFonts w:ascii="Arial" w:hAnsi="Arial" w:cs="Arial"/>
                <w:sz w:val="21"/>
                <w:szCs w:val="21"/>
              </w:rPr>
              <w:t>” berarti biaya yang akan dibayarkan kepada atau untuk manfaat Pihak Pembiaya sejauh hal tersebut akan dibayarkan berdasarkan Perjanjian Pembiayaan atau berdasarkan perjanjian yang ditandatangani oleh BUP sehubungan dengan Perjanjian Pembiayaan akibat dari pengakhiran pengaturan pergantian mata uang asing karena pengakhiran Perjanjian ini, dengan ketentuan bahwa pembayaran yang dengan pasti diterima oleh BUP berhubungan dengan pengakhiran pengaturan pergantian mata uang asing harus termasuk dalam pengurangan jumlah Biaya Pengakhiran yang relevan yang dihitung sesuai dengan ketentuan dalam Lampiran ini</w:t>
            </w:r>
          </w:p>
        </w:tc>
      </w:tr>
      <w:tr w:rsidR="00923319" w:rsidRPr="00A67277" w14:paraId="70F66D34" w14:textId="77777777" w:rsidTr="00923319">
        <w:tc>
          <w:tcPr>
            <w:tcW w:w="4860" w:type="dxa"/>
          </w:tcPr>
          <w:p w14:paraId="0E14311C" w14:textId="77777777" w:rsidR="00923319" w:rsidRPr="00A67277" w:rsidRDefault="00923319" w:rsidP="00923319">
            <w:pPr>
              <w:pStyle w:val="Body2"/>
              <w:spacing w:before="120" w:after="120"/>
              <w:rPr>
                <w:rFonts w:cs="Arial"/>
              </w:rPr>
            </w:pPr>
            <w:r w:rsidRPr="00A67277">
              <w:rPr>
                <w:rFonts w:cs="Arial"/>
              </w:rPr>
              <w:tab/>
              <w:t>"</w:t>
            </w:r>
            <w:r w:rsidRPr="00A67277">
              <w:rPr>
                <w:rFonts w:cs="Arial"/>
                <w:b/>
              </w:rPr>
              <w:t>GCA Voluntary Take-over Event</w:t>
            </w:r>
            <w:r w:rsidRPr="00A67277">
              <w:rPr>
                <w:rFonts w:cs="Arial"/>
              </w:rPr>
              <w:t>" has the meaning as defined it in the Agreement.</w:t>
            </w:r>
          </w:p>
        </w:tc>
        <w:tc>
          <w:tcPr>
            <w:tcW w:w="270" w:type="dxa"/>
          </w:tcPr>
          <w:p w14:paraId="37ACA90F" w14:textId="77777777" w:rsidR="00923319" w:rsidRPr="00A67277" w:rsidRDefault="00923319" w:rsidP="00923319">
            <w:pPr>
              <w:spacing w:before="120" w:after="120"/>
              <w:rPr>
                <w:rFonts w:ascii="Arial" w:hAnsi="Arial" w:cs="Arial"/>
                <w:sz w:val="21"/>
                <w:szCs w:val="21"/>
              </w:rPr>
            </w:pPr>
          </w:p>
        </w:tc>
        <w:tc>
          <w:tcPr>
            <w:tcW w:w="4567" w:type="dxa"/>
          </w:tcPr>
          <w:p w14:paraId="75DE6C87"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“Peristiwa Pengambilalihan Sukarela PJPK” </w:t>
            </w:r>
            <w:r w:rsidRPr="00A67277">
              <w:rPr>
                <w:rFonts w:ascii="Arial" w:hAnsi="Arial" w:cs="Arial"/>
                <w:sz w:val="21"/>
                <w:szCs w:val="21"/>
              </w:rPr>
              <w:t>berarti sebagaimana terdapat dalam Perjanjian.</w:t>
            </w:r>
          </w:p>
        </w:tc>
      </w:tr>
      <w:tr w:rsidR="00923319" w:rsidRPr="00A67277" w14:paraId="6C4800C7" w14:textId="77777777" w:rsidTr="00923319">
        <w:tc>
          <w:tcPr>
            <w:tcW w:w="4860" w:type="dxa"/>
          </w:tcPr>
          <w:p w14:paraId="38C84EF7" w14:textId="77777777" w:rsidR="00923319" w:rsidRPr="00A67277" w:rsidRDefault="00923319" w:rsidP="00923319">
            <w:pPr>
              <w:pStyle w:val="Body2"/>
              <w:spacing w:before="120" w:after="120"/>
              <w:rPr>
                <w:rFonts w:cs="Arial"/>
              </w:rPr>
            </w:pPr>
            <w:r w:rsidRPr="00A67277">
              <w:rPr>
                <w:rFonts w:cs="Arial"/>
              </w:rPr>
              <w:tab/>
              <w:t>"</w:t>
            </w:r>
            <w:r w:rsidRPr="00A67277">
              <w:rPr>
                <w:rFonts w:cs="Arial"/>
                <w:b/>
              </w:rPr>
              <w:t>Hedging Termination Cost Component</w:t>
            </w:r>
            <w:r w:rsidRPr="00A67277">
              <w:rPr>
                <w:rFonts w:cs="Arial"/>
              </w:rPr>
              <w:t>" or "</w:t>
            </w:r>
            <w:r w:rsidRPr="00A67277">
              <w:rPr>
                <w:rFonts w:cs="Arial"/>
                <w:b/>
              </w:rPr>
              <w:t>H</w:t>
            </w:r>
            <w:r w:rsidRPr="00A67277">
              <w:rPr>
                <w:rFonts w:cs="Arial"/>
              </w:rPr>
              <w:t>" means the aggregate of Interest Rate Swap Termination Cost and Forex Rate Swap Termination Cost.</w:t>
            </w:r>
          </w:p>
        </w:tc>
        <w:tc>
          <w:tcPr>
            <w:tcW w:w="270" w:type="dxa"/>
          </w:tcPr>
          <w:p w14:paraId="778A22EF" w14:textId="77777777" w:rsidR="00923319" w:rsidRPr="00A67277" w:rsidRDefault="00923319" w:rsidP="00923319">
            <w:pPr>
              <w:spacing w:before="120" w:after="120"/>
              <w:rPr>
                <w:rFonts w:ascii="Arial" w:hAnsi="Arial" w:cs="Arial"/>
                <w:sz w:val="21"/>
                <w:szCs w:val="21"/>
              </w:rPr>
            </w:pPr>
          </w:p>
        </w:tc>
        <w:tc>
          <w:tcPr>
            <w:tcW w:w="4567" w:type="dxa"/>
          </w:tcPr>
          <w:p w14:paraId="096B166D"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“Komponen Biaya Pengakhiran Lindung Nilai” atau “H” </w:t>
            </w:r>
            <w:r w:rsidRPr="00A67277">
              <w:rPr>
                <w:rFonts w:ascii="Arial" w:hAnsi="Arial" w:cs="Arial"/>
                <w:sz w:val="21"/>
                <w:szCs w:val="21"/>
              </w:rPr>
              <w:t>berarti jumlah dari Biaya Tukar Pengakhiran Suku Bunga dan Biaya Tukar Pengakhiran Suku Forex.</w:t>
            </w:r>
          </w:p>
        </w:tc>
      </w:tr>
      <w:tr w:rsidR="00923319" w:rsidRPr="00A67277" w14:paraId="65A0E325" w14:textId="77777777" w:rsidTr="00923319">
        <w:tc>
          <w:tcPr>
            <w:tcW w:w="4860" w:type="dxa"/>
          </w:tcPr>
          <w:p w14:paraId="2152C071"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Independent Supervisor Consultant</w:t>
            </w:r>
            <w:r w:rsidRPr="00A67277">
              <w:rPr>
                <w:rFonts w:cs="Arial"/>
              </w:rPr>
              <w:t>" has the meaning as defined it in the Agreement.</w:t>
            </w:r>
          </w:p>
        </w:tc>
        <w:tc>
          <w:tcPr>
            <w:tcW w:w="270" w:type="dxa"/>
          </w:tcPr>
          <w:p w14:paraId="7EAD631F" w14:textId="77777777" w:rsidR="00923319" w:rsidRPr="00A67277" w:rsidRDefault="00923319" w:rsidP="00923319">
            <w:pPr>
              <w:spacing w:before="120" w:after="120"/>
              <w:rPr>
                <w:rFonts w:ascii="Arial" w:hAnsi="Arial" w:cs="Arial"/>
                <w:sz w:val="21"/>
                <w:szCs w:val="21"/>
              </w:rPr>
            </w:pPr>
          </w:p>
        </w:tc>
        <w:tc>
          <w:tcPr>
            <w:tcW w:w="4567" w:type="dxa"/>
          </w:tcPr>
          <w:p w14:paraId="5CC0A5AE"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“Konsultan Pengawas Independen” </w:t>
            </w:r>
            <w:r w:rsidRPr="00A67277">
              <w:rPr>
                <w:rFonts w:ascii="Arial" w:hAnsi="Arial" w:cs="Arial"/>
                <w:sz w:val="21"/>
                <w:szCs w:val="21"/>
              </w:rPr>
              <w:t>berarti sebagaimana terdapat dalam Perjanjian.</w:t>
            </w:r>
          </w:p>
        </w:tc>
      </w:tr>
      <w:tr w:rsidR="00923319" w:rsidRPr="00A67277" w14:paraId="14DA0768" w14:textId="77777777" w:rsidTr="00923319">
        <w:tc>
          <w:tcPr>
            <w:tcW w:w="4860" w:type="dxa"/>
          </w:tcPr>
          <w:p w14:paraId="6836E199"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Political Event</w:t>
            </w:r>
            <w:r w:rsidRPr="00A67277">
              <w:rPr>
                <w:rFonts w:cs="Arial"/>
              </w:rPr>
              <w:t>" has the meaning as defined it in the Agreement.</w:t>
            </w:r>
          </w:p>
        </w:tc>
        <w:tc>
          <w:tcPr>
            <w:tcW w:w="270" w:type="dxa"/>
          </w:tcPr>
          <w:p w14:paraId="1C799EA6" w14:textId="77777777" w:rsidR="00923319" w:rsidRPr="00A67277" w:rsidRDefault="00923319" w:rsidP="00923319">
            <w:pPr>
              <w:spacing w:before="120" w:after="120"/>
              <w:rPr>
                <w:rFonts w:ascii="Arial" w:hAnsi="Arial" w:cs="Arial"/>
                <w:sz w:val="21"/>
                <w:szCs w:val="21"/>
              </w:rPr>
            </w:pPr>
          </w:p>
        </w:tc>
        <w:tc>
          <w:tcPr>
            <w:tcW w:w="4567" w:type="dxa"/>
          </w:tcPr>
          <w:p w14:paraId="00C807A5"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“Peristiwa Politik” </w:t>
            </w:r>
            <w:r w:rsidRPr="00A67277">
              <w:rPr>
                <w:rFonts w:ascii="Arial" w:hAnsi="Arial" w:cs="Arial"/>
                <w:sz w:val="21"/>
                <w:szCs w:val="21"/>
              </w:rPr>
              <w:t>berarti sebagaimana terdapat dalam Perjanjian.</w:t>
            </w:r>
          </w:p>
        </w:tc>
      </w:tr>
      <w:tr w:rsidR="00923319" w:rsidRPr="00A67277" w14:paraId="70FBEB07" w14:textId="77777777" w:rsidTr="00923319">
        <w:tc>
          <w:tcPr>
            <w:tcW w:w="4860" w:type="dxa"/>
          </w:tcPr>
          <w:p w14:paraId="0B5AD8AF"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Interest Rate Swap Termination Cost</w:t>
            </w:r>
            <w:r w:rsidRPr="00A67277">
              <w:rPr>
                <w:rFonts w:cs="Arial"/>
              </w:rPr>
              <w:t>" means the costs to be paid to or for the benefit of the Financing Parties as long as it shall be paid under the Financing Agreements or under agreements signed by the IBE related to the Financing Agreement as a result of the termination of the interest rate swap arrangement due to the termination of this Agreement, provided that a payment which is definitely received by the IBE related to the termination of the interest rate swap arrangement shall be included in the reduction of the number of relevant Termination Cost calculated in accordance with the provisions of this Appendix.</w:t>
            </w:r>
          </w:p>
        </w:tc>
        <w:tc>
          <w:tcPr>
            <w:tcW w:w="270" w:type="dxa"/>
          </w:tcPr>
          <w:p w14:paraId="37375D85" w14:textId="77777777" w:rsidR="00923319" w:rsidRPr="00A67277" w:rsidRDefault="00923319" w:rsidP="00923319">
            <w:pPr>
              <w:spacing w:before="120" w:after="120"/>
              <w:rPr>
                <w:rFonts w:ascii="Arial" w:hAnsi="Arial" w:cs="Arial"/>
                <w:sz w:val="21"/>
                <w:szCs w:val="21"/>
              </w:rPr>
            </w:pPr>
          </w:p>
        </w:tc>
        <w:tc>
          <w:tcPr>
            <w:tcW w:w="4567" w:type="dxa"/>
          </w:tcPr>
          <w:p w14:paraId="620B9264"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”Biaya Tukar Pengakhiran Suku Bunga” </w:t>
            </w:r>
            <w:r w:rsidRPr="00A67277">
              <w:rPr>
                <w:rFonts w:ascii="Arial" w:hAnsi="Arial" w:cs="Arial"/>
                <w:sz w:val="21"/>
                <w:szCs w:val="21"/>
              </w:rPr>
              <w:t>berarti biaya yang akan dibayarkan kepada atau untuk manfaat Pihak Pembiaya selama dibayarkan berdasarkan Perjanjian Pembiayaan atau berdasarkan perjanjian yang ditandatangani oleh BUP sehubungan dengan Perjanjian Pembiayaan sebagai hasil dari pengakhiran pengaturan pertukaran suku bunga karena pengakhiran Perjanjian ini, dengan ketentuan bahwa suatu pembayaran yang dengan pasti diterima oleh BUP sehubungan dengan pengakhiran pengaturan pertukaran suku bunga termasuk dalam penguranga jumlah relevan Biaya Pengakhiran yang dihitung sesuai dengan ketentuan dalam Lampiran ini.</w:t>
            </w:r>
          </w:p>
        </w:tc>
      </w:tr>
      <w:tr w:rsidR="00923319" w:rsidRPr="00A67277" w14:paraId="07680534" w14:textId="77777777" w:rsidTr="00923319">
        <w:tc>
          <w:tcPr>
            <w:tcW w:w="4860" w:type="dxa"/>
          </w:tcPr>
          <w:p w14:paraId="0B74708B"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Liability Component</w:t>
            </w:r>
            <w:r w:rsidRPr="00A67277">
              <w:rPr>
                <w:rFonts w:cs="Arial"/>
              </w:rPr>
              <w:t>" or "</w:t>
            </w:r>
            <w:r w:rsidRPr="00A67277">
              <w:rPr>
                <w:rFonts w:cs="Arial"/>
                <w:b/>
              </w:rPr>
              <w:t>L</w:t>
            </w:r>
            <w:r w:rsidRPr="00A67277">
              <w:rPr>
                <w:rFonts w:cs="Arial"/>
              </w:rPr>
              <w:t>" means the amount of compensation / penalties incurred prior to the Termination Date in accordance with the Agreement and has not been paid to the GCA which for the avoidance of doubt shall include without limitation penalties due to performance failure, penalties due to completion delay, and compensation due to indemnity.</w:t>
            </w:r>
          </w:p>
        </w:tc>
        <w:tc>
          <w:tcPr>
            <w:tcW w:w="270" w:type="dxa"/>
          </w:tcPr>
          <w:p w14:paraId="0D0E47DC" w14:textId="77777777" w:rsidR="00923319" w:rsidRPr="00A67277" w:rsidRDefault="00923319" w:rsidP="00923319">
            <w:pPr>
              <w:spacing w:before="120" w:after="120"/>
              <w:rPr>
                <w:rFonts w:ascii="Arial" w:hAnsi="Arial" w:cs="Arial"/>
                <w:sz w:val="21"/>
                <w:szCs w:val="21"/>
              </w:rPr>
            </w:pPr>
          </w:p>
        </w:tc>
        <w:tc>
          <w:tcPr>
            <w:tcW w:w="4567" w:type="dxa"/>
          </w:tcPr>
          <w:p w14:paraId="77E781B5"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"Komponen Tanggung Jawab"</w:t>
            </w:r>
            <w:r w:rsidRPr="00A67277">
              <w:rPr>
                <w:rFonts w:ascii="Arial" w:hAnsi="Arial" w:cs="Arial"/>
                <w:sz w:val="21"/>
                <w:szCs w:val="21"/>
              </w:rPr>
              <w:t xml:space="preserve"> atau </w:t>
            </w:r>
            <w:r w:rsidRPr="00A67277">
              <w:rPr>
                <w:rFonts w:ascii="Arial" w:hAnsi="Arial" w:cs="Arial"/>
                <w:b/>
                <w:sz w:val="21"/>
                <w:szCs w:val="21"/>
              </w:rPr>
              <w:t>"L"</w:t>
            </w:r>
            <w:r w:rsidRPr="00A67277">
              <w:rPr>
                <w:rFonts w:ascii="Arial" w:hAnsi="Arial" w:cs="Arial"/>
                <w:sz w:val="21"/>
                <w:szCs w:val="21"/>
              </w:rPr>
              <w:t xml:space="preserve"> adalah jumlah kompensasi / penalti yang timbul sebelum Tanggal Pengakhiran sesuai dengan Perjanjian dan belum dibayarkan kepada PJPK, yang untuk menghindari keragu-raguan mencakup tanpa terbatas pada penalti-penalti pembatasan oleh karena kelalaian kinerja, penalti-penalti oleh karena keterlambatan penyelesaian, dan kompensasi oleh karena penggantian kerugian.</w:t>
            </w:r>
          </w:p>
        </w:tc>
      </w:tr>
      <w:tr w:rsidR="00923319" w:rsidRPr="00A67277" w14:paraId="70894082" w14:textId="77777777" w:rsidTr="00923319">
        <w:tc>
          <w:tcPr>
            <w:tcW w:w="4860" w:type="dxa"/>
          </w:tcPr>
          <w:p w14:paraId="3C9C4686"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Losses</w:t>
            </w:r>
            <w:r w:rsidRPr="00A67277">
              <w:rPr>
                <w:rFonts w:cs="Arial"/>
              </w:rPr>
              <w:t>" means all damages, losses, liabilities, costs, expenses (including costs and expenses for legal services and other professional services), and the costs incurred by law, contract or customary law or related to a court decision, Litigation, internal costs or requests.</w:t>
            </w:r>
          </w:p>
        </w:tc>
        <w:tc>
          <w:tcPr>
            <w:tcW w:w="270" w:type="dxa"/>
          </w:tcPr>
          <w:p w14:paraId="524A6A14" w14:textId="77777777" w:rsidR="00923319" w:rsidRPr="00A67277" w:rsidRDefault="00923319" w:rsidP="00923319">
            <w:pPr>
              <w:spacing w:before="120" w:after="120"/>
              <w:rPr>
                <w:rFonts w:ascii="Arial" w:hAnsi="Arial" w:cs="Arial"/>
                <w:sz w:val="21"/>
                <w:szCs w:val="21"/>
              </w:rPr>
            </w:pPr>
          </w:p>
        </w:tc>
        <w:tc>
          <w:tcPr>
            <w:tcW w:w="4567" w:type="dxa"/>
          </w:tcPr>
          <w:p w14:paraId="0BD47495"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“Kerugian”</w:t>
            </w:r>
            <w:r w:rsidRPr="00A67277">
              <w:rPr>
                <w:rFonts w:ascii="Arial" w:hAnsi="Arial" w:cs="Arial"/>
                <w:sz w:val="21"/>
                <w:szCs w:val="21"/>
              </w:rPr>
              <w:t xml:space="preserve"> berarti segala ganti rugi, kerugian, hutang, biaya, pengeluaran (termasuk biaya dan belanja untuk jasa hukum dan jasa professional lainnya), dan biaya yang timbul dari hukum, kontrak atau hukum konsumen atau yang berhubungan dengan putusan pengadilan, Peradilan, biaya internal atau permintaan.</w:t>
            </w:r>
          </w:p>
        </w:tc>
      </w:tr>
      <w:tr w:rsidR="00923319" w:rsidRPr="00A67277" w14:paraId="214D6715" w14:textId="77777777" w:rsidTr="00923319">
        <w:tc>
          <w:tcPr>
            <w:tcW w:w="4860" w:type="dxa"/>
          </w:tcPr>
          <w:p w14:paraId="5C7CA6E6" w14:textId="77777777" w:rsidR="00923319" w:rsidRPr="00A67277" w:rsidRDefault="00923319" w:rsidP="00923319">
            <w:pPr>
              <w:pStyle w:val="Body2"/>
              <w:spacing w:before="120" w:after="120"/>
              <w:rPr>
                <w:rFonts w:cs="Arial"/>
              </w:rPr>
            </w:pPr>
            <w:r w:rsidRPr="00A67277">
              <w:rPr>
                <w:rFonts w:cs="Arial"/>
              </w:rPr>
              <w:tab/>
              <w:t>"</w:t>
            </w:r>
            <w:r w:rsidRPr="00A67277">
              <w:rPr>
                <w:rFonts w:cs="Arial"/>
                <w:b/>
              </w:rPr>
              <w:t>Maintenance Cost Component</w:t>
            </w:r>
            <w:r w:rsidRPr="00A67277">
              <w:rPr>
                <w:rFonts w:cs="Arial"/>
              </w:rPr>
              <w:t>" or "</w:t>
            </w:r>
            <w:r w:rsidRPr="00A67277">
              <w:rPr>
                <w:rFonts w:cs="Arial"/>
                <w:b/>
              </w:rPr>
              <w:t>M</w:t>
            </w:r>
            <w:r w:rsidRPr="00A67277">
              <w:rPr>
                <w:rFonts w:cs="Arial"/>
              </w:rPr>
              <w:t>" means upon occurrence of Force Majeure Event,</w:t>
            </w:r>
          </w:p>
        </w:tc>
        <w:tc>
          <w:tcPr>
            <w:tcW w:w="270" w:type="dxa"/>
          </w:tcPr>
          <w:p w14:paraId="351BA025" w14:textId="77777777" w:rsidR="00923319" w:rsidRPr="00A67277" w:rsidRDefault="00923319" w:rsidP="00923319">
            <w:pPr>
              <w:spacing w:before="120" w:after="120"/>
              <w:rPr>
                <w:rFonts w:ascii="Arial" w:hAnsi="Arial" w:cs="Arial"/>
                <w:sz w:val="21"/>
                <w:szCs w:val="21"/>
              </w:rPr>
            </w:pPr>
          </w:p>
        </w:tc>
        <w:tc>
          <w:tcPr>
            <w:tcW w:w="4567" w:type="dxa"/>
          </w:tcPr>
          <w:p w14:paraId="7FDB7611"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“Komponen Biaya Pemeliharaan”</w:t>
            </w:r>
            <w:r w:rsidRPr="00A67277">
              <w:rPr>
                <w:rFonts w:ascii="Arial" w:hAnsi="Arial" w:cs="Arial"/>
                <w:sz w:val="21"/>
                <w:szCs w:val="21"/>
              </w:rPr>
              <w:t xml:space="preserve"> atau “M” berarti atas terjadinya Peristiwa Keadaan Kahar,</w:t>
            </w:r>
          </w:p>
        </w:tc>
      </w:tr>
      <w:tr w:rsidR="00923319" w:rsidRPr="00A67277" w14:paraId="6A9C7AEE" w14:textId="77777777" w:rsidTr="00923319">
        <w:tc>
          <w:tcPr>
            <w:tcW w:w="4860" w:type="dxa"/>
          </w:tcPr>
          <w:p w14:paraId="317862AD" w14:textId="77777777" w:rsidR="00923319" w:rsidRPr="00A67277" w:rsidRDefault="00923319" w:rsidP="00923319">
            <w:pPr>
              <w:pStyle w:val="SchNumber3"/>
              <w:numPr>
                <w:ilvl w:val="4"/>
                <w:numId w:val="567"/>
              </w:numPr>
              <w:tabs>
                <w:tab w:val="clear" w:pos="1418"/>
                <w:tab w:val="left" w:pos="1766"/>
                <w:tab w:val="num" w:pos="2036"/>
              </w:tabs>
              <w:spacing w:before="120" w:after="120"/>
              <w:ind w:left="1316" w:hanging="552"/>
              <w:rPr>
                <w:rFonts w:cs="Arial"/>
              </w:rPr>
            </w:pPr>
            <w:bookmarkStart w:id="370" w:name="_Toc501178992"/>
            <w:r w:rsidRPr="00A67277">
              <w:rPr>
                <w:rFonts w:cs="Arial"/>
              </w:rPr>
              <w:t>(in respect of section 2.3(b)(i) below) the costs (as fairly estimated by the Expert) which will reasonably be incurred to mitigate the effect of Force Majeure Events related to the Facility, as applicable; or</w:t>
            </w:r>
            <w:bookmarkEnd w:id="370"/>
          </w:p>
        </w:tc>
        <w:tc>
          <w:tcPr>
            <w:tcW w:w="270" w:type="dxa"/>
          </w:tcPr>
          <w:p w14:paraId="726E5CB6" w14:textId="77777777" w:rsidR="00923319" w:rsidRPr="00A67277" w:rsidRDefault="00923319" w:rsidP="00923319">
            <w:pPr>
              <w:spacing w:before="120" w:after="120"/>
              <w:rPr>
                <w:rFonts w:ascii="Arial" w:hAnsi="Arial" w:cs="Arial"/>
                <w:sz w:val="21"/>
                <w:szCs w:val="21"/>
              </w:rPr>
            </w:pPr>
          </w:p>
        </w:tc>
        <w:tc>
          <w:tcPr>
            <w:tcW w:w="4567" w:type="dxa"/>
          </w:tcPr>
          <w:p w14:paraId="0EE7B878" w14:textId="77777777" w:rsidR="00923319" w:rsidRPr="00A67277" w:rsidRDefault="00923319" w:rsidP="00923319">
            <w:pPr>
              <w:pStyle w:val="ListParagraph"/>
              <w:numPr>
                <w:ilvl w:val="0"/>
                <w:numId w:val="598"/>
              </w:numPr>
              <w:spacing w:before="120" w:after="120" w:line="240" w:lineRule="auto"/>
              <w:ind w:left="1229"/>
              <w:rPr>
                <w:rFonts w:cs="Arial"/>
              </w:rPr>
            </w:pPr>
            <w:r w:rsidRPr="00A67277">
              <w:rPr>
                <w:rFonts w:cs="Arial"/>
              </w:rPr>
              <w:t>(mengenai bagian 2.3(b)(i) di bawah ini) biaya (sebagaimana diperkirakan oleh Ahli Independen) yang akan timbul secara wajar untuk memitigasi dampak Peristiwa Keadaan Kahar sehubungan dengan Fasilitas, sebagaimana berlaku; atau</w:t>
            </w:r>
          </w:p>
        </w:tc>
      </w:tr>
      <w:tr w:rsidR="00923319" w:rsidRPr="00A67277" w14:paraId="0DEE88C5" w14:textId="77777777" w:rsidTr="00923319">
        <w:tc>
          <w:tcPr>
            <w:tcW w:w="4860" w:type="dxa"/>
          </w:tcPr>
          <w:p w14:paraId="1024E42A" w14:textId="77777777" w:rsidR="00923319" w:rsidRPr="00A67277" w:rsidRDefault="00923319" w:rsidP="00923319">
            <w:pPr>
              <w:pStyle w:val="SchNumber3"/>
              <w:numPr>
                <w:ilvl w:val="4"/>
                <w:numId w:val="567"/>
              </w:numPr>
              <w:tabs>
                <w:tab w:val="clear" w:pos="1418"/>
                <w:tab w:val="left" w:pos="1766"/>
                <w:tab w:val="num" w:pos="2036"/>
              </w:tabs>
              <w:spacing w:before="120" w:after="120"/>
              <w:ind w:left="1316" w:hanging="552"/>
              <w:rPr>
                <w:rFonts w:cs="Arial"/>
              </w:rPr>
            </w:pPr>
            <w:bookmarkStart w:id="371" w:name="_Toc501178993"/>
            <w:r w:rsidRPr="00A67277">
              <w:rPr>
                <w:rFonts w:cs="Arial"/>
              </w:rPr>
              <w:t>(in respect of section 2.3(b)(ii) below) the costs incurred by IBE to repair the effects of the Force Majeure Events (so that the Facility can be operated to meet the Key Performance Indicators on the Calculation Date) minus the proceeds received from the insurers, as long as the insurance proceeds is solely used to make repairment to the Facility; o</w:t>
            </w:r>
            <w:bookmarkEnd w:id="371"/>
            <w:r w:rsidRPr="00A67277">
              <w:rPr>
                <w:rFonts w:cs="Arial"/>
              </w:rPr>
              <w:t>r</w:t>
            </w:r>
          </w:p>
        </w:tc>
        <w:tc>
          <w:tcPr>
            <w:tcW w:w="270" w:type="dxa"/>
          </w:tcPr>
          <w:p w14:paraId="7251E1B7" w14:textId="77777777" w:rsidR="00923319" w:rsidRPr="00A67277" w:rsidRDefault="00923319" w:rsidP="00923319">
            <w:pPr>
              <w:spacing w:before="120" w:after="120"/>
              <w:rPr>
                <w:rFonts w:ascii="Arial" w:hAnsi="Arial" w:cs="Arial"/>
                <w:sz w:val="21"/>
                <w:szCs w:val="21"/>
              </w:rPr>
            </w:pPr>
          </w:p>
        </w:tc>
        <w:tc>
          <w:tcPr>
            <w:tcW w:w="4567" w:type="dxa"/>
          </w:tcPr>
          <w:p w14:paraId="4A4D2E1A" w14:textId="77777777" w:rsidR="00923319" w:rsidRPr="00A67277" w:rsidRDefault="00923319" w:rsidP="00923319">
            <w:pPr>
              <w:pStyle w:val="ListParagraph"/>
              <w:numPr>
                <w:ilvl w:val="0"/>
                <w:numId w:val="598"/>
              </w:numPr>
              <w:spacing w:before="120" w:after="120" w:line="240" w:lineRule="auto"/>
              <w:ind w:left="1229"/>
              <w:rPr>
                <w:rFonts w:cs="Arial"/>
              </w:rPr>
            </w:pPr>
            <w:r w:rsidRPr="00A67277">
              <w:rPr>
                <w:rFonts w:cs="Arial"/>
              </w:rPr>
              <w:t>(mengenai bagian 2.3(b)(ii) di bawah ini) biaya yang timbul dari BUP untuk memperbaiki dampak dari Peristiwa Keadaan Kahar (sehingga Fasilitas dapat dioperasikan agar sesuai dengan Indikator Kinerja Utama pada Tanggal Perhitungan) dikurangi proses yang diterima dari pemberi asuransi, jika proses asuransi hanya digunakan untuk perbaikan Fasilitas; atau</w:t>
            </w:r>
          </w:p>
        </w:tc>
      </w:tr>
      <w:tr w:rsidR="00923319" w:rsidRPr="00A67277" w14:paraId="522D2A3C" w14:textId="77777777" w:rsidTr="00923319">
        <w:tc>
          <w:tcPr>
            <w:tcW w:w="4860" w:type="dxa"/>
          </w:tcPr>
          <w:p w14:paraId="1301A192" w14:textId="77777777" w:rsidR="00923319" w:rsidRPr="00A67277" w:rsidRDefault="00923319" w:rsidP="00923319">
            <w:pPr>
              <w:pStyle w:val="SchNumber3"/>
              <w:numPr>
                <w:ilvl w:val="4"/>
                <w:numId w:val="567"/>
              </w:numPr>
              <w:tabs>
                <w:tab w:val="clear" w:pos="1418"/>
                <w:tab w:val="left" w:pos="1766"/>
                <w:tab w:val="num" w:pos="2036"/>
              </w:tabs>
              <w:spacing w:before="120" w:after="120"/>
              <w:ind w:left="1316" w:hanging="552"/>
              <w:rPr>
                <w:rFonts w:cs="Arial"/>
              </w:rPr>
            </w:pPr>
            <w:bookmarkStart w:id="372" w:name="_Toc501178994"/>
            <w:r w:rsidRPr="00A67277">
              <w:rPr>
                <w:rFonts w:cs="Arial"/>
              </w:rPr>
              <w:t>(in respect of section 2.3(b)(iii) below) the cost (as fairly estimated by the Expert) which will reasonably be incurred to mitigate the effects of Force Majeure Events (so that the Facility can be operated to meet the Key Performance Indicators on the Calculation Date).</w:t>
            </w:r>
            <w:bookmarkEnd w:id="372"/>
          </w:p>
        </w:tc>
        <w:tc>
          <w:tcPr>
            <w:tcW w:w="270" w:type="dxa"/>
          </w:tcPr>
          <w:p w14:paraId="40A013C3" w14:textId="77777777" w:rsidR="00923319" w:rsidRPr="00A67277" w:rsidRDefault="00923319" w:rsidP="00923319">
            <w:pPr>
              <w:spacing w:before="120" w:after="120"/>
              <w:rPr>
                <w:rFonts w:ascii="Arial" w:hAnsi="Arial" w:cs="Arial"/>
                <w:sz w:val="21"/>
                <w:szCs w:val="21"/>
              </w:rPr>
            </w:pPr>
          </w:p>
        </w:tc>
        <w:tc>
          <w:tcPr>
            <w:tcW w:w="4567" w:type="dxa"/>
          </w:tcPr>
          <w:p w14:paraId="582302BE" w14:textId="77777777" w:rsidR="00923319" w:rsidRPr="00A67277" w:rsidRDefault="00923319" w:rsidP="00923319">
            <w:pPr>
              <w:pStyle w:val="ListParagraph"/>
              <w:numPr>
                <w:ilvl w:val="0"/>
                <w:numId w:val="598"/>
              </w:numPr>
              <w:spacing w:before="120" w:after="120" w:line="240" w:lineRule="auto"/>
              <w:ind w:left="1229"/>
              <w:rPr>
                <w:rFonts w:cs="Arial"/>
              </w:rPr>
            </w:pPr>
            <w:r w:rsidRPr="00A67277">
              <w:rPr>
                <w:rFonts w:cs="Arial"/>
              </w:rPr>
              <w:t>(mengenai bagian 2.3(b)(iii) di bawah ini) biaya (sebagaimana diperkirakan oleh Ahli Independen) yang akan timbul secara wajar untuk memitihasi dampak dari Peristiwa Keadaan Kahar (sehingga Fasilitas dapat diperasikan untuk memenuhi Indikator Kinerja Utama pada Tanggal Perhitungan).</w:t>
            </w:r>
          </w:p>
        </w:tc>
      </w:tr>
      <w:tr w:rsidR="00923319" w:rsidRPr="00A67277" w14:paraId="3FB282C5" w14:textId="77777777" w:rsidTr="00923319">
        <w:tc>
          <w:tcPr>
            <w:tcW w:w="4860" w:type="dxa"/>
          </w:tcPr>
          <w:p w14:paraId="29BA1943"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Project</w:t>
            </w:r>
            <w:r w:rsidRPr="00A67277">
              <w:rPr>
                <w:rFonts w:cs="Arial"/>
              </w:rPr>
              <w:t>" has the meaning as defined it in the Agreement.</w:t>
            </w:r>
          </w:p>
        </w:tc>
        <w:tc>
          <w:tcPr>
            <w:tcW w:w="270" w:type="dxa"/>
          </w:tcPr>
          <w:p w14:paraId="6367F488" w14:textId="77777777" w:rsidR="00923319" w:rsidRPr="00A67277" w:rsidRDefault="00923319" w:rsidP="00923319">
            <w:pPr>
              <w:spacing w:before="120" w:after="120"/>
              <w:rPr>
                <w:rFonts w:ascii="Arial" w:hAnsi="Arial" w:cs="Arial"/>
                <w:sz w:val="21"/>
                <w:szCs w:val="21"/>
              </w:rPr>
            </w:pPr>
          </w:p>
        </w:tc>
        <w:tc>
          <w:tcPr>
            <w:tcW w:w="4567" w:type="dxa"/>
          </w:tcPr>
          <w:p w14:paraId="261CF367"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“Proyek” </w:t>
            </w:r>
            <w:r w:rsidRPr="00A67277">
              <w:rPr>
                <w:rFonts w:ascii="Arial" w:hAnsi="Arial" w:cs="Arial"/>
                <w:sz w:val="21"/>
                <w:szCs w:val="21"/>
              </w:rPr>
              <w:t>berarti sebagaimana didefinisikan dalam Perjanjian.</w:t>
            </w:r>
          </w:p>
        </w:tc>
      </w:tr>
      <w:tr w:rsidR="00923319" w:rsidRPr="00A67277" w14:paraId="294F342A" w14:textId="77777777" w:rsidTr="00923319">
        <w:tc>
          <w:tcPr>
            <w:tcW w:w="4860" w:type="dxa"/>
          </w:tcPr>
          <w:p w14:paraId="3E4F9CED" w14:textId="77777777" w:rsidR="00923319" w:rsidRPr="00A67277" w:rsidRDefault="00923319" w:rsidP="00923319">
            <w:pPr>
              <w:pStyle w:val="Body2"/>
              <w:spacing w:before="120" w:after="120"/>
              <w:rPr>
                <w:rFonts w:cs="Arial"/>
              </w:rPr>
            </w:pPr>
            <w:r w:rsidRPr="00A67277">
              <w:rPr>
                <w:rFonts w:cs="Arial"/>
              </w:rPr>
              <w:t>"</w:t>
            </w:r>
            <w:r w:rsidRPr="00A67277">
              <w:rPr>
                <w:rFonts w:cs="Arial"/>
                <w:b/>
              </w:rPr>
              <w:t>Savings Component</w:t>
            </w:r>
            <w:r w:rsidRPr="00A67277">
              <w:rPr>
                <w:rFonts w:cs="Arial"/>
              </w:rPr>
              <w:t>" or "</w:t>
            </w:r>
            <w:r w:rsidRPr="00A67277">
              <w:rPr>
                <w:rFonts w:cs="Arial"/>
                <w:b/>
              </w:rPr>
              <w:t>S</w:t>
            </w:r>
            <w:r w:rsidRPr="00A67277">
              <w:rPr>
                <w:rFonts w:cs="Arial"/>
              </w:rPr>
              <w:t>” means the aggregate of:</w:t>
            </w:r>
          </w:p>
        </w:tc>
        <w:tc>
          <w:tcPr>
            <w:tcW w:w="270" w:type="dxa"/>
          </w:tcPr>
          <w:p w14:paraId="0F441661" w14:textId="77777777" w:rsidR="00923319" w:rsidRPr="00A67277" w:rsidRDefault="00923319" w:rsidP="00923319">
            <w:pPr>
              <w:spacing w:before="120" w:after="120"/>
              <w:rPr>
                <w:rFonts w:ascii="Arial" w:hAnsi="Arial" w:cs="Arial"/>
                <w:sz w:val="21"/>
                <w:szCs w:val="21"/>
              </w:rPr>
            </w:pPr>
          </w:p>
        </w:tc>
        <w:tc>
          <w:tcPr>
            <w:tcW w:w="4567" w:type="dxa"/>
          </w:tcPr>
          <w:p w14:paraId="421B3864"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“Komponen Tabungan” </w:t>
            </w:r>
            <w:r w:rsidRPr="00A67277">
              <w:rPr>
                <w:rFonts w:ascii="Arial" w:hAnsi="Arial" w:cs="Arial"/>
                <w:sz w:val="21"/>
                <w:szCs w:val="21"/>
              </w:rPr>
              <w:t xml:space="preserve">atau </w:t>
            </w:r>
            <w:r w:rsidRPr="00A67277">
              <w:rPr>
                <w:rFonts w:ascii="Arial" w:hAnsi="Arial" w:cs="Arial"/>
                <w:b/>
                <w:sz w:val="21"/>
                <w:szCs w:val="21"/>
              </w:rPr>
              <w:t>“S”</w:t>
            </w:r>
            <w:r w:rsidRPr="00A67277">
              <w:rPr>
                <w:rFonts w:ascii="Arial" w:hAnsi="Arial" w:cs="Arial"/>
                <w:sz w:val="21"/>
                <w:szCs w:val="21"/>
              </w:rPr>
              <w:t xml:space="preserve"> berarti agregat dari:</w:t>
            </w:r>
          </w:p>
        </w:tc>
      </w:tr>
      <w:tr w:rsidR="00923319" w:rsidRPr="00A67277" w14:paraId="2AAF9A53" w14:textId="77777777" w:rsidTr="00923319">
        <w:tc>
          <w:tcPr>
            <w:tcW w:w="4860" w:type="dxa"/>
          </w:tcPr>
          <w:p w14:paraId="5E90EEF2" w14:textId="77777777" w:rsidR="00923319" w:rsidRPr="00A67277" w:rsidRDefault="00923319" w:rsidP="00923319">
            <w:pPr>
              <w:pStyle w:val="SchNumber3"/>
              <w:numPr>
                <w:ilvl w:val="0"/>
                <w:numId w:val="0"/>
              </w:numPr>
              <w:spacing w:before="120" w:after="120"/>
              <w:ind w:left="1062" w:hanging="353"/>
              <w:rPr>
                <w:rFonts w:cs="Arial"/>
              </w:rPr>
            </w:pPr>
            <w:bookmarkStart w:id="373" w:name="_Toc501178995"/>
            <w:r w:rsidRPr="00A67277">
              <w:rPr>
                <w:rFonts w:cs="Arial"/>
              </w:rPr>
              <w:t>(a)</w:t>
            </w:r>
            <w:r w:rsidRPr="00A67277">
              <w:rPr>
                <w:rFonts w:cs="Arial"/>
              </w:rPr>
              <w:tab/>
              <w:t>credit balance in any bank account held by or for the interest of the IBE on the Date of Calculation;</w:t>
            </w:r>
            <w:bookmarkEnd w:id="373"/>
          </w:p>
        </w:tc>
        <w:tc>
          <w:tcPr>
            <w:tcW w:w="270" w:type="dxa"/>
          </w:tcPr>
          <w:p w14:paraId="792BA2E3" w14:textId="77777777" w:rsidR="00923319" w:rsidRPr="00A67277" w:rsidRDefault="00923319" w:rsidP="00923319">
            <w:pPr>
              <w:spacing w:before="120" w:after="120"/>
              <w:rPr>
                <w:rFonts w:ascii="Arial" w:hAnsi="Arial" w:cs="Arial"/>
                <w:sz w:val="21"/>
                <w:szCs w:val="21"/>
              </w:rPr>
            </w:pPr>
          </w:p>
        </w:tc>
        <w:tc>
          <w:tcPr>
            <w:tcW w:w="4567" w:type="dxa"/>
          </w:tcPr>
          <w:p w14:paraId="1A14CAAA" w14:textId="77777777" w:rsidR="00923319" w:rsidRPr="00A67277" w:rsidRDefault="00923319" w:rsidP="00923319">
            <w:pPr>
              <w:pStyle w:val="ListParagraph"/>
              <w:numPr>
                <w:ilvl w:val="0"/>
                <w:numId w:val="599"/>
              </w:numPr>
              <w:spacing w:before="120" w:after="120" w:line="240" w:lineRule="auto"/>
              <w:ind w:left="1080"/>
              <w:rPr>
                <w:rFonts w:cs="Arial"/>
              </w:rPr>
            </w:pPr>
            <w:r w:rsidRPr="00A67277">
              <w:rPr>
                <w:rFonts w:cs="Arial"/>
              </w:rPr>
              <w:t>saldo kredit di rekening bank manapun oleh atau untuk kepentingan BUP pada Tanggal Perhitungan;</w:t>
            </w:r>
          </w:p>
        </w:tc>
      </w:tr>
      <w:tr w:rsidR="00923319" w:rsidRPr="00A67277" w14:paraId="16C5E54C" w14:textId="77777777" w:rsidTr="00923319">
        <w:tc>
          <w:tcPr>
            <w:tcW w:w="4860" w:type="dxa"/>
          </w:tcPr>
          <w:p w14:paraId="2DC02F54" w14:textId="77777777" w:rsidR="00923319" w:rsidRPr="00A67277" w:rsidRDefault="00923319" w:rsidP="00923319">
            <w:pPr>
              <w:pStyle w:val="SchNumber3"/>
              <w:numPr>
                <w:ilvl w:val="0"/>
                <w:numId w:val="0"/>
              </w:numPr>
              <w:spacing w:before="120" w:after="120"/>
              <w:ind w:left="1062" w:hanging="353"/>
              <w:rPr>
                <w:rFonts w:cs="Arial"/>
              </w:rPr>
            </w:pPr>
            <w:bookmarkStart w:id="374" w:name="_Toc501178996"/>
            <w:r w:rsidRPr="00A67277">
              <w:rPr>
                <w:rFonts w:cs="Arial"/>
              </w:rPr>
              <w:t>(b)</w:t>
            </w:r>
            <w:r w:rsidRPr="00A67277">
              <w:rPr>
                <w:rFonts w:cs="Arial"/>
              </w:rPr>
              <w:tab/>
              <w:t>insurance proceeds which are paid or payable to the IBE (or which should be paid to IBE if the IBE has fulfilled all its insurance obligations under the Agreement) at any time between the Termination Date and the Date of the Calculation but excluding the amount to be used to repair, recover or rebuild the Facility or for any third party liability, plus</w:t>
            </w:r>
            <w:bookmarkEnd w:id="374"/>
          </w:p>
        </w:tc>
        <w:tc>
          <w:tcPr>
            <w:tcW w:w="270" w:type="dxa"/>
          </w:tcPr>
          <w:p w14:paraId="40E486CD" w14:textId="77777777" w:rsidR="00923319" w:rsidRPr="00A67277" w:rsidRDefault="00923319" w:rsidP="00923319">
            <w:pPr>
              <w:spacing w:before="120" w:after="120"/>
              <w:rPr>
                <w:rFonts w:ascii="Arial" w:hAnsi="Arial" w:cs="Arial"/>
                <w:sz w:val="21"/>
                <w:szCs w:val="21"/>
              </w:rPr>
            </w:pPr>
          </w:p>
        </w:tc>
        <w:tc>
          <w:tcPr>
            <w:tcW w:w="4567" w:type="dxa"/>
          </w:tcPr>
          <w:p w14:paraId="1A1445C9" w14:textId="77777777" w:rsidR="00923319" w:rsidRPr="00A67277" w:rsidRDefault="00923319" w:rsidP="00923319">
            <w:pPr>
              <w:pStyle w:val="ListParagraph"/>
              <w:numPr>
                <w:ilvl w:val="0"/>
                <w:numId w:val="599"/>
              </w:numPr>
              <w:spacing w:before="120" w:after="120" w:line="240" w:lineRule="auto"/>
              <w:ind w:left="1080"/>
              <w:rPr>
                <w:rFonts w:cs="Arial"/>
              </w:rPr>
            </w:pPr>
            <w:r w:rsidRPr="00A67277">
              <w:rPr>
                <w:rFonts w:cs="Arial"/>
              </w:rPr>
              <w:t>pendapatan asuransi yang dibayar atau dapat dibayarkan kepada BUP (atau yang harus dibayarkan kepada BUP jika BUP telah memenuhi seluruh kewajiban asuransinya berdasarkan Perjanjian) pada setiap waktu antara Tanggal Pengkahiran dan Tanggal Perhitungan namun di luar dari jumlah yang akan digunakan untuk memperbaiki, memulihkan atau membangun ulang Fasilitas atau untuk tanggung jawab pihak ketiga, ditambah</w:t>
            </w:r>
          </w:p>
        </w:tc>
      </w:tr>
      <w:tr w:rsidR="00923319" w:rsidRPr="00A67277" w14:paraId="0CDF533E" w14:textId="77777777" w:rsidTr="00923319">
        <w:tc>
          <w:tcPr>
            <w:tcW w:w="4860" w:type="dxa"/>
          </w:tcPr>
          <w:p w14:paraId="40FA4DB4" w14:textId="4B03A8A6" w:rsidR="00923319" w:rsidRPr="00DD01A2" w:rsidRDefault="00923319">
            <w:pPr>
              <w:pStyle w:val="SchNumber3"/>
              <w:numPr>
                <w:ilvl w:val="0"/>
                <w:numId w:val="0"/>
              </w:numPr>
              <w:spacing w:before="120" w:after="120"/>
              <w:ind w:left="1062" w:hanging="353"/>
              <w:rPr>
                <w:rFonts w:cs="Arial"/>
              </w:rPr>
            </w:pPr>
            <w:bookmarkStart w:id="375" w:name="_Toc501178997"/>
            <w:r w:rsidRPr="00DD01A2">
              <w:rPr>
                <w:rFonts w:cs="Arial"/>
              </w:rPr>
              <w:t>(c)</w:t>
            </w:r>
            <w:r w:rsidRPr="00DD01A2">
              <w:rPr>
                <w:rFonts w:cs="Arial"/>
              </w:rPr>
              <w:tab/>
              <w:t>accounts receivable and other current assets on the Calculation Date (other than Claims or debts payable by the GCA to the IBE)</w:t>
            </w:r>
            <w:r w:rsidR="00221255">
              <w:rPr>
                <w:rFonts w:cs="Arial"/>
              </w:rPr>
              <w:t>,</w:t>
            </w:r>
            <w:bookmarkEnd w:id="375"/>
            <w:r w:rsidR="00783006" w:rsidRPr="00DD01A2">
              <w:rPr>
                <w:rFonts w:cs="Arial"/>
              </w:rPr>
              <w:t xml:space="preserve"> </w:t>
            </w:r>
            <w:r w:rsidR="00E14CC9">
              <w:rPr>
                <w:rFonts w:cs="Arial"/>
              </w:rPr>
              <w:t>less</w:t>
            </w:r>
            <w:r w:rsidR="00783006" w:rsidRPr="00DD01A2">
              <w:rPr>
                <w:rFonts w:cs="Arial"/>
              </w:rPr>
              <w:t xml:space="preserve"> </w:t>
            </w:r>
          </w:p>
        </w:tc>
        <w:tc>
          <w:tcPr>
            <w:tcW w:w="270" w:type="dxa"/>
          </w:tcPr>
          <w:p w14:paraId="5D83DBF7" w14:textId="77777777" w:rsidR="00923319" w:rsidRPr="00A67277" w:rsidRDefault="00923319" w:rsidP="00923319">
            <w:pPr>
              <w:spacing w:before="120" w:after="120"/>
              <w:rPr>
                <w:rFonts w:ascii="Arial" w:hAnsi="Arial" w:cs="Arial"/>
                <w:sz w:val="21"/>
                <w:szCs w:val="21"/>
              </w:rPr>
            </w:pPr>
          </w:p>
        </w:tc>
        <w:tc>
          <w:tcPr>
            <w:tcW w:w="4567" w:type="dxa"/>
          </w:tcPr>
          <w:p w14:paraId="269A69F3" w14:textId="6669B567" w:rsidR="00923319" w:rsidRPr="00A67277" w:rsidRDefault="00923319" w:rsidP="00923319">
            <w:pPr>
              <w:pStyle w:val="ListParagraph"/>
              <w:numPr>
                <w:ilvl w:val="0"/>
                <w:numId w:val="599"/>
              </w:numPr>
              <w:spacing w:before="120" w:after="120" w:line="240" w:lineRule="auto"/>
              <w:ind w:left="1080"/>
              <w:rPr>
                <w:rFonts w:cs="Arial"/>
              </w:rPr>
            </w:pPr>
            <w:r w:rsidRPr="00A67277">
              <w:rPr>
                <w:rFonts w:cs="Arial"/>
              </w:rPr>
              <w:t>rekening yang dapat diterima dan asset lainnya pada Tanggal Perhitungan (selain daripada Klaim atau hutang oleh PJPK kepada BUP)</w:t>
            </w:r>
            <w:r w:rsidR="00DD01A2">
              <w:rPr>
                <w:rFonts w:cs="Arial"/>
              </w:rPr>
              <w:t>, dikurangi dengan</w:t>
            </w:r>
          </w:p>
        </w:tc>
      </w:tr>
      <w:tr w:rsidR="00DD01A2" w:rsidRPr="00A67277" w14:paraId="7DB3C1B4" w14:textId="77777777" w:rsidTr="00923319">
        <w:tc>
          <w:tcPr>
            <w:tcW w:w="4860" w:type="dxa"/>
          </w:tcPr>
          <w:p w14:paraId="2B01BA5D" w14:textId="1C38D900" w:rsidR="00DD01A2" w:rsidRPr="00B72C82" w:rsidRDefault="00DD01A2">
            <w:pPr>
              <w:pStyle w:val="SchNumber3"/>
              <w:numPr>
                <w:ilvl w:val="0"/>
                <w:numId w:val="0"/>
              </w:numPr>
              <w:spacing w:before="120" w:after="120"/>
              <w:ind w:left="1062" w:hanging="353"/>
              <w:rPr>
                <w:rFonts w:cs="Arial"/>
              </w:rPr>
            </w:pPr>
            <w:r w:rsidRPr="00B72C82">
              <w:rPr>
                <w:rFonts w:cs="Arial"/>
              </w:rPr>
              <w:t>(d)</w:t>
            </w:r>
            <w:r w:rsidRPr="00B72C82">
              <w:rPr>
                <w:rFonts w:cs="Arial"/>
              </w:rPr>
              <w:tab/>
            </w:r>
            <w:r w:rsidR="00632267" w:rsidRPr="00B72C82">
              <w:rPr>
                <w:rFonts w:cs="Arial"/>
              </w:rPr>
              <w:t>amoun</w:t>
            </w:r>
            <w:r w:rsidR="003F2F8C" w:rsidRPr="00B72C82">
              <w:rPr>
                <w:rFonts w:cs="Arial"/>
              </w:rPr>
              <w:t>t</w:t>
            </w:r>
            <w:r w:rsidR="00632267" w:rsidRPr="00B72C82">
              <w:rPr>
                <w:rFonts w:cs="Arial"/>
              </w:rPr>
              <w:t xml:space="preserve"> of cash equal to </w:t>
            </w:r>
            <w:r w:rsidRPr="00B72C82">
              <w:rPr>
                <w:rFonts w:cs="Arial"/>
              </w:rPr>
              <w:t>unpaid dividen</w:t>
            </w:r>
            <w:r w:rsidR="00E14CC9" w:rsidRPr="00B72C82">
              <w:rPr>
                <w:rFonts w:cs="Arial"/>
              </w:rPr>
              <w:t>d</w:t>
            </w:r>
            <w:r w:rsidRPr="00B72C82">
              <w:rPr>
                <w:rFonts w:cs="Arial"/>
              </w:rPr>
              <w:t xml:space="preserve"> from the previous period. </w:t>
            </w:r>
          </w:p>
        </w:tc>
        <w:tc>
          <w:tcPr>
            <w:tcW w:w="270" w:type="dxa"/>
          </w:tcPr>
          <w:p w14:paraId="7C5749B7" w14:textId="77777777" w:rsidR="00DD01A2" w:rsidRPr="00B72C82" w:rsidRDefault="00DD01A2" w:rsidP="00923319">
            <w:pPr>
              <w:spacing w:before="120" w:after="120"/>
              <w:rPr>
                <w:rFonts w:ascii="Arial" w:hAnsi="Arial" w:cs="Arial"/>
                <w:sz w:val="21"/>
                <w:szCs w:val="21"/>
              </w:rPr>
            </w:pPr>
          </w:p>
        </w:tc>
        <w:tc>
          <w:tcPr>
            <w:tcW w:w="4567" w:type="dxa"/>
          </w:tcPr>
          <w:p w14:paraId="3BB3D9B5" w14:textId="3DA45E27" w:rsidR="00DD01A2" w:rsidRPr="00B72C82" w:rsidRDefault="00632267">
            <w:pPr>
              <w:pStyle w:val="ListParagraph"/>
              <w:numPr>
                <w:ilvl w:val="0"/>
                <w:numId w:val="599"/>
              </w:numPr>
              <w:spacing w:before="120" w:after="120" w:line="240" w:lineRule="auto"/>
              <w:ind w:left="1080"/>
              <w:rPr>
                <w:rFonts w:cs="Arial"/>
              </w:rPr>
            </w:pPr>
            <w:r w:rsidRPr="00B72C82">
              <w:rPr>
                <w:rFonts w:cs="Arial"/>
              </w:rPr>
              <w:t xml:space="preserve">jumlah uang yang setara dengan </w:t>
            </w:r>
            <w:r w:rsidR="00DD01A2" w:rsidRPr="00B72C82">
              <w:rPr>
                <w:rFonts w:cs="Arial"/>
              </w:rPr>
              <w:t>dividen yang belum dibayarkan dari periode sebelumnya.</w:t>
            </w:r>
          </w:p>
        </w:tc>
      </w:tr>
      <w:tr w:rsidR="00923319" w:rsidRPr="00A67277" w14:paraId="79516A50" w14:textId="77777777" w:rsidTr="00923319">
        <w:tc>
          <w:tcPr>
            <w:tcW w:w="4860" w:type="dxa"/>
          </w:tcPr>
          <w:p w14:paraId="6E891B55" w14:textId="77777777" w:rsidR="00923319" w:rsidRPr="00A67277" w:rsidRDefault="00923319" w:rsidP="00923319">
            <w:pPr>
              <w:pStyle w:val="Body2"/>
              <w:spacing w:before="120" w:after="120"/>
              <w:ind w:left="776"/>
              <w:rPr>
                <w:rFonts w:cs="Arial"/>
              </w:rPr>
            </w:pPr>
            <w:r w:rsidRPr="00A67277">
              <w:rPr>
                <w:rFonts w:cs="Arial"/>
              </w:rPr>
              <w:t>"</w:t>
            </w:r>
            <w:r w:rsidRPr="00A67277">
              <w:rPr>
                <w:rFonts w:cs="Arial"/>
                <w:b/>
              </w:rPr>
              <w:t>Senior Debt</w:t>
            </w:r>
            <w:r w:rsidRPr="00A67277">
              <w:rPr>
                <w:rFonts w:cs="Arial"/>
              </w:rPr>
              <w:t>" has the meaning as defined it in the Agreement.</w:t>
            </w:r>
          </w:p>
        </w:tc>
        <w:tc>
          <w:tcPr>
            <w:tcW w:w="270" w:type="dxa"/>
          </w:tcPr>
          <w:p w14:paraId="1CEA735B" w14:textId="77777777" w:rsidR="00923319" w:rsidRPr="00A67277" w:rsidRDefault="00923319" w:rsidP="00923319">
            <w:pPr>
              <w:spacing w:before="120" w:after="120"/>
              <w:rPr>
                <w:rFonts w:ascii="Arial" w:hAnsi="Arial" w:cs="Arial"/>
                <w:sz w:val="21"/>
                <w:szCs w:val="21"/>
              </w:rPr>
            </w:pPr>
          </w:p>
        </w:tc>
        <w:tc>
          <w:tcPr>
            <w:tcW w:w="4567" w:type="dxa"/>
          </w:tcPr>
          <w:p w14:paraId="69583E0D"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“Hutang Senior”</w:t>
            </w:r>
            <w:r w:rsidRPr="00A67277">
              <w:rPr>
                <w:rFonts w:ascii="Arial" w:hAnsi="Arial" w:cs="Arial"/>
                <w:sz w:val="21"/>
                <w:szCs w:val="21"/>
              </w:rPr>
              <w:t xml:space="preserve"> berarti sebagaimana didefinisikan dalam Perjanjian.</w:t>
            </w:r>
          </w:p>
        </w:tc>
      </w:tr>
      <w:tr w:rsidR="00923319" w:rsidRPr="00A67277" w14:paraId="2161C020" w14:textId="77777777" w:rsidTr="00923319">
        <w:tc>
          <w:tcPr>
            <w:tcW w:w="4860" w:type="dxa"/>
          </w:tcPr>
          <w:p w14:paraId="436866FD" w14:textId="77777777" w:rsidR="00923319" w:rsidRPr="00A67277" w:rsidRDefault="00923319" w:rsidP="00923319">
            <w:pPr>
              <w:pStyle w:val="Body2"/>
              <w:spacing w:before="120" w:after="120"/>
              <w:ind w:left="776"/>
              <w:rPr>
                <w:rFonts w:cs="Arial"/>
              </w:rPr>
            </w:pPr>
            <w:r w:rsidRPr="00A67277">
              <w:rPr>
                <w:rFonts w:cs="Arial"/>
                <w:b/>
              </w:rPr>
              <w:t>"Senior Debt Component"</w:t>
            </w:r>
            <w:r w:rsidRPr="00A67277">
              <w:rPr>
                <w:rFonts w:cs="Arial"/>
              </w:rPr>
              <w:t xml:space="preserve"> or </w:t>
            </w:r>
            <w:r w:rsidRPr="00A67277">
              <w:rPr>
                <w:rFonts w:cs="Arial"/>
                <w:b/>
              </w:rPr>
              <w:t>"U"</w:t>
            </w:r>
            <w:r w:rsidRPr="00A67277">
              <w:rPr>
                <w:rFonts w:cs="Arial"/>
              </w:rPr>
              <w:t xml:space="preserve"> means the total amount due and payable by IBE as Senior Debt due and payable on the Calculation Date, provided that: </w:t>
            </w:r>
          </w:p>
        </w:tc>
        <w:tc>
          <w:tcPr>
            <w:tcW w:w="270" w:type="dxa"/>
          </w:tcPr>
          <w:p w14:paraId="1743CF5B" w14:textId="77777777" w:rsidR="00923319" w:rsidRPr="00A67277" w:rsidRDefault="00923319" w:rsidP="00923319">
            <w:pPr>
              <w:spacing w:before="120" w:after="120"/>
              <w:rPr>
                <w:rFonts w:ascii="Arial" w:hAnsi="Arial" w:cs="Arial"/>
                <w:sz w:val="21"/>
                <w:szCs w:val="21"/>
              </w:rPr>
            </w:pPr>
          </w:p>
        </w:tc>
        <w:tc>
          <w:tcPr>
            <w:tcW w:w="4567" w:type="dxa"/>
          </w:tcPr>
          <w:p w14:paraId="1F768890"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“Komponen Hutang Senior”</w:t>
            </w:r>
            <w:r w:rsidRPr="00A67277">
              <w:rPr>
                <w:rFonts w:ascii="Arial" w:hAnsi="Arial" w:cs="Arial"/>
                <w:sz w:val="21"/>
                <w:szCs w:val="21"/>
              </w:rPr>
              <w:t xml:space="preserve"> atau </w:t>
            </w:r>
            <w:r w:rsidRPr="00A67277">
              <w:rPr>
                <w:rFonts w:ascii="Arial" w:hAnsi="Arial" w:cs="Arial"/>
                <w:b/>
                <w:sz w:val="21"/>
                <w:szCs w:val="21"/>
              </w:rPr>
              <w:t>“U”</w:t>
            </w:r>
            <w:r w:rsidRPr="00A67277">
              <w:rPr>
                <w:rFonts w:ascii="Arial" w:hAnsi="Arial" w:cs="Arial"/>
                <w:sz w:val="21"/>
                <w:szCs w:val="21"/>
              </w:rPr>
              <w:t xml:space="preserve"> berarti jumlah total terhutang dan harus dibayarkan oleh BUP sebagai Hutang Senior terhutang dan harus dibayar pada Tanggal Perhitungan, dengan ketentuan bahwa:</w:t>
            </w:r>
          </w:p>
        </w:tc>
      </w:tr>
      <w:tr w:rsidR="00923319" w:rsidRPr="00A67277" w14:paraId="22067F0E" w14:textId="77777777" w:rsidTr="00923319">
        <w:tc>
          <w:tcPr>
            <w:tcW w:w="4860" w:type="dxa"/>
          </w:tcPr>
          <w:p w14:paraId="3E144DDD" w14:textId="77777777" w:rsidR="00923319" w:rsidRPr="00A67277" w:rsidRDefault="00923319" w:rsidP="00923319">
            <w:pPr>
              <w:pStyle w:val="SchNumber3"/>
              <w:numPr>
                <w:ilvl w:val="4"/>
                <w:numId w:val="681"/>
              </w:numPr>
              <w:spacing w:before="120" w:after="120"/>
              <w:rPr>
                <w:rFonts w:cs="Arial"/>
              </w:rPr>
            </w:pPr>
            <w:bookmarkStart w:id="376" w:name="_Toc501178998"/>
            <w:r w:rsidRPr="00A67277">
              <w:rPr>
                <w:rFonts w:cs="Arial"/>
              </w:rPr>
              <w:t>the principal amount of debt and accrued interest included in Senior Debt shall not exceed the ratio of seventy percent (70%)</w:t>
            </w:r>
            <w:r w:rsidRPr="00A67277">
              <w:rPr>
                <w:rFonts w:cs="Arial"/>
                <w:b/>
              </w:rPr>
              <w:t xml:space="preserve"> </w:t>
            </w:r>
            <w:r w:rsidRPr="00A67277">
              <w:rPr>
                <w:rFonts w:cs="Arial"/>
              </w:rPr>
              <w:t xml:space="preserve"> debt to equity ratio, and if Senior Debt exceeds that ratio, the GCA, in its discretion, has the right to determine the debt component to be included in the Senior Debt calculation;</w:t>
            </w:r>
            <w:bookmarkEnd w:id="376"/>
          </w:p>
        </w:tc>
        <w:tc>
          <w:tcPr>
            <w:tcW w:w="270" w:type="dxa"/>
          </w:tcPr>
          <w:p w14:paraId="2BFBE0A4" w14:textId="77777777" w:rsidR="00923319" w:rsidRPr="00A67277" w:rsidRDefault="00923319" w:rsidP="00923319">
            <w:pPr>
              <w:spacing w:before="120" w:after="120"/>
              <w:rPr>
                <w:rFonts w:ascii="Arial" w:hAnsi="Arial" w:cs="Arial"/>
                <w:sz w:val="21"/>
                <w:szCs w:val="21"/>
              </w:rPr>
            </w:pPr>
          </w:p>
        </w:tc>
        <w:tc>
          <w:tcPr>
            <w:tcW w:w="4567" w:type="dxa"/>
          </w:tcPr>
          <w:p w14:paraId="78E5C6BF" w14:textId="77777777" w:rsidR="00923319" w:rsidRPr="00A67277" w:rsidRDefault="00923319" w:rsidP="00923319">
            <w:pPr>
              <w:pStyle w:val="ListParagraph"/>
              <w:numPr>
                <w:ilvl w:val="0"/>
                <w:numId w:val="600"/>
              </w:numPr>
              <w:spacing w:before="120" w:after="120" w:line="240" w:lineRule="auto"/>
              <w:ind w:left="1229" w:hanging="450"/>
              <w:rPr>
                <w:rFonts w:cs="Arial"/>
              </w:rPr>
            </w:pPr>
            <w:r w:rsidRPr="00A67277">
              <w:rPr>
                <w:rFonts w:cs="Arial"/>
              </w:rPr>
              <w:t>jumlah pokok hutang dan bunga yang terkumpul yang termasuk dalam Hutang Senior tidak melebihi rasio tujuh puluh persen (70%) hutang berbanding ekuitas, dan apabila rasio Hutang Senior melebihi rasio tersebut, PJPK, atas kebijakannya, memiliki hak untuk menentukan komponen hutang yang harus dimasukan dalam penghitungan Hutang Senior;</w:t>
            </w:r>
          </w:p>
        </w:tc>
      </w:tr>
      <w:tr w:rsidR="00923319" w:rsidRPr="00A67277" w14:paraId="2E6EC298" w14:textId="77777777" w:rsidTr="00923319">
        <w:tc>
          <w:tcPr>
            <w:tcW w:w="4860" w:type="dxa"/>
          </w:tcPr>
          <w:p w14:paraId="6E4504B0" w14:textId="77777777" w:rsidR="00923319" w:rsidRPr="00A67277" w:rsidRDefault="00923319" w:rsidP="00923319">
            <w:pPr>
              <w:pStyle w:val="SchNumber3"/>
              <w:numPr>
                <w:ilvl w:val="4"/>
                <w:numId w:val="566"/>
              </w:numPr>
              <w:tabs>
                <w:tab w:val="clear" w:pos="1418"/>
                <w:tab w:val="num" w:pos="2576"/>
              </w:tabs>
              <w:spacing w:before="120" w:after="120"/>
              <w:ind w:left="1316" w:hanging="540"/>
              <w:rPr>
                <w:rFonts w:cs="Arial"/>
              </w:rPr>
            </w:pPr>
            <w:bookmarkStart w:id="377" w:name="_Toc501178999"/>
            <w:r w:rsidRPr="00A67277">
              <w:rPr>
                <w:rFonts w:cs="Arial"/>
              </w:rPr>
              <w:t>for the avoidance of doubt, the calculation of Senior Debt shall not include any amount used in calculation of C;</w:t>
            </w:r>
            <w:bookmarkEnd w:id="377"/>
          </w:p>
        </w:tc>
        <w:tc>
          <w:tcPr>
            <w:tcW w:w="270" w:type="dxa"/>
          </w:tcPr>
          <w:p w14:paraId="68D1D483" w14:textId="77777777" w:rsidR="00923319" w:rsidRPr="00A67277" w:rsidRDefault="00923319" w:rsidP="00923319">
            <w:pPr>
              <w:spacing w:before="120" w:after="120"/>
              <w:rPr>
                <w:rFonts w:ascii="Arial" w:hAnsi="Arial" w:cs="Arial"/>
                <w:sz w:val="21"/>
                <w:szCs w:val="21"/>
              </w:rPr>
            </w:pPr>
          </w:p>
        </w:tc>
        <w:tc>
          <w:tcPr>
            <w:tcW w:w="4567" w:type="dxa"/>
          </w:tcPr>
          <w:p w14:paraId="54D29A1A" w14:textId="77777777" w:rsidR="00923319" w:rsidRPr="00A67277" w:rsidRDefault="00923319" w:rsidP="00923319">
            <w:pPr>
              <w:pStyle w:val="ListParagraph"/>
              <w:numPr>
                <w:ilvl w:val="0"/>
                <w:numId w:val="600"/>
              </w:numPr>
              <w:spacing w:before="120" w:after="120" w:line="240" w:lineRule="auto"/>
              <w:ind w:left="1229" w:hanging="450"/>
              <w:rPr>
                <w:rFonts w:cs="Arial"/>
              </w:rPr>
            </w:pPr>
            <w:r w:rsidRPr="00A67277">
              <w:rPr>
                <w:rFonts w:cs="Arial"/>
              </w:rPr>
              <w:t>untuk menghindari keraguan, kalkulasi Hutang Senior tidak mencakup jumlah apapun yang digunakan dalam kalkulasi C;</w:t>
            </w:r>
          </w:p>
        </w:tc>
      </w:tr>
      <w:tr w:rsidR="00923319" w:rsidRPr="00A67277" w14:paraId="32C9C089" w14:textId="77777777" w:rsidTr="00923319">
        <w:tc>
          <w:tcPr>
            <w:tcW w:w="4860" w:type="dxa"/>
          </w:tcPr>
          <w:p w14:paraId="6A2C1151" w14:textId="77777777" w:rsidR="00923319" w:rsidRPr="00A67277" w:rsidRDefault="00923319" w:rsidP="00923319">
            <w:pPr>
              <w:pStyle w:val="SchNumber3"/>
              <w:numPr>
                <w:ilvl w:val="4"/>
                <w:numId w:val="566"/>
              </w:numPr>
              <w:tabs>
                <w:tab w:val="clear" w:pos="1418"/>
                <w:tab w:val="num" w:pos="2576"/>
              </w:tabs>
              <w:spacing w:before="120" w:after="120"/>
              <w:ind w:left="1316" w:hanging="540"/>
              <w:rPr>
                <w:rFonts w:cs="Arial"/>
              </w:rPr>
            </w:pPr>
            <w:bookmarkStart w:id="378" w:name="_Toc501179000"/>
            <w:r w:rsidRPr="00A67277">
              <w:rPr>
                <w:rFonts w:cs="Arial"/>
              </w:rPr>
              <w:t>for the avoidance of doubt, the calculation of Senior Debt does not include the amount of additional debt arises from refinancing;</w:t>
            </w:r>
            <w:bookmarkEnd w:id="378"/>
          </w:p>
        </w:tc>
        <w:tc>
          <w:tcPr>
            <w:tcW w:w="270" w:type="dxa"/>
          </w:tcPr>
          <w:p w14:paraId="37A130EF" w14:textId="77777777" w:rsidR="00923319" w:rsidRPr="00A67277" w:rsidRDefault="00923319" w:rsidP="00923319">
            <w:pPr>
              <w:spacing w:before="120" w:after="120"/>
              <w:rPr>
                <w:rFonts w:ascii="Arial" w:hAnsi="Arial" w:cs="Arial"/>
                <w:sz w:val="21"/>
                <w:szCs w:val="21"/>
              </w:rPr>
            </w:pPr>
          </w:p>
        </w:tc>
        <w:tc>
          <w:tcPr>
            <w:tcW w:w="4567" w:type="dxa"/>
          </w:tcPr>
          <w:p w14:paraId="3DDF18DE" w14:textId="77777777" w:rsidR="00923319" w:rsidRPr="00A67277" w:rsidRDefault="00923319" w:rsidP="00923319">
            <w:pPr>
              <w:pStyle w:val="ListParagraph"/>
              <w:numPr>
                <w:ilvl w:val="0"/>
                <w:numId w:val="600"/>
              </w:numPr>
              <w:spacing w:before="120" w:after="120" w:line="240" w:lineRule="auto"/>
              <w:ind w:left="1229" w:hanging="450"/>
              <w:rPr>
                <w:rFonts w:cs="Arial"/>
              </w:rPr>
            </w:pPr>
            <w:r w:rsidRPr="00A67277">
              <w:rPr>
                <w:rFonts w:cs="Arial"/>
              </w:rPr>
              <w:t>untuk menghidari keraguan, kalkulasi Hutang Senior tidak meliputi jumlah hutang tambahan yang timbul dari pembiayaan ulang;</w:t>
            </w:r>
          </w:p>
        </w:tc>
      </w:tr>
      <w:tr w:rsidR="00923319" w:rsidRPr="00A67277" w14:paraId="7C72423E" w14:textId="77777777" w:rsidTr="00923319">
        <w:tc>
          <w:tcPr>
            <w:tcW w:w="4860" w:type="dxa"/>
          </w:tcPr>
          <w:p w14:paraId="00EC10FB" w14:textId="77777777" w:rsidR="00923319" w:rsidRPr="00A67277" w:rsidRDefault="00923319" w:rsidP="00923319">
            <w:pPr>
              <w:pStyle w:val="SchNumber3"/>
              <w:numPr>
                <w:ilvl w:val="4"/>
                <w:numId w:val="566"/>
              </w:numPr>
              <w:tabs>
                <w:tab w:val="clear" w:pos="1418"/>
                <w:tab w:val="num" w:pos="2576"/>
              </w:tabs>
              <w:spacing w:before="120" w:after="120"/>
              <w:ind w:left="1316" w:hanging="540"/>
              <w:rPr>
                <w:rFonts w:cs="Arial"/>
              </w:rPr>
            </w:pPr>
            <w:bookmarkStart w:id="379" w:name="_Toc501179002"/>
            <w:r w:rsidRPr="00A67277">
              <w:rPr>
                <w:rFonts w:cs="Arial"/>
              </w:rPr>
              <w:t>in respect of Termination Cost A and Termination Cost C, this Senior Debt Component shall include all interest due and payable on the Calculation Date;</w:t>
            </w:r>
            <w:bookmarkEnd w:id="379"/>
          </w:p>
        </w:tc>
        <w:tc>
          <w:tcPr>
            <w:tcW w:w="270" w:type="dxa"/>
          </w:tcPr>
          <w:p w14:paraId="7B540C0D" w14:textId="77777777" w:rsidR="00923319" w:rsidRPr="00A67277" w:rsidRDefault="00923319" w:rsidP="00923319">
            <w:pPr>
              <w:spacing w:before="120" w:after="120"/>
              <w:rPr>
                <w:rFonts w:ascii="Arial" w:hAnsi="Arial" w:cs="Arial"/>
                <w:sz w:val="21"/>
                <w:szCs w:val="21"/>
              </w:rPr>
            </w:pPr>
          </w:p>
        </w:tc>
        <w:tc>
          <w:tcPr>
            <w:tcW w:w="4567" w:type="dxa"/>
          </w:tcPr>
          <w:p w14:paraId="625F48A1" w14:textId="77777777" w:rsidR="00923319" w:rsidRPr="00A67277" w:rsidRDefault="00923319" w:rsidP="00923319">
            <w:pPr>
              <w:pStyle w:val="ListParagraph"/>
              <w:numPr>
                <w:ilvl w:val="0"/>
                <w:numId w:val="600"/>
              </w:numPr>
              <w:spacing w:before="120" w:after="120" w:line="240" w:lineRule="auto"/>
              <w:ind w:left="1229" w:hanging="450"/>
              <w:rPr>
                <w:rFonts w:cs="Arial"/>
              </w:rPr>
            </w:pPr>
            <w:r w:rsidRPr="00A67277">
              <w:rPr>
                <w:rFonts w:cs="Arial"/>
              </w:rPr>
              <w:t>sehubungan dengan Biaya Pengakhiran A dan Biaya Pengakhiran C, Hutang Senior meliputi seluruh bunga yang  terhutang pada Tanggal Perhitungan;</w:t>
            </w:r>
          </w:p>
        </w:tc>
      </w:tr>
      <w:tr w:rsidR="00923319" w:rsidRPr="00A67277" w14:paraId="01788479" w14:textId="77777777" w:rsidTr="00923319">
        <w:tc>
          <w:tcPr>
            <w:tcW w:w="4860" w:type="dxa"/>
          </w:tcPr>
          <w:p w14:paraId="46644B18" w14:textId="77777777" w:rsidR="00923319" w:rsidRPr="00A67277" w:rsidRDefault="00923319" w:rsidP="00923319">
            <w:pPr>
              <w:pStyle w:val="SchNumber3"/>
              <w:numPr>
                <w:ilvl w:val="4"/>
                <w:numId w:val="566"/>
              </w:numPr>
              <w:tabs>
                <w:tab w:val="clear" w:pos="1418"/>
                <w:tab w:val="num" w:pos="2576"/>
              </w:tabs>
              <w:spacing w:before="120" w:after="120"/>
              <w:ind w:left="1316" w:hanging="540"/>
              <w:rPr>
                <w:rFonts w:cs="Arial"/>
              </w:rPr>
            </w:pPr>
            <w:bookmarkStart w:id="380" w:name="_Toc501179003"/>
            <w:r w:rsidRPr="00A67277">
              <w:rPr>
                <w:rFonts w:cs="Arial"/>
              </w:rPr>
              <w:t>in respect of Termination Cost B, this Senior Debt Component shall exclude all interest due and payable on the Calculation Date.</w:t>
            </w:r>
            <w:bookmarkEnd w:id="380"/>
          </w:p>
        </w:tc>
        <w:tc>
          <w:tcPr>
            <w:tcW w:w="270" w:type="dxa"/>
          </w:tcPr>
          <w:p w14:paraId="10A1BA41" w14:textId="77777777" w:rsidR="00923319" w:rsidRPr="00A67277" w:rsidRDefault="00923319" w:rsidP="00923319">
            <w:pPr>
              <w:spacing w:before="120" w:after="120"/>
              <w:rPr>
                <w:rFonts w:ascii="Arial" w:hAnsi="Arial" w:cs="Arial"/>
                <w:sz w:val="21"/>
                <w:szCs w:val="21"/>
              </w:rPr>
            </w:pPr>
          </w:p>
        </w:tc>
        <w:tc>
          <w:tcPr>
            <w:tcW w:w="4567" w:type="dxa"/>
          </w:tcPr>
          <w:p w14:paraId="2772FD9F" w14:textId="27C622B3" w:rsidR="00923319" w:rsidRPr="00A67277" w:rsidRDefault="00923319" w:rsidP="00923319">
            <w:pPr>
              <w:pStyle w:val="ListParagraph"/>
              <w:numPr>
                <w:ilvl w:val="0"/>
                <w:numId w:val="600"/>
              </w:numPr>
              <w:spacing w:before="120" w:after="120" w:line="240" w:lineRule="auto"/>
              <w:ind w:left="1229" w:hanging="450"/>
              <w:rPr>
                <w:rFonts w:cs="Arial"/>
              </w:rPr>
            </w:pPr>
            <w:r w:rsidRPr="00A67277">
              <w:rPr>
                <w:rFonts w:cs="Arial"/>
              </w:rPr>
              <w:t>Sehubungan dengan Biaya Pengakhiran B, Komponen Hutang Senior tidak meliputi seluruh bunga yang terhutang pada Tanggal Perhitungan.</w:t>
            </w:r>
          </w:p>
        </w:tc>
      </w:tr>
      <w:tr w:rsidR="00923319" w:rsidRPr="00A67277" w14:paraId="264CDD47" w14:textId="77777777" w:rsidTr="00923319">
        <w:tc>
          <w:tcPr>
            <w:tcW w:w="4860" w:type="dxa"/>
          </w:tcPr>
          <w:p w14:paraId="077EC2EB" w14:textId="77777777" w:rsidR="00923319" w:rsidRPr="00A67277" w:rsidRDefault="00923319" w:rsidP="00923319">
            <w:pPr>
              <w:pStyle w:val="Body2"/>
              <w:spacing w:before="120" w:after="120"/>
              <w:ind w:left="776"/>
              <w:rPr>
                <w:rFonts w:cs="Arial"/>
              </w:rPr>
            </w:pPr>
            <w:r w:rsidRPr="00A67277">
              <w:rPr>
                <w:rFonts w:cs="Arial"/>
                <w:b/>
              </w:rPr>
              <w:t>"Shareholder Agreement</w:t>
            </w:r>
            <w:r w:rsidRPr="00A67277">
              <w:rPr>
                <w:rFonts w:cs="Arial"/>
              </w:rPr>
              <w:t>” has the meaning as defined it in the Agreement.</w:t>
            </w:r>
          </w:p>
        </w:tc>
        <w:tc>
          <w:tcPr>
            <w:tcW w:w="270" w:type="dxa"/>
          </w:tcPr>
          <w:p w14:paraId="25086440" w14:textId="77777777" w:rsidR="00923319" w:rsidRPr="00A67277" w:rsidRDefault="00923319" w:rsidP="00923319">
            <w:pPr>
              <w:spacing w:before="120" w:after="120"/>
              <w:rPr>
                <w:rFonts w:ascii="Arial" w:hAnsi="Arial" w:cs="Arial"/>
                <w:sz w:val="21"/>
                <w:szCs w:val="21"/>
              </w:rPr>
            </w:pPr>
          </w:p>
        </w:tc>
        <w:tc>
          <w:tcPr>
            <w:tcW w:w="4567" w:type="dxa"/>
          </w:tcPr>
          <w:p w14:paraId="4DFAB70A"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“Perjanjian Pemegang Saham”</w:t>
            </w:r>
            <w:r w:rsidRPr="00A67277">
              <w:rPr>
                <w:rFonts w:ascii="Arial" w:hAnsi="Arial" w:cs="Arial"/>
                <w:sz w:val="21"/>
                <w:szCs w:val="21"/>
              </w:rPr>
              <w:t xml:space="preserve"> berarti sebagaimana didefinisikan dalam Perjanjian.</w:t>
            </w:r>
          </w:p>
        </w:tc>
      </w:tr>
      <w:tr w:rsidR="00923319" w:rsidRPr="00A67277" w14:paraId="3EA65650" w14:textId="77777777" w:rsidTr="00923319">
        <w:tc>
          <w:tcPr>
            <w:tcW w:w="4860" w:type="dxa"/>
          </w:tcPr>
          <w:p w14:paraId="6DD1B878" w14:textId="77777777" w:rsidR="00923319" w:rsidRPr="00A67277" w:rsidRDefault="00923319" w:rsidP="00923319">
            <w:pPr>
              <w:pStyle w:val="Body2"/>
              <w:spacing w:before="120" w:after="120"/>
              <w:ind w:left="776"/>
              <w:rPr>
                <w:rFonts w:cs="Arial"/>
              </w:rPr>
            </w:pPr>
            <w:r w:rsidRPr="00A67277">
              <w:rPr>
                <w:rFonts w:cs="Arial"/>
                <w:b/>
              </w:rPr>
              <w:t xml:space="preserve">"Shareholder Loan" </w:t>
            </w:r>
            <w:r w:rsidRPr="00A67277">
              <w:rPr>
                <w:rFonts w:cs="Arial"/>
              </w:rPr>
              <w:t>has the meaning as defined it in the Agreement.</w:t>
            </w:r>
          </w:p>
        </w:tc>
        <w:tc>
          <w:tcPr>
            <w:tcW w:w="270" w:type="dxa"/>
          </w:tcPr>
          <w:p w14:paraId="219EBEF8" w14:textId="77777777" w:rsidR="00923319" w:rsidRPr="00A67277" w:rsidRDefault="00923319" w:rsidP="00923319">
            <w:pPr>
              <w:spacing w:before="120" w:after="120"/>
              <w:rPr>
                <w:rFonts w:ascii="Arial" w:hAnsi="Arial" w:cs="Arial"/>
                <w:sz w:val="21"/>
                <w:szCs w:val="21"/>
              </w:rPr>
            </w:pPr>
          </w:p>
        </w:tc>
        <w:tc>
          <w:tcPr>
            <w:tcW w:w="4567" w:type="dxa"/>
          </w:tcPr>
          <w:p w14:paraId="6210EECF"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“Pinjaman Pemegang Saham”</w:t>
            </w:r>
            <w:r w:rsidRPr="00A67277">
              <w:rPr>
                <w:rFonts w:ascii="Arial" w:hAnsi="Arial" w:cs="Arial"/>
                <w:sz w:val="21"/>
                <w:szCs w:val="21"/>
              </w:rPr>
              <w:t xml:space="preserve"> berarti sebagaimana didefinisikan dalam Perjanjian.</w:t>
            </w:r>
          </w:p>
        </w:tc>
      </w:tr>
      <w:tr w:rsidR="00923319" w:rsidRPr="00A67277" w14:paraId="39450F23" w14:textId="77777777" w:rsidTr="00923319">
        <w:tc>
          <w:tcPr>
            <w:tcW w:w="4860" w:type="dxa"/>
          </w:tcPr>
          <w:p w14:paraId="0E4A101C" w14:textId="77777777" w:rsidR="00923319" w:rsidRPr="00A67277" w:rsidRDefault="00923319" w:rsidP="00923319">
            <w:pPr>
              <w:pStyle w:val="Body2"/>
              <w:spacing w:before="120" w:after="120"/>
              <w:ind w:left="776"/>
              <w:rPr>
                <w:rFonts w:cs="Arial"/>
              </w:rPr>
            </w:pPr>
            <w:r w:rsidRPr="00A67277">
              <w:rPr>
                <w:rFonts w:cs="Arial"/>
                <w:b/>
              </w:rPr>
              <w:t xml:space="preserve">"Term" </w:t>
            </w:r>
            <w:r w:rsidRPr="00A67277">
              <w:rPr>
                <w:rFonts w:cs="Arial"/>
              </w:rPr>
              <w:t>has the meaning as defined it in the Agreement.</w:t>
            </w:r>
          </w:p>
        </w:tc>
        <w:tc>
          <w:tcPr>
            <w:tcW w:w="270" w:type="dxa"/>
          </w:tcPr>
          <w:p w14:paraId="4A58BBDE" w14:textId="77777777" w:rsidR="00923319" w:rsidRPr="00A67277" w:rsidRDefault="00923319" w:rsidP="00923319">
            <w:pPr>
              <w:spacing w:before="120" w:after="120"/>
              <w:rPr>
                <w:rFonts w:ascii="Arial" w:hAnsi="Arial" w:cs="Arial"/>
                <w:sz w:val="21"/>
                <w:szCs w:val="21"/>
              </w:rPr>
            </w:pPr>
          </w:p>
        </w:tc>
        <w:tc>
          <w:tcPr>
            <w:tcW w:w="4567" w:type="dxa"/>
          </w:tcPr>
          <w:p w14:paraId="492C083E"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“Jangka Waktu” </w:t>
            </w:r>
            <w:r w:rsidRPr="00A67277">
              <w:rPr>
                <w:rFonts w:ascii="Arial" w:hAnsi="Arial" w:cs="Arial"/>
                <w:sz w:val="21"/>
                <w:szCs w:val="21"/>
              </w:rPr>
              <w:t>berarti sebagaimana didefinisikan dalam Perjanjian.</w:t>
            </w:r>
          </w:p>
        </w:tc>
      </w:tr>
      <w:tr w:rsidR="00923319" w:rsidRPr="00A67277" w14:paraId="110BF248" w14:textId="77777777" w:rsidTr="00923319">
        <w:tc>
          <w:tcPr>
            <w:tcW w:w="4860" w:type="dxa"/>
          </w:tcPr>
          <w:p w14:paraId="296278AC" w14:textId="77777777" w:rsidR="00923319" w:rsidRPr="00A67277" w:rsidRDefault="00923319" w:rsidP="00923319">
            <w:pPr>
              <w:pStyle w:val="Body2"/>
              <w:spacing w:before="120" w:after="120"/>
              <w:ind w:left="776"/>
              <w:rPr>
                <w:rFonts w:cs="Arial"/>
              </w:rPr>
            </w:pPr>
            <w:r w:rsidRPr="00A67277">
              <w:rPr>
                <w:rFonts w:cs="Arial"/>
                <w:b/>
              </w:rPr>
              <w:t xml:space="preserve">"Termination Cost" </w:t>
            </w:r>
            <w:r w:rsidRPr="00A67277">
              <w:rPr>
                <w:rFonts w:cs="Arial"/>
              </w:rPr>
              <w:t>or</w:t>
            </w:r>
            <w:r w:rsidRPr="00A67277">
              <w:rPr>
                <w:rFonts w:cs="Arial"/>
                <w:b/>
              </w:rPr>
              <w:t xml:space="preserve"> "TC</w:t>
            </w:r>
            <w:r w:rsidRPr="00A67277">
              <w:rPr>
                <w:rFonts w:cs="Arial"/>
              </w:rPr>
              <w:t>" means the termination cost payments that are calculated in accordance with the provisions of this Appendix.</w:t>
            </w:r>
          </w:p>
        </w:tc>
        <w:tc>
          <w:tcPr>
            <w:tcW w:w="270" w:type="dxa"/>
          </w:tcPr>
          <w:p w14:paraId="41BC38D9" w14:textId="77777777" w:rsidR="00923319" w:rsidRPr="00A67277" w:rsidRDefault="00923319" w:rsidP="00923319">
            <w:pPr>
              <w:spacing w:before="120" w:after="120"/>
              <w:rPr>
                <w:rFonts w:ascii="Arial" w:hAnsi="Arial" w:cs="Arial"/>
                <w:sz w:val="21"/>
                <w:szCs w:val="21"/>
              </w:rPr>
            </w:pPr>
          </w:p>
        </w:tc>
        <w:tc>
          <w:tcPr>
            <w:tcW w:w="4567" w:type="dxa"/>
          </w:tcPr>
          <w:p w14:paraId="6CDDB8EB"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“Biaya Pengakhiran”</w:t>
            </w:r>
            <w:r w:rsidRPr="00A67277">
              <w:rPr>
                <w:rFonts w:ascii="Arial" w:hAnsi="Arial" w:cs="Arial"/>
                <w:sz w:val="21"/>
                <w:szCs w:val="21"/>
              </w:rPr>
              <w:t xml:space="preserve"> atau </w:t>
            </w:r>
            <w:r w:rsidRPr="00A67277">
              <w:rPr>
                <w:rFonts w:ascii="Arial" w:hAnsi="Arial" w:cs="Arial"/>
                <w:b/>
                <w:sz w:val="21"/>
                <w:szCs w:val="21"/>
              </w:rPr>
              <w:t>“TC”</w:t>
            </w:r>
            <w:r w:rsidRPr="00A67277">
              <w:rPr>
                <w:rFonts w:ascii="Arial" w:hAnsi="Arial" w:cs="Arial"/>
                <w:sz w:val="21"/>
                <w:szCs w:val="21"/>
              </w:rPr>
              <w:t xml:space="preserve"> berarti pembayarab biaya pengakhiran yang dihitung sesuai dengan ketentuan dalam Lampiran ini.</w:t>
            </w:r>
          </w:p>
        </w:tc>
      </w:tr>
      <w:tr w:rsidR="00923319" w:rsidRPr="00A67277" w14:paraId="49A8396F" w14:textId="77777777" w:rsidTr="00923319">
        <w:tc>
          <w:tcPr>
            <w:tcW w:w="4860" w:type="dxa"/>
          </w:tcPr>
          <w:p w14:paraId="125A5EA5" w14:textId="77777777" w:rsidR="00923319" w:rsidRPr="00A67277" w:rsidRDefault="00923319" w:rsidP="00923319">
            <w:pPr>
              <w:pStyle w:val="Body2"/>
              <w:spacing w:before="120" w:after="120"/>
              <w:ind w:left="776"/>
              <w:rPr>
                <w:rFonts w:cs="Arial"/>
              </w:rPr>
            </w:pPr>
            <w:r w:rsidRPr="00A67277">
              <w:rPr>
                <w:rFonts w:cs="Arial"/>
                <w:b/>
              </w:rPr>
              <w:t xml:space="preserve">"Termination Date" </w:t>
            </w:r>
            <w:r w:rsidRPr="00A67277">
              <w:rPr>
                <w:rFonts w:cs="Arial"/>
              </w:rPr>
              <w:t>has the meaning as defined it in the Agreement.</w:t>
            </w:r>
          </w:p>
        </w:tc>
        <w:tc>
          <w:tcPr>
            <w:tcW w:w="270" w:type="dxa"/>
          </w:tcPr>
          <w:p w14:paraId="2FED930B" w14:textId="77777777" w:rsidR="00923319" w:rsidRPr="00A67277" w:rsidRDefault="00923319" w:rsidP="00923319">
            <w:pPr>
              <w:spacing w:before="120" w:after="120"/>
              <w:rPr>
                <w:rFonts w:ascii="Arial" w:hAnsi="Arial" w:cs="Arial"/>
                <w:sz w:val="21"/>
                <w:szCs w:val="21"/>
              </w:rPr>
            </w:pPr>
          </w:p>
        </w:tc>
        <w:tc>
          <w:tcPr>
            <w:tcW w:w="4567" w:type="dxa"/>
          </w:tcPr>
          <w:p w14:paraId="482EE230"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“Tanggal Perngakhiran”</w:t>
            </w:r>
            <w:r w:rsidRPr="00A67277">
              <w:rPr>
                <w:rFonts w:ascii="Arial" w:hAnsi="Arial" w:cs="Arial"/>
                <w:sz w:val="21"/>
                <w:szCs w:val="21"/>
              </w:rPr>
              <w:t xml:space="preserve"> berarti sebagaimana didefinisikan dalam Perjanjian.</w:t>
            </w:r>
          </w:p>
        </w:tc>
      </w:tr>
      <w:tr w:rsidR="00923319" w:rsidRPr="00A67277" w14:paraId="54FC9CEC" w14:textId="77777777" w:rsidTr="00923319">
        <w:tc>
          <w:tcPr>
            <w:tcW w:w="4860" w:type="dxa"/>
          </w:tcPr>
          <w:p w14:paraId="55B023AD" w14:textId="77777777" w:rsidR="00923319" w:rsidRPr="00A67277" w:rsidRDefault="00923319" w:rsidP="00923319">
            <w:pPr>
              <w:pStyle w:val="Body2"/>
              <w:spacing w:before="120" w:after="120"/>
              <w:ind w:left="776"/>
              <w:rPr>
                <w:rFonts w:cs="Arial"/>
              </w:rPr>
            </w:pPr>
            <w:r w:rsidRPr="00A67277">
              <w:rPr>
                <w:rFonts w:cs="Arial"/>
                <w:b/>
              </w:rPr>
              <w:t xml:space="preserve">"Late Payment Interest" </w:t>
            </w:r>
            <w:r w:rsidRPr="00A67277">
              <w:rPr>
                <w:rFonts w:cs="Arial"/>
              </w:rPr>
              <w:t>has the as defined it in the Agreement</w:t>
            </w:r>
          </w:p>
        </w:tc>
        <w:tc>
          <w:tcPr>
            <w:tcW w:w="270" w:type="dxa"/>
          </w:tcPr>
          <w:p w14:paraId="61558135" w14:textId="77777777" w:rsidR="00923319" w:rsidRPr="00A67277" w:rsidRDefault="00923319" w:rsidP="00923319">
            <w:pPr>
              <w:spacing w:before="120" w:after="120"/>
              <w:rPr>
                <w:rFonts w:ascii="Arial" w:hAnsi="Arial" w:cs="Arial"/>
                <w:sz w:val="21"/>
                <w:szCs w:val="21"/>
              </w:rPr>
            </w:pPr>
          </w:p>
        </w:tc>
        <w:tc>
          <w:tcPr>
            <w:tcW w:w="4567" w:type="dxa"/>
          </w:tcPr>
          <w:p w14:paraId="284AB488"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“Bunga Pembayaran Terlambat”</w:t>
            </w:r>
            <w:r w:rsidRPr="00A67277">
              <w:rPr>
                <w:rFonts w:ascii="Arial" w:hAnsi="Arial" w:cs="Arial"/>
                <w:sz w:val="21"/>
                <w:szCs w:val="21"/>
              </w:rPr>
              <w:t xml:space="preserve"> berarti sebagaimana didefinisikan dalam Perjanjian.</w:t>
            </w:r>
          </w:p>
        </w:tc>
      </w:tr>
      <w:tr w:rsidR="00923319" w:rsidRPr="00A67277" w14:paraId="4890556F" w14:textId="77777777" w:rsidTr="00923319">
        <w:tc>
          <w:tcPr>
            <w:tcW w:w="4860" w:type="dxa"/>
          </w:tcPr>
          <w:p w14:paraId="7A1CE990" w14:textId="77777777" w:rsidR="00923319" w:rsidRPr="00A67277" w:rsidRDefault="00923319" w:rsidP="00923319">
            <w:pPr>
              <w:pStyle w:val="Body2"/>
              <w:spacing w:before="120" w:after="120"/>
              <w:ind w:left="776"/>
              <w:rPr>
                <w:rFonts w:cs="Arial"/>
              </w:rPr>
            </w:pPr>
            <w:r w:rsidRPr="00A67277">
              <w:rPr>
                <w:rFonts w:cs="Arial"/>
                <w:b/>
              </w:rPr>
              <w:t xml:space="preserve">"Termination Notice" </w:t>
            </w:r>
            <w:r w:rsidRPr="00A67277">
              <w:rPr>
                <w:rFonts w:cs="Arial"/>
              </w:rPr>
              <w:t>has the meaning as defined the Agreement.</w:t>
            </w:r>
          </w:p>
        </w:tc>
        <w:tc>
          <w:tcPr>
            <w:tcW w:w="270" w:type="dxa"/>
          </w:tcPr>
          <w:p w14:paraId="423945BA" w14:textId="77777777" w:rsidR="00923319" w:rsidRPr="00A67277" w:rsidRDefault="00923319" w:rsidP="00923319">
            <w:pPr>
              <w:spacing w:before="120" w:after="120"/>
              <w:rPr>
                <w:rFonts w:ascii="Arial" w:hAnsi="Arial" w:cs="Arial"/>
                <w:sz w:val="21"/>
                <w:szCs w:val="21"/>
              </w:rPr>
            </w:pPr>
          </w:p>
        </w:tc>
        <w:tc>
          <w:tcPr>
            <w:tcW w:w="4567" w:type="dxa"/>
          </w:tcPr>
          <w:p w14:paraId="2A34D9B2" w14:textId="77777777" w:rsidR="00923319" w:rsidRPr="00A67277" w:rsidRDefault="00923319" w:rsidP="00923319">
            <w:pPr>
              <w:spacing w:before="120" w:after="120"/>
              <w:ind w:left="762"/>
              <w:jc w:val="both"/>
              <w:rPr>
                <w:rFonts w:ascii="Arial" w:hAnsi="Arial" w:cs="Arial"/>
                <w:sz w:val="21"/>
                <w:szCs w:val="21"/>
              </w:rPr>
            </w:pPr>
            <w:r w:rsidRPr="00A67277">
              <w:rPr>
                <w:rFonts w:ascii="Arial" w:hAnsi="Arial" w:cs="Arial"/>
                <w:b/>
                <w:sz w:val="21"/>
                <w:szCs w:val="21"/>
              </w:rPr>
              <w:t xml:space="preserve">“Pemberitahuan Pengakhiran” </w:t>
            </w:r>
            <w:r w:rsidRPr="00A67277">
              <w:rPr>
                <w:rFonts w:ascii="Arial" w:hAnsi="Arial" w:cs="Arial"/>
                <w:sz w:val="21"/>
                <w:szCs w:val="21"/>
              </w:rPr>
              <w:t>berarti sebagaimana sebagaimana didefinisikan dalam Perjanjian.</w:t>
            </w:r>
          </w:p>
        </w:tc>
      </w:tr>
      <w:tr w:rsidR="00923319" w:rsidRPr="00A67277" w14:paraId="22BBC521" w14:textId="77777777" w:rsidTr="00923319">
        <w:tc>
          <w:tcPr>
            <w:tcW w:w="4860" w:type="dxa"/>
          </w:tcPr>
          <w:p w14:paraId="642A6002" w14:textId="77777777" w:rsidR="00923319" w:rsidRPr="00A67277" w:rsidRDefault="00923319" w:rsidP="00923319">
            <w:pPr>
              <w:pStyle w:val="SchHeading1"/>
              <w:numPr>
                <w:ilvl w:val="2"/>
                <w:numId w:val="1"/>
              </w:numPr>
              <w:spacing w:before="120" w:after="120"/>
              <w:rPr>
                <w:rFonts w:cs="Arial"/>
                <w:lang w:val="en-US"/>
              </w:rPr>
            </w:pPr>
            <w:bookmarkStart w:id="381" w:name="_Toc501179004"/>
            <w:r w:rsidRPr="00A67277">
              <w:rPr>
                <w:rFonts w:cs="Arial"/>
                <w:lang w:val="en-US"/>
              </w:rPr>
              <w:t>Termination Cost</w:t>
            </w:r>
            <w:bookmarkEnd w:id="381"/>
          </w:p>
        </w:tc>
        <w:tc>
          <w:tcPr>
            <w:tcW w:w="270" w:type="dxa"/>
          </w:tcPr>
          <w:p w14:paraId="48B22104" w14:textId="77777777" w:rsidR="00923319" w:rsidRPr="00A67277" w:rsidRDefault="00923319" w:rsidP="00923319">
            <w:pPr>
              <w:spacing w:before="120" w:after="120"/>
              <w:rPr>
                <w:rFonts w:ascii="Arial" w:hAnsi="Arial" w:cs="Arial"/>
                <w:sz w:val="21"/>
                <w:szCs w:val="21"/>
              </w:rPr>
            </w:pPr>
          </w:p>
        </w:tc>
        <w:tc>
          <w:tcPr>
            <w:tcW w:w="4567" w:type="dxa"/>
          </w:tcPr>
          <w:p w14:paraId="74A96CB1" w14:textId="77777777" w:rsidR="00923319" w:rsidRPr="00A67277" w:rsidRDefault="00923319" w:rsidP="00923319">
            <w:pPr>
              <w:pStyle w:val="ListParagraph"/>
              <w:numPr>
                <w:ilvl w:val="0"/>
                <w:numId w:val="583"/>
              </w:numPr>
              <w:spacing w:before="120" w:after="120" w:line="240" w:lineRule="auto"/>
              <w:rPr>
                <w:rFonts w:cs="Arial"/>
              </w:rPr>
            </w:pPr>
            <w:r w:rsidRPr="00A67277">
              <w:rPr>
                <w:rFonts w:cs="Arial"/>
                <w:b/>
              </w:rPr>
              <w:t>Biaya Pengakhiran</w:t>
            </w:r>
          </w:p>
        </w:tc>
      </w:tr>
      <w:tr w:rsidR="00923319" w:rsidRPr="00A67277" w14:paraId="1E161369" w14:textId="77777777" w:rsidTr="00923319">
        <w:tc>
          <w:tcPr>
            <w:tcW w:w="4860" w:type="dxa"/>
          </w:tcPr>
          <w:p w14:paraId="18863C29" w14:textId="77777777" w:rsidR="00923319" w:rsidRPr="00A67277" w:rsidRDefault="00923319" w:rsidP="00923319">
            <w:pPr>
              <w:pStyle w:val="SchHeading2"/>
              <w:numPr>
                <w:ilvl w:val="3"/>
                <w:numId w:val="1"/>
              </w:numPr>
              <w:spacing w:before="120" w:after="120"/>
              <w:rPr>
                <w:rFonts w:cs="Arial"/>
                <w:lang w:val="en-US"/>
              </w:rPr>
            </w:pPr>
            <w:bookmarkStart w:id="382" w:name="_Toc501179005"/>
            <w:r w:rsidRPr="00A67277">
              <w:rPr>
                <w:rFonts w:cs="Arial"/>
                <w:lang w:val="en-US"/>
              </w:rPr>
              <w:t>Termination Cost A</w:t>
            </w:r>
            <w:bookmarkEnd w:id="382"/>
          </w:p>
        </w:tc>
        <w:tc>
          <w:tcPr>
            <w:tcW w:w="270" w:type="dxa"/>
          </w:tcPr>
          <w:p w14:paraId="70BEBB12" w14:textId="77777777" w:rsidR="00923319" w:rsidRPr="00A67277" w:rsidRDefault="00923319" w:rsidP="00923319">
            <w:pPr>
              <w:spacing w:before="120" w:after="120"/>
              <w:rPr>
                <w:rFonts w:ascii="Arial" w:hAnsi="Arial" w:cs="Arial"/>
                <w:sz w:val="21"/>
                <w:szCs w:val="21"/>
              </w:rPr>
            </w:pPr>
          </w:p>
        </w:tc>
        <w:tc>
          <w:tcPr>
            <w:tcW w:w="4567" w:type="dxa"/>
          </w:tcPr>
          <w:p w14:paraId="601B9AFF" w14:textId="77777777" w:rsidR="00923319" w:rsidRPr="00A67277" w:rsidRDefault="00923319" w:rsidP="00923319">
            <w:pPr>
              <w:pStyle w:val="ListParagraph"/>
              <w:numPr>
                <w:ilvl w:val="0"/>
                <w:numId w:val="601"/>
              </w:numPr>
              <w:spacing w:before="120" w:after="120" w:line="240" w:lineRule="auto"/>
              <w:rPr>
                <w:rFonts w:cs="Arial"/>
                <w:b/>
              </w:rPr>
            </w:pPr>
            <w:r w:rsidRPr="00A67277">
              <w:rPr>
                <w:rFonts w:cs="Arial"/>
                <w:b/>
              </w:rPr>
              <w:t>Biaya Pengakhiran A</w:t>
            </w:r>
          </w:p>
        </w:tc>
      </w:tr>
      <w:tr w:rsidR="00923319" w:rsidRPr="00A67277" w14:paraId="61898BB1" w14:textId="77777777" w:rsidTr="00923319">
        <w:tc>
          <w:tcPr>
            <w:tcW w:w="4860" w:type="dxa"/>
          </w:tcPr>
          <w:p w14:paraId="4FF376C4" w14:textId="77777777" w:rsidR="00923319" w:rsidRPr="00A67277" w:rsidRDefault="00923319" w:rsidP="00923319">
            <w:pPr>
              <w:pStyle w:val="SchNumber3"/>
              <w:tabs>
                <w:tab w:val="clear" w:pos="1418"/>
                <w:tab w:val="num" w:pos="3926"/>
              </w:tabs>
              <w:spacing w:before="120" w:after="120"/>
              <w:ind w:left="1226" w:hanging="552"/>
              <w:rPr>
                <w:rFonts w:cs="Arial"/>
              </w:rPr>
            </w:pPr>
            <w:bookmarkStart w:id="383" w:name="_Toc501179006"/>
            <w:r w:rsidRPr="00A67277">
              <w:rPr>
                <w:rFonts w:cs="Arial"/>
              </w:rPr>
              <w:t>If the Agreement is terminated due to Default by GCA, GCA Voluntary Take-over Event, Political Event or Force Majeure Event affecting Toll Road Section, then the GCA must take over all IBE 's rights, title and interest in the Project for the price of a Termination Cost A equivalent to the amount specified in section 2.1(b) below.</w:t>
            </w:r>
            <w:bookmarkEnd w:id="383"/>
          </w:p>
        </w:tc>
        <w:tc>
          <w:tcPr>
            <w:tcW w:w="270" w:type="dxa"/>
          </w:tcPr>
          <w:p w14:paraId="4A200BF4" w14:textId="77777777" w:rsidR="00923319" w:rsidRPr="00A67277" w:rsidRDefault="00923319" w:rsidP="00923319">
            <w:pPr>
              <w:spacing w:before="120" w:after="120"/>
              <w:rPr>
                <w:rFonts w:ascii="Arial" w:hAnsi="Arial" w:cs="Arial"/>
                <w:sz w:val="21"/>
                <w:szCs w:val="21"/>
              </w:rPr>
            </w:pPr>
          </w:p>
        </w:tc>
        <w:tc>
          <w:tcPr>
            <w:tcW w:w="4567" w:type="dxa"/>
          </w:tcPr>
          <w:p w14:paraId="4A7765CF" w14:textId="77777777" w:rsidR="00923319" w:rsidRPr="00A67277" w:rsidRDefault="00923319" w:rsidP="00923319">
            <w:pPr>
              <w:pStyle w:val="ListParagraph"/>
              <w:numPr>
                <w:ilvl w:val="0"/>
                <w:numId w:val="602"/>
              </w:numPr>
              <w:spacing w:before="120" w:after="120" w:line="240" w:lineRule="auto"/>
              <w:ind w:left="1229" w:hanging="540"/>
              <w:rPr>
                <w:rFonts w:cs="Arial"/>
              </w:rPr>
            </w:pPr>
            <w:r w:rsidRPr="00A67277">
              <w:rPr>
                <w:rFonts w:cs="Arial"/>
              </w:rPr>
              <w:t>Jika Perjanjian diakhiri karena Cidera Janji oleh PJPK, Peristiwa Pengambilalihan Sukarela PJPK, Peristiwa Politik atau Peristiwa Keadaan Kahar yang menimpa Jalan Tol, maka PJPK harus mengambil alih seluruh hak BUP, kepemilikan dan kepentingan pada Proyek seharga Biaya Pengakhiran A setara dengan jumlah yang disebutkan pada bagian 2.1(b) di bawah ini.</w:t>
            </w:r>
          </w:p>
        </w:tc>
      </w:tr>
      <w:tr w:rsidR="00923319" w:rsidRPr="00A67277" w14:paraId="63EAFD58" w14:textId="77777777" w:rsidTr="00923319">
        <w:tc>
          <w:tcPr>
            <w:tcW w:w="4860" w:type="dxa"/>
          </w:tcPr>
          <w:p w14:paraId="74C0E8CD" w14:textId="77777777" w:rsidR="00923319" w:rsidRPr="00A67277" w:rsidRDefault="00923319" w:rsidP="00923319">
            <w:pPr>
              <w:pStyle w:val="SchNumber3"/>
              <w:tabs>
                <w:tab w:val="clear" w:pos="1418"/>
                <w:tab w:val="num" w:pos="3926"/>
              </w:tabs>
              <w:spacing w:before="120" w:after="120"/>
              <w:ind w:left="1226" w:hanging="552"/>
              <w:rPr>
                <w:rFonts w:cs="Arial"/>
              </w:rPr>
            </w:pPr>
            <w:bookmarkStart w:id="384" w:name="_Toc501179007"/>
            <w:r w:rsidRPr="00A67277">
              <w:rPr>
                <w:rFonts w:cs="Arial"/>
              </w:rPr>
              <w:t>The Termination Cost (TC) to be paid pursuant to section 2.1(a) above shall be determined by the Expert in accordance with the following formula:</w:t>
            </w:r>
            <w:bookmarkEnd w:id="384"/>
          </w:p>
          <w:p w14:paraId="27B00912" w14:textId="77777777" w:rsidR="00923319" w:rsidRPr="00A67277" w:rsidRDefault="00923319" w:rsidP="00923319">
            <w:pPr>
              <w:pStyle w:val="Body2"/>
              <w:spacing w:before="120" w:after="120"/>
              <w:ind w:left="956"/>
              <w:jc w:val="center"/>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+(E+C-L)</m:t>
                </m:r>
              </m:oMath>
            </m:oMathPara>
          </w:p>
          <w:p w14:paraId="2758B01D" w14:textId="77777777" w:rsidR="00923319" w:rsidRPr="00A67277" w:rsidRDefault="00923319" w:rsidP="00923319">
            <w:pPr>
              <w:pStyle w:val="SchNumber3"/>
              <w:numPr>
                <w:ilvl w:val="0"/>
                <w:numId w:val="0"/>
              </w:numPr>
              <w:spacing w:before="120" w:after="120"/>
              <w:ind w:left="1226"/>
              <w:rPr>
                <w:rFonts w:cs="Arial"/>
              </w:rPr>
            </w:pPr>
            <w:bookmarkStart w:id="385" w:name="_Toc501179008"/>
            <w:r w:rsidRPr="00A67277">
              <w:rPr>
                <w:rFonts w:cs="Arial"/>
              </w:rPr>
              <w:t>provided that "U – S" shall not be less than zero.</w:t>
            </w:r>
            <w:bookmarkEnd w:id="385"/>
          </w:p>
        </w:tc>
        <w:tc>
          <w:tcPr>
            <w:tcW w:w="270" w:type="dxa"/>
          </w:tcPr>
          <w:p w14:paraId="10690156" w14:textId="77777777" w:rsidR="00923319" w:rsidRPr="00A67277" w:rsidRDefault="00923319" w:rsidP="00923319">
            <w:pPr>
              <w:spacing w:before="120" w:after="120"/>
              <w:rPr>
                <w:rFonts w:ascii="Arial" w:hAnsi="Arial" w:cs="Arial"/>
                <w:sz w:val="21"/>
                <w:szCs w:val="21"/>
              </w:rPr>
            </w:pPr>
          </w:p>
        </w:tc>
        <w:tc>
          <w:tcPr>
            <w:tcW w:w="4567" w:type="dxa"/>
          </w:tcPr>
          <w:p w14:paraId="2764E795" w14:textId="77777777" w:rsidR="00923319" w:rsidRPr="00A67277" w:rsidRDefault="00923319" w:rsidP="00923319">
            <w:pPr>
              <w:pStyle w:val="ListParagraph"/>
              <w:numPr>
                <w:ilvl w:val="0"/>
                <w:numId w:val="602"/>
              </w:numPr>
              <w:spacing w:before="120" w:after="120" w:line="240" w:lineRule="auto"/>
              <w:ind w:left="1229" w:hanging="540"/>
              <w:rPr>
                <w:rFonts w:cs="Arial"/>
              </w:rPr>
            </w:pPr>
            <w:r w:rsidRPr="00A67277">
              <w:rPr>
                <w:rFonts w:cs="Arial"/>
              </w:rPr>
              <w:t>Biaya Pengakhiran (TC) akan dibayarkan sesuai dengan bagian 2.1(a) di atas ditentukan oleh Ahli Independen sesuai dengan rumusan berikut ini:</w:t>
            </w:r>
          </w:p>
          <w:p w14:paraId="65150077" w14:textId="77777777" w:rsidR="00923319" w:rsidRPr="00A67277" w:rsidRDefault="00923319" w:rsidP="00923319">
            <w:pPr>
              <w:pStyle w:val="Body2"/>
              <w:spacing w:before="120" w:after="120"/>
              <w:ind w:left="1231"/>
              <w:rPr>
                <w:rFonts w:eastAsiaTheme="minorEastAsia"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+(E+C-L)</m:t>
                </m:r>
              </m:oMath>
            </m:oMathPara>
          </w:p>
          <w:p w14:paraId="71BFBE0D" w14:textId="77777777" w:rsidR="00923319" w:rsidRPr="00A67277" w:rsidRDefault="00923319" w:rsidP="00923319">
            <w:pPr>
              <w:pStyle w:val="SchNumber3"/>
              <w:numPr>
                <w:ilvl w:val="0"/>
                <w:numId w:val="0"/>
              </w:numPr>
              <w:spacing w:before="120" w:after="120"/>
              <w:ind w:left="1229"/>
              <w:rPr>
                <w:rFonts w:cs="Arial"/>
                <w:lang w:val="de-DE"/>
              </w:rPr>
            </w:pPr>
            <w:r w:rsidRPr="00A67277">
              <w:rPr>
                <w:rFonts w:cs="Arial"/>
                <w:lang w:val="de-DE"/>
              </w:rPr>
              <w:t>dengan ketentuan bahwa “U – S” tidak kurang dari nol.</w:t>
            </w:r>
          </w:p>
        </w:tc>
      </w:tr>
      <w:tr w:rsidR="00923319" w:rsidRPr="00A67277" w14:paraId="171B265D" w14:textId="77777777" w:rsidTr="00923319">
        <w:tc>
          <w:tcPr>
            <w:tcW w:w="4860" w:type="dxa"/>
          </w:tcPr>
          <w:p w14:paraId="4906064A" w14:textId="77777777" w:rsidR="00923319" w:rsidRPr="00A67277" w:rsidRDefault="00923319" w:rsidP="00923319">
            <w:pPr>
              <w:pStyle w:val="SchHeading2"/>
              <w:numPr>
                <w:ilvl w:val="3"/>
                <w:numId w:val="1"/>
              </w:numPr>
              <w:spacing w:before="120" w:after="120"/>
              <w:rPr>
                <w:rFonts w:cs="Arial"/>
                <w:lang w:val="en-US"/>
              </w:rPr>
            </w:pPr>
            <w:bookmarkStart w:id="386" w:name="_Toc501179009"/>
            <w:r w:rsidRPr="00A67277">
              <w:rPr>
                <w:rFonts w:cs="Arial"/>
                <w:lang w:val="en-US"/>
              </w:rPr>
              <w:t>Termination Cost B</w:t>
            </w:r>
            <w:bookmarkEnd w:id="386"/>
            <w:r w:rsidRPr="00A67277">
              <w:rPr>
                <w:rStyle w:val="FootnoteReference"/>
                <w:rFonts w:cs="Arial"/>
                <w:lang w:val="en-US"/>
              </w:rPr>
              <w:footnoteReference w:id="21"/>
            </w:r>
          </w:p>
        </w:tc>
        <w:tc>
          <w:tcPr>
            <w:tcW w:w="270" w:type="dxa"/>
          </w:tcPr>
          <w:p w14:paraId="072C1F40" w14:textId="77777777" w:rsidR="00923319" w:rsidRPr="00A67277" w:rsidRDefault="00923319" w:rsidP="00923319">
            <w:pPr>
              <w:spacing w:before="120" w:after="120"/>
              <w:rPr>
                <w:rFonts w:ascii="Arial" w:hAnsi="Arial" w:cs="Arial"/>
                <w:sz w:val="21"/>
                <w:szCs w:val="21"/>
              </w:rPr>
            </w:pPr>
          </w:p>
        </w:tc>
        <w:tc>
          <w:tcPr>
            <w:tcW w:w="4567" w:type="dxa"/>
          </w:tcPr>
          <w:p w14:paraId="42B78FF9" w14:textId="77777777" w:rsidR="00923319" w:rsidRPr="00A67277" w:rsidRDefault="00923319" w:rsidP="00923319">
            <w:pPr>
              <w:pStyle w:val="ListParagraph"/>
              <w:numPr>
                <w:ilvl w:val="0"/>
                <w:numId w:val="601"/>
              </w:numPr>
              <w:spacing w:before="120" w:after="120" w:line="240" w:lineRule="auto"/>
              <w:ind w:hanging="648"/>
              <w:rPr>
                <w:rFonts w:cs="Arial"/>
              </w:rPr>
            </w:pPr>
            <w:r w:rsidRPr="00A67277">
              <w:rPr>
                <w:rFonts w:cs="Arial"/>
                <w:b/>
              </w:rPr>
              <w:t>Biaya Pengakhiran B</w:t>
            </w:r>
            <w:r w:rsidRPr="00A67277">
              <w:rPr>
                <w:rStyle w:val="FootnoteReference"/>
                <w:rFonts w:cs="Arial"/>
                <w:b/>
              </w:rPr>
              <w:footnoteReference w:id="22"/>
            </w:r>
          </w:p>
        </w:tc>
      </w:tr>
      <w:tr w:rsidR="00923319" w:rsidRPr="00A67277" w14:paraId="77C69977" w14:textId="77777777" w:rsidTr="00923319">
        <w:tc>
          <w:tcPr>
            <w:tcW w:w="4860" w:type="dxa"/>
          </w:tcPr>
          <w:p w14:paraId="079B8EA3" w14:textId="77777777" w:rsidR="00923319" w:rsidRPr="00A67277" w:rsidRDefault="00923319" w:rsidP="00923319">
            <w:pPr>
              <w:pStyle w:val="SchNumber3"/>
              <w:numPr>
                <w:ilvl w:val="4"/>
                <w:numId w:val="565"/>
              </w:numPr>
              <w:tabs>
                <w:tab w:val="clear" w:pos="1418"/>
                <w:tab w:val="left" w:pos="1766"/>
                <w:tab w:val="num" w:pos="1946"/>
              </w:tabs>
              <w:spacing w:before="120" w:after="120"/>
              <w:ind w:left="1316" w:hanging="630"/>
              <w:rPr>
                <w:rFonts w:cs="Arial"/>
                <w:lang w:val="en-US"/>
              </w:rPr>
            </w:pPr>
            <w:bookmarkStart w:id="387" w:name="_Toc501179010"/>
            <w:r w:rsidRPr="00A67277">
              <w:rPr>
                <w:rFonts w:cs="Arial"/>
              </w:rPr>
              <w:t>If the Agreement is terminated due to Default by IBE, then the GCA shall make a payment of the Termination Cost B equivalent to the amount specified in section 2.2(b) below.</w:t>
            </w:r>
            <w:bookmarkEnd w:id="387"/>
          </w:p>
        </w:tc>
        <w:tc>
          <w:tcPr>
            <w:tcW w:w="270" w:type="dxa"/>
          </w:tcPr>
          <w:p w14:paraId="75BBB650" w14:textId="77777777" w:rsidR="00923319" w:rsidRPr="00A67277" w:rsidRDefault="00923319" w:rsidP="00923319">
            <w:pPr>
              <w:spacing w:before="120" w:after="120"/>
              <w:rPr>
                <w:rFonts w:ascii="Arial" w:hAnsi="Arial" w:cs="Arial"/>
                <w:sz w:val="21"/>
                <w:szCs w:val="21"/>
              </w:rPr>
            </w:pPr>
          </w:p>
        </w:tc>
        <w:tc>
          <w:tcPr>
            <w:tcW w:w="4567" w:type="dxa"/>
          </w:tcPr>
          <w:p w14:paraId="3D4E169F" w14:textId="77777777" w:rsidR="00923319" w:rsidRPr="00A67277" w:rsidRDefault="00923319" w:rsidP="00923319">
            <w:pPr>
              <w:pStyle w:val="ListParagraph"/>
              <w:numPr>
                <w:ilvl w:val="0"/>
                <w:numId w:val="603"/>
              </w:numPr>
              <w:spacing w:before="120" w:after="120" w:line="240" w:lineRule="auto"/>
              <w:rPr>
                <w:rFonts w:cs="Arial"/>
              </w:rPr>
            </w:pPr>
            <w:r w:rsidRPr="00A67277">
              <w:rPr>
                <w:rFonts w:cs="Arial"/>
              </w:rPr>
              <w:t>Jika Perjanjian diakhiri karena Cidera Janji oleh BUP, maka PJPK melakukan pembayaran Biaya Pengakhiran B setara dengan jumlah yang disebutkan pada bagian 2.2(b) di bawah ini.</w:t>
            </w:r>
          </w:p>
        </w:tc>
      </w:tr>
      <w:tr w:rsidR="00923319" w:rsidRPr="00A67277" w14:paraId="4554BA29" w14:textId="77777777" w:rsidTr="00923319">
        <w:tc>
          <w:tcPr>
            <w:tcW w:w="4860" w:type="dxa"/>
          </w:tcPr>
          <w:p w14:paraId="18FA63EB" w14:textId="77777777" w:rsidR="00923319" w:rsidRPr="00A67277" w:rsidRDefault="00923319" w:rsidP="00923319">
            <w:pPr>
              <w:pStyle w:val="SchNumber3"/>
              <w:numPr>
                <w:ilvl w:val="4"/>
                <w:numId w:val="565"/>
              </w:numPr>
              <w:tabs>
                <w:tab w:val="clear" w:pos="1418"/>
                <w:tab w:val="left" w:pos="1766"/>
                <w:tab w:val="num" w:pos="1946"/>
              </w:tabs>
              <w:spacing w:before="120" w:after="120"/>
              <w:ind w:left="1316" w:hanging="630"/>
              <w:rPr>
                <w:rFonts w:cs="Arial"/>
              </w:rPr>
            </w:pPr>
            <w:bookmarkStart w:id="388" w:name="_Toc501179013"/>
            <w:r w:rsidRPr="00A67277">
              <w:rPr>
                <w:rFonts w:cs="Arial"/>
              </w:rPr>
              <w:t>The Termination Cost (TC) to be paid pursuant to section 2.1(a) above shall be determined by the Expert in accordance with the following formula:</w:t>
            </w:r>
            <w:bookmarkEnd w:id="388"/>
          </w:p>
          <w:p w14:paraId="58D7E13F" w14:textId="77777777" w:rsidR="00923319" w:rsidRPr="00A67277" w:rsidRDefault="00923319" w:rsidP="00923319">
            <w:pPr>
              <w:pStyle w:val="Body2"/>
              <w:spacing w:before="120" w:after="120"/>
              <w:jc w:val="center"/>
              <w:rPr>
                <w:rFonts w:cs="Arial"/>
              </w:rPr>
            </w:pPr>
            <m:oMathPara>
              <m:oMath>
                <m:r>
                  <w:rPr>
                    <w:rFonts w:ascii="Cambria Math" w:hAnsi="Cambria Math" w:cs="Arial"/>
                  </w:rPr>
                  <m:t>TC=U-S-L</m:t>
                </m:r>
              </m:oMath>
            </m:oMathPara>
          </w:p>
          <w:p w14:paraId="6CE91489" w14:textId="77777777" w:rsidR="00923319" w:rsidRPr="00A67277" w:rsidRDefault="00923319" w:rsidP="00923319">
            <w:pPr>
              <w:pStyle w:val="Body3"/>
              <w:spacing w:before="120" w:after="120"/>
              <w:ind w:left="1316"/>
              <w:rPr>
                <w:rFonts w:cs="Arial"/>
              </w:rPr>
            </w:pPr>
            <w:r w:rsidRPr="00A67277">
              <w:rPr>
                <w:rFonts w:cs="Arial"/>
              </w:rPr>
              <w:t>provided that "U – S" shall not be less than zero.</w:t>
            </w:r>
          </w:p>
          <w:p w14:paraId="44C5C621" w14:textId="77777777" w:rsidR="00923319" w:rsidRPr="00A67277" w:rsidRDefault="00923319" w:rsidP="00923319">
            <w:pPr>
              <w:pStyle w:val="Body3"/>
              <w:spacing w:before="120" w:after="120"/>
              <w:ind w:left="1316"/>
              <w:rPr>
                <w:rFonts w:cs="Arial"/>
                <w:lang w:val="en-US"/>
              </w:rPr>
            </w:pPr>
          </w:p>
        </w:tc>
        <w:tc>
          <w:tcPr>
            <w:tcW w:w="270" w:type="dxa"/>
          </w:tcPr>
          <w:p w14:paraId="724EAB4A" w14:textId="77777777" w:rsidR="00923319" w:rsidRPr="00A67277" w:rsidRDefault="00923319" w:rsidP="00923319">
            <w:pPr>
              <w:spacing w:before="120" w:after="120"/>
              <w:rPr>
                <w:rFonts w:ascii="Arial" w:hAnsi="Arial" w:cs="Arial"/>
                <w:sz w:val="21"/>
                <w:szCs w:val="21"/>
              </w:rPr>
            </w:pPr>
          </w:p>
        </w:tc>
        <w:tc>
          <w:tcPr>
            <w:tcW w:w="4567" w:type="dxa"/>
          </w:tcPr>
          <w:p w14:paraId="4F0E24C7" w14:textId="77777777" w:rsidR="00923319" w:rsidRPr="00A67277" w:rsidRDefault="00923319" w:rsidP="00923319">
            <w:pPr>
              <w:pStyle w:val="ListParagraph"/>
              <w:numPr>
                <w:ilvl w:val="0"/>
                <w:numId w:val="603"/>
              </w:numPr>
              <w:spacing w:before="120" w:after="120" w:line="240" w:lineRule="auto"/>
              <w:rPr>
                <w:rFonts w:cs="Arial"/>
              </w:rPr>
            </w:pPr>
            <w:r w:rsidRPr="00A67277">
              <w:rPr>
                <w:rFonts w:cs="Arial"/>
              </w:rPr>
              <w:t>Biaya Pengakhiran (TC) dibayarkan sesuai dengan bagian 2.1(a) di atas akan ditentukan oleh Ahli Independen sesuai dengan rumusan berikut”</w:t>
            </w:r>
          </w:p>
          <w:p w14:paraId="6CA5B989" w14:textId="77777777" w:rsidR="00923319" w:rsidRPr="00A67277" w:rsidRDefault="00923319" w:rsidP="00923319">
            <w:pPr>
              <w:spacing w:before="120" w:after="120"/>
              <w:rPr>
                <w:rFonts w:ascii="Arial" w:hAnsi="Arial" w:cs="Arial"/>
                <w:sz w:val="21"/>
                <w:szCs w:val="21"/>
              </w:rPr>
            </w:pPr>
            <m:oMathPara>
              <m:oMath>
                <m:r>
                  <w:rPr>
                    <w:rFonts w:ascii="Cambria Math" w:hAnsi="Cambria Math" w:cs="Arial"/>
                    <w:sz w:val="21"/>
                    <w:szCs w:val="21"/>
                  </w:rPr>
                  <m:t>TC=U-S-L</m:t>
                </m:r>
              </m:oMath>
            </m:oMathPara>
          </w:p>
          <w:p w14:paraId="2CCBB568" w14:textId="77777777" w:rsidR="00923319" w:rsidRPr="00A67277" w:rsidRDefault="00923319" w:rsidP="00923319">
            <w:pPr>
              <w:pStyle w:val="Body3"/>
              <w:ind w:left="702"/>
              <w:rPr>
                <w:rFonts w:cs="Arial"/>
                <w:lang w:val="de-DE"/>
              </w:rPr>
            </w:pPr>
            <w:r w:rsidRPr="00A67277">
              <w:rPr>
                <w:rFonts w:cs="Arial"/>
                <w:lang w:val="de-DE"/>
              </w:rPr>
              <w:t>dengan ketentuan bahwa “U – S” tidak kurang dari nol.</w:t>
            </w:r>
          </w:p>
          <w:p w14:paraId="1DFB1B58" w14:textId="77777777" w:rsidR="00923319" w:rsidRPr="00A67277" w:rsidRDefault="00923319" w:rsidP="00923319">
            <w:pPr>
              <w:spacing w:before="120" w:after="120"/>
              <w:ind w:left="779"/>
              <w:rPr>
                <w:rFonts w:ascii="Arial" w:hAnsi="Arial" w:cs="Arial"/>
                <w:sz w:val="21"/>
                <w:szCs w:val="21"/>
                <w:lang w:val="de-DE"/>
              </w:rPr>
            </w:pPr>
          </w:p>
        </w:tc>
      </w:tr>
      <w:tr w:rsidR="00923319" w:rsidRPr="00A67277" w14:paraId="303C82C7" w14:textId="77777777" w:rsidTr="00923319">
        <w:tc>
          <w:tcPr>
            <w:tcW w:w="4860" w:type="dxa"/>
          </w:tcPr>
          <w:p w14:paraId="5E76A3C4" w14:textId="77777777" w:rsidR="00923319" w:rsidRPr="00A67277" w:rsidRDefault="00923319" w:rsidP="00923319">
            <w:pPr>
              <w:pStyle w:val="SchHeading2"/>
              <w:numPr>
                <w:ilvl w:val="3"/>
                <w:numId w:val="1"/>
              </w:numPr>
              <w:spacing w:before="120" w:after="120"/>
              <w:rPr>
                <w:rFonts w:cs="Arial"/>
                <w:lang w:val="en-US"/>
              </w:rPr>
            </w:pPr>
            <w:bookmarkStart w:id="389" w:name="_Toc501179014"/>
            <w:r w:rsidRPr="00A67277">
              <w:rPr>
                <w:rFonts w:cs="Arial"/>
                <w:lang w:val="en-US"/>
              </w:rPr>
              <w:t>Termination Cost C</w:t>
            </w:r>
            <w:bookmarkEnd w:id="389"/>
            <w:r w:rsidRPr="00A67277">
              <w:rPr>
                <w:rStyle w:val="FootnoteReference"/>
                <w:rFonts w:cs="Arial"/>
                <w:lang w:val="en-US"/>
              </w:rPr>
              <w:footnoteReference w:id="23"/>
            </w:r>
            <w:r w:rsidRPr="00A67277">
              <w:rPr>
                <w:rFonts w:cs="Arial"/>
              </w:rPr>
              <w:tab/>
            </w:r>
          </w:p>
        </w:tc>
        <w:tc>
          <w:tcPr>
            <w:tcW w:w="270" w:type="dxa"/>
          </w:tcPr>
          <w:p w14:paraId="08756D20" w14:textId="77777777" w:rsidR="00923319" w:rsidRPr="00A67277" w:rsidRDefault="00923319" w:rsidP="00923319">
            <w:pPr>
              <w:spacing w:before="120" w:after="120"/>
              <w:rPr>
                <w:rFonts w:ascii="Arial" w:hAnsi="Arial" w:cs="Arial"/>
                <w:sz w:val="21"/>
                <w:szCs w:val="21"/>
              </w:rPr>
            </w:pPr>
          </w:p>
        </w:tc>
        <w:tc>
          <w:tcPr>
            <w:tcW w:w="4567" w:type="dxa"/>
          </w:tcPr>
          <w:p w14:paraId="1BE80CB7" w14:textId="77777777" w:rsidR="00923319" w:rsidRPr="00A67277" w:rsidRDefault="00923319" w:rsidP="00923319">
            <w:pPr>
              <w:pStyle w:val="ListParagraph"/>
              <w:numPr>
                <w:ilvl w:val="0"/>
                <w:numId w:val="601"/>
              </w:numPr>
              <w:spacing w:before="120" w:after="120" w:line="240" w:lineRule="auto"/>
              <w:ind w:hanging="648"/>
              <w:rPr>
                <w:rFonts w:cs="Arial"/>
              </w:rPr>
            </w:pPr>
            <w:r w:rsidRPr="00A67277">
              <w:rPr>
                <w:rFonts w:cs="Arial"/>
                <w:b/>
              </w:rPr>
              <w:t>Biaya Pengakhiran C</w:t>
            </w:r>
            <w:r w:rsidRPr="00A67277">
              <w:rPr>
                <w:rStyle w:val="FootnoteReference"/>
                <w:rFonts w:cs="Arial"/>
                <w:b/>
              </w:rPr>
              <w:footnoteReference w:id="24"/>
            </w:r>
          </w:p>
        </w:tc>
      </w:tr>
      <w:tr w:rsidR="00923319" w:rsidRPr="00A67277" w14:paraId="23E1A34C" w14:textId="77777777" w:rsidTr="00923319">
        <w:tc>
          <w:tcPr>
            <w:tcW w:w="4860" w:type="dxa"/>
          </w:tcPr>
          <w:p w14:paraId="1C71CBE9" w14:textId="77777777" w:rsidR="00923319" w:rsidRPr="00A67277" w:rsidRDefault="00923319" w:rsidP="00923319">
            <w:pPr>
              <w:pStyle w:val="SchNumber3"/>
              <w:tabs>
                <w:tab w:val="clear" w:pos="1418"/>
                <w:tab w:val="num" w:pos="1946"/>
              </w:tabs>
              <w:spacing w:before="120" w:after="120"/>
              <w:ind w:left="1316" w:hanging="630"/>
              <w:rPr>
                <w:rFonts w:cs="Arial"/>
              </w:rPr>
            </w:pPr>
            <w:bookmarkStart w:id="390" w:name="_Toc501179015"/>
            <w:r w:rsidRPr="00A67277">
              <w:rPr>
                <w:rFonts w:cs="Arial"/>
              </w:rPr>
              <w:t>If the Agreement is terminated due to Force Majeure Event (other than Force Majeure Event on GCA’s Facility), then the GCA must take over all IBE's rights, title and interest in the Project for the price of a Termination Cost C equivalent to the amount specified in section 2.3(b) below.</w:t>
            </w:r>
            <w:bookmarkEnd w:id="390"/>
          </w:p>
        </w:tc>
        <w:tc>
          <w:tcPr>
            <w:tcW w:w="270" w:type="dxa"/>
          </w:tcPr>
          <w:p w14:paraId="54A86549" w14:textId="77777777" w:rsidR="00923319" w:rsidRPr="00A67277" w:rsidRDefault="00923319" w:rsidP="00923319">
            <w:pPr>
              <w:spacing w:before="120" w:after="120"/>
              <w:rPr>
                <w:rFonts w:ascii="Arial" w:hAnsi="Arial" w:cs="Arial"/>
                <w:sz w:val="21"/>
                <w:szCs w:val="21"/>
              </w:rPr>
            </w:pPr>
          </w:p>
        </w:tc>
        <w:tc>
          <w:tcPr>
            <w:tcW w:w="4567" w:type="dxa"/>
          </w:tcPr>
          <w:p w14:paraId="5B4291D6" w14:textId="77777777" w:rsidR="00923319" w:rsidRPr="00A67277" w:rsidRDefault="00923319" w:rsidP="00923319">
            <w:pPr>
              <w:pStyle w:val="ListParagraph"/>
              <w:numPr>
                <w:ilvl w:val="0"/>
                <w:numId w:val="604"/>
              </w:numPr>
              <w:spacing w:before="120" w:after="120" w:line="240" w:lineRule="auto"/>
              <w:rPr>
                <w:rFonts w:cs="Arial"/>
              </w:rPr>
            </w:pPr>
            <w:r w:rsidRPr="00A67277">
              <w:rPr>
                <w:rFonts w:cs="Arial"/>
              </w:rPr>
              <w:t>Jika Perjanjian diakhiri karena Peristiwa Keadaan Kahar (selain dari Peristiwa Keadaan Kahar pada Fasilitas PJPK), maka PJPK harus mengambil alih seluruh hak, kepemilikan dan kepentingan BUP pada Proyek sejumlah Biaya Pengakhiran C setara dengan jumlah sebagaimana dispesifikasikan dalam bagian 2.3(b) di bawah ini.</w:t>
            </w:r>
          </w:p>
        </w:tc>
      </w:tr>
      <w:tr w:rsidR="00923319" w:rsidRPr="00A67277" w14:paraId="38DE211C" w14:textId="77777777" w:rsidTr="00923319">
        <w:tc>
          <w:tcPr>
            <w:tcW w:w="4860" w:type="dxa"/>
          </w:tcPr>
          <w:p w14:paraId="22426B4F" w14:textId="77777777" w:rsidR="00923319" w:rsidRPr="00A67277" w:rsidRDefault="00923319" w:rsidP="00923319">
            <w:pPr>
              <w:pStyle w:val="SchNumber3"/>
              <w:tabs>
                <w:tab w:val="clear" w:pos="1418"/>
                <w:tab w:val="num" w:pos="1946"/>
              </w:tabs>
              <w:spacing w:before="120" w:after="120"/>
              <w:ind w:left="1316" w:hanging="630"/>
              <w:rPr>
                <w:rFonts w:cs="Arial"/>
              </w:rPr>
            </w:pPr>
            <w:bookmarkStart w:id="391" w:name="_Toc501179016"/>
            <w:r w:rsidRPr="00A67277">
              <w:rPr>
                <w:rFonts w:cs="Arial"/>
              </w:rPr>
              <w:t>The Termination Cost (TC) to be paid pursuant to section 2.3(a) above shall be determined by the Expert in accordance with the following formula:</w:t>
            </w:r>
            <w:bookmarkEnd w:id="391"/>
          </w:p>
        </w:tc>
        <w:tc>
          <w:tcPr>
            <w:tcW w:w="270" w:type="dxa"/>
          </w:tcPr>
          <w:p w14:paraId="691B813A" w14:textId="77777777" w:rsidR="00923319" w:rsidRPr="00A67277" w:rsidRDefault="00923319" w:rsidP="00923319">
            <w:pPr>
              <w:spacing w:before="120" w:after="120"/>
              <w:rPr>
                <w:rFonts w:ascii="Arial" w:hAnsi="Arial" w:cs="Arial"/>
                <w:sz w:val="21"/>
                <w:szCs w:val="21"/>
              </w:rPr>
            </w:pPr>
          </w:p>
        </w:tc>
        <w:tc>
          <w:tcPr>
            <w:tcW w:w="4567" w:type="dxa"/>
          </w:tcPr>
          <w:p w14:paraId="5F396B81" w14:textId="77777777" w:rsidR="00923319" w:rsidRPr="00A67277" w:rsidRDefault="00923319" w:rsidP="00923319">
            <w:pPr>
              <w:pStyle w:val="ListParagraph"/>
              <w:numPr>
                <w:ilvl w:val="0"/>
                <w:numId w:val="604"/>
              </w:numPr>
              <w:spacing w:before="120" w:after="120" w:line="240" w:lineRule="auto"/>
              <w:rPr>
                <w:rFonts w:cs="Arial"/>
              </w:rPr>
            </w:pPr>
            <w:r w:rsidRPr="00A67277">
              <w:rPr>
                <w:rFonts w:cs="Arial"/>
              </w:rPr>
              <w:t>Biaya Pengakhiran (TC) dibayarkan sesuai dengan bagian 2.3 (a) di atas akan ditentukan oleh Ahli Independen sesuai dengan rumusan di bawah ini:</w:t>
            </w:r>
          </w:p>
        </w:tc>
      </w:tr>
      <w:tr w:rsidR="00923319" w:rsidRPr="00A67277" w14:paraId="496A60AC" w14:textId="77777777" w:rsidTr="00923319">
        <w:tc>
          <w:tcPr>
            <w:tcW w:w="4860" w:type="dxa"/>
          </w:tcPr>
          <w:p w14:paraId="3CA90291" w14:textId="77777777" w:rsidR="00923319" w:rsidRPr="00A67277" w:rsidRDefault="00923319" w:rsidP="00923319">
            <w:pPr>
              <w:pStyle w:val="SchNumber4"/>
              <w:tabs>
                <w:tab w:val="num" w:pos="3116"/>
                <w:tab w:val="left" w:pos="3206"/>
                <w:tab w:val="num" w:pos="3746"/>
              </w:tabs>
              <w:spacing w:before="120" w:after="120"/>
              <w:rPr>
                <w:rFonts w:cs="Arial"/>
              </w:rPr>
            </w:pPr>
            <w:r w:rsidRPr="00A67277">
              <w:rPr>
                <w:rFonts w:cs="Arial"/>
              </w:rPr>
              <w:t>if the IBE does not repair any damages caused by the Force Majeure event before the Calculation Date, the applicable formula shall be:</w:t>
            </w:r>
          </w:p>
          <w:p w14:paraId="3AD454E2" w14:textId="77777777" w:rsidR="00923319" w:rsidRPr="00A67277" w:rsidRDefault="00923319" w:rsidP="00923319">
            <w:pPr>
              <w:pStyle w:val="Body2"/>
              <w:tabs>
                <w:tab w:val="num" w:pos="1856"/>
              </w:tabs>
              <w:spacing w:before="120" w:after="120"/>
              <w:jc w:val="center"/>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 xml:space="preserve">+(E+ </m:t>
                </m:r>
                <m:f>
                  <m:fPr>
                    <m:type m:val="skw"/>
                    <m:ctrlPr>
                      <w:rPr>
                        <w:rFonts w:ascii="Cambria Math" w:hAnsi="Cambria Math" w:cs="Arial"/>
                        <w:i/>
                      </w:rPr>
                    </m:ctrlPr>
                  </m:fPr>
                  <m:num>
                    <m:r>
                      <w:rPr>
                        <w:rFonts w:ascii="Cambria Math" w:hAnsi="Cambria Math" w:cs="Arial"/>
                      </w:rPr>
                      <m:t>C</m:t>
                    </m:r>
                  </m:num>
                  <m:den>
                    <m:r>
                      <w:rPr>
                        <w:rFonts w:ascii="Cambria Math" w:hAnsi="Cambria Math" w:cs="Arial"/>
                      </w:rPr>
                      <m:t>2</m:t>
                    </m:r>
                  </m:den>
                </m:f>
                <m:r>
                  <w:rPr>
                    <w:rFonts w:ascii="Cambria Math" w:hAnsi="Cambria Math" w:cs="Arial"/>
                  </w:rPr>
                  <m:t xml:space="preserve">-M-L- </m:t>
                </m:r>
                <m:f>
                  <m:fPr>
                    <m:type m:val="skw"/>
                    <m:ctrlPr>
                      <w:rPr>
                        <w:rFonts w:ascii="Cambria Math" w:hAnsi="Cambria Math" w:cs="Arial"/>
                        <w:i/>
                      </w:rPr>
                    </m:ctrlPr>
                  </m:fPr>
                  <m:num>
                    <m:r>
                      <w:rPr>
                        <w:rFonts w:ascii="Cambria Math" w:hAnsi="Cambria Math" w:cs="Arial"/>
                      </w:rPr>
                      <m:t>H</m:t>
                    </m:r>
                  </m:num>
                  <m:den>
                    <m:r>
                      <w:rPr>
                        <w:rFonts w:ascii="Cambria Math" w:hAnsi="Cambria Math" w:cs="Arial"/>
                      </w:rPr>
                      <m:t>2</m:t>
                    </m:r>
                  </m:den>
                </m:f>
                <m:r>
                  <w:rPr>
                    <w:rFonts w:ascii="Cambria Math" w:hAnsi="Cambria Math" w:cs="Arial"/>
                  </w:rPr>
                  <m:t>)</m:t>
                </m:r>
              </m:oMath>
            </m:oMathPara>
          </w:p>
          <w:p w14:paraId="7EC944A1" w14:textId="41BC0DA0" w:rsidR="00923319" w:rsidRPr="00A67277" w:rsidRDefault="00923319" w:rsidP="00923319">
            <w:pPr>
              <w:pStyle w:val="SchNumber4"/>
              <w:numPr>
                <w:ilvl w:val="0"/>
                <w:numId w:val="0"/>
              </w:numPr>
              <w:tabs>
                <w:tab w:val="num" w:pos="1856"/>
              </w:tabs>
              <w:spacing w:before="120" w:after="120"/>
              <w:ind w:left="1418"/>
              <w:rPr>
                <w:rFonts w:cs="Arial"/>
              </w:rPr>
            </w:pPr>
            <w:r w:rsidRPr="00A67277">
              <w:rPr>
                <w:rFonts w:cs="Arial"/>
              </w:rPr>
              <w:t>provided that both "U – S" and "E + C/2 – M – H/2" shall not be less than zero.</w:t>
            </w:r>
          </w:p>
        </w:tc>
        <w:tc>
          <w:tcPr>
            <w:tcW w:w="270" w:type="dxa"/>
          </w:tcPr>
          <w:p w14:paraId="0A5ACF39" w14:textId="77777777" w:rsidR="00923319" w:rsidRPr="00A67277" w:rsidRDefault="00923319" w:rsidP="00923319">
            <w:pPr>
              <w:spacing w:before="120" w:after="120"/>
              <w:rPr>
                <w:rFonts w:ascii="Arial" w:hAnsi="Arial" w:cs="Arial"/>
                <w:sz w:val="21"/>
                <w:szCs w:val="21"/>
              </w:rPr>
            </w:pPr>
          </w:p>
        </w:tc>
        <w:tc>
          <w:tcPr>
            <w:tcW w:w="4567" w:type="dxa"/>
          </w:tcPr>
          <w:p w14:paraId="58CC8590" w14:textId="77777777" w:rsidR="00923319" w:rsidRPr="00A67277" w:rsidRDefault="00923319" w:rsidP="00923319">
            <w:pPr>
              <w:pStyle w:val="ListParagraph"/>
              <w:numPr>
                <w:ilvl w:val="0"/>
                <w:numId w:val="605"/>
              </w:numPr>
              <w:spacing w:before="120" w:after="120" w:line="240" w:lineRule="auto"/>
              <w:ind w:left="1229" w:hanging="270"/>
              <w:rPr>
                <w:rFonts w:cs="Arial"/>
              </w:rPr>
            </w:pPr>
            <w:r w:rsidRPr="00A67277">
              <w:rPr>
                <w:rFonts w:cs="Arial"/>
              </w:rPr>
              <w:t>jika BUP tidak memperbaiki setiap kerusakan yang disebabkan oleh Peristiwa Keadaan Kahar sebelum Tanggal Perhitungan, rumus yang berlaku adalah:</w:t>
            </w:r>
          </w:p>
          <w:p w14:paraId="392CC692" w14:textId="77777777" w:rsidR="00923319" w:rsidRPr="00A67277" w:rsidRDefault="00923319" w:rsidP="00923319">
            <w:pPr>
              <w:spacing w:before="120" w:after="120"/>
              <w:rPr>
                <w:rFonts w:ascii="Arial" w:hAnsi="Arial" w:cs="Arial"/>
                <w:sz w:val="21"/>
                <w:szCs w:val="21"/>
              </w:rPr>
            </w:pPr>
            <m:oMathPara>
              <m:oMath>
                <m:r>
                  <w:rPr>
                    <w:rFonts w:ascii="Cambria Math" w:hAnsi="Cambria Math" w:cs="Arial"/>
                    <w:sz w:val="21"/>
                    <w:szCs w:val="21"/>
                  </w:rPr>
                  <m:t>TC=</m:t>
                </m:r>
                <m:d>
                  <m:dPr>
                    <m:ctrlPr>
                      <w:rPr>
                        <w:rFonts w:ascii="Cambria Math" w:hAnsi="Cambria Math" w:cs="Arial"/>
                        <w:i/>
                        <w:sz w:val="21"/>
                        <w:szCs w:val="21"/>
                      </w:rPr>
                    </m:ctrlPr>
                  </m:dPr>
                  <m:e>
                    <m:r>
                      <w:rPr>
                        <w:rFonts w:ascii="Cambria Math" w:hAnsi="Cambria Math" w:cs="Arial"/>
                        <w:sz w:val="21"/>
                        <w:szCs w:val="21"/>
                      </w:rPr>
                      <m:t>U-S</m:t>
                    </m:r>
                  </m:e>
                </m:d>
                <m:r>
                  <w:rPr>
                    <w:rFonts w:ascii="Cambria Math" w:hAnsi="Cambria Math" w:cs="Arial"/>
                    <w:sz w:val="21"/>
                    <w:szCs w:val="21"/>
                  </w:rPr>
                  <m:t xml:space="preserve">+(E+ </m:t>
                </m:r>
                <m:f>
                  <m:fPr>
                    <m:type m:val="skw"/>
                    <m:ctrlPr>
                      <w:rPr>
                        <w:rFonts w:ascii="Cambria Math" w:hAnsi="Cambria Math" w:cs="Arial"/>
                        <w:i/>
                        <w:sz w:val="21"/>
                        <w:szCs w:val="21"/>
                      </w:rPr>
                    </m:ctrlPr>
                  </m:fPr>
                  <m:num>
                    <m:r>
                      <w:rPr>
                        <w:rFonts w:ascii="Cambria Math" w:hAnsi="Cambria Math" w:cs="Arial"/>
                        <w:sz w:val="21"/>
                        <w:szCs w:val="21"/>
                      </w:rPr>
                      <m:t>C</m:t>
                    </m:r>
                  </m:num>
                  <m:den>
                    <m:r>
                      <w:rPr>
                        <w:rFonts w:ascii="Cambria Math" w:hAnsi="Cambria Math" w:cs="Arial"/>
                        <w:sz w:val="21"/>
                        <w:szCs w:val="21"/>
                      </w:rPr>
                      <m:t>2</m:t>
                    </m:r>
                  </m:den>
                </m:f>
                <m:r>
                  <w:rPr>
                    <w:rFonts w:ascii="Cambria Math" w:hAnsi="Cambria Math" w:cs="Arial"/>
                    <w:sz w:val="21"/>
                    <w:szCs w:val="21"/>
                  </w:rPr>
                  <m:t xml:space="preserve">-M-L- </m:t>
                </m:r>
                <m:f>
                  <m:fPr>
                    <m:type m:val="skw"/>
                    <m:ctrlPr>
                      <w:rPr>
                        <w:rFonts w:ascii="Cambria Math" w:hAnsi="Cambria Math" w:cs="Arial"/>
                        <w:i/>
                        <w:sz w:val="21"/>
                        <w:szCs w:val="21"/>
                      </w:rPr>
                    </m:ctrlPr>
                  </m:fPr>
                  <m:num>
                    <m:r>
                      <w:rPr>
                        <w:rFonts w:ascii="Cambria Math" w:hAnsi="Cambria Math" w:cs="Arial"/>
                        <w:sz w:val="21"/>
                        <w:szCs w:val="21"/>
                      </w:rPr>
                      <m:t>H</m:t>
                    </m:r>
                  </m:num>
                  <m:den>
                    <m:r>
                      <w:rPr>
                        <w:rFonts w:ascii="Cambria Math" w:hAnsi="Cambria Math" w:cs="Arial"/>
                        <w:sz w:val="21"/>
                        <w:szCs w:val="21"/>
                      </w:rPr>
                      <m:t>2</m:t>
                    </m:r>
                  </m:den>
                </m:f>
                <m:r>
                  <w:rPr>
                    <w:rFonts w:ascii="Cambria Math" w:hAnsi="Cambria Math" w:cs="Arial"/>
                    <w:sz w:val="21"/>
                    <w:szCs w:val="21"/>
                  </w:rPr>
                  <m:t>)</m:t>
                </m:r>
              </m:oMath>
            </m:oMathPara>
          </w:p>
          <w:p w14:paraId="05CAA00A" w14:textId="77777777" w:rsidR="00923319" w:rsidRPr="00A67277" w:rsidRDefault="00923319" w:rsidP="00923319">
            <w:pPr>
              <w:pStyle w:val="SchNumber4"/>
              <w:numPr>
                <w:ilvl w:val="0"/>
                <w:numId w:val="0"/>
              </w:numPr>
              <w:ind w:left="1332"/>
              <w:rPr>
                <w:rFonts w:cs="Arial"/>
                <w:lang w:val="de-DE"/>
              </w:rPr>
            </w:pPr>
            <w:r w:rsidRPr="00A67277">
              <w:rPr>
                <w:rFonts w:cs="Arial"/>
                <w:lang w:val="de-DE"/>
              </w:rPr>
              <w:t>dengan ketentuan bahwa kedua “U – S” dan “E + C/2 – M – H/2” tidak kurang dari nol.</w:t>
            </w:r>
          </w:p>
        </w:tc>
      </w:tr>
      <w:tr w:rsidR="00923319" w:rsidRPr="00A67277" w14:paraId="5C604A03" w14:textId="77777777" w:rsidTr="00923319">
        <w:tc>
          <w:tcPr>
            <w:tcW w:w="4860" w:type="dxa"/>
          </w:tcPr>
          <w:p w14:paraId="110B7370" w14:textId="77777777" w:rsidR="00923319" w:rsidRPr="00A67277" w:rsidRDefault="00923319" w:rsidP="00923319">
            <w:pPr>
              <w:pStyle w:val="SchNumber4"/>
              <w:tabs>
                <w:tab w:val="num" w:pos="3116"/>
                <w:tab w:val="left" w:pos="3206"/>
                <w:tab w:val="num" w:pos="3746"/>
              </w:tabs>
              <w:spacing w:before="120" w:after="120"/>
              <w:rPr>
                <w:rFonts w:cs="Arial"/>
              </w:rPr>
            </w:pPr>
            <w:r w:rsidRPr="00A67277">
              <w:rPr>
                <w:rFonts w:cs="Arial"/>
              </w:rPr>
              <w:t>if the IBE completes the repair of any damages caused by the Force Majeure Event before the Calculation Date and the Facility meets the Key Performance Indicators (to the extent that the operations under the Key Performance Indicators occur as a result of the Force Majeure Event), the applicable formula shall be:</w:t>
            </w:r>
          </w:p>
          <w:p w14:paraId="7F585811" w14:textId="77777777" w:rsidR="00923319" w:rsidRPr="00A67277" w:rsidRDefault="00923319" w:rsidP="00923319">
            <w:pPr>
              <w:pStyle w:val="Body2"/>
              <w:spacing w:before="120" w:after="120"/>
              <w:jc w:val="center"/>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 xml:space="preserve">+(E+ </m:t>
                </m:r>
                <m:f>
                  <m:fPr>
                    <m:type m:val="skw"/>
                    <m:ctrlPr>
                      <w:rPr>
                        <w:rFonts w:ascii="Cambria Math" w:hAnsi="Cambria Math" w:cs="Arial"/>
                        <w:i/>
                      </w:rPr>
                    </m:ctrlPr>
                  </m:fPr>
                  <m:num>
                    <m:r>
                      <w:rPr>
                        <w:rFonts w:ascii="Cambria Math" w:hAnsi="Cambria Math" w:cs="Arial"/>
                      </w:rPr>
                      <m:t>C</m:t>
                    </m:r>
                  </m:num>
                  <m:den>
                    <m:r>
                      <w:rPr>
                        <w:rFonts w:ascii="Cambria Math" w:hAnsi="Cambria Math" w:cs="Arial"/>
                      </w:rPr>
                      <m:t>2</m:t>
                    </m:r>
                  </m:den>
                </m:f>
                <m:r>
                  <w:rPr>
                    <w:rFonts w:ascii="Cambria Math" w:hAnsi="Cambria Math" w:cs="Arial"/>
                  </w:rPr>
                  <m:t xml:space="preserve">+ </m:t>
                </m:r>
                <m:f>
                  <m:fPr>
                    <m:type m:val="skw"/>
                    <m:ctrlPr>
                      <w:rPr>
                        <w:rFonts w:ascii="Cambria Math" w:hAnsi="Cambria Math" w:cs="Arial"/>
                        <w:i/>
                      </w:rPr>
                    </m:ctrlPr>
                  </m:fPr>
                  <m:num>
                    <m:r>
                      <w:rPr>
                        <w:rFonts w:ascii="Cambria Math" w:hAnsi="Cambria Math" w:cs="Arial"/>
                      </w:rPr>
                      <m:t>M</m:t>
                    </m:r>
                  </m:num>
                  <m:den>
                    <m:r>
                      <w:rPr>
                        <w:rFonts w:ascii="Cambria Math" w:hAnsi="Cambria Math" w:cs="Arial"/>
                      </w:rPr>
                      <m:t>2</m:t>
                    </m:r>
                  </m:den>
                </m:f>
                <m:r>
                  <w:rPr>
                    <w:rFonts w:ascii="Cambria Math" w:hAnsi="Cambria Math" w:cs="Arial"/>
                  </w:rPr>
                  <m:t xml:space="preserve">-L- </m:t>
                </m:r>
                <m:f>
                  <m:fPr>
                    <m:type m:val="skw"/>
                    <m:ctrlPr>
                      <w:rPr>
                        <w:rFonts w:ascii="Cambria Math" w:hAnsi="Cambria Math" w:cs="Arial"/>
                        <w:i/>
                      </w:rPr>
                    </m:ctrlPr>
                  </m:fPr>
                  <m:num>
                    <m:r>
                      <w:rPr>
                        <w:rFonts w:ascii="Cambria Math" w:hAnsi="Cambria Math" w:cs="Arial"/>
                      </w:rPr>
                      <m:t>H</m:t>
                    </m:r>
                  </m:num>
                  <m:den>
                    <m:r>
                      <w:rPr>
                        <w:rFonts w:ascii="Cambria Math" w:hAnsi="Cambria Math" w:cs="Arial"/>
                      </w:rPr>
                      <m:t>2</m:t>
                    </m:r>
                  </m:den>
                </m:f>
                <m:r>
                  <w:rPr>
                    <w:rFonts w:ascii="Cambria Math" w:hAnsi="Cambria Math" w:cs="Arial"/>
                  </w:rPr>
                  <m:t>)</m:t>
                </m:r>
              </m:oMath>
            </m:oMathPara>
          </w:p>
          <w:p w14:paraId="7B376FD8" w14:textId="77777777" w:rsidR="00923319" w:rsidRPr="00A67277" w:rsidRDefault="00923319" w:rsidP="00923319">
            <w:pPr>
              <w:pStyle w:val="SchNumber4"/>
              <w:numPr>
                <w:ilvl w:val="0"/>
                <w:numId w:val="0"/>
              </w:numPr>
              <w:spacing w:before="120" w:after="120"/>
              <w:ind w:left="2142"/>
              <w:rPr>
                <w:rFonts w:cs="Arial"/>
              </w:rPr>
            </w:pPr>
            <w:r w:rsidRPr="00A67277">
              <w:rPr>
                <w:rFonts w:cs="Arial"/>
              </w:rPr>
              <w:t>provided that both "U – S" and "E + C/2 + M/2 – H/2" shall not be less than zero.</w:t>
            </w:r>
          </w:p>
        </w:tc>
        <w:tc>
          <w:tcPr>
            <w:tcW w:w="270" w:type="dxa"/>
          </w:tcPr>
          <w:p w14:paraId="18CAB26C" w14:textId="77777777" w:rsidR="00923319" w:rsidRPr="00A67277" w:rsidRDefault="00923319" w:rsidP="00923319">
            <w:pPr>
              <w:spacing w:before="120" w:after="120"/>
              <w:rPr>
                <w:rFonts w:ascii="Arial" w:hAnsi="Arial" w:cs="Arial"/>
                <w:sz w:val="21"/>
                <w:szCs w:val="21"/>
              </w:rPr>
            </w:pPr>
          </w:p>
        </w:tc>
        <w:tc>
          <w:tcPr>
            <w:tcW w:w="4567" w:type="dxa"/>
          </w:tcPr>
          <w:p w14:paraId="332BA3F0" w14:textId="77777777" w:rsidR="00923319" w:rsidRPr="00A67277" w:rsidRDefault="00923319" w:rsidP="00923319">
            <w:pPr>
              <w:pStyle w:val="ListParagraph"/>
              <w:numPr>
                <w:ilvl w:val="0"/>
                <w:numId w:val="605"/>
              </w:numPr>
              <w:spacing w:before="120" w:after="120" w:line="240" w:lineRule="auto"/>
              <w:ind w:left="1229" w:hanging="270"/>
              <w:rPr>
                <w:rFonts w:cs="Arial"/>
              </w:rPr>
            </w:pPr>
            <w:r w:rsidRPr="00A67277">
              <w:rPr>
                <w:rFonts w:cs="Arial"/>
              </w:rPr>
              <w:t>jika BUP melengkapi perbaikan setiap kerusakan yang disebabkan oleh Peristiwa Keadaan Kahar sebelum Tanggal Perhitungan dan Fasilitas memenuhi Indikator Kinerja Utama (sejauh pengoperasian yang di bawah Indikator Kinerja Utama terjadi karena Peristiwa Keadaan Kahar), rumus yang berlaku adalah:</w:t>
            </w:r>
          </w:p>
          <w:p w14:paraId="2C3D0BB3" w14:textId="77777777" w:rsidR="00923319" w:rsidRPr="00A67277" w:rsidRDefault="00923319" w:rsidP="00923319">
            <w:pPr>
              <w:pStyle w:val="Body2"/>
              <w:spacing w:before="120" w:after="120"/>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 xml:space="preserve">+(E+ </m:t>
                </m:r>
                <m:f>
                  <m:fPr>
                    <m:type m:val="skw"/>
                    <m:ctrlPr>
                      <w:rPr>
                        <w:rFonts w:ascii="Cambria Math" w:hAnsi="Cambria Math" w:cs="Arial"/>
                        <w:i/>
                      </w:rPr>
                    </m:ctrlPr>
                  </m:fPr>
                  <m:num>
                    <m:r>
                      <w:rPr>
                        <w:rFonts w:ascii="Cambria Math" w:hAnsi="Cambria Math" w:cs="Arial"/>
                      </w:rPr>
                      <m:t>C</m:t>
                    </m:r>
                  </m:num>
                  <m:den>
                    <m:r>
                      <w:rPr>
                        <w:rFonts w:ascii="Cambria Math" w:hAnsi="Cambria Math" w:cs="Arial"/>
                      </w:rPr>
                      <m:t>2</m:t>
                    </m:r>
                  </m:den>
                </m:f>
                <m:r>
                  <w:rPr>
                    <w:rFonts w:ascii="Cambria Math" w:hAnsi="Cambria Math" w:cs="Arial"/>
                  </w:rPr>
                  <m:t xml:space="preserve">+ </m:t>
                </m:r>
                <m:f>
                  <m:fPr>
                    <m:type m:val="skw"/>
                    <m:ctrlPr>
                      <w:rPr>
                        <w:rFonts w:ascii="Cambria Math" w:hAnsi="Cambria Math" w:cs="Arial"/>
                        <w:i/>
                      </w:rPr>
                    </m:ctrlPr>
                  </m:fPr>
                  <m:num>
                    <m:r>
                      <w:rPr>
                        <w:rFonts w:ascii="Cambria Math" w:hAnsi="Cambria Math" w:cs="Arial"/>
                      </w:rPr>
                      <m:t>M</m:t>
                    </m:r>
                  </m:num>
                  <m:den>
                    <m:r>
                      <w:rPr>
                        <w:rFonts w:ascii="Cambria Math" w:hAnsi="Cambria Math" w:cs="Arial"/>
                      </w:rPr>
                      <m:t>2</m:t>
                    </m:r>
                  </m:den>
                </m:f>
                <m:r>
                  <w:rPr>
                    <w:rFonts w:ascii="Cambria Math" w:hAnsi="Cambria Math" w:cs="Arial"/>
                  </w:rPr>
                  <m:t xml:space="preserve">-L- </m:t>
                </m:r>
                <m:f>
                  <m:fPr>
                    <m:type m:val="skw"/>
                    <m:ctrlPr>
                      <w:rPr>
                        <w:rFonts w:ascii="Cambria Math" w:hAnsi="Cambria Math" w:cs="Arial"/>
                        <w:i/>
                      </w:rPr>
                    </m:ctrlPr>
                  </m:fPr>
                  <m:num>
                    <m:r>
                      <w:rPr>
                        <w:rFonts w:ascii="Cambria Math" w:hAnsi="Cambria Math" w:cs="Arial"/>
                      </w:rPr>
                      <m:t>H</m:t>
                    </m:r>
                  </m:num>
                  <m:den>
                    <m:r>
                      <w:rPr>
                        <w:rFonts w:ascii="Cambria Math" w:hAnsi="Cambria Math" w:cs="Arial"/>
                      </w:rPr>
                      <m:t>2</m:t>
                    </m:r>
                  </m:den>
                </m:f>
                <m:r>
                  <w:rPr>
                    <w:rFonts w:ascii="Cambria Math" w:hAnsi="Cambria Math" w:cs="Arial"/>
                  </w:rPr>
                  <m:t>)</m:t>
                </m:r>
              </m:oMath>
            </m:oMathPara>
          </w:p>
          <w:p w14:paraId="3CF69FE1" w14:textId="77777777" w:rsidR="00923319" w:rsidRPr="00A67277" w:rsidRDefault="00923319" w:rsidP="00923319">
            <w:pPr>
              <w:spacing w:before="120" w:after="120"/>
              <w:ind w:left="1229"/>
              <w:jc w:val="both"/>
              <w:rPr>
                <w:rFonts w:ascii="Arial" w:hAnsi="Arial" w:cs="Arial"/>
                <w:sz w:val="21"/>
                <w:szCs w:val="21"/>
                <w:lang w:val="de-DE"/>
              </w:rPr>
            </w:pPr>
            <w:r w:rsidRPr="00A67277">
              <w:rPr>
                <w:rFonts w:ascii="Arial" w:hAnsi="Arial" w:cs="Arial"/>
                <w:sz w:val="21"/>
                <w:szCs w:val="21"/>
                <w:lang w:val="de-DE"/>
              </w:rPr>
              <w:t xml:space="preserve">dengan ketentuan bahwa kedua “U – S” dan “E + C/2 + M/2 – H/2” tidak kurang dari nol. </w:t>
            </w:r>
          </w:p>
        </w:tc>
      </w:tr>
      <w:tr w:rsidR="00923319" w:rsidRPr="00A67277" w14:paraId="36464402" w14:textId="77777777" w:rsidTr="00923319">
        <w:tc>
          <w:tcPr>
            <w:tcW w:w="4860" w:type="dxa"/>
          </w:tcPr>
          <w:p w14:paraId="750435AB" w14:textId="77777777" w:rsidR="00923319" w:rsidRPr="00A67277" w:rsidRDefault="00923319" w:rsidP="00923319">
            <w:pPr>
              <w:pStyle w:val="SchNumber4"/>
              <w:spacing w:before="120" w:after="120"/>
              <w:rPr>
                <w:rFonts w:cs="Arial"/>
              </w:rPr>
            </w:pPr>
            <w:r w:rsidRPr="00A67277">
              <w:rPr>
                <w:rFonts w:cs="Arial"/>
              </w:rPr>
              <w:t>if the IBE completes the repair of any damages caused by the Force Majeure Event before the Calculation Date but (1) the Facility fails to meet the Key Performance Indicators and (2) IBE fails to operate the Facility fulfilling the Key Performance Indicators, the applicable formula shall be:</w:t>
            </w:r>
          </w:p>
          <w:p w14:paraId="3D8BE67E" w14:textId="77777777" w:rsidR="00923319" w:rsidRPr="00A67277" w:rsidRDefault="00923319" w:rsidP="00923319">
            <w:pPr>
              <w:pStyle w:val="Body2"/>
              <w:spacing w:before="120" w:after="120"/>
              <w:jc w:val="center"/>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 xml:space="preserve">+(E+ </m:t>
                </m:r>
                <m:f>
                  <m:fPr>
                    <m:type m:val="skw"/>
                    <m:ctrlPr>
                      <w:rPr>
                        <w:rFonts w:ascii="Cambria Math" w:hAnsi="Cambria Math" w:cs="Arial"/>
                        <w:i/>
                      </w:rPr>
                    </m:ctrlPr>
                  </m:fPr>
                  <m:num>
                    <m:r>
                      <w:rPr>
                        <w:rFonts w:ascii="Cambria Math" w:hAnsi="Cambria Math" w:cs="Arial"/>
                      </w:rPr>
                      <m:t>C</m:t>
                    </m:r>
                  </m:num>
                  <m:den>
                    <m:r>
                      <w:rPr>
                        <w:rFonts w:ascii="Cambria Math" w:hAnsi="Cambria Math" w:cs="Arial"/>
                      </w:rPr>
                      <m:t>2</m:t>
                    </m:r>
                  </m:den>
                </m:f>
                <m:r>
                  <w:rPr>
                    <w:rFonts w:ascii="Cambria Math" w:hAnsi="Cambria Math" w:cs="Arial"/>
                  </w:rPr>
                  <m:t xml:space="preserve">-M-L- </m:t>
                </m:r>
                <m:f>
                  <m:fPr>
                    <m:type m:val="skw"/>
                    <m:ctrlPr>
                      <w:rPr>
                        <w:rFonts w:ascii="Cambria Math" w:hAnsi="Cambria Math" w:cs="Arial"/>
                        <w:i/>
                      </w:rPr>
                    </m:ctrlPr>
                  </m:fPr>
                  <m:num>
                    <m:r>
                      <w:rPr>
                        <w:rFonts w:ascii="Cambria Math" w:hAnsi="Cambria Math" w:cs="Arial"/>
                      </w:rPr>
                      <m:t>H</m:t>
                    </m:r>
                  </m:num>
                  <m:den>
                    <m:r>
                      <w:rPr>
                        <w:rFonts w:ascii="Cambria Math" w:hAnsi="Cambria Math" w:cs="Arial"/>
                      </w:rPr>
                      <m:t>2</m:t>
                    </m:r>
                  </m:den>
                </m:f>
                <m:r>
                  <w:rPr>
                    <w:rFonts w:ascii="Cambria Math" w:hAnsi="Cambria Math" w:cs="Arial"/>
                  </w:rPr>
                  <m:t>)</m:t>
                </m:r>
              </m:oMath>
            </m:oMathPara>
          </w:p>
          <w:p w14:paraId="3B1655E7" w14:textId="77777777" w:rsidR="00923319" w:rsidRPr="00A67277" w:rsidRDefault="00923319" w:rsidP="00923319">
            <w:pPr>
              <w:pStyle w:val="SchNumber4"/>
              <w:numPr>
                <w:ilvl w:val="0"/>
                <w:numId w:val="0"/>
              </w:numPr>
              <w:spacing w:before="120" w:after="120"/>
              <w:ind w:left="2126"/>
              <w:rPr>
                <w:rFonts w:cs="Arial"/>
              </w:rPr>
            </w:pPr>
            <w:r w:rsidRPr="00A67277">
              <w:rPr>
                <w:rFonts w:cs="Arial"/>
              </w:rPr>
              <w:t>provided that both "U – S" and "E + C/2 – M – L – H/2" shall not be less than zero.</w:t>
            </w:r>
          </w:p>
        </w:tc>
        <w:tc>
          <w:tcPr>
            <w:tcW w:w="270" w:type="dxa"/>
          </w:tcPr>
          <w:p w14:paraId="62EA487F" w14:textId="77777777" w:rsidR="00923319" w:rsidRPr="00A67277" w:rsidRDefault="00923319" w:rsidP="00923319">
            <w:pPr>
              <w:spacing w:before="120" w:after="120"/>
              <w:rPr>
                <w:rFonts w:ascii="Arial" w:hAnsi="Arial" w:cs="Arial"/>
                <w:sz w:val="21"/>
                <w:szCs w:val="21"/>
              </w:rPr>
            </w:pPr>
          </w:p>
        </w:tc>
        <w:tc>
          <w:tcPr>
            <w:tcW w:w="4567" w:type="dxa"/>
          </w:tcPr>
          <w:p w14:paraId="50EC1836" w14:textId="77777777" w:rsidR="00923319" w:rsidRPr="00A67277" w:rsidRDefault="00923319" w:rsidP="00923319">
            <w:pPr>
              <w:pStyle w:val="ListParagraph"/>
              <w:numPr>
                <w:ilvl w:val="0"/>
                <w:numId w:val="605"/>
              </w:numPr>
              <w:spacing w:before="120" w:after="120" w:line="240" w:lineRule="auto"/>
              <w:ind w:left="1229" w:hanging="270"/>
              <w:rPr>
                <w:rFonts w:cs="Arial"/>
              </w:rPr>
            </w:pPr>
            <w:r w:rsidRPr="00A67277">
              <w:rPr>
                <w:rFonts w:cs="Arial"/>
              </w:rPr>
              <w:t>jika BUP melengkapi perbaikan setiap kerusakan yang disebabkan oleh Peristiwa Keadaan Kahar sebelum Tanggal Perhitungan namun (1) Fasilitas gagal memenuhi Indikator Kinerja Utama dan (2) BUP gagal mengoperasikan Fasilitas memenuhi Indikator Kinerja Utama, rumus yang berlaku adalah:</w:t>
            </w:r>
          </w:p>
          <w:p w14:paraId="0C69B4EC" w14:textId="77777777" w:rsidR="00923319" w:rsidRPr="00A67277" w:rsidRDefault="00923319" w:rsidP="00923319">
            <w:pPr>
              <w:pStyle w:val="Body2"/>
              <w:spacing w:before="120" w:after="120"/>
              <w:rPr>
                <w:rFonts w:cs="Arial"/>
              </w:rPr>
            </w:pPr>
            <m:oMathPara>
              <m:oMath>
                <m:r>
                  <w:rPr>
                    <w:rFonts w:ascii="Cambria Math" w:hAnsi="Cambria Math" w:cs="Arial"/>
                  </w:rPr>
                  <m:t>TC=</m:t>
                </m:r>
                <m:d>
                  <m:dPr>
                    <m:ctrlPr>
                      <w:rPr>
                        <w:rFonts w:ascii="Cambria Math" w:hAnsi="Cambria Math" w:cs="Arial"/>
                        <w:i/>
                      </w:rPr>
                    </m:ctrlPr>
                  </m:dPr>
                  <m:e>
                    <m:r>
                      <w:rPr>
                        <w:rFonts w:ascii="Cambria Math" w:hAnsi="Cambria Math" w:cs="Arial"/>
                      </w:rPr>
                      <m:t>U-S</m:t>
                    </m:r>
                  </m:e>
                </m:d>
                <m:r>
                  <w:rPr>
                    <w:rFonts w:ascii="Cambria Math" w:hAnsi="Cambria Math" w:cs="Arial"/>
                  </w:rPr>
                  <m:t xml:space="preserve">+(E+ </m:t>
                </m:r>
                <m:f>
                  <m:fPr>
                    <m:type m:val="skw"/>
                    <m:ctrlPr>
                      <w:rPr>
                        <w:rFonts w:ascii="Cambria Math" w:hAnsi="Cambria Math" w:cs="Arial"/>
                        <w:i/>
                      </w:rPr>
                    </m:ctrlPr>
                  </m:fPr>
                  <m:num>
                    <m:r>
                      <w:rPr>
                        <w:rFonts w:ascii="Cambria Math" w:hAnsi="Cambria Math" w:cs="Arial"/>
                      </w:rPr>
                      <m:t>C</m:t>
                    </m:r>
                  </m:num>
                  <m:den>
                    <m:r>
                      <w:rPr>
                        <w:rFonts w:ascii="Cambria Math" w:hAnsi="Cambria Math" w:cs="Arial"/>
                      </w:rPr>
                      <m:t>2</m:t>
                    </m:r>
                  </m:den>
                </m:f>
                <m:r>
                  <w:rPr>
                    <w:rFonts w:ascii="Cambria Math" w:hAnsi="Cambria Math" w:cs="Arial"/>
                  </w:rPr>
                  <m:t xml:space="preserve">-M-L- </m:t>
                </m:r>
                <m:f>
                  <m:fPr>
                    <m:type m:val="skw"/>
                    <m:ctrlPr>
                      <w:rPr>
                        <w:rFonts w:ascii="Cambria Math" w:hAnsi="Cambria Math" w:cs="Arial"/>
                        <w:i/>
                      </w:rPr>
                    </m:ctrlPr>
                  </m:fPr>
                  <m:num>
                    <m:r>
                      <w:rPr>
                        <w:rFonts w:ascii="Cambria Math" w:hAnsi="Cambria Math" w:cs="Arial"/>
                      </w:rPr>
                      <m:t>H</m:t>
                    </m:r>
                  </m:num>
                  <m:den>
                    <m:r>
                      <w:rPr>
                        <w:rFonts w:ascii="Cambria Math" w:hAnsi="Cambria Math" w:cs="Arial"/>
                      </w:rPr>
                      <m:t>2</m:t>
                    </m:r>
                  </m:den>
                </m:f>
                <m:r>
                  <w:rPr>
                    <w:rFonts w:ascii="Cambria Math" w:hAnsi="Cambria Math" w:cs="Arial"/>
                  </w:rPr>
                  <m:t>)</m:t>
                </m:r>
              </m:oMath>
            </m:oMathPara>
          </w:p>
          <w:p w14:paraId="4E4E8B63" w14:textId="77777777" w:rsidR="00923319" w:rsidRPr="00A67277" w:rsidRDefault="00923319" w:rsidP="00923319">
            <w:pPr>
              <w:spacing w:before="120" w:after="120"/>
              <w:ind w:left="1229"/>
              <w:jc w:val="both"/>
              <w:rPr>
                <w:rFonts w:ascii="Arial" w:hAnsi="Arial" w:cs="Arial"/>
                <w:sz w:val="21"/>
                <w:szCs w:val="21"/>
                <w:lang w:val="de-DE"/>
              </w:rPr>
            </w:pPr>
            <w:r w:rsidRPr="00A67277">
              <w:rPr>
                <w:rFonts w:ascii="Arial" w:hAnsi="Arial" w:cs="Arial"/>
                <w:sz w:val="21"/>
                <w:szCs w:val="21"/>
                <w:lang w:val="de-DE"/>
              </w:rPr>
              <w:t>dengan ketentuan bahwa kedua “U – S” dan “E + C/2 – M  – L – H/2” tidak kurang dari nol.</w:t>
            </w:r>
          </w:p>
        </w:tc>
      </w:tr>
      <w:tr w:rsidR="00923319" w:rsidRPr="00A67277" w14:paraId="11037C4E" w14:textId="77777777" w:rsidTr="00923319">
        <w:tc>
          <w:tcPr>
            <w:tcW w:w="4860" w:type="dxa"/>
          </w:tcPr>
          <w:p w14:paraId="40ABE1E9" w14:textId="77777777" w:rsidR="00923319" w:rsidRPr="00A67277" w:rsidRDefault="00923319" w:rsidP="00923319">
            <w:pPr>
              <w:pStyle w:val="SchNumber3"/>
              <w:tabs>
                <w:tab w:val="clear" w:pos="1418"/>
                <w:tab w:val="num" w:pos="1946"/>
              </w:tabs>
              <w:spacing w:before="120" w:after="120"/>
              <w:ind w:left="1316" w:hanging="630"/>
              <w:rPr>
                <w:rFonts w:cs="Arial"/>
              </w:rPr>
            </w:pPr>
            <w:bookmarkStart w:id="392" w:name="_Toc501179017"/>
            <w:r w:rsidRPr="00A67277">
              <w:rPr>
                <w:rFonts w:cs="Arial"/>
              </w:rPr>
              <w:t>The Expert shall determine for the purposes of section 2.3(b) whether the Facility is able to meet the Key Performance Indicators prior to the Termination Date. If the Facility is unable to meet the Key Performance Indicators on the Termination Date or the Expert is unable to conduct the test as a result of the Force Majeure Event, the Expert shall determine the time required for the IBE to cause the Facility to meet the Key Performance Indicators. If the determined time period exceeds one hundred and eighty (180) Days, the IBE and GCA, in consultation with the Expert, shall agree on a Calculation Date, the alternative performance indicator required for the Facility at the Calculation Date and / or an adjustment to the Termination Cost calculation to account for failure to operate to meet Key Performance Indicators.</w:t>
            </w:r>
            <w:bookmarkEnd w:id="392"/>
          </w:p>
        </w:tc>
        <w:tc>
          <w:tcPr>
            <w:tcW w:w="270" w:type="dxa"/>
          </w:tcPr>
          <w:p w14:paraId="1D0671AD" w14:textId="77777777" w:rsidR="00923319" w:rsidRPr="00A67277" w:rsidRDefault="00923319" w:rsidP="00923319">
            <w:pPr>
              <w:spacing w:before="120" w:after="120"/>
              <w:rPr>
                <w:rFonts w:ascii="Arial" w:hAnsi="Arial" w:cs="Arial"/>
                <w:sz w:val="21"/>
                <w:szCs w:val="21"/>
              </w:rPr>
            </w:pPr>
          </w:p>
        </w:tc>
        <w:tc>
          <w:tcPr>
            <w:tcW w:w="4567" w:type="dxa"/>
          </w:tcPr>
          <w:p w14:paraId="1B43BF02" w14:textId="77777777" w:rsidR="00923319" w:rsidRPr="00A67277" w:rsidRDefault="00923319" w:rsidP="00923319">
            <w:pPr>
              <w:pStyle w:val="ListParagraph"/>
              <w:numPr>
                <w:ilvl w:val="0"/>
                <w:numId w:val="604"/>
              </w:numPr>
              <w:spacing w:before="120" w:after="120" w:line="240" w:lineRule="auto"/>
              <w:rPr>
                <w:rFonts w:cs="Arial"/>
              </w:rPr>
            </w:pPr>
            <w:r w:rsidRPr="00A67277">
              <w:rPr>
                <w:rFonts w:cs="Arial"/>
              </w:rPr>
              <w:t>Ahli Independen harus menetapkan untuk tujuan bagian 2.3(b) apakah Fasilitas mampu memenuhi Indikator Kinerja Utama sebelum Tanggal Pengakhiran. Jika Fasilitas tidak mampu memenuhi Indikator Kinerja Utama pada Tanggal Pengakhiran atau Ahli Independen tidak mampu melakukan ujian karena Peristiwa Keadaan Kahar, Ahli Independen harus menetapkan waktu untuk BUP untuk membuat Fasilitas memenuhi Indikator Kinerja Utama. Jika jangka waktu penetapan melebihi seratus delapan puluh (180) Hari, BUP dan PJPK, dalam konsultasinya dengan Ahli Independen, harus sepakat pada Tanggal Perhitungan, alternatif indikator kinerja yang disyaratkan pada Fasilitas pada Tanggal Perhitungan dan/atau suatu penyesuaian terhadap perhitungan Biaya Pengakhiran untuk memperhitungkan kegagalan untuk mengoperasikan untuk memenuhi Indikator Kinerja Utama.</w:t>
            </w:r>
          </w:p>
        </w:tc>
      </w:tr>
      <w:tr w:rsidR="00923319" w:rsidRPr="00A67277" w14:paraId="798289CD" w14:textId="77777777" w:rsidTr="00923319">
        <w:tc>
          <w:tcPr>
            <w:tcW w:w="4860" w:type="dxa"/>
          </w:tcPr>
          <w:p w14:paraId="4DC4883D" w14:textId="77777777" w:rsidR="00923319" w:rsidRPr="00A67277" w:rsidRDefault="00923319" w:rsidP="00923319">
            <w:pPr>
              <w:pStyle w:val="SchHeading1"/>
              <w:numPr>
                <w:ilvl w:val="2"/>
                <w:numId w:val="1"/>
              </w:numPr>
              <w:spacing w:before="120" w:after="120"/>
              <w:rPr>
                <w:rFonts w:cs="Arial"/>
                <w:lang w:val="en-US"/>
              </w:rPr>
            </w:pPr>
            <w:bookmarkStart w:id="393" w:name="_Toc501179018"/>
            <w:r w:rsidRPr="00A67277">
              <w:rPr>
                <w:rFonts w:cs="Arial"/>
                <w:lang w:val="en-US"/>
              </w:rPr>
              <w:t>Payment of Termination Cost</w:t>
            </w:r>
            <w:bookmarkEnd w:id="393"/>
          </w:p>
        </w:tc>
        <w:tc>
          <w:tcPr>
            <w:tcW w:w="270" w:type="dxa"/>
          </w:tcPr>
          <w:p w14:paraId="07AB6614" w14:textId="77777777" w:rsidR="00923319" w:rsidRPr="00A67277" w:rsidRDefault="00923319" w:rsidP="00923319">
            <w:pPr>
              <w:spacing w:before="120" w:after="120"/>
              <w:rPr>
                <w:rFonts w:ascii="Arial" w:hAnsi="Arial" w:cs="Arial"/>
                <w:sz w:val="21"/>
                <w:szCs w:val="21"/>
              </w:rPr>
            </w:pPr>
          </w:p>
        </w:tc>
        <w:tc>
          <w:tcPr>
            <w:tcW w:w="4567" w:type="dxa"/>
          </w:tcPr>
          <w:p w14:paraId="5577BF8B" w14:textId="77777777" w:rsidR="00923319" w:rsidRPr="00A67277" w:rsidRDefault="00923319" w:rsidP="00923319">
            <w:pPr>
              <w:pStyle w:val="ListParagraph"/>
              <w:numPr>
                <w:ilvl w:val="0"/>
                <w:numId w:val="583"/>
              </w:numPr>
              <w:spacing w:before="120" w:after="120" w:line="240" w:lineRule="auto"/>
              <w:rPr>
                <w:rFonts w:cs="Arial"/>
              </w:rPr>
            </w:pPr>
            <w:r w:rsidRPr="00A67277">
              <w:rPr>
                <w:rFonts w:cs="Arial"/>
                <w:b/>
              </w:rPr>
              <w:t>Biaya Pembayaran Pengakhiran</w:t>
            </w:r>
          </w:p>
          <w:p w14:paraId="6DFC0CC3" w14:textId="77777777" w:rsidR="00923319" w:rsidRPr="00A67277" w:rsidRDefault="00923319" w:rsidP="00923319">
            <w:pPr>
              <w:spacing w:before="120" w:after="120"/>
              <w:rPr>
                <w:rFonts w:ascii="Arial" w:hAnsi="Arial" w:cs="Arial"/>
                <w:sz w:val="21"/>
                <w:szCs w:val="21"/>
              </w:rPr>
            </w:pPr>
          </w:p>
        </w:tc>
      </w:tr>
      <w:tr w:rsidR="00923319" w:rsidRPr="00A67277" w14:paraId="1C1BF26D" w14:textId="77777777" w:rsidTr="00923319">
        <w:tc>
          <w:tcPr>
            <w:tcW w:w="4860" w:type="dxa"/>
          </w:tcPr>
          <w:p w14:paraId="1FED6C25" w14:textId="77777777" w:rsidR="00923319" w:rsidRPr="00A67277" w:rsidRDefault="00923319" w:rsidP="00923319">
            <w:pPr>
              <w:pStyle w:val="SchNumber3"/>
              <w:tabs>
                <w:tab w:val="clear" w:pos="1418"/>
                <w:tab w:val="num" w:pos="2130"/>
              </w:tabs>
              <w:spacing w:before="120" w:after="120"/>
              <w:ind w:left="1230" w:hanging="540"/>
              <w:rPr>
                <w:rFonts w:cs="Arial"/>
              </w:rPr>
            </w:pPr>
            <w:bookmarkStart w:id="394" w:name="_Toc501179019"/>
            <w:r w:rsidRPr="00A67277">
              <w:rPr>
                <w:rFonts w:cs="Arial"/>
              </w:rPr>
              <w:t>All amounts due under this Appendix shall be in Rupiah</w:t>
            </w:r>
            <w:bookmarkEnd w:id="394"/>
            <w:r w:rsidRPr="00A67277">
              <w:rPr>
                <w:rFonts w:cs="Arial"/>
              </w:rPr>
              <w:t xml:space="preserve">; </w:t>
            </w:r>
          </w:p>
        </w:tc>
        <w:tc>
          <w:tcPr>
            <w:tcW w:w="270" w:type="dxa"/>
          </w:tcPr>
          <w:p w14:paraId="725A85DB" w14:textId="77777777" w:rsidR="00923319" w:rsidRPr="00A67277" w:rsidRDefault="00923319" w:rsidP="00923319">
            <w:pPr>
              <w:spacing w:before="120" w:after="120"/>
              <w:rPr>
                <w:rFonts w:ascii="Arial" w:hAnsi="Arial" w:cs="Arial"/>
                <w:sz w:val="21"/>
                <w:szCs w:val="21"/>
              </w:rPr>
            </w:pPr>
          </w:p>
        </w:tc>
        <w:tc>
          <w:tcPr>
            <w:tcW w:w="4567" w:type="dxa"/>
          </w:tcPr>
          <w:p w14:paraId="15CE082A" w14:textId="77777777"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Seluruh jumlah yang terhutang berdasarkan Lampiran ini harus dibayarkan dalam Rupiah;</w:t>
            </w:r>
          </w:p>
        </w:tc>
      </w:tr>
      <w:tr w:rsidR="00923319" w:rsidRPr="00A67277" w14:paraId="2C776F9E" w14:textId="77777777" w:rsidTr="00923319">
        <w:tc>
          <w:tcPr>
            <w:tcW w:w="4860" w:type="dxa"/>
          </w:tcPr>
          <w:p w14:paraId="772FF7CA" w14:textId="39ADDCA2" w:rsidR="00923319" w:rsidRPr="00A67277" w:rsidRDefault="00923319" w:rsidP="00923319">
            <w:pPr>
              <w:pStyle w:val="SchNumber3"/>
              <w:spacing w:before="120" w:after="120"/>
              <w:rPr>
                <w:rFonts w:cs="Arial"/>
              </w:rPr>
            </w:pPr>
            <w:bookmarkStart w:id="395" w:name="_Toc501179022"/>
            <w:r w:rsidRPr="00A67277">
              <w:rPr>
                <w:rFonts w:cs="Arial"/>
              </w:rPr>
              <w:t xml:space="preserve">All of the amounts, including the interest on that amount payable at the Late Payment Interest Rate from the Calculation Date to the date of payment shall be paid at the latest </w:t>
            </w:r>
            <w:r w:rsidR="00DC2236" w:rsidRPr="00A67277">
              <w:rPr>
                <w:rFonts w:cs="Arial"/>
              </w:rPr>
              <w:t>ninety</w:t>
            </w:r>
            <w:r w:rsidRPr="00A67277">
              <w:rPr>
                <w:rFonts w:cs="Arial"/>
              </w:rPr>
              <w:t xml:space="preserve"> (</w:t>
            </w:r>
            <w:r w:rsidR="00DC2236" w:rsidRPr="00A67277">
              <w:rPr>
                <w:rFonts w:cs="Arial"/>
              </w:rPr>
              <w:t>90</w:t>
            </w:r>
            <w:r w:rsidRPr="00A67277">
              <w:rPr>
                <w:rFonts w:cs="Arial"/>
              </w:rPr>
              <w:t>) Days from the Termination Date, provided that all rights, title of ownership and interests of IBE on the Project shall be transferred on the date as determined in section 4 below.</w:t>
            </w:r>
            <w:bookmarkEnd w:id="395"/>
          </w:p>
        </w:tc>
        <w:tc>
          <w:tcPr>
            <w:tcW w:w="270" w:type="dxa"/>
          </w:tcPr>
          <w:p w14:paraId="0642096E" w14:textId="77777777" w:rsidR="00923319" w:rsidRPr="00A67277" w:rsidRDefault="00923319" w:rsidP="00923319">
            <w:pPr>
              <w:spacing w:before="120" w:after="120"/>
              <w:rPr>
                <w:rFonts w:ascii="Arial" w:hAnsi="Arial" w:cs="Arial"/>
                <w:sz w:val="21"/>
                <w:szCs w:val="21"/>
              </w:rPr>
            </w:pPr>
          </w:p>
        </w:tc>
        <w:tc>
          <w:tcPr>
            <w:tcW w:w="4567" w:type="dxa"/>
          </w:tcPr>
          <w:p w14:paraId="2E707CFB" w14:textId="445FE7D1"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 xml:space="preserve">Seluruh jumlah, termasuk bunga pada jumlah yang dibayarkan pada Suku Bunga Keterlambayatan Pembayaran dari Tanggal Perhitungan ke tanggal pembayaran harus dibayarkan paling lambat </w:t>
            </w:r>
            <w:r w:rsidR="00DC2236" w:rsidRPr="00A67277">
              <w:rPr>
                <w:rFonts w:cs="Arial"/>
              </w:rPr>
              <w:t>sembilan</w:t>
            </w:r>
            <w:r w:rsidRPr="00A67277">
              <w:rPr>
                <w:rFonts w:cs="Arial"/>
              </w:rPr>
              <w:t xml:space="preserve"> puluh (</w:t>
            </w:r>
            <w:r w:rsidR="00DC2236" w:rsidRPr="00A67277">
              <w:rPr>
                <w:rFonts w:cs="Arial"/>
              </w:rPr>
              <w:t>90</w:t>
            </w:r>
            <w:r w:rsidRPr="00A67277">
              <w:rPr>
                <w:rFonts w:cs="Arial"/>
              </w:rPr>
              <w:t>) Hari sejak Tanggal Perngakhiran, dengan ketentuan bahwa seluruh hak, kepemilikn dan kepentingan BUP pada Proyek harus dialihkan pada tanggal sebagaimana ditetapkan pada bagian 4 di bawah ini.</w:t>
            </w:r>
          </w:p>
        </w:tc>
      </w:tr>
      <w:tr w:rsidR="00923319" w:rsidRPr="00A67277" w14:paraId="42A98BC5" w14:textId="77777777" w:rsidTr="00923319">
        <w:tc>
          <w:tcPr>
            <w:tcW w:w="4860" w:type="dxa"/>
          </w:tcPr>
          <w:p w14:paraId="7D01D058" w14:textId="77777777" w:rsidR="00923319" w:rsidRPr="00A67277" w:rsidRDefault="00923319" w:rsidP="00923319">
            <w:pPr>
              <w:pStyle w:val="SchNumber3"/>
              <w:spacing w:before="120" w:after="120"/>
              <w:rPr>
                <w:rFonts w:cs="Arial"/>
              </w:rPr>
            </w:pPr>
            <w:bookmarkStart w:id="396" w:name="_Toc501179023"/>
            <w:r w:rsidRPr="00A67277">
              <w:rPr>
                <w:rFonts w:cs="Arial"/>
              </w:rPr>
              <w:t>In the calculation of the total amount due under this Appendix, there shall be no double counting of the components in obtaining the result of that amount.</w:t>
            </w:r>
            <w:bookmarkEnd w:id="396"/>
            <w:r w:rsidRPr="00A67277">
              <w:rPr>
                <w:rFonts w:cs="Arial"/>
              </w:rPr>
              <w:tab/>
            </w:r>
          </w:p>
        </w:tc>
        <w:tc>
          <w:tcPr>
            <w:tcW w:w="270" w:type="dxa"/>
          </w:tcPr>
          <w:p w14:paraId="49A2B8E7" w14:textId="77777777" w:rsidR="00923319" w:rsidRPr="00A67277" w:rsidRDefault="00923319" w:rsidP="00923319">
            <w:pPr>
              <w:spacing w:before="120" w:after="120"/>
              <w:rPr>
                <w:rFonts w:ascii="Arial" w:hAnsi="Arial" w:cs="Arial"/>
                <w:sz w:val="21"/>
                <w:szCs w:val="21"/>
              </w:rPr>
            </w:pPr>
          </w:p>
        </w:tc>
        <w:tc>
          <w:tcPr>
            <w:tcW w:w="4567" w:type="dxa"/>
          </w:tcPr>
          <w:p w14:paraId="029C565B" w14:textId="77777777"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Dalam perhitungan jumlah total terhutang berdasarkan Lampiran ini, tidak boleh terdapat perhitungan ganda pada komponen dalam mencapai hasil jumlah tersebut.</w:t>
            </w:r>
          </w:p>
        </w:tc>
      </w:tr>
      <w:tr w:rsidR="00923319" w:rsidRPr="00A67277" w14:paraId="2C1B1FC1" w14:textId="77777777" w:rsidTr="00923319">
        <w:tc>
          <w:tcPr>
            <w:tcW w:w="4860" w:type="dxa"/>
          </w:tcPr>
          <w:p w14:paraId="7D63CC92" w14:textId="77777777" w:rsidR="00923319" w:rsidRPr="00A67277" w:rsidRDefault="00923319" w:rsidP="00923319">
            <w:pPr>
              <w:pStyle w:val="SchNumber3"/>
              <w:spacing w:before="120" w:after="120"/>
              <w:rPr>
                <w:rFonts w:cs="Arial"/>
              </w:rPr>
            </w:pPr>
            <w:bookmarkStart w:id="397" w:name="_Toc501179024"/>
            <w:r w:rsidRPr="00A67277">
              <w:rPr>
                <w:rFonts w:cs="Arial"/>
              </w:rPr>
              <w:t>If the calculation of the Termination Cost that must be paid by the GCA to IBE based on this Appendix is a negative result because of the inclusion of material Liability Component (L), the net amount of the calculation shall be paid by the IBE to the GCA and such payments will relieve the IBE's obligations related to the compensation owed to the GCA under the Agreement.</w:t>
            </w:r>
            <w:bookmarkEnd w:id="397"/>
          </w:p>
        </w:tc>
        <w:tc>
          <w:tcPr>
            <w:tcW w:w="270" w:type="dxa"/>
          </w:tcPr>
          <w:p w14:paraId="78AC033C" w14:textId="77777777" w:rsidR="00923319" w:rsidRPr="00A67277" w:rsidRDefault="00923319" w:rsidP="00923319">
            <w:pPr>
              <w:spacing w:before="120" w:after="120"/>
              <w:rPr>
                <w:rFonts w:ascii="Arial" w:hAnsi="Arial" w:cs="Arial"/>
                <w:sz w:val="21"/>
                <w:szCs w:val="21"/>
              </w:rPr>
            </w:pPr>
          </w:p>
        </w:tc>
        <w:tc>
          <w:tcPr>
            <w:tcW w:w="4567" w:type="dxa"/>
          </w:tcPr>
          <w:p w14:paraId="7A04FAEC" w14:textId="77777777"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Jika perhitungan Biaya Pengakhiran yang harus dibayar oleh PJPK kepada BUP berdasarkan Lampiran ini adalah dampak negatif karena inklusi Komponen Hutang material (L), total bersih jumlah perhitungan harus dibayar oleh BUP kepada PJPK dan pembayaran tersebut akan mengurangi kewajiban BUP sehubungan dengan kompensasi yang terhutang pada PJPK berdasarkan Perjanjian.</w:t>
            </w:r>
          </w:p>
        </w:tc>
      </w:tr>
      <w:tr w:rsidR="00923319" w:rsidRPr="00A67277" w14:paraId="74669A35" w14:textId="77777777" w:rsidTr="00923319">
        <w:tc>
          <w:tcPr>
            <w:tcW w:w="4860" w:type="dxa"/>
          </w:tcPr>
          <w:p w14:paraId="279DF7DF" w14:textId="77777777" w:rsidR="00923319" w:rsidRPr="00A67277" w:rsidRDefault="00923319" w:rsidP="00923319">
            <w:pPr>
              <w:pStyle w:val="SchNumber3"/>
              <w:spacing w:before="120" w:after="120"/>
              <w:rPr>
                <w:rFonts w:cs="Arial"/>
              </w:rPr>
            </w:pPr>
            <w:bookmarkStart w:id="398" w:name="_Toc501179025"/>
            <w:r w:rsidRPr="00A67277">
              <w:rPr>
                <w:rFonts w:cs="Arial"/>
              </w:rPr>
              <w:t>IBE and GCA agree to implement the transfer of title, ownership and interest of IBE to the Project and payment of Termination Cost in certain manner to minimize the Cost Component (C), including, as appropriate, by transferring the IBE’s Equity under the Financing Agreements.</w:t>
            </w:r>
            <w:bookmarkEnd w:id="398"/>
          </w:p>
        </w:tc>
        <w:tc>
          <w:tcPr>
            <w:tcW w:w="270" w:type="dxa"/>
          </w:tcPr>
          <w:p w14:paraId="723AE7CC" w14:textId="77777777" w:rsidR="00923319" w:rsidRPr="00A67277" w:rsidRDefault="00923319" w:rsidP="00923319">
            <w:pPr>
              <w:spacing w:before="120" w:after="120"/>
              <w:rPr>
                <w:rFonts w:ascii="Arial" w:hAnsi="Arial" w:cs="Arial"/>
                <w:sz w:val="21"/>
                <w:szCs w:val="21"/>
              </w:rPr>
            </w:pPr>
          </w:p>
        </w:tc>
        <w:tc>
          <w:tcPr>
            <w:tcW w:w="4567" w:type="dxa"/>
          </w:tcPr>
          <w:p w14:paraId="58DB6961" w14:textId="77777777"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 xml:space="preserve">BUP dan PJPK sepakat untuk melaksanakan penyerahan hak, kepemilikan dan kepentingan BUP pada Proyek dan pembayaran Biaya Pengakhiran dalam hal tertentu untuk meminimalisasi Komponen Biaya (C), termasuk, sewajarnya, dengan mengalihkan Ekuitas BUP berdasarkan Perjanjian Pembiayaan. </w:t>
            </w:r>
          </w:p>
        </w:tc>
      </w:tr>
      <w:tr w:rsidR="00923319" w:rsidRPr="00A67277" w14:paraId="19550A53" w14:textId="77777777" w:rsidTr="00923319">
        <w:tc>
          <w:tcPr>
            <w:tcW w:w="4860" w:type="dxa"/>
          </w:tcPr>
          <w:p w14:paraId="1F36D9A5" w14:textId="77777777" w:rsidR="00923319" w:rsidRPr="00A67277" w:rsidRDefault="00923319" w:rsidP="00923319">
            <w:pPr>
              <w:pStyle w:val="SchNumber3"/>
              <w:spacing w:before="120" w:after="120"/>
              <w:rPr>
                <w:rFonts w:cs="Arial"/>
              </w:rPr>
            </w:pPr>
            <w:bookmarkStart w:id="399" w:name="_Toc501179026"/>
            <w:r w:rsidRPr="00A67277">
              <w:rPr>
                <w:rFonts w:cs="Arial"/>
              </w:rPr>
              <w:t>Upon receipt of the payment of the Termination Cost, the Sponsors and IBE shall jointly and individually release any other rights or litigation which they have against the GCA under the Agreement.</w:t>
            </w:r>
            <w:bookmarkEnd w:id="399"/>
            <w:r w:rsidRPr="00A67277">
              <w:rPr>
                <w:rFonts w:cs="Arial"/>
              </w:rPr>
              <w:t xml:space="preserve"> </w:t>
            </w:r>
          </w:p>
        </w:tc>
        <w:tc>
          <w:tcPr>
            <w:tcW w:w="270" w:type="dxa"/>
          </w:tcPr>
          <w:p w14:paraId="1648421F" w14:textId="77777777" w:rsidR="00923319" w:rsidRPr="00A67277" w:rsidRDefault="00923319" w:rsidP="00923319">
            <w:pPr>
              <w:spacing w:before="120" w:after="120"/>
              <w:rPr>
                <w:rFonts w:ascii="Arial" w:hAnsi="Arial" w:cs="Arial"/>
                <w:sz w:val="21"/>
                <w:szCs w:val="21"/>
              </w:rPr>
            </w:pPr>
          </w:p>
        </w:tc>
        <w:tc>
          <w:tcPr>
            <w:tcW w:w="4567" w:type="dxa"/>
          </w:tcPr>
          <w:p w14:paraId="6D1D550F" w14:textId="77777777" w:rsidR="00923319" w:rsidRPr="00A67277" w:rsidRDefault="00923319" w:rsidP="00923319">
            <w:pPr>
              <w:pStyle w:val="ListParagraph"/>
              <w:numPr>
                <w:ilvl w:val="0"/>
                <w:numId w:val="606"/>
              </w:numPr>
              <w:spacing w:before="120" w:after="120" w:line="240" w:lineRule="auto"/>
              <w:ind w:left="1229" w:hanging="450"/>
              <w:rPr>
                <w:rFonts w:cs="Arial"/>
              </w:rPr>
            </w:pPr>
            <w:r w:rsidRPr="00A67277">
              <w:rPr>
                <w:rFonts w:cs="Arial"/>
              </w:rPr>
              <w:t>Atas penerimaan pembayaran Biaya Pengakhiran, Sponsor dan BUP harus bersama-sama dan sendiri-sendiri mengeluarkan setiap hak atau peradilan lain yang mereka miliki terhadap PJPK berdasarkan Perjanjian.</w:t>
            </w:r>
          </w:p>
        </w:tc>
      </w:tr>
      <w:tr w:rsidR="00923319" w:rsidRPr="00A67277" w14:paraId="6B68C447" w14:textId="77777777" w:rsidTr="00923319">
        <w:tc>
          <w:tcPr>
            <w:tcW w:w="4860" w:type="dxa"/>
          </w:tcPr>
          <w:p w14:paraId="6E79DEF4" w14:textId="77777777" w:rsidR="00923319" w:rsidRPr="00A67277" w:rsidRDefault="00923319" w:rsidP="00923319">
            <w:pPr>
              <w:pStyle w:val="SchHeading1"/>
              <w:numPr>
                <w:ilvl w:val="2"/>
                <w:numId w:val="1"/>
              </w:numPr>
              <w:spacing w:before="120" w:after="120"/>
              <w:rPr>
                <w:rFonts w:cs="Arial"/>
              </w:rPr>
            </w:pPr>
            <w:r w:rsidRPr="00A67277">
              <w:rPr>
                <w:rFonts w:cs="Arial"/>
              </w:rPr>
              <w:tab/>
            </w:r>
            <w:bookmarkStart w:id="400" w:name="_Toc501179027"/>
            <w:r w:rsidRPr="00A67277">
              <w:rPr>
                <w:rFonts w:cs="Arial"/>
              </w:rPr>
              <w:t>Transfer Date</w:t>
            </w:r>
            <w:bookmarkEnd w:id="400"/>
          </w:p>
        </w:tc>
        <w:tc>
          <w:tcPr>
            <w:tcW w:w="270" w:type="dxa"/>
          </w:tcPr>
          <w:p w14:paraId="546B1772" w14:textId="77777777" w:rsidR="00923319" w:rsidRPr="00A67277" w:rsidRDefault="00923319" w:rsidP="00923319">
            <w:pPr>
              <w:spacing w:before="120" w:after="120"/>
              <w:rPr>
                <w:rFonts w:ascii="Arial" w:hAnsi="Arial" w:cs="Arial"/>
                <w:sz w:val="21"/>
                <w:szCs w:val="21"/>
              </w:rPr>
            </w:pPr>
          </w:p>
        </w:tc>
        <w:tc>
          <w:tcPr>
            <w:tcW w:w="4567" w:type="dxa"/>
          </w:tcPr>
          <w:p w14:paraId="2B6F6454" w14:textId="77777777" w:rsidR="00923319" w:rsidRPr="00A67277" w:rsidRDefault="00923319" w:rsidP="00923319">
            <w:pPr>
              <w:pStyle w:val="ListParagraph"/>
              <w:numPr>
                <w:ilvl w:val="0"/>
                <w:numId w:val="583"/>
              </w:numPr>
              <w:spacing w:before="120" w:after="120" w:line="240" w:lineRule="auto"/>
              <w:rPr>
                <w:rFonts w:cs="Arial"/>
              </w:rPr>
            </w:pPr>
            <w:r w:rsidRPr="00A67277">
              <w:rPr>
                <w:rFonts w:cs="Arial"/>
                <w:b/>
              </w:rPr>
              <w:t>Tanggal Penyerahan</w:t>
            </w:r>
            <w:r w:rsidRPr="00A67277">
              <w:rPr>
                <w:rFonts w:cs="Arial"/>
              </w:rPr>
              <w:t xml:space="preserve"> </w:t>
            </w:r>
          </w:p>
        </w:tc>
      </w:tr>
      <w:tr w:rsidR="00923319" w:rsidRPr="00A67277" w14:paraId="2062CC84" w14:textId="77777777" w:rsidTr="00923319">
        <w:tc>
          <w:tcPr>
            <w:tcW w:w="4860" w:type="dxa"/>
          </w:tcPr>
          <w:p w14:paraId="2D3EC8DC" w14:textId="77777777" w:rsidR="00923319" w:rsidRPr="00A67277" w:rsidRDefault="00923319" w:rsidP="00923319">
            <w:pPr>
              <w:pStyle w:val="Body2"/>
              <w:spacing w:before="120" w:after="120"/>
              <w:rPr>
                <w:rFonts w:cs="Arial"/>
              </w:rPr>
            </w:pPr>
            <w:r w:rsidRPr="00A67277">
              <w:rPr>
                <w:rFonts w:cs="Arial"/>
              </w:rPr>
              <w:t>Immediately from:</w:t>
            </w:r>
          </w:p>
        </w:tc>
        <w:tc>
          <w:tcPr>
            <w:tcW w:w="270" w:type="dxa"/>
          </w:tcPr>
          <w:p w14:paraId="5CAC7D82" w14:textId="77777777" w:rsidR="00923319" w:rsidRPr="00A67277" w:rsidRDefault="00923319" w:rsidP="00923319">
            <w:pPr>
              <w:spacing w:before="120" w:after="120"/>
              <w:rPr>
                <w:rFonts w:ascii="Arial" w:hAnsi="Arial" w:cs="Arial"/>
                <w:sz w:val="21"/>
                <w:szCs w:val="21"/>
              </w:rPr>
            </w:pPr>
          </w:p>
        </w:tc>
        <w:tc>
          <w:tcPr>
            <w:tcW w:w="4567" w:type="dxa"/>
          </w:tcPr>
          <w:p w14:paraId="6057B90B" w14:textId="2E4D1292" w:rsidR="00923319" w:rsidRPr="00A67277" w:rsidRDefault="00923319" w:rsidP="00923319">
            <w:pPr>
              <w:spacing w:before="120" w:after="120"/>
              <w:ind w:left="779"/>
              <w:jc w:val="both"/>
              <w:rPr>
                <w:rFonts w:ascii="Arial" w:hAnsi="Arial" w:cs="Arial"/>
                <w:sz w:val="21"/>
                <w:szCs w:val="21"/>
              </w:rPr>
            </w:pPr>
            <w:r w:rsidRPr="00A67277">
              <w:rPr>
                <w:rFonts w:ascii="Arial" w:hAnsi="Arial" w:cs="Arial"/>
                <w:sz w:val="21"/>
                <w:szCs w:val="21"/>
              </w:rPr>
              <w:t>Segera setelah:</w:t>
            </w:r>
          </w:p>
        </w:tc>
      </w:tr>
      <w:tr w:rsidR="00923319" w:rsidRPr="00A67277" w14:paraId="0BF5E404" w14:textId="77777777" w:rsidTr="00923319">
        <w:tc>
          <w:tcPr>
            <w:tcW w:w="4860" w:type="dxa"/>
          </w:tcPr>
          <w:p w14:paraId="094C9E8D" w14:textId="77777777" w:rsidR="00923319" w:rsidRPr="00A67277" w:rsidRDefault="00923319" w:rsidP="00923319">
            <w:pPr>
              <w:pStyle w:val="SchNumber3"/>
              <w:spacing w:before="120" w:after="120"/>
              <w:rPr>
                <w:rFonts w:cs="Arial"/>
              </w:rPr>
            </w:pPr>
            <w:bookmarkStart w:id="401" w:name="_Toc501179028"/>
            <w:r w:rsidRPr="00A67277">
              <w:rPr>
                <w:rFonts w:cs="Arial"/>
              </w:rPr>
              <w:t xml:space="preserve">the Termination Date, </w:t>
            </w:r>
            <w:bookmarkEnd w:id="401"/>
            <w:r w:rsidRPr="00A67277">
              <w:rPr>
                <w:rFonts w:cs="Arial"/>
              </w:rPr>
              <w:t>and</w:t>
            </w:r>
          </w:p>
        </w:tc>
        <w:tc>
          <w:tcPr>
            <w:tcW w:w="270" w:type="dxa"/>
          </w:tcPr>
          <w:p w14:paraId="5B6B3C58" w14:textId="77777777" w:rsidR="00923319" w:rsidRPr="00A67277" w:rsidRDefault="00923319" w:rsidP="00923319">
            <w:pPr>
              <w:spacing w:before="120" w:after="120"/>
              <w:rPr>
                <w:rFonts w:ascii="Arial" w:hAnsi="Arial" w:cs="Arial"/>
                <w:sz w:val="21"/>
                <w:szCs w:val="21"/>
              </w:rPr>
            </w:pPr>
          </w:p>
        </w:tc>
        <w:tc>
          <w:tcPr>
            <w:tcW w:w="4567" w:type="dxa"/>
          </w:tcPr>
          <w:p w14:paraId="3BF6F3DB" w14:textId="77777777" w:rsidR="00923319" w:rsidRPr="00A67277" w:rsidRDefault="00923319" w:rsidP="00923319">
            <w:pPr>
              <w:pStyle w:val="ListParagraph"/>
              <w:numPr>
                <w:ilvl w:val="0"/>
                <w:numId w:val="607"/>
              </w:numPr>
              <w:spacing w:before="120" w:after="120" w:line="240" w:lineRule="auto"/>
              <w:ind w:left="1319" w:hanging="540"/>
              <w:rPr>
                <w:rFonts w:cs="Arial"/>
              </w:rPr>
            </w:pPr>
            <w:r w:rsidRPr="00A67277">
              <w:rPr>
                <w:rFonts w:cs="Arial"/>
              </w:rPr>
              <w:t>Tanggal Pengakhiran, dan</w:t>
            </w:r>
          </w:p>
        </w:tc>
      </w:tr>
      <w:tr w:rsidR="00923319" w:rsidRPr="00A67277" w14:paraId="6FC79711" w14:textId="77777777" w:rsidTr="00923319">
        <w:tc>
          <w:tcPr>
            <w:tcW w:w="4860" w:type="dxa"/>
          </w:tcPr>
          <w:p w14:paraId="73391D8E" w14:textId="77777777" w:rsidR="00923319" w:rsidRPr="00A67277" w:rsidRDefault="00923319" w:rsidP="00923319">
            <w:pPr>
              <w:pStyle w:val="SchNumber3"/>
              <w:spacing w:before="120" w:after="120"/>
              <w:rPr>
                <w:rFonts w:cs="Arial"/>
              </w:rPr>
            </w:pPr>
            <w:bookmarkStart w:id="402" w:name="_Toc501179029"/>
            <w:r w:rsidRPr="00A67277">
              <w:rPr>
                <w:rFonts w:cs="Arial"/>
              </w:rPr>
              <w:t>the payment by the GCA for the Termination Cost (If any) determined pursuant to section 2 above,</w:t>
            </w:r>
            <w:bookmarkEnd w:id="402"/>
            <w:r w:rsidRPr="00A67277">
              <w:rPr>
                <w:rFonts w:cs="Arial"/>
              </w:rPr>
              <w:t xml:space="preserve"> </w:t>
            </w:r>
          </w:p>
        </w:tc>
        <w:tc>
          <w:tcPr>
            <w:tcW w:w="270" w:type="dxa"/>
          </w:tcPr>
          <w:p w14:paraId="712FC1F3" w14:textId="77777777" w:rsidR="00923319" w:rsidRPr="00A67277" w:rsidRDefault="00923319" w:rsidP="00923319">
            <w:pPr>
              <w:spacing w:before="120" w:after="120"/>
              <w:rPr>
                <w:rFonts w:ascii="Arial" w:hAnsi="Arial" w:cs="Arial"/>
                <w:sz w:val="21"/>
                <w:szCs w:val="21"/>
              </w:rPr>
            </w:pPr>
          </w:p>
        </w:tc>
        <w:tc>
          <w:tcPr>
            <w:tcW w:w="4567" w:type="dxa"/>
          </w:tcPr>
          <w:p w14:paraId="503080BC" w14:textId="77777777" w:rsidR="00923319" w:rsidRPr="00A67277" w:rsidRDefault="00923319" w:rsidP="00923319">
            <w:pPr>
              <w:pStyle w:val="ListParagraph"/>
              <w:numPr>
                <w:ilvl w:val="0"/>
                <w:numId w:val="607"/>
              </w:numPr>
              <w:spacing w:before="120" w:after="120" w:line="240" w:lineRule="auto"/>
              <w:ind w:left="1319" w:hanging="540"/>
              <w:rPr>
                <w:rFonts w:cs="Arial"/>
              </w:rPr>
            </w:pPr>
            <w:r w:rsidRPr="00A67277">
              <w:rPr>
                <w:rFonts w:cs="Arial"/>
              </w:rPr>
              <w:t xml:space="preserve">pembayaran oleh PJPK untuk Biaya Pengakhiran (jika ada) ditetapkan sesuai dengan bagian 2 di atas, </w:t>
            </w:r>
          </w:p>
        </w:tc>
      </w:tr>
      <w:tr w:rsidR="00923319" w:rsidRPr="00A67277" w14:paraId="210F07AB" w14:textId="77777777" w:rsidTr="00923319">
        <w:tc>
          <w:tcPr>
            <w:tcW w:w="4860" w:type="dxa"/>
          </w:tcPr>
          <w:p w14:paraId="56FB6128" w14:textId="77777777" w:rsidR="00923319" w:rsidRPr="00A67277" w:rsidRDefault="00923319" w:rsidP="00923319">
            <w:pPr>
              <w:pStyle w:val="SchNumber3"/>
              <w:numPr>
                <w:ilvl w:val="0"/>
                <w:numId w:val="0"/>
              </w:numPr>
              <w:spacing w:before="120" w:after="120"/>
              <w:ind w:left="709"/>
              <w:rPr>
                <w:rFonts w:cs="Arial"/>
              </w:rPr>
            </w:pPr>
            <w:bookmarkStart w:id="403" w:name="_Toc501179030"/>
            <w:r w:rsidRPr="00A67277">
              <w:rPr>
                <w:rFonts w:cs="Arial"/>
              </w:rPr>
              <w:t>the IBE shall transfer to the GCA, free and clean of any Encumbrances, all rights, titles of ownership and interest of IBE to the Project as provided for in Clause 24.6 (</w:t>
            </w:r>
            <w:r w:rsidRPr="00A67277">
              <w:rPr>
                <w:rFonts w:cs="Arial"/>
                <w:i/>
              </w:rPr>
              <w:t>Transfer Date</w:t>
            </w:r>
            <w:r w:rsidRPr="00A67277">
              <w:rPr>
                <w:rFonts w:cs="Arial"/>
              </w:rPr>
              <w:t>).</w:t>
            </w:r>
            <w:bookmarkEnd w:id="403"/>
          </w:p>
        </w:tc>
        <w:tc>
          <w:tcPr>
            <w:tcW w:w="270" w:type="dxa"/>
          </w:tcPr>
          <w:p w14:paraId="04CB30A6" w14:textId="77777777" w:rsidR="00923319" w:rsidRPr="00A67277" w:rsidRDefault="00923319" w:rsidP="00923319">
            <w:pPr>
              <w:spacing w:before="120" w:after="120"/>
              <w:rPr>
                <w:rFonts w:ascii="Arial" w:hAnsi="Arial" w:cs="Arial"/>
                <w:sz w:val="21"/>
                <w:szCs w:val="21"/>
              </w:rPr>
            </w:pPr>
          </w:p>
        </w:tc>
        <w:tc>
          <w:tcPr>
            <w:tcW w:w="4567" w:type="dxa"/>
          </w:tcPr>
          <w:p w14:paraId="0216001D" w14:textId="77777777" w:rsidR="00923319" w:rsidRPr="00A67277" w:rsidRDefault="00923319" w:rsidP="00923319">
            <w:pPr>
              <w:spacing w:before="120" w:after="120"/>
              <w:ind w:left="779"/>
              <w:jc w:val="both"/>
              <w:rPr>
                <w:rFonts w:ascii="Arial" w:hAnsi="Arial" w:cs="Arial"/>
                <w:sz w:val="21"/>
                <w:szCs w:val="21"/>
              </w:rPr>
            </w:pPr>
            <w:r w:rsidRPr="00A67277">
              <w:rPr>
                <w:rFonts w:ascii="Arial" w:hAnsi="Arial" w:cs="Arial"/>
                <w:sz w:val="21"/>
                <w:szCs w:val="21"/>
              </w:rPr>
              <w:t xml:space="preserve">BUP harus menyerahkan kepada PJPK, bebas dan jelas terkait setiap Hak-Hak Jaminan, seluruh hak, kepemilikan dan kepentingan BUP pada Proyek sebagaimana ditentukan dalam Pasal 24.6 (Tanggal Penyerahan). </w:t>
            </w:r>
          </w:p>
        </w:tc>
      </w:tr>
    </w:tbl>
    <w:p w14:paraId="58A5E844" w14:textId="77777777" w:rsidR="00923319" w:rsidRPr="00A67277" w:rsidRDefault="00923319" w:rsidP="00923319">
      <w:pPr>
        <w:rPr>
          <w:rFonts w:ascii="Arial" w:hAnsi="Arial" w:cs="Arial"/>
          <w:sz w:val="21"/>
          <w:szCs w:val="21"/>
        </w:rPr>
      </w:pPr>
    </w:p>
    <w:p w14:paraId="6FCC4B92"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Style w:val="TableGrid"/>
        <w:tblW w:w="9701"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222"/>
        <w:gridCol w:w="4662"/>
      </w:tblGrid>
      <w:tr w:rsidR="00923319" w:rsidRPr="00A67277" w14:paraId="4011CBC1" w14:textId="77777777" w:rsidTr="00923319">
        <w:tc>
          <w:tcPr>
            <w:tcW w:w="4817" w:type="dxa"/>
          </w:tcPr>
          <w:p w14:paraId="0B7C1C33" w14:textId="5DCE361E" w:rsidR="00923319" w:rsidRPr="00A67277" w:rsidRDefault="00923319" w:rsidP="00E030C4">
            <w:pPr>
              <w:pStyle w:val="SchTitle"/>
              <w:numPr>
                <w:ilvl w:val="0"/>
                <w:numId w:val="564"/>
              </w:numPr>
              <w:rPr>
                <w:rFonts w:cs="Arial"/>
                <w:sz w:val="21"/>
              </w:rPr>
            </w:pPr>
            <w:r w:rsidRPr="00A67277">
              <w:rPr>
                <w:rFonts w:cs="Arial"/>
                <w:sz w:val="21"/>
              </w:rPr>
              <w:t xml:space="preserve">Appendix </w:t>
            </w:r>
            <w:r w:rsidR="00E030C4" w:rsidRPr="00A67277">
              <w:rPr>
                <w:rFonts w:cs="Arial"/>
                <w:sz w:val="21"/>
              </w:rPr>
              <w:t xml:space="preserve">15 </w:t>
            </w:r>
            <w:r w:rsidRPr="00A67277">
              <w:rPr>
                <w:rFonts w:cs="Arial"/>
                <w:sz w:val="21"/>
              </w:rPr>
              <w:t>– Required Insurances</w:t>
            </w:r>
          </w:p>
        </w:tc>
        <w:tc>
          <w:tcPr>
            <w:tcW w:w="222" w:type="dxa"/>
          </w:tcPr>
          <w:p w14:paraId="33528341" w14:textId="77777777" w:rsidR="00923319" w:rsidRPr="00A67277" w:rsidRDefault="00923319" w:rsidP="00923319">
            <w:pPr>
              <w:spacing w:before="120" w:after="120"/>
              <w:rPr>
                <w:rFonts w:ascii="Arial" w:hAnsi="Arial" w:cs="Arial"/>
                <w:sz w:val="21"/>
                <w:szCs w:val="21"/>
              </w:rPr>
            </w:pPr>
          </w:p>
        </w:tc>
        <w:tc>
          <w:tcPr>
            <w:tcW w:w="4662" w:type="dxa"/>
          </w:tcPr>
          <w:p w14:paraId="7F822D53" w14:textId="4AFEF6E3" w:rsidR="00923319" w:rsidRPr="00A67277" w:rsidRDefault="00923319" w:rsidP="00E030C4">
            <w:pPr>
              <w:pStyle w:val="SchNumber3"/>
              <w:numPr>
                <w:ilvl w:val="0"/>
                <w:numId w:val="0"/>
              </w:numPr>
              <w:spacing w:before="120" w:after="120"/>
              <w:ind w:left="432"/>
              <w:jc w:val="center"/>
              <w:rPr>
                <w:rFonts w:cs="Arial"/>
                <w:lang w:val="id-ID"/>
              </w:rPr>
            </w:pPr>
            <w:r w:rsidRPr="00A67277">
              <w:rPr>
                <w:rFonts w:cs="Arial"/>
                <w:b/>
                <w:smallCaps/>
              </w:rPr>
              <w:t xml:space="preserve">Lampiran </w:t>
            </w:r>
            <w:r w:rsidR="00E030C4" w:rsidRPr="00A67277">
              <w:rPr>
                <w:rFonts w:cs="Arial"/>
                <w:b/>
                <w:smallCaps/>
              </w:rPr>
              <w:t xml:space="preserve">15  </w:t>
            </w:r>
            <w:r w:rsidRPr="00A67277">
              <w:rPr>
                <w:rFonts w:cs="Arial"/>
                <w:b/>
                <w:smallCaps/>
              </w:rPr>
              <w:t>– Asuransi Yang Dipersyaratkan</w:t>
            </w:r>
          </w:p>
        </w:tc>
      </w:tr>
      <w:tr w:rsidR="00923319" w:rsidRPr="00A67277" w14:paraId="4F248B00" w14:textId="77777777" w:rsidTr="00923319">
        <w:tc>
          <w:tcPr>
            <w:tcW w:w="4817" w:type="dxa"/>
          </w:tcPr>
          <w:p w14:paraId="05C275AC" w14:textId="77777777" w:rsidR="00923319" w:rsidRPr="00A67277" w:rsidRDefault="00923319" w:rsidP="00923319">
            <w:pPr>
              <w:numPr>
                <w:ilvl w:val="2"/>
                <w:numId w:val="564"/>
              </w:numPr>
              <w:spacing w:before="120" w:after="120" w:line="264" w:lineRule="auto"/>
              <w:jc w:val="both"/>
              <w:rPr>
                <w:rFonts w:ascii="Arial" w:hAnsi="Arial" w:cs="Arial"/>
                <w:b/>
                <w:smallCaps/>
                <w:sz w:val="21"/>
                <w:szCs w:val="21"/>
              </w:rPr>
            </w:pPr>
            <w:r w:rsidRPr="00A67277">
              <w:rPr>
                <w:rFonts w:ascii="Arial" w:hAnsi="Arial" w:cs="Arial"/>
                <w:b/>
                <w:smallCaps/>
                <w:sz w:val="21"/>
                <w:szCs w:val="21"/>
              </w:rPr>
              <w:t>Terms and Policies of Insurances During Construction Period</w:t>
            </w:r>
          </w:p>
        </w:tc>
        <w:tc>
          <w:tcPr>
            <w:tcW w:w="222" w:type="dxa"/>
          </w:tcPr>
          <w:p w14:paraId="1028F0B3" w14:textId="77777777" w:rsidR="00923319" w:rsidRPr="00A67277" w:rsidRDefault="00923319" w:rsidP="00923319">
            <w:pPr>
              <w:spacing w:before="120" w:after="120"/>
              <w:rPr>
                <w:rFonts w:ascii="Arial" w:hAnsi="Arial" w:cs="Arial"/>
                <w:sz w:val="21"/>
                <w:szCs w:val="21"/>
              </w:rPr>
            </w:pPr>
          </w:p>
        </w:tc>
        <w:tc>
          <w:tcPr>
            <w:tcW w:w="4662" w:type="dxa"/>
          </w:tcPr>
          <w:p w14:paraId="0DA6B2C3" w14:textId="77777777" w:rsidR="00923319" w:rsidRPr="00A67277" w:rsidRDefault="00923319" w:rsidP="00923319">
            <w:pPr>
              <w:pStyle w:val="ListParagraph"/>
              <w:numPr>
                <w:ilvl w:val="0"/>
                <w:numId w:val="593"/>
              </w:numPr>
              <w:spacing w:before="120" w:after="120"/>
              <w:rPr>
                <w:rFonts w:cs="Arial"/>
                <w:b/>
                <w:smallCaps/>
                <w:lang w:val="fr-FR"/>
              </w:rPr>
            </w:pPr>
            <w:r w:rsidRPr="00A67277">
              <w:rPr>
                <w:rFonts w:cs="Arial"/>
                <w:b/>
                <w:smallCaps/>
                <w:lang w:val="fr-FR"/>
              </w:rPr>
              <w:t>Syarat dan Polis Asuransi Selama Jangka Waktu Konstruksi</w:t>
            </w:r>
          </w:p>
        </w:tc>
      </w:tr>
      <w:tr w:rsidR="00923319" w:rsidRPr="00A67277" w14:paraId="176E951C" w14:textId="77777777" w:rsidTr="00923319">
        <w:tc>
          <w:tcPr>
            <w:tcW w:w="4817" w:type="dxa"/>
          </w:tcPr>
          <w:p w14:paraId="47F566A0" w14:textId="77777777" w:rsidR="00923319" w:rsidRPr="00A67277" w:rsidRDefault="00923319" w:rsidP="00923319">
            <w:pPr>
              <w:pStyle w:val="SchNumber2"/>
              <w:numPr>
                <w:ilvl w:val="3"/>
                <w:numId w:val="564"/>
              </w:numPr>
              <w:spacing w:before="120" w:after="120"/>
              <w:rPr>
                <w:rFonts w:cs="Arial"/>
                <w:lang w:val="en-US"/>
              </w:rPr>
            </w:pPr>
            <w:bookmarkStart w:id="404" w:name="_Toc501179031"/>
            <w:r w:rsidRPr="00A67277">
              <w:rPr>
                <w:rFonts w:cs="Arial"/>
                <w:b/>
                <w:lang w:val="en-US"/>
              </w:rPr>
              <w:t>Insurance of Marine Cargo, Land Transit and Air Cargo</w:t>
            </w:r>
            <w:bookmarkEnd w:id="404"/>
          </w:p>
        </w:tc>
        <w:tc>
          <w:tcPr>
            <w:tcW w:w="222" w:type="dxa"/>
          </w:tcPr>
          <w:p w14:paraId="2C6EE9FC" w14:textId="77777777" w:rsidR="00923319" w:rsidRPr="00A67277" w:rsidRDefault="00923319" w:rsidP="00923319">
            <w:pPr>
              <w:spacing w:before="120" w:after="120"/>
              <w:rPr>
                <w:rFonts w:ascii="Arial" w:hAnsi="Arial" w:cs="Arial"/>
                <w:sz w:val="21"/>
                <w:szCs w:val="21"/>
              </w:rPr>
            </w:pPr>
          </w:p>
        </w:tc>
        <w:tc>
          <w:tcPr>
            <w:tcW w:w="4662" w:type="dxa"/>
          </w:tcPr>
          <w:p w14:paraId="36132491" w14:textId="77777777" w:rsidR="00923319" w:rsidRPr="00A67277" w:rsidRDefault="00923319" w:rsidP="00923319">
            <w:pPr>
              <w:pStyle w:val="SchNumber2"/>
              <w:numPr>
                <w:ilvl w:val="0"/>
                <w:numId w:val="594"/>
              </w:numPr>
              <w:spacing w:before="120" w:after="120"/>
              <w:ind w:left="959" w:hanging="560"/>
              <w:rPr>
                <w:rFonts w:cs="Arial"/>
                <w:lang w:val="de-DE"/>
              </w:rPr>
            </w:pPr>
            <w:r w:rsidRPr="00A67277">
              <w:rPr>
                <w:rFonts w:cs="Arial"/>
                <w:b/>
                <w:lang w:val="de-DE"/>
              </w:rPr>
              <w:t>Asuransi Kargo Laut, Transit Darat dan Kargo Udara</w:t>
            </w:r>
          </w:p>
        </w:tc>
      </w:tr>
      <w:tr w:rsidR="00923319" w:rsidRPr="00A67277" w14:paraId="453F19E5" w14:textId="77777777" w:rsidTr="00923319">
        <w:tc>
          <w:tcPr>
            <w:tcW w:w="4817" w:type="dxa"/>
          </w:tcPr>
          <w:p w14:paraId="085B2320" w14:textId="77777777" w:rsidR="00923319" w:rsidRPr="00A67277" w:rsidRDefault="00923319" w:rsidP="00923319">
            <w:pPr>
              <w:pStyle w:val="Body2"/>
              <w:spacing w:before="120" w:after="120"/>
              <w:rPr>
                <w:rFonts w:cs="Arial"/>
                <w:i/>
                <w:lang w:val="en-US"/>
              </w:rPr>
            </w:pPr>
            <w:r w:rsidRPr="00A67277">
              <w:rPr>
                <w:rFonts w:cs="Arial"/>
                <w:lang w:val="en-US"/>
              </w:rPr>
              <w:t xml:space="preserve">Insurance policy must include insurance of all materials, equipment, machinery, spare parts and other items that will be installed in the Facility for all risk of loss or physical damage during the period of marine cargo or air cargo activity from the country of origin to the Project Site, or </w:t>
            </w:r>
            <w:r w:rsidRPr="00A67277">
              <w:rPr>
                <w:rFonts w:cs="Arial"/>
                <w:i/>
                <w:lang w:val="en-US"/>
              </w:rPr>
              <w:t>vice versa</w:t>
            </w:r>
            <w:r w:rsidRPr="00A67277">
              <w:rPr>
                <w:rFonts w:cs="Arial"/>
                <w:lang w:val="en-US"/>
              </w:rPr>
              <w:t>, since the start of transmitting the goods to be delivered to the Project Site.</w:t>
            </w:r>
          </w:p>
        </w:tc>
        <w:tc>
          <w:tcPr>
            <w:tcW w:w="222" w:type="dxa"/>
          </w:tcPr>
          <w:p w14:paraId="2B5F2ED6" w14:textId="77777777" w:rsidR="00923319" w:rsidRPr="00A67277" w:rsidRDefault="00923319" w:rsidP="00923319">
            <w:pPr>
              <w:spacing w:before="120" w:after="120"/>
              <w:rPr>
                <w:rFonts w:ascii="Arial" w:hAnsi="Arial" w:cs="Arial"/>
                <w:sz w:val="21"/>
                <w:szCs w:val="21"/>
              </w:rPr>
            </w:pPr>
          </w:p>
        </w:tc>
        <w:tc>
          <w:tcPr>
            <w:tcW w:w="4662" w:type="dxa"/>
          </w:tcPr>
          <w:p w14:paraId="7D9481A9"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mencakup asuransi seluruh bahan, peralatan, mesin, suku cadang dan barang lainnya yang akan dipasang pada Fasilitas untuk segala risiko kerugian atau kerusakan fisik selama masa kargo laut atau kargo udara dari negara asal ke Lokasi Proyek, atau sebaliknya, sejak awal pengiriman barang ke Lokasi Proyek.</w:t>
            </w:r>
          </w:p>
        </w:tc>
      </w:tr>
      <w:tr w:rsidR="00923319" w:rsidRPr="00A67277" w14:paraId="74B9A1CD" w14:textId="77777777" w:rsidTr="00923319">
        <w:tc>
          <w:tcPr>
            <w:tcW w:w="4817" w:type="dxa"/>
          </w:tcPr>
          <w:p w14:paraId="20D13671" w14:textId="77777777"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The insurance policy must be in the equivalent amount of 110% of the total costs and fees of shipping to the Project Site with the maximum amount of deduction at 1% from the value insured.</w:t>
            </w:r>
          </w:p>
        </w:tc>
        <w:tc>
          <w:tcPr>
            <w:tcW w:w="222" w:type="dxa"/>
          </w:tcPr>
          <w:p w14:paraId="15225522" w14:textId="77777777" w:rsidR="00923319" w:rsidRPr="00A67277" w:rsidRDefault="00923319" w:rsidP="00923319">
            <w:pPr>
              <w:spacing w:before="120" w:after="120"/>
              <w:rPr>
                <w:rFonts w:ascii="Arial" w:hAnsi="Arial" w:cs="Arial"/>
                <w:sz w:val="21"/>
                <w:szCs w:val="21"/>
              </w:rPr>
            </w:pPr>
          </w:p>
        </w:tc>
        <w:tc>
          <w:tcPr>
            <w:tcW w:w="4662" w:type="dxa"/>
          </w:tcPr>
          <w:p w14:paraId="6128C926" w14:textId="32524213" w:rsidR="00923319" w:rsidRPr="00A67277" w:rsidRDefault="00923319" w:rsidP="00923319">
            <w:pPr>
              <w:pStyle w:val="Body2"/>
              <w:spacing w:before="120" w:after="120"/>
              <w:ind w:left="959"/>
              <w:rPr>
                <w:rFonts w:cs="Arial"/>
                <w:lang w:val="en-US"/>
              </w:rPr>
            </w:pPr>
            <w:r w:rsidRPr="00A67277">
              <w:rPr>
                <w:rFonts w:cs="Arial"/>
                <w:lang w:val="en-US"/>
              </w:rPr>
              <w:t>Polis asuransi harus dalam jumlah yang setara dengan 110% dari total b</w:t>
            </w:r>
            <w:r w:rsidR="00365ACA" w:rsidRPr="00A67277">
              <w:rPr>
                <w:rFonts w:cs="Arial"/>
                <w:lang w:val="en-US"/>
              </w:rPr>
              <w:t>i</w:t>
            </w:r>
            <w:r w:rsidRPr="00A67277">
              <w:rPr>
                <w:rFonts w:cs="Arial"/>
                <w:lang w:val="en-US"/>
              </w:rPr>
              <w:t>aya dan ongkos kirim ke Lokasi Proyek dengan jumlah pengurangan maksimum sebesar 1% dari nilai pertanggungan.</w:t>
            </w:r>
          </w:p>
        </w:tc>
      </w:tr>
      <w:tr w:rsidR="00923319" w:rsidRPr="00A67277" w14:paraId="504CD9CB" w14:textId="77777777" w:rsidTr="00923319">
        <w:tc>
          <w:tcPr>
            <w:tcW w:w="4817" w:type="dxa"/>
          </w:tcPr>
          <w:p w14:paraId="10811E00" w14:textId="77777777" w:rsidR="00923319" w:rsidRPr="00A67277" w:rsidRDefault="00923319" w:rsidP="00923319">
            <w:pPr>
              <w:pStyle w:val="SchNumber2"/>
              <w:numPr>
                <w:ilvl w:val="3"/>
                <w:numId w:val="564"/>
              </w:numPr>
              <w:spacing w:before="120" w:after="120"/>
              <w:rPr>
                <w:rFonts w:cs="Arial"/>
                <w:b/>
                <w:lang w:val="en-US"/>
              </w:rPr>
            </w:pPr>
            <w:bookmarkStart w:id="405" w:name="_Toc501179032"/>
            <w:r w:rsidRPr="00A67277">
              <w:rPr>
                <w:rFonts w:cs="Arial"/>
                <w:b/>
                <w:lang w:val="en-US"/>
              </w:rPr>
              <w:t>Loss of Income (in the occurrence of marine accident, land accident and/or air accident)</w:t>
            </w:r>
            <w:bookmarkEnd w:id="405"/>
          </w:p>
        </w:tc>
        <w:tc>
          <w:tcPr>
            <w:tcW w:w="222" w:type="dxa"/>
          </w:tcPr>
          <w:p w14:paraId="4468A876" w14:textId="77777777" w:rsidR="00923319" w:rsidRPr="00A67277" w:rsidRDefault="00923319" w:rsidP="00923319">
            <w:pPr>
              <w:spacing w:before="120" w:after="120"/>
              <w:rPr>
                <w:rFonts w:ascii="Arial" w:hAnsi="Arial" w:cs="Arial"/>
                <w:sz w:val="21"/>
                <w:szCs w:val="21"/>
              </w:rPr>
            </w:pPr>
          </w:p>
        </w:tc>
        <w:tc>
          <w:tcPr>
            <w:tcW w:w="4662" w:type="dxa"/>
          </w:tcPr>
          <w:p w14:paraId="7E139520" w14:textId="77777777" w:rsidR="00923319" w:rsidRPr="00A67277" w:rsidRDefault="00923319" w:rsidP="00923319">
            <w:pPr>
              <w:pStyle w:val="SchNumber2"/>
              <w:numPr>
                <w:ilvl w:val="0"/>
                <w:numId w:val="594"/>
              </w:numPr>
              <w:spacing w:before="120" w:after="120"/>
              <w:ind w:left="959" w:hanging="560"/>
              <w:rPr>
                <w:rFonts w:cs="Arial"/>
                <w:b/>
                <w:lang w:val="en-US"/>
              </w:rPr>
            </w:pPr>
            <w:r w:rsidRPr="00A67277">
              <w:rPr>
                <w:rFonts w:cs="Arial"/>
                <w:b/>
                <w:lang w:val="en-US"/>
              </w:rPr>
              <w:t>Kerugian Pendapatan (apabila terjadi kecelakaan laut, kecelakaan udara dan/atau kecelakaan udara)</w:t>
            </w:r>
          </w:p>
        </w:tc>
      </w:tr>
      <w:tr w:rsidR="00923319" w:rsidRPr="00A67277" w14:paraId="2FC15A68" w14:textId="77777777" w:rsidTr="00923319">
        <w:tc>
          <w:tcPr>
            <w:tcW w:w="4817" w:type="dxa"/>
          </w:tcPr>
          <w:p w14:paraId="2F4C339D" w14:textId="59B3EB10" w:rsidR="00923319" w:rsidRPr="00A67277" w:rsidRDefault="00923319" w:rsidP="00923319">
            <w:pPr>
              <w:pStyle w:val="Body2"/>
              <w:spacing w:before="120" w:after="120"/>
              <w:rPr>
                <w:rFonts w:cs="Arial"/>
                <w:lang w:val="en-US"/>
              </w:rPr>
            </w:pPr>
            <w:r w:rsidRPr="00A67277">
              <w:rPr>
                <w:rFonts w:cs="Arial"/>
                <w:lang w:val="en-US"/>
              </w:rPr>
              <w:t xml:space="preserve">The insurance policy must include insurances upon loss of income after the occurrence of the delay in fulfilling Scheduled Commercial Operation, as a result of direct loss or physical damage </w:t>
            </w:r>
            <w:r w:rsidR="00EB712F">
              <w:rPr>
                <w:rFonts w:cs="Arial"/>
                <w:lang w:val="en-US"/>
              </w:rPr>
              <w:t>to</w:t>
            </w:r>
            <w:r w:rsidR="00EB712F" w:rsidRPr="00A67277">
              <w:rPr>
                <w:rFonts w:cs="Arial"/>
                <w:lang w:val="en-US"/>
              </w:rPr>
              <w:t xml:space="preserve"> </w:t>
            </w:r>
            <w:r w:rsidRPr="00A67277">
              <w:rPr>
                <w:rFonts w:cs="Arial"/>
                <w:lang w:val="en-US"/>
              </w:rPr>
              <w:t xml:space="preserve">all materials, equipment, machinery, spare parts and other items that are </w:t>
            </w:r>
            <w:r w:rsidR="00EB712F">
              <w:rPr>
                <w:rFonts w:cs="Arial"/>
                <w:lang w:val="en-US"/>
              </w:rPr>
              <w:t xml:space="preserve">covered </w:t>
            </w:r>
            <w:r w:rsidRPr="00A67277">
              <w:rPr>
                <w:rFonts w:cs="Arial"/>
                <w:lang w:val="en-US"/>
              </w:rPr>
              <w:t xml:space="preserve">in the Marine Cargo insurance </w:t>
            </w:r>
            <w:r w:rsidR="00EB712F">
              <w:rPr>
                <w:rFonts w:cs="Arial"/>
                <w:lang w:val="en-US"/>
              </w:rPr>
              <w:t>during</w:t>
            </w:r>
            <w:r w:rsidR="00EB712F" w:rsidRPr="00A67277">
              <w:rPr>
                <w:rFonts w:cs="Arial"/>
                <w:lang w:val="en-US"/>
              </w:rPr>
              <w:t xml:space="preserve"> </w:t>
            </w:r>
            <w:r w:rsidRPr="00A67277">
              <w:rPr>
                <w:rFonts w:cs="Arial"/>
                <w:lang w:val="en-US"/>
              </w:rPr>
              <w:t>the period of marine cargo or air cargo activity to the Project Site.</w:t>
            </w:r>
          </w:p>
        </w:tc>
        <w:tc>
          <w:tcPr>
            <w:tcW w:w="222" w:type="dxa"/>
          </w:tcPr>
          <w:p w14:paraId="1964D2F9" w14:textId="77777777" w:rsidR="00923319" w:rsidRPr="00A67277" w:rsidRDefault="00923319" w:rsidP="00923319">
            <w:pPr>
              <w:spacing w:before="120" w:after="120"/>
              <w:rPr>
                <w:rFonts w:ascii="Arial" w:hAnsi="Arial" w:cs="Arial"/>
                <w:sz w:val="21"/>
                <w:szCs w:val="21"/>
              </w:rPr>
            </w:pPr>
          </w:p>
        </w:tc>
        <w:tc>
          <w:tcPr>
            <w:tcW w:w="4662" w:type="dxa"/>
          </w:tcPr>
          <w:p w14:paraId="4BFE5221"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mencakup asuransi atas kerugian pendapatan setelah terjadinya keterlambatan dalam memenuhi Tanggal Operasi Komersial Yang Dijadwalkan, dikarenakan kerugian langsung atau kerusakan fisik atas seluruh bahan, peralatan, mesin, suku cadang dan barang lainnya yang ditanggung oleh asuransi Kargo Laut selama masa kargo laut atau kargo udara ke Lokasi Proyek.</w:t>
            </w:r>
          </w:p>
          <w:p w14:paraId="76A19440" w14:textId="77777777" w:rsidR="00923319" w:rsidRPr="00A67277" w:rsidRDefault="00923319" w:rsidP="00923319">
            <w:pPr>
              <w:pStyle w:val="SchNumber3"/>
              <w:numPr>
                <w:ilvl w:val="0"/>
                <w:numId w:val="0"/>
              </w:numPr>
              <w:spacing w:before="120" w:after="120"/>
              <w:ind w:left="959"/>
              <w:rPr>
                <w:rFonts w:cs="Arial"/>
                <w:lang w:val="en-US"/>
              </w:rPr>
            </w:pPr>
          </w:p>
        </w:tc>
      </w:tr>
      <w:tr w:rsidR="00923319" w:rsidRPr="00A67277" w14:paraId="4067FE13" w14:textId="77777777" w:rsidTr="00923319">
        <w:trPr>
          <w:trHeight w:val="95"/>
        </w:trPr>
        <w:tc>
          <w:tcPr>
            <w:tcW w:w="4817" w:type="dxa"/>
          </w:tcPr>
          <w:p w14:paraId="27B604B3" w14:textId="299E6D92" w:rsidR="00923319" w:rsidRPr="00A67277" w:rsidRDefault="00923319" w:rsidP="00923319">
            <w:pPr>
              <w:pStyle w:val="Body2"/>
              <w:spacing w:before="120" w:after="120"/>
              <w:rPr>
                <w:rFonts w:eastAsia="Times New Roman" w:cs="Arial"/>
                <w:lang w:val="en-US"/>
              </w:rPr>
            </w:pPr>
            <w:r w:rsidRPr="00A67277">
              <w:rPr>
                <w:rFonts w:cs="Arial"/>
                <w:lang w:val="en-US"/>
              </w:rPr>
              <w:t xml:space="preserve">The insurance policy must be of an equivalent amount that is not less than the estimated </w:t>
            </w:r>
            <w:r w:rsidR="00EB712F">
              <w:rPr>
                <w:rFonts w:cs="Arial"/>
                <w:lang w:val="en-US"/>
              </w:rPr>
              <w:t xml:space="preserve">cost of </w:t>
            </w:r>
            <w:r w:rsidRPr="00A67277">
              <w:rPr>
                <w:rFonts w:cs="Arial"/>
                <w:lang w:val="en-US"/>
              </w:rPr>
              <w:t xml:space="preserve">debt </w:t>
            </w:r>
            <w:r w:rsidR="00EB712F">
              <w:rPr>
                <w:rFonts w:cs="Arial"/>
                <w:lang w:val="en-US"/>
              </w:rPr>
              <w:t xml:space="preserve">repayment </w:t>
            </w:r>
            <w:r w:rsidRPr="00A67277">
              <w:rPr>
                <w:rFonts w:cs="Arial"/>
                <w:lang w:val="en-US"/>
              </w:rPr>
              <w:t xml:space="preserve">for ([*]) months based on the Financing Agreements and any mandatory payments based on the Project Agreements that will be </w:t>
            </w:r>
            <w:r w:rsidR="00EB712F">
              <w:rPr>
                <w:rFonts w:cs="Arial"/>
                <w:lang w:val="en-US"/>
              </w:rPr>
              <w:t>received</w:t>
            </w:r>
            <w:r w:rsidR="00EB712F" w:rsidRPr="00A67277">
              <w:rPr>
                <w:rFonts w:cs="Arial"/>
                <w:lang w:val="en-US"/>
              </w:rPr>
              <w:t xml:space="preserve"> </w:t>
            </w:r>
            <w:r w:rsidRPr="00A67277">
              <w:rPr>
                <w:rFonts w:cs="Arial"/>
                <w:lang w:val="en-US"/>
              </w:rPr>
              <w:t>after the  Scheduled Commercial Operations Date with the maximum amount of deduction of sixty (60) Days.</w:t>
            </w:r>
          </w:p>
        </w:tc>
        <w:tc>
          <w:tcPr>
            <w:tcW w:w="222" w:type="dxa"/>
          </w:tcPr>
          <w:p w14:paraId="0CDF145B" w14:textId="77777777" w:rsidR="00923319" w:rsidRPr="00A67277" w:rsidRDefault="00923319" w:rsidP="00923319">
            <w:pPr>
              <w:spacing w:before="120" w:after="120"/>
              <w:rPr>
                <w:rFonts w:ascii="Arial" w:hAnsi="Arial" w:cs="Arial"/>
                <w:sz w:val="21"/>
                <w:szCs w:val="21"/>
              </w:rPr>
            </w:pPr>
          </w:p>
        </w:tc>
        <w:tc>
          <w:tcPr>
            <w:tcW w:w="4662" w:type="dxa"/>
          </w:tcPr>
          <w:p w14:paraId="651CABEA"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dalam jumlah setara yang tidak kurang dari estimasi biaya pembayaran hutang selama [*] bulan berdasarkan Perjanjian Pembiayaan dan setiap pembayaran wajib berdasarkan Perjanjian Pembiayaan yang akan diterima setelah Tanggal Operasi Komersial Yang Dijadwalkan dengan jumlah pengurangan maksimum enam puluh (60) Hari.</w:t>
            </w:r>
          </w:p>
          <w:p w14:paraId="17FC2D71" w14:textId="77777777" w:rsidR="00923319" w:rsidRPr="00A67277" w:rsidRDefault="00923319" w:rsidP="00923319">
            <w:pPr>
              <w:pStyle w:val="SchNumber3"/>
              <w:numPr>
                <w:ilvl w:val="0"/>
                <w:numId w:val="0"/>
              </w:numPr>
              <w:spacing w:before="120" w:after="120"/>
              <w:ind w:left="959"/>
              <w:rPr>
                <w:rFonts w:cs="Arial"/>
                <w:lang w:val="en-US"/>
              </w:rPr>
            </w:pPr>
          </w:p>
        </w:tc>
      </w:tr>
      <w:tr w:rsidR="00923319" w:rsidRPr="00A67277" w14:paraId="492B7354" w14:textId="77777777" w:rsidTr="00923319">
        <w:tc>
          <w:tcPr>
            <w:tcW w:w="4817" w:type="dxa"/>
          </w:tcPr>
          <w:p w14:paraId="708AF751" w14:textId="77777777" w:rsidR="00923319" w:rsidRPr="00A67277" w:rsidRDefault="00923319" w:rsidP="00923319">
            <w:pPr>
              <w:pStyle w:val="SchHeading2"/>
              <w:numPr>
                <w:ilvl w:val="3"/>
                <w:numId w:val="564"/>
              </w:numPr>
              <w:spacing w:before="120" w:after="120"/>
              <w:rPr>
                <w:rFonts w:cs="Arial"/>
                <w:lang w:val="en-US"/>
              </w:rPr>
            </w:pPr>
            <w:bookmarkStart w:id="406" w:name="_Toc501179033"/>
            <w:r w:rsidRPr="00A67277">
              <w:rPr>
                <w:rFonts w:cs="Arial"/>
                <w:lang w:val="en-US"/>
              </w:rPr>
              <w:t>Contractors All Risks Insurance</w:t>
            </w:r>
            <w:bookmarkEnd w:id="406"/>
          </w:p>
        </w:tc>
        <w:tc>
          <w:tcPr>
            <w:tcW w:w="222" w:type="dxa"/>
          </w:tcPr>
          <w:p w14:paraId="1E3EC528" w14:textId="77777777" w:rsidR="00923319" w:rsidRPr="00A67277" w:rsidRDefault="00923319" w:rsidP="00923319">
            <w:pPr>
              <w:spacing w:before="120" w:after="120"/>
              <w:rPr>
                <w:rFonts w:ascii="Arial" w:hAnsi="Arial" w:cs="Arial"/>
                <w:sz w:val="21"/>
                <w:szCs w:val="21"/>
              </w:rPr>
            </w:pPr>
          </w:p>
        </w:tc>
        <w:tc>
          <w:tcPr>
            <w:tcW w:w="4662" w:type="dxa"/>
          </w:tcPr>
          <w:p w14:paraId="691E4434" w14:textId="77777777" w:rsidR="00923319" w:rsidRPr="00A67277" w:rsidRDefault="00923319" w:rsidP="00923319">
            <w:pPr>
              <w:pStyle w:val="SchNumber2"/>
              <w:numPr>
                <w:ilvl w:val="0"/>
                <w:numId w:val="594"/>
              </w:numPr>
              <w:spacing w:before="120" w:after="120"/>
              <w:ind w:left="959" w:hanging="560"/>
              <w:rPr>
                <w:rFonts w:cs="Arial"/>
                <w:lang w:val="en-US"/>
              </w:rPr>
            </w:pPr>
            <w:r w:rsidRPr="00A67277">
              <w:rPr>
                <w:rFonts w:cs="Arial"/>
                <w:b/>
                <w:lang w:val="en-US"/>
              </w:rPr>
              <w:t>Asuransi All Risks Kontraktor</w:t>
            </w:r>
          </w:p>
        </w:tc>
      </w:tr>
      <w:tr w:rsidR="00923319" w:rsidRPr="00A67277" w14:paraId="7B55A45B" w14:textId="77777777" w:rsidTr="00923319">
        <w:tc>
          <w:tcPr>
            <w:tcW w:w="4817" w:type="dxa"/>
          </w:tcPr>
          <w:p w14:paraId="22F441B2" w14:textId="449A9544"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 xml:space="preserve">The insurance policy must include insurance for loss or physical damage </w:t>
            </w:r>
            <w:r w:rsidR="00EB712F">
              <w:rPr>
                <w:rFonts w:cs="Arial"/>
                <w:lang w:val="en-US"/>
              </w:rPr>
              <w:t>to</w:t>
            </w:r>
            <w:r w:rsidR="00EB712F" w:rsidRPr="00A67277">
              <w:rPr>
                <w:rFonts w:cs="Arial"/>
                <w:lang w:val="en-US"/>
              </w:rPr>
              <w:t xml:space="preserve"> </w:t>
            </w:r>
            <w:r w:rsidRPr="00A67277">
              <w:rPr>
                <w:rFonts w:cs="Arial"/>
                <w:lang w:val="en-US"/>
              </w:rPr>
              <w:t xml:space="preserve">material and </w:t>
            </w:r>
            <w:r w:rsidR="00EB712F">
              <w:rPr>
                <w:rFonts w:cs="Arial"/>
                <w:lang w:val="en-US"/>
              </w:rPr>
              <w:t xml:space="preserve">the </w:t>
            </w:r>
            <w:r w:rsidRPr="00A67277">
              <w:rPr>
                <w:rFonts w:cs="Arial"/>
                <w:lang w:val="en-US"/>
              </w:rPr>
              <w:t xml:space="preserve">results of permanent </w:t>
            </w:r>
            <w:r w:rsidR="00EB712F">
              <w:rPr>
                <w:rFonts w:cs="Arial"/>
                <w:lang w:val="en-US"/>
              </w:rPr>
              <w:t>work</w:t>
            </w:r>
            <w:r w:rsidR="00EB712F" w:rsidRPr="00A67277">
              <w:rPr>
                <w:rFonts w:cs="Arial"/>
                <w:lang w:val="en-US"/>
              </w:rPr>
              <w:t xml:space="preserve"> </w:t>
            </w:r>
            <w:r w:rsidRPr="00A67277">
              <w:rPr>
                <w:rFonts w:cs="Arial"/>
                <w:lang w:val="en-US"/>
              </w:rPr>
              <w:t>and temporary work on the Project Site during construction, and to the work being done off the Project Site, the Project by the IBE, the Contractors and/or their subcontractors for 'all risks', having regard to the general exemptions and limits.</w:t>
            </w:r>
          </w:p>
        </w:tc>
        <w:tc>
          <w:tcPr>
            <w:tcW w:w="222" w:type="dxa"/>
          </w:tcPr>
          <w:p w14:paraId="0F891DE3" w14:textId="77777777" w:rsidR="00923319" w:rsidRPr="00A67277" w:rsidRDefault="00923319" w:rsidP="00923319">
            <w:pPr>
              <w:spacing w:before="120" w:after="120"/>
              <w:rPr>
                <w:rFonts w:ascii="Arial" w:hAnsi="Arial" w:cs="Arial"/>
                <w:sz w:val="21"/>
                <w:szCs w:val="21"/>
              </w:rPr>
            </w:pPr>
          </w:p>
        </w:tc>
        <w:tc>
          <w:tcPr>
            <w:tcW w:w="4662" w:type="dxa"/>
          </w:tcPr>
          <w:p w14:paraId="1A4C473D"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mencakup asuransi untuk kerugian atau kerusakan fisik terhadap material dan hasil pekerjaan tetap dan pekerjaan sementara di Lokasi Proyek selama konstruksi, dan untuk pekerjaan yang dilakukan di luar Lokasi Proyek, Proyek oleh BUP, Kontraktor dan/atau subkontraktor mereka untuk “</w:t>
            </w:r>
            <w:r w:rsidRPr="00A67277">
              <w:rPr>
                <w:rFonts w:cs="Arial"/>
                <w:i/>
                <w:iCs/>
                <w:lang w:val="en-US"/>
              </w:rPr>
              <w:t>all risks</w:t>
            </w:r>
            <w:r w:rsidRPr="00A67277">
              <w:rPr>
                <w:rFonts w:cs="Arial"/>
                <w:lang w:val="en-US"/>
              </w:rPr>
              <w:t>”, dengan memperhatikan pengecualian dan batasan umum.</w:t>
            </w:r>
          </w:p>
        </w:tc>
      </w:tr>
      <w:tr w:rsidR="00923319" w:rsidRPr="00A67277" w14:paraId="3A476E26" w14:textId="77777777" w:rsidTr="00923319">
        <w:tc>
          <w:tcPr>
            <w:tcW w:w="4817" w:type="dxa"/>
          </w:tcPr>
          <w:p w14:paraId="1F8F35EA" w14:textId="77777777" w:rsidR="00923319" w:rsidRPr="00A67277" w:rsidRDefault="00923319" w:rsidP="00923319">
            <w:pPr>
              <w:pStyle w:val="Body2"/>
              <w:spacing w:before="120" w:after="120"/>
              <w:rPr>
                <w:rFonts w:cs="Arial"/>
                <w:lang w:val="en-US"/>
              </w:rPr>
            </w:pPr>
            <w:r w:rsidRPr="00A67277">
              <w:rPr>
                <w:rFonts w:cs="Arial"/>
                <w:lang w:val="en-US"/>
              </w:rPr>
              <w:t>The insurance policy must be on the basis of full replacement cost for the Works that have been completed and for the Works that are in process of construction with the reduction of maximum (maximum deductible) at 10% of value insured or higher reduction as approved by GCA.</w:t>
            </w:r>
          </w:p>
        </w:tc>
        <w:tc>
          <w:tcPr>
            <w:tcW w:w="222" w:type="dxa"/>
          </w:tcPr>
          <w:p w14:paraId="5414196A" w14:textId="77777777" w:rsidR="00923319" w:rsidRPr="00A67277" w:rsidRDefault="00923319" w:rsidP="00923319">
            <w:pPr>
              <w:spacing w:before="120" w:after="120"/>
              <w:rPr>
                <w:rFonts w:ascii="Arial" w:hAnsi="Arial" w:cs="Arial"/>
                <w:sz w:val="21"/>
                <w:szCs w:val="21"/>
              </w:rPr>
            </w:pPr>
          </w:p>
        </w:tc>
        <w:tc>
          <w:tcPr>
            <w:tcW w:w="4662" w:type="dxa"/>
          </w:tcPr>
          <w:p w14:paraId="221FD552"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berdasarkan penggantian biaya penuh untuk Pekerjaan yang telah selesai dan untuk Pekerjaan yang sedang dalam proses konstruksi dengan pengurangan maksimum (dapat dikurangkan maksimum) sebesar 10% dari nilai pertanggungan atau pengurangan yang lebih tinggi sebagaimana disetujui oleh PJPK.</w:t>
            </w:r>
          </w:p>
        </w:tc>
      </w:tr>
      <w:tr w:rsidR="00923319" w:rsidRPr="00A67277" w14:paraId="3337FA71" w14:textId="77777777" w:rsidTr="00923319">
        <w:tc>
          <w:tcPr>
            <w:tcW w:w="4817" w:type="dxa"/>
          </w:tcPr>
          <w:p w14:paraId="61598CF5" w14:textId="77777777" w:rsidR="00923319" w:rsidRPr="00A67277" w:rsidRDefault="00923319" w:rsidP="00923319">
            <w:pPr>
              <w:pStyle w:val="SchHeading2"/>
              <w:numPr>
                <w:ilvl w:val="3"/>
                <w:numId w:val="564"/>
              </w:numPr>
              <w:spacing w:before="120" w:after="120"/>
              <w:rPr>
                <w:rFonts w:cs="Arial"/>
                <w:lang w:val="en-US"/>
              </w:rPr>
            </w:pPr>
            <w:bookmarkStart w:id="407" w:name="_Toc501179034"/>
            <w:r w:rsidRPr="00A67277">
              <w:rPr>
                <w:rFonts w:cs="Arial"/>
                <w:lang w:val="en-US"/>
              </w:rPr>
              <w:t>Loss of Income (in relation to Contractors All Risks Insurance)</w:t>
            </w:r>
            <w:bookmarkEnd w:id="407"/>
            <w:r w:rsidRPr="00A67277">
              <w:rPr>
                <w:rFonts w:cs="Arial"/>
                <w:lang w:val="en-US"/>
              </w:rPr>
              <w:t xml:space="preserve"> </w:t>
            </w:r>
          </w:p>
        </w:tc>
        <w:tc>
          <w:tcPr>
            <w:tcW w:w="222" w:type="dxa"/>
          </w:tcPr>
          <w:p w14:paraId="43817516" w14:textId="77777777" w:rsidR="00923319" w:rsidRPr="00A67277" w:rsidRDefault="00923319" w:rsidP="00923319">
            <w:pPr>
              <w:spacing w:before="120" w:after="120"/>
              <w:rPr>
                <w:rFonts w:ascii="Arial" w:hAnsi="Arial" w:cs="Arial"/>
                <w:sz w:val="21"/>
                <w:szCs w:val="21"/>
              </w:rPr>
            </w:pPr>
          </w:p>
        </w:tc>
        <w:tc>
          <w:tcPr>
            <w:tcW w:w="4662" w:type="dxa"/>
          </w:tcPr>
          <w:p w14:paraId="58759DEA" w14:textId="77777777" w:rsidR="00923319" w:rsidRPr="00A67277" w:rsidRDefault="00923319" w:rsidP="00923319">
            <w:pPr>
              <w:pStyle w:val="SchNumber2"/>
              <w:numPr>
                <w:ilvl w:val="0"/>
                <w:numId w:val="594"/>
              </w:numPr>
              <w:spacing w:before="120" w:after="120"/>
              <w:ind w:left="959" w:hanging="560"/>
              <w:rPr>
                <w:rFonts w:cs="Arial"/>
                <w:lang w:val="en-US"/>
              </w:rPr>
            </w:pPr>
            <w:r w:rsidRPr="00A67277">
              <w:rPr>
                <w:rFonts w:cs="Arial"/>
                <w:b/>
                <w:lang w:val="en-US"/>
              </w:rPr>
              <w:t>Kerugian Pendapatan (dalam kaitannya dengan Asuransi All Risk Kontraktor)</w:t>
            </w:r>
            <w:r w:rsidRPr="00A67277">
              <w:rPr>
                <w:rFonts w:cs="Arial"/>
                <w:lang w:val="en-US"/>
              </w:rPr>
              <w:t xml:space="preserve"> </w:t>
            </w:r>
          </w:p>
        </w:tc>
      </w:tr>
      <w:tr w:rsidR="00923319" w:rsidRPr="00A67277" w14:paraId="18E110AB" w14:textId="77777777" w:rsidTr="00923319">
        <w:tc>
          <w:tcPr>
            <w:tcW w:w="4817" w:type="dxa"/>
          </w:tcPr>
          <w:p w14:paraId="058F9221" w14:textId="02CEC1ED" w:rsidR="00923319" w:rsidRPr="00A67277" w:rsidRDefault="00923319" w:rsidP="00923319">
            <w:pPr>
              <w:pStyle w:val="Body2"/>
              <w:spacing w:before="120" w:after="120"/>
              <w:rPr>
                <w:rFonts w:cs="Arial"/>
                <w:lang w:val="en-US"/>
              </w:rPr>
            </w:pPr>
            <w:r w:rsidRPr="00A67277">
              <w:rPr>
                <w:rFonts w:cs="Arial"/>
                <w:lang w:val="en-US"/>
              </w:rPr>
              <w:t xml:space="preserve">The insurance policy must include insurance against the loss of income following the delay in fulfilling Commercial Operation Date as a direct result </w:t>
            </w:r>
            <w:r w:rsidR="00C46265">
              <w:rPr>
                <w:rFonts w:cs="Arial"/>
                <w:lang w:val="en-US"/>
              </w:rPr>
              <w:t xml:space="preserve">of physical </w:t>
            </w:r>
            <w:r w:rsidRPr="00A67277">
              <w:rPr>
                <w:rFonts w:cs="Arial"/>
                <w:lang w:val="en-US"/>
              </w:rPr>
              <w:t xml:space="preserve">loss or damage </w:t>
            </w:r>
            <w:r w:rsidR="00C46265">
              <w:rPr>
                <w:rFonts w:cs="Arial"/>
                <w:lang w:val="en-US"/>
              </w:rPr>
              <w:t xml:space="preserve">in connection </w:t>
            </w:r>
            <w:r w:rsidRPr="00A67277">
              <w:rPr>
                <w:rFonts w:cs="Arial"/>
                <w:lang w:val="en-US"/>
              </w:rPr>
              <w:t xml:space="preserve">with loss or damage </w:t>
            </w:r>
            <w:r w:rsidR="00C46265">
              <w:rPr>
                <w:rFonts w:cs="Arial"/>
                <w:lang w:val="en-US"/>
              </w:rPr>
              <w:t>covered</w:t>
            </w:r>
            <w:r w:rsidR="00C46265" w:rsidRPr="00A67277">
              <w:rPr>
                <w:rFonts w:cs="Arial"/>
                <w:lang w:val="en-US"/>
              </w:rPr>
              <w:t xml:space="preserve"> </w:t>
            </w:r>
            <w:r w:rsidRPr="00A67277">
              <w:rPr>
                <w:rFonts w:cs="Arial"/>
                <w:lang w:val="en-US"/>
              </w:rPr>
              <w:t>in the Contractors All Risks Insurance.</w:t>
            </w:r>
          </w:p>
        </w:tc>
        <w:tc>
          <w:tcPr>
            <w:tcW w:w="222" w:type="dxa"/>
          </w:tcPr>
          <w:p w14:paraId="6FE59DA1" w14:textId="77777777" w:rsidR="00923319" w:rsidRPr="00A67277" w:rsidRDefault="00923319" w:rsidP="00923319">
            <w:pPr>
              <w:spacing w:before="120" w:after="120"/>
              <w:rPr>
                <w:rFonts w:ascii="Arial" w:hAnsi="Arial" w:cs="Arial"/>
                <w:sz w:val="21"/>
                <w:szCs w:val="21"/>
              </w:rPr>
            </w:pPr>
          </w:p>
        </w:tc>
        <w:tc>
          <w:tcPr>
            <w:tcW w:w="4662" w:type="dxa"/>
          </w:tcPr>
          <w:p w14:paraId="56DD18AE"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mencakup asuransi terhadap kerugian pendapatan setelah keterlambatan dalam memenuhi Tanggal Operasi Komersial sebagai akibat langsung kerugian atau kerusakan fisik sehubungan dengan kerugian atau kerusakan yang ditanggung dalam Asuransi All Risk Kontraktor.</w:t>
            </w:r>
          </w:p>
          <w:p w14:paraId="7B08BA54" w14:textId="77777777" w:rsidR="00923319" w:rsidRPr="00A67277" w:rsidRDefault="00923319" w:rsidP="00923319">
            <w:pPr>
              <w:pStyle w:val="SchNumber3"/>
              <w:numPr>
                <w:ilvl w:val="0"/>
                <w:numId w:val="0"/>
              </w:numPr>
              <w:spacing w:before="120" w:after="120"/>
              <w:ind w:left="959"/>
              <w:rPr>
                <w:rFonts w:cs="Arial"/>
                <w:lang w:val="en-US"/>
              </w:rPr>
            </w:pPr>
          </w:p>
        </w:tc>
      </w:tr>
      <w:tr w:rsidR="00923319" w:rsidRPr="00A67277" w14:paraId="69CD911E" w14:textId="77777777" w:rsidTr="00923319">
        <w:tc>
          <w:tcPr>
            <w:tcW w:w="4817" w:type="dxa"/>
          </w:tcPr>
          <w:p w14:paraId="0D49362F" w14:textId="648719DC" w:rsidR="00923319" w:rsidRPr="00A67277" w:rsidRDefault="00923319" w:rsidP="00923319">
            <w:pPr>
              <w:pStyle w:val="Body2"/>
              <w:spacing w:before="120" w:after="120"/>
              <w:rPr>
                <w:rFonts w:cs="Arial"/>
                <w:lang w:val="en-US"/>
              </w:rPr>
            </w:pPr>
            <w:r w:rsidRPr="008A28BF">
              <w:rPr>
                <w:rFonts w:cs="Arial"/>
                <w:lang w:val="en-US"/>
              </w:rPr>
              <w:t xml:space="preserve">Insurance policy has to be </w:t>
            </w:r>
            <w:r w:rsidR="00C46265" w:rsidRPr="008A28BF">
              <w:rPr>
                <w:rFonts w:cs="Arial"/>
                <w:lang w:val="en-US"/>
              </w:rPr>
              <w:t xml:space="preserve">an equvalent </w:t>
            </w:r>
            <w:r w:rsidRPr="008A28BF">
              <w:rPr>
                <w:rFonts w:cs="Arial"/>
                <w:lang w:val="en-US"/>
              </w:rPr>
              <w:t xml:space="preserve">amount that an equivalent </w:t>
            </w:r>
            <w:r w:rsidR="00C46265" w:rsidRPr="008A28BF">
              <w:rPr>
                <w:rFonts w:cs="Arial"/>
                <w:lang w:val="en-US"/>
              </w:rPr>
              <w:t xml:space="preserve">to </w:t>
            </w:r>
            <w:r w:rsidRPr="008A28BF">
              <w:rPr>
                <w:rFonts w:cs="Arial"/>
                <w:lang w:val="en-US"/>
              </w:rPr>
              <w:t>no</w:t>
            </w:r>
            <w:r w:rsidR="00C46265" w:rsidRPr="008A28BF">
              <w:rPr>
                <w:rFonts w:cs="Arial"/>
                <w:lang w:val="en-US"/>
              </w:rPr>
              <w:t>t</w:t>
            </w:r>
            <w:r w:rsidRPr="008A28BF">
              <w:rPr>
                <w:rFonts w:cs="Arial"/>
                <w:lang w:val="en-US"/>
              </w:rPr>
              <w:t xml:space="preserve"> less than an estimate of </w:t>
            </w:r>
            <w:r w:rsidR="00C46265" w:rsidRPr="008A28BF">
              <w:rPr>
                <w:rFonts w:cs="Arial"/>
                <w:lang w:val="en-US"/>
              </w:rPr>
              <w:t xml:space="preserve">debt </w:t>
            </w:r>
            <w:r w:rsidRPr="008A28BF">
              <w:rPr>
                <w:rFonts w:cs="Arial"/>
                <w:lang w:val="en-US"/>
              </w:rPr>
              <w:t xml:space="preserve">cost for [***] (***) months based on the Financing Agreements and any </w:t>
            </w:r>
            <w:r w:rsidR="00C46265" w:rsidRPr="008A28BF">
              <w:rPr>
                <w:rFonts w:cs="Arial"/>
                <w:lang w:val="en-US"/>
              </w:rPr>
              <w:t xml:space="preserve">project agreements </w:t>
            </w:r>
            <w:r w:rsidRPr="008A28BF">
              <w:rPr>
                <w:rFonts w:cs="Arial"/>
                <w:lang w:val="en-US"/>
              </w:rPr>
              <w:t xml:space="preserve">that they will receive after the Commercial Operation Date </w:t>
            </w:r>
            <w:r w:rsidR="00C46265" w:rsidRPr="008A28BF">
              <w:rPr>
                <w:rFonts w:cs="Arial"/>
                <w:lang w:val="en-US"/>
              </w:rPr>
              <w:t xml:space="preserve">with a </w:t>
            </w:r>
            <w:r w:rsidRPr="008A28BF">
              <w:rPr>
                <w:rFonts w:cs="Arial"/>
                <w:lang w:val="en-US"/>
              </w:rPr>
              <w:t xml:space="preserve">maximum </w:t>
            </w:r>
            <w:r w:rsidR="00C46265" w:rsidRPr="008A28BF">
              <w:rPr>
                <w:rFonts w:cs="Arial"/>
                <w:lang w:val="en-US"/>
              </w:rPr>
              <w:t xml:space="preserve">reduction </w:t>
            </w:r>
            <w:r w:rsidRPr="008A28BF">
              <w:rPr>
                <w:rFonts w:cs="Arial"/>
                <w:lang w:val="en-US"/>
              </w:rPr>
              <w:t>of sixty (60) Days.</w:t>
            </w:r>
          </w:p>
        </w:tc>
        <w:tc>
          <w:tcPr>
            <w:tcW w:w="222" w:type="dxa"/>
          </w:tcPr>
          <w:p w14:paraId="4CB0562E" w14:textId="77777777" w:rsidR="00923319" w:rsidRPr="00A67277" w:rsidRDefault="00923319" w:rsidP="00923319">
            <w:pPr>
              <w:spacing w:before="120" w:after="120"/>
              <w:rPr>
                <w:rFonts w:ascii="Arial" w:hAnsi="Arial" w:cs="Arial"/>
                <w:sz w:val="21"/>
                <w:szCs w:val="21"/>
              </w:rPr>
            </w:pPr>
          </w:p>
        </w:tc>
        <w:tc>
          <w:tcPr>
            <w:tcW w:w="4662" w:type="dxa"/>
          </w:tcPr>
          <w:p w14:paraId="23E709E4"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dalam jumlah yang setara tidak kurang dari estimasi biaya hutang selama [***] (***) bulan berdasarkan Perjanjian Pembiayaan dan setiap dasar proyek perjanjian yang akan mereka terima setelah Tanggal Operasi Komersial dengan jumlah pengurangan maksimum enam puluh (60) Hari.</w:t>
            </w:r>
          </w:p>
          <w:p w14:paraId="717327DF" w14:textId="77777777" w:rsidR="00923319" w:rsidRPr="00A67277" w:rsidRDefault="00923319" w:rsidP="00923319">
            <w:pPr>
              <w:spacing w:before="120" w:after="120"/>
              <w:ind w:left="959"/>
              <w:jc w:val="center"/>
              <w:rPr>
                <w:rFonts w:ascii="Arial" w:hAnsi="Arial" w:cs="Arial"/>
                <w:sz w:val="21"/>
                <w:szCs w:val="21"/>
              </w:rPr>
            </w:pPr>
          </w:p>
        </w:tc>
      </w:tr>
      <w:tr w:rsidR="00923319" w:rsidRPr="00A67277" w14:paraId="038F2DB7" w14:textId="77777777" w:rsidTr="00923319">
        <w:tc>
          <w:tcPr>
            <w:tcW w:w="4817" w:type="dxa"/>
          </w:tcPr>
          <w:p w14:paraId="0E451686" w14:textId="77777777" w:rsidR="00923319" w:rsidRPr="00A67277" w:rsidRDefault="00923319" w:rsidP="00923319">
            <w:pPr>
              <w:pStyle w:val="SchHeading2"/>
              <w:numPr>
                <w:ilvl w:val="3"/>
                <w:numId w:val="564"/>
              </w:numPr>
              <w:spacing w:before="120" w:after="120"/>
              <w:rPr>
                <w:rFonts w:cs="Arial"/>
                <w:lang w:val="en-US"/>
              </w:rPr>
            </w:pPr>
            <w:bookmarkStart w:id="408" w:name="_Toc501179035"/>
            <w:r w:rsidRPr="00A67277">
              <w:rPr>
                <w:rFonts w:cs="Arial"/>
                <w:lang w:val="en-US"/>
              </w:rPr>
              <w:t>Commercial General Insurance</w:t>
            </w:r>
            <w:bookmarkEnd w:id="408"/>
          </w:p>
        </w:tc>
        <w:tc>
          <w:tcPr>
            <w:tcW w:w="222" w:type="dxa"/>
          </w:tcPr>
          <w:p w14:paraId="0B7DD85E" w14:textId="77777777" w:rsidR="00923319" w:rsidRPr="00A67277" w:rsidRDefault="00923319" w:rsidP="00923319">
            <w:pPr>
              <w:spacing w:before="120" w:after="120"/>
              <w:rPr>
                <w:rFonts w:ascii="Arial" w:hAnsi="Arial" w:cs="Arial"/>
                <w:sz w:val="21"/>
                <w:szCs w:val="21"/>
              </w:rPr>
            </w:pPr>
          </w:p>
        </w:tc>
        <w:tc>
          <w:tcPr>
            <w:tcW w:w="4662" w:type="dxa"/>
          </w:tcPr>
          <w:p w14:paraId="75E23EC6" w14:textId="77777777" w:rsidR="00923319" w:rsidRPr="00A67277" w:rsidRDefault="00923319" w:rsidP="00923319">
            <w:pPr>
              <w:pStyle w:val="SchNumber2"/>
              <w:numPr>
                <w:ilvl w:val="0"/>
                <w:numId w:val="594"/>
              </w:numPr>
              <w:spacing w:before="120" w:after="120"/>
              <w:ind w:left="959" w:hanging="560"/>
              <w:rPr>
                <w:rFonts w:cs="Arial"/>
                <w:lang w:val="en-US"/>
              </w:rPr>
            </w:pPr>
            <w:r w:rsidRPr="00A67277">
              <w:rPr>
                <w:rFonts w:cs="Arial"/>
                <w:b/>
                <w:lang w:val="en-US"/>
              </w:rPr>
              <w:t>Asuransi Komersial Umum</w:t>
            </w:r>
          </w:p>
        </w:tc>
      </w:tr>
      <w:tr w:rsidR="00923319" w:rsidRPr="00A67277" w14:paraId="5748F963" w14:textId="77777777" w:rsidTr="00923319">
        <w:tc>
          <w:tcPr>
            <w:tcW w:w="4817" w:type="dxa"/>
          </w:tcPr>
          <w:p w14:paraId="26D97BA8" w14:textId="38980839" w:rsidR="00923319" w:rsidRPr="00A67277" w:rsidRDefault="00923319" w:rsidP="00923319">
            <w:pPr>
              <w:pStyle w:val="Body2"/>
              <w:spacing w:before="120" w:after="120"/>
              <w:rPr>
                <w:rFonts w:cs="Arial"/>
                <w:lang w:val="en-US"/>
              </w:rPr>
            </w:pPr>
            <w:r w:rsidRPr="00A67277">
              <w:rPr>
                <w:rFonts w:cs="Arial"/>
                <w:lang w:val="en-US"/>
              </w:rPr>
              <w:t xml:space="preserve">Insurance policy </w:t>
            </w:r>
            <w:r w:rsidR="00C318DC">
              <w:rPr>
                <w:rFonts w:cs="Arial"/>
                <w:lang w:val="en-US"/>
              </w:rPr>
              <w:t xml:space="preserve">must cover </w:t>
            </w:r>
            <w:r w:rsidRPr="00A67277">
              <w:rPr>
                <w:rFonts w:cs="Arial"/>
                <w:lang w:val="en-US"/>
              </w:rPr>
              <w:t xml:space="preserve">insurance for third party </w:t>
            </w:r>
            <w:r w:rsidR="00C318DC">
              <w:rPr>
                <w:rFonts w:cs="Arial"/>
                <w:lang w:val="en-US"/>
              </w:rPr>
              <w:t xml:space="preserve">legal liability due to </w:t>
            </w:r>
            <w:r w:rsidRPr="00A67277">
              <w:rPr>
                <w:rFonts w:cs="Arial"/>
                <w:lang w:val="en-US"/>
              </w:rPr>
              <w:t xml:space="preserve">injury or damage to </w:t>
            </w:r>
            <w:r w:rsidR="00C318DC">
              <w:rPr>
                <w:rFonts w:cs="Arial"/>
                <w:lang w:val="en-US"/>
              </w:rPr>
              <w:t xml:space="preserve">property </w:t>
            </w:r>
            <w:r w:rsidRPr="00A67277">
              <w:rPr>
                <w:rFonts w:cs="Arial"/>
                <w:lang w:val="en-US"/>
              </w:rPr>
              <w:t>aris</w:t>
            </w:r>
            <w:r w:rsidR="00C318DC">
              <w:rPr>
                <w:rFonts w:cs="Arial"/>
                <w:lang w:val="en-US"/>
              </w:rPr>
              <w:t>ing</w:t>
            </w:r>
            <w:r w:rsidRPr="00A67277">
              <w:rPr>
                <w:rFonts w:cs="Arial"/>
                <w:lang w:val="en-US"/>
              </w:rPr>
              <w:t xml:space="preserve"> from construction, testing and functional </w:t>
            </w:r>
            <w:r w:rsidR="00C318DC">
              <w:rPr>
                <w:rFonts w:cs="Arial"/>
                <w:lang w:val="en-US"/>
              </w:rPr>
              <w:t>trials</w:t>
            </w:r>
            <w:r w:rsidR="00C318DC" w:rsidRPr="00A67277">
              <w:rPr>
                <w:rFonts w:cs="Arial"/>
                <w:lang w:val="en-US"/>
              </w:rPr>
              <w:t xml:space="preserve"> </w:t>
            </w:r>
            <w:r w:rsidR="00C318DC">
              <w:rPr>
                <w:rFonts w:cs="Arial"/>
                <w:lang w:val="en-US"/>
              </w:rPr>
              <w:t xml:space="preserve">of the </w:t>
            </w:r>
            <w:r w:rsidRPr="00A67277">
              <w:rPr>
                <w:rFonts w:cs="Arial"/>
                <w:lang w:val="en-US"/>
              </w:rPr>
              <w:t>Facility.</w:t>
            </w:r>
          </w:p>
        </w:tc>
        <w:tc>
          <w:tcPr>
            <w:tcW w:w="222" w:type="dxa"/>
          </w:tcPr>
          <w:p w14:paraId="00699C06" w14:textId="77777777" w:rsidR="00923319" w:rsidRPr="00A67277" w:rsidRDefault="00923319" w:rsidP="00923319">
            <w:pPr>
              <w:spacing w:before="120" w:after="120"/>
              <w:rPr>
                <w:rFonts w:ascii="Arial" w:hAnsi="Arial" w:cs="Arial"/>
                <w:sz w:val="21"/>
                <w:szCs w:val="21"/>
              </w:rPr>
            </w:pPr>
          </w:p>
        </w:tc>
        <w:tc>
          <w:tcPr>
            <w:tcW w:w="4662" w:type="dxa"/>
          </w:tcPr>
          <w:p w14:paraId="6E934A4C"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harus mencakup asuransi untuk pertanggungjawaban hukum pihak ketiga karena cedera atau kerusakan harta benda yang timbul dari konstruksi, pengujian dan percobaan fungsional atas Fasilitas.</w:t>
            </w:r>
          </w:p>
          <w:p w14:paraId="239647B0" w14:textId="77777777" w:rsidR="00923319" w:rsidRPr="00A67277" w:rsidRDefault="00923319" w:rsidP="00923319">
            <w:pPr>
              <w:pStyle w:val="SchNumber3"/>
              <w:numPr>
                <w:ilvl w:val="0"/>
                <w:numId w:val="0"/>
              </w:numPr>
              <w:spacing w:before="120" w:after="120"/>
              <w:ind w:left="959"/>
              <w:rPr>
                <w:rFonts w:cs="Arial"/>
                <w:lang w:val="en-US"/>
              </w:rPr>
            </w:pPr>
          </w:p>
        </w:tc>
      </w:tr>
      <w:tr w:rsidR="00923319" w:rsidRPr="00A67277" w14:paraId="78BD6612" w14:textId="77777777" w:rsidTr="00923319">
        <w:tc>
          <w:tcPr>
            <w:tcW w:w="4817" w:type="dxa"/>
          </w:tcPr>
          <w:p w14:paraId="25942BA0" w14:textId="3B80401C"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 xml:space="preserve">Insurance policy should not be less than 10 % of </w:t>
            </w:r>
            <w:r w:rsidR="00C318DC">
              <w:rPr>
                <w:rFonts w:cs="Arial"/>
                <w:lang w:val="en-US"/>
              </w:rPr>
              <w:t xml:space="preserve">sum </w:t>
            </w:r>
            <w:r w:rsidRPr="00A67277">
              <w:rPr>
                <w:rFonts w:cs="Arial"/>
                <w:lang w:val="en-US"/>
              </w:rPr>
              <w:t>insured for each claim.</w:t>
            </w:r>
          </w:p>
        </w:tc>
        <w:tc>
          <w:tcPr>
            <w:tcW w:w="222" w:type="dxa"/>
          </w:tcPr>
          <w:p w14:paraId="405A58BD" w14:textId="77777777" w:rsidR="00923319" w:rsidRPr="00A67277" w:rsidRDefault="00923319" w:rsidP="00923319">
            <w:pPr>
              <w:spacing w:before="120" w:after="120"/>
              <w:rPr>
                <w:rFonts w:ascii="Arial" w:hAnsi="Arial" w:cs="Arial"/>
                <w:sz w:val="21"/>
                <w:szCs w:val="21"/>
              </w:rPr>
            </w:pPr>
          </w:p>
        </w:tc>
        <w:tc>
          <w:tcPr>
            <w:tcW w:w="4662" w:type="dxa"/>
          </w:tcPr>
          <w:p w14:paraId="650B2CAA" w14:textId="77777777" w:rsidR="00923319" w:rsidRPr="00A67277" w:rsidRDefault="00923319" w:rsidP="00923319">
            <w:pPr>
              <w:pStyle w:val="Body2"/>
              <w:spacing w:before="120" w:after="120"/>
              <w:ind w:left="959"/>
              <w:rPr>
                <w:rFonts w:cs="Arial"/>
                <w:lang w:val="en-US"/>
              </w:rPr>
            </w:pPr>
            <w:r w:rsidRPr="00A67277">
              <w:rPr>
                <w:rFonts w:cs="Arial"/>
                <w:lang w:val="en-US"/>
              </w:rPr>
              <w:t>Polis asuransi tidak boleh kurang dari 10% dari nilai pertanggungan untuk setiap klaim.</w:t>
            </w:r>
          </w:p>
        </w:tc>
      </w:tr>
      <w:tr w:rsidR="00923319" w:rsidRPr="00A67277" w14:paraId="16921018" w14:textId="77777777" w:rsidTr="00923319">
        <w:tc>
          <w:tcPr>
            <w:tcW w:w="4817" w:type="dxa"/>
          </w:tcPr>
          <w:p w14:paraId="1501CB76" w14:textId="77777777" w:rsidR="00923319" w:rsidRPr="00A67277" w:rsidRDefault="00923319" w:rsidP="00923319">
            <w:pPr>
              <w:pStyle w:val="SchHeading2"/>
              <w:numPr>
                <w:ilvl w:val="3"/>
                <w:numId w:val="564"/>
              </w:numPr>
              <w:spacing w:before="120" w:after="120"/>
              <w:rPr>
                <w:rFonts w:cs="Arial"/>
                <w:lang w:val="en-US"/>
              </w:rPr>
            </w:pPr>
            <w:bookmarkStart w:id="409" w:name="_Toc501179036"/>
            <w:r w:rsidRPr="00A67277">
              <w:rPr>
                <w:rFonts w:cs="Arial"/>
                <w:lang w:val="en-US"/>
              </w:rPr>
              <w:t>Miscellaneous</w:t>
            </w:r>
            <w:bookmarkEnd w:id="409"/>
          </w:p>
        </w:tc>
        <w:tc>
          <w:tcPr>
            <w:tcW w:w="222" w:type="dxa"/>
          </w:tcPr>
          <w:p w14:paraId="00E7185B" w14:textId="77777777" w:rsidR="00923319" w:rsidRPr="00A67277" w:rsidRDefault="00923319" w:rsidP="00923319">
            <w:pPr>
              <w:spacing w:before="120" w:after="120"/>
              <w:rPr>
                <w:rFonts w:ascii="Arial" w:hAnsi="Arial" w:cs="Arial"/>
                <w:sz w:val="21"/>
                <w:szCs w:val="21"/>
              </w:rPr>
            </w:pPr>
          </w:p>
        </w:tc>
        <w:tc>
          <w:tcPr>
            <w:tcW w:w="4662" w:type="dxa"/>
          </w:tcPr>
          <w:p w14:paraId="3C9E0E29" w14:textId="77777777" w:rsidR="00923319" w:rsidRPr="00A67277" w:rsidRDefault="00923319" w:rsidP="00923319">
            <w:pPr>
              <w:pStyle w:val="SchNumber2"/>
              <w:numPr>
                <w:ilvl w:val="0"/>
                <w:numId w:val="594"/>
              </w:numPr>
              <w:spacing w:before="120" w:after="120"/>
              <w:ind w:left="959" w:hanging="560"/>
              <w:rPr>
                <w:rFonts w:cs="Arial"/>
                <w:lang w:val="en-US"/>
              </w:rPr>
            </w:pPr>
            <w:r w:rsidRPr="00A67277">
              <w:rPr>
                <w:rFonts w:cs="Arial"/>
                <w:b/>
                <w:lang w:val="en-US"/>
              </w:rPr>
              <w:t>Lain-lain</w:t>
            </w:r>
          </w:p>
        </w:tc>
      </w:tr>
      <w:tr w:rsidR="00923319" w:rsidRPr="00A67277" w14:paraId="4AF7BA4F" w14:textId="77777777" w:rsidTr="00923319">
        <w:tc>
          <w:tcPr>
            <w:tcW w:w="4817" w:type="dxa"/>
          </w:tcPr>
          <w:p w14:paraId="7C801573" w14:textId="07B43E1F" w:rsidR="00923319" w:rsidRPr="00A67277" w:rsidRDefault="00923319" w:rsidP="00923319">
            <w:pPr>
              <w:pStyle w:val="Body2"/>
              <w:spacing w:before="120" w:after="120"/>
              <w:rPr>
                <w:rFonts w:cs="Arial"/>
                <w:lang w:val="en-US"/>
              </w:rPr>
            </w:pPr>
            <w:r w:rsidRPr="00A67277">
              <w:rPr>
                <w:rFonts w:cs="Arial"/>
                <w:lang w:val="en-US"/>
              </w:rPr>
              <w:t xml:space="preserve">Other insurance is generally subject to, requested or </w:t>
            </w:r>
            <w:r w:rsidR="00681AF0">
              <w:rPr>
                <w:rFonts w:cs="Arial"/>
                <w:lang w:val="en-US"/>
              </w:rPr>
              <w:t xml:space="preserve">required </w:t>
            </w:r>
            <w:r w:rsidRPr="00A67277">
              <w:rPr>
                <w:rFonts w:cs="Arial"/>
                <w:lang w:val="en-US"/>
              </w:rPr>
              <w:t xml:space="preserve">to </w:t>
            </w:r>
            <w:r w:rsidR="00681AF0">
              <w:rPr>
                <w:rFonts w:cs="Arial"/>
                <w:lang w:val="en-US"/>
              </w:rPr>
              <w:t xml:space="preserve">comply with, </w:t>
            </w:r>
            <w:r w:rsidRPr="00A67277">
              <w:rPr>
                <w:rFonts w:cs="Arial"/>
                <w:lang w:val="en-US"/>
              </w:rPr>
              <w:t xml:space="preserve"> local conditions or other conditions </w:t>
            </w:r>
            <w:r w:rsidR="00681AF0">
              <w:rPr>
                <w:rFonts w:cs="Arial"/>
                <w:lang w:val="en-US"/>
              </w:rPr>
              <w:t>that apply</w:t>
            </w:r>
            <w:r w:rsidRPr="00A67277">
              <w:rPr>
                <w:rFonts w:cs="Arial"/>
                <w:lang w:val="en-US"/>
              </w:rPr>
              <w:t xml:space="preserve">, such as obligation to insure </w:t>
            </w:r>
            <w:r w:rsidR="00681AF0">
              <w:rPr>
                <w:rFonts w:cs="Arial"/>
                <w:lang w:val="en-US"/>
              </w:rPr>
              <w:t>liability</w:t>
            </w:r>
            <w:r w:rsidRPr="00A67277">
              <w:rPr>
                <w:rFonts w:cs="Arial"/>
                <w:lang w:val="en-US"/>
              </w:rPr>
              <w:t>, compensation for workers and insurance obligation for employer pertaining to all the employees in project development, as well as insurance coverage for all motor vehicle</w:t>
            </w:r>
            <w:r w:rsidR="00681AF0">
              <w:rPr>
                <w:rFonts w:cs="Arial"/>
                <w:lang w:val="en-US"/>
              </w:rPr>
              <w:t>s</w:t>
            </w:r>
            <w:r w:rsidRPr="00A67277">
              <w:rPr>
                <w:rFonts w:cs="Arial"/>
                <w:lang w:val="en-US"/>
              </w:rPr>
              <w:t xml:space="preserve"> owned, hired, leas</w:t>
            </w:r>
            <w:r w:rsidR="00681AF0">
              <w:rPr>
                <w:rFonts w:cs="Arial"/>
                <w:lang w:val="en-US"/>
              </w:rPr>
              <w:t>ed</w:t>
            </w:r>
            <w:r w:rsidRPr="00A67277">
              <w:rPr>
                <w:rFonts w:cs="Arial"/>
                <w:lang w:val="en-US"/>
              </w:rPr>
              <w:t>, used or l</w:t>
            </w:r>
            <w:r w:rsidR="00681AF0">
              <w:rPr>
                <w:rFonts w:cs="Arial"/>
                <w:lang w:val="en-US"/>
              </w:rPr>
              <w:t>oaned</w:t>
            </w:r>
            <w:r w:rsidRPr="00A67277">
              <w:rPr>
                <w:rFonts w:cs="Arial"/>
                <w:lang w:val="en-US"/>
              </w:rPr>
              <w:t xml:space="preserve"> with respect to the Project.</w:t>
            </w:r>
          </w:p>
        </w:tc>
        <w:tc>
          <w:tcPr>
            <w:tcW w:w="222" w:type="dxa"/>
          </w:tcPr>
          <w:p w14:paraId="58C3C779" w14:textId="77777777" w:rsidR="00923319" w:rsidRPr="00A67277" w:rsidRDefault="00923319" w:rsidP="00923319">
            <w:pPr>
              <w:spacing w:before="120" w:after="120"/>
              <w:rPr>
                <w:rFonts w:ascii="Arial" w:hAnsi="Arial" w:cs="Arial"/>
                <w:sz w:val="21"/>
                <w:szCs w:val="21"/>
              </w:rPr>
            </w:pPr>
          </w:p>
        </w:tc>
        <w:tc>
          <w:tcPr>
            <w:tcW w:w="4662" w:type="dxa"/>
          </w:tcPr>
          <w:p w14:paraId="69C85FF8" w14:textId="77777777" w:rsidR="00923319" w:rsidRPr="00A67277" w:rsidRDefault="00923319" w:rsidP="00923319">
            <w:pPr>
              <w:pStyle w:val="Body2"/>
              <w:spacing w:before="120" w:after="120"/>
              <w:ind w:left="959"/>
              <w:rPr>
                <w:rFonts w:cs="Arial"/>
                <w:lang w:val="en-US"/>
              </w:rPr>
            </w:pPr>
            <w:r w:rsidRPr="00A67277">
              <w:rPr>
                <w:rFonts w:cs="Arial"/>
                <w:lang w:val="en-US"/>
              </w:rPr>
              <w:t>Auransi lainnya secara umum tunduk pada, diminta atau diharuskan untuk patuh, kondisi setempat atau kondisi lain yang berlaku, seperti kewajiban untuk mengasuransikan tanggung jawab, kompensasi untuk pekerja dan kewajiban asuransi untuk pekerja yang berkaitan dengan perkembangan proyek, sebagaimana cakupan asuransi untuk semua kendaraan bermotor yang dimiliki, dipekerjakan, disewa, digunakan atau dipinjamkan untuk Proyek.</w:t>
            </w:r>
          </w:p>
          <w:p w14:paraId="4716A654" w14:textId="77777777" w:rsidR="00923319" w:rsidRPr="00A67277" w:rsidRDefault="00923319" w:rsidP="00923319">
            <w:pPr>
              <w:pStyle w:val="SchNumber3"/>
              <w:numPr>
                <w:ilvl w:val="0"/>
                <w:numId w:val="0"/>
              </w:numPr>
              <w:spacing w:before="120" w:after="120"/>
              <w:ind w:left="1418" w:hanging="709"/>
              <w:rPr>
                <w:rFonts w:cs="Arial"/>
                <w:lang w:val="id-ID"/>
              </w:rPr>
            </w:pPr>
          </w:p>
        </w:tc>
      </w:tr>
      <w:tr w:rsidR="00923319" w:rsidRPr="00A67277" w14:paraId="1D1FE611" w14:textId="77777777" w:rsidTr="00923319">
        <w:tc>
          <w:tcPr>
            <w:tcW w:w="4817" w:type="dxa"/>
          </w:tcPr>
          <w:p w14:paraId="1CB341B7" w14:textId="77777777" w:rsidR="00923319" w:rsidRPr="00A67277" w:rsidRDefault="00923319" w:rsidP="00923319">
            <w:pPr>
              <w:pStyle w:val="SchHeading2"/>
              <w:numPr>
                <w:ilvl w:val="3"/>
                <w:numId w:val="564"/>
              </w:numPr>
              <w:spacing w:before="120" w:after="120"/>
              <w:rPr>
                <w:rFonts w:cs="Arial"/>
                <w:lang w:val="en-US"/>
              </w:rPr>
            </w:pPr>
            <w:r w:rsidRPr="00A67277">
              <w:rPr>
                <w:rFonts w:cs="Arial"/>
              </w:rPr>
              <w:tab/>
            </w:r>
            <w:bookmarkStart w:id="410" w:name="_Toc501179037"/>
            <w:r w:rsidRPr="00A67277">
              <w:rPr>
                <w:rFonts w:cs="Arial"/>
                <w:lang w:val="en-US"/>
              </w:rPr>
              <w:t>Contractor Insurance During Construction Period</w:t>
            </w:r>
            <w:bookmarkEnd w:id="410"/>
          </w:p>
        </w:tc>
        <w:tc>
          <w:tcPr>
            <w:tcW w:w="222" w:type="dxa"/>
          </w:tcPr>
          <w:p w14:paraId="23ECDB3B" w14:textId="77777777" w:rsidR="00923319" w:rsidRPr="00A67277" w:rsidRDefault="00923319" w:rsidP="00923319">
            <w:pPr>
              <w:spacing w:before="120" w:after="120"/>
              <w:rPr>
                <w:rFonts w:ascii="Arial" w:hAnsi="Arial" w:cs="Arial"/>
                <w:sz w:val="21"/>
                <w:szCs w:val="21"/>
              </w:rPr>
            </w:pPr>
          </w:p>
        </w:tc>
        <w:tc>
          <w:tcPr>
            <w:tcW w:w="4662" w:type="dxa"/>
          </w:tcPr>
          <w:p w14:paraId="50A3206D" w14:textId="77777777" w:rsidR="00923319" w:rsidRPr="00A67277" w:rsidRDefault="00923319" w:rsidP="00923319">
            <w:pPr>
              <w:pStyle w:val="SchNumber2"/>
              <w:numPr>
                <w:ilvl w:val="0"/>
                <w:numId w:val="594"/>
              </w:numPr>
              <w:spacing w:before="120" w:after="120"/>
              <w:ind w:left="959" w:hanging="560"/>
              <w:rPr>
                <w:rFonts w:cs="Arial"/>
                <w:b/>
                <w:lang w:val="id-ID"/>
              </w:rPr>
            </w:pPr>
            <w:r w:rsidRPr="00A67277">
              <w:rPr>
                <w:rFonts w:cs="Arial"/>
                <w:b/>
                <w:lang w:val="de-DE"/>
              </w:rPr>
              <w:t>Asuransi Kontraktor Selama Jangka Waktu Konstruksi</w:t>
            </w:r>
          </w:p>
        </w:tc>
      </w:tr>
      <w:tr w:rsidR="00923319" w:rsidRPr="00A67277" w14:paraId="2B83AA72" w14:textId="77777777" w:rsidTr="00923319">
        <w:tc>
          <w:tcPr>
            <w:tcW w:w="4817" w:type="dxa"/>
          </w:tcPr>
          <w:p w14:paraId="6BC9E64D" w14:textId="3808BBD9" w:rsidR="00923319" w:rsidRPr="00A67277" w:rsidRDefault="00923319" w:rsidP="00923319">
            <w:pPr>
              <w:pStyle w:val="Body2"/>
              <w:spacing w:before="120" w:after="120"/>
              <w:rPr>
                <w:rFonts w:cs="Arial"/>
                <w:lang w:val="en-US"/>
              </w:rPr>
            </w:pPr>
            <w:r w:rsidRPr="00A67277">
              <w:rPr>
                <w:rFonts w:cs="Arial"/>
                <w:lang w:val="en-US"/>
              </w:rPr>
              <w:t xml:space="preserve">Without limiting obligations and the duties of the Contractors based on Contractors contract, the IBE should ensure that the Contractors are insured (at the IBE’s cost) with insurance policies under the name of IBE, the Contractor, the sub-contractors and other parties as determined by the IBE, for the best interests of the IBE, which shall include but not </w:t>
            </w:r>
            <w:r w:rsidR="00681AF0">
              <w:rPr>
                <w:rFonts w:cs="Arial"/>
                <w:lang w:val="en-US"/>
              </w:rPr>
              <w:t xml:space="preserve">be </w:t>
            </w:r>
            <w:r w:rsidRPr="00A67277">
              <w:rPr>
                <w:rFonts w:cs="Arial"/>
                <w:lang w:val="en-US"/>
              </w:rPr>
              <w:t xml:space="preserve">limited to insurance for construction equipment, </w:t>
            </w:r>
            <w:r w:rsidR="00681AF0">
              <w:rPr>
                <w:rFonts w:cs="Arial"/>
                <w:lang w:val="en-US"/>
              </w:rPr>
              <w:t xml:space="preserve">workers </w:t>
            </w:r>
            <w:r w:rsidRPr="00A67277">
              <w:rPr>
                <w:rFonts w:cs="Arial"/>
                <w:lang w:val="en-US"/>
              </w:rPr>
              <w:t xml:space="preserve">compensation, employer </w:t>
            </w:r>
            <w:r w:rsidR="00681AF0">
              <w:rPr>
                <w:rFonts w:cs="Arial"/>
                <w:lang w:val="en-US"/>
              </w:rPr>
              <w:t>liabilities</w:t>
            </w:r>
            <w:r w:rsidR="00681AF0" w:rsidRPr="00A67277">
              <w:rPr>
                <w:rFonts w:cs="Arial"/>
                <w:lang w:val="en-US"/>
              </w:rPr>
              <w:t xml:space="preserve"> </w:t>
            </w:r>
            <w:r w:rsidR="00681AF0">
              <w:rPr>
                <w:rFonts w:cs="Arial"/>
                <w:lang w:val="en-US"/>
              </w:rPr>
              <w:t xml:space="preserve">to </w:t>
            </w:r>
            <w:r w:rsidR="00681AF0" w:rsidRPr="00A67277">
              <w:rPr>
                <w:rFonts w:cs="Arial"/>
                <w:lang w:val="en-US"/>
              </w:rPr>
              <w:t xml:space="preserve"> </w:t>
            </w:r>
            <w:r w:rsidRPr="00A67277">
              <w:rPr>
                <w:rFonts w:cs="Arial"/>
                <w:lang w:val="en-US"/>
              </w:rPr>
              <w:t xml:space="preserve">Project employees, motor vehicles and other transportation insurances (as long as it is excluded in the Section 1.1) as well as Insurance for compensation </w:t>
            </w:r>
            <w:r w:rsidR="00681AF0">
              <w:rPr>
                <w:rFonts w:cs="Arial"/>
                <w:lang w:val="en-US"/>
              </w:rPr>
              <w:t>for</w:t>
            </w:r>
            <w:r w:rsidRPr="00A67277">
              <w:rPr>
                <w:rFonts w:cs="Arial"/>
                <w:lang w:val="en-US"/>
              </w:rPr>
              <w:t xml:space="preserve"> Contractor loss or damage for the work, </w:t>
            </w:r>
            <w:r w:rsidR="00681AF0">
              <w:rPr>
                <w:rFonts w:cs="Arial"/>
                <w:lang w:val="en-US"/>
              </w:rPr>
              <w:t xml:space="preserve">off-site </w:t>
            </w:r>
            <w:r w:rsidRPr="00A67277">
              <w:rPr>
                <w:rFonts w:cs="Arial"/>
                <w:lang w:val="en-US"/>
              </w:rPr>
              <w:t>manufacturing work and any implication arising out of defect</w:t>
            </w:r>
            <w:r w:rsidR="00681AF0">
              <w:rPr>
                <w:rFonts w:cs="Arial"/>
                <w:lang w:val="en-US"/>
              </w:rPr>
              <w:t>s</w:t>
            </w:r>
            <w:r w:rsidRPr="00A67277">
              <w:rPr>
                <w:rFonts w:cs="Arial"/>
                <w:lang w:val="en-US"/>
              </w:rPr>
              <w:t xml:space="preserve"> in design.</w:t>
            </w:r>
          </w:p>
        </w:tc>
        <w:tc>
          <w:tcPr>
            <w:tcW w:w="222" w:type="dxa"/>
          </w:tcPr>
          <w:p w14:paraId="3B9506CB" w14:textId="77777777" w:rsidR="00923319" w:rsidRPr="00A67277" w:rsidRDefault="00923319" w:rsidP="00923319">
            <w:pPr>
              <w:spacing w:before="120" w:after="120"/>
              <w:rPr>
                <w:rFonts w:ascii="Arial" w:hAnsi="Arial" w:cs="Arial"/>
                <w:sz w:val="21"/>
                <w:szCs w:val="21"/>
              </w:rPr>
            </w:pPr>
          </w:p>
        </w:tc>
        <w:tc>
          <w:tcPr>
            <w:tcW w:w="4662" w:type="dxa"/>
          </w:tcPr>
          <w:p w14:paraId="5F326619" w14:textId="77777777" w:rsidR="00923319" w:rsidRPr="00A67277" w:rsidRDefault="00923319" w:rsidP="00923319">
            <w:pPr>
              <w:pStyle w:val="Body2"/>
              <w:spacing w:before="120" w:after="120"/>
              <w:ind w:left="959"/>
              <w:rPr>
                <w:rFonts w:cs="Arial"/>
                <w:lang w:val="en-US"/>
              </w:rPr>
            </w:pPr>
            <w:r w:rsidRPr="00A67277">
              <w:rPr>
                <w:rFonts w:cs="Arial"/>
                <w:lang w:val="en-US"/>
              </w:rPr>
              <w:t>Tanpa membatasi kewajiban dan tugas Kontraktor berdasarkan perjanjian Kontraktor, BUP harus memastikan bahwa Kontraktor diasuransikan (dengan biaya BUP) dengan polis asuransi atas nama BUP, Kontraktor, subkontraktor dan pihak lain yang ditentukan oleh BUP, untuk manfaat terbaik, yang harus mencakup namu tidak terbatas pada asuransi untuk peralatan konstruksi, kompensasi pekerja, asuransi untuk kewajiban pemberi kerja terhadap pegawai Proyek, asuransi kendaraan bermotor dan transportasi Lainnya (sepanjang tidak termasuk dalam Bagian 1.1) dan Asuransi untuk kompensasi Kontraktor terhadap kerugian atau kerusakan pekerjaan, dan untuk pekerjaan yang berkaitan dengan pembuatan di luar lokasi, dan implikasinya timbul dari cacat desain.</w:t>
            </w:r>
          </w:p>
        </w:tc>
      </w:tr>
      <w:tr w:rsidR="00923319" w:rsidRPr="00A67277" w14:paraId="00011619" w14:textId="77777777" w:rsidTr="00923319">
        <w:tc>
          <w:tcPr>
            <w:tcW w:w="4817" w:type="dxa"/>
          </w:tcPr>
          <w:p w14:paraId="752E9753" w14:textId="77777777" w:rsidR="00923319" w:rsidRPr="00A67277" w:rsidRDefault="00923319" w:rsidP="00923319">
            <w:pPr>
              <w:pStyle w:val="SchHeading1"/>
              <w:numPr>
                <w:ilvl w:val="2"/>
                <w:numId w:val="564"/>
              </w:numPr>
              <w:spacing w:before="120" w:after="120"/>
              <w:rPr>
                <w:rFonts w:cs="Arial"/>
                <w:lang w:val="en-US"/>
              </w:rPr>
            </w:pPr>
            <w:r w:rsidRPr="00A67277">
              <w:rPr>
                <w:rFonts w:cs="Arial"/>
              </w:rPr>
              <w:tab/>
            </w:r>
            <w:bookmarkStart w:id="411" w:name="_Toc501179038"/>
            <w:r w:rsidRPr="00A67277">
              <w:rPr>
                <w:rFonts w:cs="Arial"/>
                <w:lang w:val="en-US"/>
              </w:rPr>
              <w:t>Policy and the guidelines on the insurance during the period of commercial operations of the Project</w:t>
            </w:r>
            <w:bookmarkEnd w:id="411"/>
          </w:p>
        </w:tc>
        <w:tc>
          <w:tcPr>
            <w:tcW w:w="222" w:type="dxa"/>
          </w:tcPr>
          <w:p w14:paraId="17704909" w14:textId="77777777" w:rsidR="00923319" w:rsidRPr="00A67277" w:rsidRDefault="00923319" w:rsidP="00923319">
            <w:pPr>
              <w:spacing w:before="120" w:after="120"/>
              <w:rPr>
                <w:rFonts w:ascii="Arial" w:hAnsi="Arial" w:cs="Arial"/>
                <w:sz w:val="21"/>
                <w:szCs w:val="21"/>
              </w:rPr>
            </w:pPr>
          </w:p>
        </w:tc>
        <w:tc>
          <w:tcPr>
            <w:tcW w:w="4662" w:type="dxa"/>
          </w:tcPr>
          <w:p w14:paraId="49AE97BD" w14:textId="77777777" w:rsidR="00923319" w:rsidRPr="00A67277" w:rsidRDefault="00923319" w:rsidP="00923319">
            <w:pPr>
              <w:pStyle w:val="ListParagraph"/>
              <w:numPr>
                <w:ilvl w:val="0"/>
                <w:numId w:val="593"/>
              </w:numPr>
              <w:spacing w:before="120" w:after="120"/>
              <w:ind w:hanging="557"/>
              <w:rPr>
                <w:rFonts w:cs="Arial"/>
              </w:rPr>
            </w:pPr>
            <w:r w:rsidRPr="00A67277">
              <w:rPr>
                <w:rFonts w:cs="Arial"/>
                <w:b/>
                <w:smallCaps/>
              </w:rPr>
              <w:t>Kebijakan dan Pedoman Asuransi Selama Masa Operasi Komersial Proyek</w:t>
            </w:r>
          </w:p>
          <w:p w14:paraId="4A0013B6" w14:textId="77777777" w:rsidR="00923319" w:rsidRPr="00A67277" w:rsidRDefault="00923319" w:rsidP="00923319">
            <w:pPr>
              <w:pStyle w:val="SchNumber3"/>
              <w:numPr>
                <w:ilvl w:val="0"/>
                <w:numId w:val="0"/>
              </w:numPr>
              <w:spacing w:before="120" w:after="120"/>
              <w:ind w:left="432"/>
              <w:rPr>
                <w:rFonts w:cs="Arial"/>
                <w:lang w:val="id-ID"/>
              </w:rPr>
            </w:pPr>
          </w:p>
        </w:tc>
      </w:tr>
      <w:tr w:rsidR="00923319" w:rsidRPr="00A67277" w14:paraId="19154855" w14:textId="77777777" w:rsidTr="00923319">
        <w:tc>
          <w:tcPr>
            <w:tcW w:w="4817" w:type="dxa"/>
          </w:tcPr>
          <w:p w14:paraId="44B95C8D" w14:textId="77777777" w:rsidR="00923319" w:rsidRPr="00A67277" w:rsidRDefault="00923319" w:rsidP="00923319">
            <w:pPr>
              <w:pStyle w:val="SchHeading2"/>
              <w:numPr>
                <w:ilvl w:val="3"/>
                <w:numId w:val="564"/>
              </w:numPr>
              <w:spacing w:before="120" w:after="120"/>
              <w:rPr>
                <w:rFonts w:cs="Arial"/>
                <w:lang w:val="en-US"/>
              </w:rPr>
            </w:pPr>
            <w:bookmarkStart w:id="412" w:name="_Toc501179039"/>
            <w:r w:rsidRPr="00A67277">
              <w:rPr>
                <w:rFonts w:cs="Arial"/>
                <w:lang w:val="en-US"/>
              </w:rPr>
              <w:t>Insurance For All Risk</w:t>
            </w:r>
            <w:bookmarkEnd w:id="412"/>
          </w:p>
        </w:tc>
        <w:tc>
          <w:tcPr>
            <w:tcW w:w="222" w:type="dxa"/>
          </w:tcPr>
          <w:p w14:paraId="16207228" w14:textId="77777777" w:rsidR="00923319" w:rsidRPr="00A67277" w:rsidRDefault="00923319" w:rsidP="00923319">
            <w:pPr>
              <w:spacing w:before="120" w:after="120"/>
              <w:rPr>
                <w:rFonts w:ascii="Arial" w:hAnsi="Arial" w:cs="Arial"/>
                <w:sz w:val="21"/>
                <w:szCs w:val="21"/>
              </w:rPr>
            </w:pPr>
          </w:p>
        </w:tc>
        <w:tc>
          <w:tcPr>
            <w:tcW w:w="4662" w:type="dxa"/>
          </w:tcPr>
          <w:p w14:paraId="75C81D34" w14:textId="77777777" w:rsidR="00923319" w:rsidRPr="00A67277" w:rsidRDefault="00923319" w:rsidP="00923319">
            <w:pPr>
              <w:pStyle w:val="SchNumber3"/>
              <w:numPr>
                <w:ilvl w:val="0"/>
                <w:numId w:val="595"/>
              </w:numPr>
              <w:spacing w:before="120" w:after="120"/>
              <w:ind w:left="703" w:hanging="540"/>
              <w:rPr>
                <w:rFonts w:cs="Arial"/>
                <w:b/>
                <w:lang w:val="id-ID"/>
              </w:rPr>
            </w:pPr>
            <w:r w:rsidRPr="00A67277">
              <w:rPr>
                <w:rFonts w:cs="Arial"/>
                <w:b/>
                <w:lang w:val="en-US"/>
              </w:rPr>
              <w:t xml:space="preserve">Asuransi Untuk </w:t>
            </w:r>
            <w:r w:rsidRPr="00A67277">
              <w:rPr>
                <w:rFonts w:cs="Arial"/>
                <w:b/>
                <w:i/>
                <w:lang w:val="en-US"/>
              </w:rPr>
              <w:t>All Risk</w:t>
            </w:r>
          </w:p>
        </w:tc>
      </w:tr>
      <w:tr w:rsidR="00923319" w:rsidRPr="00A67277" w14:paraId="748829C3" w14:textId="77777777" w:rsidTr="00923319">
        <w:tc>
          <w:tcPr>
            <w:tcW w:w="4817" w:type="dxa"/>
          </w:tcPr>
          <w:p w14:paraId="6084A2D8" w14:textId="26F15125" w:rsidR="00923319" w:rsidRPr="00A67277" w:rsidRDefault="00923319" w:rsidP="00923319">
            <w:pPr>
              <w:pStyle w:val="Body2"/>
              <w:spacing w:before="120" w:after="120"/>
              <w:rPr>
                <w:rFonts w:cs="Arial"/>
                <w:lang w:val="en-US"/>
              </w:rPr>
            </w:pPr>
            <w:r w:rsidRPr="00A67277">
              <w:rPr>
                <w:rFonts w:cs="Arial"/>
                <w:lang w:val="en-US"/>
              </w:rPr>
              <w:t>Insurance polic</w:t>
            </w:r>
            <w:r w:rsidR="00681AF0">
              <w:rPr>
                <w:rFonts w:cs="Arial"/>
                <w:lang w:val="en-US"/>
              </w:rPr>
              <w:t>ies</w:t>
            </w:r>
            <w:r w:rsidRPr="00A67277">
              <w:rPr>
                <w:rFonts w:cs="Arial"/>
                <w:lang w:val="en-US"/>
              </w:rPr>
              <w:t xml:space="preserve"> should include all contents of the buildings, machinery, fixed equipment, furniture and all other possessions as part of the Site for 'All Risks' or physical damage, including (but not limited to) loss or physical damage due to fire, </w:t>
            </w:r>
            <w:r w:rsidR="00681AF0">
              <w:rPr>
                <w:rFonts w:cs="Arial"/>
                <w:lang w:val="en-US"/>
              </w:rPr>
              <w:t>lightning</w:t>
            </w:r>
            <w:r w:rsidRPr="00A67277">
              <w:rPr>
                <w:rFonts w:cs="Arial"/>
                <w:lang w:val="en-US"/>
              </w:rPr>
              <w:t xml:space="preserve">, storm, wind, </w:t>
            </w:r>
            <w:r w:rsidR="00681AF0">
              <w:rPr>
                <w:rFonts w:cs="Arial"/>
                <w:lang w:val="en-US"/>
              </w:rPr>
              <w:t>water damage</w:t>
            </w:r>
            <w:r w:rsidRPr="00A67277">
              <w:rPr>
                <w:rFonts w:cs="Arial"/>
                <w:lang w:val="en-US"/>
              </w:rPr>
              <w:t>, chaos, strike, earthquake, tsunami, fall and/or loss of contents of tank.</w:t>
            </w:r>
          </w:p>
        </w:tc>
        <w:tc>
          <w:tcPr>
            <w:tcW w:w="222" w:type="dxa"/>
          </w:tcPr>
          <w:p w14:paraId="5B681AA0" w14:textId="77777777" w:rsidR="00923319" w:rsidRPr="00A67277" w:rsidRDefault="00923319" w:rsidP="00923319">
            <w:pPr>
              <w:spacing w:before="120" w:after="120"/>
              <w:rPr>
                <w:rFonts w:ascii="Arial" w:hAnsi="Arial" w:cs="Arial"/>
                <w:sz w:val="21"/>
                <w:szCs w:val="21"/>
              </w:rPr>
            </w:pPr>
          </w:p>
        </w:tc>
        <w:tc>
          <w:tcPr>
            <w:tcW w:w="4662" w:type="dxa"/>
          </w:tcPr>
          <w:p w14:paraId="43D24404" w14:textId="77777777" w:rsidR="00923319" w:rsidRPr="00A67277" w:rsidRDefault="00923319" w:rsidP="00923319">
            <w:pPr>
              <w:pStyle w:val="Body2"/>
              <w:spacing w:before="120" w:after="120"/>
              <w:ind w:left="703"/>
              <w:rPr>
                <w:rFonts w:cs="Arial"/>
                <w:lang w:val="id-ID"/>
              </w:rPr>
            </w:pPr>
            <w:r w:rsidRPr="00A67277">
              <w:rPr>
                <w:rFonts w:cs="Arial"/>
                <w:lang w:val="en-US"/>
              </w:rPr>
              <w:t>Polis asuransi harus mencakup semua isi bangunan, mesin, perlengkapan tetap, perabotan dan segala kepemilikan lainnya sebagai bagian dari Fasilitas untuk kerugian ‘all risk’ atau kerusakan fisik, termasuk (namun tidak terbatas pada), kehilangan atau kerusakan fisik akibat kebakaran, petir, badai, angin, angin, kerusakan air, kekacauan, mogok, kerusakan serius, gempa bumi, tsunami, jatuh dan/atau hilangnya isi tangki.</w:t>
            </w:r>
          </w:p>
        </w:tc>
      </w:tr>
      <w:tr w:rsidR="00923319" w:rsidRPr="00A67277" w14:paraId="54B8598D" w14:textId="77777777" w:rsidTr="00923319">
        <w:tc>
          <w:tcPr>
            <w:tcW w:w="4817" w:type="dxa"/>
          </w:tcPr>
          <w:p w14:paraId="26B715A7" w14:textId="666382FF" w:rsidR="00923319" w:rsidRPr="00A67277" w:rsidRDefault="00923319" w:rsidP="00923319">
            <w:pPr>
              <w:pStyle w:val="Body2"/>
              <w:spacing w:before="120" w:after="120"/>
              <w:rPr>
                <w:rFonts w:cs="Arial"/>
                <w:lang w:val="en-US"/>
              </w:rPr>
            </w:pPr>
            <w:r w:rsidRPr="00A67277">
              <w:rPr>
                <w:rFonts w:cs="Arial"/>
                <w:lang w:val="en-US"/>
              </w:rPr>
              <w:t xml:space="preserve">Insurance policy must be no less than the maximum amount of loss expected </w:t>
            </w:r>
            <w:r w:rsidR="00681AF0">
              <w:rPr>
                <w:rFonts w:cs="Arial"/>
                <w:lang w:val="en-US"/>
              </w:rPr>
              <w:t xml:space="preserve">from </w:t>
            </w:r>
            <w:r w:rsidRPr="00A67277">
              <w:rPr>
                <w:rFonts w:cs="Arial"/>
                <w:lang w:val="en-US"/>
              </w:rPr>
              <w:t xml:space="preserve">the Site (by taking </w:t>
            </w:r>
            <w:r w:rsidR="001B4D62">
              <w:rPr>
                <w:rFonts w:cs="Arial"/>
                <w:lang w:val="en-US"/>
              </w:rPr>
              <w:t xml:space="preserve">into </w:t>
            </w:r>
            <w:r w:rsidRPr="00A67277">
              <w:rPr>
                <w:rFonts w:cs="Arial"/>
                <w:lang w:val="en-US"/>
              </w:rPr>
              <w:t xml:space="preserve">account </w:t>
            </w:r>
            <w:r w:rsidR="00681AF0">
              <w:rPr>
                <w:rFonts w:cs="Arial"/>
                <w:lang w:val="en-US"/>
              </w:rPr>
              <w:t xml:space="preserve">appropriate </w:t>
            </w:r>
            <w:r w:rsidRPr="00A67277">
              <w:rPr>
                <w:rFonts w:cs="Arial"/>
                <w:lang w:val="en-US"/>
              </w:rPr>
              <w:t>sub-restriction</w:t>
            </w:r>
            <w:r w:rsidR="00681AF0">
              <w:rPr>
                <w:rFonts w:cs="Arial"/>
                <w:lang w:val="en-US"/>
              </w:rPr>
              <w:t>s</w:t>
            </w:r>
            <w:r w:rsidRPr="00A67277">
              <w:rPr>
                <w:rFonts w:cs="Arial"/>
                <w:lang w:val="en-US"/>
              </w:rPr>
              <w:t xml:space="preserve">) based on </w:t>
            </w:r>
            <w:r w:rsidR="001B4D62">
              <w:rPr>
                <w:rFonts w:cs="Arial"/>
                <w:lang w:val="en-US"/>
              </w:rPr>
              <w:t xml:space="preserve">a </w:t>
            </w:r>
            <w:r w:rsidRPr="00A67277">
              <w:rPr>
                <w:rFonts w:cs="Arial"/>
                <w:lang w:val="en-US"/>
              </w:rPr>
              <w:t xml:space="preserve">report of one independent insurance </w:t>
            </w:r>
            <w:r w:rsidR="001B4D62">
              <w:rPr>
                <w:rFonts w:cs="Arial"/>
                <w:lang w:val="en-US"/>
              </w:rPr>
              <w:t xml:space="preserve">agent </w:t>
            </w:r>
            <w:r w:rsidRPr="00A67277">
              <w:rPr>
                <w:rFonts w:cs="Arial"/>
                <w:lang w:val="en-US"/>
              </w:rPr>
              <w:t>selected from five well-known international</w:t>
            </w:r>
            <w:r w:rsidRPr="00A67277" w:rsidDel="008F1D95">
              <w:rPr>
                <w:rFonts w:cs="Arial"/>
                <w:lang w:val="en-US"/>
              </w:rPr>
              <w:t xml:space="preserve"> </w:t>
            </w:r>
            <w:r w:rsidRPr="00A67277">
              <w:rPr>
                <w:rFonts w:cs="Arial"/>
                <w:lang w:val="en-US"/>
              </w:rPr>
              <w:t xml:space="preserve">insurance </w:t>
            </w:r>
            <w:r w:rsidR="001B4D62">
              <w:rPr>
                <w:rFonts w:cs="Arial"/>
                <w:lang w:val="en-US"/>
              </w:rPr>
              <w:t>agents</w:t>
            </w:r>
            <w:r w:rsidRPr="00A67277">
              <w:rPr>
                <w:rFonts w:cs="Arial"/>
                <w:lang w:val="en-US"/>
              </w:rPr>
              <w:t xml:space="preserve">, by the reduction of </w:t>
            </w:r>
            <w:r w:rsidR="001B4D62">
              <w:rPr>
                <w:rFonts w:cs="Arial"/>
                <w:lang w:val="en-US"/>
              </w:rPr>
              <w:t xml:space="preserve">a </w:t>
            </w:r>
            <w:r w:rsidRPr="00A67277">
              <w:rPr>
                <w:rFonts w:cs="Arial"/>
                <w:lang w:val="en-US"/>
              </w:rPr>
              <w:t xml:space="preserve">maximum 10 (ten) </w:t>
            </w:r>
            <w:r w:rsidR="001B4D62" w:rsidRPr="001B4D62">
              <w:rPr>
                <w:rFonts w:cs="Arial"/>
                <w:lang w:val="en-US"/>
              </w:rPr>
              <w:t xml:space="preserve">of the value </w:t>
            </w:r>
            <w:r w:rsidR="001B4D62">
              <w:rPr>
                <w:rFonts w:cs="Arial"/>
                <w:lang w:val="en-US"/>
              </w:rPr>
              <w:t xml:space="preserve">of </w:t>
            </w:r>
            <w:r w:rsidR="001B4D62" w:rsidRPr="001B4D62">
              <w:rPr>
                <w:rFonts w:cs="Arial"/>
                <w:lang w:val="en-US"/>
              </w:rPr>
              <w:t>higher coverage or reduction as agreed by the PJPK</w:t>
            </w:r>
            <w:r w:rsidR="00783006">
              <w:rPr>
                <w:rFonts w:cs="Arial"/>
                <w:lang w:val="en-US"/>
              </w:rPr>
              <w:t xml:space="preserve"> </w:t>
            </w:r>
            <w:r w:rsidRPr="00A67277">
              <w:rPr>
                <w:rFonts w:cs="Arial"/>
                <w:lang w:val="en-US"/>
              </w:rPr>
              <w:t>by GCA.</w:t>
            </w:r>
          </w:p>
        </w:tc>
        <w:tc>
          <w:tcPr>
            <w:tcW w:w="222" w:type="dxa"/>
          </w:tcPr>
          <w:p w14:paraId="58C66C3A" w14:textId="77777777" w:rsidR="00923319" w:rsidRPr="00A67277" w:rsidRDefault="00923319" w:rsidP="00923319">
            <w:pPr>
              <w:spacing w:before="120" w:after="120"/>
              <w:rPr>
                <w:rFonts w:ascii="Arial" w:hAnsi="Arial" w:cs="Arial"/>
                <w:sz w:val="21"/>
                <w:szCs w:val="21"/>
              </w:rPr>
            </w:pPr>
          </w:p>
        </w:tc>
        <w:tc>
          <w:tcPr>
            <w:tcW w:w="4662" w:type="dxa"/>
          </w:tcPr>
          <w:p w14:paraId="4F32CEA0" w14:textId="77777777" w:rsidR="00923319" w:rsidRPr="00A67277" w:rsidRDefault="00923319" w:rsidP="00291AD9">
            <w:pPr>
              <w:pStyle w:val="Body2"/>
              <w:spacing w:before="120" w:after="120"/>
              <w:ind w:left="720"/>
              <w:rPr>
                <w:rFonts w:cs="Arial"/>
                <w:lang w:val="en-US"/>
              </w:rPr>
            </w:pPr>
            <w:r w:rsidRPr="00A67277">
              <w:rPr>
                <w:rFonts w:cs="Arial"/>
                <w:lang w:val="en-US"/>
              </w:rPr>
              <w:t>Polis asuransi harus tidak kurang dari jumlah kerugian maksimum yang diharapkan dari Fasilitas (dengan memperhitungkan sub-restriksi yang tepat) berdasarkan laporan dari satu agen asuransi independen yang dipilih dari lima agen asuransi internasional terkemuka, oleh pengurangan maksimal sebesar 10 persen (sepuluh persen) dari nilai pertanggungan atau pengurangan yang lebih tinggi seperti yang disetujui oleh PJPK.</w:t>
            </w:r>
          </w:p>
          <w:p w14:paraId="6B2DBCFE" w14:textId="77777777" w:rsidR="00923319" w:rsidRPr="00A67277" w:rsidRDefault="00923319" w:rsidP="00923319">
            <w:pPr>
              <w:pStyle w:val="SchNumber3"/>
              <w:numPr>
                <w:ilvl w:val="0"/>
                <w:numId w:val="0"/>
              </w:numPr>
              <w:spacing w:before="120" w:after="120"/>
              <w:ind w:left="432"/>
              <w:rPr>
                <w:rFonts w:cs="Arial"/>
                <w:lang w:val="id-ID"/>
              </w:rPr>
            </w:pPr>
          </w:p>
        </w:tc>
      </w:tr>
      <w:tr w:rsidR="00923319" w:rsidRPr="00A67277" w14:paraId="31CC14E9" w14:textId="77777777" w:rsidTr="00923319">
        <w:tc>
          <w:tcPr>
            <w:tcW w:w="4817" w:type="dxa"/>
          </w:tcPr>
          <w:p w14:paraId="3F506B09" w14:textId="77777777" w:rsidR="00923319" w:rsidRPr="00A67277" w:rsidRDefault="00923319" w:rsidP="00923319">
            <w:pPr>
              <w:pStyle w:val="SchHeading2"/>
              <w:numPr>
                <w:ilvl w:val="3"/>
                <w:numId w:val="564"/>
              </w:numPr>
              <w:spacing w:before="120" w:after="120"/>
              <w:rPr>
                <w:rFonts w:cs="Arial"/>
                <w:lang w:val="en-US"/>
              </w:rPr>
            </w:pPr>
            <w:bookmarkStart w:id="413" w:name="_Toc501179040"/>
            <w:r w:rsidRPr="00A67277">
              <w:rPr>
                <w:rFonts w:cs="Arial"/>
                <w:lang w:val="en-US"/>
              </w:rPr>
              <w:t>Loss of Income to All Risks</w:t>
            </w:r>
            <w:bookmarkEnd w:id="413"/>
          </w:p>
        </w:tc>
        <w:tc>
          <w:tcPr>
            <w:tcW w:w="222" w:type="dxa"/>
          </w:tcPr>
          <w:p w14:paraId="0B2718EE" w14:textId="77777777" w:rsidR="00923319" w:rsidRPr="00A67277" w:rsidRDefault="00923319" w:rsidP="00923319">
            <w:pPr>
              <w:spacing w:before="120" w:after="120"/>
              <w:rPr>
                <w:rFonts w:ascii="Arial" w:hAnsi="Arial" w:cs="Arial"/>
                <w:sz w:val="21"/>
                <w:szCs w:val="21"/>
              </w:rPr>
            </w:pPr>
          </w:p>
        </w:tc>
        <w:tc>
          <w:tcPr>
            <w:tcW w:w="4662" w:type="dxa"/>
          </w:tcPr>
          <w:p w14:paraId="75F42212" w14:textId="77777777" w:rsidR="00923319" w:rsidRPr="00A67277" w:rsidRDefault="00923319" w:rsidP="00923319">
            <w:pPr>
              <w:pStyle w:val="SchNumber3"/>
              <w:numPr>
                <w:ilvl w:val="0"/>
                <w:numId w:val="595"/>
              </w:numPr>
              <w:spacing w:before="120" w:after="120"/>
              <w:ind w:left="703" w:hanging="540"/>
              <w:rPr>
                <w:rFonts w:cs="Arial"/>
                <w:b/>
                <w:lang w:val="en-US"/>
              </w:rPr>
            </w:pPr>
            <w:r w:rsidRPr="00A67277">
              <w:rPr>
                <w:rFonts w:cs="Arial"/>
                <w:b/>
                <w:lang w:val="en-US"/>
              </w:rPr>
              <w:t>All Risk Terhadap Kerugian Pendapatan</w:t>
            </w:r>
          </w:p>
        </w:tc>
      </w:tr>
      <w:tr w:rsidR="00923319" w:rsidRPr="00A67277" w14:paraId="7A4C9AC6" w14:textId="77777777" w:rsidTr="00923319">
        <w:tc>
          <w:tcPr>
            <w:tcW w:w="4817" w:type="dxa"/>
          </w:tcPr>
          <w:p w14:paraId="7D4AF898" w14:textId="4CBB43FC" w:rsidR="00923319" w:rsidRPr="00A67277" w:rsidRDefault="00923319" w:rsidP="00923319">
            <w:pPr>
              <w:pStyle w:val="Body2"/>
              <w:spacing w:before="120" w:after="120"/>
              <w:rPr>
                <w:rFonts w:cs="Arial"/>
                <w:lang w:val="en-US"/>
              </w:rPr>
            </w:pPr>
            <w:r w:rsidRPr="00A67277">
              <w:rPr>
                <w:rFonts w:cs="Arial"/>
                <w:lang w:val="en-US"/>
              </w:rPr>
              <w:t xml:space="preserve">Insurance policy must cover loss of income as </w:t>
            </w:r>
            <w:r w:rsidR="001B4D62">
              <w:rPr>
                <w:rFonts w:cs="Arial"/>
                <w:lang w:val="en-US"/>
              </w:rPr>
              <w:t>resulting</w:t>
            </w:r>
            <w:r w:rsidRPr="00A67277">
              <w:rPr>
                <w:rFonts w:cs="Arial"/>
                <w:lang w:val="en-US"/>
              </w:rPr>
              <w:t xml:space="preserve"> directly from the loss or damage </w:t>
            </w:r>
            <w:r w:rsidR="001B4D62">
              <w:rPr>
                <w:rFonts w:cs="Arial"/>
                <w:lang w:val="en-US"/>
              </w:rPr>
              <w:t xml:space="preserve">to the </w:t>
            </w:r>
            <w:r w:rsidRPr="00A67277">
              <w:rPr>
                <w:rFonts w:cs="Arial"/>
                <w:lang w:val="en-US"/>
              </w:rPr>
              <w:t xml:space="preserve">Facilities and caused by </w:t>
            </w:r>
            <w:r w:rsidR="001B4D62">
              <w:rPr>
                <w:rFonts w:cs="Arial"/>
                <w:lang w:val="en-US"/>
              </w:rPr>
              <w:t xml:space="preserve">insured </w:t>
            </w:r>
            <w:r w:rsidRPr="00A67277">
              <w:rPr>
                <w:rFonts w:cs="Arial"/>
                <w:lang w:val="en-US"/>
              </w:rPr>
              <w:t xml:space="preserve">risk based on </w:t>
            </w:r>
            <w:r w:rsidR="001B4D62">
              <w:rPr>
                <w:rFonts w:cs="Arial"/>
                <w:lang w:val="en-US"/>
              </w:rPr>
              <w:t xml:space="preserve">all risk </w:t>
            </w:r>
            <w:r w:rsidRPr="00A67277">
              <w:rPr>
                <w:rFonts w:cs="Arial"/>
                <w:lang w:val="en-US"/>
              </w:rPr>
              <w:t>insurance</w:t>
            </w:r>
            <w:r w:rsidR="001B4D62">
              <w:rPr>
                <w:rFonts w:cs="Arial"/>
                <w:lang w:val="en-US"/>
              </w:rPr>
              <w:t>.</w:t>
            </w:r>
          </w:p>
        </w:tc>
        <w:tc>
          <w:tcPr>
            <w:tcW w:w="222" w:type="dxa"/>
          </w:tcPr>
          <w:p w14:paraId="402FEA23" w14:textId="77777777" w:rsidR="00923319" w:rsidRPr="00A67277" w:rsidRDefault="00923319" w:rsidP="00923319">
            <w:pPr>
              <w:spacing w:before="120" w:after="120"/>
              <w:rPr>
                <w:rFonts w:ascii="Arial" w:hAnsi="Arial" w:cs="Arial"/>
                <w:sz w:val="21"/>
                <w:szCs w:val="21"/>
              </w:rPr>
            </w:pPr>
          </w:p>
        </w:tc>
        <w:tc>
          <w:tcPr>
            <w:tcW w:w="4662" w:type="dxa"/>
          </w:tcPr>
          <w:p w14:paraId="09361191" w14:textId="77777777" w:rsidR="00923319" w:rsidRPr="00A67277" w:rsidRDefault="00923319" w:rsidP="00923319">
            <w:pPr>
              <w:pStyle w:val="Body2"/>
              <w:spacing w:before="120" w:after="120"/>
              <w:ind w:left="703"/>
              <w:rPr>
                <w:rFonts w:cs="Arial"/>
                <w:lang w:val="en-US"/>
              </w:rPr>
            </w:pPr>
            <w:r w:rsidRPr="00A67277">
              <w:rPr>
                <w:rFonts w:cs="Arial"/>
                <w:lang w:val="en-US"/>
              </w:rPr>
              <w:t xml:space="preserve">Polis asuransi harus mencakup asuransi terhadap hilangnya pendapatan akibat langsung dari kerugian atau kerusakan Fasilitas dan yang disebabkan oleh risiko diasuransikan berdasarkan asuransi all risk. </w:t>
            </w:r>
          </w:p>
        </w:tc>
      </w:tr>
      <w:tr w:rsidR="00923319" w:rsidRPr="00A67277" w14:paraId="4D073DC8" w14:textId="77777777" w:rsidTr="00923319">
        <w:trPr>
          <w:trHeight w:val="3140"/>
        </w:trPr>
        <w:tc>
          <w:tcPr>
            <w:tcW w:w="4817" w:type="dxa"/>
          </w:tcPr>
          <w:p w14:paraId="67DA997C" w14:textId="0050BB6B" w:rsidR="00923319" w:rsidRPr="00A67277" w:rsidRDefault="00923319" w:rsidP="00923319">
            <w:pPr>
              <w:pStyle w:val="Body2"/>
              <w:spacing w:before="120" w:after="120"/>
              <w:rPr>
                <w:rFonts w:cs="Arial"/>
                <w:lang w:val="en-US"/>
              </w:rPr>
            </w:pPr>
            <w:r w:rsidRPr="00A67277">
              <w:rPr>
                <w:rFonts w:cs="Arial"/>
                <w:lang w:val="en-US"/>
              </w:rPr>
              <w:t xml:space="preserve">Insurance policy must be </w:t>
            </w:r>
            <w:r w:rsidR="0072678A">
              <w:rPr>
                <w:rFonts w:cs="Arial"/>
                <w:lang w:val="en-US"/>
              </w:rPr>
              <w:t xml:space="preserve">an amount </w:t>
            </w:r>
            <w:r w:rsidRPr="00A67277">
              <w:rPr>
                <w:rFonts w:cs="Arial"/>
                <w:lang w:val="en-US"/>
              </w:rPr>
              <w:t xml:space="preserve">equivalent </w:t>
            </w:r>
            <w:r w:rsidR="0072678A">
              <w:rPr>
                <w:rFonts w:cs="Arial"/>
                <w:lang w:val="en-US"/>
              </w:rPr>
              <w:t xml:space="preserve">to the </w:t>
            </w:r>
            <w:r w:rsidRPr="00A67277">
              <w:rPr>
                <w:rFonts w:cs="Arial"/>
                <w:lang w:val="en-US"/>
              </w:rPr>
              <w:t>estimate</w:t>
            </w:r>
            <w:r w:rsidR="0072678A">
              <w:rPr>
                <w:rFonts w:cs="Arial"/>
                <w:lang w:val="en-US"/>
              </w:rPr>
              <w:t>d</w:t>
            </w:r>
            <w:r w:rsidRPr="00A67277">
              <w:rPr>
                <w:rFonts w:cs="Arial"/>
                <w:lang w:val="en-US"/>
              </w:rPr>
              <w:t xml:space="preserve"> debt</w:t>
            </w:r>
            <w:r w:rsidR="0072678A">
              <w:rPr>
                <w:rFonts w:cs="Arial"/>
                <w:lang w:val="en-US"/>
              </w:rPr>
              <w:t xml:space="preserve"> relief </w:t>
            </w:r>
            <w:r w:rsidRPr="00A67277">
              <w:rPr>
                <w:rFonts w:cs="Arial"/>
                <w:lang w:val="en-US"/>
              </w:rPr>
              <w:t xml:space="preserve">for [***] (***) months based on </w:t>
            </w:r>
            <w:r w:rsidR="0072678A">
              <w:rPr>
                <w:rFonts w:cs="Arial"/>
                <w:lang w:val="en-US"/>
              </w:rPr>
              <w:t xml:space="preserve">the </w:t>
            </w:r>
            <w:r w:rsidRPr="00A67277">
              <w:rPr>
                <w:rFonts w:cs="Arial"/>
                <w:lang w:val="en-US"/>
              </w:rPr>
              <w:t>Financing Agreements and the compulsory payment must be based on the Project Agreements, with maximum deduction of sixty (60) Days.</w:t>
            </w:r>
          </w:p>
        </w:tc>
        <w:tc>
          <w:tcPr>
            <w:tcW w:w="222" w:type="dxa"/>
          </w:tcPr>
          <w:p w14:paraId="483F181E" w14:textId="77777777" w:rsidR="00923319" w:rsidRPr="00A67277" w:rsidRDefault="00923319" w:rsidP="00923319">
            <w:pPr>
              <w:spacing w:before="120" w:after="120"/>
              <w:rPr>
                <w:rFonts w:ascii="Arial" w:hAnsi="Arial" w:cs="Arial"/>
                <w:sz w:val="21"/>
                <w:szCs w:val="21"/>
              </w:rPr>
            </w:pPr>
          </w:p>
        </w:tc>
        <w:tc>
          <w:tcPr>
            <w:tcW w:w="4662" w:type="dxa"/>
          </w:tcPr>
          <w:p w14:paraId="378D0A38" w14:textId="77777777" w:rsidR="00923319" w:rsidRPr="00A67277" w:rsidRDefault="00923319" w:rsidP="00923319">
            <w:pPr>
              <w:pStyle w:val="Body2"/>
              <w:spacing w:before="120" w:after="120"/>
              <w:ind w:left="703"/>
              <w:rPr>
                <w:rFonts w:cs="Arial"/>
                <w:lang w:val="en-US"/>
              </w:rPr>
            </w:pPr>
            <w:r w:rsidRPr="00A67277">
              <w:rPr>
                <w:rFonts w:cs="Arial"/>
                <w:lang w:val="en-US"/>
              </w:rPr>
              <w:t>Polis asuransi harus dalam jumlah yang setara dengan taksiran pembebasan hutang selama [***] (***) bulan berdasarkan Perjanjian Pembiayaan dan pembayaran wajib harus didasarkan pada Perjanjian Proyek, dengan jumlah deduksi maksimum enam puluh (60) Hari.</w:t>
            </w:r>
          </w:p>
          <w:p w14:paraId="38CDDF96" w14:textId="77777777" w:rsidR="00923319" w:rsidRPr="00A67277" w:rsidRDefault="00923319" w:rsidP="00923319">
            <w:pPr>
              <w:pStyle w:val="SchNumber3"/>
              <w:numPr>
                <w:ilvl w:val="0"/>
                <w:numId w:val="0"/>
              </w:numPr>
              <w:spacing w:before="120" w:after="120"/>
              <w:ind w:left="703"/>
              <w:rPr>
                <w:rFonts w:cs="Arial"/>
                <w:lang w:val="en-US"/>
              </w:rPr>
            </w:pPr>
          </w:p>
        </w:tc>
      </w:tr>
      <w:tr w:rsidR="00923319" w:rsidRPr="00A67277" w14:paraId="3056ED44" w14:textId="77777777" w:rsidTr="00923319">
        <w:tc>
          <w:tcPr>
            <w:tcW w:w="4817" w:type="dxa"/>
          </w:tcPr>
          <w:p w14:paraId="29D9F5A7" w14:textId="77777777" w:rsidR="00923319" w:rsidRPr="00A67277" w:rsidRDefault="00923319" w:rsidP="00923319">
            <w:pPr>
              <w:pStyle w:val="SchHeading2"/>
              <w:numPr>
                <w:ilvl w:val="3"/>
                <w:numId w:val="564"/>
              </w:numPr>
              <w:spacing w:before="120" w:after="120"/>
              <w:rPr>
                <w:rFonts w:cs="Arial"/>
                <w:lang w:val="en-US"/>
              </w:rPr>
            </w:pPr>
            <w:bookmarkStart w:id="414" w:name="_Toc501179041"/>
            <w:r w:rsidRPr="00A67277">
              <w:rPr>
                <w:rFonts w:cs="Arial"/>
                <w:lang w:val="en-US"/>
              </w:rPr>
              <w:t>Equipment Failures</w:t>
            </w:r>
            <w:bookmarkEnd w:id="414"/>
          </w:p>
        </w:tc>
        <w:tc>
          <w:tcPr>
            <w:tcW w:w="222" w:type="dxa"/>
          </w:tcPr>
          <w:p w14:paraId="29B1D2E6" w14:textId="77777777" w:rsidR="00923319" w:rsidRPr="00A67277" w:rsidRDefault="00923319" w:rsidP="00923319">
            <w:pPr>
              <w:spacing w:before="120" w:after="120"/>
              <w:rPr>
                <w:rFonts w:ascii="Arial" w:hAnsi="Arial" w:cs="Arial"/>
                <w:sz w:val="21"/>
                <w:szCs w:val="21"/>
              </w:rPr>
            </w:pPr>
          </w:p>
        </w:tc>
        <w:tc>
          <w:tcPr>
            <w:tcW w:w="4662" w:type="dxa"/>
          </w:tcPr>
          <w:p w14:paraId="25F4831E" w14:textId="77777777" w:rsidR="00923319" w:rsidRPr="00A67277" w:rsidRDefault="00923319" w:rsidP="00923319">
            <w:pPr>
              <w:pStyle w:val="SchNumber3"/>
              <w:numPr>
                <w:ilvl w:val="0"/>
                <w:numId w:val="595"/>
              </w:numPr>
              <w:spacing w:before="120" w:after="120"/>
              <w:ind w:left="703" w:hanging="540"/>
              <w:rPr>
                <w:rFonts w:cs="Arial"/>
                <w:lang w:val="en-US"/>
              </w:rPr>
            </w:pPr>
            <w:r w:rsidRPr="00A67277">
              <w:rPr>
                <w:rFonts w:cs="Arial"/>
                <w:b/>
                <w:lang w:val="en-US"/>
              </w:rPr>
              <w:t>Kegagalan Peralatan</w:t>
            </w:r>
          </w:p>
        </w:tc>
      </w:tr>
      <w:tr w:rsidR="00923319" w:rsidRPr="00A67277" w14:paraId="45274FD2" w14:textId="77777777" w:rsidTr="00923319">
        <w:tc>
          <w:tcPr>
            <w:tcW w:w="4817" w:type="dxa"/>
          </w:tcPr>
          <w:p w14:paraId="11D91B9A" w14:textId="14E77DE6"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 xml:space="preserve">As far </w:t>
            </w:r>
            <w:r w:rsidR="0072678A">
              <w:rPr>
                <w:rFonts w:cs="Arial"/>
                <w:lang w:val="en-US"/>
              </w:rPr>
              <w:t xml:space="preserve">as it is </w:t>
            </w:r>
            <w:r w:rsidRPr="00A67277">
              <w:rPr>
                <w:rFonts w:cs="Arial"/>
                <w:lang w:val="en-US"/>
              </w:rPr>
              <w:t xml:space="preserve">not include </w:t>
            </w:r>
            <w:r w:rsidR="0072678A">
              <w:rPr>
                <w:rFonts w:cs="Arial"/>
                <w:lang w:val="en-US"/>
              </w:rPr>
              <w:t xml:space="preserve">in the </w:t>
            </w:r>
            <w:r w:rsidRPr="00A67277">
              <w:rPr>
                <w:rFonts w:cs="Arial"/>
                <w:lang w:val="en-US"/>
              </w:rPr>
              <w:t>under All Risk</w:t>
            </w:r>
            <w:r w:rsidR="0072678A">
              <w:rPr>
                <w:rFonts w:cs="Arial"/>
                <w:lang w:val="en-US"/>
              </w:rPr>
              <w:t xml:space="preserve"> Insurance </w:t>
            </w:r>
            <w:r w:rsidRPr="00A67277">
              <w:rPr>
                <w:rFonts w:cs="Arial"/>
                <w:lang w:val="en-US"/>
              </w:rPr>
              <w:t xml:space="preserve">based on paragraph 2.1 above, </w:t>
            </w:r>
            <w:r w:rsidR="0072678A">
              <w:rPr>
                <w:rFonts w:cs="Arial"/>
                <w:lang w:val="en-US"/>
              </w:rPr>
              <w:t xml:space="preserve">the </w:t>
            </w:r>
            <w:r w:rsidRPr="00A67277">
              <w:rPr>
                <w:rFonts w:cs="Arial"/>
                <w:lang w:val="en-US"/>
              </w:rPr>
              <w:t>insurance policy must cover all essential and additional equipment forming major parts of the Facility against loss or unexpected physical damage.</w:t>
            </w:r>
          </w:p>
        </w:tc>
        <w:tc>
          <w:tcPr>
            <w:tcW w:w="222" w:type="dxa"/>
          </w:tcPr>
          <w:p w14:paraId="5104AAE0" w14:textId="77777777" w:rsidR="00923319" w:rsidRPr="00A67277" w:rsidRDefault="00923319" w:rsidP="00923319">
            <w:pPr>
              <w:spacing w:before="120" w:after="120"/>
              <w:rPr>
                <w:rFonts w:ascii="Arial" w:hAnsi="Arial" w:cs="Arial"/>
                <w:sz w:val="21"/>
                <w:szCs w:val="21"/>
              </w:rPr>
            </w:pPr>
          </w:p>
        </w:tc>
        <w:tc>
          <w:tcPr>
            <w:tcW w:w="4662" w:type="dxa"/>
          </w:tcPr>
          <w:p w14:paraId="3B1C3B9A" w14:textId="77777777" w:rsidR="00923319" w:rsidRPr="00A67277" w:rsidRDefault="00923319" w:rsidP="00923319">
            <w:pPr>
              <w:pStyle w:val="Body2"/>
              <w:spacing w:before="120" w:after="120"/>
              <w:ind w:left="703"/>
              <w:rPr>
                <w:rFonts w:cs="Arial"/>
                <w:lang w:val="en-US"/>
              </w:rPr>
            </w:pPr>
            <w:r w:rsidRPr="00A67277">
              <w:rPr>
                <w:rFonts w:cs="Arial"/>
                <w:lang w:val="en-US"/>
              </w:rPr>
              <w:t>Selama tidak termasuk dalam Asuransi All Risk berdasarkan paragraf 2.1 di atas, polis asuransi harus mencakup asuransi atas semua peralatan penting dan tambahan yang membangun banyak bagian dari Fasilitas terhadap kerugian atau kerusakan fisik yang tiba-tiba dan tidak terduga.</w:t>
            </w:r>
          </w:p>
        </w:tc>
      </w:tr>
      <w:tr w:rsidR="00923319" w:rsidRPr="00A67277" w14:paraId="46BA62F6" w14:textId="77777777" w:rsidTr="00923319">
        <w:tc>
          <w:tcPr>
            <w:tcW w:w="4817" w:type="dxa"/>
          </w:tcPr>
          <w:p w14:paraId="102E1311" w14:textId="2FDD840E"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 xml:space="preserve">Insurance policy must be in equivalent to full replacement </w:t>
            </w:r>
            <w:r w:rsidR="0072678A">
              <w:rPr>
                <w:rFonts w:cs="Arial"/>
                <w:lang w:val="en-US"/>
              </w:rPr>
              <w:t xml:space="preserve">value </w:t>
            </w:r>
            <w:r w:rsidRPr="00A67277">
              <w:rPr>
                <w:rFonts w:cs="Arial"/>
                <w:lang w:val="en-US"/>
              </w:rPr>
              <w:t>of all essential and additional equipment</w:t>
            </w:r>
            <w:r w:rsidR="0072678A">
              <w:rPr>
                <w:rFonts w:cs="Arial"/>
                <w:lang w:val="en-US"/>
              </w:rPr>
              <w:t xml:space="preserve"> </w:t>
            </w:r>
            <w:r w:rsidR="0072678A" w:rsidRPr="0072678A">
              <w:rPr>
                <w:rFonts w:cs="Arial"/>
                <w:lang w:val="en-US"/>
              </w:rPr>
              <w:t>that forms part of the facility</w:t>
            </w:r>
            <w:r w:rsidRPr="00A67277">
              <w:rPr>
                <w:rFonts w:cs="Arial"/>
                <w:lang w:val="en-US"/>
              </w:rPr>
              <w:t xml:space="preserve">, with </w:t>
            </w:r>
            <w:r w:rsidR="0072678A">
              <w:rPr>
                <w:rFonts w:cs="Arial"/>
                <w:lang w:val="en-US"/>
              </w:rPr>
              <w:t xml:space="preserve">a </w:t>
            </w:r>
            <w:r w:rsidRPr="00A67277">
              <w:rPr>
                <w:rFonts w:cs="Arial"/>
                <w:lang w:val="en-US"/>
              </w:rPr>
              <w:t>maximum reduction of 10 percent (ten) of</w:t>
            </w:r>
            <w:r w:rsidR="0072678A">
              <w:rPr>
                <w:rFonts w:cs="Arial"/>
                <w:lang w:val="en-US"/>
              </w:rPr>
              <w:t xml:space="preserve"> the </w:t>
            </w:r>
            <w:r w:rsidRPr="00A67277">
              <w:rPr>
                <w:rFonts w:cs="Arial"/>
                <w:lang w:val="en-US"/>
              </w:rPr>
              <w:t xml:space="preserve">insured value or </w:t>
            </w:r>
            <w:r w:rsidR="0072678A">
              <w:rPr>
                <w:rFonts w:cs="Arial"/>
                <w:lang w:val="en-US"/>
              </w:rPr>
              <w:t xml:space="preserve">a </w:t>
            </w:r>
            <w:r w:rsidRPr="00A67277">
              <w:rPr>
                <w:rFonts w:cs="Arial"/>
                <w:lang w:val="en-US"/>
              </w:rPr>
              <w:t>higher reduction as approved by GCA,</w:t>
            </w:r>
          </w:p>
        </w:tc>
        <w:tc>
          <w:tcPr>
            <w:tcW w:w="222" w:type="dxa"/>
          </w:tcPr>
          <w:p w14:paraId="529E3C9B" w14:textId="77777777" w:rsidR="00923319" w:rsidRPr="00A67277" w:rsidRDefault="00923319" w:rsidP="00923319">
            <w:pPr>
              <w:spacing w:before="120" w:after="120"/>
              <w:rPr>
                <w:rFonts w:ascii="Arial" w:hAnsi="Arial" w:cs="Arial"/>
                <w:sz w:val="21"/>
                <w:szCs w:val="21"/>
              </w:rPr>
            </w:pPr>
          </w:p>
        </w:tc>
        <w:tc>
          <w:tcPr>
            <w:tcW w:w="4662" w:type="dxa"/>
          </w:tcPr>
          <w:p w14:paraId="1B87E073" w14:textId="77777777" w:rsidR="00923319" w:rsidRPr="00A67277" w:rsidRDefault="00923319" w:rsidP="00923319">
            <w:pPr>
              <w:pStyle w:val="Body2"/>
              <w:spacing w:before="120" w:after="120"/>
              <w:ind w:left="703"/>
              <w:rPr>
                <w:rFonts w:cs="Arial"/>
                <w:lang w:val="en-US"/>
              </w:rPr>
            </w:pPr>
            <w:r w:rsidRPr="00A67277">
              <w:rPr>
                <w:rFonts w:cs="Arial"/>
                <w:lang w:val="en-US"/>
              </w:rPr>
              <w:t>Polis asuransi harus setara dengan penggantian nilai seluruh peralatan penting dan tambahan yang membangun bagian Fasilitas, dengan pengurangan maksimum sebesar 10 persen (sepuluh persen) dari nilai pertanggungan atau pengurangan yang lebih tinggi sebagaimana disetujui oleh PJPK.</w:t>
            </w:r>
          </w:p>
        </w:tc>
      </w:tr>
      <w:tr w:rsidR="00923319" w:rsidRPr="00A67277" w14:paraId="442F6BCF" w14:textId="77777777" w:rsidTr="00923319">
        <w:tc>
          <w:tcPr>
            <w:tcW w:w="4817" w:type="dxa"/>
          </w:tcPr>
          <w:p w14:paraId="77734045" w14:textId="77777777" w:rsidR="00923319" w:rsidRPr="00A67277" w:rsidRDefault="00923319" w:rsidP="00923319">
            <w:pPr>
              <w:pStyle w:val="SchHeading2"/>
              <w:numPr>
                <w:ilvl w:val="3"/>
                <w:numId w:val="564"/>
              </w:numPr>
              <w:spacing w:before="120" w:after="120"/>
              <w:rPr>
                <w:rFonts w:cs="Arial"/>
                <w:lang w:val="en-US"/>
              </w:rPr>
            </w:pPr>
            <w:r w:rsidRPr="00A67277">
              <w:rPr>
                <w:rFonts w:cs="Arial"/>
              </w:rPr>
              <w:tab/>
            </w:r>
            <w:bookmarkStart w:id="415" w:name="_Toc501179042"/>
            <w:r w:rsidRPr="00A67277">
              <w:rPr>
                <w:rFonts w:cs="Arial"/>
                <w:lang w:val="en-US"/>
              </w:rPr>
              <w:t>Indirect Loss from Damaged Equipment</w:t>
            </w:r>
            <w:bookmarkEnd w:id="415"/>
            <w:r w:rsidRPr="00A67277">
              <w:rPr>
                <w:rFonts w:cs="Arial"/>
                <w:lang w:val="en-US"/>
              </w:rPr>
              <w:t xml:space="preserve"> </w:t>
            </w:r>
          </w:p>
        </w:tc>
        <w:tc>
          <w:tcPr>
            <w:tcW w:w="222" w:type="dxa"/>
          </w:tcPr>
          <w:p w14:paraId="1B758D28" w14:textId="77777777" w:rsidR="00923319" w:rsidRPr="00A67277" w:rsidRDefault="00923319" w:rsidP="00923319">
            <w:pPr>
              <w:spacing w:before="120" w:after="120"/>
              <w:rPr>
                <w:rFonts w:ascii="Arial" w:hAnsi="Arial" w:cs="Arial"/>
                <w:sz w:val="21"/>
                <w:szCs w:val="21"/>
              </w:rPr>
            </w:pPr>
          </w:p>
        </w:tc>
        <w:tc>
          <w:tcPr>
            <w:tcW w:w="4662" w:type="dxa"/>
          </w:tcPr>
          <w:p w14:paraId="07B4F533" w14:textId="77777777" w:rsidR="00923319" w:rsidRPr="00A67277" w:rsidRDefault="00923319" w:rsidP="00923319">
            <w:pPr>
              <w:pStyle w:val="SchNumber3"/>
              <w:numPr>
                <w:ilvl w:val="0"/>
                <w:numId w:val="595"/>
              </w:numPr>
              <w:spacing w:before="120" w:after="120"/>
              <w:ind w:left="703" w:hanging="540"/>
              <w:rPr>
                <w:rFonts w:cs="Arial"/>
                <w:lang w:val="de-DE"/>
              </w:rPr>
            </w:pPr>
            <w:r w:rsidRPr="00A67277">
              <w:rPr>
                <w:rFonts w:cs="Arial"/>
                <w:b/>
                <w:lang w:val="de-DE"/>
              </w:rPr>
              <w:t>Kerugian Tidak Langsung dari Kerusakan Peralatan</w:t>
            </w:r>
            <w:r w:rsidRPr="00A67277">
              <w:rPr>
                <w:rFonts w:cs="Arial"/>
                <w:lang w:val="de-DE"/>
              </w:rPr>
              <w:t xml:space="preserve"> </w:t>
            </w:r>
          </w:p>
        </w:tc>
      </w:tr>
      <w:tr w:rsidR="00923319" w:rsidRPr="00A67277" w14:paraId="101E8923" w14:textId="77777777" w:rsidTr="00923319">
        <w:tc>
          <w:tcPr>
            <w:tcW w:w="4817" w:type="dxa"/>
          </w:tcPr>
          <w:p w14:paraId="6A47CC92" w14:textId="601FD6E4" w:rsidR="00923319" w:rsidRPr="00A67277" w:rsidRDefault="00923319" w:rsidP="00923319">
            <w:pPr>
              <w:pStyle w:val="Body2"/>
              <w:spacing w:before="120" w:after="120"/>
              <w:rPr>
                <w:rFonts w:cs="Arial"/>
                <w:lang w:val="en-US"/>
              </w:rPr>
            </w:pPr>
            <w:r w:rsidRPr="00A67277">
              <w:rPr>
                <w:rFonts w:cs="Arial"/>
                <w:lang w:val="en-US"/>
              </w:rPr>
              <w:t xml:space="preserve">Insurance policy must cover loss of income as a direct consequence </w:t>
            </w:r>
            <w:r w:rsidR="0072678A">
              <w:rPr>
                <w:rFonts w:cs="Arial"/>
                <w:lang w:val="en-US"/>
              </w:rPr>
              <w:t xml:space="preserve">of </w:t>
            </w:r>
            <w:r w:rsidRPr="00A67277">
              <w:rPr>
                <w:rFonts w:cs="Arial"/>
                <w:lang w:val="en-US"/>
              </w:rPr>
              <w:t>the loss or damage of the Facility caused by insured risks.</w:t>
            </w:r>
          </w:p>
        </w:tc>
        <w:tc>
          <w:tcPr>
            <w:tcW w:w="222" w:type="dxa"/>
          </w:tcPr>
          <w:p w14:paraId="5F7FFE37" w14:textId="77777777" w:rsidR="00923319" w:rsidRPr="00A67277" w:rsidRDefault="00923319" w:rsidP="00923319">
            <w:pPr>
              <w:spacing w:before="120" w:after="120"/>
              <w:rPr>
                <w:rFonts w:ascii="Arial" w:hAnsi="Arial" w:cs="Arial"/>
                <w:sz w:val="21"/>
                <w:szCs w:val="21"/>
              </w:rPr>
            </w:pPr>
          </w:p>
        </w:tc>
        <w:tc>
          <w:tcPr>
            <w:tcW w:w="4662" w:type="dxa"/>
          </w:tcPr>
          <w:p w14:paraId="4C486383" w14:textId="77777777" w:rsidR="00923319" w:rsidRPr="00A67277" w:rsidRDefault="00923319" w:rsidP="00923319">
            <w:pPr>
              <w:pStyle w:val="Body2"/>
              <w:spacing w:before="120" w:after="120"/>
              <w:ind w:left="703"/>
              <w:rPr>
                <w:rFonts w:cs="Arial"/>
                <w:lang w:val="en-US"/>
              </w:rPr>
            </w:pPr>
            <w:r w:rsidRPr="00A67277">
              <w:rPr>
                <w:rFonts w:cs="Arial"/>
                <w:lang w:val="en-US"/>
              </w:rPr>
              <w:t>Polis asuransi harus melingkupi kerugian pendapatan sebagai konsekuensi langsung dari kerugian atau kerusakan Fasilitas yang diakibatkan oleh risiko terasuransi.</w:t>
            </w:r>
          </w:p>
        </w:tc>
      </w:tr>
      <w:tr w:rsidR="00923319" w:rsidRPr="00A67277" w14:paraId="3658E54F" w14:textId="77777777" w:rsidTr="00923319">
        <w:tc>
          <w:tcPr>
            <w:tcW w:w="4817" w:type="dxa"/>
          </w:tcPr>
          <w:p w14:paraId="7E7FB072" w14:textId="4136B44E" w:rsidR="00923319" w:rsidRPr="00A67277" w:rsidRDefault="00923319" w:rsidP="00923319">
            <w:pPr>
              <w:pStyle w:val="Body2"/>
              <w:spacing w:before="120" w:after="120"/>
              <w:rPr>
                <w:rFonts w:cs="Arial"/>
                <w:lang w:val="en-US"/>
              </w:rPr>
            </w:pPr>
            <w:r w:rsidRPr="00A67277">
              <w:rPr>
                <w:rFonts w:cs="Arial"/>
                <w:lang w:val="en-US"/>
              </w:rPr>
              <w:t xml:space="preserve">Insurance policy must be equivalent to </w:t>
            </w:r>
            <w:r w:rsidR="0072678A">
              <w:rPr>
                <w:rFonts w:cs="Arial"/>
                <w:lang w:val="en-US"/>
              </w:rPr>
              <w:t xml:space="preserve">the </w:t>
            </w:r>
            <w:r w:rsidRPr="00A67277">
              <w:rPr>
                <w:rFonts w:cs="Arial"/>
                <w:lang w:val="en-US"/>
              </w:rPr>
              <w:t xml:space="preserve"> estimate</w:t>
            </w:r>
            <w:r w:rsidR="0072678A">
              <w:rPr>
                <w:rFonts w:cs="Arial"/>
                <w:lang w:val="en-US"/>
              </w:rPr>
              <w:t xml:space="preserve">d amount of </w:t>
            </w:r>
            <w:r w:rsidRPr="00A67277">
              <w:rPr>
                <w:rFonts w:cs="Arial"/>
                <w:lang w:val="en-US"/>
              </w:rPr>
              <w:t>debt</w:t>
            </w:r>
            <w:r w:rsidR="0072678A">
              <w:rPr>
                <w:rFonts w:cs="Arial"/>
                <w:lang w:val="en-US"/>
              </w:rPr>
              <w:t xml:space="preserve"> repayment</w:t>
            </w:r>
            <w:r w:rsidRPr="00A67277">
              <w:rPr>
                <w:rFonts w:cs="Arial"/>
                <w:lang w:val="en-US"/>
              </w:rPr>
              <w:t xml:space="preserve"> for [***] (***) months </w:t>
            </w:r>
            <w:r w:rsidR="0072678A">
              <w:rPr>
                <w:rFonts w:cs="Arial"/>
                <w:lang w:val="en-US"/>
              </w:rPr>
              <w:t xml:space="preserve">based on the </w:t>
            </w:r>
            <w:r w:rsidRPr="00A67277">
              <w:rPr>
                <w:rFonts w:cs="Arial"/>
                <w:lang w:val="en-US"/>
              </w:rPr>
              <w:t xml:space="preserve">Financing Agreements and compulsory payment based on project </w:t>
            </w:r>
            <w:r w:rsidR="0072678A">
              <w:rPr>
                <w:rFonts w:cs="Arial"/>
                <w:lang w:val="en-US"/>
              </w:rPr>
              <w:t>agreement</w:t>
            </w:r>
            <w:r w:rsidRPr="00A67277">
              <w:rPr>
                <w:rFonts w:cs="Arial"/>
                <w:lang w:val="en-US"/>
              </w:rPr>
              <w:t xml:space="preserve">, with </w:t>
            </w:r>
            <w:r w:rsidR="0072678A">
              <w:rPr>
                <w:rFonts w:cs="Arial"/>
                <w:lang w:val="en-US"/>
              </w:rPr>
              <w:t xml:space="preserve">a </w:t>
            </w:r>
            <w:r w:rsidRPr="00A67277">
              <w:rPr>
                <w:rFonts w:cs="Arial"/>
                <w:lang w:val="en-US"/>
              </w:rPr>
              <w:t xml:space="preserve">maximum </w:t>
            </w:r>
            <w:r w:rsidR="0072678A">
              <w:rPr>
                <w:rFonts w:cs="Arial"/>
                <w:lang w:val="en-US"/>
              </w:rPr>
              <w:t>r</w:t>
            </w:r>
            <w:r w:rsidRPr="00A67277">
              <w:rPr>
                <w:rFonts w:cs="Arial"/>
                <w:lang w:val="en-US"/>
              </w:rPr>
              <w:t>eduction of sixty (60) Days.</w:t>
            </w:r>
          </w:p>
        </w:tc>
        <w:tc>
          <w:tcPr>
            <w:tcW w:w="222" w:type="dxa"/>
          </w:tcPr>
          <w:p w14:paraId="03A0F01E" w14:textId="77777777" w:rsidR="00923319" w:rsidRPr="00A67277" w:rsidRDefault="00923319" w:rsidP="00923319">
            <w:pPr>
              <w:spacing w:before="120" w:after="120"/>
              <w:rPr>
                <w:rFonts w:ascii="Arial" w:hAnsi="Arial" w:cs="Arial"/>
                <w:sz w:val="21"/>
                <w:szCs w:val="21"/>
              </w:rPr>
            </w:pPr>
          </w:p>
        </w:tc>
        <w:tc>
          <w:tcPr>
            <w:tcW w:w="4662" w:type="dxa"/>
          </w:tcPr>
          <w:p w14:paraId="50285530" w14:textId="77777777" w:rsidR="00923319" w:rsidRPr="00A67277" w:rsidRDefault="00923319" w:rsidP="00923319">
            <w:pPr>
              <w:pStyle w:val="Body2"/>
              <w:spacing w:before="120" w:after="120"/>
              <w:ind w:left="703"/>
              <w:rPr>
                <w:rFonts w:cs="Arial"/>
                <w:lang w:val="en-US"/>
              </w:rPr>
            </w:pPr>
            <w:r w:rsidRPr="00A67277">
              <w:rPr>
                <w:rFonts w:cs="Arial"/>
                <w:lang w:val="en-US"/>
              </w:rPr>
              <w:t>Polis asuransi harus setara dengan jumlah estimasi pelunasan hutang selama [***] (***) bulan berdasarkan Perjanjian Pembiayaan dan pembayaran wajib berdasarkan Kesepakatan proyek, dengan pengurangan maksimum enam puluh (60) Hari.</w:t>
            </w:r>
          </w:p>
        </w:tc>
      </w:tr>
      <w:tr w:rsidR="00923319" w:rsidRPr="00A67277" w14:paraId="31EF8859" w14:textId="77777777" w:rsidTr="00923319">
        <w:tc>
          <w:tcPr>
            <w:tcW w:w="4817" w:type="dxa"/>
          </w:tcPr>
          <w:p w14:paraId="0B61DD7F" w14:textId="77777777" w:rsidR="00923319" w:rsidRPr="00A67277" w:rsidRDefault="00923319" w:rsidP="00923319">
            <w:pPr>
              <w:pStyle w:val="SchHeading2"/>
              <w:numPr>
                <w:ilvl w:val="3"/>
                <w:numId w:val="564"/>
              </w:numPr>
              <w:spacing w:before="120" w:after="120"/>
              <w:rPr>
                <w:rFonts w:cs="Arial"/>
                <w:lang w:val="en-US"/>
              </w:rPr>
            </w:pPr>
            <w:bookmarkStart w:id="416" w:name="_Toc501179043"/>
            <w:r w:rsidRPr="00A67277">
              <w:rPr>
                <w:rFonts w:cs="Arial"/>
                <w:lang w:val="en-US"/>
              </w:rPr>
              <w:t>Insurance Commercial/General</w:t>
            </w:r>
            <w:bookmarkEnd w:id="416"/>
          </w:p>
        </w:tc>
        <w:tc>
          <w:tcPr>
            <w:tcW w:w="222" w:type="dxa"/>
          </w:tcPr>
          <w:p w14:paraId="447B03CA" w14:textId="77777777" w:rsidR="00923319" w:rsidRPr="00A67277" w:rsidRDefault="00923319" w:rsidP="00923319">
            <w:pPr>
              <w:spacing w:before="120" w:after="120"/>
              <w:rPr>
                <w:rFonts w:ascii="Arial" w:hAnsi="Arial" w:cs="Arial"/>
                <w:sz w:val="21"/>
                <w:szCs w:val="21"/>
              </w:rPr>
            </w:pPr>
          </w:p>
        </w:tc>
        <w:tc>
          <w:tcPr>
            <w:tcW w:w="4662" w:type="dxa"/>
          </w:tcPr>
          <w:p w14:paraId="3E4D2E21" w14:textId="77777777" w:rsidR="00923319" w:rsidRPr="00A67277" w:rsidRDefault="00923319" w:rsidP="00923319">
            <w:pPr>
              <w:pStyle w:val="SchNumber3"/>
              <w:numPr>
                <w:ilvl w:val="0"/>
                <w:numId w:val="595"/>
              </w:numPr>
              <w:spacing w:before="120" w:after="120"/>
              <w:ind w:left="703" w:hanging="540"/>
              <w:rPr>
                <w:rFonts w:cs="Arial"/>
                <w:lang w:val="en-US"/>
              </w:rPr>
            </w:pPr>
            <w:r w:rsidRPr="00A67277">
              <w:rPr>
                <w:rFonts w:cs="Arial"/>
                <w:b/>
                <w:lang w:val="en-US"/>
              </w:rPr>
              <w:t>Asuransi Komersial/Umum</w:t>
            </w:r>
          </w:p>
        </w:tc>
      </w:tr>
      <w:tr w:rsidR="00923319" w:rsidRPr="00A67277" w14:paraId="0742C9E2" w14:textId="77777777" w:rsidTr="00923319">
        <w:tc>
          <w:tcPr>
            <w:tcW w:w="4817" w:type="dxa"/>
          </w:tcPr>
          <w:p w14:paraId="4D4E8870" w14:textId="31446583" w:rsidR="00923319" w:rsidRPr="00A67277" w:rsidRDefault="00923319" w:rsidP="00923319">
            <w:pPr>
              <w:pStyle w:val="Body2"/>
              <w:spacing w:before="120" w:after="120"/>
              <w:rPr>
                <w:rFonts w:cs="Arial"/>
                <w:lang w:val="en-US"/>
              </w:rPr>
            </w:pPr>
            <w:r w:rsidRPr="00A67277">
              <w:rPr>
                <w:rFonts w:cs="Arial"/>
                <w:lang w:val="en-US"/>
              </w:rPr>
              <w:t>Insurance policy must cover legal liability to third part</w:t>
            </w:r>
            <w:r w:rsidR="0072678A">
              <w:rPr>
                <w:rFonts w:cs="Arial"/>
                <w:lang w:val="en-US"/>
              </w:rPr>
              <w:t>ies</w:t>
            </w:r>
            <w:r w:rsidRPr="00A67277">
              <w:rPr>
                <w:rFonts w:cs="Arial"/>
                <w:lang w:val="en-US"/>
              </w:rPr>
              <w:t xml:space="preserve"> for injury or damage to property arising out of the operation of the Project.</w:t>
            </w:r>
          </w:p>
        </w:tc>
        <w:tc>
          <w:tcPr>
            <w:tcW w:w="222" w:type="dxa"/>
          </w:tcPr>
          <w:p w14:paraId="58D4FCD0" w14:textId="77777777" w:rsidR="00923319" w:rsidRPr="00A67277" w:rsidRDefault="00923319" w:rsidP="00923319">
            <w:pPr>
              <w:spacing w:before="120" w:after="120"/>
              <w:rPr>
                <w:rFonts w:ascii="Arial" w:hAnsi="Arial" w:cs="Arial"/>
                <w:sz w:val="21"/>
                <w:szCs w:val="21"/>
              </w:rPr>
            </w:pPr>
          </w:p>
        </w:tc>
        <w:tc>
          <w:tcPr>
            <w:tcW w:w="4662" w:type="dxa"/>
          </w:tcPr>
          <w:p w14:paraId="7DF3A661" w14:textId="12A5629B" w:rsidR="00923319" w:rsidRPr="00A67277" w:rsidRDefault="00923319" w:rsidP="00923319">
            <w:pPr>
              <w:pStyle w:val="Body2"/>
              <w:spacing w:before="120" w:after="120"/>
              <w:ind w:left="703"/>
              <w:rPr>
                <w:rFonts w:cs="Arial"/>
                <w:lang w:val="en-US"/>
              </w:rPr>
            </w:pPr>
            <w:r w:rsidRPr="00A67277">
              <w:rPr>
                <w:rFonts w:cs="Arial"/>
                <w:lang w:val="en-US"/>
              </w:rPr>
              <w:t>Polis asuransi harus melingkupi pertanggungjawaban hukum kepada pihak ketiga karena cidera atau kerusakan propert</w:t>
            </w:r>
            <w:r w:rsidR="00803F64">
              <w:rPr>
                <w:rFonts w:cs="Arial"/>
                <w:lang w:val="en-US"/>
              </w:rPr>
              <w:t>i</w:t>
            </w:r>
            <w:r w:rsidRPr="00A67277">
              <w:rPr>
                <w:rFonts w:cs="Arial"/>
                <w:lang w:val="en-US"/>
              </w:rPr>
              <w:t xml:space="preserve"> yang timbul dari pengoperasian Proyek.</w:t>
            </w:r>
          </w:p>
        </w:tc>
      </w:tr>
      <w:tr w:rsidR="00923319" w:rsidRPr="00A67277" w14:paraId="08150393" w14:textId="77777777" w:rsidTr="00923319">
        <w:tc>
          <w:tcPr>
            <w:tcW w:w="4817" w:type="dxa"/>
          </w:tcPr>
          <w:p w14:paraId="28479348" w14:textId="77777777" w:rsidR="00923319" w:rsidRPr="00A67277" w:rsidRDefault="00923319" w:rsidP="00923319">
            <w:pPr>
              <w:pStyle w:val="Body2"/>
              <w:spacing w:before="120" w:after="120"/>
              <w:rPr>
                <w:rFonts w:cs="Arial"/>
                <w:lang w:val="en-US"/>
              </w:rPr>
            </w:pPr>
            <w:r w:rsidRPr="00A67277">
              <w:rPr>
                <w:rFonts w:cs="Arial"/>
                <w:lang w:val="en-US"/>
              </w:rPr>
              <w:t>Insurance policy should be no higher than 10 % of insured value for one claim.</w:t>
            </w:r>
          </w:p>
        </w:tc>
        <w:tc>
          <w:tcPr>
            <w:tcW w:w="222" w:type="dxa"/>
          </w:tcPr>
          <w:p w14:paraId="5CEA0320" w14:textId="77777777" w:rsidR="00923319" w:rsidRPr="00A67277" w:rsidRDefault="00923319" w:rsidP="00923319">
            <w:pPr>
              <w:spacing w:before="120" w:after="120"/>
              <w:rPr>
                <w:rFonts w:ascii="Arial" w:hAnsi="Arial" w:cs="Arial"/>
                <w:sz w:val="21"/>
                <w:szCs w:val="21"/>
              </w:rPr>
            </w:pPr>
          </w:p>
        </w:tc>
        <w:tc>
          <w:tcPr>
            <w:tcW w:w="4662" w:type="dxa"/>
          </w:tcPr>
          <w:p w14:paraId="1886D7E4" w14:textId="77777777" w:rsidR="00923319" w:rsidRPr="00A67277" w:rsidRDefault="00923319" w:rsidP="00923319">
            <w:pPr>
              <w:pStyle w:val="Body2"/>
              <w:spacing w:before="120" w:after="120"/>
              <w:ind w:left="703"/>
              <w:rPr>
                <w:rFonts w:cs="Arial"/>
                <w:lang w:val="en-US"/>
              </w:rPr>
            </w:pPr>
            <w:r w:rsidRPr="00A67277">
              <w:rPr>
                <w:rFonts w:cs="Arial"/>
                <w:lang w:val="en-US"/>
              </w:rPr>
              <w:t>Polis asuransi harus tidak lebih dari 10% dari nilai pertanggungan untuk satu klaim.</w:t>
            </w:r>
          </w:p>
        </w:tc>
      </w:tr>
      <w:tr w:rsidR="00923319" w:rsidRPr="00A67277" w14:paraId="56957AEE" w14:textId="77777777" w:rsidTr="00923319">
        <w:tc>
          <w:tcPr>
            <w:tcW w:w="4817" w:type="dxa"/>
          </w:tcPr>
          <w:p w14:paraId="2936C54B" w14:textId="77777777" w:rsidR="00923319" w:rsidRPr="00A67277" w:rsidRDefault="00923319" w:rsidP="00923319">
            <w:pPr>
              <w:pStyle w:val="SchHeading2"/>
              <w:numPr>
                <w:ilvl w:val="3"/>
                <w:numId w:val="564"/>
              </w:numPr>
              <w:spacing w:before="120" w:after="120"/>
              <w:rPr>
                <w:rFonts w:cs="Arial"/>
                <w:lang w:val="en-US"/>
              </w:rPr>
            </w:pPr>
            <w:bookmarkStart w:id="417" w:name="_Toc501179044"/>
            <w:r w:rsidRPr="00A67277">
              <w:rPr>
                <w:rFonts w:cs="Arial"/>
                <w:lang w:val="en-US"/>
              </w:rPr>
              <w:t>Workers’ Compensation and Employer Obligation</w:t>
            </w:r>
            <w:bookmarkEnd w:id="417"/>
          </w:p>
        </w:tc>
        <w:tc>
          <w:tcPr>
            <w:tcW w:w="222" w:type="dxa"/>
          </w:tcPr>
          <w:p w14:paraId="353B8C23" w14:textId="77777777" w:rsidR="00923319" w:rsidRPr="00A67277" w:rsidRDefault="00923319" w:rsidP="00923319">
            <w:pPr>
              <w:spacing w:before="120" w:after="120"/>
              <w:rPr>
                <w:rFonts w:ascii="Arial" w:hAnsi="Arial" w:cs="Arial"/>
                <w:sz w:val="21"/>
                <w:szCs w:val="21"/>
              </w:rPr>
            </w:pPr>
          </w:p>
        </w:tc>
        <w:tc>
          <w:tcPr>
            <w:tcW w:w="4662" w:type="dxa"/>
          </w:tcPr>
          <w:p w14:paraId="487BF5E7" w14:textId="77777777" w:rsidR="00923319" w:rsidRPr="00A67277" w:rsidRDefault="00923319" w:rsidP="00923319">
            <w:pPr>
              <w:pStyle w:val="SchNumber3"/>
              <w:numPr>
                <w:ilvl w:val="0"/>
                <w:numId w:val="595"/>
              </w:numPr>
              <w:spacing w:before="120" w:after="120"/>
              <w:ind w:left="703" w:hanging="478"/>
              <w:rPr>
                <w:rFonts w:cs="Arial"/>
                <w:lang w:val="de-DE"/>
              </w:rPr>
            </w:pPr>
            <w:r w:rsidRPr="00A67277">
              <w:rPr>
                <w:rFonts w:cs="Arial"/>
                <w:b/>
                <w:lang w:val="de-DE"/>
              </w:rPr>
              <w:t>Kompensasi Pekerja dan Kewajiban Pemberi Kerja</w:t>
            </w:r>
          </w:p>
        </w:tc>
      </w:tr>
      <w:tr w:rsidR="00923319" w:rsidRPr="00A67277" w14:paraId="5D6A58C8" w14:textId="77777777" w:rsidTr="00923319">
        <w:tc>
          <w:tcPr>
            <w:tcW w:w="4817" w:type="dxa"/>
          </w:tcPr>
          <w:p w14:paraId="3F99D866" w14:textId="10AA0B56" w:rsidR="00923319" w:rsidRPr="00A67277" w:rsidRDefault="00923319" w:rsidP="00923319">
            <w:pPr>
              <w:pStyle w:val="Body2"/>
              <w:spacing w:before="120" w:after="120"/>
              <w:rPr>
                <w:rFonts w:cs="Arial"/>
                <w:lang w:val="en-US"/>
              </w:rPr>
            </w:pPr>
            <w:r w:rsidRPr="00A67277">
              <w:rPr>
                <w:rFonts w:cs="Arial"/>
                <w:lang w:val="en-US"/>
              </w:rPr>
              <w:t>Insurance policy shall include workers’ compensation</w:t>
            </w:r>
            <w:r w:rsidR="00F6637A">
              <w:rPr>
                <w:rFonts w:cs="Arial"/>
                <w:lang w:val="en-US"/>
              </w:rPr>
              <w:t xml:space="preserve"> </w:t>
            </w:r>
            <w:r w:rsidRPr="00A67277">
              <w:rPr>
                <w:rFonts w:cs="Arial"/>
                <w:lang w:val="en-US"/>
              </w:rPr>
              <w:t>insurance</w:t>
            </w:r>
            <w:r w:rsidR="00F6637A">
              <w:rPr>
                <w:rFonts w:cs="Arial"/>
                <w:lang w:val="en-US"/>
              </w:rPr>
              <w:t xml:space="preserve"> for </w:t>
            </w:r>
            <w:r w:rsidRPr="00A67277">
              <w:rPr>
                <w:rFonts w:cs="Arial"/>
                <w:lang w:val="en-US"/>
              </w:rPr>
              <w:t xml:space="preserve">temporary </w:t>
            </w:r>
            <w:r w:rsidR="00F6637A">
              <w:rPr>
                <w:rFonts w:cs="Arial"/>
                <w:lang w:val="en-US"/>
              </w:rPr>
              <w:t>disabilities</w:t>
            </w:r>
            <w:r w:rsidR="00F6637A" w:rsidRPr="00A67277">
              <w:rPr>
                <w:rFonts w:cs="Arial"/>
                <w:lang w:val="en-US"/>
              </w:rPr>
              <w:t xml:space="preserve"> </w:t>
            </w:r>
            <w:r w:rsidRPr="00A67277">
              <w:rPr>
                <w:rFonts w:cs="Arial"/>
                <w:lang w:val="en-US"/>
              </w:rPr>
              <w:t>and other similar insurances which are required under the Laws.</w:t>
            </w:r>
          </w:p>
        </w:tc>
        <w:tc>
          <w:tcPr>
            <w:tcW w:w="222" w:type="dxa"/>
          </w:tcPr>
          <w:p w14:paraId="0C0F9607" w14:textId="77777777" w:rsidR="00923319" w:rsidRPr="00A67277" w:rsidRDefault="00923319" w:rsidP="00923319">
            <w:pPr>
              <w:spacing w:before="120" w:after="120"/>
              <w:rPr>
                <w:rFonts w:ascii="Arial" w:hAnsi="Arial" w:cs="Arial"/>
                <w:sz w:val="21"/>
                <w:szCs w:val="21"/>
              </w:rPr>
            </w:pPr>
          </w:p>
        </w:tc>
        <w:tc>
          <w:tcPr>
            <w:tcW w:w="4662" w:type="dxa"/>
          </w:tcPr>
          <w:p w14:paraId="4CFB3D45" w14:textId="77777777" w:rsidR="00923319" w:rsidRPr="00A67277" w:rsidRDefault="00923319" w:rsidP="00923319">
            <w:pPr>
              <w:pStyle w:val="Body2"/>
              <w:spacing w:before="120" w:after="120"/>
              <w:ind w:left="703"/>
              <w:rPr>
                <w:rFonts w:cs="Arial"/>
                <w:lang w:val="en-US"/>
              </w:rPr>
            </w:pPr>
            <w:r w:rsidRPr="00A67277">
              <w:rPr>
                <w:rFonts w:cs="Arial"/>
                <w:lang w:val="en-US"/>
              </w:rPr>
              <w:t>Kebijakan asuransi mencakup kompensasi pekerja, asuransi untuk cacat sementara dan asuransi sejenis lainnya yang diwajibkan menurut Hukum di Republik Indonesia</w:t>
            </w:r>
          </w:p>
        </w:tc>
      </w:tr>
      <w:tr w:rsidR="00923319" w:rsidRPr="00A67277" w14:paraId="3BE76E92" w14:textId="77777777" w:rsidTr="00923319">
        <w:tc>
          <w:tcPr>
            <w:tcW w:w="4817" w:type="dxa"/>
          </w:tcPr>
          <w:p w14:paraId="53DCCCE4" w14:textId="060D27D3"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 xml:space="preserve">In addition, this insurance policy must also include voluntary compensation and employer </w:t>
            </w:r>
            <w:r w:rsidR="00F6637A">
              <w:rPr>
                <w:rFonts w:cs="Arial"/>
                <w:lang w:val="en-US"/>
              </w:rPr>
              <w:t>protection</w:t>
            </w:r>
            <w:r w:rsidR="00F6637A" w:rsidRPr="00A67277">
              <w:rPr>
                <w:rFonts w:cs="Arial"/>
                <w:lang w:val="en-US"/>
              </w:rPr>
              <w:t xml:space="preserve"> </w:t>
            </w:r>
            <w:r w:rsidRPr="00A67277">
              <w:rPr>
                <w:rFonts w:cs="Arial"/>
                <w:lang w:val="en-US"/>
              </w:rPr>
              <w:t>obligation</w:t>
            </w:r>
            <w:r w:rsidR="00F6637A">
              <w:rPr>
                <w:rFonts w:cs="Arial"/>
                <w:lang w:val="en-US"/>
              </w:rPr>
              <w:t>s</w:t>
            </w:r>
            <w:r w:rsidRPr="00A67277">
              <w:rPr>
                <w:rFonts w:cs="Arial"/>
                <w:lang w:val="en-US"/>
              </w:rPr>
              <w:t xml:space="preserve"> for employees </w:t>
            </w:r>
            <w:r w:rsidR="00F6637A" w:rsidRPr="00A67277">
              <w:rPr>
                <w:rFonts w:cs="Arial"/>
                <w:lang w:val="en-US"/>
              </w:rPr>
              <w:t>wh</w:t>
            </w:r>
            <w:r w:rsidR="00F6637A">
              <w:rPr>
                <w:rFonts w:cs="Arial"/>
                <w:lang w:val="en-US"/>
              </w:rPr>
              <w:t>o</w:t>
            </w:r>
            <w:r w:rsidR="00F6637A" w:rsidRPr="00A67277">
              <w:rPr>
                <w:rFonts w:cs="Arial"/>
                <w:lang w:val="en-US"/>
              </w:rPr>
              <w:t xml:space="preserve"> </w:t>
            </w:r>
            <w:r w:rsidRPr="00A67277">
              <w:rPr>
                <w:rFonts w:cs="Arial"/>
                <w:lang w:val="en-US"/>
              </w:rPr>
              <w:t xml:space="preserve">are not entitled </w:t>
            </w:r>
            <w:r w:rsidR="00F6637A">
              <w:rPr>
                <w:rFonts w:cs="Arial"/>
                <w:lang w:val="en-US"/>
              </w:rPr>
              <w:t>to</w:t>
            </w:r>
            <w:r w:rsidRPr="00A67277">
              <w:rPr>
                <w:rFonts w:cs="Arial"/>
                <w:lang w:val="en-US"/>
              </w:rPr>
              <w:t xml:space="preserve"> workers’ compensation.</w:t>
            </w:r>
          </w:p>
        </w:tc>
        <w:tc>
          <w:tcPr>
            <w:tcW w:w="222" w:type="dxa"/>
          </w:tcPr>
          <w:p w14:paraId="58AD37AB" w14:textId="77777777" w:rsidR="00923319" w:rsidRPr="00A67277" w:rsidRDefault="00923319" w:rsidP="00923319">
            <w:pPr>
              <w:spacing w:before="120" w:after="120"/>
              <w:rPr>
                <w:rFonts w:ascii="Arial" w:hAnsi="Arial" w:cs="Arial"/>
                <w:sz w:val="21"/>
                <w:szCs w:val="21"/>
              </w:rPr>
            </w:pPr>
          </w:p>
        </w:tc>
        <w:tc>
          <w:tcPr>
            <w:tcW w:w="4662" w:type="dxa"/>
          </w:tcPr>
          <w:p w14:paraId="083D8A18" w14:textId="77777777" w:rsidR="00923319" w:rsidRPr="00A67277" w:rsidRDefault="00923319" w:rsidP="00923319">
            <w:pPr>
              <w:pStyle w:val="Body2"/>
              <w:spacing w:before="120" w:after="120"/>
              <w:ind w:left="703"/>
              <w:rPr>
                <w:rFonts w:cs="Arial"/>
                <w:lang w:val="en-US"/>
              </w:rPr>
            </w:pPr>
            <w:r w:rsidRPr="00A67277">
              <w:rPr>
                <w:rFonts w:cs="Arial"/>
                <w:lang w:val="en-US"/>
              </w:rPr>
              <w:t>Selain itu, polis asuransi ini harus mencakup kompensasi sukarela dan kewajiban perlindungan bagi mereka yang tidak berhak untuk kompensasi pekerja.</w:t>
            </w:r>
          </w:p>
        </w:tc>
      </w:tr>
      <w:tr w:rsidR="00923319" w:rsidRPr="00A67277" w14:paraId="55FF985D" w14:textId="77777777" w:rsidTr="00923319">
        <w:tc>
          <w:tcPr>
            <w:tcW w:w="4817" w:type="dxa"/>
          </w:tcPr>
          <w:p w14:paraId="3889A531" w14:textId="77777777" w:rsidR="00923319" w:rsidRPr="00A67277" w:rsidRDefault="00923319" w:rsidP="00923319">
            <w:pPr>
              <w:pStyle w:val="SchHeading2"/>
              <w:numPr>
                <w:ilvl w:val="3"/>
                <w:numId w:val="564"/>
              </w:numPr>
              <w:spacing w:before="120" w:after="120"/>
              <w:rPr>
                <w:rFonts w:cs="Arial"/>
                <w:lang w:val="en-US"/>
              </w:rPr>
            </w:pPr>
            <w:r w:rsidRPr="00A67277">
              <w:rPr>
                <w:rFonts w:cs="Arial"/>
              </w:rPr>
              <w:tab/>
            </w:r>
            <w:bookmarkStart w:id="418" w:name="_Toc501179045"/>
            <w:r w:rsidRPr="00A67277">
              <w:rPr>
                <w:rFonts w:cs="Arial"/>
                <w:lang w:val="en-US"/>
              </w:rPr>
              <w:t>Miscellaneous</w:t>
            </w:r>
            <w:bookmarkEnd w:id="418"/>
          </w:p>
        </w:tc>
        <w:tc>
          <w:tcPr>
            <w:tcW w:w="222" w:type="dxa"/>
          </w:tcPr>
          <w:p w14:paraId="13930D97" w14:textId="77777777" w:rsidR="00923319" w:rsidRPr="00A67277" w:rsidRDefault="00923319" w:rsidP="00923319">
            <w:pPr>
              <w:spacing w:before="120" w:after="120"/>
              <w:rPr>
                <w:rFonts w:ascii="Arial" w:hAnsi="Arial" w:cs="Arial"/>
                <w:sz w:val="21"/>
                <w:szCs w:val="21"/>
              </w:rPr>
            </w:pPr>
          </w:p>
        </w:tc>
        <w:tc>
          <w:tcPr>
            <w:tcW w:w="4662" w:type="dxa"/>
          </w:tcPr>
          <w:p w14:paraId="0B7D0398" w14:textId="77777777" w:rsidR="00923319" w:rsidRPr="00A67277" w:rsidRDefault="00923319" w:rsidP="00923319">
            <w:pPr>
              <w:pStyle w:val="SchNumber3"/>
              <w:numPr>
                <w:ilvl w:val="0"/>
                <w:numId w:val="595"/>
              </w:numPr>
              <w:spacing w:before="120" w:after="120"/>
              <w:ind w:left="703" w:hanging="478"/>
              <w:rPr>
                <w:rFonts w:cs="Arial"/>
                <w:lang w:val="en-US"/>
              </w:rPr>
            </w:pPr>
            <w:r w:rsidRPr="00A67277">
              <w:rPr>
                <w:rFonts w:cs="Arial"/>
                <w:b/>
                <w:lang w:val="en-US"/>
              </w:rPr>
              <w:t>Lain-lain</w:t>
            </w:r>
          </w:p>
        </w:tc>
      </w:tr>
      <w:tr w:rsidR="00923319" w:rsidRPr="00A67277" w14:paraId="0E7DD178" w14:textId="77777777" w:rsidTr="00923319">
        <w:tc>
          <w:tcPr>
            <w:tcW w:w="4817" w:type="dxa"/>
          </w:tcPr>
          <w:p w14:paraId="4984FFD3" w14:textId="77777777" w:rsidR="00923319" w:rsidRPr="00A67277" w:rsidRDefault="00923319" w:rsidP="00923319">
            <w:pPr>
              <w:pStyle w:val="Body2"/>
              <w:spacing w:before="120" w:after="120"/>
              <w:rPr>
                <w:rFonts w:cs="Arial"/>
                <w:lang w:val="en-US"/>
              </w:rPr>
            </w:pPr>
            <w:r w:rsidRPr="00A67277">
              <w:rPr>
                <w:rFonts w:cs="Arial"/>
              </w:rPr>
              <w:tab/>
            </w:r>
            <w:r w:rsidRPr="00A67277">
              <w:rPr>
                <w:rFonts w:cs="Arial"/>
                <w:lang w:val="en-US"/>
              </w:rPr>
              <w:t>Other insurance policies as required under the Laws.</w:t>
            </w:r>
          </w:p>
        </w:tc>
        <w:tc>
          <w:tcPr>
            <w:tcW w:w="222" w:type="dxa"/>
          </w:tcPr>
          <w:p w14:paraId="0E572BE7" w14:textId="77777777" w:rsidR="00923319" w:rsidRPr="00A67277" w:rsidRDefault="00923319" w:rsidP="00923319">
            <w:pPr>
              <w:spacing w:before="120" w:after="120"/>
              <w:rPr>
                <w:rFonts w:ascii="Arial" w:hAnsi="Arial" w:cs="Arial"/>
                <w:sz w:val="21"/>
                <w:szCs w:val="21"/>
              </w:rPr>
            </w:pPr>
          </w:p>
        </w:tc>
        <w:tc>
          <w:tcPr>
            <w:tcW w:w="4662" w:type="dxa"/>
          </w:tcPr>
          <w:p w14:paraId="413C0620" w14:textId="77777777" w:rsidR="00923319" w:rsidRPr="00A67277" w:rsidRDefault="00923319" w:rsidP="00923319">
            <w:pPr>
              <w:pStyle w:val="Body2"/>
              <w:spacing w:before="120" w:after="120"/>
              <w:ind w:left="703" w:hanging="478"/>
              <w:rPr>
                <w:rFonts w:cs="Arial"/>
                <w:lang w:val="en-US"/>
              </w:rPr>
            </w:pPr>
            <w:r w:rsidRPr="00A67277">
              <w:rPr>
                <w:rFonts w:cs="Arial"/>
                <w:lang w:val="en-US"/>
              </w:rPr>
              <w:tab/>
              <w:t>Asuransi lainnya yang diwajibkan menurut Hukum yang berlaku.</w:t>
            </w:r>
          </w:p>
          <w:p w14:paraId="36C3BEDC" w14:textId="77777777" w:rsidR="00923319" w:rsidRPr="00A67277" w:rsidRDefault="00923319" w:rsidP="00923319">
            <w:pPr>
              <w:pStyle w:val="SchNumber3"/>
              <w:numPr>
                <w:ilvl w:val="0"/>
                <w:numId w:val="0"/>
              </w:numPr>
              <w:spacing w:before="120" w:after="120"/>
              <w:ind w:left="703" w:hanging="478"/>
              <w:rPr>
                <w:rFonts w:cs="Arial"/>
                <w:lang w:val="en-US"/>
              </w:rPr>
            </w:pPr>
          </w:p>
        </w:tc>
      </w:tr>
      <w:tr w:rsidR="00923319" w:rsidRPr="00A67277" w14:paraId="0BFA3EE8" w14:textId="77777777" w:rsidTr="00923319">
        <w:tc>
          <w:tcPr>
            <w:tcW w:w="4817" w:type="dxa"/>
          </w:tcPr>
          <w:p w14:paraId="0BD9B061" w14:textId="77777777" w:rsidR="00923319" w:rsidRPr="00A67277" w:rsidRDefault="00923319" w:rsidP="00923319">
            <w:pPr>
              <w:pStyle w:val="SchHeading1"/>
              <w:numPr>
                <w:ilvl w:val="2"/>
                <w:numId w:val="564"/>
              </w:numPr>
              <w:spacing w:before="120" w:after="120"/>
              <w:rPr>
                <w:rFonts w:cs="Arial"/>
                <w:lang w:val="en-US"/>
              </w:rPr>
            </w:pPr>
            <w:bookmarkStart w:id="419" w:name="_Toc501179046"/>
            <w:r w:rsidRPr="00A67277">
              <w:rPr>
                <w:rFonts w:cs="Arial"/>
                <w:lang w:val="en-US"/>
              </w:rPr>
              <w:t>Insurance Policies Endorsement</w:t>
            </w:r>
            <w:bookmarkEnd w:id="419"/>
          </w:p>
        </w:tc>
        <w:tc>
          <w:tcPr>
            <w:tcW w:w="222" w:type="dxa"/>
          </w:tcPr>
          <w:p w14:paraId="39502D2A" w14:textId="77777777" w:rsidR="00923319" w:rsidRPr="00A67277" w:rsidRDefault="00923319" w:rsidP="00923319">
            <w:pPr>
              <w:spacing w:before="120" w:after="120"/>
              <w:rPr>
                <w:rFonts w:ascii="Arial" w:hAnsi="Arial" w:cs="Arial"/>
                <w:sz w:val="21"/>
                <w:szCs w:val="21"/>
              </w:rPr>
            </w:pPr>
          </w:p>
        </w:tc>
        <w:tc>
          <w:tcPr>
            <w:tcW w:w="4662" w:type="dxa"/>
          </w:tcPr>
          <w:p w14:paraId="53E17960" w14:textId="77777777" w:rsidR="00923319" w:rsidRPr="00A67277" w:rsidRDefault="00923319" w:rsidP="00923319">
            <w:pPr>
              <w:pStyle w:val="ListParagraph"/>
              <w:numPr>
                <w:ilvl w:val="0"/>
                <w:numId w:val="593"/>
              </w:numPr>
              <w:spacing w:before="120" w:after="120"/>
              <w:ind w:hanging="557"/>
              <w:rPr>
                <w:rFonts w:cs="Arial"/>
                <w:lang w:val="en-US"/>
              </w:rPr>
            </w:pPr>
            <w:r w:rsidRPr="00A67277">
              <w:rPr>
                <w:rFonts w:cs="Arial"/>
                <w:b/>
                <w:smallCaps/>
              </w:rPr>
              <w:t>Dukungan Polis Asuransi</w:t>
            </w:r>
          </w:p>
        </w:tc>
      </w:tr>
      <w:tr w:rsidR="00923319" w:rsidRPr="00A67277" w14:paraId="5A8B970B" w14:textId="77777777" w:rsidTr="00923319">
        <w:tc>
          <w:tcPr>
            <w:tcW w:w="4817" w:type="dxa"/>
          </w:tcPr>
          <w:p w14:paraId="1A4BF465" w14:textId="77777777" w:rsidR="00923319" w:rsidRPr="00A67277" w:rsidRDefault="00923319" w:rsidP="00923319">
            <w:pPr>
              <w:pStyle w:val="SchHeading2"/>
              <w:numPr>
                <w:ilvl w:val="3"/>
                <w:numId w:val="564"/>
              </w:numPr>
              <w:spacing w:before="120" w:after="120"/>
              <w:rPr>
                <w:rFonts w:cs="Arial"/>
                <w:lang w:val="en-US"/>
              </w:rPr>
            </w:pPr>
            <w:bookmarkStart w:id="420" w:name="_Toc501179047"/>
            <w:r w:rsidRPr="00A67277">
              <w:rPr>
                <w:rFonts w:cs="Arial"/>
                <w:lang w:val="en-US"/>
              </w:rPr>
              <w:t>Insurance Common Commercial</w:t>
            </w:r>
            <w:bookmarkEnd w:id="420"/>
          </w:p>
        </w:tc>
        <w:tc>
          <w:tcPr>
            <w:tcW w:w="222" w:type="dxa"/>
          </w:tcPr>
          <w:p w14:paraId="6EEB7D50" w14:textId="77777777" w:rsidR="00923319" w:rsidRPr="00A67277" w:rsidRDefault="00923319" w:rsidP="00923319">
            <w:pPr>
              <w:spacing w:before="120" w:after="120"/>
              <w:rPr>
                <w:rFonts w:ascii="Arial" w:hAnsi="Arial" w:cs="Arial"/>
                <w:sz w:val="21"/>
                <w:szCs w:val="21"/>
              </w:rPr>
            </w:pPr>
          </w:p>
        </w:tc>
        <w:tc>
          <w:tcPr>
            <w:tcW w:w="4662" w:type="dxa"/>
          </w:tcPr>
          <w:p w14:paraId="5B334FDC" w14:textId="77777777" w:rsidR="00923319" w:rsidRPr="00A67277" w:rsidRDefault="00923319" w:rsidP="00923319">
            <w:pPr>
              <w:pStyle w:val="SchNumber3"/>
              <w:numPr>
                <w:ilvl w:val="0"/>
                <w:numId w:val="596"/>
              </w:numPr>
              <w:spacing w:before="120" w:after="120"/>
              <w:ind w:left="779" w:hanging="616"/>
              <w:rPr>
                <w:rFonts w:cs="Arial"/>
                <w:b/>
                <w:lang w:val="id-ID"/>
              </w:rPr>
            </w:pPr>
            <w:r w:rsidRPr="00A67277">
              <w:rPr>
                <w:rFonts w:cs="Arial"/>
                <w:b/>
                <w:lang w:val="en-US"/>
              </w:rPr>
              <w:t>Asuransi Komersial Umum</w:t>
            </w:r>
          </w:p>
        </w:tc>
      </w:tr>
      <w:tr w:rsidR="00923319" w:rsidRPr="00A67277" w14:paraId="41D36CEF" w14:textId="77777777" w:rsidTr="00923319">
        <w:tc>
          <w:tcPr>
            <w:tcW w:w="4817" w:type="dxa"/>
          </w:tcPr>
          <w:p w14:paraId="382E5EF5" w14:textId="7A6263A8" w:rsidR="00923319" w:rsidRPr="00A67277" w:rsidRDefault="00923319" w:rsidP="00923319">
            <w:pPr>
              <w:pStyle w:val="Body2"/>
              <w:spacing w:before="120" w:after="120"/>
              <w:rPr>
                <w:rFonts w:cs="Arial"/>
                <w:lang w:val="en-US"/>
              </w:rPr>
            </w:pPr>
            <w:r w:rsidRPr="00A67277">
              <w:rPr>
                <w:rFonts w:cs="Arial"/>
              </w:rPr>
              <w:tab/>
            </w:r>
            <w:r w:rsidR="00F6637A">
              <w:rPr>
                <w:rFonts w:cs="Arial"/>
              </w:rPr>
              <w:t xml:space="preserve">General Commercial </w:t>
            </w:r>
            <w:r w:rsidRPr="00A67277">
              <w:rPr>
                <w:rFonts w:cs="Arial"/>
                <w:lang w:val="en-US"/>
              </w:rPr>
              <w:t xml:space="preserve">Insurance </w:t>
            </w:r>
            <w:r w:rsidR="00F6637A">
              <w:rPr>
                <w:rFonts w:cs="Arial"/>
                <w:lang w:val="en-US"/>
              </w:rPr>
              <w:t xml:space="preserve">must </w:t>
            </w:r>
            <w:r w:rsidRPr="00A67277">
              <w:rPr>
                <w:rFonts w:cs="Arial"/>
                <w:lang w:val="en-US"/>
              </w:rPr>
              <w:t xml:space="preserve"> contain </w:t>
            </w:r>
            <w:r w:rsidR="00F6637A">
              <w:rPr>
                <w:rFonts w:cs="Arial"/>
                <w:lang w:val="en-US"/>
              </w:rPr>
              <w:t xml:space="preserve">the following:  </w:t>
            </w:r>
          </w:p>
        </w:tc>
        <w:tc>
          <w:tcPr>
            <w:tcW w:w="222" w:type="dxa"/>
          </w:tcPr>
          <w:p w14:paraId="65FDAE4D" w14:textId="77777777" w:rsidR="00923319" w:rsidRPr="00A67277" w:rsidRDefault="00923319" w:rsidP="00923319">
            <w:pPr>
              <w:spacing w:before="120" w:after="120"/>
              <w:rPr>
                <w:rFonts w:ascii="Arial" w:hAnsi="Arial" w:cs="Arial"/>
                <w:sz w:val="21"/>
                <w:szCs w:val="21"/>
              </w:rPr>
            </w:pPr>
          </w:p>
        </w:tc>
        <w:tc>
          <w:tcPr>
            <w:tcW w:w="4662" w:type="dxa"/>
          </w:tcPr>
          <w:p w14:paraId="50149CE2" w14:textId="77777777" w:rsidR="00923319" w:rsidRPr="00A67277" w:rsidRDefault="00923319" w:rsidP="00923319">
            <w:pPr>
              <w:pStyle w:val="SchNumber3"/>
              <w:numPr>
                <w:ilvl w:val="0"/>
                <w:numId w:val="0"/>
              </w:numPr>
              <w:spacing w:before="120" w:after="120"/>
              <w:ind w:left="703"/>
              <w:rPr>
                <w:rFonts w:cs="Arial"/>
                <w:lang w:val="id-ID"/>
              </w:rPr>
            </w:pPr>
            <w:r w:rsidRPr="00A67277">
              <w:rPr>
                <w:rFonts w:cs="Arial"/>
                <w:lang w:val="id-ID"/>
              </w:rPr>
              <w:t>Asuransi komersial umum harus berisi hal-hal yang berkaitan dengan dukungan sebagai berikut:</w:t>
            </w:r>
          </w:p>
        </w:tc>
      </w:tr>
      <w:tr w:rsidR="00923319" w:rsidRPr="00A67277" w14:paraId="1523D1BC" w14:textId="77777777" w:rsidTr="00923319">
        <w:tc>
          <w:tcPr>
            <w:tcW w:w="4817" w:type="dxa"/>
          </w:tcPr>
          <w:p w14:paraId="6706D6B4" w14:textId="3E08AE39" w:rsidR="00923319" w:rsidRPr="00A67277" w:rsidRDefault="00923319" w:rsidP="00923319">
            <w:pPr>
              <w:pStyle w:val="Level3"/>
              <w:numPr>
                <w:ilvl w:val="2"/>
                <w:numId w:val="568"/>
              </w:numPr>
              <w:spacing w:before="120" w:after="120"/>
              <w:rPr>
                <w:rFonts w:cs="Arial"/>
                <w:lang w:val="en-US"/>
              </w:rPr>
            </w:pPr>
            <w:bookmarkStart w:id="421" w:name="_Toc501179048"/>
            <w:r w:rsidRPr="00A67277">
              <w:rPr>
                <w:rFonts w:cs="Arial"/>
                <w:lang w:val="en-US"/>
              </w:rPr>
              <w:t>GCA and its officers and employees should be the additional parties that are insured under any policies managed by the IBE (only applies</w:t>
            </w:r>
            <w:r w:rsidR="00F6637A">
              <w:rPr>
                <w:rFonts w:cs="Arial"/>
                <w:lang w:val="en-US"/>
              </w:rPr>
              <w:t xml:space="preserve"> to </w:t>
            </w:r>
            <w:r w:rsidRPr="00A67277">
              <w:rPr>
                <w:rFonts w:cs="Arial"/>
                <w:lang w:val="en-US"/>
              </w:rPr>
              <w:t>their rights and each individual interests);</w:t>
            </w:r>
            <w:bookmarkEnd w:id="421"/>
          </w:p>
        </w:tc>
        <w:tc>
          <w:tcPr>
            <w:tcW w:w="222" w:type="dxa"/>
          </w:tcPr>
          <w:p w14:paraId="0C6794FB" w14:textId="77777777" w:rsidR="00923319" w:rsidRPr="00A67277" w:rsidRDefault="00923319" w:rsidP="00923319">
            <w:pPr>
              <w:spacing w:before="120" w:after="120"/>
              <w:rPr>
                <w:rFonts w:ascii="Arial" w:hAnsi="Arial" w:cs="Arial"/>
                <w:sz w:val="21"/>
                <w:szCs w:val="21"/>
              </w:rPr>
            </w:pPr>
          </w:p>
        </w:tc>
        <w:tc>
          <w:tcPr>
            <w:tcW w:w="4662" w:type="dxa"/>
          </w:tcPr>
          <w:p w14:paraId="7CCB0FA3" w14:textId="77777777" w:rsidR="00923319" w:rsidRPr="00A67277" w:rsidRDefault="00923319" w:rsidP="00923319">
            <w:pPr>
              <w:pStyle w:val="SchNumber3"/>
              <w:numPr>
                <w:ilvl w:val="0"/>
                <w:numId w:val="597"/>
              </w:numPr>
              <w:spacing w:before="120" w:after="120"/>
              <w:ind w:left="1243" w:hanging="540"/>
              <w:rPr>
                <w:rFonts w:cs="Arial"/>
                <w:lang w:val="id-ID"/>
              </w:rPr>
            </w:pPr>
            <w:r w:rsidRPr="00A67277">
              <w:rPr>
                <w:rFonts w:cs="Arial"/>
                <w:lang w:val="id-ID" w:eastAsia="en-US"/>
              </w:rPr>
              <w:t>PJPK</w:t>
            </w:r>
            <w:r w:rsidRPr="00A67277">
              <w:rPr>
                <w:rFonts w:cs="Arial"/>
                <w:lang w:val="en-US" w:eastAsia="en-US"/>
              </w:rPr>
              <w:t xml:space="preserve"> dan </w:t>
            </w:r>
            <w:r w:rsidRPr="00A67277">
              <w:rPr>
                <w:rFonts w:cs="Arial"/>
                <w:lang w:val="id-ID" w:eastAsia="en-US"/>
              </w:rPr>
              <w:t>para pejabat</w:t>
            </w:r>
            <w:r w:rsidRPr="00A67277">
              <w:rPr>
                <w:rFonts w:cs="Arial"/>
                <w:lang w:val="en-US" w:eastAsia="en-US"/>
              </w:rPr>
              <w:t xml:space="preserve"> dan karyawannya harus menjadi pihak tambahan yang diasuransikan berdasarkan kebijakan yang dikelola oleh </w:t>
            </w:r>
            <w:r w:rsidRPr="00A67277">
              <w:rPr>
                <w:rFonts w:cs="Arial"/>
                <w:lang w:val="id-ID" w:eastAsia="en-US"/>
              </w:rPr>
              <w:t>BUP</w:t>
            </w:r>
            <w:r w:rsidRPr="00A67277">
              <w:rPr>
                <w:rFonts w:cs="Arial"/>
                <w:lang w:val="en-US" w:eastAsia="en-US"/>
              </w:rPr>
              <w:t xml:space="preserve"> (hanya berlaku untuk hak dan kepentingan masing-masing);</w:t>
            </w:r>
          </w:p>
        </w:tc>
      </w:tr>
      <w:tr w:rsidR="00923319" w:rsidRPr="00A67277" w14:paraId="0CF0FEF0" w14:textId="77777777" w:rsidTr="00923319">
        <w:tc>
          <w:tcPr>
            <w:tcW w:w="4817" w:type="dxa"/>
          </w:tcPr>
          <w:p w14:paraId="1A31D3F8" w14:textId="22212EBE" w:rsidR="00923319" w:rsidRPr="00A67277" w:rsidRDefault="00923319" w:rsidP="00923319">
            <w:pPr>
              <w:pStyle w:val="Level3"/>
              <w:numPr>
                <w:ilvl w:val="2"/>
                <w:numId w:val="568"/>
              </w:numPr>
              <w:spacing w:before="120" w:after="120"/>
              <w:rPr>
                <w:rFonts w:cs="Arial"/>
                <w:lang w:val="en-US"/>
              </w:rPr>
            </w:pPr>
            <w:bookmarkStart w:id="422" w:name="_Toc501179049"/>
            <w:r w:rsidRPr="00A67277">
              <w:rPr>
                <w:rFonts w:cs="Arial"/>
                <w:lang w:val="en-US"/>
              </w:rPr>
              <w:t>I</w:t>
            </w:r>
            <w:r w:rsidRPr="00A67277">
              <w:rPr>
                <w:rFonts w:cs="Arial"/>
                <w:lang w:val="en-US" w:eastAsia="en-US"/>
              </w:rPr>
              <w:t xml:space="preserve">nsurance </w:t>
            </w:r>
            <w:r w:rsidR="00F6637A">
              <w:rPr>
                <w:rFonts w:cs="Arial"/>
                <w:lang w:val="en-US" w:eastAsia="en-US"/>
              </w:rPr>
              <w:t>must</w:t>
            </w:r>
            <w:r w:rsidR="00F6637A" w:rsidRPr="00A67277">
              <w:rPr>
                <w:rFonts w:cs="Arial"/>
                <w:lang w:val="en-US" w:eastAsia="en-US"/>
              </w:rPr>
              <w:t xml:space="preserve"> </w:t>
            </w:r>
            <w:r w:rsidRPr="00A67277">
              <w:rPr>
                <w:rFonts w:cs="Arial"/>
                <w:lang w:val="en-US" w:eastAsia="en-US"/>
              </w:rPr>
              <w:t xml:space="preserve">be </w:t>
            </w:r>
            <w:r w:rsidR="00F6637A">
              <w:rPr>
                <w:rFonts w:cs="Arial"/>
                <w:lang w:val="en-US" w:eastAsia="en-US"/>
              </w:rPr>
              <w:t>main</w:t>
            </w:r>
            <w:r w:rsidR="00F6637A" w:rsidRPr="00A67277">
              <w:rPr>
                <w:rFonts w:cs="Arial"/>
                <w:lang w:val="en-US" w:eastAsia="en-US"/>
              </w:rPr>
              <w:t xml:space="preserve"> </w:t>
            </w:r>
            <w:r w:rsidR="00F6637A">
              <w:rPr>
                <w:rFonts w:cs="Arial"/>
                <w:lang w:val="en-US" w:eastAsia="en-US"/>
              </w:rPr>
              <w:t xml:space="preserve">basis </w:t>
            </w:r>
            <w:r w:rsidRPr="00A67277">
              <w:rPr>
                <w:rFonts w:cs="Arial"/>
                <w:lang w:val="en-US" w:eastAsia="en-US"/>
              </w:rPr>
              <w:t xml:space="preserve">in relation </w:t>
            </w:r>
            <w:r w:rsidR="00F6637A">
              <w:rPr>
                <w:rFonts w:cs="Arial"/>
                <w:lang w:val="en-US" w:eastAsia="en-US"/>
              </w:rPr>
              <w:t>to</w:t>
            </w:r>
            <w:r w:rsidR="00F6637A" w:rsidRPr="00A67277">
              <w:rPr>
                <w:rFonts w:cs="Arial"/>
                <w:lang w:val="en-US" w:eastAsia="en-US"/>
              </w:rPr>
              <w:t xml:space="preserve"> </w:t>
            </w:r>
            <w:r w:rsidRPr="00A67277">
              <w:rPr>
                <w:rFonts w:cs="Arial"/>
                <w:lang w:val="en-US" w:eastAsia="en-US"/>
              </w:rPr>
              <w:t>the best interest of GCA and the directors, officers and their employees and other insurance managed by them is an addition yet not supportive for policies aforesaid;</w:t>
            </w:r>
            <w:bookmarkEnd w:id="422"/>
          </w:p>
        </w:tc>
        <w:tc>
          <w:tcPr>
            <w:tcW w:w="222" w:type="dxa"/>
          </w:tcPr>
          <w:p w14:paraId="049D8D31" w14:textId="77777777" w:rsidR="00923319" w:rsidRPr="00A67277" w:rsidRDefault="00923319" w:rsidP="00923319">
            <w:pPr>
              <w:spacing w:before="120" w:after="120"/>
              <w:rPr>
                <w:rFonts w:ascii="Arial" w:hAnsi="Arial" w:cs="Arial"/>
                <w:sz w:val="21"/>
                <w:szCs w:val="21"/>
              </w:rPr>
            </w:pPr>
          </w:p>
        </w:tc>
        <w:tc>
          <w:tcPr>
            <w:tcW w:w="4662" w:type="dxa"/>
          </w:tcPr>
          <w:p w14:paraId="2B3E37D7" w14:textId="77777777" w:rsidR="00923319" w:rsidRPr="00A67277" w:rsidRDefault="00923319" w:rsidP="00923319">
            <w:pPr>
              <w:pStyle w:val="SchNumber3"/>
              <w:numPr>
                <w:ilvl w:val="0"/>
                <w:numId w:val="597"/>
              </w:numPr>
              <w:spacing w:before="120" w:after="120"/>
              <w:ind w:left="1243" w:hanging="540"/>
              <w:rPr>
                <w:rFonts w:cs="Arial"/>
                <w:lang w:val="id-ID" w:eastAsia="en-US"/>
              </w:rPr>
            </w:pPr>
            <w:r w:rsidRPr="00A67277">
              <w:rPr>
                <w:rFonts w:cs="Arial"/>
                <w:lang w:val="id-ID" w:eastAsia="en-US"/>
              </w:rPr>
              <w:t>Asuransi harus menjadi dasar utama dalam kaitannya dengan kepentingan terbaik PJPK dan direktur dewan direksi, pejabat dan karyawan mereka dan asuransi lainnya yang dikelola oleh mereka adalah tambahan namun tidak mendukung kebijakan tersebut di atas;</w:t>
            </w:r>
          </w:p>
        </w:tc>
      </w:tr>
      <w:tr w:rsidR="00923319" w:rsidRPr="00A67277" w14:paraId="1D17EC45" w14:textId="77777777" w:rsidTr="00923319">
        <w:tc>
          <w:tcPr>
            <w:tcW w:w="4817" w:type="dxa"/>
          </w:tcPr>
          <w:p w14:paraId="1470E9C6" w14:textId="7F76897B" w:rsidR="00923319" w:rsidRPr="00A67277" w:rsidRDefault="00923319" w:rsidP="00923319">
            <w:pPr>
              <w:pStyle w:val="Level3"/>
              <w:numPr>
                <w:ilvl w:val="2"/>
                <w:numId w:val="2"/>
              </w:numPr>
              <w:spacing w:before="120" w:after="120"/>
              <w:rPr>
                <w:rFonts w:cs="Arial"/>
                <w:lang w:val="en-US"/>
              </w:rPr>
            </w:pPr>
            <w:bookmarkStart w:id="423" w:name="_Toc501179050"/>
            <w:r w:rsidRPr="00A67277">
              <w:rPr>
                <w:rFonts w:cs="Arial"/>
                <w:lang w:val="en-US"/>
              </w:rPr>
              <w:t xml:space="preserve">insurance must include provisions </w:t>
            </w:r>
            <w:r w:rsidR="00F6637A">
              <w:rPr>
                <w:rFonts w:cs="Arial"/>
                <w:lang w:val="en-US"/>
              </w:rPr>
              <w:t>relating to</w:t>
            </w:r>
            <w:r w:rsidRPr="00A67277">
              <w:rPr>
                <w:rFonts w:cs="Arial"/>
                <w:lang w:val="en-US"/>
              </w:rPr>
              <w:t xml:space="preserve"> cross obligation</w:t>
            </w:r>
            <w:r w:rsidR="00F6637A">
              <w:rPr>
                <w:rFonts w:cs="Arial"/>
                <w:lang w:val="en-US"/>
              </w:rPr>
              <w:t>s</w:t>
            </w:r>
            <w:r w:rsidRPr="00A67277">
              <w:rPr>
                <w:rFonts w:cs="Arial"/>
                <w:lang w:val="en-US"/>
              </w:rPr>
              <w:t>;</w:t>
            </w:r>
            <w:bookmarkEnd w:id="423"/>
          </w:p>
        </w:tc>
        <w:tc>
          <w:tcPr>
            <w:tcW w:w="222" w:type="dxa"/>
          </w:tcPr>
          <w:p w14:paraId="4AC50754" w14:textId="77777777" w:rsidR="00923319" w:rsidRPr="00A67277" w:rsidRDefault="00923319" w:rsidP="00923319">
            <w:pPr>
              <w:spacing w:before="120" w:after="120"/>
              <w:rPr>
                <w:rFonts w:ascii="Arial" w:hAnsi="Arial" w:cs="Arial"/>
                <w:sz w:val="21"/>
                <w:szCs w:val="21"/>
              </w:rPr>
            </w:pPr>
          </w:p>
        </w:tc>
        <w:tc>
          <w:tcPr>
            <w:tcW w:w="4662" w:type="dxa"/>
          </w:tcPr>
          <w:p w14:paraId="03B6F66A" w14:textId="77777777" w:rsidR="00923319" w:rsidRPr="00A67277" w:rsidRDefault="00923319" w:rsidP="00923319">
            <w:pPr>
              <w:pStyle w:val="SchNumber3"/>
              <w:numPr>
                <w:ilvl w:val="0"/>
                <w:numId w:val="597"/>
              </w:numPr>
              <w:spacing w:before="120" w:after="120"/>
              <w:ind w:left="1243" w:hanging="540"/>
              <w:rPr>
                <w:rFonts w:cs="Arial"/>
                <w:lang w:val="id-ID" w:eastAsia="en-US"/>
              </w:rPr>
            </w:pPr>
            <w:r w:rsidRPr="00A67277">
              <w:rPr>
                <w:rFonts w:cs="Arial"/>
                <w:lang w:val="id-ID" w:eastAsia="en-US"/>
              </w:rPr>
              <w:t>asuransi harus mencakup ketentuan yang berkaitan dengan lintas kewajiban;</w:t>
            </w:r>
          </w:p>
        </w:tc>
      </w:tr>
      <w:tr w:rsidR="00923319" w:rsidRPr="00A67277" w14:paraId="76D63C7F" w14:textId="77777777" w:rsidTr="00923319">
        <w:tc>
          <w:tcPr>
            <w:tcW w:w="4817" w:type="dxa"/>
          </w:tcPr>
          <w:p w14:paraId="39CFC98A" w14:textId="64B746C7" w:rsidR="00923319" w:rsidRPr="00A67277" w:rsidRDefault="00923319" w:rsidP="00923319">
            <w:pPr>
              <w:pStyle w:val="Level3"/>
              <w:numPr>
                <w:ilvl w:val="2"/>
                <w:numId w:val="2"/>
              </w:numPr>
              <w:spacing w:before="120" w:after="120"/>
              <w:rPr>
                <w:rFonts w:cs="Arial"/>
                <w:lang w:val="en-US"/>
              </w:rPr>
            </w:pPr>
            <w:bookmarkStart w:id="424" w:name="_Toc501179051"/>
            <w:r w:rsidRPr="00A67277">
              <w:rPr>
                <w:rFonts w:cs="Arial"/>
                <w:lang w:val="en-US"/>
              </w:rPr>
              <w:t>each insure</w:t>
            </w:r>
            <w:r w:rsidR="00F6637A">
              <w:rPr>
                <w:rFonts w:cs="Arial"/>
                <w:lang w:val="en-US"/>
              </w:rPr>
              <w:t>r</w:t>
            </w:r>
            <w:r w:rsidRPr="00A67277">
              <w:rPr>
                <w:rFonts w:cs="Arial"/>
                <w:lang w:val="en-US"/>
              </w:rPr>
              <w:t xml:space="preserve"> must release all  subrogates </w:t>
            </w:r>
            <w:r w:rsidR="00F6637A">
              <w:rPr>
                <w:rFonts w:cs="Arial"/>
                <w:lang w:val="en-US"/>
              </w:rPr>
              <w:t>to</w:t>
            </w:r>
            <w:r w:rsidR="00F6637A" w:rsidRPr="00A67277">
              <w:rPr>
                <w:rFonts w:cs="Arial"/>
                <w:lang w:val="en-US"/>
              </w:rPr>
              <w:t xml:space="preserve"> </w:t>
            </w:r>
            <w:r w:rsidRPr="00A67277">
              <w:rPr>
                <w:rFonts w:cs="Arial"/>
                <w:lang w:val="en-US"/>
              </w:rPr>
              <w:t>the Parties, GCA and the</w:t>
            </w:r>
            <w:r w:rsidR="00F6637A">
              <w:rPr>
                <w:rFonts w:cs="Arial"/>
                <w:lang w:val="en-US"/>
              </w:rPr>
              <w:t>ir</w:t>
            </w:r>
            <w:r w:rsidRPr="00A67277">
              <w:rPr>
                <w:rFonts w:cs="Arial"/>
                <w:lang w:val="en-US"/>
              </w:rPr>
              <w:t xml:space="preserve"> officers, directors and their employees (in regard to claims arising on insurance policies); and</w:t>
            </w:r>
            <w:bookmarkEnd w:id="424"/>
          </w:p>
        </w:tc>
        <w:tc>
          <w:tcPr>
            <w:tcW w:w="222" w:type="dxa"/>
          </w:tcPr>
          <w:p w14:paraId="73738EFE" w14:textId="77777777" w:rsidR="00923319" w:rsidRPr="00A67277" w:rsidRDefault="00923319" w:rsidP="00923319">
            <w:pPr>
              <w:spacing w:before="120" w:after="120"/>
              <w:rPr>
                <w:rFonts w:ascii="Arial" w:hAnsi="Arial" w:cs="Arial"/>
                <w:sz w:val="21"/>
                <w:szCs w:val="21"/>
              </w:rPr>
            </w:pPr>
          </w:p>
        </w:tc>
        <w:tc>
          <w:tcPr>
            <w:tcW w:w="4662" w:type="dxa"/>
          </w:tcPr>
          <w:p w14:paraId="33419AA3" w14:textId="77777777" w:rsidR="00923319" w:rsidRPr="00A67277" w:rsidRDefault="00923319" w:rsidP="00923319">
            <w:pPr>
              <w:pStyle w:val="SchNumber3"/>
              <w:numPr>
                <w:ilvl w:val="0"/>
                <w:numId w:val="597"/>
              </w:numPr>
              <w:spacing w:before="120" w:after="120"/>
              <w:ind w:left="1243" w:hanging="540"/>
              <w:rPr>
                <w:rFonts w:cs="Arial"/>
                <w:lang w:val="id-ID" w:eastAsia="en-US"/>
              </w:rPr>
            </w:pPr>
            <w:r w:rsidRPr="00A67277">
              <w:rPr>
                <w:rFonts w:cs="Arial"/>
                <w:lang w:val="id-ID" w:eastAsia="en-US"/>
              </w:rPr>
              <w:t>setiap pihak asuransi harus melepaskan semua subrogates kepada Para Pihak, PJPK dan pejabat, direktur dan karyawan mereka (berkenaan dengan klaim yang timbul atas polis asuransi); dan</w:t>
            </w:r>
          </w:p>
        </w:tc>
      </w:tr>
      <w:tr w:rsidR="00923319" w:rsidRPr="00A67277" w14:paraId="7FD4383F" w14:textId="77777777" w:rsidTr="00923319">
        <w:tc>
          <w:tcPr>
            <w:tcW w:w="4817" w:type="dxa"/>
          </w:tcPr>
          <w:p w14:paraId="13DBD9D0" w14:textId="54E04016" w:rsidR="00923319" w:rsidRPr="00A67277" w:rsidRDefault="00F6637A" w:rsidP="00923319">
            <w:pPr>
              <w:pStyle w:val="Level3"/>
              <w:numPr>
                <w:ilvl w:val="2"/>
                <w:numId w:val="2"/>
              </w:numPr>
              <w:spacing w:before="120" w:after="120"/>
              <w:rPr>
                <w:rFonts w:cs="Arial"/>
                <w:lang w:val="en-US"/>
              </w:rPr>
            </w:pPr>
            <w:bookmarkStart w:id="425" w:name="_Toc501179052"/>
            <w:r>
              <w:rPr>
                <w:rFonts w:cs="Arial"/>
                <w:lang w:val="en-US"/>
              </w:rPr>
              <w:t xml:space="preserve">The aforementioned policies </w:t>
            </w:r>
            <w:r w:rsidR="00923319" w:rsidRPr="00A67277">
              <w:rPr>
                <w:rFonts w:cs="Arial"/>
                <w:lang w:val="en-US"/>
              </w:rPr>
              <w:t>should not be cancelled or changed substantially by the insur</w:t>
            </w:r>
            <w:r>
              <w:rPr>
                <w:rFonts w:cs="Arial"/>
                <w:lang w:val="en-US"/>
              </w:rPr>
              <w:t>er</w:t>
            </w:r>
            <w:r w:rsidR="00923319" w:rsidRPr="00A67277">
              <w:rPr>
                <w:rFonts w:cs="Arial"/>
                <w:lang w:val="en-US"/>
              </w:rPr>
              <w:t xml:space="preserve"> without written notice thirty (30) Days </w:t>
            </w:r>
            <w:r>
              <w:rPr>
                <w:rFonts w:cs="Arial"/>
                <w:lang w:val="en-US"/>
              </w:rPr>
              <w:t xml:space="preserve">in advance, </w:t>
            </w:r>
            <w:r w:rsidR="00923319" w:rsidRPr="00A67277">
              <w:rPr>
                <w:rFonts w:cs="Arial"/>
                <w:lang w:val="en-US"/>
              </w:rPr>
              <w:t xml:space="preserve"> except in the case of failure </w:t>
            </w:r>
            <w:r>
              <w:rPr>
                <w:rFonts w:cs="Arial"/>
                <w:lang w:val="en-US"/>
              </w:rPr>
              <w:t xml:space="preserve">to make </w:t>
            </w:r>
            <w:r w:rsidR="00923319" w:rsidRPr="00A67277">
              <w:rPr>
                <w:rFonts w:cs="Arial"/>
                <w:lang w:val="en-US"/>
              </w:rPr>
              <w:t xml:space="preserve">payment, </w:t>
            </w:r>
            <w:r>
              <w:rPr>
                <w:rFonts w:cs="Arial"/>
                <w:lang w:val="en-US"/>
              </w:rPr>
              <w:t>where</w:t>
            </w:r>
            <w:r w:rsidR="00923319" w:rsidRPr="00A67277">
              <w:rPr>
                <w:rFonts w:cs="Arial"/>
                <w:lang w:val="en-US"/>
              </w:rPr>
              <w:t xml:space="preserve"> written notice must be submitted ten (10) Days in advance, to the GCA.</w:t>
            </w:r>
            <w:bookmarkEnd w:id="425"/>
          </w:p>
        </w:tc>
        <w:tc>
          <w:tcPr>
            <w:tcW w:w="222" w:type="dxa"/>
          </w:tcPr>
          <w:p w14:paraId="743FB5D5" w14:textId="77777777" w:rsidR="00923319" w:rsidRPr="00A67277" w:rsidRDefault="00923319" w:rsidP="00923319">
            <w:pPr>
              <w:spacing w:before="120" w:after="120"/>
              <w:rPr>
                <w:rFonts w:ascii="Arial" w:hAnsi="Arial" w:cs="Arial"/>
                <w:sz w:val="21"/>
                <w:szCs w:val="21"/>
              </w:rPr>
            </w:pPr>
          </w:p>
        </w:tc>
        <w:tc>
          <w:tcPr>
            <w:tcW w:w="4662" w:type="dxa"/>
          </w:tcPr>
          <w:p w14:paraId="4B2FB233" w14:textId="77777777" w:rsidR="00923319" w:rsidRPr="00A67277" w:rsidRDefault="00923319" w:rsidP="00923319">
            <w:pPr>
              <w:pStyle w:val="SchNumber3"/>
              <w:numPr>
                <w:ilvl w:val="0"/>
                <w:numId w:val="597"/>
              </w:numPr>
              <w:spacing w:before="120" w:after="120"/>
              <w:ind w:left="1243" w:hanging="540"/>
              <w:rPr>
                <w:rFonts w:cs="Arial"/>
                <w:lang w:val="id-ID" w:eastAsia="en-US"/>
              </w:rPr>
            </w:pPr>
            <w:r w:rsidRPr="00A67277">
              <w:rPr>
                <w:rFonts w:cs="Arial"/>
                <w:lang w:val="id-ID" w:eastAsia="en-US"/>
              </w:rPr>
              <w:t>Kebijakan tesebut tidak boleh dibatalkan atau diubah secara substansial oleh pihak asuransi tanpa pemberitahuan tertulis tiga puluh (30) hari sebelumnya, kecuali jika terjadi kegagalan pembayaran, dimana pemberitahuan tertulis harus disampaikan sepuluh (10) hari sebelumnya kepada PJPK.</w:t>
            </w:r>
          </w:p>
        </w:tc>
      </w:tr>
      <w:tr w:rsidR="00923319" w:rsidRPr="00A67277" w14:paraId="3D464373" w14:textId="77777777" w:rsidTr="00923319">
        <w:tc>
          <w:tcPr>
            <w:tcW w:w="4817" w:type="dxa"/>
          </w:tcPr>
          <w:p w14:paraId="0B7ED468" w14:textId="77777777" w:rsidR="00923319" w:rsidRPr="00A67277" w:rsidRDefault="00923319" w:rsidP="00923319">
            <w:pPr>
              <w:pStyle w:val="SchHeading2"/>
              <w:numPr>
                <w:ilvl w:val="3"/>
                <w:numId w:val="564"/>
              </w:numPr>
              <w:tabs>
                <w:tab w:val="clear" w:pos="709"/>
                <w:tab w:val="num" w:pos="458"/>
              </w:tabs>
              <w:spacing w:before="120" w:after="120"/>
              <w:ind w:left="458" w:hanging="458"/>
              <w:rPr>
                <w:rFonts w:cs="Arial"/>
                <w:lang w:val="en-US"/>
              </w:rPr>
            </w:pPr>
            <w:bookmarkStart w:id="426" w:name="_Toc501179053"/>
            <w:r w:rsidRPr="00A67277">
              <w:rPr>
                <w:rFonts w:cs="Arial"/>
                <w:lang w:val="en-US"/>
              </w:rPr>
              <w:t>The Amendments</w:t>
            </w:r>
            <w:bookmarkEnd w:id="426"/>
          </w:p>
        </w:tc>
        <w:tc>
          <w:tcPr>
            <w:tcW w:w="222" w:type="dxa"/>
          </w:tcPr>
          <w:p w14:paraId="1BA755A7" w14:textId="77777777" w:rsidR="00923319" w:rsidRPr="00A67277" w:rsidRDefault="00923319" w:rsidP="00923319">
            <w:pPr>
              <w:spacing w:before="120" w:after="120"/>
              <w:rPr>
                <w:rFonts w:ascii="Arial" w:hAnsi="Arial" w:cs="Arial"/>
                <w:sz w:val="21"/>
                <w:szCs w:val="21"/>
              </w:rPr>
            </w:pPr>
          </w:p>
        </w:tc>
        <w:tc>
          <w:tcPr>
            <w:tcW w:w="4662" w:type="dxa"/>
          </w:tcPr>
          <w:p w14:paraId="7D8DA029" w14:textId="77777777" w:rsidR="00923319" w:rsidRPr="00A67277" w:rsidRDefault="00923319" w:rsidP="00923319">
            <w:pPr>
              <w:pStyle w:val="SchNumber3"/>
              <w:numPr>
                <w:ilvl w:val="0"/>
                <w:numId w:val="596"/>
              </w:numPr>
              <w:spacing w:before="120" w:after="120"/>
              <w:ind w:left="703" w:hanging="540"/>
              <w:rPr>
                <w:rFonts w:cs="Arial"/>
                <w:lang w:val="id-ID"/>
              </w:rPr>
            </w:pPr>
            <w:r w:rsidRPr="00A67277">
              <w:rPr>
                <w:rFonts w:cs="Arial"/>
                <w:b/>
                <w:lang w:val="en-US"/>
              </w:rPr>
              <w:t xml:space="preserve">Amandemen </w:t>
            </w:r>
          </w:p>
        </w:tc>
      </w:tr>
      <w:tr w:rsidR="00923319" w:rsidRPr="00A67277" w14:paraId="65999531" w14:textId="77777777" w:rsidTr="00923319">
        <w:tc>
          <w:tcPr>
            <w:tcW w:w="4817" w:type="dxa"/>
          </w:tcPr>
          <w:p w14:paraId="4B9664AC" w14:textId="6C090144" w:rsidR="00923319" w:rsidRPr="00A67277" w:rsidRDefault="004A55F3" w:rsidP="00923319">
            <w:pPr>
              <w:pStyle w:val="Body2"/>
              <w:spacing w:before="120" w:after="120"/>
              <w:ind w:left="458"/>
              <w:rPr>
                <w:rFonts w:cs="Arial"/>
                <w:lang w:val="en-US"/>
              </w:rPr>
            </w:pPr>
            <w:r>
              <w:rPr>
                <w:rFonts w:cs="Arial"/>
                <w:lang w:val="en-US"/>
              </w:rPr>
              <w:t>A</w:t>
            </w:r>
            <w:r w:rsidR="00923319" w:rsidRPr="00A67277">
              <w:rPr>
                <w:rFonts w:cs="Arial"/>
                <w:lang w:val="en-US"/>
              </w:rPr>
              <w:t xml:space="preserve">mendments </w:t>
            </w:r>
            <w:r>
              <w:rPr>
                <w:rFonts w:cs="Arial"/>
                <w:lang w:val="en-US"/>
              </w:rPr>
              <w:t xml:space="preserve">to </w:t>
            </w:r>
            <w:r w:rsidR="00923319" w:rsidRPr="00A67277">
              <w:rPr>
                <w:rFonts w:cs="Arial"/>
                <w:lang w:val="en-US"/>
              </w:rPr>
              <w:t xml:space="preserve">the insurance policies which are not in accordance with conditions as governed in the Agreements </w:t>
            </w:r>
            <w:r>
              <w:rPr>
                <w:rFonts w:cs="Arial"/>
                <w:lang w:val="en-US"/>
              </w:rPr>
              <w:t xml:space="preserve">must have approved in writing by the </w:t>
            </w:r>
            <w:r w:rsidR="00923319" w:rsidRPr="00A67277">
              <w:rPr>
                <w:rFonts w:cs="Arial"/>
                <w:lang w:val="en-US"/>
              </w:rPr>
              <w:t>GCA.</w:t>
            </w:r>
          </w:p>
        </w:tc>
        <w:tc>
          <w:tcPr>
            <w:tcW w:w="222" w:type="dxa"/>
          </w:tcPr>
          <w:p w14:paraId="63A108C7" w14:textId="77777777" w:rsidR="00923319" w:rsidRPr="00A67277" w:rsidRDefault="00923319" w:rsidP="00923319">
            <w:pPr>
              <w:spacing w:before="120" w:after="120"/>
              <w:rPr>
                <w:rFonts w:ascii="Arial" w:hAnsi="Arial" w:cs="Arial"/>
                <w:sz w:val="21"/>
                <w:szCs w:val="21"/>
              </w:rPr>
            </w:pPr>
          </w:p>
        </w:tc>
        <w:tc>
          <w:tcPr>
            <w:tcW w:w="4662" w:type="dxa"/>
          </w:tcPr>
          <w:p w14:paraId="33DAA285" w14:textId="77777777" w:rsidR="00923319" w:rsidRPr="00A67277" w:rsidRDefault="00923319" w:rsidP="00923319">
            <w:pPr>
              <w:pStyle w:val="SchNumber3"/>
              <w:numPr>
                <w:ilvl w:val="0"/>
                <w:numId w:val="0"/>
              </w:numPr>
              <w:spacing w:before="120" w:after="120"/>
              <w:ind w:left="703"/>
              <w:rPr>
                <w:rFonts w:cs="Arial"/>
                <w:lang w:val="id-ID"/>
              </w:rPr>
            </w:pPr>
            <w:r w:rsidRPr="00A67277">
              <w:rPr>
                <w:rFonts w:cs="Arial"/>
                <w:lang w:val="en-US"/>
              </w:rPr>
              <w:t xml:space="preserve">Amandemen </w:t>
            </w:r>
            <w:r w:rsidRPr="00A67277">
              <w:rPr>
                <w:rFonts w:cs="Arial"/>
                <w:lang w:val="id-ID"/>
              </w:rPr>
              <w:t>terhadap</w:t>
            </w:r>
            <w:r w:rsidRPr="00A67277">
              <w:rPr>
                <w:rFonts w:cs="Arial"/>
                <w:lang w:val="en-US"/>
              </w:rPr>
              <w:t xml:space="preserve"> polis asuransi yang tidak sesuai dengan kondisi</w:t>
            </w:r>
            <w:r w:rsidRPr="00A67277">
              <w:rPr>
                <w:rFonts w:cs="Arial"/>
                <w:lang w:val="id-ID"/>
              </w:rPr>
              <w:t>-kondisi</w:t>
            </w:r>
            <w:r w:rsidRPr="00A67277">
              <w:rPr>
                <w:rFonts w:cs="Arial"/>
                <w:lang w:val="en-US"/>
              </w:rPr>
              <w:t xml:space="preserve"> yang diatur dalam Perjanjian wajib </w:t>
            </w:r>
            <w:r w:rsidRPr="00A67277">
              <w:rPr>
                <w:rFonts w:cs="Arial"/>
                <w:lang w:val="id-ID"/>
              </w:rPr>
              <w:t>mendapatkan</w:t>
            </w:r>
            <w:r w:rsidRPr="00A67277">
              <w:rPr>
                <w:rFonts w:cs="Arial"/>
                <w:lang w:val="en-US"/>
              </w:rPr>
              <w:t xml:space="preserve"> persetujuan tertulis dari </w:t>
            </w:r>
            <w:r w:rsidRPr="00A67277">
              <w:rPr>
                <w:rFonts w:cs="Arial"/>
                <w:lang w:val="id-ID"/>
              </w:rPr>
              <w:t>PJPK</w:t>
            </w:r>
            <w:r w:rsidRPr="00A67277">
              <w:rPr>
                <w:rFonts w:cs="Arial"/>
                <w:lang w:val="en-US"/>
              </w:rPr>
              <w:t>.</w:t>
            </w:r>
          </w:p>
        </w:tc>
      </w:tr>
      <w:tr w:rsidR="00923319" w:rsidRPr="00A67277" w14:paraId="014E3E86" w14:textId="77777777" w:rsidTr="00923319">
        <w:tc>
          <w:tcPr>
            <w:tcW w:w="4817" w:type="dxa"/>
          </w:tcPr>
          <w:p w14:paraId="4FFD6093" w14:textId="77777777" w:rsidR="00923319" w:rsidRPr="00A67277" w:rsidRDefault="00923319" w:rsidP="00923319">
            <w:pPr>
              <w:pStyle w:val="SchHeading2"/>
              <w:numPr>
                <w:ilvl w:val="3"/>
                <w:numId w:val="564"/>
              </w:numPr>
              <w:tabs>
                <w:tab w:val="clear" w:pos="709"/>
                <w:tab w:val="num" w:pos="458"/>
              </w:tabs>
              <w:spacing w:before="120" w:after="120"/>
              <w:ind w:left="458" w:hanging="458"/>
              <w:rPr>
                <w:rFonts w:cs="Arial"/>
                <w:lang w:val="en-US"/>
              </w:rPr>
            </w:pPr>
            <w:bookmarkStart w:id="427" w:name="_Toc501179054"/>
            <w:r w:rsidRPr="00A67277">
              <w:rPr>
                <w:rFonts w:cs="Arial"/>
                <w:lang w:val="en-US"/>
              </w:rPr>
              <w:t>Insurance Premiums</w:t>
            </w:r>
            <w:bookmarkEnd w:id="427"/>
          </w:p>
        </w:tc>
        <w:tc>
          <w:tcPr>
            <w:tcW w:w="222" w:type="dxa"/>
          </w:tcPr>
          <w:p w14:paraId="466ED732" w14:textId="77777777" w:rsidR="00923319" w:rsidRPr="00A67277" w:rsidRDefault="00923319" w:rsidP="00923319">
            <w:pPr>
              <w:spacing w:before="120" w:after="120"/>
              <w:rPr>
                <w:rFonts w:ascii="Arial" w:hAnsi="Arial" w:cs="Arial"/>
                <w:sz w:val="21"/>
                <w:szCs w:val="21"/>
              </w:rPr>
            </w:pPr>
          </w:p>
        </w:tc>
        <w:tc>
          <w:tcPr>
            <w:tcW w:w="4662" w:type="dxa"/>
          </w:tcPr>
          <w:p w14:paraId="2542734E" w14:textId="77777777" w:rsidR="00923319" w:rsidRPr="00A67277" w:rsidRDefault="00923319" w:rsidP="00923319">
            <w:pPr>
              <w:pStyle w:val="SchNumber3"/>
              <w:numPr>
                <w:ilvl w:val="0"/>
                <w:numId w:val="596"/>
              </w:numPr>
              <w:spacing w:before="120" w:after="120"/>
              <w:ind w:left="703" w:hanging="540"/>
              <w:rPr>
                <w:rFonts w:cs="Arial"/>
                <w:lang w:val="id-ID"/>
              </w:rPr>
            </w:pPr>
            <w:r w:rsidRPr="00A67277">
              <w:rPr>
                <w:rFonts w:cs="Arial"/>
                <w:b/>
                <w:lang w:val="en-US"/>
              </w:rPr>
              <w:t>Premi Asuransi</w:t>
            </w:r>
          </w:p>
        </w:tc>
      </w:tr>
      <w:tr w:rsidR="00923319" w:rsidRPr="00A67277" w14:paraId="375570BE" w14:textId="77777777" w:rsidTr="00923319">
        <w:tc>
          <w:tcPr>
            <w:tcW w:w="4817" w:type="dxa"/>
          </w:tcPr>
          <w:p w14:paraId="31C13D39" w14:textId="30828A29" w:rsidR="00923319" w:rsidRPr="00A67277" w:rsidRDefault="00923319" w:rsidP="00923319">
            <w:pPr>
              <w:pStyle w:val="Body2"/>
              <w:spacing w:before="120" w:after="120"/>
              <w:ind w:left="458"/>
              <w:rPr>
                <w:rFonts w:cs="Arial"/>
              </w:rPr>
            </w:pPr>
            <w:r w:rsidRPr="00A67277">
              <w:rPr>
                <w:rFonts w:cs="Arial"/>
                <w:lang w:val="en-US"/>
              </w:rPr>
              <w:t xml:space="preserve">Each policy must indicate that GCA is not </w:t>
            </w:r>
            <w:r w:rsidR="004A55F3">
              <w:rPr>
                <w:rFonts w:cs="Arial"/>
                <w:lang w:val="en-US"/>
              </w:rPr>
              <w:t>responsible</w:t>
            </w:r>
            <w:r w:rsidR="004A55F3" w:rsidRPr="00A67277">
              <w:rPr>
                <w:rFonts w:cs="Arial"/>
                <w:lang w:val="en-US"/>
              </w:rPr>
              <w:t xml:space="preserve"> </w:t>
            </w:r>
            <w:r w:rsidRPr="00A67277">
              <w:rPr>
                <w:rFonts w:cs="Arial"/>
                <w:lang w:val="en-US"/>
              </w:rPr>
              <w:t>for the payment of insurance premiums.</w:t>
            </w:r>
          </w:p>
        </w:tc>
        <w:tc>
          <w:tcPr>
            <w:tcW w:w="222" w:type="dxa"/>
          </w:tcPr>
          <w:p w14:paraId="5D56836E" w14:textId="77777777" w:rsidR="00923319" w:rsidRPr="00A67277" w:rsidRDefault="00923319" w:rsidP="00923319">
            <w:pPr>
              <w:spacing w:before="120" w:after="120"/>
              <w:rPr>
                <w:rFonts w:ascii="Arial" w:hAnsi="Arial" w:cs="Arial"/>
                <w:sz w:val="21"/>
                <w:szCs w:val="21"/>
              </w:rPr>
            </w:pPr>
          </w:p>
        </w:tc>
        <w:tc>
          <w:tcPr>
            <w:tcW w:w="4662" w:type="dxa"/>
          </w:tcPr>
          <w:p w14:paraId="5AFD027E" w14:textId="77777777" w:rsidR="00923319" w:rsidRPr="00A67277" w:rsidRDefault="00923319" w:rsidP="00923319">
            <w:pPr>
              <w:pStyle w:val="SchNumber3"/>
              <w:numPr>
                <w:ilvl w:val="0"/>
                <w:numId w:val="0"/>
              </w:numPr>
              <w:spacing w:before="120" w:after="120"/>
              <w:ind w:left="703"/>
              <w:rPr>
                <w:rFonts w:cs="Arial"/>
                <w:lang w:val="id-ID"/>
              </w:rPr>
            </w:pPr>
            <w:r w:rsidRPr="00A67277">
              <w:rPr>
                <w:rFonts w:cs="Arial"/>
                <w:lang w:val="en-US"/>
              </w:rPr>
              <w:t xml:space="preserve">Setiap kebijakan </w:t>
            </w:r>
            <w:r w:rsidRPr="00A67277">
              <w:rPr>
                <w:rFonts w:cs="Arial"/>
                <w:lang w:val="id-ID"/>
              </w:rPr>
              <w:t>harus</w:t>
            </w:r>
            <w:r w:rsidRPr="00A67277">
              <w:rPr>
                <w:rFonts w:cs="Arial"/>
                <w:lang w:val="en-US"/>
              </w:rPr>
              <w:t xml:space="preserve"> menunjukkan bahwa </w:t>
            </w:r>
            <w:r w:rsidRPr="00A67277">
              <w:rPr>
                <w:rFonts w:cs="Arial"/>
                <w:lang w:val="id-ID"/>
              </w:rPr>
              <w:t>PJPK</w:t>
            </w:r>
            <w:r w:rsidRPr="00A67277">
              <w:rPr>
                <w:rFonts w:cs="Arial"/>
                <w:lang w:val="en-US"/>
              </w:rPr>
              <w:t xml:space="preserve"> tidak bertanggung jawab atas pembayaran premi</w:t>
            </w:r>
            <w:r w:rsidRPr="00A67277">
              <w:rPr>
                <w:rFonts w:cs="Arial"/>
                <w:lang w:val="id-ID"/>
              </w:rPr>
              <w:t>-premi</w:t>
            </w:r>
            <w:r w:rsidRPr="00A67277">
              <w:rPr>
                <w:rFonts w:cs="Arial"/>
                <w:lang w:val="en-US"/>
              </w:rPr>
              <w:t xml:space="preserve"> asuransi</w:t>
            </w:r>
            <w:r w:rsidRPr="00A67277">
              <w:rPr>
                <w:rFonts w:cs="Arial"/>
                <w:lang w:val="id-ID"/>
              </w:rPr>
              <w:t>.</w:t>
            </w:r>
          </w:p>
        </w:tc>
      </w:tr>
    </w:tbl>
    <w:p w14:paraId="63D3021C" w14:textId="32A5AD8E" w:rsidR="00783006" w:rsidRDefault="00783006" w:rsidP="00923319">
      <w:pPr>
        <w:rPr>
          <w:rFonts w:ascii="Arial" w:hAnsi="Arial" w:cs="Arial"/>
          <w:sz w:val="21"/>
          <w:szCs w:val="21"/>
        </w:rPr>
      </w:pPr>
    </w:p>
    <w:p w14:paraId="18FFE73F" w14:textId="77777777" w:rsidR="00783006" w:rsidRDefault="00783006">
      <w:pPr>
        <w:rPr>
          <w:rFonts w:ascii="Arial" w:hAnsi="Arial" w:cs="Arial"/>
          <w:sz w:val="21"/>
          <w:szCs w:val="21"/>
        </w:rPr>
      </w:pPr>
      <w:r>
        <w:rPr>
          <w:rFonts w:ascii="Arial" w:hAnsi="Arial" w:cs="Arial"/>
          <w:sz w:val="21"/>
          <w:szCs w:val="21"/>
        </w:rPr>
        <w:br w:type="page"/>
      </w:r>
    </w:p>
    <w:p w14:paraId="3BC93FE9" w14:textId="645AA2F6" w:rsidR="00923319" w:rsidRPr="00A67277" w:rsidRDefault="00923319" w:rsidP="00923319">
      <w:pPr>
        <w:rPr>
          <w:rFonts w:ascii="Arial" w:hAnsi="Arial" w:cs="Arial"/>
          <w:sz w:val="21"/>
          <w:szCs w:val="21"/>
        </w:rPr>
      </w:pPr>
    </w:p>
    <w:tbl>
      <w:tblPr>
        <w:tblStyle w:val="TableGrid"/>
        <w:tblW w:w="9701"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222"/>
        <w:gridCol w:w="4662"/>
      </w:tblGrid>
      <w:tr w:rsidR="00923319" w:rsidRPr="00A67277" w14:paraId="4598266F" w14:textId="77777777" w:rsidTr="00073A9E">
        <w:tc>
          <w:tcPr>
            <w:tcW w:w="4817" w:type="dxa"/>
          </w:tcPr>
          <w:p w14:paraId="3104EB40" w14:textId="3E4B55B3" w:rsidR="00923319" w:rsidRPr="00A67277" w:rsidRDefault="00923319" w:rsidP="00E030C4">
            <w:pPr>
              <w:pStyle w:val="SchNumber3"/>
              <w:numPr>
                <w:ilvl w:val="0"/>
                <w:numId w:val="0"/>
              </w:numPr>
              <w:ind w:left="432"/>
              <w:rPr>
                <w:rFonts w:cs="Arial"/>
              </w:rPr>
            </w:pPr>
            <w:r w:rsidRPr="00A67277">
              <w:rPr>
                <w:rFonts w:cs="Arial"/>
                <w:b/>
                <w:lang w:val="en-ID"/>
              </w:rPr>
              <w:t xml:space="preserve">Appendix </w:t>
            </w:r>
            <w:r w:rsidR="00E030C4" w:rsidRPr="00A67277">
              <w:rPr>
                <w:rFonts w:cs="Arial"/>
                <w:b/>
                <w:lang w:val="en-ID"/>
              </w:rPr>
              <w:t xml:space="preserve">16 </w:t>
            </w:r>
            <w:r w:rsidRPr="00A67277">
              <w:rPr>
                <w:rFonts w:cs="Arial"/>
                <w:b/>
                <w:lang w:val="en-ID"/>
              </w:rPr>
              <w:t>– Financial Model</w:t>
            </w:r>
          </w:p>
        </w:tc>
        <w:tc>
          <w:tcPr>
            <w:tcW w:w="222" w:type="dxa"/>
          </w:tcPr>
          <w:p w14:paraId="24C1D27D" w14:textId="77777777" w:rsidR="00923319" w:rsidRPr="00A67277" w:rsidRDefault="00923319" w:rsidP="00923319">
            <w:pPr>
              <w:rPr>
                <w:rFonts w:ascii="Arial" w:hAnsi="Arial" w:cs="Arial"/>
                <w:sz w:val="21"/>
                <w:szCs w:val="21"/>
              </w:rPr>
            </w:pPr>
          </w:p>
        </w:tc>
        <w:tc>
          <w:tcPr>
            <w:tcW w:w="4662" w:type="dxa"/>
          </w:tcPr>
          <w:p w14:paraId="3AB4CFE4" w14:textId="6B2378BC" w:rsidR="00923319" w:rsidRPr="00A67277" w:rsidRDefault="00923319" w:rsidP="00E030C4">
            <w:pPr>
              <w:pStyle w:val="SchNumber3"/>
              <w:numPr>
                <w:ilvl w:val="0"/>
                <w:numId w:val="0"/>
              </w:numPr>
              <w:ind w:left="432"/>
              <w:rPr>
                <w:rFonts w:cs="Arial"/>
                <w:b/>
                <w:lang w:val="en-ID"/>
              </w:rPr>
            </w:pPr>
            <w:r w:rsidRPr="00A67277">
              <w:rPr>
                <w:rFonts w:cs="Arial"/>
                <w:b/>
                <w:lang w:val="en-ID"/>
              </w:rPr>
              <w:t xml:space="preserve">Lampiran </w:t>
            </w:r>
            <w:r w:rsidR="00E030C4" w:rsidRPr="00A67277">
              <w:rPr>
                <w:rFonts w:cs="Arial"/>
                <w:b/>
                <w:lang w:val="en-ID"/>
              </w:rPr>
              <w:t xml:space="preserve">16 </w:t>
            </w:r>
            <w:r w:rsidRPr="00A67277">
              <w:rPr>
                <w:rFonts w:cs="Arial"/>
                <w:b/>
                <w:lang w:val="en-ID"/>
              </w:rPr>
              <w:t>– Model Keuangan</w:t>
            </w:r>
          </w:p>
        </w:tc>
      </w:tr>
      <w:tr w:rsidR="00923319" w:rsidRPr="00A67277" w14:paraId="0E60EF4F" w14:textId="77777777" w:rsidTr="00073A9E">
        <w:tc>
          <w:tcPr>
            <w:tcW w:w="4817" w:type="dxa"/>
          </w:tcPr>
          <w:p w14:paraId="79074A89" w14:textId="77777777" w:rsidR="00923319" w:rsidRPr="00C4716D" w:rsidRDefault="00923319" w:rsidP="00C4716D">
            <w:pPr>
              <w:spacing w:before="120" w:after="120"/>
              <w:jc w:val="both"/>
              <w:rPr>
                <w:rFonts w:ascii="Arial" w:hAnsi="Arial" w:cs="Arial"/>
                <w:sz w:val="21"/>
                <w:szCs w:val="21"/>
              </w:rPr>
            </w:pPr>
            <w:r w:rsidRPr="00C4716D">
              <w:rPr>
                <w:rFonts w:ascii="Arial" w:hAnsi="Arial" w:cs="Arial"/>
                <w:b/>
                <w:sz w:val="21"/>
                <w:szCs w:val="21"/>
              </w:rPr>
              <w:t>[</w:t>
            </w:r>
            <w:r w:rsidRPr="00C4716D">
              <w:rPr>
                <w:rFonts w:ascii="Arial" w:hAnsi="Arial" w:cs="Arial"/>
                <w:b/>
                <w:i/>
                <w:sz w:val="21"/>
                <w:szCs w:val="21"/>
              </w:rPr>
              <w:t>To be inserted with Financial Model of the Winning Bidder</w:t>
            </w:r>
            <w:r w:rsidRPr="00C4716D">
              <w:rPr>
                <w:rFonts w:ascii="Arial" w:hAnsi="Arial" w:cs="Arial"/>
                <w:b/>
                <w:sz w:val="21"/>
                <w:szCs w:val="21"/>
              </w:rPr>
              <w:t>]</w:t>
            </w:r>
          </w:p>
        </w:tc>
        <w:tc>
          <w:tcPr>
            <w:tcW w:w="222" w:type="dxa"/>
          </w:tcPr>
          <w:p w14:paraId="27C35E49" w14:textId="77777777" w:rsidR="00923319" w:rsidRPr="00C4716D" w:rsidRDefault="00923319" w:rsidP="00C4716D">
            <w:pPr>
              <w:spacing w:before="120" w:after="120"/>
              <w:jc w:val="both"/>
              <w:rPr>
                <w:rFonts w:ascii="Arial" w:hAnsi="Arial" w:cs="Arial"/>
                <w:sz w:val="21"/>
                <w:szCs w:val="21"/>
              </w:rPr>
            </w:pPr>
          </w:p>
        </w:tc>
        <w:tc>
          <w:tcPr>
            <w:tcW w:w="4662" w:type="dxa"/>
          </w:tcPr>
          <w:p w14:paraId="0D04DB62" w14:textId="28A44775" w:rsidR="00923319" w:rsidRPr="00C4716D" w:rsidRDefault="00BF5D9C" w:rsidP="00C4716D">
            <w:pPr>
              <w:spacing w:before="120" w:after="120"/>
              <w:jc w:val="both"/>
              <w:rPr>
                <w:rFonts w:ascii="Arial" w:hAnsi="Arial" w:cs="Arial"/>
                <w:sz w:val="21"/>
                <w:szCs w:val="21"/>
              </w:rPr>
            </w:pPr>
            <w:r w:rsidRPr="00C4716D">
              <w:rPr>
                <w:rFonts w:ascii="Arial" w:hAnsi="Arial" w:cs="Arial"/>
                <w:b/>
                <w:sz w:val="21"/>
                <w:szCs w:val="21"/>
              </w:rPr>
              <w:t>[</w:t>
            </w:r>
            <w:r>
              <w:rPr>
                <w:rFonts w:ascii="Arial" w:hAnsi="Arial" w:cs="Arial"/>
                <w:b/>
                <w:i/>
                <w:sz w:val="21"/>
                <w:szCs w:val="21"/>
              </w:rPr>
              <w:t>Untuk diisi dengan Model Keu</w:t>
            </w:r>
            <w:r w:rsidR="00DF0EE6">
              <w:rPr>
                <w:rFonts w:ascii="Arial" w:hAnsi="Arial" w:cs="Arial"/>
                <w:b/>
                <w:i/>
                <w:sz w:val="21"/>
                <w:szCs w:val="21"/>
              </w:rPr>
              <w:t>a</w:t>
            </w:r>
            <w:r>
              <w:rPr>
                <w:rFonts w:ascii="Arial" w:hAnsi="Arial" w:cs="Arial"/>
                <w:b/>
                <w:i/>
                <w:sz w:val="21"/>
                <w:szCs w:val="21"/>
              </w:rPr>
              <w:t>ng</w:t>
            </w:r>
            <w:r w:rsidR="00DF0EE6">
              <w:rPr>
                <w:rFonts w:ascii="Arial" w:hAnsi="Arial" w:cs="Arial"/>
                <w:b/>
                <w:i/>
                <w:sz w:val="21"/>
                <w:szCs w:val="21"/>
              </w:rPr>
              <w:t>a</w:t>
            </w:r>
            <w:r>
              <w:rPr>
                <w:rFonts w:ascii="Arial" w:hAnsi="Arial" w:cs="Arial"/>
                <w:b/>
                <w:i/>
                <w:sz w:val="21"/>
                <w:szCs w:val="21"/>
              </w:rPr>
              <w:t>n</w:t>
            </w:r>
            <w:r w:rsidR="00DF0EE6">
              <w:rPr>
                <w:rFonts w:ascii="Arial" w:hAnsi="Arial" w:cs="Arial"/>
                <w:b/>
                <w:i/>
                <w:sz w:val="21"/>
                <w:szCs w:val="21"/>
              </w:rPr>
              <w:t xml:space="preserve"> Pemenang Lelang</w:t>
            </w:r>
            <w:r w:rsidRPr="00C4716D">
              <w:rPr>
                <w:rFonts w:ascii="Arial" w:hAnsi="Arial" w:cs="Arial"/>
                <w:b/>
                <w:sz w:val="21"/>
                <w:szCs w:val="21"/>
              </w:rPr>
              <w:t>]</w:t>
            </w:r>
          </w:p>
        </w:tc>
      </w:tr>
      <w:tr w:rsidR="00C4716D" w:rsidRPr="00A67277" w14:paraId="377B5FEB" w14:textId="77777777" w:rsidTr="00073A9E">
        <w:tc>
          <w:tcPr>
            <w:tcW w:w="4817" w:type="dxa"/>
          </w:tcPr>
          <w:p w14:paraId="7D33629F" w14:textId="77777777" w:rsidR="00C4716D" w:rsidRPr="00C4716D" w:rsidRDefault="00C4716D" w:rsidP="00C4716D">
            <w:pPr>
              <w:spacing w:before="120" w:after="120"/>
              <w:jc w:val="both"/>
              <w:rPr>
                <w:rFonts w:ascii="Arial" w:hAnsi="Arial" w:cs="Arial"/>
                <w:b/>
                <w:sz w:val="21"/>
                <w:szCs w:val="21"/>
              </w:rPr>
            </w:pPr>
          </w:p>
        </w:tc>
        <w:tc>
          <w:tcPr>
            <w:tcW w:w="222" w:type="dxa"/>
          </w:tcPr>
          <w:p w14:paraId="375B5730" w14:textId="77777777" w:rsidR="00C4716D" w:rsidRPr="00C4716D" w:rsidRDefault="00C4716D" w:rsidP="00C4716D">
            <w:pPr>
              <w:spacing w:before="120" w:after="120"/>
              <w:jc w:val="both"/>
              <w:rPr>
                <w:rFonts w:ascii="Arial" w:hAnsi="Arial" w:cs="Arial"/>
                <w:sz w:val="21"/>
                <w:szCs w:val="21"/>
              </w:rPr>
            </w:pPr>
          </w:p>
        </w:tc>
        <w:tc>
          <w:tcPr>
            <w:tcW w:w="4662" w:type="dxa"/>
          </w:tcPr>
          <w:p w14:paraId="462C95CB" w14:textId="77777777" w:rsidR="00C4716D" w:rsidRPr="00C4716D" w:rsidRDefault="00C4716D" w:rsidP="00C4716D">
            <w:pPr>
              <w:spacing w:before="120" w:after="120"/>
              <w:jc w:val="both"/>
              <w:rPr>
                <w:rFonts w:ascii="Arial" w:hAnsi="Arial" w:cs="Arial"/>
                <w:sz w:val="21"/>
                <w:szCs w:val="21"/>
              </w:rPr>
            </w:pPr>
          </w:p>
        </w:tc>
      </w:tr>
      <w:tr w:rsidR="00C4716D" w:rsidRPr="00A67277" w14:paraId="3447A380" w14:textId="77777777" w:rsidTr="00073A9E">
        <w:tc>
          <w:tcPr>
            <w:tcW w:w="4817" w:type="dxa"/>
          </w:tcPr>
          <w:p w14:paraId="722E8951" w14:textId="30982DA9" w:rsidR="00C4716D" w:rsidRPr="00C4716D" w:rsidRDefault="00C4716D" w:rsidP="00C4716D">
            <w:pPr>
              <w:spacing w:before="120" w:after="120"/>
              <w:jc w:val="both"/>
              <w:rPr>
                <w:rFonts w:ascii="Arial" w:hAnsi="Arial" w:cs="Arial"/>
                <w:b/>
                <w:sz w:val="21"/>
                <w:szCs w:val="21"/>
              </w:rPr>
            </w:pPr>
            <w:r w:rsidRPr="00C4716D">
              <w:rPr>
                <w:rFonts w:ascii="Arial" w:hAnsi="Arial" w:cs="Arial"/>
                <w:sz w:val="21"/>
                <w:szCs w:val="21"/>
              </w:rPr>
              <w:t>The Parties agree that the Financial Model must</w:t>
            </w:r>
            <w:r>
              <w:rPr>
                <w:rFonts w:ascii="Arial" w:hAnsi="Arial" w:cs="Arial"/>
                <w:sz w:val="21"/>
                <w:szCs w:val="21"/>
              </w:rPr>
              <w:t>:</w:t>
            </w:r>
          </w:p>
        </w:tc>
        <w:tc>
          <w:tcPr>
            <w:tcW w:w="222" w:type="dxa"/>
          </w:tcPr>
          <w:p w14:paraId="7E56D332" w14:textId="77777777" w:rsidR="00C4716D" w:rsidRPr="00C4716D" w:rsidRDefault="00C4716D" w:rsidP="00C4716D">
            <w:pPr>
              <w:spacing w:before="120" w:after="120"/>
              <w:jc w:val="both"/>
              <w:rPr>
                <w:rFonts w:ascii="Arial" w:hAnsi="Arial" w:cs="Arial"/>
                <w:sz w:val="21"/>
                <w:szCs w:val="21"/>
              </w:rPr>
            </w:pPr>
          </w:p>
        </w:tc>
        <w:tc>
          <w:tcPr>
            <w:tcW w:w="4662" w:type="dxa"/>
          </w:tcPr>
          <w:p w14:paraId="63F11F38" w14:textId="5028BB6A" w:rsidR="00C4716D" w:rsidRPr="00C4716D" w:rsidRDefault="00C4716D" w:rsidP="00C4716D">
            <w:pPr>
              <w:spacing w:before="120" w:after="120"/>
              <w:jc w:val="both"/>
              <w:rPr>
                <w:rFonts w:ascii="Arial" w:hAnsi="Arial" w:cs="Arial"/>
                <w:sz w:val="21"/>
                <w:szCs w:val="21"/>
              </w:rPr>
            </w:pPr>
            <w:r w:rsidRPr="00C4716D">
              <w:rPr>
                <w:rFonts w:ascii="Arial" w:hAnsi="Arial" w:cs="Arial"/>
                <w:sz w:val="21"/>
                <w:szCs w:val="21"/>
              </w:rPr>
              <w:t>Para Pihak sepakat bahwa Model Keuangan harus</w:t>
            </w:r>
            <w:r>
              <w:rPr>
                <w:rFonts w:ascii="Arial" w:hAnsi="Arial" w:cs="Arial"/>
                <w:sz w:val="21"/>
                <w:szCs w:val="21"/>
              </w:rPr>
              <w:t>:</w:t>
            </w:r>
          </w:p>
        </w:tc>
      </w:tr>
      <w:tr w:rsidR="00C4716D" w:rsidRPr="00A67277" w14:paraId="47CA72C6" w14:textId="77777777" w:rsidTr="00073A9E">
        <w:tc>
          <w:tcPr>
            <w:tcW w:w="4817" w:type="dxa"/>
          </w:tcPr>
          <w:p w14:paraId="3827CA33" w14:textId="0EA5EAA1" w:rsidR="00C4716D" w:rsidRPr="00C4716D" w:rsidRDefault="00C4716D" w:rsidP="00C4716D">
            <w:pPr>
              <w:pStyle w:val="ListParagraph"/>
              <w:numPr>
                <w:ilvl w:val="0"/>
                <w:numId w:val="757"/>
              </w:numPr>
              <w:spacing w:before="120" w:after="120" w:line="240" w:lineRule="auto"/>
              <w:ind w:left="408"/>
              <w:rPr>
                <w:rFonts w:cs="Arial"/>
                <w:b/>
              </w:rPr>
            </w:pPr>
            <w:r w:rsidRPr="00C4716D">
              <w:rPr>
                <w:rFonts w:cs="Arial"/>
              </w:rPr>
              <w:t>include the anticipated capital expenditures, operating expenditures and all other Project cash flow figures including those related to external financing;</w:t>
            </w:r>
          </w:p>
        </w:tc>
        <w:tc>
          <w:tcPr>
            <w:tcW w:w="222" w:type="dxa"/>
          </w:tcPr>
          <w:p w14:paraId="6984E469" w14:textId="77777777" w:rsidR="00C4716D" w:rsidRPr="00C4716D" w:rsidRDefault="00C4716D" w:rsidP="00C4716D">
            <w:pPr>
              <w:spacing w:before="120" w:after="120"/>
              <w:jc w:val="both"/>
              <w:rPr>
                <w:rStyle w:val="CommentReference"/>
                <w:rFonts w:ascii="Arial" w:hAnsi="Arial" w:cs="Arial"/>
                <w:sz w:val="21"/>
                <w:szCs w:val="21"/>
              </w:rPr>
            </w:pPr>
          </w:p>
        </w:tc>
        <w:tc>
          <w:tcPr>
            <w:tcW w:w="4662" w:type="dxa"/>
          </w:tcPr>
          <w:p w14:paraId="2A3B80D7" w14:textId="7A0236C5" w:rsidR="00C4716D" w:rsidRPr="00C4716D" w:rsidRDefault="00C4716D" w:rsidP="00C4716D">
            <w:pPr>
              <w:pStyle w:val="ListParagraph"/>
              <w:numPr>
                <w:ilvl w:val="0"/>
                <w:numId w:val="758"/>
              </w:numPr>
              <w:spacing w:before="120" w:after="120" w:line="240" w:lineRule="auto"/>
              <w:ind w:left="330"/>
              <w:rPr>
                <w:rFonts w:cs="Arial"/>
              </w:rPr>
            </w:pPr>
            <w:r w:rsidRPr="00C4716D">
              <w:rPr>
                <w:rFonts w:cs="Arial"/>
              </w:rPr>
              <w:t>memuat perkiraan biaya modal, biaya operasional dan angka arus kas Proyek lainnya termasuk yang terkait dengan pembiayaan eksternal;</w:t>
            </w:r>
          </w:p>
        </w:tc>
      </w:tr>
      <w:tr w:rsidR="00C4716D" w:rsidRPr="00A67277" w14:paraId="39FD3F7E" w14:textId="77777777" w:rsidTr="00073A9E">
        <w:tc>
          <w:tcPr>
            <w:tcW w:w="4817" w:type="dxa"/>
          </w:tcPr>
          <w:p w14:paraId="0F62450B" w14:textId="19DFB5DF" w:rsidR="00C4716D" w:rsidRPr="00C4716D" w:rsidRDefault="00C4716D" w:rsidP="00C4716D">
            <w:pPr>
              <w:pStyle w:val="ListParagraph"/>
              <w:numPr>
                <w:ilvl w:val="0"/>
                <w:numId w:val="757"/>
              </w:numPr>
              <w:spacing w:before="120" w:after="120" w:line="240" w:lineRule="auto"/>
              <w:ind w:left="408"/>
              <w:rPr>
                <w:rFonts w:cs="Arial"/>
                <w:b/>
              </w:rPr>
            </w:pPr>
            <w:r w:rsidRPr="00C4716D">
              <w:rPr>
                <w:rFonts w:eastAsia="Times New Roman" w:cs="Arial"/>
              </w:rPr>
              <w:t xml:space="preserve">include underlying data and calculations with regards to the Justified IRR, including benchmark market data and its source related to the listed companies of the applied peer group. Justified IRR shall be determined in a way to reflect the rate of return requirements of a market investor from similar projects. </w:t>
            </w:r>
            <w:r w:rsidRPr="00C4716D">
              <w:rPr>
                <w:rFonts w:cs="Arial"/>
              </w:rPr>
              <w:t>Justified IRR calculation shall be updated on a [quarterly] basis as of the Commercial Operation Date to reflect actual market conditions;</w:t>
            </w:r>
          </w:p>
        </w:tc>
        <w:tc>
          <w:tcPr>
            <w:tcW w:w="222" w:type="dxa"/>
          </w:tcPr>
          <w:p w14:paraId="47FF7663" w14:textId="77777777" w:rsidR="00C4716D" w:rsidRPr="00C4716D" w:rsidRDefault="00C4716D" w:rsidP="00C4716D">
            <w:pPr>
              <w:spacing w:before="120" w:after="120"/>
              <w:jc w:val="both"/>
              <w:rPr>
                <w:rStyle w:val="CommentReference"/>
                <w:rFonts w:ascii="Arial" w:hAnsi="Arial" w:cs="Arial"/>
                <w:sz w:val="21"/>
                <w:szCs w:val="21"/>
              </w:rPr>
            </w:pPr>
          </w:p>
        </w:tc>
        <w:tc>
          <w:tcPr>
            <w:tcW w:w="4662" w:type="dxa"/>
          </w:tcPr>
          <w:p w14:paraId="2E6D8111" w14:textId="181CFB7F" w:rsidR="00C4716D" w:rsidRPr="00C4716D" w:rsidRDefault="00C4716D" w:rsidP="00C4716D">
            <w:pPr>
              <w:pStyle w:val="ListParagraph"/>
              <w:numPr>
                <w:ilvl w:val="0"/>
                <w:numId w:val="758"/>
              </w:numPr>
              <w:spacing w:before="120" w:after="120" w:line="240" w:lineRule="auto"/>
              <w:ind w:left="330"/>
              <w:rPr>
                <w:rFonts w:cs="Arial"/>
              </w:rPr>
            </w:pPr>
            <w:r w:rsidRPr="00C4716D">
              <w:rPr>
                <w:rFonts w:cs="Arial"/>
              </w:rPr>
              <w:t xml:space="preserve">Memuat dasar data dan perhitungan sehubungan dengan IRR Yang Terjustifikasi, termasuk patokan data pasar dan sumbernya terkait dengan perusahaan-perusahaan yang terdaftar dari </w:t>
            </w:r>
            <w:r w:rsidRPr="00C4716D">
              <w:rPr>
                <w:rFonts w:cs="Arial"/>
                <w:i/>
              </w:rPr>
              <w:t>peer group</w:t>
            </w:r>
            <w:r w:rsidRPr="00C4716D">
              <w:rPr>
                <w:rFonts w:cs="Arial"/>
              </w:rPr>
              <w:t xml:space="preserve"> yang diterapkan. IRR Yang Terjustifikasi harus ditetapkan dengan cara yang merefleksikan tingkat pengembalian yang disyaratkan dari pasar investor untuk proyek yang sejenis. IRR Yang Terjustifikasi harus disesuaikan setiap [kuartal] sejak Tanggal Operasi Komersial untuk merefleksikan keadaan pasar aktual;</w:t>
            </w:r>
          </w:p>
        </w:tc>
      </w:tr>
      <w:tr w:rsidR="00C4716D" w:rsidRPr="00A67277" w14:paraId="390B54C8" w14:textId="77777777" w:rsidTr="00073A9E">
        <w:tc>
          <w:tcPr>
            <w:tcW w:w="4817" w:type="dxa"/>
          </w:tcPr>
          <w:p w14:paraId="644D6F96" w14:textId="5E627AF7" w:rsidR="00C4716D" w:rsidRPr="00C4716D" w:rsidRDefault="00C4716D" w:rsidP="00073A9E">
            <w:pPr>
              <w:pStyle w:val="ListParagraph"/>
              <w:numPr>
                <w:ilvl w:val="0"/>
                <w:numId w:val="757"/>
              </w:numPr>
              <w:spacing w:before="120" w:after="120" w:line="240" w:lineRule="auto"/>
              <w:ind w:left="408"/>
              <w:rPr>
                <w:rFonts w:cs="Arial"/>
                <w:b/>
              </w:rPr>
            </w:pPr>
            <w:r w:rsidRPr="00C4716D">
              <w:rPr>
                <w:rFonts w:eastAsia="Times New Roman" w:cs="Arial"/>
              </w:rPr>
              <w:t xml:space="preserve">be able to calculate the Service Fee in a way to allow for an Asset Level Project </w:t>
            </w:r>
            <w:r w:rsidR="00073A9E">
              <w:rPr>
                <w:rFonts w:eastAsia="Times New Roman" w:cs="Arial"/>
              </w:rPr>
              <w:t>IRR equaling the Justified IRR;</w:t>
            </w:r>
          </w:p>
        </w:tc>
        <w:tc>
          <w:tcPr>
            <w:tcW w:w="222" w:type="dxa"/>
          </w:tcPr>
          <w:p w14:paraId="09BEBC77" w14:textId="77777777" w:rsidR="00C4716D" w:rsidRPr="00C4716D" w:rsidRDefault="00C4716D" w:rsidP="00C4716D">
            <w:pPr>
              <w:spacing w:before="120" w:after="120"/>
              <w:jc w:val="both"/>
              <w:rPr>
                <w:rStyle w:val="CommentReference"/>
                <w:rFonts w:ascii="Arial" w:hAnsi="Arial" w:cs="Arial"/>
                <w:sz w:val="21"/>
                <w:szCs w:val="21"/>
              </w:rPr>
            </w:pPr>
          </w:p>
        </w:tc>
        <w:tc>
          <w:tcPr>
            <w:tcW w:w="4662" w:type="dxa"/>
          </w:tcPr>
          <w:p w14:paraId="7550D514" w14:textId="7B792B22" w:rsidR="00C4716D" w:rsidRPr="00C4716D" w:rsidRDefault="00C4716D" w:rsidP="00073A9E">
            <w:pPr>
              <w:pStyle w:val="ListParagraph"/>
              <w:numPr>
                <w:ilvl w:val="0"/>
                <w:numId w:val="758"/>
              </w:numPr>
              <w:tabs>
                <w:tab w:val="left" w:pos="1618"/>
              </w:tabs>
              <w:spacing w:before="120" w:after="120" w:line="240" w:lineRule="auto"/>
              <w:ind w:left="330"/>
              <w:rPr>
                <w:rFonts w:cs="Arial"/>
              </w:rPr>
            </w:pPr>
            <w:r w:rsidRPr="00C4716D">
              <w:rPr>
                <w:rFonts w:cs="Arial"/>
              </w:rPr>
              <w:t xml:space="preserve">dapat menghitung Biaya Layanan untuk memungkinkan </w:t>
            </w:r>
            <w:r w:rsidRPr="00C4716D">
              <w:rPr>
                <w:rFonts w:eastAsia="Times New Roman" w:cs="Arial"/>
              </w:rPr>
              <w:t xml:space="preserve"> </w:t>
            </w:r>
            <w:r w:rsidRPr="00C4716D">
              <w:rPr>
                <w:rFonts w:eastAsia="Times New Roman" w:cs="Arial"/>
                <w:i/>
              </w:rPr>
              <w:t>Asset Level Project IRR</w:t>
            </w:r>
            <w:r w:rsidRPr="00C4716D">
              <w:rPr>
                <w:rFonts w:eastAsia="Times New Roman" w:cs="Arial"/>
              </w:rPr>
              <w:t xml:space="preserve"> sama</w:t>
            </w:r>
            <w:r w:rsidR="00073A9E">
              <w:rPr>
                <w:rFonts w:eastAsia="Times New Roman" w:cs="Arial"/>
              </w:rPr>
              <w:t xml:space="preserve"> dengan IRR Yang Terjustifikasi;</w:t>
            </w:r>
            <w:r w:rsidRPr="00C4716D">
              <w:rPr>
                <w:rFonts w:eastAsia="Times New Roman" w:cs="Arial"/>
              </w:rPr>
              <w:t xml:space="preserve"> </w:t>
            </w:r>
          </w:p>
        </w:tc>
      </w:tr>
      <w:tr w:rsidR="00C4716D" w:rsidRPr="00A67277" w14:paraId="76930F53" w14:textId="77777777" w:rsidTr="00073A9E">
        <w:tc>
          <w:tcPr>
            <w:tcW w:w="4817" w:type="dxa"/>
          </w:tcPr>
          <w:p w14:paraId="2720A407" w14:textId="4ED5F3E0" w:rsidR="00C4716D" w:rsidRPr="00C4716D" w:rsidRDefault="00C4716D" w:rsidP="00C4716D">
            <w:pPr>
              <w:pStyle w:val="ListParagraph"/>
              <w:numPr>
                <w:ilvl w:val="0"/>
                <w:numId w:val="757"/>
              </w:numPr>
              <w:spacing w:before="120" w:after="120" w:line="240" w:lineRule="auto"/>
              <w:ind w:left="408"/>
              <w:rPr>
                <w:rFonts w:cs="Arial"/>
                <w:b/>
              </w:rPr>
            </w:pPr>
            <w:r w:rsidRPr="00C4716D">
              <w:rPr>
                <w:rFonts w:eastAsia="Times New Roman" w:cs="Arial"/>
              </w:rPr>
              <w:t>be able to calculate the equity return from the equity investor’s perspective taking into consideration the financing structure (Base Case Equity IRR); and</w:t>
            </w:r>
          </w:p>
        </w:tc>
        <w:tc>
          <w:tcPr>
            <w:tcW w:w="222" w:type="dxa"/>
          </w:tcPr>
          <w:p w14:paraId="2A416A46" w14:textId="77777777" w:rsidR="00C4716D" w:rsidRPr="00C4716D" w:rsidRDefault="00C4716D" w:rsidP="00C4716D">
            <w:pPr>
              <w:spacing w:before="120" w:after="120"/>
              <w:jc w:val="both"/>
              <w:rPr>
                <w:rStyle w:val="CommentReference"/>
                <w:rFonts w:ascii="Arial" w:hAnsi="Arial" w:cs="Arial"/>
                <w:sz w:val="21"/>
                <w:szCs w:val="21"/>
              </w:rPr>
            </w:pPr>
          </w:p>
        </w:tc>
        <w:tc>
          <w:tcPr>
            <w:tcW w:w="4662" w:type="dxa"/>
          </w:tcPr>
          <w:p w14:paraId="2A96CF15" w14:textId="760BA228" w:rsidR="00C4716D" w:rsidRPr="00C4716D" w:rsidRDefault="00C4716D" w:rsidP="00C4716D">
            <w:pPr>
              <w:pStyle w:val="ListParagraph"/>
              <w:numPr>
                <w:ilvl w:val="0"/>
                <w:numId w:val="758"/>
              </w:numPr>
              <w:spacing w:before="120" w:after="120" w:line="240" w:lineRule="auto"/>
              <w:ind w:left="330"/>
              <w:rPr>
                <w:rFonts w:cs="Arial"/>
              </w:rPr>
            </w:pPr>
            <w:r w:rsidRPr="00C4716D">
              <w:rPr>
                <w:rFonts w:cs="Arial"/>
              </w:rPr>
              <w:t>dapat menghitung pengembalian ekuitas dari perspektif investor ekuitas dengan mempertimbangkan struktur pembiayaan (Posisi Dasar Ekuitas IRR); dan</w:t>
            </w:r>
          </w:p>
        </w:tc>
      </w:tr>
      <w:tr w:rsidR="00C4716D" w:rsidRPr="00A67277" w14:paraId="3310397D" w14:textId="77777777" w:rsidTr="00073A9E">
        <w:tc>
          <w:tcPr>
            <w:tcW w:w="4817" w:type="dxa"/>
          </w:tcPr>
          <w:p w14:paraId="11DC73DE" w14:textId="4BE99451" w:rsidR="00C4716D" w:rsidRPr="00C4716D" w:rsidRDefault="00C4716D" w:rsidP="00C4716D">
            <w:pPr>
              <w:pStyle w:val="ListParagraph"/>
              <w:numPr>
                <w:ilvl w:val="0"/>
                <w:numId w:val="757"/>
              </w:numPr>
              <w:spacing w:before="120" w:after="120" w:line="240" w:lineRule="auto"/>
              <w:ind w:left="408"/>
              <w:rPr>
                <w:rFonts w:cs="Arial"/>
                <w:b/>
              </w:rPr>
            </w:pPr>
            <w:r w:rsidRPr="00C4716D">
              <w:rPr>
                <w:rFonts w:cs="Arial"/>
              </w:rPr>
              <w:t xml:space="preserve">be updated on a [bi-annual] basis from the Commercial Operation Date to include the actual data on capital expenditures, operating expenditures and all other </w:t>
            </w:r>
            <w:r w:rsidR="00BF5D9C">
              <w:rPr>
                <w:rFonts w:cs="Arial"/>
              </w:rPr>
              <w:t>P</w:t>
            </w:r>
            <w:r w:rsidRPr="00C4716D">
              <w:rPr>
                <w:rFonts w:cs="Arial"/>
              </w:rPr>
              <w:t>roject cash flow figures.</w:t>
            </w:r>
          </w:p>
        </w:tc>
        <w:tc>
          <w:tcPr>
            <w:tcW w:w="222" w:type="dxa"/>
          </w:tcPr>
          <w:p w14:paraId="5155C5A4" w14:textId="77777777" w:rsidR="00C4716D" w:rsidRPr="00C4716D" w:rsidRDefault="00C4716D" w:rsidP="00C4716D">
            <w:pPr>
              <w:spacing w:before="120" w:after="120"/>
              <w:jc w:val="both"/>
              <w:rPr>
                <w:rStyle w:val="CommentReference"/>
                <w:rFonts w:ascii="Arial" w:hAnsi="Arial" w:cs="Arial"/>
                <w:sz w:val="21"/>
                <w:szCs w:val="21"/>
              </w:rPr>
            </w:pPr>
          </w:p>
        </w:tc>
        <w:tc>
          <w:tcPr>
            <w:tcW w:w="4662" w:type="dxa"/>
          </w:tcPr>
          <w:p w14:paraId="628C150B" w14:textId="061E9F20" w:rsidR="00C4716D" w:rsidRPr="00C4716D" w:rsidRDefault="00C4716D" w:rsidP="00C4716D">
            <w:pPr>
              <w:pStyle w:val="ListParagraph"/>
              <w:numPr>
                <w:ilvl w:val="0"/>
                <w:numId w:val="758"/>
              </w:numPr>
              <w:spacing w:before="120" w:after="120" w:line="240" w:lineRule="auto"/>
              <w:ind w:left="330"/>
              <w:rPr>
                <w:rFonts w:cs="Arial"/>
              </w:rPr>
            </w:pPr>
            <w:r w:rsidRPr="00C4716D">
              <w:rPr>
                <w:rFonts w:cs="Arial"/>
              </w:rPr>
              <w:t>Disesuaikan setiap [semester] sejak Tanggal Operasi Komersial untuk memuat data yang aktual mengenai biaya modal, biaya operasional dan angka arus kas Proyek lainnya</w:t>
            </w:r>
            <w:r w:rsidR="00073A9E">
              <w:rPr>
                <w:rFonts w:cs="Arial"/>
              </w:rPr>
              <w:t>.</w:t>
            </w:r>
          </w:p>
        </w:tc>
      </w:tr>
    </w:tbl>
    <w:p w14:paraId="3FD3EE90" w14:textId="77777777" w:rsidR="00C4716D" w:rsidRDefault="00C4716D" w:rsidP="00923319">
      <w:pPr>
        <w:rPr>
          <w:rFonts w:ascii="Arial" w:hAnsi="Arial" w:cs="Arial"/>
          <w:sz w:val="21"/>
          <w:szCs w:val="21"/>
        </w:rPr>
      </w:pPr>
    </w:p>
    <w:p w14:paraId="37C95FB9" w14:textId="77777777" w:rsidR="00923319" w:rsidRDefault="00923319" w:rsidP="00923319">
      <w:pPr>
        <w:rPr>
          <w:rFonts w:ascii="Arial" w:hAnsi="Arial" w:cs="Arial"/>
          <w:sz w:val="21"/>
          <w:szCs w:val="21"/>
        </w:rPr>
      </w:pPr>
      <w:r w:rsidRPr="00A67277">
        <w:rPr>
          <w:rFonts w:ascii="Arial" w:hAnsi="Arial" w:cs="Arial"/>
          <w:sz w:val="21"/>
          <w:szCs w:val="21"/>
        </w:rPr>
        <w:br w:type="page"/>
      </w:r>
    </w:p>
    <w:p w14:paraId="43D0E452" w14:textId="77777777" w:rsidR="00C4716D" w:rsidRPr="00A67277" w:rsidRDefault="00C4716D" w:rsidP="00923319">
      <w:pPr>
        <w:rPr>
          <w:rFonts w:ascii="Arial" w:hAnsi="Arial" w:cs="Arial"/>
          <w:sz w:val="21"/>
          <w:szCs w:val="21"/>
        </w:rPr>
      </w:pPr>
    </w:p>
    <w:tbl>
      <w:tblPr>
        <w:tblStyle w:val="TableGrid"/>
        <w:tblW w:w="9791"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gridCol w:w="222"/>
        <w:gridCol w:w="4662"/>
      </w:tblGrid>
      <w:tr w:rsidR="00A67277" w:rsidRPr="00A67277" w14:paraId="14360B81" w14:textId="77777777" w:rsidTr="00923319">
        <w:tc>
          <w:tcPr>
            <w:tcW w:w="4907" w:type="dxa"/>
          </w:tcPr>
          <w:p w14:paraId="54CAAC7B" w14:textId="4ADBB3CA" w:rsidR="00923319" w:rsidRPr="00A67277" w:rsidRDefault="00923319" w:rsidP="00E030C4">
            <w:pPr>
              <w:pStyle w:val="SchTitle"/>
              <w:numPr>
                <w:ilvl w:val="0"/>
                <w:numId w:val="564"/>
              </w:numPr>
              <w:rPr>
                <w:rFonts w:cs="Arial"/>
                <w:sz w:val="21"/>
              </w:rPr>
            </w:pPr>
            <w:r w:rsidRPr="00A67277">
              <w:rPr>
                <w:rFonts w:cs="Arial"/>
                <w:sz w:val="21"/>
              </w:rPr>
              <w:t xml:space="preserve">Appendix </w:t>
            </w:r>
            <w:r w:rsidR="00E030C4" w:rsidRPr="00A67277">
              <w:rPr>
                <w:rFonts w:cs="Arial"/>
                <w:sz w:val="21"/>
              </w:rPr>
              <w:t xml:space="preserve">17 </w:t>
            </w:r>
            <w:r w:rsidRPr="00A67277">
              <w:rPr>
                <w:rFonts w:cs="Arial"/>
                <w:sz w:val="21"/>
              </w:rPr>
              <w:t>– Asset Hand-Over Conditions</w:t>
            </w:r>
          </w:p>
        </w:tc>
        <w:tc>
          <w:tcPr>
            <w:tcW w:w="222" w:type="dxa"/>
            <w:tcBorders>
              <w:left w:val="nil"/>
            </w:tcBorders>
          </w:tcPr>
          <w:p w14:paraId="7E47DAD9" w14:textId="77777777" w:rsidR="00923319" w:rsidRPr="00A67277" w:rsidRDefault="00923319" w:rsidP="00923319">
            <w:pPr>
              <w:rPr>
                <w:rFonts w:ascii="Arial" w:hAnsi="Arial" w:cs="Arial"/>
                <w:sz w:val="21"/>
                <w:szCs w:val="21"/>
              </w:rPr>
            </w:pPr>
          </w:p>
        </w:tc>
        <w:tc>
          <w:tcPr>
            <w:tcW w:w="4662" w:type="dxa"/>
          </w:tcPr>
          <w:p w14:paraId="25A3B3D0" w14:textId="6DC49259" w:rsidR="00923319" w:rsidRPr="00A67277" w:rsidRDefault="00923319" w:rsidP="00E030C4">
            <w:pPr>
              <w:pStyle w:val="SchTitle"/>
              <w:numPr>
                <w:ilvl w:val="0"/>
                <w:numId w:val="564"/>
              </w:numPr>
              <w:rPr>
                <w:rFonts w:cs="Arial"/>
                <w:sz w:val="21"/>
                <w:lang w:val="id-ID"/>
              </w:rPr>
            </w:pPr>
            <w:r w:rsidRPr="00A67277">
              <w:rPr>
                <w:rFonts w:cs="Arial"/>
                <w:sz w:val="21"/>
              </w:rPr>
              <w:t xml:space="preserve">Lampiran </w:t>
            </w:r>
            <w:r w:rsidR="00E030C4" w:rsidRPr="00A67277">
              <w:rPr>
                <w:rFonts w:cs="Arial"/>
                <w:sz w:val="21"/>
              </w:rPr>
              <w:t xml:space="preserve">17  </w:t>
            </w:r>
            <w:r w:rsidRPr="00A67277">
              <w:rPr>
                <w:rFonts w:cs="Arial"/>
                <w:sz w:val="21"/>
              </w:rPr>
              <w:t>– Kondisi Penyeraha</w:t>
            </w:r>
            <w:r w:rsidR="00C07DE2">
              <w:rPr>
                <w:rFonts w:cs="Arial"/>
                <w:sz w:val="21"/>
              </w:rPr>
              <w:t>n Kembali</w:t>
            </w:r>
            <w:r w:rsidRPr="00A67277">
              <w:rPr>
                <w:rFonts w:cs="Arial"/>
                <w:sz w:val="21"/>
              </w:rPr>
              <w:t>Aset</w:t>
            </w:r>
          </w:p>
        </w:tc>
      </w:tr>
      <w:tr w:rsidR="00A67277" w:rsidRPr="00A67277" w14:paraId="784AA73A" w14:textId="77777777" w:rsidTr="00923319">
        <w:tc>
          <w:tcPr>
            <w:tcW w:w="4907" w:type="dxa"/>
          </w:tcPr>
          <w:p w14:paraId="78641EA3" w14:textId="77777777" w:rsidR="00923319" w:rsidRPr="00A67277" w:rsidRDefault="00923319" w:rsidP="00923319">
            <w:pPr>
              <w:spacing w:after="240"/>
              <w:jc w:val="both"/>
              <w:rPr>
                <w:rFonts w:ascii="Arial" w:hAnsi="Arial" w:cs="Arial"/>
                <w:sz w:val="21"/>
                <w:szCs w:val="21"/>
              </w:rPr>
            </w:pPr>
          </w:p>
        </w:tc>
        <w:tc>
          <w:tcPr>
            <w:tcW w:w="222" w:type="dxa"/>
          </w:tcPr>
          <w:p w14:paraId="33F85E0F" w14:textId="77777777" w:rsidR="00923319" w:rsidRPr="00A67277" w:rsidRDefault="00923319" w:rsidP="00923319">
            <w:pPr>
              <w:rPr>
                <w:rFonts w:ascii="Arial" w:hAnsi="Arial" w:cs="Arial"/>
                <w:sz w:val="21"/>
                <w:szCs w:val="21"/>
              </w:rPr>
            </w:pPr>
          </w:p>
        </w:tc>
        <w:tc>
          <w:tcPr>
            <w:tcW w:w="4662" w:type="dxa"/>
          </w:tcPr>
          <w:p w14:paraId="5A3D2F41" w14:textId="77777777" w:rsidR="00923319" w:rsidRPr="00A67277" w:rsidRDefault="00923319" w:rsidP="00923319">
            <w:pPr>
              <w:pStyle w:val="SchNumber3"/>
              <w:numPr>
                <w:ilvl w:val="0"/>
                <w:numId w:val="0"/>
              </w:numPr>
              <w:ind w:left="432"/>
              <w:rPr>
                <w:rFonts w:cs="Arial"/>
                <w:lang w:val="id-ID"/>
              </w:rPr>
            </w:pPr>
          </w:p>
        </w:tc>
      </w:tr>
      <w:tr w:rsidR="00A67277" w:rsidRPr="00A67277" w14:paraId="19A0606D" w14:textId="77777777" w:rsidTr="00923319">
        <w:tc>
          <w:tcPr>
            <w:tcW w:w="4907" w:type="dxa"/>
          </w:tcPr>
          <w:p w14:paraId="62FE5B5F" w14:textId="689E17C1" w:rsidR="00923319" w:rsidRPr="00A67277" w:rsidRDefault="00923319" w:rsidP="00923319">
            <w:pPr>
              <w:spacing w:after="240"/>
              <w:jc w:val="both"/>
              <w:rPr>
                <w:rFonts w:ascii="Arial" w:hAnsi="Arial" w:cs="Arial"/>
                <w:sz w:val="21"/>
                <w:szCs w:val="21"/>
              </w:rPr>
            </w:pPr>
            <w:r w:rsidRPr="00A67277">
              <w:rPr>
                <w:rFonts w:ascii="Arial" w:hAnsi="Arial" w:cs="Arial"/>
                <w:sz w:val="21"/>
                <w:szCs w:val="21"/>
              </w:rPr>
              <w:t xml:space="preserve">On the Expiry Date, the Facility shall be in a condition such that the Facility will meet the Key Performance Indicators for a period of [***] years beyond the Expiry Date with no requirement for capital expenditure beyond the Expiry Date, provided that the Facility are operated and maintained from the Expiry Date in accordance with Good </w:t>
            </w:r>
            <w:r w:rsidR="00DC2236" w:rsidRPr="00A67277">
              <w:rPr>
                <w:rFonts w:ascii="Arial" w:hAnsi="Arial" w:cs="Arial"/>
                <w:sz w:val="21"/>
                <w:szCs w:val="21"/>
              </w:rPr>
              <w:t xml:space="preserve">Industry </w:t>
            </w:r>
            <w:r w:rsidRPr="00A67277">
              <w:rPr>
                <w:rFonts w:ascii="Arial" w:hAnsi="Arial" w:cs="Arial"/>
                <w:sz w:val="21"/>
                <w:szCs w:val="21"/>
              </w:rPr>
              <w:t>Practice..</w:t>
            </w:r>
          </w:p>
        </w:tc>
        <w:tc>
          <w:tcPr>
            <w:tcW w:w="222" w:type="dxa"/>
          </w:tcPr>
          <w:p w14:paraId="53043CBA" w14:textId="77777777" w:rsidR="00923319" w:rsidRPr="00A67277" w:rsidRDefault="00923319" w:rsidP="00923319">
            <w:pPr>
              <w:rPr>
                <w:rFonts w:ascii="Arial" w:hAnsi="Arial" w:cs="Arial"/>
                <w:sz w:val="21"/>
                <w:szCs w:val="21"/>
              </w:rPr>
            </w:pPr>
          </w:p>
        </w:tc>
        <w:tc>
          <w:tcPr>
            <w:tcW w:w="4662" w:type="dxa"/>
          </w:tcPr>
          <w:p w14:paraId="649A9704" w14:textId="33B39FEA" w:rsidR="00923319" w:rsidRPr="00A67277" w:rsidRDefault="00923319" w:rsidP="00F93200">
            <w:pPr>
              <w:pStyle w:val="SchNumber3"/>
              <w:numPr>
                <w:ilvl w:val="0"/>
                <w:numId w:val="0"/>
              </w:numPr>
              <w:rPr>
                <w:rFonts w:eastAsiaTheme="minorHAnsi" w:cs="Arial"/>
                <w:lang w:val="en-US" w:eastAsia="en-US"/>
              </w:rPr>
            </w:pPr>
            <w:r w:rsidRPr="00A67277">
              <w:rPr>
                <w:rFonts w:eastAsiaTheme="minorHAnsi" w:cs="Arial"/>
                <w:lang w:val="en-US" w:eastAsia="en-US"/>
              </w:rPr>
              <w:t xml:space="preserve">Pada Tanggal Daluarsa Perjanjian, Fasilitas harus berada dalam kondisi yang membuat Fasilitas dapat memenuhi Indikator Kinerja Utama untuk jangka waktu [***] tahun setelah Tanggal Daluarsa Perjanjian tanpa perlu adanya pengeluaran belanja modal setelah Tanggal Daluarsa Perjanjian, dengan ketentuan bahwa Fasilitas dioperasikan dan dipelihara dari Tanggal Daluarsa Perjanjian sesuai dengan Praktek </w:t>
            </w:r>
            <w:r w:rsidR="00F93200" w:rsidRPr="00A67277">
              <w:rPr>
                <w:rFonts w:eastAsiaTheme="minorHAnsi" w:cs="Arial"/>
                <w:lang w:val="en-US" w:eastAsia="en-US"/>
              </w:rPr>
              <w:t xml:space="preserve">Industri </w:t>
            </w:r>
            <w:r w:rsidRPr="00A67277">
              <w:rPr>
                <w:rFonts w:eastAsiaTheme="minorHAnsi" w:cs="Arial"/>
                <w:lang w:val="en-US" w:eastAsia="en-US"/>
              </w:rPr>
              <w:t>Yang Baik.</w:t>
            </w:r>
          </w:p>
        </w:tc>
      </w:tr>
      <w:tr w:rsidR="00A67277" w:rsidRPr="00A67277" w14:paraId="469FFE60" w14:textId="77777777" w:rsidTr="00923319">
        <w:tc>
          <w:tcPr>
            <w:tcW w:w="4907" w:type="dxa"/>
          </w:tcPr>
          <w:p w14:paraId="38A0059F" w14:textId="77777777" w:rsidR="00923319" w:rsidRPr="00A67277" w:rsidRDefault="00923319" w:rsidP="00923319">
            <w:pPr>
              <w:spacing w:after="240"/>
              <w:jc w:val="both"/>
              <w:rPr>
                <w:rFonts w:ascii="Arial" w:hAnsi="Arial" w:cs="Arial"/>
                <w:sz w:val="21"/>
                <w:szCs w:val="21"/>
              </w:rPr>
            </w:pPr>
          </w:p>
        </w:tc>
        <w:tc>
          <w:tcPr>
            <w:tcW w:w="222" w:type="dxa"/>
          </w:tcPr>
          <w:p w14:paraId="6E047E4C" w14:textId="77777777" w:rsidR="00923319" w:rsidRPr="00A67277" w:rsidRDefault="00923319" w:rsidP="00923319">
            <w:pPr>
              <w:rPr>
                <w:rFonts w:ascii="Arial" w:hAnsi="Arial" w:cs="Arial"/>
                <w:sz w:val="21"/>
                <w:szCs w:val="21"/>
              </w:rPr>
            </w:pPr>
          </w:p>
        </w:tc>
        <w:tc>
          <w:tcPr>
            <w:tcW w:w="4662" w:type="dxa"/>
          </w:tcPr>
          <w:p w14:paraId="3D6E2C23" w14:textId="77777777" w:rsidR="00923319" w:rsidRPr="00A67277" w:rsidRDefault="00923319" w:rsidP="00923319">
            <w:pPr>
              <w:pStyle w:val="SchNumber3"/>
              <w:numPr>
                <w:ilvl w:val="0"/>
                <w:numId w:val="0"/>
              </w:numPr>
              <w:rPr>
                <w:rFonts w:eastAsiaTheme="minorHAnsi" w:cs="Arial"/>
                <w:lang w:val="en-US" w:eastAsia="en-US"/>
              </w:rPr>
            </w:pPr>
          </w:p>
        </w:tc>
      </w:tr>
      <w:tr w:rsidR="00A67277" w:rsidRPr="00A67277" w14:paraId="30114A69" w14:textId="77777777" w:rsidTr="00923319">
        <w:tc>
          <w:tcPr>
            <w:tcW w:w="4907" w:type="dxa"/>
          </w:tcPr>
          <w:p w14:paraId="02EE838B" w14:textId="77777777" w:rsidR="00923319" w:rsidRPr="00A67277" w:rsidRDefault="00923319" w:rsidP="00923319">
            <w:pPr>
              <w:spacing w:after="240"/>
              <w:jc w:val="both"/>
              <w:rPr>
                <w:rFonts w:ascii="Arial" w:hAnsi="Arial" w:cs="Arial"/>
                <w:sz w:val="21"/>
                <w:szCs w:val="21"/>
              </w:rPr>
            </w:pPr>
            <w:r w:rsidRPr="00A67277">
              <w:rPr>
                <w:rFonts w:ascii="Arial" w:hAnsi="Arial" w:cs="Arial"/>
                <w:sz w:val="21"/>
                <w:szCs w:val="21"/>
              </w:rPr>
              <w:t>IBE shall train the future GCA operating staff at least one year before the Transfer Date.</w:t>
            </w:r>
          </w:p>
        </w:tc>
        <w:tc>
          <w:tcPr>
            <w:tcW w:w="222" w:type="dxa"/>
          </w:tcPr>
          <w:p w14:paraId="133916BC" w14:textId="77777777" w:rsidR="00923319" w:rsidRPr="00A67277" w:rsidRDefault="00923319" w:rsidP="00923319">
            <w:pPr>
              <w:rPr>
                <w:rFonts w:ascii="Arial" w:hAnsi="Arial" w:cs="Arial"/>
                <w:sz w:val="21"/>
                <w:szCs w:val="21"/>
              </w:rPr>
            </w:pPr>
          </w:p>
        </w:tc>
        <w:tc>
          <w:tcPr>
            <w:tcW w:w="4662" w:type="dxa"/>
          </w:tcPr>
          <w:p w14:paraId="1029D65C" w14:textId="77777777" w:rsidR="00923319" w:rsidRPr="00A67277" w:rsidRDefault="00923319" w:rsidP="00923319">
            <w:pPr>
              <w:pStyle w:val="SchNumber3"/>
              <w:numPr>
                <w:ilvl w:val="0"/>
                <w:numId w:val="0"/>
              </w:numPr>
              <w:rPr>
                <w:rFonts w:eastAsiaTheme="minorHAnsi" w:cs="Arial"/>
                <w:lang w:val="en-US" w:eastAsia="en-US"/>
              </w:rPr>
            </w:pPr>
            <w:r w:rsidRPr="00A67277">
              <w:rPr>
                <w:rFonts w:eastAsiaTheme="minorHAnsi" w:cs="Arial"/>
                <w:lang w:val="en-US" w:eastAsia="en-US"/>
              </w:rPr>
              <w:t xml:space="preserve">BUP harus melatih petugas pengoperasian PJPK paling lambat satu tahun sebelum Tanggal Pengalihan. </w:t>
            </w:r>
          </w:p>
        </w:tc>
      </w:tr>
    </w:tbl>
    <w:p w14:paraId="22606075"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W w:w="9697" w:type="dxa"/>
        <w:tblInd w:w="-72" w:type="dxa"/>
        <w:tblLook w:val="04A0" w:firstRow="1" w:lastRow="0" w:firstColumn="1" w:lastColumn="0" w:noHBand="0" w:noVBand="1"/>
      </w:tblPr>
      <w:tblGrid>
        <w:gridCol w:w="2241"/>
        <w:gridCol w:w="2619"/>
        <w:gridCol w:w="270"/>
        <w:gridCol w:w="2103"/>
        <w:gridCol w:w="2464"/>
      </w:tblGrid>
      <w:tr w:rsidR="00923319" w:rsidRPr="00A67277" w14:paraId="39A6AF39" w14:textId="77777777" w:rsidTr="00923319">
        <w:tc>
          <w:tcPr>
            <w:tcW w:w="4860" w:type="dxa"/>
            <w:gridSpan w:val="2"/>
            <w:shd w:val="clear" w:color="auto" w:fill="auto"/>
          </w:tcPr>
          <w:p w14:paraId="666138D3" w14:textId="0D0A975F" w:rsidR="00923319" w:rsidRPr="00A67277" w:rsidRDefault="00923319" w:rsidP="00923319">
            <w:pPr>
              <w:pStyle w:val="SchTitle"/>
              <w:numPr>
                <w:ilvl w:val="0"/>
                <w:numId w:val="564"/>
              </w:numPr>
              <w:rPr>
                <w:rFonts w:cs="Arial"/>
                <w:sz w:val="21"/>
              </w:rPr>
            </w:pPr>
            <w:r w:rsidRPr="00A67277">
              <w:rPr>
                <w:rFonts w:cs="Arial"/>
                <w:sz w:val="21"/>
              </w:rPr>
              <w:t xml:space="preserve">Appendix </w:t>
            </w:r>
            <w:r w:rsidR="00E030C4" w:rsidRPr="00A67277">
              <w:rPr>
                <w:rFonts w:cs="Arial"/>
                <w:sz w:val="21"/>
              </w:rPr>
              <w:t xml:space="preserve">18 </w:t>
            </w:r>
            <w:r w:rsidRPr="00A67277">
              <w:rPr>
                <w:rFonts w:cs="Arial"/>
                <w:sz w:val="21"/>
              </w:rPr>
              <w:t>– Format of Performance Bond</w:t>
            </w:r>
          </w:p>
          <w:p w14:paraId="3ACDEC11" w14:textId="77777777" w:rsidR="00923319" w:rsidRPr="00A67277" w:rsidRDefault="00923319" w:rsidP="00923319">
            <w:pPr>
              <w:rPr>
                <w:rFonts w:ascii="Arial" w:hAnsi="Arial" w:cs="Arial"/>
                <w:sz w:val="21"/>
                <w:szCs w:val="21"/>
              </w:rPr>
            </w:pPr>
          </w:p>
          <w:p w14:paraId="08E613DB" w14:textId="77777777" w:rsidR="00923319" w:rsidRPr="00A67277" w:rsidRDefault="00923319" w:rsidP="00923319">
            <w:pPr>
              <w:pStyle w:val="SchSubtitle"/>
              <w:numPr>
                <w:ilvl w:val="0"/>
                <w:numId w:val="0"/>
              </w:numPr>
              <w:jc w:val="left"/>
            </w:pPr>
          </w:p>
        </w:tc>
        <w:tc>
          <w:tcPr>
            <w:tcW w:w="270" w:type="dxa"/>
            <w:shd w:val="clear" w:color="auto" w:fill="auto"/>
          </w:tcPr>
          <w:p w14:paraId="7D947D90"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44A208AE" w14:textId="6A5DD64D" w:rsidR="00923319" w:rsidRPr="00A67277" w:rsidRDefault="00923319" w:rsidP="00923319">
            <w:pPr>
              <w:pStyle w:val="SchTitle"/>
              <w:numPr>
                <w:ilvl w:val="0"/>
                <w:numId w:val="564"/>
              </w:numPr>
              <w:rPr>
                <w:rFonts w:cs="Arial"/>
                <w:sz w:val="21"/>
              </w:rPr>
            </w:pPr>
            <w:r w:rsidRPr="00A67277">
              <w:rPr>
                <w:rFonts w:cs="Arial"/>
                <w:sz w:val="21"/>
              </w:rPr>
              <w:t xml:space="preserve">Lampiran </w:t>
            </w:r>
            <w:r w:rsidR="00E030C4" w:rsidRPr="00A67277">
              <w:rPr>
                <w:rFonts w:cs="Arial"/>
                <w:sz w:val="21"/>
              </w:rPr>
              <w:t xml:space="preserve">18  </w:t>
            </w:r>
            <w:r w:rsidRPr="00A67277">
              <w:rPr>
                <w:rFonts w:cs="Arial"/>
                <w:sz w:val="21"/>
              </w:rPr>
              <w:t>– Bentuk Jaminan Pelaksanaan</w:t>
            </w:r>
          </w:p>
          <w:p w14:paraId="1733CF5C" w14:textId="77777777" w:rsidR="00923319" w:rsidRPr="00A67277" w:rsidRDefault="00923319" w:rsidP="00923319">
            <w:pPr>
              <w:spacing w:before="120" w:after="120"/>
              <w:jc w:val="both"/>
              <w:rPr>
                <w:rFonts w:ascii="Arial" w:hAnsi="Arial" w:cs="Arial"/>
                <w:sz w:val="21"/>
                <w:szCs w:val="21"/>
              </w:rPr>
            </w:pPr>
          </w:p>
        </w:tc>
      </w:tr>
      <w:tr w:rsidR="00923319" w:rsidRPr="00A67277" w14:paraId="0647E127" w14:textId="77777777" w:rsidTr="00923319">
        <w:tc>
          <w:tcPr>
            <w:tcW w:w="4860" w:type="dxa"/>
            <w:gridSpan w:val="2"/>
            <w:shd w:val="clear" w:color="auto" w:fill="auto"/>
          </w:tcPr>
          <w:p w14:paraId="4A9CFD64" w14:textId="77777777" w:rsidR="00923319" w:rsidRPr="00A67277" w:rsidRDefault="00923319" w:rsidP="00923319">
            <w:pPr>
              <w:pStyle w:val="SchNumber1"/>
              <w:tabs>
                <w:tab w:val="clear" w:pos="709"/>
              </w:tabs>
              <w:spacing w:before="120" w:after="120"/>
              <w:rPr>
                <w:rFonts w:cs="Arial"/>
                <w:lang w:val="en-US"/>
              </w:rPr>
            </w:pPr>
          </w:p>
        </w:tc>
        <w:tc>
          <w:tcPr>
            <w:tcW w:w="270" w:type="dxa"/>
            <w:shd w:val="clear" w:color="auto" w:fill="auto"/>
          </w:tcPr>
          <w:p w14:paraId="03B1BD73"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54BD8944" w14:textId="77777777" w:rsidR="00923319" w:rsidRPr="00A67277" w:rsidRDefault="00923319" w:rsidP="00923319">
            <w:pPr>
              <w:pStyle w:val="SchHeading1"/>
              <w:tabs>
                <w:tab w:val="clear" w:pos="709"/>
              </w:tabs>
              <w:spacing w:before="120" w:after="120"/>
              <w:rPr>
                <w:rFonts w:cs="Arial"/>
                <w:lang w:val="en-US"/>
              </w:rPr>
            </w:pPr>
          </w:p>
        </w:tc>
      </w:tr>
      <w:tr w:rsidR="00923319" w:rsidRPr="00A67277" w14:paraId="79FB5FE4" w14:textId="77777777" w:rsidTr="00923319">
        <w:tc>
          <w:tcPr>
            <w:tcW w:w="4860" w:type="dxa"/>
            <w:gridSpan w:val="2"/>
            <w:shd w:val="clear" w:color="auto" w:fill="auto"/>
          </w:tcPr>
          <w:p w14:paraId="0E955AC8" w14:textId="77777777" w:rsidR="00923319" w:rsidRPr="00A67277" w:rsidRDefault="00923319" w:rsidP="00923319">
            <w:pPr>
              <w:pStyle w:val="SchNumber1"/>
              <w:numPr>
                <w:ilvl w:val="2"/>
                <w:numId w:val="564"/>
              </w:numPr>
              <w:spacing w:before="120" w:after="120"/>
              <w:ind w:left="447" w:hanging="425"/>
              <w:rPr>
                <w:rFonts w:cs="Arial"/>
                <w:b/>
                <w:lang w:val="en-US"/>
              </w:rPr>
            </w:pPr>
            <w:bookmarkStart w:id="428" w:name="_Toc501179055"/>
            <w:r w:rsidRPr="00A67277">
              <w:rPr>
                <w:rFonts w:cs="Arial"/>
                <w:b/>
                <w:lang w:val="en-US"/>
              </w:rPr>
              <w:t>Stage I Performance Bond Form</w:t>
            </w:r>
            <w:bookmarkEnd w:id="428"/>
          </w:p>
        </w:tc>
        <w:tc>
          <w:tcPr>
            <w:tcW w:w="270" w:type="dxa"/>
            <w:shd w:val="clear" w:color="auto" w:fill="auto"/>
          </w:tcPr>
          <w:p w14:paraId="12C85452" w14:textId="77777777" w:rsidR="00923319" w:rsidRPr="00A67277" w:rsidRDefault="00923319" w:rsidP="00923319">
            <w:pPr>
              <w:spacing w:before="120" w:after="120"/>
              <w:jc w:val="both"/>
              <w:rPr>
                <w:rFonts w:ascii="Arial" w:hAnsi="Arial" w:cs="Arial"/>
                <w:b/>
                <w:sz w:val="21"/>
                <w:szCs w:val="21"/>
              </w:rPr>
            </w:pPr>
          </w:p>
        </w:tc>
        <w:tc>
          <w:tcPr>
            <w:tcW w:w="4567" w:type="dxa"/>
            <w:gridSpan w:val="2"/>
            <w:shd w:val="clear" w:color="auto" w:fill="auto"/>
          </w:tcPr>
          <w:p w14:paraId="2A5780F7" w14:textId="77777777" w:rsidR="00923319" w:rsidRPr="00A67277" w:rsidRDefault="00923319" w:rsidP="00923319">
            <w:pPr>
              <w:pStyle w:val="SchHeading1"/>
              <w:numPr>
                <w:ilvl w:val="0"/>
                <w:numId w:val="590"/>
              </w:numPr>
              <w:spacing w:before="120" w:after="120"/>
              <w:ind w:left="415"/>
              <w:rPr>
                <w:rFonts w:cs="Arial"/>
                <w:lang w:val="en-US"/>
              </w:rPr>
            </w:pPr>
            <w:r w:rsidRPr="00A67277">
              <w:rPr>
                <w:rFonts w:cs="Arial"/>
                <w:lang w:val="en-US"/>
              </w:rPr>
              <w:t>Bentuk Jaminan Pelaksanaan Tahap I</w:t>
            </w:r>
          </w:p>
        </w:tc>
      </w:tr>
      <w:tr w:rsidR="00923319" w:rsidRPr="00A67277" w14:paraId="3466C788" w14:textId="77777777" w:rsidTr="00923319">
        <w:tc>
          <w:tcPr>
            <w:tcW w:w="2241" w:type="dxa"/>
            <w:shd w:val="clear" w:color="auto" w:fill="auto"/>
          </w:tcPr>
          <w:p w14:paraId="3B9A97B4" w14:textId="77777777" w:rsidR="00923319" w:rsidRPr="00A67277" w:rsidRDefault="00923319" w:rsidP="00923319">
            <w:pPr>
              <w:pStyle w:val="SchNumber1"/>
              <w:tabs>
                <w:tab w:val="clear" w:pos="709"/>
              </w:tabs>
              <w:spacing w:before="120" w:after="120"/>
              <w:rPr>
                <w:rFonts w:cs="Arial"/>
                <w:lang w:val="en-US"/>
              </w:rPr>
            </w:pPr>
            <w:r w:rsidRPr="00A67277">
              <w:rPr>
                <w:rFonts w:cs="Arial"/>
                <w:i/>
                <w:lang w:val="en-US"/>
              </w:rPr>
              <w:t>Beneficiary</w:t>
            </w:r>
          </w:p>
        </w:tc>
        <w:tc>
          <w:tcPr>
            <w:tcW w:w="2619" w:type="dxa"/>
            <w:shd w:val="clear" w:color="auto" w:fill="auto"/>
          </w:tcPr>
          <w:p w14:paraId="34BAA131" w14:textId="77777777" w:rsidR="00923319" w:rsidRPr="00A67277" w:rsidRDefault="00923319" w:rsidP="00923319">
            <w:pPr>
              <w:pStyle w:val="SchNumber1"/>
              <w:tabs>
                <w:tab w:val="clear" w:pos="709"/>
              </w:tabs>
              <w:spacing w:before="120" w:after="120"/>
              <w:rPr>
                <w:rFonts w:cs="Arial"/>
                <w:lang w:val="en-US"/>
              </w:rPr>
            </w:pPr>
            <w:r w:rsidRPr="00A67277">
              <w:rPr>
                <w:rFonts w:cs="Arial"/>
                <w:i/>
                <w:lang w:val="en-US"/>
              </w:rPr>
              <w:t>Applicant</w:t>
            </w:r>
          </w:p>
        </w:tc>
        <w:tc>
          <w:tcPr>
            <w:tcW w:w="270" w:type="dxa"/>
            <w:shd w:val="clear" w:color="auto" w:fill="auto"/>
          </w:tcPr>
          <w:p w14:paraId="76C6B59B" w14:textId="77777777" w:rsidR="00923319" w:rsidRPr="00A67277" w:rsidRDefault="00923319" w:rsidP="00923319">
            <w:pPr>
              <w:spacing w:before="120" w:after="120"/>
              <w:jc w:val="both"/>
              <w:rPr>
                <w:rFonts w:ascii="Arial" w:hAnsi="Arial" w:cs="Arial"/>
                <w:sz w:val="21"/>
                <w:szCs w:val="21"/>
              </w:rPr>
            </w:pPr>
          </w:p>
        </w:tc>
        <w:tc>
          <w:tcPr>
            <w:tcW w:w="2103" w:type="dxa"/>
            <w:shd w:val="clear" w:color="auto" w:fill="auto"/>
          </w:tcPr>
          <w:p w14:paraId="4031EF39"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i/>
                <w:sz w:val="21"/>
                <w:szCs w:val="21"/>
              </w:rPr>
              <w:t>Penerima Manfaat</w:t>
            </w:r>
          </w:p>
        </w:tc>
        <w:tc>
          <w:tcPr>
            <w:tcW w:w="2464" w:type="dxa"/>
            <w:shd w:val="clear" w:color="auto" w:fill="auto"/>
          </w:tcPr>
          <w:p w14:paraId="56B3378C" w14:textId="77777777" w:rsidR="00923319" w:rsidRPr="00A67277" w:rsidRDefault="00923319" w:rsidP="00923319">
            <w:pPr>
              <w:spacing w:before="120" w:after="120"/>
              <w:ind w:firstLine="107"/>
              <w:jc w:val="both"/>
              <w:rPr>
                <w:rFonts w:ascii="Arial" w:hAnsi="Arial" w:cs="Arial"/>
                <w:sz w:val="21"/>
                <w:szCs w:val="21"/>
              </w:rPr>
            </w:pPr>
            <w:r w:rsidRPr="00A67277">
              <w:rPr>
                <w:rFonts w:ascii="Arial" w:hAnsi="Arial" w:cs="Arial"/>
                <w:i/>
                <w:sz w:val="21"/>
                <w:szCs w:val="21"/>
              </w:rPr>
              <w:t>Pemohon</w:t>
            </w:r>
          </w:p>
        </w:tc>
      </w:tr>
      <w:tr w:rsidR="00923319" w:rsidRPr="00A67277" w14:paraId="76C7EFE3" w14:textId="77777777" w:rsidTr="00923319">
        <w:tc>
          <w:tcPr>
            <w:tcW w:w="2241" w:type="dxa"/>
            <w:shd w:val="clear" w:color="auto" w:fill="auto"/>
          </w:tcPr>
          <w:p w14:paraId="660185CB" w14:textId="77777777" w:rsidR="00923319" w:rsidRPr="00A67277" w:rsidRDefault="00923319" w:rsidP="00923319">
            <w:pPr>
              <w:pStyle w:val="SchNumber1"/>
              <w:tabs>
                <w:tab w:val="clear" w:pos="709"/>
              </w:tabs>
              <w:spacing w:before="120" w:after="120"/>
              <w:rPr>
                <w:rFonts w:cs="Arial"/>
                <w:i/>
                <w:lang w:val="en-US"/>
              </w:rPr>
            </w:pPr>
            <w:r w:rsidRPr="00A67277">
              <w:rPr>
                <w:rFonts w:cs="Arial"/>
                <w:b/>
                <w:lang w:val="en-US"/>
              </w:rPr>
              <w:t>(Insert GCA Name)</w:t>
            </w:r>
          </w:p>
        </w:tc>
        <w:tc>
          <w:tcPr>
            <w:tcW w:w="2619" w:type="dxa"/>
            <w:shd w:val="clear" w:color="auto" w:fill="auto"/>
          </w:tcPr>
          <w:p w14:paraId="6376B155" w14:textId="77777777" w:rsidR="00923319" w:rsidRPr="00A67277" w:rsidRDefault="00923319" w:rsidP="00923319">
            <w:pPr>
              <w:pStyle w:val="SchNumber1"/>
              <w:tabs>
                <w:tab w:val="clear" w:pos="709"/>
              </w:tabs>
              <w:spacing w:before="120" w:after="120"/>
              <w:rPr>
                <w:rFonts w:cs="Arial"/>
                <w:i/>
                <w:lang w:val="en-US"/>
              </w:rPr>
            </w:pPr>
            <w:r w:rsidRPr="00A67277">
              <w:rPr>
                <w:rFonts w:cs="Arial"/>
                <w:lang w:val="en-US"/>
              </w:rPr>
              <w:t>[IBE]</w:t>
            </w:r>
          </w:p>
        </w:tc>
        <w:tc>
          <w:tcPr>
            <w:tcW w:w="270" w:type="dxa"/>
            <w:shd w:val="clear" w:color="auto" w:fill="auto"/>
          </w:tcPr>
          <w:p w14:paraId="5B7DFBFE" w14:textId="77777777" w:rsidR="00923319" w:rsidRPr="00A67277" w:rsidRDefault="00923319" w:rsidP="00923319">
            <w:pPr>
              <w:spacing w:before="120" w:after="120"/>
              <w:jc w:val="both"/>
              <w:rPr>
                <w:rFonts w:ascii="Arial" w:hAnsi="Arial" w:cs="Arial"/>
                <w:sz w:val="21"/>
                <w:szCs w:val="21"/>
              </w:rPr>
            </w:pPr>
          </w:p>
        </w:tc>
        <w:tc>
          <w:tcPr>
            <w:tcW w:w="2103" w:type="dxa"/>
            <w:shd w:val="clear" w:color="auto" w:fill="auto"/>
          </w:tcPr>
          <w:p w14:paraId="0B39319E"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b/>
                <w:sz w:val="21"/>
                <w:szCs w:val="21"/>
              </w:rPr>
              <w:t>(Masukkan Nama PJPK)</w:t>
            </w:r>
          </w:p>
        </w:tc>
        <w:tc>
          <w:tcPr>
            <w:tcW w:w="2464" w:type="dxa"/>
            <w:shd w:val="clear" w:color="auto" w:fill="auto"/>
          </w:tcPr>
          <w:p w14:paraId="2C3134EB"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[BUP]</w:t>
            </w:r>
          </w:p>
        </w:tc>
      </w:tr>
      <w:tr w:rsidR="00923319" w:rsidRPr="00A67277" w14:paraId="10CFB734" w14:textId="77777777" w:rsidTr="00923319">
        <w:tc>
          <w:tcPr>
            <w:tcW w:w="2241" w:type="dxa"/>
            <w:shd w:val="clear" w:color="auto" w:fill="auto"/>
          </w:tcPr>
          <w:p w14:paraId="6F4AD378" w14:textId="77777777" w:rsidR="00923319" w:rsidRPr="00A67277" w:rsidRDefault="00923319" w:rsidP="00923319">
            <w:pPr>
              <w:pStyle w:val="SchNumber1"/>
              <w:tabs>
                <w:tab w:val="clear" w:pos="709"/>
              </w:tabs>
              <w:spacing w:before="120" w:after="120"/>
              <w:rPr>
                <w:rFonts w:cs="Arial"/>
                <w:b/>
                <w:lang w:val="en-US"/>
              </w:rPr>
            </w:pPr>
            <w:r w:rsidRPr="00A67277">
              <w:rPr>
                <w:rFonts w:cs="Arial"/>
                <w:lang w:val="en-US"/>
              </w:rPr>
              <w:t>[***]</w:t>
            </w:r>
            <w:r w:rsidRPr="00A67277">
              <w:rPr>
                <w:rFonts w:cs="Arial"/>
                <w:lang w:val="en-US"/>
              </w:rPr>
              <w:tab/>
            </w:r>
          </w:p>
        </w:tc>
        <w:tc>
          <w:tcPr>
            <w:tcW w:w="2619" w:type="dxa"/>
            <w:shd w:val="clear" w:color="auto" w:fill="auto"/>
          </w:tcPr>
          <w:p w14:paraId="249F941D" w14:textId="77777777" w:rsidR="00923319" w:rsidRPr="00A67277" w:rsidRDefault="00923319" w:rsidP="00923319">
            <w:pPr>
              <w:pStyle w:val="SchNumber1"/>
              <w:tabs>
                <w:tab w:val="clear" w:pos="709"/>
              </w:tabs>
              <w:spacing w:before="120" w:after="120"/>
              <w:rPr>
                <w:rFonts w:cs="Arial"/>
                <w:b/>
                <w:lang w:val="en-US"/>
              </w:rPr>
            </w:pPr>
            <w:r w:rsidRPr="00A67277">
              <w:rPr>
                <w:rFonts w:cs="Arial"/>
                <w:lang w:val="en-US"/>
              </w:rPr>
              <w:t>[***]</w:t>
            </w:r>
            <w:r w:rsidRPr="00A67277">
              <w:rPr>
                <w:rFonts w:cs="Arial"/>
                <w:lang w:val="en-US"/>
              </w:rPr>
              <w:tab/>
            </w:r>
          </w:p>
        </w:tc>
        <w:tc>
          <w:tcPr>
            <w:tcW w:w="270" w:type="dxa"/>
            <w:shd w:val="clear" w:color="auto" w:fill="auto"/>
          </w:tcPr>
          <w:p w14:paraId="1901D735" w14:textId="77777777" w:rsidR="00923319" w:rsidRPr="00A67277" w:rsidRDefault="00923319" w:rsidP="00923319">
            <w:pPr>
              <w:spacing w:before="120" w:after="120"/>
              <w:jc w:val="both"/>
              <w:rPr>
                <w:rFonts w:ascii="Arial" w:hAnsi="Arial" w:cs="Arial"/>
                <w:sz w:val="21"/>
                <w:szCs w:val="21"/>
              </w:rPr>
            </w:pPr>
          </w:p>
        </w:tc>
        <w:tc>
          <w:tcPr>
            <w:tcW w:w="2103" w:type="dxa"/>
            <w:shd w:val="clear" w:color="auto" w:fill="auto"/>
          </w:tcPr>
          <w:p w14:paraId="76A9C858"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w:t>
            </w:r>
            <w:r w:rsidRPr="00A67277">
              <w:rPr>
                <w:rFonts w:ascii="Arial" w:hAnsi="Arial" w:cs="Arial"/>
                <w:sz w:val="21"/>
                <w:szCs w:val="21"/>
              </w:rPr>
              <w:tab/>
            </w:r>
          </w:p>
        </w:tc>
        <w:tc>
          <w:tcPr>
            <w:tcW w:w="2464" w:type="dxa"/>
            <w:shd w:val="clear" w:color="auto" w:fill="auto"/>
          </w:tcPr>
          <w:p w14:paraId="6A77CBBB"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w:t>
            </w:r>
          </w:p>
        </w:tc>
      </w:tr>
      <w:tr w:rsidR="00923319" w:rsidRPr="00A67277" w14:paraId="1F48DAA4" w14:textId="77777777" w:rsidTr="00923319">
        <w:tc>
          <w:tcPr>
            <w:tcW w:w="4860" w:type="dxa"/>
            <w:gridSpan w:val="2"/>
            <w:shd w:val="clear" w:color="auto" w:fill="auto"/>
          </w:tcPr>
          <w:p w14:paraId="0BB3F972" w14:textId="77777777" w:rsidR="00923319" w:rsidRPr="00A67277" w:rsidRDefault="00923319" w:rsidP="00923319">
            <w:pPr>
              <w:pStyle w:val="Body2"/>
              <w:spacing w:before="120" w:after="120"/>
              <w:ind w:left="0"/>
              <w:rPr>
                <w:rFonts w:cs="Arial"/>
                <w:lang w:val="en-US"/>
              </w:rPr>
            </w:pPr>
            <w:r w:rsidRPr="00A67277">
              <w:rPr>
                <w:rFonts w:cs="Arial"/>
                <w:lang w:val="en-US"/>
              </w:rPr>
              <w:t>Attention to:</w:t>
            </w:r>
          </w:p>
        </w:tc>
        <w:tc>
          <w:tcPr>
            <w:tcW w:w="270" w:type="dxa"/>
            <w:shd w:val="clear" w:color="auto" w:fill="auto"/>
          </w:tcPr>
          <w:p w14:paraId="12753CB2"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36A62792" w14:textId="77777777" w:rsidR="00923319" w:rsidRPr="00A67277" w:rsidRDefault="00923319" w:rsidP="00923319">
            <w:pPr>
              <w:pStyle w:val="Body2"/>
              <w:spacing w:before="120" w:after="120"/>
              <w:ind w:left="0"/>
              <w:rPr>
                <w:rFonts w:cs="Arial"/>
              </w:rPr>
            </w:pPr>
            <w:r w:rsidRPr="00A67277">
              <w:rPr>
                <w:rFonts w:cs="Arial"/>
                <w:lang w:val="en-US"/>
              </w:rPr>
              <w:t>Kepada:</w:t>
            </w:r>
          </w:p>
        </w:tc>
      </w:tr>
      <w:tr w:rsidR="00923319" w:rsidRPr="00A67277" w14:paraId="61B7510A" w14:textId="77777777" w:rsidTr="00923319">
        <w:tc>
          <w:tcPr>
            <w:tcW w:w="4860" w:type="dxa"/>
            <w:gridSpan w:val="2"/>
            <w:shd w:val="clear" w:color="auto" w:fill="auto"/>
          </w:tcPr>
          <w:p w14:paraId="48F88DCF" w14:textId="77777777" w:rsidR="00923319" w:rsidRPr="00A67277" w:rsidRDefault="00923319" w:rsidP="00923319">
            <w:pPr>
              <w:pStyle w:val="Body2"/>
              <w:spacing w:before="120" w:after="120"/>
              <w:ind w:left="0"/>
              <w:jc w:val="left"/>
              <w:rPr>
                <w:rFonts w:cs="Arial"/>
              </w:rPr>
            </w:pPr>
            <w:r w:rsidRPr="00A67277">
              <w:rPr>
                <w:rFonts w:cs="Arial"/>
                <w:b/>
                <w:lang w:val="en-US"/>
              </w:rPr>
              <w:t>(Insert GCA name and Chief title)</w:t>
            </w:r>
          </w:p>
        </w:tc>
        <w:tc>
          <w:tcPr>
            <w:tcW w:w="270" w:type="dxa"/>
            <w:shd w:val="clear" w:color="auto" w:fill="auto"/>
          </w:tcPr>
          <w:p w14:paraId="02651BF0"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7BED8294" w14:textId="77777777" w:rsidR="00923319" w:rsidRPr="00A67277" w:rsidRDefault="00923319" w:rsidP="00923319">
            <w:pPr>
              <w:pStyle w:val="Body2"/>
              <w:spacing w:before="120" w:after="120"/>
              <w:ind w:left="0"/>
              <w:rPr>
                <w:rFonts w:cs="Arial"/>
                <w:lang w:val="fr-FR"/>
              </w:rPr>
            </w:pPr>
            <w:r w:rsidRPr="00A67277">
              <w:rPr>
                <w:rFonts w:cs="Arial"/>
                <w:b/>
                <w:lang w:val="fr-FR"/>
              </w:rPr>
              <w:t>(Masukkan Nama PJPK dan Jabatan Pimpinan)</w:t>
            </w:r>
          </w:p>
        </w:tc>
      </w:tr>
      <w:tr w:rsidR="00923319" w:rsidRPr="00A67277" w14:paraId="7527B780" w14:textId="77777777" w:rsidTr="00923319">
        <w:tc>
          <w:tcPr>
            <w:tcW w:w="4860" w:type="dxa"/>
            <w:gridSpan w:val="2"/>
            <w:shd w:val="clear" w:color="auto" w:fill="auto"/>
          </w:tcPr>
          <w:p w14:paraId="50ACE557" w14:textId="77777777" w:rsidR="00923319" w:rsidRPr="00A67277" w:rsidRDefault="00923319" w:rsidP="00923319">
            <w:pPr>
              <w:pStyle w:val="Body2"/>
              <w:spacing w:before="120" w:after="120"/>
              <w:ind w:left="0"/>
              <w:jc w:val="left"/>
              <w:rPr>
                <w:rFonts w:cs="Arial"/>
              </w:rPr>
            </w:pPr>
            <w:r w:rsidRPr="00A67277">
              <w:rPr>
                <w:rFonts w:cs="Arial"/>
                <w:lang w:val="en-US"/>
              </w:rPr>
              <w:t>With respect,</w:t>
            </w:r>
          </w:p>
        </w:tc>
        <w:tc>
          <w:tcPr>
            <w:tcW w:w="270" w:type="dxa"/>
            <w:shd w:val="clear" w:color="auto" w:fill="auto"/>
          </w:tcPr>
          <w:p w14:paraId="13E72C5A"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69D21D5" w14:textId="77777777" w:rsidR="00923319" w:rsidRPr="00A67277" w:rsidRDefault="00923319" w:rsidP="00923319">
            <w:pPr>
              <w:pStyle w:val="Body2"/>
              <w:spacing w:before="120" w:after="120"/>
              <w:ind w:left="0"/>
              <w:rPr>
                <w:rFonts w:cs="Arial"/>
                <w:lang w:val="en-US"/>
              </w:rPr>
            </w:pPr>
            <w:r w:rsidRPr="00A67277">
              <w:rPr>
                <w:rFonts w:cs="Arial"/>
                <w:lang w:val="en-US"/>
              </w:rPr>
              <w:t>Dengan hormat,</w:t>
            </w:r>
          </w:p>
        </w:tc>
      </w:tr>
      <w:tr w:rsidR="00923319" w:rsidRPr="00A67277" w14:paraId="225C828B" w14:textId="77777777" w:rsidTr="00923319">
        <w:tc>
          <w:tcPr>
            <w:tcW w:w="4860" w:type="dxa"/>
            <w:gridSpan w:val="2"/>
            <w:shd w:val="clear" w:color="auto" w:fill="auto"/>
          </w:tcPr>
          <w:p w14:paraId="0FB7A283" w14:textId="5092E262" w:rsidR="00923319" w:rsidRPr="00A67277" w:rsidRDefault="00923319" w:rsidP="00923319">
            <w:pPr>
              <w:pStyle w:val="SchNumber3"/>
              <w:numPr>
                <w:ilvl w:val="4"/>
                <w:numId w:val="564"/>
              </w:numPr>
              <w:spacing w:before="120" w:after="120"/>
              <w:ind w:left="447" w:hanging="447"/>
              <w:rPr>
                <w:rFonts w:cs="Arial"/>
                <w:lang w:val="en-US"/>
              </w:rPr>
            </w:pPr>
            <w:r w:rsidRPr="00A67277">
              <w:rPr>
                <w:rFonts w:cs="Arial"/>
                <w:lang w:val="en-US"/>
              </w:rPr>
              <w:t xml:space="preserve">Upon </w:t>
            </w:r>
            <w:r w:rsidR="002E4469">
              <w:rPr>
                <w:rFonts w:cs="Arial"/>
                <w:lang w:val="en-US"/>
              </w:rPr>
              <w:t xml:space="preserve">the </w:t>
            </w:r>
            <w:r w:rsidRPr="00A67277">
              <w:rPr>
                <w:rFonts w:cs="Arial"/>
                <w:lang w:val="en-US"/>
              </w:rPr>
              <w:t>request of and for the best interest of our consumers, [Name of the IBE] (“</w:t>
            </w:r>
            <w:r w:rsidRPr="00A67277">
              <w:rPr>
                <w:rFonts w:cs="Arial"/>
                <w:b/>
                <w:lang w:val="en-US"/>
              </w:rPr>
              <w:t>IBE</w:t>
            </w:r>
            <w:r w:rsidRPr="00A67277">
              <w:rPr>
                <w:rFonts w:cs="Arial"/>
                <w:lang w:val="en-US"/>
              </w:rPr>
              <w:t>”), having its office address at [***], the banks undersigned below [***], located at [***], in this matter to act through its Branch Office [***] (“</w:t>
            </w:r>
            <w:r w:rsidRPr="00A67277">
              <w:rPr>
                <w:rFonts w:cs="Arial"/>
                <w:b/>
                <w:lang w:val="en-US"/>
              </w:rPr>
              <w:t>Issuer</w:t>
            </w:r>
            <w:r w:rsidRPr="00A67277">
              <w:rPr>
                <w:rFonts w:cs="Arial"/>
                <w:lang w:val="en-US"/>
              </w:rPr>
              <w:t>”), hereby issues Bank Guarantee No. [***] (“</w:t>
            </w:r>
            <w:r w:rsidRPr="00A67277">
              <w:rPr>
                <w:rFonts w:cs="Arial"/>
                <w:b/>
                <w:lang w:val="en-US"/>
              </w:rPr>
              <w:t>Bank Guarantee”</w:t>
            </w:r>
            <w:r w:rsidRPr="00A67277">
              <w:rPr>
                <w:rFonts w:cs="Arial"/>
                <w:lang w:val="en-US"/>
              </w:rPr>
              <w:t>) in connection with [name of the Project].</w:t>
            </w:r>
          </w:p>
        </w:tc>
        <w:tc>
          <w:tcPr>
            <w:tcW w:w="270" w:type="dxa"/>
            <w:shd w:val="clear" w:color="auto" w:fill="auto"/>
          </w:tcPr>
          <w:p w14:paraId="12E23C8E"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C39D993"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Atas permintaan dan untuk kepentingan dari konsumen kami, [Nama BUP] (“</w:t>
            </w:r>
            <w:r w:rsidRPr="00A67277">
              <w:rPr>
                <w:rFonts w:cs="Arial"/>
                <w:b/>
                <w:lang w:val="en-US"/>
              </w:rPr>
              <w:t>BUP</w:t>
            </w:r>
            <w:r w:rsidRPr="00A67277">
              <w:rPr>
                <w:rFonts w:cs="Arial"/>
                <w:lang w:val="en-US"/>
              </w:rPr>
              <w:t>”) yang beralamat di [***], bank yang bertandatangan di bawah ini [***], berkedudukan di [***], dalam hal ini bertindak melalui Kantor Cabang [***] (“</w:t>
            </w:r>
            <w:r w:rsidRPr="00A67277">
              <w:rPr>
                <w:rFonts w:cs="Arial"/>
                <w:b/>
                <w:lang w:val="en-US"/>
              </w:rPr>
              <w:t>Penerbit</w:t>
            </w:r>
            <w:r w:rsidRPr="00A67277">
              <w:rPr>
                <w:rFonts w:cs="Arial"/>
                <w:lang w:val="en-US"/>
              </w:rPr>
              <w:t>”), dengan ini menerbitkan Bank Garansi No. [***] (“</w:t>
            </w:r>
            <w:r w:rsidRPr="00A67277">
              <w:rPr>
                <w:rFonts w:cs="Arial"/>
                <w:b/>
                <w:lang w:val="en-US"/>
              </w:rPr>
              <w:t>Bank Garansi</w:t>
            </w:r>
            <w:r w:rsidRPr="00A67277">
              <w:rPr>
                <w:rFonts w:cs="Arial"/>
                <w:lang w:val="en-US"/>
              </w:rPr>
              <w:t>”) sehubungan dengan [nama Proyek].</w:t>
            </w:r>
          </w:p>
        </w:tc>
      </w:tr>
      <w:tr w:rsidR="00923319" w:rsidRPr="00A67277" w14:paraId="3B89DEF6" w14:textId="77777777" w:rsidTr="00923319">
        <w:tc>
          <w:tcPr>
            <w:tcW w:w="4860" w:type="dxa"/>
            <w:gridSpan w:val="2"/>
            <w:shd w:val="clear" w:color="auto" w:fill="auto"/>
          </w:tcPr>
          <w:p w14:paraId="5208D36E" w14:textId="2D74715E" w:rsidR="00923319" w:rsidRPr="00A67277" w:rsidRDefault="00923319" w:rsidP="00923319">
            <w:pPr>
              <w:pStyle w:val="SchNumber3"/>
              <w:numPr>
                <w:ilvl w:val="4"/>
                <w:numId w:val="564"/>
              </w:numPr>
              <w:spacing w:before="120" w:after="120"/>
              <w:ind w:left="447" w:hanging="447"/>
              <w:rPr>
                <w:rFonts w:cs="Arial"/>
                <w:lang w:val="en-US"/>
              </w:rPr>
            </w:pPr>
            <w:bookmarkStart w:id="429" w:name="_Toc501179057"/>
            <w:r w:rsidRPr="00A67277">
              <w:rPr>
                <w:rFonts w:cs="Arial"/>
                <w:lang w:val="en-US"/>
              </w:rPr>
              <w:t xml:space="preserve">Bank Guarantee is issued for the interest of [***] </w:t>
            </w:r>
            <w:r w:rsidRPr="00A67277">
              <w:rPr>
                <w:rFonts w:cs="Arial"/>
                <w:b/>
                <w:lang w:val="en-US"/>
              </w:rPr>
              <w:t>(“GCA”)</w:t>
            </w:r>
            <w:r w:rsidRPr="00A67277">
              <w:rPr>
                <w:rFonts w:cs="Arial"/>
                <w:lang w:val="en-US"/>
              </w:rPr>
              <w:t xml:space="preserve"> in order to </w:t>
            </w:r>
            <w:r w:rsidR="002035A0">
              <w:rPr>
                <w:rFonts w:cs="Arial"/>
                <w:lang w:val="en-US"/>
              </w:rPr>
              <w:t xml:space="preserve">guarantee </w:t>
            </w:r>
            <w:r w:rsidRPr="00A67277">
              <w:rPr>
                <w:rFonts w:cs="Arial"/>
                <w:lang w:val="en-US"/>
              </w:rPr>
              <w:t>the commitment of IBE, as pursuant to Cooperation Agreement between [***] and [***] No: [***] (“</w:t>
            </w:r>
            <w:r w:rsidRPr="00A67277">
              <w:rPr>
                <w:rFonts w:cs="Arial"/>
                <w:b/>
                <w:lang w:val="en-US"/>
              </w:rPr>
              <w:t>Cooperation Agreement</w:t>
            </w:r>
            <w:r w:rsidRPr="00A67277">
              <w:rPr>
                <w:rFonts w:cs="Arial"/>
                <w:lang w:val="en-US"/>
              </w:rPr>
              <w:t>”). Amount of maximum value available based on this Bank Guarantee is [***] (“</w:t>
            </w:r>
            <w:r w:rsidRPr="00A67277">
              <w:rPr>
                <w:rFonts w:cs="Arial"/>
                <w:b/>
                <w:lang w:val="en-US"/>
              </w:rPr>
              <w:t>Stated Amount</w:t>
            </w:r>
            <w:r w:rsidRPr="00A67277">
              <w:rPr>
                <w:rFonts w:cs="Arial"/>
                <w:lang w:val="en-US"/>
              </w:rPr>
              <w:t>”).</w:t>
            </w:r>
            <w:bookmarkEnd w:id="429"/>
          </w:p>
        </w:tc>
        <w:tc>
          <w:tcPr>
            <w:tcW w:w="270" w:type="dxa"/>
            <w:shd w:val="clear" w:color="auto" w:fill="auto"/>
          </w:tcPr>
          <w:p w14:paraId="37A400FF"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9C70EE7"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Bank Garansi ini diterbitkan untuk kepentingan [***] (“</w:t>
            </w:r>
            <w:r w:rsidRPr="00A67277">
              <w:rPr>
                <w:rFonts w:cs="Arial"/>
                <w:b/>
                <w:lang w:val="en-US"/>
              </w:rPr>
              <w:t>PJPK”</w:t>
            </w:r>
            <w:r w:rsidRPr="00A67277">
              <w:rPr>
                <w:rFonts w:cs="Arial"/>
                <w:lang w:val="en-US"/>
              </w:rPr>
              <w:t>) guna menjamin komitmen BUP, sesuai dengan Perjanjian Kerjasama antara [***] dengan [***] Nomor: [***] (“</w:t>
            </w:r>
            <w:r w:rsidRPr="00A67277">
              <w:rPr>
                <w:rFonts w:cs="Arial"/>
                <w:b/>
                <w:lang w:val="en-US"/>
              </w:rPr>
              <w:t>Perjanjian Kerjasama</w:t>
            </w:r>
            <w:r w:rsidRPr="00A67277">
              <w:rPr>
                <w:rFonts w:cs="Arial"/>
                <w:lang w:val="en-US"/>
              </w:rPr>
              <w:t>”). Jumlah nilai maksimum yang tersedia berdasarkan Bank Garansi ini adalah [***] (“</w:t>
            </w:r>
            <w:r w:rsidRPr="00A67277">
              <w:rPr>
                <w:rFonts w:cs="Arial"/>
                <w:b/>
                <w:lang w:val="en-US"/>
              </w:rPr>
              <w:t>Jumlah Yang Dinyatakan</w:t>
            </w:r>
            <w:r w:rsidRPr="00A67277">
              <w:rPr>
                <w:rFonts w:cs="Arial"/>
                <w:lang w:val="en-US"/>
              </w:rPr>
              <w:t>”).</w:t>
            </w:r>
          </w:p>
          <w:p w14:paraId="54938CB5" w14:textId="77777777" w:rsidR="00923319" w:rsidRPr="00A67277" w:rsidRDefault="00923319" w:rsidP="00923319">
            <w:pPr>
              <w:spacing w:before="120" w:after="120"/>
              <w:jc w:val="both"/>
              <w:rPr>
                <w:rFonts w:ascii="Arial" w:hAnsi="Arial" w:cs="Arial"/>
                <w:sz w:val="21"/>
                <w:szCs w:val="21"/>
              </w:rPr>
            </w:pPr>
          </w:p>
        </w:tc>
      </w:tr>
      <w:tr w:rsidR="00923319" w:rsidRPr="00A67277" w14:paraId="2C5500EB" w14:textId="77777777" w:rsidTr="00923319">
        <w:tc>
          <w:tcPr>
            <w:tcW w:w="4860" w:type="dxa"/>
            <w:gridSpan w:val="2"/>
            <w:shd w:val="clear" w:color="auto" w:fill="auto"/>
          </w:tcPr>
          <w:p w14:paraId="333B49BA" w14:textId="77777777" w:rsidR="00923319" w:rsidRPr="00A67277" w:rsidRDefault="00923319" w:rsidP="00923319">
            <w:pPr>
              <w:pStyle w:val="SchNumber3"/>
              <w:numPr>
                <w:ilvl w:val="4"/>
                <w:numId w:val="564"/>
              </w:numPr>
              <w:spacing w:before="120" w:after="120"/>
              <w:ind w:left="447" w:hanging="447"/>
              <w:rPr>
                <w:rFonts w:cs="Arial"/>
                <w:lang w:val="en-US"/>
              </w:rPr>
            </w:pPr>
            <w:bookmarkStart w:id="430" w:name="_Toc501179058"/>
            <w:r w:rsidRPr="00A67277">
              <w:rPr>
                <w:rFonts w:cs="Arial"/>
                <w:lang w:val="en-US"/>
              </w:rPr>
              <w:t>The terms written with capital letter used in this Bank Guarantee but not specifically defined otherwise have corresponding meanings as defined in the Cooperation Agreement.</w:t>
            </w:r>
            <w:bookmarkEnd w:id="430"/>
          </w:p>
        </w:tc>
        <w:tc>
          <w:tcPr>
            <w:tcW w:w="270" w:type="dxa"/>
            <w:shd w:val="clear" w:color="auto" w:fill="auto"/>
          </w:tcPr>
          <w:p w14:paraId="04882D8E"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774850E9"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 xml:space="preserve">Istilah-istilah dengan huruf kapital yang digunakan di dalam Bank Garansi ini namun tidak didefinisikan secara lain disini memiliki arti sebagaimana didefinisikan di dalam Perjanjian Kerjasama. </w:t>
            </w:r>
          </w:p>
        </w:tc>
      </w:tr>
      <w:tr w:rsidR="00923319" w:rsidRPr="00A67277" w14:paraId="3B268DBF" w14:textId="77777777" w:rsidTr="00923319">
        <w:tc>
          <w:tcPr>
            <w:tcW w:w="4860" w:type="dxa"/>
            <w:gridSpan w:val="2"/>
            <w:shd w:val="clear" w:color="auto" w:fill="auto"/>
          </w:tcPr>
          <w:p w14:paraId="5410FE07" w14:textId="775A70E8" w:rsidR="00923319" w:rsidRPr="00A67277" w:rsidRDefault="00923319" w:rsidP="00923319">
            <w:pPr>
              <w:pStyle w:val="SchNumber3"/>
              <w:numPr>
                <w:ilvl w:val="4"/>
                <w:numId w:val="564"/>
              </w:numPr>
              <w:spacing w:before="120" w:after="120"/>
              <w:ind w:left="447" w:hanging="447"/>
              <w:rPr>
                <w:rFonts w:cs="Arial"/>
                <w:lang w:val="en-US"/>
              </w:rPr>
            </w:pPr>
            <w:bookmarkStart w:id="431" w:name="_Toc501179059"/>
            <w:r w:rsidRPr="00A67277">
              <w:rPr>
                <w:rFonts w:cs="Arial"/>
                <w:lang w:val="en-US"/>
              </w:rPr>
              <w:t xml:space="preserve">Subject to the provisions governed other than this Bank Guarantee, GCA in this matter, </w:t>
            </w:r>
            <w:r w:rsidR="004A55F3">
              <w:rPr>
                <w:rFonts w:cs="Arial"/>
                <w:lang w:val="en-US"/>
              </w:rPr>
              <w:t xml:space="preserve">is </w:t>
            </w:r>
            <w:r w:rsidRPr="00A67277">
              <w:rPr>
                <w:rFonts w:cs="Arial"/>
                <w:lang w:val="en-US"/>
              </w:rPr>
              <w:t>irrevocable</w:t>
            </w:r>
            <w:r w:rsidR="004A55F3">
              <w:rPr>
                <w:rFonts w:cs="Arial"/>
                <w:lang w:val="en-US"/>
              </w:rPr>
              <w:t xml:space="preserve">ly </w:t>
            </w:r>
            <w:r w:rsidRPr="00A67277">
              <w:rPr>
                <w:rFonts w:cs="Arial"/>
                <w:lang w:val="en-US"/>
              </w:rPr>
              <w:t xml:space="preserve"> </w:t>
            </w:r>
            <w:r w:rsidR="004A55F3">
              <w:rPr>
                <w:rFonts w:cs="Arial"/>
                <w:lang w:val="en-US"/>
              </w:rPr>
              <w:t xml:space="preserve">and unconditionally </w:t>
            </w:r>
            <w:r w:rsidRPr="00A67277">
              <w:rPr>
                <w:rFonts w:cs="Arial"/>
                <w:lang w:val="en-US"/>
              </w:rPr>
              <w:t xml:space="preserve">authorized to </w:t>
            </w:r>
            <w:r w:rsidR="004A55F3">
              <w:rPr>
                <w:rFonts w:cs="Arial"/>
                <w:lang w:val="en-US"/>
              </w:rPr>
              <w:t xml:space="preserve">make a </w:t>
            </w:r>
            <w:r w:rsidRPr="00A67277">
              <w:rPr>
                <w:rFonts w:cs="Arial"/>
                <w:lang w:val="en-US"/>
              </w:rPr>
              <w:t>withdraw</w:t>
            </w:r>
            <w:r w:rsidR="004A55F3">
              <w:rPr>
                <w:rFonts w:cs="Arial"/>
                <w:lang w:val="en-US"/>
              </w:rPr>
              <w:t>al</w:t>
            </w:r>
            <w:r w:rsidRPr="00A67277">
              <w:rPr>
                <w:rFonts w:cs="Arial"/>
                <w:lang w:val="en-US"/>
              </w:rPr>
              <w:t xml:space="preserve"> based on this </w:t>
            </w:r>
            <w:r w:rsidRPr="008A28BF">
              <w:rPr>
                <w:rFonts w:cs="Arial"/>
                <w:lang w:val="en-US"/>
              </w:rPr>
              <w:t xml:space="preserve">Bank Guarantee, by showing to the Issuer, </w:t>
            </w:r>
            <w:r w:rsidR="004A55F3" w:rsidRPr="008A28BF">
              <w:rPr>
                <w:rFonts w:cs="Arial"/>
                <w:lang w:val="en-US"/>
              </w:rPr>
              <w:t xml:space="preserve">at </w:t>
            </w:r>
            <w:r w:rsidRPr="008A28BF">
              <w:rPr>
                <w:rFonts w:cs="Arial"/>
                <w:lang w:val="en-US"/>
              </w:rPr>
              <w:t xml:space="preserve">the address stated above, a payment request from GCA the </w:t>
            </w:r>
            <w:r w:rsidR="004A55F3" w:rsidRPr="008A28BF">
              <w:rPr>
                <w:rFonts w:cs="Arial"/>
                <w:lang w:val="en-US"/>
              </w:rPr>
              <w:t xml:space="preserve">principal </w:t>
            </w:r>
            <w:r w:rsidRPr="008A28BF">
              <w:rPr>
                <w:rFonts w:cs="Arial"/>
                <w:lang w:val="en-US"/>
              </w:rPr>
              <w:t>form</w:t>
            </w:r>
            <w:r w:rsidR="004A55F3" w:rsidRPr="008A28BF">
              <w:rPr>
                <w:rFonts w:cs="Arial"/>
                <w:lang w:val="en-US"/>
              </w:rPr>
              <w:t>s</w:t>
            </w:r>
            <w:r w:rsidRPr="008A28BF">
              <w:rPr>
                <w:rFonts w:cs="Arial"/>
                <w:lang w:val="en-US"/>
              </w:rPr>
              <w:t xml:space="preserve"> </w:t>
            </w:r>
            <w:r w:rsidR="004A55F3" w:rsidRPr="008A28BF">
              <w:rPr>
                <w:rFonts w:cs="Arial"/>
                <w:lang w:val="en-US"/>
              </w:rPr>
              <w:t xml:space="preserve">are </w:t>
            </w:r>
            <w:r w:rsidRPr="008A28BF">
              <w:rPr>
                <w:rFonts w:cs="Arial"/>
                <w:lang w:val="en-US"/>
              </w:rPr>
              <w:t>provided partially herein based on this Bank Guarantee. Each withdrawal will reduce the available amount for the withdrawal based on this Bank Guarantee. We will pay the withdrawal amounts based on Bank Guarantee from our general fund.</w:t>
            </w:r>
            <w:bookmarkEnd w:id="431"/>
          </w:p>
        </w:tc>
        <w:tc>
          <w:tcPr>
            <w:tcW w:w="270" w:type="dxa"/>
            <w:shd w:val="clear" w:color="auto" w:fill="auto"/>
          </w:tcPr>
          <w:p w14:paraId="2AEE3766"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FD00A44" w14:textId="77777777" w:rsidR="00923319" w:rsidRPr="00A67277" w:rsidRDefault="00923319" w:rsidP="00923319">
            <w:pPr>
              <w:pStyle w:val="SchNumber3"/>
              <w:numPr>
                <w:ilvl w:val="0"/>
                <w:numId w:val="591"/>
              </w:numPr>
              <w:spacing w:before="120" w:after="120"/>
              <w:ind w:left="505" w:hanging="450"/>
              <w:rPr>
                <w:rFonts w:cs="Arial"/>
                <w:lang w:val="de-DE"/>
              </w:rPr>
            </w:pPr>
            <w:r w:rsidRPr="00A67277">
              <w:rPr>
                <w:rFonts w:cs="Arial"/>
                <w:lang w:val="en-US"/>
              </w:rPr>
              <w:t xml:space="preserve">Tunduk pada ketentuan lainnya dari Bank Garansi ini, PJPK dengan ini secara tidak dapat ditarik kembali dan tanpa syarat berwenang untuk melakukan penarikan berdasarkan Bank Garansi ini, dengan menunjukan kepada Penerbit, pada alamatnya yang disebutkan di atas, suatu permintaan pembayaran dari PJPK yang bentuk pokoknya tercantum di sini sebagian berdasarkan Bank Garansi ini. Setiap penarikan akan mengurangi jumlah yang tersedia untuk penarikan berdasarkan Bank Garansi ini. </w:t>
            </w:r>
            <w:r w:rsidRPr="00A67277">
              <w:rPr>
                <w:rFonts w:cs="Arial"/>
                <w:lang w:val="de-DE"/>
              </w:rPr>
              <w:t>Kami akan membayar jumlah yang ditarik berdasarkan Bank Garansi ini dari dana umum kami.</w:t>
            </w:r>
          </w:p>
        </w:tc>
      </w:tr>
      <w:tr w:rsidR="00923319" w:rsidRPr="00A67277" w14:paraId="34F95486" w14:textId="77777777" w:rsidTr="00923319">
        <w:tc>
          <w:tcPr>
            <w:tcW w:w="4860" w:type="dxa"/>
            <w:gridSpan w:val="2"/>
            <w:shd w:val="clear" w:color="auto" w:fill="auto"/>
          </w:tcPr>
          <w:p w14:paraId="5118B752" w14:textId="053AAC34" w:rsidR="00923319" w:rsidRPr="00A67277" w:rsidRDefault="00923319" w:rsidP="00923319">
            <w:pPr>
              <w:pStyle w:val="SchNumber3"/>
              <w:numPr>
                <w:ilvl w:val="4"/>
                <w:numId w:val="564"/>
              </w:numPr>
              <w:spacing w:before="120" w:after="120"/>
              <w:ind w:left="447" w:hanging="447"/>
              <w:rPr>
                <w:rFonts w:cs="Arial"/>
                <w:lang w:val="en-US"/>
              </w:rPr>
            </w:pPr>
            <w:bookmarkStart w:id="432" w:name="_Toc501179060"/>
            <w:r w:rsidRPr="00A67277">
              <w:rPr>
                <w:rFonts w:cs="Arial"/>
                <w:lang w:val="en-US"/>
              </w:rPr>
              <w:t xml:space="preserve">We hereby agreed to honor the withdrawal </w:t>
            </w:r>
            <w:r w:rsidR="00033057">
              <w:rPr>
                <w:rFonts w:cs="Arial"/>
                <w:lang w:val="en-US"/>
              </w:rPr>
              <w:t xml:space="preserve">under this </w:t>
            </w:r>
            <w:r w:rsidRPr="00A67277">
              <w:rPr>
                <w:rFonts w:cs="Arial"/>
                <w:lang w:val="en-US"/>
              </w:rPr>
              <w:t>bank guarantees</w:t>
            </w:r>
            <w:r w:rsidR="00033057">
              <w:rPr>
                <w:rFonts w:cs="Arial"/>
                <w:lang w:val="en-US"/>
              </w:rPr>
              <w:t xml:space="preserve"> made in accordance with </w:t>
            </w:r>
            <w:r w:rsidRPr="00A67277">
              <w:rPr>
                <w:rFonts w:cs="Arial"/>
                <w:lang w:val="en-US"/>
              </w:rPr>
              <w:t xml:space="preserve">this Bank Guarantee, </w:t>
            </w:r>
            <w:r w:rsidR="00033057">
              <w:rPr>
                <w:rFonts w:cs="Arial"/>
                <w:lang w:val="en-US"/>
              </w:rPr>
              <w:t>regardless</w:t>
            </w:r>
            <w:r w:rsidR="00033057" w:rsidRPr="00A67277">
              <w:rPr>
                <w:rFonts w:cs="Arial"/>
                <w:lang w:val="en-US"/>
              </w:rPr>
              <w:t xml:space="preserve"> </w:t>
            </w:r>
            <w:r w:rsidRPr="00A67277">
              <w:rPr>
                <w:rFonts w:cs="Arial"/>
                <w:lang w:val="en-US"/>
              </w:rPr>
              <w:t xml:space="preserve">of </w:t>
            </w:r>
            <w:r w:rsidR="00033057">
              <w:rPr>
                <w:rFonts w:cs="Arial"/>
                <w:lang w:val="en-US"/>
              </w:rPr>
              <w:t xml:space="preserve">the presence of not of </w:t>
            </w:r>
            <w:r w:rsidRPr="00A67277">
              <w:rPr>
                <w:rFonts w:cs="Arial"/>
                <w:lang w:val="en-US"/>
              </w:rPr>
              <w:t xml:space="preserve">objections from IBE, </w:t>
            </w:r>
            <w:r w:rsidR="00033057">
              <w:rPr>
                <w:rFonts w:cs="Arial"/>
                <w:lang w:val="en-US"/>
              </w:rPr>
              <w:t xml:space="preserve">by </w:t>
            </w:r>
            <w:r w:rsidRPr="00A67277">
              <w:rPr>
                <w:rFonts w:cs="Arial"/>
                <w:lang w:val="en-US"/>
              </w:rPr>
              <w:t>immediately transferr</w:t>
            </w:r>
            <w:r w:rsidR="00033057">
              <w:rPr>
                <w:rFonts w:cs="Arial"/>
                <w:lang w:val="en-US"/>
              </w:rPr>
              <w:t xml:space="preserve">ing </w:t>
            </w:r>
            <w:r w:rsidRPr="00A67277">
              <w:rPr>
                <w:rFonts w:cs="Arial"/>
                <w:lang w:val="en-US"/>
              </w:rPr>
              <w:t xml:space="preserve">funds to </w:t>
            </w:r>
            <w:r w:rsidR="00033057">
              <w:rPr>
                <w:rFonts w:cs="Arial"/>
                <w:lang w:val="en-US"/>
              </w:rPr>
              <w:t xml:space="preserve">the </w:t>
            </w:r>
            <w:r w:rsidRPr="00A67277">
              <w:rPr>
                <w:rFonts w:cs="Arial"/>
                <w:lang w:val="en-US"/>
              </w:rPr>
              <w:t xml:space="preserve">account designated in the amount </w:t>
            </w:r>
            <w:r w:rsidR="00033057">
              <w:rPr>
                <w:rFonts w:cs="Arial"/>
                <w:lang w:val="en-US"/>
              </w:rPr>
              <w:t xml:space="preserve">specified </w:t>
            </w:r>
            <w:r w:rsidRPr="00A67277">
              <w:rPr>
                <w:rFonts w:cs="Arial"/>
                <w:lang w:val="en-US"/>
              </w:rPr>
              <w:t xml:space="preserve">in the payment request not more than seven (7) Business Days after the </w:t>
            </w:r>
            <w:r w:rsidR="00033057">
              <w:rPr>
                <w:rFonts w:cs="Arial"/>
                <w:lang w:val="en-US"/>
              </w:rPr>
              <w:t xml:space="preserve">date of </w:t>
            </w:r>
            <w:r w:rsidRPr="00A67277">
              <w:rPr>
                <w:rFonts w:cs="Arial"/>
                <w:lang w:val="en-US"/>
              </w:rPr>
              <w:t>recei</w:t>
            </w:r>
            <w:r w:rsidR="00033057">
              <w:rPr>
                <w:rFonts w:cs="Arial"/>
                <w:lang w:val="en-US"/>
              </w:rPr>
              <w:t xml:space="preserve">pt </w:t>
            </w:r>
            <w:r w:rsidRPr="00A67277">
              <w:rPr>
                <w:rFonts w:cs="Arial"/>
                <w:lang w:val="en-US"/>
              </w:rPr>
              <w:t xml:space="preserve">of </w:t>
            </w:r>
            <w:r w:rsidR="00033057">
              <w:rPr>
                <w:rFonts w:cs="Arial"/>
                <w:lang w:val="en-US"/>
              </w:rPr>
              <w:t xml:space="preserve">the </w:t>
            </w:r>
            <w:r w:rsidRPr="00A67277">
              <w:rPr>
                <w:rFonts w:cs="Arial"/>
                <w:lang w:val="en-US"/>
              </w:rPr>
              <w:t>payment request. As used here, the term (“</w:t>
            </w:r>
            <w:r w:rsidRPr="00A67277">
              <w:rPr>
                <w:rFonts w:cs="Arial"/>
                <w:b/>
                <w:lang w:val="en-US"/>
              </w:rPr>
              <w:t>Business Days</w:t>
            </w:r>
            <w:r w:rsidRPr="00A67277">
              <w:rPr>
                <w:rFonts w:cs="Arial"/>
                <w:lang w:val="en-US"/>
              </w:rPr>
              <w:t xml:space="preserve">”) means that any day </w:t>
            </w:r>
            <w:r w:rsidR="00033057">
              <w:rPr>
                <w:rFonts w:cs="Arial"/>
                <w:lang w:val="en-US"/>
              </w:rPr>
              <w:t xml:space="preserve">other </w:t>
            </w:r>
            <w:r w:rsidRPr="00A67277">
              <w:rPr>
                <w:rFonts w:cs="Arial"/>
                <w:lang w:val="en-US"/>
              </w:rPr>
              <w:t xml:space="preserve">than (i) Saturday or Sunday or (ii) any day on which banking institutions in </w:t>
            </w:r>
            <w:r w:rsidR="00033057">
              <w:rPr>
                <w:rFonts w:cs="Arial"/>
                <w:lang w:val="en-US"/>
              </w:rPr>
              <w:t xml:space="preserve">the </w:t>
            </w:r>
            <w:r w:rsidRPr="00A67277">
              <w:rPr>
                <w:rFonts w:cs="Arial"/>
                <w:lang w:val="en-US"/>
              </w:rPr>
              <w:t>Republic of Indonesia are authorized or required by Law to be closed.</w:t>
            </w:r>
            <w:bookmarkEnd w:id="432"/>
          </w:p>
        </w:tc>
        <w:tc>
          <w:tcPr>
            <w:tcW w:w="270" w:type="dxa"/>
            <w:shd w:val="clear" w:color="auto" w:fill="auto"/>
          </w:tcPr>
          <w:p w14:paraId="3C3DA3F3"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3C76EFB"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Kami dengan ini setuju untuk menghormati penarikan berdasarkan Bank Garansi ini yang dilakukan sesuai dengan Bank Garansi ini, terlepas dari ada atau tidak adanya keberatan dari BUP, dengan segera mentransfer dana ke rekening yang ditunjuk dalam jumlah sebagaimana disebutkan dalam permintaan pembayaraan tidak lebih dari tujuh (7) Hari Kerja setelah tanggal diterimanya permintaan pembayaran tersebut. Sebagaimana digunakan di sini, istilah “</w:t>
            </w:r>
            <w:r w:rsidRPr="00291AD9">
              <w:rPr>
                <w:rFonts w:cs="Arial"/>
                <w:b/>
                <w:bCs/>
                <w:lang w:val="en-US"/>
              </w:rPr>
              <w:t>Hari Kerja</w:t>
            </w:r>
            <w:r w:rsidRPr="00A67277">
              <w:rPr>
                <w:rFonts w:cs="Arial"/>
                <w:lang w:val="en-US"/>
              </w:rPr>
              <w:t>” berarti suatu hari selain dari (i) hari Sabtu atau Minggu atau (ii) hari di mana lembaga perbankan di Indonesia secara resmi atau diwajibkan oleh hukum untuk tutup.</w:t>
            </w:r>
          </w:p>
        </w:tc>
      </w:tr>
      <w:tr w:rsidR="00923319" w:rsidRPr="00A67277" w14:paraId="7720A0EE" w14:textId="77777777" w:rsidTr="00923319">
        <w:tc>
          <w:tcPr>
            <w:tcW w:w="4860" w:type="dxa"/>
            <w:gridSpan w:val="2"/>
            <w:shd w:val="clear" w:color="auto" w:fill="auto"/>
          </w:tcPr>
          <w:p w14:paraId="5C2C5B24" w14:textId="69B86120" w:rsidR="00923319" w:rsidRPr="00A67277" w:rsidRDefault="00923319" w:rsidP="00923319">
            <w:pPr>
              <w:pStyle w:val="SchNumber3"/>
              <w:numPr>
                <w:ilvl w:val="4"/>
                <w:numId w:val="564"/>
              </w:numPr>
              <w:spacing w:before="120" w:after="120"/>
              <w:ind w:left="447" w:hanging="447"/>
              <w:rPr>
                <w:rFonts w:cs="Arial"/>
                <w:lang w:val="en-US"/>
              </w:rPr>
            </w:pPr>
            <w:bookmarkStart w:id="433" w:name="_Toc501179061"/>
            <w:r w:rsidRPr="00A67277">
              <w:rPr>
                <w:rFonts w:cs="Arial"/>
                <w:lang w:val="en-US"/>
              </w:rPr>
              <w:t xml:space="preserve">If the payment request based on this Bank Guarantee is not, in any case, in accordance with the terms and conditions of the Bank Guarantee, we will give notice immediately (on the first Business Day upon the receive date of the payment request) to the GCA that states that the payment request is not </w:t>
            </w:r>
            <w:r w:rsidR="00033057">
              <w:rPr>
                <w:rFonts w:cs="Arial"/>
                <w:lang w:val="en-US"/>
              </w:rPr>
              <w:t xml:space="preserve">in </w:t>
            </w:r>
            <w:r w:rsidRPr="00A67277">
              <w:rPr>
                <w:rFonts w:cs="Arial"/>
                <w:lang w:val="en-US"/>
              </w:rPr>
              <w:t>compliance with the terms and conditions of  the Bank Guarantee, by stating the reasons and upon further instruction we will return the request that does not comply with the terms and conditions of the Bank Guarantee to GCA. GCA is eligible to remedy the payment request and submit again the payment request in compliance with the terms and conditions.</w:t>
            </w:r>
            <w:bookmarkEnd w:id="433"/>
          </w:p>
        </w:tc>
        <w:tc>
          <w:tcPr>
            <w:tcW w:w="270" w:type="dxa"/>
            <w:shd w:val="clear" w:color="auto" w:fill="auto"/>
          </w:tcPr>
          <w:p w14:paraId="2CB15257"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9B09A6A"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Apabila permintaan pembayaran berdasarkan Bank Garansi ini tidak, dalam setiap hal, sesuai dengan syarat dan ketentuan dari Bank Garansi ini, kami akan memberikan pemberitahuan segera (namun dalam Hari Kerja pertama setelah tanggal permintaan tersebut) kepada PJPK yang menyatakan bahwa permintaan pembayaran tidak dilakukan sesuai dengan syarat dan ketentuan dalam Bank Garansi ini, dengan menyebutkan alasannya dan bahwa apabila diinstruksikan kami akan mengembalikan dokumen kepada PJPK. Setelah diberitahukan bahwa permintaan pembayaran tidak dilakukan sesuai dengan Bank Garansi ini, PJPK dapat memperbaiki permintaan yang tidak sesuai tersebut dan mengajukan kembali permintaan tersebut sesuai dengan syarat dan ketentuan Bank Garansi ini.</w:t>
            </w:r>
          </w:p>
        </w:tc>
      </w:tr>
      <w:tr w:rsidR="00923319" w:rsidRPr="00A67277" w14:paraId="23984733" w14:textId="77777777" w:rsidTr="00923319">
        <w:tc>
          <w:tcPr>
            <w:tcW w:w="4860" w:type="dxa"/>
            <w:gridSpan w:val="2"/>
            <w:shd w:val="clear" w:color="auto" w:fill="auto"/>
          </w:tcPr>
          <w:p w14:paraId="39CAD527" w14:textId="15F4A511" w:rsidR="00923319" w:rsidRPr="00A67277" w:rsidRDefault="00033057" w:rsidP="00923319">
            <w:pPr>
              <w:pStyle w:val="SchNumber3"/>
              <w:numPr>
                <w:ilvl w:val="4"/>
                <w:numId w:val="564"/>
              </w:numPr>
              <w:spacing w:before="120" w:after="120"/>
              <w:ind w:left="447" w:hanging="447"/>
              <w:rPr>
                <w:rFonts w:cs="Arial"/>
                <w:lang w:val="en-US"/>
              </w:rPr>
            </w:pPr>
            <w:bookmarkStart w:id="434" w:name="_Toc501179062"/>
            <w:r>
              <w:rPr>
                <w:rFonts w:cs="Arial"/>
                <w:lang w:val="en-US"/>
              </w:rPr>
              <w:t xml:space="preserve">The </w:t>
            </w:r>
            <w:r w:rsidR="00923319" w:rsidRPr="00A67277">
              <w:rPr>
                <w:rFonts w:cs="Arial"/>
                <w:lang w:val="en-US"/>
              </w:rPr>
              <w:t>Bank Guarantee will expir</w:t>
            </w:r>
            <w:r>
              <w:rPr>
                <w:rFonts w:cs="Arial"/>
                <w:lang w:val="en-US"/>
              </w:rPr>
              <w:t>e</w:t>
            </w:r>
            <w:r w:rsidR="00923319" w:rsidRPr="00A67277">
              <w:rPr>
                <w:rFonts w:cs="Arial"/>
                <w:lang w:val="en-US"/>
              </w:rPr>
              <w:t xml:space="preserve"> when the </w:t>
            </w:r>
            <w:r>
              <w:rPr>
                <w:rFonts w:cs="Arial"/>
                <w:lang w:val="en-US"/>
              </w:rPr>
              <w:t xml:space="preserve">either of the </w:t>
            </w:r>
            <w:r w:rsidR="00923319" w:rsidRPr="00A67277">
              <w:rPr>
                <w:rFonts w:cs="Arial"/>
                <w:lang w:val="en-US"/>
              </w:rPr>
              <w:t>following things occur: (i) Effective Date or (ii) thirty (30) Days after Termination Date.</w:t>
            </w:r>
            <w:bookmarkEnd w:id="434"/>
          </w:p>
        </w:tc>
        <w:tc>
          <w:tcPr>
            <w:tcW w:w="270" w:type="dxa"/>
            <w:shd w:val="clear" w:color="auto" w:fill="auto"/>
          </w:tcPr>
          <w:p w14:paraId="35601B66"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4307F6EA"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Bank Garansi ini akan berakhir masa berlakunya pada saat terjadinya hal berikut yang terjadi terlebih dahulu [(i) Tanggal Efektif atau (ii) tiga puluh (30) Hari setelah Tanggal Pengakhiran.</w:t>
            </w:r>
          </w:p>
        </w:tc>
      </w:tr>
      <w:tr w:rsidR="00923319" w:rsidRPr="00A67277" w14:paraId="42C494BD" w14:textId="77777777" w:rsidTr="00923319">
        <w:tc>
          <w:tcPr>
            <w:tcW w:w="4860" w:type="dxa"/>
            <w:gridSpan w:val="2"/>
            <w:shd w:val="clear" w:color="auto" w:fill="auto"/>
          </w:tcPr>
          <w:p w14:paraId="23F0415A" w14:textId="314F4CF2" w:rsidR="00923319" w:rsidRPr="00A67277" w:rsidRDefault="00923319" w:rsidP="00923319">
            <w:pPr>
              <w:pStyle w:val="SchNumber3"/>
              <w:numPr>
                <w:ilvl w:val="4"/>
                <w:numId w:val="564"/>
              </w:numPr>
              <w:spacing w:before="120" w:after="120"/>
              <w:ind w:left="447" w:hanging="447"/>
              <w:rPr>
                <w:rFonts w:cs="Arial"/>
              </w:rPr>
            </w:pPr>
            <w:bookmarkStart w:id="435" w:name="_Toc501179063"/>
            <w:r w:rsidRPr="00A67277">
              <w:rPr>
                <w:rFonts w:cs="Arial"/>
              </w:rPr>
              <w:t xml:space="preserve">All the documents that are shown to us, the Issuer, in connection with every withdrawal under the Bank Guarantee, as well as all </w:t>
            </w:r>
            <w:r w:rsidR="00033057">
              <w:rPr>
                <w:rFonts w:cs="Arial"/>
              </w:rPr>
              <w:t xml:space="preserve">all other notices and </w:t>
            </w:r>
            <w:r w:rsidRPr="00A67277">
              <w:rPr>
                <w:rFonts w:cs="Arial"/>
              </w:rPr>
              <w:t>communication</w:t>
            </w:r>
            <w:r w:rsidR="00033057">
              <w:rPr>
                <w:rFonts w:cs="Arial"/>
              </w:rPr>
              <w:t xml:space="preserve"> </w:t>
            </w:r>
            <w:r w:rsidRPr="00A67277">
              <w:rPr>
                <w:rFonts w:cs="Arial"/>
              </w:rPr>
              <w:t>to the Issuer in relation with Bank Guarantee, must be made in written form and be delivered and addressed to the Issuer’s address stated above. All the documents, notice</w:t>
            </w:r>
            <w:r w:rsidR="00033057">
              <w:rPr>
                <w:rFonts w:cs="Arial"/>
              </w:rPr>
              <w:t>s</w:t>
            </w:r>
            <w:r w:rsidRPr="00A67277">
              <w:rPr>
                <w:rFonts w:cs="Arial"/>
              </w:rPr>
              <w:t xml:space="preserve"> and other communication can be delivered and addressed by cou</w:t>
            </w:r>
            <w:r w:rsidR="00033057">
              <w:rPr>
                <w:rFonts w:cs="Arial"/>
              </w:rPr>
              <w:t xml:space="preserve">rier </w:t>
            </w:r>
            <w:r w:rsidRPr="00A67277">
              <w:rPr>
                <w:rFonts w:cs="Arial"/>
              </w:rPr>
              <w:t xml:space="preserve">to the Issuer </w:t>
            </w:r>
            <w:r w:rsidR="00033057">
              <w:rPr>
                <w:rFonts w:cs="Arial"/>
              </w:rPr>
              <w:t xml:space="preserve">at </w:t>
            </w:r>
            <w:r w:rsidRPr="00A67277">
              <w:rPr>
                <w:rFonts w:cs="Arial"/>
              </w:rPr>
              <w:t>the address stated above (or to the other address as mentioned in written form to the GCA)</w:t>
            </w:r>
            <w:bookmarkEnd w:id="435"/>
          </w:p>
        </w:tc>
        <w:tc>
          <w:tcPr>
            <w:tcW w:w="270" w:type="dxa"/>
            <w:shd w:val="clear" w:color="auto" w:fill="auto"/>
          </w:tcPr>
          <w:p w14:paraId="5307DAA8"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6F5C4B60"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Seluruh dokumen yang ditunjukkan kepada kami, Penerbit sehubungan dengan setiap penarikan berdasarkan Bank Garansi ini, serta seluruh pemberitahuan dan komunikasi lainnya kepada Penerbit sehubungan dengan Bank Garansi ini, harus dibuat secara tertulis dan dikirimkan dan ditunjukkan kepada Penerbit pada alamatnya yang disebutkan di atas. Dokumen-dokumen, pemberitahuan-pemberitahuan, dan komunikasi-komunikasi tersebut harus menyebutkan rujukan secara spesifik kepada nomor Bank Garansi ini. Seluruh dokumen-dokumen, pemberitahuan-pemberitahuan, dan komunikasi-komunikasi dapat ditujukkan atau dikirimkan oleh kurir kepada Penerbit pada alamatnya yang disebutkan di atas (atau pada alamat lainnya sebagaimana disebutkan secara tertulis kepada PJPK).</w:t>
            </w:r>
          </w:p>
        </w:tc>
      </w:tr>
      <w:tr w:rsidR="00923319" w:rsidRPr="00A67277" w14:paraId="54093D8C" w14:textId="77777777" w:rsidTr="00923319">
        <w:tc>
          <w:tcPr>
            <w:tcW w:w="4860" w:type="dxa"/>
            <w:gridSpan w:val="2"/>
            <w:shd w:val="clear" w:color="auto" w:fill="auto"/>
          </w:tcPr>
          <w:p w14:paraId="0A8B0209" w14:textId="7BCE9F97" w:rsidR="00923319" w:rsidRPr="00A67277" w:rsidRDefault="00033057" w:rsidP="00923319">
            <w:pPr>
              <w:pStyle w:val="SchNumber3"/>
              <w:numPr>
                <w:ilvl w:val="4"/>
                <w:numId w:val="564"/>
              </w:numPr>
              <w:spacing w:before="120" w:after="120"/>
              <w:ind w:left="447" w:hanging="447"/>
              <w:rPr>
                <w:rFonts w:cs="Arial"/>
              </w:rPr>
            </w:pPr>
            <w:bookmarkStart w:id="436" w:name="_Toc501179064"/>
            <w:r>
              <w:rPr>
                <w:rFonts w:cs="Arial"/>
              </w:rPr>
              <w:t xml:space="preserve">The </w:t>
            </w:r>
            <w:r w:rsidR="00923319" w:rsidRPr="00A67277">
              <w:rPr>
                <w:rFonts w:cs="Arial"/>
              </w:rPr>
              <w:t xml:space="preserve">Bank Guarantee </w:t>
            </w:r>
            <w:r>
              <w:rPr>
                <w:rFonts w:cs="Arial"/>
              </w:rPr>
              <w:t xml:space="preserve">regulates our </w:t>
            </w:r>
            <w:r w:rsidR="00923319" w:rsidRPr="00A67277">
              <w:rPr>
                <w:rFonts w:cs="Arial"/>
              </w:rPr>
              <w:t xml:space="preserve">covenants and </w:t>
            </w:r>
            <w:r>
              <w:rPr>
                <w:rFonts w:cs="Arial"/>
              </w:rPr>
              <w:t>agreements</w:t>
            </w:r>
            <w:r w:rsidR="00923319" w:rsidRPr="00A67277">
              <w:rPr>
                <w:rFonts w:cs="Arial"/>
              </w:rPr>
              <w:t xml:space="preserve"> </w:t>
            </w:r>
            <w:r w:rsidR="00601B94">
              <w:rPr>
                <w:rFonts w:cs="Arial"/>
              </w:rPr>
              <w:t xml:space="preserve">with the </w:t>
            </w:r>
            <w:r w:rsidR="00923319" w:rsidRPr="00A67277">
              <w:rPr>
                <w:rFonts w:cs="Arial"/>
              </w:rPr>
              <w:t xml:space="preserve">GCA and such covenants and </w:t>
            </w:r>
            <w:r>
              <w:rPr>
                <w:rFonts w:cs="Arial"/>
              </w:rPr>
              <w:t>agreements</w:t>
            </w:r>
            <w:r w:rsidRPr="00A67277">
              <w:rPr>
                <w:rFonts w:cs="Arial"/>
              </w:rPr>
              <w:t xml:space="preserve"> </w:t>
            </w:r>
            <w:r w:rsidR="00923319" w:rsidRPr="00A67277">
              <w:rPr>
                <w:rFonts w:cs="Arial"/>
              </w:rPr>
              <w:t xml:space="preserve">cannot be modified in any way, changed, </w:t>
            </w:r>
            <w:r w:rsidR="00601B94">
              <w:rPr>
                <w:rFonts w:cs="Arial"/>
              </w:rPr>
              <w:t>strengthened</w:t>
            </w:r>
            <w:r w:rsidR="00923319" w:rsidRPr="00A67277">
              <w:rPr>
                <w:rFonts w:cs="Arial"/>
              </w:rPr>
              <w:t>, or restricted with referr</w:t>
            </w:r>
            <w:r>
              <w:rPr>
                <w:rFonts w:cs="Arial"/>
              </w:rPr>
              <w:t xml:space="preserve">ence </w:t>
            </w:r>
            <w:r w:rsidR="00923319" w:rsidRPr="00A67277">
              <w:rPr>
                <w:rFonts w:cs="Arial"/>
              </w:rPr>
              <w:t>to document</w:t>
            </w:r>
            <w:r>
              <w:rPr>
                <w:rFonts w:cs="Arial"/>
              </w:rPr>
              <w:t>s</w:t>
            </w:r>
            <w:r w:rsidR="00923319" w:rsidRPr="00A67277">
              <w:rPr>
                <w:rFonts w:cs="Arial"/>
              </w:rPr>
              <w:t>, instrument</w:t>
            </w:r>
            <w:r>
              <w:rPr>
                <w:rFonts w:cs="Arial"/>
              </w:rPr>
              <w:t>s</w:t>
            </w:r>
            <w:r w:rsidR="00923319" w:rsidRPr="00A67277">
              <w:rPr>
                <w:rFonts w:cs="Arial"/>
              </w:rPr>
              <w:t xml:space="preserve"> or other agreement</w:t>
            </w:r>
            <w:r>
              <w:rPr>
                <w:rFonts w:cs="Arial"/>
              </w:rPr>
              <w:t>s</w:t>
            </w:r>
            <w:r w:rsidR="00923319" w:rsidRPr="00A67277">
              <w:rPr>
                <w:rFonts w:cs="Arial"/>
              </w:rPr>
              <w:t xml:space="preserve"> intended </w:t>
            </w:r>
            <w:r>
              <w:rPr>
                <w:rFonts w:cs="Arial"/>
              </w:rPr>
              <w:t>in</w:t>
            </w:r>
            <w:r w:rsidRPr="00A67277">
              <w:rPr>
                <w:rFonts w:cs="Arial"/>
              </w:rPr>
              <w:t xml:space="preserve"> </w:t>
            </w:r>
            <w:r w:rsidR="00601B94">
              <w:rPr>
                <w:rFonts w:cs="Arial"/>
              </w:rPr>
              <w:t xml:space="preserve">the </w:t>
            </w:r>
            <w:r w:rsidR="00923319" w:rsidRPr="00A67277">
              <w:rPr>
                <w:rFonts w:cs="Arial"/>
              </w:rPr>
              <w:t>Bank Guarantee.</w:t>
            </w:r>
            <w:bookmarkEnd w:id="436"/>
          </w:p>
        </w:tc>
        <w:tc>
          <w:tcPr>
            <w:tcW w:w="270" w:type="dxa"/>
            <w:shd w:val="clear" w:color="auto" w:fill="auto"/>
          </w:tcPr>
          <w:p w14:paraId="11D9D1EA"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6C56ABC9" w14:textId="77777777" w:rsidR="00923319" w:rsidRPr="00A67277" w:rsidRDefault="00923319" w:rsidP="00923319">
            <w:pPr>
              <w:pStyle w:val="SchNumber3"/>
              <w:numPr>
                <w:ilvl w:val="0"/>
                <w:numId w:val="591"/>
              </w:numPr>
              <w:spacing w:before="120" w:after="120"/>
              <w:ind w:left="505" w:hanging="450"/>
              <w:rPr>
                <w:rFonts w:cs="Arial"/>
                <w:lang w:val="en-US"/>
              </w:rPr>
            </w:pPr>
            <w:r w:rsidRPr="00A67277">
              <w:rPr>
                <w:rFonts w:cs="Arial"/>
                <w:lang w:val="en-US"/>
              </w:rPr>
              <w:t>Bank Garansi ini mengatur janji dan kesepakatan kami dengan PJPK dan janji serta kesempatan tersebut tidak dapat dalam cara apapun dimodifikasi, diubah, diperkuat, atau dibatasi dengan rujukan kepada dokumen, instrumen, atau perjanjian lain yang dimaksudkan dalam Bank Garansi ini.</w:t>
            </w:r>
          </w:p>
        </w:tc>
      </w:tr>
      <w:tr w:rsidR="00923319" w:rsidRPr="00A67277" w14:paraId="7A7A23C7" w14:textId="77777777" w:rsidTr="00923319">
        <w:tc>
          <w:tcPr>
            <w:tcW w:w="4860" w:type="dxa"/>
            <w:gridSpan w:val="2"/>
            <w:shd w:val="clear" w:color="auto" w:fill="auto"/>
          </w:tcPr>
          <w:p w14:paraId="018B03B2" w14:textId="297BFBE3" w:rsidR="00923319" w:rsidRPr="00A67277" w:rsidRDefault="00601B94" w:rsidP="00923319">
            <w:pPr>
              <w:pStyle w:val="SchNumber3"/>
              <w:numPr>
                <w:ilvl w:val="4"/>
                <w:numId w:val="564"/>
              </w:numPr>
              <w:spacing w:before="120" w:after="120"/>
              <w:ind w:left="447" w:hanging="447"/>
              <w:rPr>
                <w:rFonts w:cs="Arial"/>
                <w:lang w:val="en-US"/>
              </w:rPr>
            </w:pPr>
            <w:bookmarkStart w:id="437" w:name="_Toc501179065"/>
            <w:r>
              <w:rPr>
                <w:rFonts w:cs="Arial"/>
              </w:rPr>
              <w:t xml:space="preserve">The </w:t>
            </w:r>
            <w:r w:rsidR="00923319" w:rsidRPr="00A67277">
              <w:rPr>
                <w:rFonts w:cs="Arial"/>
              </w:rPr>
              <w:t xml:space="preserve">Bank Guarantee must be </w:t>
            </w:r>
            <w:r>
              <w:rPr>
                <w:rFonts w:cs="Arial"/>
              </w:rPr>
              <w:t xml:space="preserve">regulated under </w:t>
            </w:r>
            <w:r w:rsidR="00923319" w:rsidRPr="00A67277">
              <w:rPr>
                <w:rFonts w:cs="Arial"/>
              </w:rPr>
              <w:t xml:space="preserve">Indonesian Law. The parties </w:t>
            </w:r>
            <w:r>
              <w:rPr>
                <w:rFonts w:cs="Arial"/>
              </w:rPr>
              <w:t xml:space="preserve">to this </w:t>
            </w:r>
            <w:r w:rsidR="00923319" w:rsidRPr="00A67277">
              <w:rPr>
                <w:rFonts w:cs="Arial"/>
              </w:rPr>
              <w:t xml:space="preserve">Bank Guarantee </w:t>
            </w:r>
            <w:r>
              <w:rPr>
                <w:rFonts w:cs="Arial"/>
              </w:rPr>
              <w:t>are</w:t>
            </w:r>
            <w:r w:rsidRPr="00A67277">
              <w:rPr>
                <w:rFonts w:cs="Arial"/>
              </w:rPr>
              <w:t xml:space="preserve"> </w:t>
            </w:r>
            <w:r w:rsidR="00923319" w:rsidRPr="00A67277">
              <w:rPr>
                <w:rFonts w:cs="Arial"/>
              </w:rPr>
              <w:t>subject to non-exclusive jurisdiction from Indonesian court.</w:t>
            </w:r>
            <w:bookmarkEnd w:id="437"/>
          </w:p>
        </w:tc>
        <w:tc>
          <w:tcPr>
            <w:tcW w:w="270" w:type="dxa"/>
            <w:shd w:val="clear" w:color="auto" w:fill="auto"/>
          </w:tcPr>
          <w:p w14:paraId="4D19835A"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66D0FCAB" w14:textId="77777777" w:rsidR="00923319" w:rsidRPr="00A67277" w:rsidRDefault="00923319" w:rsidP="00923319">
            <w:pPr>
              <w:pStyle w:val="SchNumber3"/>
              <w:numPr>
                <w:ilvl w:val="0"/>
                <w:numId w:val="591"/>
              </w:numPr>
              <w:spacing w:before="120" w:after="120"/>
              <w:ind w:left="505" w:hanging="450"/>
              <w:rPr>
                <w:rFonts w:cs="Arial"/>
                <w:lang w:val="de-DE"/>
              </w:rPr>
            </w:pPr>
            <w:r w:rsidRPr="00A67277">
              <w:rPr>
                <w:rFonts w:cs="Arial"/>
                <w:lang w:val="de-DE"/>
              </w:rPr>
              <w:t>Bank Garansi ini harus diatur berdasarkan hukum Republik Indonesia. Para pihak dalam Bank Garansi ini menundukkan diri pada yurisdiksi non-eksklusif dari pengadilan Republik Indonesia.</w:t>
            </w:r>
          </w:p>
        </w:tc>
      </w:tr>
      <w:tr w:rsidR="00923319" w:rsidRPr="00A67277" w14:paraId="4E27FB65" w14:textId="77777777" w:rsidTr="00923319">
        <w:tc>
          <w:tcPr>
            <w:tcW w:w="4860" w:type="dxa"/>
            <w:gridSpan w:val="2"/>
            <w:shd w:val="clear" w:color="auto" w:fill="auto"/>
          </w:tcPr>
          <w:p w14:paraId="3ABB8C91" w14:textId="47ED3CD5" w:rsidR="00923319" w:rsidRPr="00A67277" w:rsidRDefault="00923319" w:rsidP="00923319">
            <w:pPr>
              <w:pStyle w:val="SchNumber3"/>
              <w:numPr>
                <w:ilvl w:val="4"/>
                <w:numId w:val="564"/>
              </w:numPr>
              <w:spacing w:before="120" w:after="120"/>
              <w:ind w:left="447" w:hanging="447"/>
              <w:rPr>
                <w:rFonts w:cs="Arial"/>
                <w:lang w:val="en-US"/>
              </w:rPr>
            </w:pPr>
            <w:bookmarkStart w:id="438" w:name="_Toc501179066"/>
            <w:r w:rsidRPr="00A67277">
              <w:rPr>
                <w:rFonts w:cs="Arial"/>
                <w:lang w:val="en-US"/>
              </w:rPr>
              <w:t xml:space="preserve">The Issuer hereby </w:t>
            </w:r>
            <w:r w:rsidR="00EC33E7">
              <w:rPr>
                <w:rFonts w:cs="Arial"/>
              </w:rPr>
              <w:t>u</w:t>
            </w:r>
            <w:r w:rsidRPr="00A67277">
              <w:rPr>
                <w:rFonts w:cs="Arial"/>
              </w:rPr>
              <w:t>nconditional</w:t>
            </w:r>
            <w:r w:rsidR="00601B94">
              <w:rPr>
                <w:rFonts w:cs="Arial"/>
              </w:rPr>
              <w:t>ly</w:t>
            </w:r>
            <w:r w:rsidRPr="00A67277">
              <w:rPr>
                <w:rFonts w:cs="Arial"/>
              </w:rPr>
              <w:t xml:space="preserve"> and irrevocabl</w:t>
            </w:r>
            <w:r w:rsidR="00601B94">
              <w:rPr>
                <w:rFonts w:cs="Arial"/>
              </w:rPr>
              <w:t>y</w:t>
            </w:r>
            <w:r w:rsidRPr="00A67277">
              <w:rPr>
                <w:rFonts w:cs="Arial"/>
              </w:rPr>
              <w:t xml:space="preserve"> waives any rights, </w:t>
            </w:r>
            <w:r w:rsidR="00601B94">
              <w:rPr>
                <w:rFonts w:cs="Arial"/>
              </w:rPr>
              <w:t>privileges</w:t>
            </w:r>
            <w:r w:rsidRPr="00A67277">
              <w:rPr>
                <w:rFonts w:cs="Arial"/>
              </w:rPr>
              <w:t xml:space="preserve"> and any exceptions given to the Issuer acting as guarantor</w:t>
            </w:r>
            <w:r w:rsidR="00601B94">
              <w:rPr>
                <w:rFonts w:cs="Arial"/>
              </w:rPr>
              <w:t>s</w:t>
            </w:r>
            <w:r w:rsidRPr="00A67277">
              <w:rPr>
                <w:rFonts w:cs="Arial"/>
              </w:rPr>
              <w:t xml:space="preserve"> in accordance with Article 1430, 1831, 1833, 1837, 1838, 1843, Indonesian Civil Code and will not be affected by any amendments of the Agreement, extension of implementation period, the </w:t>
            </w:r>
            <w:r w:rsidR="00601B94">
              <w:rPr>
                <w:rFonts w:cs="Arial"/>
              </w:rPr>
              <w:t xml:space="preserve">transfer </w:t>
            </w:r>
            <w:r w:rsidRPr="00A67277">
              <w:rPr>
                <w:rFonts w:cs="Arial"/>
              </w:rPr>
              <w:t xml:space="preserve">of </w:t>
            </w:r>
            <w:r w:rsidR="00601B94">
              <w:rPr>
                <w:rFonts w:cs="Arial"/>
              </w:rPr>
              <w:t>ownership</w:t>
            </w:r>
            <w:r w:rsidR="00601B94" w:rsidRPr="00A67277">
              <w:rPr>
                <w:rFonts w:cs="Arial"/>
              </w:rPr>
              <w:t xml:space="preserve"> </w:t>
            </w:r>
            <w:r w:rsidRPr="00A67277">
              <w:rPr>
                <w:rFonts w:cs="Arial"/>
              </w:rPr>
              <w:t xml:space="preserve">or any other </w:t>
            </w:r>
            <w:r w:rsidR="00601B94">
              <w:rPr>
                <w:rFonts w:cs="Arial"/>
              </w:rPr>
              <w:t>collateral</w:t>
            </w:r>
            <w:r w:rsidRPr="00A67277">
              <w:rPr>
                <w:rFonts w:cs="Arial"/>
              </w:rPr>
              <w:t>, or the waive</w:t>
            </w:r>
            <w:r w:rsidR="00601B94">
              <w:rPr>
                <w:rFonts w:cs="Arial"/>
              </w:rPr>
              <w:t>r</w:t>
            </w:r>
            <w:r w:rsidRPr="00A67277">
              <w:rPr>
                <w:rFonts w:cs="Arial"/>
              </w:rPr>
              <w:t xml:space="preserve"> given by GCA to </w:t>
            </w:r>
            <w:r w:rsidRPr="00A67277">
              <w:rPr>
                <w:rFonts w:cs="Arial"/>
                <w:lang w:val="en-US"/>
              </w:rPr>
              <w:t>IBE</w:t>
            </w:r>
            <w:r w:rsidRPr="00A67277">
              <w:rPr>
                <w:rFonts w:cs="Arial"/>
              </w:rPr>
              <w:t xml:space="preserve"> upon the implementation of its obligations.</w:t>
            </w:r>
            <w:bookmarkEnd w:id="438"/>
          </w:p>
        </w:tc>
        <w:tc>
          <w:tcPr>
            <w:tcW w:w="270" w:type="dxa"/>
            <w:shd w:val="clear" w:color="auto" w:fill="auto"/>
          </w:tcPr>
          <w:p w14:paraId="480C7982"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19E3A1C" w14:textId="77777777" w:rsidR="00923319" w:rsidRPr="00A67277" w:rsidRDefault="00923319" w:rsidP="00923319">
            <w:pPr>
              <w:pStyle w:val="SchNumber3"/>
              <w:numPr>
                <w:ilvl w:val="0"/>
                <w:numId w:val="591"/>
              </w:numPr>
              <w:spacing w:before="120" w:after="120"/>
              <w:ind w:left="505" w:hanging="450"/>
              <w:rPr>
                <w:rFonts w:cs="Arial"/>
              </w:rPr>
            </w:pPr>
            <w:r w:rsidRPr="00A67277">
              <w:rPr>
                <w:rFonts w:cs="Arial"/>
                <w:lang w:val="en-US"/>
              </w:rPr>
              <w:t>Penerbit dengan ini tanpa syarat dan tanpa dapat ditarik kembali mengesampingkan semua hak, hak istimewa dan pengecualian yang diberikan kepada Penerbit selaku penjamin berdasarkan Pasal 1430, 1831, 1833, 1837, 1838, 1843, Kitab Undang-Undang Hukum Perdata Indonesia dan tidak akan dipengaruhi oleh perubahan apapun terhadap Perjanjian Kerjasama, perpanjangan waktu pelaksanaan, pelepasan kepemilikkan atau jaminan lainnya, atau pengesampingan yang diberikan oleh PJPK kepada BUP untuk pelaksanaan kewajibannya.</w:t>
            </w:r>
          </w:p>
        </w:tc>
      </w:tr>
      <w:tr w:rsidR="00923319" w:rsidRPr="00A67277" w14:paraId="1D4D9CE6" w14:textId="77777777" w:rsidTr="00923319">
        <w:tc>
          <w:tcPr>
            <w:tcW w:w="4860" w:type="dxa"/>
            <w:gridSpan w:val="2"/>
            <w:shd w:val="clear" w:color="auto" w:fill="auto"/>
          </w:tcPr>
          <w:p w14:paraId="6EE42682" w14:textId="77777777" w:rsidR="00923319" w:rsidRPr="00A67277" w:rsidRDefault="00923319" w:rsidP="00923319">
            <w:pPr>
              <w:pStyle w:val="Body2"/>
              <w:spacing w:before="120" w:after="120"/>
              <w:ind w:left="0"/>
              <w:rPr>
                <w:rFonts w:cs="Arial"/>
                <w:lang w:val="en-US"/>
              </w:rPr>
            </w:pPr>
            <w:r w:rsidRPr="00A67277">
              <w:rPr>
                <w:rFonts w:cs="Arial"/>
                <w:lang w:val="en-US"/>
              </w:rPr>
              <w:t>Jakarta, [***]</w:t>
            </w:r>
          </w:p>
        </w:tc>
        <w:tc>
          <w:tcPr>
            <w:tcW w:w="270" w:type="dxa"/>
            <w:shd w:val="clear" w:color="auto" w:fill="auto"/>
          </w:tcPr>
          <w:p w14:paraId="41A63ABE"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1286C0F" w14:textId="77777777" w:rsidR="00923319" w:rsidRPr="00A67277" w:rsidRDefault="00923319" w:rsidP="00923319">
            <w:pPr>
              <w:pStyle w:val="Body2"/>
              <w:spacing w:before="120" w:after="120"/>
              <w:ind w:left="0"/>
              <w:rPr>
                <w:rFonts w:cs="Arial"/>
              </w:rPr>
            </w:pPr>
            <w:r w:rsidRPr="00A67277">
              <w:rPr>
                <w:rFonts w:cs="Arial"/>
              </w:rPr>
              <w:t>Jakarta, [***]</w:t>
            </w:r>
          </w:p>
          <w:p w14:paraId="26C6378B" w14:textId="77777777" w:rsidR="00923319" w:rsidRPr="00A67277" w:rsidRDefault="00923319" w:rsidP="00923319">
            <w:pPr>
              <w:spacing w:before="120" w:after="120"/>
              <w:jc w:val="both"/>
              <w:rPr>
                <w:rFonts w:ascii="Arial" w:hAnsi="Arial" w:cs="Arial"/>
                <w:sz w:val="21"/>
                <w:szCs w:val="21"/>
              </w:rPr>
            </w:pPr>
          </w:p>
        </w:tc>
      </w:tr>
      <w:tr w:rsidR="00923319" w:rsidRPr="00A67277" w14:paraId="02C17F28" w14:textId="77777777" w:rsidTr="00923319">
        <w:tc>
          <w:tcPr>
            <w:tcW w:w="4860" w:type="dxa"/>
            <w:gridSpan w:val="2"/>
            <w:shd w:val="clear" w:color="auto" w:fill="auto"/>
          </w:tcPr>
          <w:p w14:paraId="4588EF62" w14:textId="77777777" w:rsidR="00923319" w:rsidRPr="00A67277" w:rsidRDefault="00923319" w:rsidP="00923319">
            <w:pPr>
              <w:pStyle w:val="Body2"/>
              <w:spacing w:before="120" w:after="120"/>
              <w:ind w:left="0"/>
              <w:rPr>
                <w:rFonts w:cs="Arial"/>
                <w:lang w:val="en-US"/>
              </w:rPr>
            </w:pPr>
            <w:r w:rsidRPr="00A67277">
              <w:rPr>
                <w:rFonts w:cs="Arial"/>
                <w:lang w:val="en-US"/>
              </w:rPr>
              <w:t>[Name of Issuer]</w:t>
            </w:r>
          </w:p>
        </w:tc>
        <w:tc>
          <w:tcPr>
            <w:tcW w:w="270" w:type="dxa"/>
            <w:shd w:val="clear" w:color="auto" w:fill="auto"/>
          </w:tcPr>
          <w:p w14:paraId="3154558C"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B62B8A0" w14:textId="77777777" w:rsidR="00923319" w:rsidRPr="00A67277" w:rsidRDefault="00923319" w:rsidP="00923319">
            <w:pPr>
              <w:pStyle w:val="Body2"/>
              <w:spacing w:before="120" w:after="120"/>
              <w:ind w:left="0"/>
              <w:rPr>
                <w:rFonts w:cs="Arial"/>
              </w:rPr>
            </w:pPr>
            <w:r w:rsidRPr="00A67277">
              <w:rPr>
                <w:rFonts w:cs="Arial"/>
              </w:rPr>
              <w:t>[Nama Penerbit]</w:t>
            </w:r>
          </w:p>
          <w:p w14:paraId="655180A7" w14:textId="77777777" w:rsidR="00923319" w:rsidRPr="00A67277" w:rsidRDefault="00923319" w:rsidP="00923319">
            <w:pPr>
              <w:spacing w:before="120" w:after="120"/>
              <w:jc w:val="center"/>
              <w:rPr>
                <w:rFonts w:ascii="Arial" w:hAnsi="Arial" w:cs="Arial"/>
                <w:sz w:val="21"/>
                <w:szCs w:val="21"/>
              </w:rPr>
            </w:pPr>
          </w:p>
        </w:tc>
      </w:tr>
    </w:tbl>
    <w:p w14:paraId="5437D801" w14:textId="77777777" w:rsidR="00923319" w:rsidRPr="00A67277" w:rsidRDefault="00923319" w:rsidP="00923319">
      <w:pPr>
        <w:rPr>
          <w:rFonts w:ascii="Arial" w:hAnsi="Arial" w:cs="Arial"/>
          <w:sz w:val="21"/>
          <w:szCs w:val="21"/>
        </w:rPr>
      </w:pPr>
    </w:p>
    <w:p w14:paraId="7D667A39"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W w:w="9697" w:type="dxa"/>
        <w:tblInd w:w="-72" w:type="dxa"/>
        <w:tblLook w:val="04A0" w:firstRow="1" w:lastRow="0" w:firstColumn="1" w:lastColumn="0" w:noHBand="0" w:noVBand="1"/>
      </w:tblPr>
      <w:tblGrid>
        <w:gridCol w:w="2241"/>
        <w:gridCol w:w="2619"/>
        <w:gridCol w:w="270"/>
        <w:gridCol w:w="2103"/>
        <w:gridCol w:w="2464"/>
      </w:tblGrid>
      <w:tr w:rsidR="00A67277" w:rsidRPr="00A67277" w14:paraId="3282C1FA" w14:textId="77777777" w:rsidTr="00923319">
        <w:tc>
          <w:tcPr>
            <w:tcW w:w="4860" w:type="dxa"/>
            <w:gridSpan w:val="2"/>
            <w:shd w:val="clear" w:color="auto" w:fill="auto"/>
          </w:tcPr>
          <w:p w14:paraId="49B2F50C" w14:textId="77777777" w:rsidR="00923319" w:rsidRPr="00A67277" w:rsidRDefault="00923319" w:rsidP="00923319">
            <w:pPr>
              <w:pStyle w:val="SchNumber1"/>
              <w:numPr>
                <w:ilvl w:val="2"/>
                <w:numId w:val="564"/>
              </w:numPr>
              <w:spacing w:before="120" w:after="120"/>
              <w:ind w:left="447" w:hanging="425"/>
              <w:rPr>
                <w:rFonts w:cs="Arial"/>
                <w:b/>
                <w:lang w:val="en-US"/>
              </w:rPr>
            </w:pPr>
            <w:bookmarkStart w:id="439" w:name="_Toc501179068"/>
            <w:r w:rsidRPr="00A67277">
              <w:rPr>
                <w:rFonts w:cs="Arial"/>
                <w:b/>
                <w:lang w:val="en-US"/>
              </w:rPr>
              <w:t>Stage II Performance Bond Form</w:t>
            </w:r>
            <w:bookmarkEnd w:id="439"/>
          </w:p>
        </w:tc>
        <w:tc>
          <w:tcPr>
            <w:tcW w:w="270" w:type="dxa"/>
            <w:shd w:val="clear" w:color="auto" w:fill="auto"/>
          </w:tcPr>
          <w:p w14:paraId="716FA685" w14:textId="77777777" w:rsidR="00923319" w:rsidRPr="00A67277" w:rsidRDefault="00923319" w:rsidP="00923319">
            <w:pPr>
              <w:spacing w:before="120" w:after="120"/>
              <w:jc w:val="both"/>
              <w:rPr>
                <w:rFonts w:ascii="Arial" w:hAnsi="Arial" w:cs="Arial"/>
                <w:b/>
                <w:sz w:val="21"/>
                <w:szCs w:val="21"/>
              </w:rPr>
            </w:pPr>
          </w:p>
        </w:tc>
        <w:tc>
          <w:tcPr>
            <w:tcW w:w="4567" w:type="dxa"/>
            <w:gridSpan w:val="2"/>
            <w:shd w:val="clear" w:color="auto" w:fill="auto"/>
          </w:tcPr>
          <w:p w14:paraId="6354425C" w14:textId="77777777" w:rsidR="00923319" w:rsidRPr="00A67277" w:rsidRDefault="00923319" w:rsidP="00923319">
            <w:pPr>
              <w:pStyle w:val="SchHeading1"/>
              <w:numPr>
                <w:ilvl w:val="0"/>
                <w:numId w:val="590"/>
              </w:numPr>
              <w:spacing w:before="120" w:after="120"/>
              <w:ind w:left="415"/>
              <w:rPr>
                <w:rFonts w:cs="Arial"/>
              </w:rPr>
            </w:pPr>
            <w:r w:rsidRPr="00A67277">
              <w:rPr>
                <w:rFonts w:cs="Arial"/>
                <w:lang w:val="en-US"/>
              </w:rPr>
              <w:t>Bentuk Jaminan Pelaksanaan Tahap II</w:t>
            </w:r>
          </w:p>
        </w:tc>
      </w:tr>
      <w:tr w:rsidR="00A67277" w:rsidRPr="00A67277" w14:paraId="67E47F57" w14:textId="77777777" w:rsidTr="00923319">
        <w:tc>
          <w:tcPr>
            <w:tcW w:w="2241" w:type="dxa"/>
            <w:shd w:val="clear" w:color="auto" w:fill="auto"/>
          </w:tcPr>
          <w:p w14:paraId="5D5865A4" w14:textId="77777777" w:rsidR="00923319" w:rsidRPr="00A67277" w:rsidRDefault="00923319" w:rsidP="00923319">
            <w:pPr>
              <w:pStyle w:val="SchNumber1"/>
              <w:tabs>
                <w:tab w:val="clear" w:pos="709"/>
              </w:tabs>
              <w:spacing w:before="120" w:after="120"/>
              <w:rPr>
                <w:rFonts w:cs="Arial"/>
                <w:lang w:val="en-US"/>
              </w:rPr>
            </w:pPr>
            <w:r w:rsidRPr="00A67277">
              <w:rPr>
                <w:rFonts w:cs="Arial"/>
                <w:i/>
                <w:lang w:val="en-US"/>
              </w:rPr>
              <w:t>Beneficiary</w:t>
            </w:r>
          </w:p>
        </w:tc>
        <w:tc>
          <w:tcPr>
            <w:tcW w:w="2619" w:type="dxa"/>
            <w:shd w:val="clear" w:color="auto" w:fill="auto"/>
          </w:tcPr>
          <w:p w14:paraId="23402BE8" w14:textId="77777777" w:rsidR="00923319" w:rsidRPr="00A67277" w:rsidRDefault="00923319" w:rsidP="00923319">
            <w:pPr>
              <w:pStyle w:val="SchNumber1"/>
              <w:tabs>
                <w:tab w:val="clear" w:pos="709"/>
              </w:tabs>
              <w:spacing w:before="120" w:after="120"/>
              <w:rPr>
                <w:rFonts w:cs="Arial"/>
                <w:i/>
                <w:lang w:val="en-US"/>
              </w:rPr>
            </w:pPr>
            <w:r w:rsidRPr="00A67277">
              <w:rPr>
                <w:rFonts w:cs="Arial"/>
                <w:i/>
                <w:lang w:val="en-US"/>
              </w:rPr>
              <w:t>Applicant</w:t>
            </w:r>
          </w:p>
        </w:tc>
        <w:tc>
          <w:tcPr>
            <w:tcW w:w="270" w:type="dxa"/>
            <w:shd w:val="clear" w:color="auto" w:fill="auto"/>
          </w:tcPr>
          <w:p w14:paraId="6FE12943" w14:textId="77777777" w:rsidR="00923319" w:rsidRPr="00A67277" w:rsidRDefault="00923319" w:rsidP="00923319">
            <w:pPr>
              <w:spacing w:before="120" w:after="120"/>
              <w:jc w:val="both"/>
              <w:rPr>
                <w:rFonts w:ascii="Arial" w:hAnsi="Arial" w:cs="Arial"/>
                <w:sz w:val="21"/>
                <w:szCs w:val="21"/>
              </w:rPr>
            </w:pPr>
          </w:p>
        </w:tc>
        <w:tc>
          <w:tcPr>
            <w:tcW w:w="2103" w:type="dxa"/>
            <w:shd w:val="clear" w:color="auto" w:fill="auto"/>
          </w:tcPr>
          <w:p w14:paraId="2BF8E235"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i/>
                <w:sz w:val="21"/>
                <w:szCs w:val="21"/>
              </w:rPr>
              <w:t>Penerima Manfaat</w:t>
            </w:r>
          </w:p>
        </w:tc>
        <w:tc>
          <w:tcPr>
            <w:tcW w:w="2464" w:type="dxa"/>
            <w:shd w:val="clear" w:color="auto" w:fill="auto"/>
          </w:tcPr>
          <w:p w14:paraId="060AD044"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i/>
                <w:sz w:val="21"/>
                <w:szCs w:val="21"/>
              </w:rPr>
              <w:t>Pemohon</w:t>
            </w:r>
          </w:p>
        </w:tc>
      </w:tr>
      <w:tr w:rsidR="00A67277" w:rsidRPr="00A67277" w14:paraId="168197C1" w14:textId="77777777" w:rsidTr="00923319">
        <w:tc>
          <w:tcPr>
            <w:tcW w:w="2241" w:type="dxa"/>
            <w:shd w:val="clear" w:color="auto" w:fill="auto"/>
          </w:tcPr>
          <w:p w14:paraId="43F6271D" w14:textId="77777777" w:rsidR="00923319" w:rsidRPr="00A67277" w:rsidRDefault="00923319" w:rsidP="00923319">
            <w:pPr>
              <w:pStyle w:val="SchNumber1"/>
              <w:tabs>
                <w:tab w:val="clear" w:pos="709"/>
              </w:tabs>
              <w:spacing w:before="120" w:after="120"/>
              <w:rPr>
                <w:rFonts w:cs="Arial"/>
                <w:i/>
                <w:lang w:val="en-US"/>
              </w:rPr>
            </w:pPr>
            <w:r w:rsidRPr="00A67277">
              <w:rPr>
                <w:rFonts w:cs="Arial"/>
                <w:b/>
                <w:lang w:val="en-US"/>
              </w:rPr>
              <w:t>(Insert GCA Name)</w:t>
            </w:r>
          </w:p>
        </w:tc>
        <w:tc>
          <w:tcPr>
            <w:tcW w:w="2619" w:type="dxa"/>
            <w:shd w:val="clear" w:color="auto" w:fill="auto"/>
          </w:tcPr>
          <w:p w14:paraId="55475CB3" w14:textId="77777777" w:rsidR="00923319" w:rsidRPr="00A67277" w:rsidRDefault="00923319" w:rsidP="00923319">
            <w:pPr>
              <w:pStyle w:val="SchNumber1"/>
              <w:tabs>
                <w:tab w:val="clear" w:pos="709"/>
              </w:tabs>
              <w:spacing w:before="120" w:after="120"/>
              <w:rPr>
                <w:rFonts w:cs="Arial"/>
                <w:lang w:val="en-US"/>
              </w:rPr>
            </w:pPr>
            <w:r w:rsidRPr="00A67277">
              <w:rPr>
                <w:rFonts w:cs="Arial"/>
                <w:lang w:val="en-US"/>
              </w:rPr>
              <w:t>[IBE]</w:t>
            </w:r>
          </w:p>
        </w:tc>
        <w:tc>
          <w:tcPr>
            <w:tcW w:w="270" w:type="dxa"/>
            <w:shd w:val="clear" w:color="auto" w:fill="auto"/>
          </w:tcPr>
          <w:p w14:paraId="2DBC1EB6" w14:textId="77777777" w:rsidR="00923319" w:rsidRPr="00A67277" w:rsidRDefault="00923319" w:rsidP="00923319">
            <w:pPr>
              <w:spacing w:before="120" w:after="120"/>
              <w:jc w:val="both"/>
              <w:rPr>
                <w:rFonts w:ascii="Arial" w:hAnsi="Arial" w:cs="Arial"/>
                <w:sz w:val="21"/>
                <w:szCs w:val="21"/>
              </w:rPr>
            </w:pPr>
          </w:p>
        </w:tc>
        <w:tc>
          <w:tcPr>
            <w:tcW w:w="2103" w:type="dxa"/>
            <w:shd w:val="clear" w:color="auto" w:fill="auto"/>
          </w:tcPr>
          <w:p w14:paraId="24F3043C"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b/>
                <w:sz w:val="21"/>
                <w:szCs w:val="21"/>
              </w:rPr>
              <w:t>(Masukkan Nama PJPK)</w:t>
            </w:r>
          </w:p>
        </w:tc>
        <w:tc>
          <w:tcPr>
            <w:tcW w:w="2464" w:type="dxa"/>
            <w:shd w:val="clear" w:color="auto" w:fill="auto"/>
          </w:tcPr>
          <w:p w14:paraId="19F63CA7"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[BUP]</w:t>
            </w:r>
          </w:p>
        </w:tc>
      </w:tr>
      <w:tr w:rsidR="00A67277" w:rsidRPr="00A67277" w14:paraId="13B751B5" w14:textId="77777777" w:rsidTr="00923319">
        <w:tc>
          <w:tcPr>
            <w:tcW w:w="4860" w:type="dxa"/>
            <w:gridSpan w:val="2"/>
            <w:shd w:val="clear" w:color="auto" w:fill="auto"/>
          </w:tcPr>
          <w:p w14:paraId="11D96D60" w14:textId="77777777" w:rsidR="00923319" w:rsidRPr="00A67277" w:rsidRDefault="00923319" w:rsidP="00923319">
            <w:pPr>
              <w:pStyle w:val="Body2"/>
              <w:spacing w:before="120" w:after="120"/>
              <w:ind w:left="0"/>
              <w:rPr>
                <w:rFonts w:cs="Arial"/>
                <w:lang w:val="en-US"/>
              </w:rPr>
            </w:pPr>
            <w:r w:rsidRPr="00A67277">
              <w:rPr>
                <w:rFonts w:cs="Arial"/>
                <w:lang w:val="en-US"/>
              </w:rPr>
              <w:t>Attention to:</w:t>
            </w:r>
          </w:p>
        </w:tc>
        <w:tc>
          <w:tcPr>
            <w:tcW w:w="270" w:type="dxa"/>
            <w:shd w:val="clear" w:color="auto" w:fill="auto"/>
          </w:tcPr>
          <w:p w14:paraId="5D45C47B"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588F7CE5"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Kepada:</w:t>
            </w:r>
          </w:p>
        </w:tc>
      </w:tr>
      <w:tr w:rsidR="00A67277" w:rsidRPr="00A67277" w14:paraId="4CBAD376" w14:textId="77777777" w:rsidTr="00923319">
        <w:tc>
          <w:tcPr>
            <w:tcW w:w="4860" w:type="dxa"/>
            <w:gridSpan w:val="2"/>
            <w:shd w:val="clear" w:color="auto" w:fill="auto"/>
          </w:tcPr>
          <w:p w14:paraId="7AC65189" w14:textId="77777777" w:rsidR="00923319" w:rsidRPr="00A67277" w:rsidRDefault="00923319" w:rsidP="00923319">
            <w:pPr>
              <w:pStyle w:val="Body2"/>
              <w:spacing w:before="120" w:after="120"/>
              <w:ind w:left="0"/>
              <w:jc w:val="left"/>
              <w:rPr>
                <w:rFonts w:cs="Arial"/>
              </w:rPr>
            </w:pPr>
            <w:r w:rsidRPr="00A67277">
              <w:rPr>
                <w:rFonts w:cs="Arial"/>
                <w:b/>
                <w:lang w:val="en-US"/>
              </w:rPr>
              <w:t>(Insert GCA name and Chief title)</w:t>
            </w:r>
          </w:p>
        </w:tc>
        <w:tc>
          <w:tcPr>
            <w:tcW w:w="270" w:type="dxa"/>
            <w:shd w:val="clear" w:color="auto" w:fill="auto"/>
          </w:tcPr>
          <w:p w14:paraId="2532EB3C"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D771705" w14:textId="77777777" w:rsidR="00923319" w:rsidRPr="00A67277" w:rsidRDefault="00923319" w:rsidP="00923319">
            <w:pPr>
              <w:spacing w:before="120" w:after="120"/>
              <w:jc w:val="both"/>
              <w:rPr>
                <w:rFonts w:ascii="Arial" w:hAnsi="Arial" w:cs="Arial"/>
                <w:sz w:val="21"/>
                <w:szCs w:val="21"/>
                <w:lang w:val="fr-FR"/>
              </w:rPr>
            </w:pPr>
            <w:r w:rsidRPr="00A67277">
              <w:rPr>
                <w:rFonts w:ascii="Arial" w:hAnsi="Arial" w:cs="Arial"/>
                <w:b/>
                <w:sz w:val="21"/>
                <w:szCs w:val="21"/>
                <w:lang w:val="fr-FR"/>
              </w:rPr>
              <w:t>(Masukkan Nama PJPK dan Jabatan Pimpinan)</w:t>
            </w:r>
          </w:p>
        </w:tc>
      </w:tr>
      <w:tr w:rsidR="00A67277" w:rsidRPr="00A67277" w14:paraId="2E10F364" w14:textId="77777777" w:rsidTr="00923319">
        <w:tc>
          <w:tcPr>
            <w:tcW w:w="4860" w:type="dxa"/>
            <w:gridSpan w:val="2"/>
            <w:shd w:val="clear" w:color="auto" w:fill="auto"/>
          </w:tcPr>
          <w:p w14:paraId="364F3BFF" w14:textId="77777777" w:rsidR="00923319" w:rsidRPr="00A67277" w:rsidRDefault="00923319" w:rsidP="00923319">
            <w:pPr>
              <w:pStyle w:val="Body2"/>
              <w:spacing w:before="120" w:after="120"/>
              <w:ind w:left="0"/>
              <w:rPr>
                <w:rFonts w:cs="Arial"/>
                <w:lang w:val="en-US"/>
              </w:rPr>
            </w:pPr>
            <w:r w:rsidRPr="00A67277">
              <w:rPr>
                <w:rFonts w:cs="Arial"/>
                <w:lang w:val="en-US"/>
              </w:rPr>
              <w:t>With respect,</w:t>
            </w:r>
          </w:p>
        </w:tc>
        <w:tc>
          <w:tcPr>
            <w:tcW w:w="270" w:type="dxa"/>
            <w:shd w:val="clear" w:color="auto" w:fill="auto"/>
          </w:tcPr>
          <w:p w14:paraId="18BD6F38"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3660790F" w14:textId="77777777" w:rsidR="00923319" w:rsidRPr="00A67277" w:rsidRDefault="00923319" w:rsidP="00923319">
            <w:pPr>
              <w:pStyle w:val="Body2"/>
              <w:spacing w:before="120" w:after="120"/>
              <w:ind w:left="0"/>
              <w:rPr>
                <w:rFonts w:cs="Arial"/>
              </w:rPr>
            </w:pPr>
            <w:r w:rsidRPr="00A67277">
              <w:rPr>
                <w:rFonts w:cs="Arial"/>
                <w:lang w:val="en-US"/>
              </w:rPr>
              <w:t>Dengan hormat,</w:t>
            </w:r>
          </w:p>
        </w:tc>
      </w:tr>
      <w:tr w:rsidR="00A67277" w:rsidRPr="00A67277" w14:paraId="2BB2B9A5" w14:textId="77777777" w:rsidTr="00923319">
        <w:tc>
          <w:tcPr>
            <w:tcW w:w="4860" w:type="dxa"/>
            <w:gridSpan w:val="2"/>
            <w:shd w:val="clear" w:color="auto" w:fill="auto"/>
          </w:tcPr>
          <w:p w14:paraId="5B560CFB" w14:textId="6CDB4A46" w:rsidR="00923319" w:rsidRPr="00A67277" w:rsidRDefault="00923319" w:rsidP="00923319">
            <w:pPr>
              <w:pStyle w:val="SchNumber3"/>
              <w:numPr>
                <w:ilvl w:val="4"/>
                <w:numId w:val="564"/>
              </w:numPr>
              <w:spacing w:before="120" w:after="120"/>
              <w:ind w:left="447" w:hanging="447"/>
              <w:rPr>
                <w:rFonts w:cs="Arial"/>
                <w:lang w:val="en-US"/>
              </w:rPr>
            </w:pPr>
            <w:bookmarkStart w:id="440" w:name="_Toc501179069"/>
            <w:r w:rsidRPr="00A67277">
              <w:rPr>
                <w:rFonts w:cs="Arial"/>
                <w:lang w:val="en-US"/>
              </w:rPr>
              <w:t xml:space="preserve">Upon </w:t>
            </w:r>
            <w:r w:rsidR="00601B94">
              <w:rPr>
                <w:rFonts w:cs="Arial"/>
                <w:lang w:val="en-US"/>
              </w:rPr>
              <w:t xml:space="preserve">the </w:t>
            </w:r>
            <w:r w:rsidRPr="00A67277">
              <w:rPr>
                <w:rFonts w:cs="Arial"/>
                <w:lang w:val="en-US"/>
              </w:rPr>
              <w:t>request of and for the best interest of our consumers, [Name of the IBE] (“</w:t>
            </w:r>
            <w:r w:rsidRPr="00A67277">
              <w:rPr>
                <w:rFonts w:cs="Arial"/>
                <w:b/>
                <w:lang w:val="en-US"/>
              </w:rPr>
              <w:t>IBE</w:t>
            </w:r>
            <w:r w:rsidRPr="00A67277">
              <w:rPr>
                <w:rFonts w:cs="Arial"/>
                <w:lang w:val="en-US"/>
              </w:rPr>
              <w:t>”), having its office address at [***], the banks undersigned below [***], located at [***], in this matter to act through its Branch Office [***] (“</w:t>
            </w:r>
            <w:r w:rsidRPr="00A67277">
              <w:rPr>
                <w:rFonts w:cs="Arial"/>
                <w:b/>
                <w:lang w:val="en-US"/>
              </w:rPr>
              <w:t>Issuer</w:t>
            </w:r>
            <w:r w:rsidRPr="00A67277">
              <w:rPr>
                <w:rFonts w:cs="Arial"/>
                <w:lang w:val="en-US"/>
              </w:rPr>
              <w:t>”), hereby issues Bank Guarantee No. [***] (“</w:t>
            </w:r>
            <w:r w:rsidRPr="00A67277">
              <w:rPr>
                <w:rFonts w:cs="Arial"/>
                <w:b/>
                <w:lang w:val="en-US"/>
              </w:rPr>
              <w:t>Bank Guarantee”</w:t>
            </w:r>
            <w:r w:rsidRPr="00A67277">
              <w:rPr>
                <w:rFonts w:cs="Arial"/>
                <w:lang w:val="en-US"/>
              </w:rPr>
              <w:t>) in connection with [Name of the Project].</w:t>
            </w:r>
            <w:bookmarkEnd w:id="440"/>
            <w:r w:rsidRPr="00A67277">
              <w:rPr>
                <w:rFonts w:cs="Arial"/>
                <w:lang w:val="en-US"/>
              </w:rPr>
              <w:t xml:space="preserve"> </w:t>
            </w:r>
          </w:p>
        </w:tc>
        <w:tc>
          <w:tcPr>
            <w:tcW w:w="270" w:type="dxa"/>
            <w:shd w:val="clear" w:color="auto" w:fill="auto"/>
          </w:tcPr>
          <w:p w14:paraId="0F3CE83B"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EA5DA41" w14:textId="77777777" w:rsidR="00923319" w:rsidRPr="00A67277" w:rsidRDefault="00923319" w:rsidP="00923319">
            <w:pPr>
              <w:pStyle w:val="SchNumber3"/>
              <w:numPr>
                <w:ilvl w:val="0"/>
                <w:numId w:val="592"/>
              </w:numPr>
              <w:spacing w:before="120" w:after="120"/>
              <w:ind w:left="505" w:hanging="450"/>
              <w:rPr>
                <w:rFonts w:cs="Arial"/>
                <w:lang w:val="en-US"/>
              </w:rPr>
            </w:pPr>
            <w:r w:rsidRPr="00A67277">
              <w:rPr>
                <w:rFonts w:cs="Arial"/>
                <w:lang w:val="en-US"/>
              </w:rPr>
              <w:t>Atas permintaan dan untuk kepentingan dari konsumen kami, [Nama BUP] (“</w:t>
            </w:r>
            <w:r w:rsidRPr="00A67277">
              <w:rPr>
                <w:rFonts w:cs="Arial"/>
                <w:b/>
                <w:lang w:val="en-US"/>
              </w:rPr>
              <w:t>BUP</w:t>
            </w:r>
            <w:r w:rsidRPr="00A67277">
              <w:rPr>
                <w:rFonts w:cs="Arial"/>
                <w:lang w:val="en-US"/>
              </w:rPr>
              <w:t>”) yang beralamat di [***], bank yang bertandatangan di bawah ini [***], berkedudukan di [***], dalam hal ini bertindak melalui Kantor Cabang [***] (“</w:t>
            </w:r>
            <w:r w:rsidRPr="00A67277">
              <w:rPr>
                <w:rFonts w:cs="Arial"/>
                <w:b/>
                <w:lang w:val="en-US"/>
              </w:rPr>
              <w:t>Penerbit</w:t>
            </w:r>
            <w:r w:rsidRPr="00A67277">
              <w:rPr>
                <w:rFonts w:cs="Arial"/>
                <w:lang w:val="en-US"/>
              </w:rPr>
              <w:t>”), dengan ini menerbitkan Bank Garansi No. [***] (“</w:t>
            </w:r>
            <w:r w:rsidRPr="00A67277">
              <w:rPr>
                <w:rFonts w:cs="Arial"/>
                <w:b/>
                <w:lang w:val="en-US"/>
              </w:rPr>
              <w:t>Bank Garansi</w:t>
            </w:r>
            <w:r w:rsidRPr="00A67277">
              <w:rPr>
                <w:rFonts w:cs="Arial"/>
                <w:lang w:val="en-US"/>
              </w:rPr>
              <w:t>”) sehubungan dengan [nama Proyek].</w:t>
            </w:r>
          </w:p>
        </w:tc>
      </w:tr>
      <w:tr w:rsidR="00A67277" w:rsidRPr="00A67277" w14:paraId="0E47068D" w14:textId="77777777" w:rsidTr="00923319">
        <w:tc>
          <w:tcPr>
            <w:tcW w:w="4860" w:type="dxa"/>
            <w:gridSpan w:val="2"/>
            <w:shd w:val="clear" w:color="auto" w:fill="auto"/>
          </w:tcPr>
          <w:p w14:paraId="0288B41B" w14:textId="5E75C130" w:rsidR="00923319" w:rsidRPr="00A67277" w:rsidRDefault="002035A0" w:rsidP="00923319">
            <w:pPr>
              <w:pStyle w:val="SchNumber3"/>
              <w:numPr>
                <w:ilvl w:val="4"/>
                <w:numId w:val="564"/>
              </w:numPr>
              <w:spacing w:before="120" w:after="120"/>
              <w:ind w:left="447" w:hanging="447"/>
              <w:rPr>
                <w:rFonts w:cs="Arial"/>
                <w:lang w:val="en-US"/>
              </w:rPr>
            </w:pPr>
            <w:bookmarkStart w:id="441" w:name="_Toc501179070"/>
            <w:r>
              <w:rPr>
                <w:rFonts w:cs="Arial"/>
                <w:lang w:val="en-US"/>
              </w:rPr>
              <w:t xml:space="preserve">This </w:t>
            </w:r>
            <w:r w:rsidR="00923319" w:rsidRPr="00A67277">
              <w:rPr>
                <w:rFonts w:cs="Arial"/>
                <w:lang w:val="en-US"/>
              </w:rPr>
              <w:t>Bank Guarantee is issued for the interest of [***] (“</w:t>
            </w:r>
            <w:r w:rsidR="00923319" w:rsidRPr="00A67277">
              <w:rPr>
                <w:rFonts w:cs="Arial"/>
                <w:b/>
                <w:lang w:val="en-US"/>
              </w:rPr>
              <w:t>GCA</w:t>
            </w:r>
            <w:r w:rsidR="00923319" w:rsidRPr="00A67277">
              <w:rPr>
                <w:rFonts w:cs="Arial"/>
                <w:lang w:val="en-US"/>
              </w:rPr>
              <w:t xml:space="preserve">”) in order to </w:t>
            </w:r>
            <w:r>
              <w:rPr>
                <w:rFonts w:cs="Arial"/>
                <w:lang w:val="en-US"/>
              </w:rPr>
              <w:t xml:space="preserve">guarantee </w:t>
            </w:r>
            <w:r w:rsidR="00923319" w:rsidRPr="00A67277">
              <w:rPr>
                <w:rFonts w:cs="Arial"/>
                <w:lang w:val="en-US"/>
              </w:rPr>
              <w:t xml:space="preserve">the commitment of IBE, </w:t>
            </w:r>
            <w:r>
              <w:rPr>
                <w:rFonts w:cs="Arial"/>
                <w:lang w:val="en-US"/>
              </w:rPr>
              <w:t xml:space="preserve">in accordance with the </w:t>
            </w:r>
            <w:r w:rsidR="00923319" w:rsidRPr="00A67277">
              <w:rPr>
                <w:rFonts w:cs="Arial"/>
                <w:lang w:val="en-US"/>
              </w:rPr>
              <w:t xml:space="preserve"> Cooperation Agreement between [***] and [***] No: [***] (“</w:t>
            </w:r>
            <w:r w:rsidR="00923319" w:rsidRPr="00A67277">
              <w:rPr>
                <w:rFonts w:cs="Arial"/>
                <w:b/>
                <w:lang w:val="en-US"/>
              </w:rPr>
              <w:t>Cooperation Agreement</w:t>
            </w:r>
            <w:r w:rsidR="00923319" w:rsidRPr="00A67277">
              <w:rPr>
                <w:rFonts w:cs="Arial"/>
                <w:lang w:val="en-US"/>
              </w:rPr>
              <w:t xml:space="preserve">”). </w:t>
            </w:r>
            <w:r>
              <w:rPr>
                <w:rFonts w:cs="Arial"/>
                <w:lang w:val="en-US"/>
              </w:rPr>
              <w:t>Tha maximum a</w:t>
            </w:r>
            <w:r w:rsidR="00923319" w:rsidRPr="00A67277">
              <w:rPr>
                <w:rFonts w:cs="Arial"/>
                <w:lang w:val="en-US"/>
              </w:rPr>
              <w:t xml:space="preserve">mount </w:t>
            </w:r>
            <w:r>
              <w:rPr>
                <w:rFonts w:cs="Arial"/>
                <w:lang w:val="en-US"/>
              </w:rPr>
              <w:t xml:space="preserve">of value </w:t>
            </w:r>
            <w:r w:rsidR="00923319" w:rsidRPr="00A67277">
              <w:rPr>
                <w:rFonts w:cs="Arial"/>
                <w:lang w:val="en-US"/>
              </w:rPr>
              <w:t>available based on this Bank Guarantee is [***] (“</w:t>
            </w:r>
            <w:r w:rsidR="00923319" w:rsidRPr="00A67277">
              <w:rPr>
                <w:rFonts w:cs="Arial"/>
                <w:b/>
                <w:lang w:val="en-US"/>
              </w:rPr>
              <w:t>Stated Amount</w:t>
            </w:r>
            <w:r w:rsidR="00923319" w:rsidRPr="00A67277">
              <w:rPr>
                <w:rFonts w:cs="Arial"/>
                <w:lang w:val="en-US"/>
              </w:rPr>
              <w:t>”).</w:t>
            </w:r>
            <w:bookmarkEnd w:id="441"/>
          </w:p>
        </w:tc>
        <w:tc>
          <w:tcPr>
            <w:tcW w:w="270" w:type="dxa"/>
            <w:shd w:val="clear" w:color="auto" w:fill="auto"/>
          </w:tcPr>
          <w:p w14:paraId="51721605"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0C3B016" w14:textId="77777777" w:rsidR="00923319" w:rsidRPr="00A67277" w:rsidRDefault="00923319" w:rsidP="00923319">
            <w:pPr>
              <w:pStyle w:val="SchNumber3"/>
              <w:numPr>
                <w:ilvl w:val="0"/>
                <w:numId w:val="592"/>
              </w:numPr>
              <w:spacing w:before="120" w:after="120"/>
              <w:ind w:left="505" w:hanging="450"/>
              <w:rPr>
                <w:rFonts w:cs="Arial"/>
                <w:lang w:val="en-US"/>
              </w:rPr>
            </w:pPr>
            <w:r w:rsidRPr="00A67277">
              <w:rPr>
                <w:rFonts w:cs="Arial"/>
                <w:lang w:val="en-US"/>
              </w:rPr>
              <w:t xml:space="preserve">Bank Garansi ini diterbitkan untuk kepentingan </w:t>
            </w:r>
            <w:bookmarkStart w:id="442" w:name="_Hlk501114850"/>
            <w:r w:rsidRPr="00A67277">
              <w:rPr>
                <w:rFonts w:cs="Arial"/>
                <w:lang w:val="en-US"/>
              </w:rPr>
              <w:t>[***] (“</w:t>
            </w:r>
            <w:r w:rsidRPr="00A67277">
              <w:rPr>
                <w:rFonts w:cs="Arial"/>
                <w:b/>
                <w:lang w:val="en-US"/>
              </w:rPr>
              <w:t>PJPK”</w:t>
            </w:r>
            <w:r w:rsidRPr="00A67277">
              <w:rPr>
                <w:rFonts w:cs="Arial"/>
                <w:lang w:val="en-US"/>
              </w:rPr>
              <w:t>)</w:t>
            </w:r>
            <w:bookmarkEnd w:id="442"/>
            <w:r w:rsidRPr="00A67277">
              <w:rPr>
                <w:rFonts w:cs="Arial"/>
                <w:lang w:val="en-US"/>
              </w:rPr>
              <w:t xml:space="preserve"> guna menjamin komitmen BUP, sesuai dengan Perjanjian Kerjasama antara [***] dengan [***] Nomor: [***] (“</w:t>
            </w:r>
            <w:r w:rsidRPr="00A67277">
              <w:rPr>
                <w:rFonts w:cs="Arial"/>
                <w:b/>
                <w:lang w:val="en-US"/>
              </w:rPr>
              <w:t>Perjanjian Kerjasama</w:t>
            </w:r>
            <w:r w:rsidRPr="00A67277">
              <w:rPr>
                <w:rFonts w:cs="Arial"/>
                <w:lang w:val="en-US"/>
              </w:rPr>
              <w:t>”). Jumlah nilai maksimum yang tersedia berdasarkan Bank Garansi ini adalah [***] (“</w:t>
            </w:r>
            <w:r w:rsidRPr="00A67277">
              <w:rPr>
                <w:rFonts w:cs="Arial"/>
                <w:b/>
                <w:lang w:val="en-US"/>
              </w:rPr>
              <w:t>Jumlah Yang Dinyatakan</w:t>
            </w:r>
            <w:r w:rsidRPr="00A67277">
              <w:rPr>
                <w:rFonts w:cs="Arial"/>
                <w:lang w:val="en-US"/>
              </w:rPr>
              <w:t>”).</w:t>
            </w:r>
          </w:p>
        </w:tc>
      </w:tr>
      <w:tr w:rsidR="00A67277" w:rsidRPr="00A67277" w14:paraId="371A3551" w14:textId="77777777" w:rsidTr="00923319">
        <w:tc>
          <w:tcPr>
            <w:tcW w:w="4860" w:type="dxa"/>
            <w:gridSpan w:val="2"/>
            <w:shd w:val="clear" w:color="auto" w:fill="auto"/>
          </w:tcPr>
          <w:p w14:paraId="55D2F86F" w14:textId="7AB28CF6" w:rsidR="00923319" w:rsidRPr="00A67277" w:rsidRDefault="00923319" w:rsidP="00923319">
            <w:pPr>
              <w:pStyle w:val="SchNumber3"/>
              <w:numPr>
                <w:ilvl w:val="4"/>
                <w:numId w:val="564"/>
              </w:numPr>
              <w:spacing w:before="120" w:after="120"/>
              <w:ind w:left="447" w:hanging="447"/>
              <w:rPr>
                <w:rFonts w:cs="Arial"/>
                <w:lang w:val="en-US"/>
              </w:rPr>
            </w:pPr>
            <w:bookmarkStart w:id="443" w:name="_Toc501179071"/>
            <w:r w:rsidRPr="008A28BF">
              <w:rPr>
                <w:rFonts w:cs="Arial"/>
                <w:lang w:val="en-US"/>
              </w:rPr>
              <w:t>The terms written with capital letter used in this Bank Guarantee</w:t>
            </w:r>
            <w:r w:rsidR="00EC33E7" w:rsidRPr="008A28BF">
              <w:t xml:space="preserve"> </w:t>
            </w:r>
            <w:r w:rsidR="00EC33E7" w:rsidRPr="008A28BF">
              <w:rPr>
                <w:rFonts w:cs="Arial"/>
                <w:lang w:val="en-US"/>
              </w:rPr>
              <w:t>but not specifically defined otherwise have corresponding meanings as defined in the Cooperation Agreement</w:t>
            </w:r>
            <w:r w:rsidR="001A3250" w:rsidRPr="00AD000B">
              <w:rPr>
                <w:rFonts w:cs="Arial"/>
                <w:lang w:val="en-US"/>
              </w:rPr>
              <w:t xml:space="preserve">.  </w:t>
            </w:r>
            <w:r w:rsidRPr="008A28BF">
              <w:rPr>
                <w:rFonts w:cs="Arial"/>
                <w:lang w:val="en-US"/>
              </w:rPr>
              <w:t xml:space="preserve"> GCA in this matter, </w:t>
            </w:r>
            <w:r w:rsidR="00EC33E7" w:rsidRPr="008A28BF">
              <w:rPr>
                <w:rFonts w:cs="Arial"/>
                <w:lang w:val="en-US"/>
              </w:rPr>
              <w:t>s</w:t>
            </w:r>
            <w:r w:rsidR="001A3250" w:rsidRPr="008A28BF">
              <w:rPr>
                <w:rFonts w:cs="Arial"/>
                <w:lang w:val="en-US"/>
              </w:rPr>
              <w:t xml:space="preserve">ubject to the provisions governed other than this Bank Guarantee, GCA in this matter, is irrevocablely  and unconditionally authorized to make a withdrawal based on this Bank </w:t>
            </w:r>
            <w:r w:rsidR="001A3250" w:rsidRPr="00AD000B">
              <w:rPr>
                <w:rFonts w:cs="Arial"/>
                <w:lang w:val="en-US"/>
              </w:rPr>
              <w:t>Guarantee, by showing to the Issuer, at the address stated above, a payment request from GCA the principal forms are provided partially herein based on this Bank Guarantee. Each withdrawal will reduce the available amount for the withdrawal based on this Bank Guarantee. We will pay the withdrawal amounts based on Bank Guarantee from our general fund</w:t>
            </w:r>
            <w:r w:rsidRPr="00A67277">
              <w:rPr>
                <w:rFonts w:cs="Arial"/>
                <w:lang w:val="en-US"/>
              </w:rPr>
              <w:t>.</w:t>
            </w:r>
            <w:bookmarkEnd w:id="443"/>
          </w:p>
        </w:tc>
        <w:tc>
          <w:tcPr>
            <w:tcW w:w="270" w:type="dxa"/>
            <w:shd w:val="clear" w:color="auto" w:fill="auto"/>
          </w:tcPr>
          <w:p w14:paraId="1991906B"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05E2766" w14:textId="77777777" w:rsidR="00923319" w:rsidRPr="00A67277" w:rsidRDefault="00923319" w:rsidP="00923319">
            <w:pPr>
              <w:pStyle w:val="SchNumber3"/>
              <w:numPr>
                <w:ilvl w:val="0"/>
                <w:numId w:val="592"/>
              </w:numPr>
              <w:spacing w:before="120" w:after="120"/>
              <w:ind w:left="505" w:hanging="450"/>
              <w:rPr>
                <w:rFonts w:cs="Arial"/>
                <w:lang w:val="de-DE"/>
              </w:rPr>
            </w:pPr>
            <w:r w:rsidRPr="00A67277">
              <w:rPr>
                <w:rFonts w:cs="Arial"/>
                <w:lang w:val="en-US"/>
              </w:rPr>
              <w:t xml:space="preserve">Istilah-istilah dengan huruf kapital yang digunakan di dalam Bank Garansi ini, PJPK dengan ini secara tidak dapat ditarik kembali dan tanpa syarat berwenang untuk melakukan penarikan berdasarkan Bank Garansi ini, dengan menunjukan kepada Penerbit, pada alamatnya yang disebutkan di atas, suatu permintaan pembayaran dari PJPK yang bentuk pokoknya tercantum sebagian pada Bank Garansi ini. Setiap penarikan akan mengurangi jumlah yang tersedia untuk penarikan berdasarkan Bank Garansi ini. </w:t>
            </w:r>
            <w:r w:rsidRPr="00A67277">
              <w:rPr>
                <w:rFonts w:cs="Arial"/>
                <w:lang w:val="de-DE"/>
              </w:rPr>
              <w:t>Kami akan membayar jumlah yang ditarik berdasarkan Bank Garansi ini dari dana umum kami.</w:t>
            </w:r>
          </w:p>
        </w:tc>
      </w:tr>
      <w:tr w:rsidR="00A67277" w:rsidRPr="00A67277" w14:paraId="100083A3" w14:textId="77777777" w:rsidTr="00923319">
        <w:tc>
          <w:tcPr>
            <w:tcW w:w="4860" w:type="dxa"/>
            <w:gridSpan w:val="2"/>
            <w:shd w:val="clear" w:color="auto" w:fill="auto"/>
          </w:tcPr>
          <w:p w14:paraId="037C464A" w14:textId="7C797A14" w:rsidR="00923319" w:rsidRPr="00A67277" w:rsidRDefault="001A3250" w:rsidP="00923319">
            <w:pPr>
              <w:pStyle w:val="SchNumber3"/>
              <w:numPr>
                <w:ilvl w:val="4"/>
                <w:numId w:val="564"/>
              </w:numPr>
              <w:spacing w:before="120" w:after="120"/>
              <w:ind w:left="447" w:hanging="447"/>
              <w:rPr>
                <w:rFonts w:cs="Arial"/>
                <w:lang w:val="en-US"/>
              </w:rPr>
            </w:pPr>
            <w:bookmarkStart w:id="444" w:name="_Toc501179072"/>
            <w:r w:rsidRPr="001A3250">
              <w:rPr>
                <w:rFonts w:cs="Arial"/>
                <w:lang w:val="en-US"/>
              </w:rPr>
              <w:t>We hereby agreed to honor the withdrawal under this bank guarantees made in accordance with this Bank Guarantee, regardless of the presence of not of objections from IBE, by immediately transferring funds to the account designated in the amount specified in the payment request not more than seven (7) Business Days after the date of receipt of the payment request. As used here, the term (“Business Days”) means that any day other than (i) Saturday or Sunday or (ii) any day on which banking institutions in the Republic of Indonesia are authorized or required by Law to be closed.</w:t>
            </w:r>
            <w:bookmarkEnd w:id="444"/>
          </w:p>
        </w:tc>
        <w:tc>
          <w:tcPr>
            <w:tcW w:w="270" w:type="dxa"/>
            <w:shd w:val="clear" w:color="auto" w:fill="auto"/>
          </w:tcPr>
          <w:p w14:paraId="51A128EC"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EABCDBC"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Kami dengan ini setuju untuk menghormati penarikan berdasarkan Bank Garansi ini yang dilakukan sesuai dengan Bank Garansi ini, terlepas dari ada atau tidak adanya keberatan dari BUP, dengan segera mentransfer dana ke rekening yang ditunjuk dalam jumlah sebagaimana disebutkan dalam permintaan pembayaraan tidak lebih dari tujuh (7) Hari Kerja setelah tanggal diterimanya permintaan pembayaran tersebut. Sebagaimana digunakan di sini, istilah (“Hari Kerja”) berarti suatu hari selain dari (i) hari Sabtu atau Minggu atau (ii) hari di mana lembaga perbankan di Indonesia secara resmi atau diwajibkan oleh hukum untuk tutup.</w:t>
            </w:r>
          </w:p>
        </w:tc>
      </w:tr>
      <w:tr w:rsidR="00A67277" w:rsidRPr="00A67277" w14:paraId="2F788949" w14:textId="77777777" w:rsidTr="00923319">
        <w:tc>
          <w:tcPr>
            <w:tcW w:w="4860" w:type="dxa"/>
            <w:gridSpan w:val="2"/>
            <w:shd w:val="clear" w:color="auto" w:fill="auto"/>
          </w:tcPr>
          <w:p w14:paraId="7EC6ABA0" w14:textId="735EF22F" w:rsidR="00923319" w:rsidRPr="00A67277" w:rsidRDefault="005A3ADD" w:rsidP="00923319">
            <w:pPr>
              <w:pStyle w:val="SchNumber3"/>
              <w:numPr>
                <w:ilvl w:val="4"/>
                <w:numId w:val="564"/>
              </w:numPr>
              <w:spacing w:before="120" w:after="120"/>
              <w:ind w:left="447" w:hanging="447"/>
              <w:rPr>
                <w:rFonts w:cs="Arial"/>
                <w:lang w:val="en-US"/>
              </w:rPr>
            </w:pPr>
            <w:bookmarkStart w:id="445" w:name="_Toc501179073"/>
            <w:r w:rsidRPr="005A3ADD">
              <w:rPr>
                <w:rFonts w:cs="Arial"/>
                <w:lang w:val="en-US"/>
              </w:rPr>
              <w:t>If the payment request based on this Bank Guarantee is not, in any case, in accordance with the terms and conditions of the Bank Guarantee, we will give notice immediately (on the first Business Day upon the receive date of the payment request) to the GCA that states that the payment request is not in compliance with the terms and conditions of  the Bank Guarantee, by stating the reasons and upon further instruction we will return the request that does not comply with the terms and conditions of the Bank Guarantee to GCA. GCA is eligible to remedy the payment request and submit again the payment request in compliance with the terms and conditions.</w:t>
            </w:r>
            <w:bookmarkEnd w:id="445"/>
          </w:p>
        </w:tc>
        <w:tc>
          <w:tcPr>
            <w:tcW w:w="270" w:type="dxa"/>
            <w:shd w:val="clear" w:color="auto" w:fill="auto"/>
          </w:tcPr>
          <w:p w14:paraId="26B307CC"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3D3EDB86"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Apabila permintaan pembayaran berdasarkan Bank Garansi ini tidak, dalam setiap hal, sesuai dengan syarat dan ketentuan dari Bank Garansi ini, kami akan memberikan pemberitahuan segera (namun dalam Hari Kerja pertama setelah tanggal permintaan tersebut) kepada PJPK yang menyatakan bahwa permintaan pembayaran tidak dilakukans esuai dengan syarat dan ketentuan dalam Bank Garansi ini, dengan menyebutkan alasannya dan bahwa apabila diinstruksikan kami akan mengembalikan dokumen kepada PJPK. Setelah diberitahukan bahwa permintaan pembayaran tidak dilakukan sesuai dengan Bank Garansi ini, PJPK dapat memperbaiki permintaan yang tidak sesuai tersebut dan mengajukan kembali permintaan tersebut sesuai dengan syarat dan ketentuan Bank Garansi ini.</w:t>
            </w:r>
          </w:p>
        </w:tc>
      </w:tr>
      <w:tr w:rsidR="00A67277" w:rsidRPr="00A67277" w14:paraId="57F76049" w14:textId="77777777" w:rsidTr="00923319">
        <w:tc>
          <w:tcPr>
            <w:tcW w:w="4860" w:type="dxa"/>
            <w:gridSpan w:val="2"/>
            <w:shd w:val="clear" w:color="auto" w:fill="auto"/>
          </w:tcPr>
          <w:p w14:paraId="3E3774AF" w14:textId="38DBE45F" w:rsidR="00923319" w:rsidRPr="00A67277" w:rsidRDefault="005A3ADD" w:rsidP="00923319">
            <w:pPr>
              <w:pStyle w:val="SchNumber3"/>
              <w:numPr>
                <w:ilvl w:val="4"/>
                <w:numId w:val="564"/>
              </w:numPr>
              <w:spacing w:before="120" w:after="120"/>
              <w:ind w:left="447" w:hanging="447"/>
              <w:rPr>
                <w:rFonts w:cs="Arial"/>
                <w:lang w:val="en-US"/>
              </w:rPr>
            </w:pPr>
            <w:bookmarkStart w:id="446" w:name="_Toc501179074"/>
            <w:r w:rsidRPr="005A3ADD">
              <w:rPr>
                <w:rFonts w:cs="Arial"/>
                <w:lang w:val="en-US"/>
              </w:rPr>
              <w:t>The Bank Guarantee will expire when the either of the following things occur: (i) Effective Date or (ii) thirty (30) Days after Termination Date.</w:t>
            </w:r>
            <w:r w:rsidR="00923319" w:rsidRPr="00A67277">
              <w:rPr>
                <w:rFonts w:cs="Arial"/>
                <w:lang w:val="en-US"/>
              </w:rPr>
              <w:t>].</w:t>
            </w:r>
            <w:bookmarkEnd w:id="446"/>
          </w:p>
        </w:tc>
        <w:tc>
          <w:tcPr>
            <w:tcW w:w="270" w:type="dxa"/>
            <w:shd w:val="clear" w:color="auto" w:fill="auto"/>
          </w:tcPr>
          <w:p w14:paraId="70843C22"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1C03C709"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Bank Garansi ini akan berakhir masa berlakunya pada saat terjadinya hal berikut yang terjadi terlebih dahulu [(i) Tanggal Operasi Komersial atau (ii) tiga puluh (30) Hari setelah Tanggal Pengakhiran].</w:t>
            </w:r>
          </w:p>
        </w:tc>
      </w:tr>
      <w:tr w:rsidR="00A67277" w:rsidRPr="00A67277" w14:paraId="2890B2B3" w14:textId="77777777" w:rsidTr="00923319">
        <w:tc>
          <w:tcPr>
            <w:tcW w:w="4860" w:type="dxa"/>
            <w:gridSpan w:val="2"/>
            <w:shd w:val="clear" w:color="auto" w:fill="auto"/>
          </w:tcPr>
          <w:p w14:paraId="4835BD51" w14:textId="679A8A87" w:rsidR="00923319" w:rsidRPr="00A67277" w:rsidRDefault="005A3ADD" w:rsidP="00923319">
            <w:pPr>
              <w:pStyle w:val="SchNumber3"/>
              <w:numPr>
                <w:ilvl w:val="4"/>
                <w:numId w:val="564"/>
              </w:numPr>
              <w:spacing w:before="120" w:after="120"/>
              <w:ind w:left="447" w:hanging="447"/>
              <w:rPr>
                <w:rFonts w:cs="Arial"/>
                <w:lang w:val="en-US"/>
              </w:rPr>
            </w:pPr>
            <w:bookmarkStart w:id="447" w:name="_Toc501179075"/>
            <w:r w:rsidRPr="005A3ADD">
              <w:rPr>
                <w:rFonts w:cs="Arial"/>
              </w:rPr>
              <w:t>All the documents that are shown to us, the Issuer, in connection with every withdrawal under the Bank Guarantee, as well as all all other notices and communication to the Issuer in relation with Bank Guarantee, must be made in written form and be delivered and addressed to the Issuer’s address stated above. All the documents, notices and other communication can be delivered and addressed by courier to the Issuer at the address stated above (or to the other address as mentioned in written form to the GCA)</w:t>
            </w:r>
            <w:bookmarkEnd w:id="447"/>
          </w:p>
        </w:tc>
        <w:tc>
          <w:tcPr>
            <w:tcW w:w="270" w:type="dxa"/>
            <w:shd w:val="clear" w:color="auto" w:fill="auto"/>
          </w:tcPr>
          <w:p w14:paraId="50AC9C60"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8F7E173"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Seluruh dokumen yang ditunjukkan kepada kami, Penerbit sehubungan dengan setiap penarikan berdasarkan Bank Garansi ini, serta seluruh pemberitahuan dan komunikasi lainnya kepada Penerbit sehubungan dengan Bank Garansi ini, harus dibuat secara tertulis dan dikirimkan dan ditunjukkan kepada Penerbit pada alamatnya yang disebutkan di atas. Dokumen-dokumen, pemberitahuan-pemberitahuan, dan komunikasi-komunikasi tersebut harus menyebutkan rujukan secara spesifik kepada nomor Bank Garansi ini. Seluruh dokumen-dokumen, pemberitahuan-pemberitahuan, dan komunikasi-komunikasi dapat ditujukkan atau dikirimkan oleh kurir kepada Penerbit pada alamatnya yang disebutkan di atas (atau pada alamat lainnya sebagaimana disebutkan secara tertulis kepada PJPK).</w:t>
            </w:r>
          </w:p>
        </w:tc>
      </w:tr>
      <w:tr w:rsidR="00A67277" w:rsidRPr="00A67277" w14:paraId="6E67707F" w14:textId="77777777" w:rsidTr="00923319">
        <w:tc>
          <w:tcPr>
            <w:tcW w:w="4860" w:type="dxa"/>
            <w:gridSpan w:val="2"/>
            <w:shd w:val="clear" w:color="auto" w:fill="auto"/>
          </w:tcPr>
          <w:p w14:paraId="5224402A" w14:textId="292F4975" w:rsidR="00923319" w:rsidRPr="00A67277" w:rsidRDefault="005A3ADD" w:rsidP="00923319">
            <w:pPr>
              <w:pStyle w:val="SchNumber3"/>
              <w:numPr>
                <w:ilvl w:val="4"/>
                <w:numId w:val="564"/>
              </w:numPr>
              <w:spacing w:before="120" w:after="120"/>
              <w:ind w:left="447" w:hanging="447"/>
              <w:rPr>
                <w:rFonts w:cs="Arial"/>
              </w:rPr>
            </w:pPr>
            <w:bookmarkStart w:id="448" w:name="_Toc501179076"/>
            <w:r w:rsidRPr="005A3ADD">
              <w:rPr>
                <w:rFonts w:cs="Arial"/>
              </w:rPr>
              <w:t>The Bank Guarantee regulates our covenants and agreements with the GCA and such covenants and agreements cannot be modified in any way, changed, strengthened, or restricted with referrence to documents, instruments or other agreements intended in the Bank Guarantee.</w:t>
            </w:r>
            <w:bookmarkEnd w:id="448"/>
          </w:p>
        </w:tc>
        <w:tc>
          <w:tcPr>
            <w:tcW w:w="270" w:type="dxa"/>
            <w:shd w:val="clear" w:color="auto" w:fill="auto"/>
          </w:tcPr>
          <w:p w14:paraId="53BE5B81"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48C9524F"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Bank Garansi ini mengatur janji dan kesepakatan kami dengan PJPK dan janji serta kesempatan tersebut tidak dapat dalam cara apapun dimodifikasi, diubah, diperkuat, atau dibatasi dengan rujukan kepada dokumen, instrument, atau perjanjian lain yang dimaksudkan dalam Bank Garansi ini.</w:t>
            </w:r>
          </w:p>
        </w:tc>
      </w:tr>
      <w:tr w:rsidR="00A67277" w:rsidRPr="00A67277" w14:paraId="732C23EA" w14:textId="77777777" w:rsidTr="00923319">
        <w:tc>
          <w:tcPr>
            <w:tcW w:w="4860" w:type="dxa"/>
            <w:gridSpan w:val="2"/>
            <w:shd w:val="clear" w:color="auto" w:fill="auto"/>
          </w:tcPr>
          <w:p w14:paraId="1153A323" w14:textId="7F8D525A" w:rsidR="00923319" w:rsidRPr="00A67277" w:rsidRDefault="005A3ADD" w:rsidP="00923319">
            <w:pPr>
              <w:pStyle w:val="SchNumber3"/>
              <w:numPr>
                <w:ilvl w:val="4"/>
                <w:numId w:val="564"/>
              </w:numPr>
              <w:spacing w:before="120" w:after="120"/>
              <w:ind w:left="447" w:hanging="447"/>
              <w:rPr>
                <w:rFonts w:cs="Arial"/>
                <w:lang w:val="en-US"/>
              </w:rPr>
            </w:pPr>
            <w:bookmarkStart w:id="449" w:name="_Toc501179077"/>
            <w:r w:rsidRPr="005A3ADD">
              <w:rPr>
                <w:rFonts w:cs="Arial"/>
              </w:rPr>
              <w:t>The Bank Guarantee must be regulated under Indonesian Law. The parties to this Bank Guarantee are subject to non-exclusive jurisdiction from Indonesian court.</w:t>
            </w:r>
            <w:bookmarkEnd w:id="449"/>
          </w:p>
        </w:tc>
        <w:tc>
          <w:tcPr>
            <w:tcW w:w="270" w:type="dxa"/>
            <w:shd w:val="clear" w:color="auto" w:fill="auto"/>
          </w:tcPr>
          <w:p w14:paraId="50A637E0"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13BA7521" w14:textId="77777777" w:rsidR="00923319" w:rsidRPr="00A67277" w:rsidRDefault="00923319" w:rsidP="00923319">
            <w:pPr>
              <w:pStyle w:val="SchNumber3"/>
              <w:numPr>
                <w:ilvl w:val="0"/>
                <w:numId w:val="592"/>
              </w:numPr>
              <w:spacing w:before="120" w:after="120"/>
              <w:ind w:left="505" w:hanging="450"/>
              <w:rPr>
                <w:rFonts w:cs="Arial"/>
                <w:lang w:val="de-DE"/>
              </w:rPr>
            </w:pPr>
            <w:r w:rsidRPr="00A67277">
              <w:rPr>
                <w:rFonts w:cs="Arial"/>
                <w:lang w:val="de-DE"/>
              </w:rPr>
              <w:t>Bank Garansi ini harus diatur berdasarkan hukum Republik Indonesia. Para pihak dalam Bank Garansi ini menundukkan diri pada yurisdiksi non-eksklusif dari pengadilan Republik Indonesia.</w:t>
            </w:r>
          </w:p>
        </w:tc>
      </w:tr>
      <w:tr w:rsidR="00A67277" w:rsidRPr="00A67277" w14:paraId="3BDFDC2D" w14:textId="77777777" w:rsidTr="00923319">
        <w:tc>
          <w:tcPr>
            <w:tcW w:w="4860" w:type="dxa"/>
            <w:gridSpan w:val="2"/>
            <w:shd w:val="clear" w:color="auto" w:fill="auto"/>
          </w:tcPr>
          <w:p w14:paraId="7F6AB94C" w14:textId="491F9748" w:rsidR="00923319" w:rsidRPr="00A67277" w:rsidRDefault="00EC33E7" w:rsidP="00923319">
            <w:pPr>
              <w:pStyle w:val="SchNumber3"/>
              <w:numPr>
                <w:ilvl w:val="4"/>
                <w:numId w:val="564"/>
              </w:numPr>
              <w:spacing w:before="120" w:after="120"/>
              <w:ind w:left="447" w:hanging="447"/>
              <w:rPr>
                <w:rFonts w:cs="Arial"/>
                <w:lang w:val="en-US"/>
              </w:rPr>
            </w:pPr>
            <w:bookmarkStart w:id="450" w:name="_Toc501179078"/>
            <w:r w:rsidRPr="00EC33E7">
              <w:rPr>
                <w:rFonts w:cs="Arial"/>
                <w:lang w:val="en-US"/>
              </w:rPr>
              <w:t>The Issuer hereby unconditionally and irrevocably waives any rights, privileges and any exceptions given to the Issuer acting as guarantors in accordance with Article 1430, 1831, 1833, 1837, 1838, 1843, Indonesian Civil Code and will not be affected by any amendments of the Agreement, extension of implementation period, the transfer of ownership or any other collateral, or the waiver given by GCA to IBE upon the implementation of its obligations</w:t>
            </w:r>
            <w:bookmarkEnd w:id="450"/>
          </w:p>
        </w:tc>
        <w:tc>
          <w:tcPr>
            <w:tcW w:w="270" w:type="dxa"/>
            <w:shd w:val="clear" w:color="auto" w:fill="auto"/>
          </w:tcPr>
          <w:p w14:paraId="3C538B07"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6C094D1A" w14:textId="77777777" w:rsidR="00923319" w:rsidRPr="00A67277" w:rsidRDefault="00923319" w:rsidP="00923319">
            <w:pPr>
              <w:pStyle w:val="SchNumber3"/>
              <w:numPr>
                <w:ilvl w:val="0"/>
                <w:numId w:val="592"/>
              </w:numPr>
              <w:spacing w:before="120" w:after="120"/>
              <w:ind w:left="505" w:hanging="450"/>
              <w:rPr>
                <w:rFonts w:cs="Arial"/>
              </w:rPr>
            </w:pPr>
            <w:r w:rsidRPr="00A67277">
              <w:rPr>
                <w:rFonts w:cs="Arial"/>
                <w:lang w:val="en-US"/>
              </w:rPr>
              <w:t>Penerbit dengan ini tanpa syarat dan tanpa dapat ditarik kembali mengesampingkan semua hak, hak istimewa dan pengecualian yang diberikan kepada Penerbit selaku penjamin berdasarkan Pasal 1430, 1831, 1833, 1837, 1838, 1843, Kitab Undang-Undang Hukum Perdata Indonesia dan tidak akan dipengaruhi oleh perubahan apapun terhadap Perjanjian, perpanjangan waktu pelaksanaan, pelepasan kepemilikkan atau jaminan lainnya, atau pengesampingan yang diberikan oleh PJPK kepada BUP untuk pelaksanaan kewajibannya.</w:t>
            </w:r>
          </w:p>
        </w:tc>
      </w:tr>
      <w:tr w:rsidR="00A67277" w:rsidRPr="00A67277" w14:paraId="784ABB72" w14:textId="77777777" w:rsidTr="00923319">
        <w:tc>
          <w:tcPr>
            <w:tcW w:w="4860" w:type="dxa"/>
            <w:gridSpan w:val="2"/>
            <w:shd w:val="clear" w:color="auto" w:fill="auto"/>
          </w:tcPr>
          <w:p w14:paraId="160E7C66" w14:textId="77777777" w:rsidR="00923319" w:rsidRPr="00A67277" w:rsidRDefault="00923319" w:rsidP="00923319">
            <w:pPr>
              <w:pStyle w:val="Body2"/>
              <w:spacing w:before="120" w:after="120"/>
              <w:ind w:left="0"/>
              <w:rPr>
                <w:rFonts w:cs="Arial"/>
              </w:rPr>
            </w:pPr>
            <w:r w:rsidRPr="00A67277">
              <w:rPr>
                <w:rFonts w:cs="Arial"/>
                <w:lang w:val="en-US"/>
              </w:rPr>
              <w:t>Jakarta, [***]</w:t>
            </w:r>
          </w:p>
        </w:tc>
        <w:tc>
          <w:tcPr>
            <w:tcW w:w="270" w:type="dxa"/>
            <w:shd w:val="clear" w:color="auto" w:fill="auto"/>
          </w:tcPr>
          <w:p w14:paraId="44C7048F"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2206C1EF"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Jakarta, [***]</w:t>
            </w:r>
          </w:p>
        </w:tc>
      </w:tr>
      <w:tr w:rsidR="00A67277" w:rsidRPr="00A67277" w14:paraId="5BD3FF3B" w14:textId="77777777" w:rsidTr="00923319">
        <w:tc>
          <w:tcPr>
            <w:tcW w:w="4860" w:type="dxa"/>
            <w:gridSpan w:val="2"/>
            <w:shd w:val="clear" w:color="auto" w:fill="auto"/>
          </w:tcPr>
          <w:p w14:paraId="66060B82" w14:textId="77777777" w:rsidR="00923319" w:rsidRPr="00A67277" w:rsidRDefault="00923319" w:rsidP="00923319">
            <w:pPr>
              <w:pStyle w:val="Body1"/>
              <w:spacing w:before="120" w:after="120"/>
              <w:rPr>
                <w:rFonts w:cs="Arial"/>
                <w:b/>
              </w:rPr>
            </w:pPr>
            <w:r w:rsidRPr="00A67277">
              <w:rPr>
                <w:rFonts w:cs="Arial"/>
                <w:lang w:val="en-US"/>
              </w:rPr>
              <w:t>[Name of Issuer]</w:t>
            </w:r>
          </w:p>
        </w:tc>
        <w:tc>
          <w:tcPr>
            <w:tcW w:w="270" w:type="dxa"/>
            <w:shd w:val="clear" w:color="auto" w:fill="auto"/>
          </w:tcPr>
          <w:p w14:paraId="10F46740" w14:textId="77777777" w:rsidR="00923319" w:rsidRPr="00A67277" w:rsidRDefault="00923319" w:rsidP="00923319">
            <w:pPr>
              <w:spacing w:before="120" w:after="120"/>
              <w:jc w:val="both"/>
              <w:rPr>
                <w:rFonts w:ascii="Arial" w:hAnsi="Arial" w:cs="Arial"/>
                <w:sz w:val="21"/>
                <w:szCs w:val="21"/>
              </w:rPr>
            </w:pPr>
          </w:p>
        </w:tc>
        <w:tc>
          <w:tcPr>
            <w:tcW w:w="4567" w:type="dxa"/>
            <w:gridSpan w:val="2"/>
            <w:shd w:val="clear" w:color="auto" w:fill="auto"/>
          </w:tcPr>
          <w:p w14:paraId="0B29C0BE"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sz w:val="21"/>
                <w:szCs w:val="21"/>
              </w:rPr>
              <w:t>[Nama Penerbit]</w:t>
            </w:r>
          </w:p>
        </w:tc>
      </w:tr>
    </w:tbl>
    <w:p w14:paraId="6EF35BD6" w14:textId="77777777" w:rsidR="00923319" w:rsidRPr="00A67277" w:rsidRDefault="00923319" w:rsidP="00923319">
      <w:pPr>
        <w:rPr>
          <w:rFonts w:ascii="Arial" w:hAnsi="Arial" w:cs="Arial"/>
          <w:sz w:val="21"/>
          <w:szCs w:val="21"/>
        </w:rPr>
      </w:pPr>
    </w:p>
    <w:tbl>
      <w:tblPr>
        <w:tblStyle w:val="TableGrid"/>
        <w:tblW w:w="9697"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6"/>
        <w:gridCol w:w="243"/>
        <w:gridCol w:w="4568"/>
      </w:tblGrid>
      <w:tr w:rsidR="00A67277" w:rsidRPr="00A67277" w14:paraId="67BD178F" w14:textId="77777777" w:rsidTr="00923319">
        <w:tc>
          <w:tcPr>
            <w:tcW w:w="4886" w:type="dxa"/>
          </w:tcPr>
          <w:p w14:paraId="581B2CDE" w14:textId="552375DD" w:rsidR="00923319" w:rsidRPr="00A67277" w:rsidRDefault="00923319" w:rsidP="00E030C4">
            <w:pPr>
              <w:pStyle w:val="SchTitle"/>
              <w:numPr>
                <w:ilvl w:val="0"/>
                <w:numId w:val="564"/>
              </w:numPr>
              <w:rPr>
                <w:rFonts w:cs="Arial"/>
                <w:sz w:val="21"/>
                <w:lang w:val="fr-FR"/>
              </w:rPr>
            </w:pPr>
            <w:r w:rsidRPr="00A67277">
              <w:rPr>
                <w:rFonts w:cs="Arial"/>
                <w:sz w:val="21"/>
              </w:rPr>
              <w:br w:type="page"/>
            </w:r>
            <w:r w:rsidRPr="00A67277">
              <w:rPr>
                <w:rFonts w:cs="Arial"/>
                <w:sz w:val="21"/>
                <w:lang w:val="fr-FR"/>
              </w:rPr>
              <w:t xml:space="preserve">Appendix </w:t>
            </w:r>
            <w:r w:rsidR="00E030C4" w:rsidRPr="00A67277">
              <w:rPr>
                <w:rFonts w:cs="Arial"/>
                <w:sz w:val="21"/>
                <w:lang w:val="fr-FR"/>
              </w:rPr>
              <w:t xml:space="preserve">19  </w:t>
            </w:r>
            <w:r w:rsidRPr="00A67277">
              <w:rPr>
                <w:rFonts w:cs="Arial"/>
                <w:sz w:val="21"/>
                <w:lang w:val="fr-FR"/>
              </w:rPr>
              <w:t>– Format GCA’s Consent Letter</w:t>
            </w:r>
          </w:p>
        </w:tc>
        <w:tc>
          <w:tcPr>
            <w:tcW w:w="243" w:type="dxa"/>
          </w:tcPr>
          <w:p w14:paraId="25951552" w14:textId="77777777" w:rsidR="00923319" w:rsidRPr="00A67277" w:rsidRDefault="00923319" w:rsidP="00923319">
            <w:pPr>
              <w:spacing w:before="120" w:after="120"/>
              <w:rPr>
                <w:rFonts w:ascii="Arial" w:hAnsi="Arial" w:cs="Arial"/>
                <w:sz w:val="21"/>
                <w:szCs w:val="21"/>
                <w:lang w:val="fr-FR"/>
              </w:rPr>
            </w:pPr>
          </w:p>
        </w:tc>
        <w:tc>
          <w:tcPr>
            <w:tcW w:w="4568" w:type="dxa"/>
          </w:tcPr>
          <w:p w14:paraId="635FA801" w14:textId="07A12C03" w:rsidR="00923319" w:rsidRPr="00A67277" w:rsidRDefault="00923319" w:rsidP="00E030C4">
            <w:pPr>
              <w:pStyle w:val="SchTitle"/>
              <w:numPr>
                <w:ilvl w:val="0"/>
                <w:numId w:val="564"/>
              </w:numPr>
              <w:rPr>
                <w:rFonts w:cs="Arial"/>
                <w:sz w:val="21"/>
                <w:lang w:val="en-US"/>
              </w:rPr>
            </w:pPr>
            <w:r w:rsidRPr="00A67277">
              <w:rPr>
                <w:rFonts w:cs="Arial"/>
                <w:sz w:val="21"/>
                <w:lang w:val="en-US"/>
              </w:rPr>
              <w:t xml:space="preserve">Lampiran </w:t>
            </w:r>
            <w:r w:rsidR="00E030C4" w:rsidRPr="00A67277">
              <w:rPr>
                <w:rFonts w:cs="Arial"/>
                <w:sz w:val="21"/>
                <w:lang w:val="en-US"/>
              </w:rPr>
              <w:t xml:space="preserve">19  </w:t>
            </w:r>
            <w:r w:rsidRPr="00A67277">
              <w:rPr>
                <w:rFonts w:cs="Arial"/>
                <w:sz w:val="21"/>
                <w:lang w:val="en-US"/>
              </w:rPr>
              <w:t>– Bentuk Surat Persetujuan PJPK</w:t>
            </w:r>
          </w:p>
        </w:tc>
      </w:tr>
      <w:tr w:rsidR="00A67277" w:rsidRPr="00A67277" w14:paraId="2F4163CC" w14:textId="77777777" w:rsidTr="00923319">
        <w:tc>
          <w:tcPr>
            <w:tcW w:w="4886" w:type="dxa"/>
          </w:tcPr>
          <w:p w14:paraId="5C3DCA0D" w14:textId="77777777" w:rsidR="00923319" w:rsidRPr="00A67277" w:rsidRDefault="00923319" w:rsidP="00923319">
            <w:pPr>
              <w:pStyle w:val="Body1"/>
              <w:spacing w:before="120" w:after="120"/>
              <w:jc w:val="center"/>
              <w:rPr>
                <w:rFonts w:cs="Arial"/>
              </w:rPr>
            </w:pPr>
          </w:p>
        </w:tc>
        <w:tc>
          <w:tcPr>
            <w:tcW w:w="243" w:type="dxa"/>
          </w:tcPr>
          <w:p w14:paraId="497D2D4A" w14:textId="77777777" w:rsidR="00923319" w:rsidRPr="00A67277" w:rsidDel="00290449" w:rsidRDefault="00923319" w:rsidP="00923319">
            <w:pPr>
              <w:pStyle w:val="Body1"/>
              <w:spacing w:before="120" w:after="120"/>
              <w:rPr>
                <w:rFonts w:cs="Arial"/>
              </w:rPr>
            </w:pPr>
          </w:p>
        </w:tc>
        <w:tc>
          <w:tcPr>
            <w:tcW w:w="4568" w:type="dxa"/>
          </w:tcPr>
          <w:p w14:paraId="623F3E2E" w14:textId="77777777" w:rsidR="00923319" w:rsidRPr="00A67277" w:rsidRDefault="00923319" w:rsidP="00923319">
            <w:pPr>
              <w:pStyle w:val="Body1"/>
              <w:spacing w:before="120" w:after="120"/>
              <w:jc w:val="center"/>
              <w:rPr>
                <w:rFonts w:cs="Arial"/>
              </w:rPr>
            </w:pPr>
          </w:p>
        </w:tc>
      </w:tr>
      <w:tr w:rsidR="00A67277" w:rsidRPr="00A67277" w14:paraId="3F5E394C" w14:textId="77777777" w:rsidTr="00923319">
        <w:tc>
          <w:tcPr>
            <w:tcW w:w="4886" w:type="dxa"/>
          </w:tcPr>
          <w:p w14:paraId="7A9E50F6" w14:textId="77777777" w:rsidR="00923319" w:rsidRPr="00A67277" w:rsidRDefault="00923319" w:rsidP="00923319">
            <w:pPr>
              <w:pStyle w:val="Body1"/>
              <w:spacing w:before="120" w:after="120"/>
              <w:jc w:val="center"/>
              <w:rPr>
                <w:rFonts w:cs="Arial"/>
              </w:rPr>
            </w:pPr>
            <w:r w:rsidRPr="00A67277">
              <w:rPr>
                <w:rFonts w:cs="Arial"/>
              </w:rPr>
              <w:t>[</w:t>
            </w:r>
            <w:r w:rsidRPr="00A67277">
              <w:rPr>
                <w:rFonts w:cs="Arial"/>
                <w:i/>
              </w:rPr>
              <w:t>Letter head of IBE</w:t>
            </w:r>
            <w:r w:rsidRPr="00A67277">
              <w:rPr>
                <w:rFonts w:cs="Arial"/>
              </w:rPr>
              <w:t>]</w:t>
            </w:r>
          </w:p>
          <w:p w14:paraId="2694F4FD" w14:textId="77777777" w:rsidR="00923319" w:rsidRPr="00A67277" w:rsidRDefault="00923319" w:rsidP="00923319">
            <w:pPr>
              <w:pStyle w:val="Body1"/>
              <w:spacing w:before="120" w:after="120"/>
              <w:rPr>
                <w:rFonts w:cs="Arial"/>
              </w:rPr>
            </w:pPr>
            <w:r w:rsidRPr="00A67277">
              <w:rPr>
                <w:rFonts w:cs="Arial"/>
              </w:rPr>
              <w:t>[Date]</w:t>
            </w:r>
          </w:p>
          <w:p w14:paraId="3B875F0F" w14:textId="77777777" w:rsidR="00923319" w:rsidRPr="00A67277" w:rsidRDefault="00923319" w:rsidP="00923319">
            <w:pPr>
              <w:pStyle w:val="Body1"/>
              <w:spacing w:before="120" w:after="120"/>
              <w:rPr>
                <w:rFonts w:cs="Arial"/>
              </w:rPr>
            </w:pPr>
            <w:r w:rsidRPr="00A67277">
              <w:rPr>
                <w:rFonts w:cs="Arial"/>
              </w:rPr>
              <w:t>To:</w:t>
            </w:r>
          </w:p>
          <w:p w14:paraId="5356916C" w14:textId="77777777" w:rsidR="00923319" w:rsidRPr="00A67277" w:rsidRDefault="00923319" w:rsidP="00923319">
            <w:pPr>
              <w:pStyle w:val="Body1"/>
              <w:spacing w:before="120" w:after="120"/>
              <w:rPr>
                <w:rFonts w:cs="Arial"/>
              </w:rPr>
            </w:pPr>
            <w:r w:rsidRPr="00A67277">
              <w:rPr>
                <w:rFonts w:cs="Arial"/>
              </w:rPr>
              <w:t>[Name of GCA]</w:t>
            </w:r>
          </w:p>
          <w:p w14:paraId="3B15C74F" w14:textId="77777777" w:rsidR="00923319" w:rsidRPr="00A67277" w:rsidRDefault="00923319" w:rsidP="00923319">
            <w:pPr>
              <w:pStyle w:val="Body1"/>
              <w:spacing w:before="120" w:after="120"/>
              <w:rPr>
                <w:rFonts w:cs="Arial"/>
              </w:rPr>
            </w:pPr>
            <w:r w:rsidRPr="00A67277">
              <w:rPr>
                <w:rFonts w:cs="Arial"/>
              </w:rPr>
              <w:t>[Address]</w:t>
            </w:r>
          </w:p>
          <w:p w14:paraId="4D8BEAD4" w14:textId="77777777" w:rsidR="00923319" w:rsidRPr="00A67277" w:rsidRDefault="00923319" w:rsidP="00923319">
            <w:pPr>
              <w:pStyle w:val="Body1"/>
              <w:spacing w:before="120" w:after="120"/>
              <w:rPr>
                <w:rFonts w:cs="Arial"/>
              </w:rPr>
            </w:pPr>
            <w:r w:rsidRPr="00A67277">
              <w:rPr>
                <w:rFonts w:cs="Arial"/>
                <w:b/>
              </w:rPr>
              <w:t>Re: GCA Consent Letter – [Name of the Project]</w:t>
            </w:r>
          </w:p>
        </w:tc>
        <w:tc>
          <w:tcPr>
            <w:tcW w:w="243" w:type="dxa"/>
          </w:tcPr>
          <w:p w14:paraId="0BBCABA6" w14:textId="77777777" w:rsidR="00923319" w:rsidRPr="00A67277" w:rsidDel="00290449" w:rsidRDefault="00923319" w:rsidP="00923319">
            <w:pPr>
              <w:pStyle w:val="Body1"/>
              <w:spacing w:before="120" w:after="120"/>
              <w:rPr>
                <w:rFonts w:cs="Arial"/>
              </w:rPr>
            </w:pPr>
          </w:p>
        </w:tc>
        <w:tc>
          <w:tcPr>
            <w:tcW w:w="4568" w:type="dxa"/>
          </w:tcPr>
          <w:p w14:paraId="6011B09B" w14:textId="77777777" w:rsidR="00923319" w:rsidRPr="00A67277" w:rsidRDefault="00923319" w:rsidP="00923319">
            <w:pPr>
              <w:pStyle w:val="Body1"/>
              <w:spacing w:before="120" w:after="120"/>
              <w:jc w:val="center"/>
              <w:rPr>
                <w:rFonts w:cs="Arial"/>
              </w:rPr>
            </w:pPr>
            <w:r w:rsidRPr="00A67277">
              <w:rPr>
                <w:rFonts w:cs="Arial"/>
              </w:rPr>
              <w:t>[Kepala Surat BUP]</w:t>
            </w:r>
          </w:p>
          <w:p w14:paraId="21B11815" w14:textId="77777777" w:rsidR="00923319" w:rsidRPr="00A67277" w:rsidRDefault="00923319" w:rsidP="00923319">
            <w:pPr>
              <w:pStyle w:val="SchNumber3"/>
              <w:numPr>
                <w:ilvl w:val="0"/>
                <w:numId w:val="0"/>
              </w:numPr>
              <w:spacing w:before="120" w:after="120"/>
              <w:ind w:left="73"/>
              <w:rPr>
                <w:rFonts w:cs="Arial"/>
              </w:rPr>
            </w:pPr>
            <w:r w:rsidRPr="00A67277">
              <w:rPr>
                <w:rFonts w:cs="Arial"/>
              </w:rPr>
              <w:t>[Tanggal]</w:t>
            </w:r>
          </w:p>
          <w:p w14:paraId="21F59514" w14:textId="77777777" w:rsidR="00923319" w:rsidRPr="00A67277" w:rsidRDefault="00923319" w:rsidP="00923319">
            <w:pPr>
              <w:pStyle w:val="SchNumber3"/>
              <w:numPr>
                <w:ilvl w:val="0"/>
                <w:numId w:val="0"/>
              </w:numPr>
              <w:spacing w:before="120" w:after="120"/>
              <w:ind w:left="73"/>
              <w:rPr>
                <w:rFonts w:cs="Arial"/>
              </w:rPr>
            </w:pPr>
            <w:r w:rsidRPr="00A67277">
              <w:rPr>
                <w:rFonts w:cs="Arial"/>
              </w:rPr>
              <w:t>Kepada:</w:t>
            </w:r>
          </w:p>
          <w:p w14:paraId="6564E3A0" w14:textId="77777777" w:rsidR="00923319" w:rsidRPr="00A67277" w:rsidRDefault="00923319" w:rsidP="00923319">
            <w:pPr>
              <w:pStyle w:val="SchNumber3"/>
              <w:numPr>
                <w:ilvl w:val="0"/>
                <w:numId w:val="0"/>
              </w:numPr>
              <w:spacing w:before="120" w:after="120"/>
              <w:ind w:left="73"/>
              <w:rPr>
                <w:rFonts w:cs="Arial"/>
              </w:rPr>
            </w:pPr>
            <w:r w:rsidRPr="00A67277">
              <w:rPr>
                <w:rFonts w:cs="Arial"/>
              </w:rPr>
              <w:t>[Nama PJPK]:</w:t>
            </w:r>
          </w:p>
          <w:p w14:paraId="6A7D5647" w14:textId="77777777" w:rsidR="00923319" w:rsidRPr="00A67277" w:rsidRDefault="00923319" w:rsidP="00923319">
            <w:pPr>
              <w:pStyle w:val="SchNumber3"/>
              <w:numPr>
                <w:ilvl w:val="0"/>
                <w:numId w:val="0"/>
              </w:numPr>
              <w:spacing w:before="120" w:after="120"/>
              <w:ind w:left="73"/>
              <w:rPr>
                <w:rFonts w:cs="Arial"/>
              </w:rPr>
            </w:pPr>
            <w:r w:rsidRPr="00A67277">
              <w:rPr>
                <w:rFonts w:cs="Arial"/>
              </w:rPr>
              <w:t>[Alamat]:</w:t>
            </w:r>
          </w:p>
          <w:p w14:paraId="6563C3DF" w14:textId="77777777" w:rsidR="00923319" w:rsidRPr="00A67277" w:rsidRDefault="00923319" w:rsidP="00923319">
            <w:pPr>
              <w:pStyle w:val="SchNumber3"/>
              <w:numPr>
                <w:ilvl w:val="0"/>
                <w:numId w:val="0"/>
              </w:numPr>
              <w:spacing w:before="120" w:after="120"/>
              <w:ind w:left="73"/>
              <w:rPr>
                <w:rFonts w:cs="Arial"/>
                <w:lang w:val="id-ID"/>
              </w:rPr>
            </w:pPr>
            <w:r w:rsidRPr="00A67277">
              <w:rPr>
                <w:rFonts w:cs="Arial"/>
                <w:b/>
              </w:rPr>
              <w:t>Hal: Surat Persetujuan PJPK – [Nama Proyek]</w:t>
            </w:r>
          </w:p>
        </w:tc>
      </w:tr>
      <w:tr w:rsidR="00A67277" w:rsidRPr="00A67277" w14:paraId="3E8861B1" w14:textId="77777777" w:rsidTr="00923319">
        <w:tc>
          <w:tcPr>
            <w:tcW w:w="4886" w:type="dxa"/>
          </w:tcPr>
          <w:p w14:paraId="1CC8F90B" w14:textId="77777777" w:rsidR="00923319" w:rsidRPr="00A67277" w:rsidRDefault="00923319" w:rsidP="00923319">
            <w:pPr>
              <w:pStyle w:val="Body1"/>
              <w:spacing w:before="120" w:after="120"/>
              <w:rPr>
                <w:rFonts w:cs="Arial"/>
              </w:rPr>
            </w:pPr>
            <w:r w:rsidRPr="00A67277">
              <w:rPr>
                <w:rFonts w:cs="Arial"/>
              </w:rPr>
              <w:t>Dear Sirs,</w:t>
            </w:r>
          </w:p>
        </w:tc>
        <w:tc>
          <w:tcPr>
            <w:tcW w:w="243" w:type="dxa"/>
          </w:tcPr>
          <w:p w14:paraId="6506EC11" w14:textId="77777777" w:rsidR="00923319" w:rsidRPr="00A67277" w:rsidRDefault="00923319" w:rsidP="00923319">
            <w:pPr>
              <w:spacing w:before="120" w:after="120"/>
              <w:rPr>
                <w:rFonts w:ascii="Arial" w:hAnsi="Arial" w:cs="Arial"/>
                <w:sz w:val="21"/>
                <w:szCs w:val="21"/>
              </w:rPr>
            </w:pPr>
          </w:p>
        </w:tc>
        <w:tc>
          <w:tcPr>
            <w:tcW w:w="4568" w:type="dxa"/>
          </w:tcPr>
          <w:p w14:paraId="559B368B" w14:textId="77777777" w:rsidR="00923319" w:rsidRPr="00A67277" w:rsidRDefault="00923319" w:rsidP="00923319">
            <w:pPr>
              <w:pStyle w:val="SchNumber3"/>
              <w:numPr>
                <w:ilvl w:val="0"/>
                <w:numId w:val="0"/>
              </w:numPr>
              <w:spacing w:before="120" w:after="120"/>
              <w:rPr>
                <w:rFonts w:cs="Arial"/>
                <w:lang w:val="en-US"/>
              </w:rPr>
            </w:pPr>
            <w:r w:rsidRPr="00A67277">
              <w:rPr>
                <w:rFonts w:cs="Arial"/>
                <w:lang w:val="en-US"/>
              </w:rPr>
              <w:t>Dengan Hormat,</w:t>
            </w:r>
          </w:p>
        </w:tc>
      </w:tr>
      <w:tr w:rsidR="00A67277" w:rsidRPr="00A67277" w14:paraId="2B20FF26" w14:textId="77777777" w:rsidTr="00923319">
        <w:tc>
          <w:tcPr>
            <w:tcW w:w="4886" w:type="dxa"/>
          </w:tcPr>
          <w:p w14:paraId="11188C0F" w14:textId="77777777" w:rsidR="00923319" w:rsidRPr="00A67277" w:rsidRDefault="00923319" w:rsidP="00923319">
            <w:pPr>
              <w:pStyle w:val="Body1"/>
              <w:spacing w:before="120" w:after="120"/>
              <w:rPr>
                <w:rFonts w:cs="Arial"/>
              </w:rPr>
            </w:pPr>
            <w:r w:rsidRPr="00A67277">
              <w:rPr>
                <w:rFonts w:cs="Arial"/>
              </w:rPr>
              <w:t xml:space="preserve">Reference is made to the Cooperation Agreement dated as of [●] (as amended, restated, amended and restated, or supplemented or otherwise modified from time to time, including any replacement therefor) (the </w:t>
            </w:r>
            <w:r w:rsidRPr="00A67277">
              <w:rPr>
                <w:rFonts w:cs="Arial"/>
                <w:b/>
              </w:rPr>
              <w:t>Cooperation Agreement</w:t>
            </w:r>
            <w:r w:rsidRPr="00A67277">
              <w:rPr>
                <w:rFonts w:cs="Arial"/>
              </w:rPr>
              <w:t>) by and between [**</w:t>
            </w:r>
            <w:r w:rsidRPr="00A67277">
              <w:rPr>
                <w:rFonts w:cs="Arial"/>
                <w:b/>
                <w:i/>
              </w:rPr>
              <w:t>insert name of IBE</w:t>
            </w:r>
            <w:r w:rsidRPr="00A67277">
              <w:rPr>
                <w:rFonts w:cs="Arial"/>
              </w:rPr>
              <w:t xml:space="preserve">**] (the </w:t>
            </w:r>
            <w:r w:rsidRPr="00A67277">
              <w:rPr>
                <w:rFonts w:cs="Arial"/>
                <w:b/>
              </w:rPr>
              <w:t>IBE</w:t>
            </w:r>
            <w:r w:rsidRPr="00A67277">
              <w:rPr>
                <w:rFonts w:cs="Arial"/>
              </w:rPr>
              <w:t>) and [**</w:t>
            </w:r>
            <w:r w:rsidRPr="00A67277">
              <w:rPr>
                <w:rFonts w:cs="Arial"/>
                <w:b/>
                <w:i/>
              </w:rPr>
              <w:t>insert name of GCA</w:t>
            </w:r>
            <w:r w:rsidRPr="00A67277">
              <w:rPr>
                <w:rFonts w:cs="Arial"/>
              </w:rPr>
              <w:t>**] (</w:t>
            </w:r>
            <w:r w:rsidRPr="00A67277">
              <w:rPr>
                <w:rFonts w:cs="Arial"/>
                <w:b/>
              </w:rPr>
              <w:t>GCA</w:t>
            </w:r>
            <w:r w:rsidRPr="00A67277">
              <w:rPr>
                <w:rFonts w:cs="Arial"/>
              </w:rPr>
              <w:t>). Unless otherwise defined herein or unless the context otherwise requires, all capitalized terms used herein shall have the respective meanings given in the Cooperation Agreement and the terms of Clause 1.2 (</w:t>
            </w:r>
            <w:r w:rsidRPr="00A67277">
              <w:rPr>
                <w:rFonts w:cs="Arial"/>
                <w:i/>
              </w:rPr>
              <w:t>Interpretation</w:t>
            </w:r>
            <w:r w:rsidRPr="00A67277">
              <w:rPr>
                <w:rFonts w:cs="Arial"/>
              </w:rPr>
              <w:t>) of the Cooperation Agreement shall apply to this consent letter</w:t>
            </w:r>
            <w:r w:rsidRPr="00A67277">
              <w:rPr>
                <w:rFonts w:cs="Arial"/>
                <w:b/>
              </w:rPr>
              <w:tab/>
            </w:r>
          </w:p>
        </w:tc>
        <w:tc>
          <w:tcPr>
            <w:tcW w:w="243" w:type="dxa"/>
          </w:tcPr>
          <w:p w14:paraId="75C1DD3C" w14:textId="77777777" w:rsidR="00923319" w:rsidRPr="00A67277" w:rsidRDefault="00923319" w:rsidP="00923319">
            <w:pPr>
              <w:spacing w:before="120" w:after="120"/>
              <w:rPr>
                <w:rFonts w:ascii="Arial" w:hAnsi="Arial" w:cs="Arial"/>
                <w:sz w:val="21"/>
                <w:szCs w:val="21"/>
              </w:rPr>
            </w:pPr>
          </w:p>
        </w:tc>
        <w:tc>
          <w:tcPr>
            <w:tcW w:w="4568" w:type="dxa"/>
          </w:tcPr>
          <w:p w14:paraId="29513312" w14:textId="77777777" w:rsidR="00923319" w:rsidRPr="00A67277" w:rsidRDefault="00923319" w:rsidP="00923319">
            <w:pPr>
              <w:pStyle w:val="Body1"/>
              <w:spacing w:before="120" w:after="120"/>
              <w:rPr>
                <w:rFonts w:cs="Arial"/>
              </w:rPr>
            </w:pPr>
            <w:r w:rsidRPr="00A67277">
              <w:rPr>
                <w:rFonts w:cs="Arial"/>
              </w:rPr>
              <w:t>Merujuk pada Perjanjian Kerjasama tertanggal [●] (sebagaimana diubah, dinyatakan kembali, atau ditambahkan atau dengan cara lain ditambahkan dari waktu ke waktu, termasuk setiap penggantian daripadanya) (“</w:t>
            </w:r>
            <w:r w:rsidRPr="00A67277">
              <w:rPr>
                <w:rFonts w:cs="Arial"/>
                <w:b/>
              </w:rPr>
              <w:t>Perjanjian Kerjasama</w:t>
            </w:r>
            <w:r w:rsidRPr="00A67277">
              <w:rPr>
                <w:rFonts w:cs="Arial"/>
              </w:rPr>
              <w:t>”) oleh dan antara [**</w:t>
            </w:r>
            <w:r w:rsidRPr="00A67277">
              <w:rPr>
                <w:rFonts w:cs="Arial"/>
                <w:b/>
                <w:i/>
              </w:rPr>
              <w:t>masukkan nama BUP</w:t>
            </w:r>
            <w:r w:rsidRPr="00A67277">
              <w:rPr>
                <w:rFonts w:cs="Arial"/>
                <w:i/>
              </w:rPr>
              <w:t>**</w:t>
            </w:r>
            <w:r w:rsidRPr="00A67277">
              <w:rPr>
                <w:rFonts w:cs="Arial"/>
              </w:rPr>
              <w:t>] (“</w:t>
            </w:r>
            <w:r w:rsidRPr="00A67277">
              <w:rPr>
                <w:rFonts w:cs="Arial"/>
                <w:b/>
              </w:rPr>
              <w:t>BUP</w:t>
            </w:r>
            <w:r w:rsidRPr="00A67277">
              <w:rPr>
                <w:rFonts w:cs="Arial"/>
              </w:rPr>
              <w:t>”) dan [**</w:t>
            </w:r>
            <w:r w:rsidRPr="00A67277">
              <w:rPr>
                <w:rFonts w:cs="Arial"/>
                <w:b/>
                <w:i/>
              </w:rPr>
              <w:t>masukkan nama PJPK</w:t>
            </w:r>
            <w:r w:rsidRPr="00A67277">
              <w:rPr>
                <w:rFonts w:cs="Arial"/>
              </w:rPr>
              <w:t>**] (</w:t>
            </w:r>
            <w:r w:rsidRPr="00A67277">
              <w:rPr>
                <w:rFonts w:cs="Arial"/>
                <w:b/>
              </w:rPr>
              <w:t>PJPK</w:t>
            </w:r>
            <w:r w:rsidRPr="00A67277">
              <w:rPr>
                <w:rFonts w:cs="Arial"/>
              </w:rPr>
              <w:t>). Kecuali ditentukan lain dalam surat ini atau kecuali konteksnya mensyaratkan lain, seluruh istilah dengan huruf kapital yang digunakan dalam surat ini memiliki arti yang berkaitan dengan Perjanjian Kerjasama dan ketentuan-ketentuan dalam Pasal 1.2 (</w:t>
            </w:r>
            <w:r w:rsidRPr="00A67277">
              <w:rPr>
                <w:rFonts w:cs="Arial"/>
                <w:i/>
              </w:rPr>
              <w:t>Interpretasi</w:t>
            </w:r>
            <w:r w:rsidRPr="00A67277">
              <w:rPr>
                <w:rFonts w:cs="Arial"/>
              </w:rPr>
              <w:t>) pada Perjanjian Kerjasama berlaku untuk Surat Persetujuan ini.</w:t>
            </w:r>
          </w:p>
        </w:tc>
      </w:tr>
      <w:tr w:rsidR="00A67277" w:rsidRPr="00A67277" w14:paraId="5C1E0242" w14:textId="77777777" w:rsidTr="00923319">
        <w:tc>
          <w:tcPr>
            <w:tcW w:w="4886" w:type="dxa"/>
          </w:tcPr>
          <w:p w14:paraId="2BE924D4" w14:textId="77777777" w:rsidR="00923319" w:rsidRPr="00A67277" w:rsidRDefault="00923319" w:rsidP="00923319">
            <w:pPr>
              <w:pStyle w:val="Body1"/>
              <w:spacing w:before="120" w:after="120"/>
              <w:rPr>
                <w:rFonts w:cs="Arial"/>
              </w:rPr>
            </w:pPr>
            <w:r w:rsidRPr="00A67277">
              <w:rPr>
                <w:rFonts w:cs="Arial"/>
              </w:rPr>
              <w:t>As contemplated by the Cooperation Agreement, the IBE has entered into the Financing Documents with the Financing Parties to make financing available to the IBE for the design, engineering, procurement, construction, ownership, operation and maintenance of the Project. The institutions supporting this financing include [**</w:t>
            </w:r>
            <w:r w:rsidRPr="00A67277">
              <w:rPr>
                <w:rFonts w:cs="Arial"/>
                <w:b/>
                <w:i/>
              </w:rPr>
              <w:t>names of financing institutions</w:t>
            </w:r>
            <w:r w:rsidRPr="00A67277">
              <w:rPr>
                <w:rFonts w:cs="Arial"/>
              </w:rPr>
              <w:t>**] and certain banks and financial institutions providing credit.</w:t>
            </w:r>
          </w:p>
        </w:tc>
        <w:tc>
          <w:tcPr>
            <w:tcW w:w="243" w:type="dxa"/>
          </w:tcPr>
          <w:p w14:paraId="2A36B28E" w14:textId="77777777" w:rsidR="00923319" w:rsidRPr="00A67277" w:rsidRDefault="00923319" w:rsidP="00923319">
            <w:pPr>
              <w:spacing w:before="120" w:after="120"/>
              <w:rPr>
                <w:rFonts w:ascii="Arial" w:hAnsi="Arial" w:cs="Arial"/>
                <w:sz w:val="21"/>
                <w:szCs w:val="21"/>
              </w:rPr>
            </w:pPr>
          </w:p>
        </w:tc>
        <w:tc>
          <w:tcPr>
            <w:tcW w:w="4568" w:type="dxa"/>
          </w:tcPr>
          <w:p w14:paraId="0F6CCDC0" w14:textId="77777777" w:rsidR="00923319" w:rsidRPr="00A67277" w:rsidRDefault="00923319" w:rsidP="00923319">
            <w:pPr>
              <w:pStyle w:val="Body1"/>
              <w:spacing w:before="120" w:after="120"/>
              <w:rPr>
                <w:rFonts w:cs="Arial"/>
              </w:rPr>
            </w:pPr>
            <w:r w:rsidRPr="00A67277">
              <w:rPr>
                <w:rFonts w:cs="Arial"/>
              </w:rPr>
              <w:t xml:space="preserve">Sebagaimana dipersyaratkan dalam Perjanjian Kerjasama, BUP telah menandatangani Dokumen Pembiayaan dengan Pihak Pembiaya untuk menyediakan pembiayaan bagi BUP untuk desain, rekayasa, pengadaan, konstruksi, kepemilikan, operasi dan pemeliharaan Proyek. Lembaga-lembaga yang mendukung pembiayaan ini termasuk </w:t>
            </w:r>
            <w:r w:rsidRPr="00A67277">
              <w:rPr>
                <w:rFonts w:cs="Arial"/>
                <w:b/>
              </w:rPr>
              <w:t>[***</w:t>
            </w:r>
            <w:r w:rsidRPr="00A67277">
              <w:rPr>
                <w:rFonts w:cs="Arial"/>
                <w:b/>
                <w:i/>
              </w:rPr>
              <w:t>nama-nama lembaga pembiayaan</w:t>
            </w:r>
            <w:r w:rsidRPr="00A67277">
              <w:rPr>
                <w:rFonts w:cs="Arial"/>
                <w:b/>
              </w:rPr>
              <w:t>***]</w:t>
            </w:r>
            <w:r w:rsidRPr="00A67277">
              <w:rPr>
                <w:rFonts w:cs="Arial"/>
              </w:rPr>
              <w:t xml:space="preserve"> dan bank-bank serta lembaga keuangan tertentu yang menyediakan kredit.</w:t>
            </w:r>
          </w:p>
        </w:tc>
      </w:tr>
      <w:tr w:rsidR="00A67277" w:rsidRPr="00A67277" w14:paraId="3FF06F04" w14:textId="77777777" w:rsidTr="00923319">
        <w:tc>
          <w:tcPr>
            <w:tcW w:w="4886" w:type="dxa"/>
          </w:tcPr>
          <w:p w14:paraId="06499112" w14:textId="2043BC6C" w:rsidR="00923319" w:rsidRPr="00A67277" w:rsidRDefault="00923319" w:rsidP="00923319">
            <w:pPr>
              <w:pStyle w:val="Body1"/>
              <w:spacing w:before="120" w:after="120"/>
              <w:rPr>
                <w:rFonts w:cs="Arial"/>
              </w:rPr>
            </w:pPr>
            <w:r w:rsidRPr="00A67277">
              <w:rPr>
                <w:rFonts w:cs="Arial"/>
              </w:rPr>
              <w:t>Pursuant to the Financing Documents and as contemplated by Clause 30 (a) (</w:t>
            </w:r>
            <w:r w:rsidRPr="00A67277">
              <w:rPr>
                <w:rFonts w:cs="Arial"/>
                <w:i/>
              </w:rPr>
              <w:t>Assignment</w:t>
            </w:r>
            <w:r w:rsidRPr="00A67277">
              <w:rPr>
                <w:rFonts w:cs="Arial"/>
              </w:rPr>
              <w:t xml:space="preserve">) of the Cooperation Agreement, the IBE has transferred and assigned for </w:t>
            </w:r>
            <w:r w:rsidR="00EC33E7">
              <w:rPr>
                <w:rFonts w:cs="Arial"/>
              </w:rPr>
              <w:t>the purposes of guarantee</w:t>
            </w:r>
            <w:r w:rsidRPr="00A67277">
              <w:rPr>
                <w:rFonts w:cs="Arial"/>
              </w:rPr>
              <w:t>, granted an Encumbrance in, granted powers of attorney over, and conditionally novated, where relevant, its rights interest and/or title in all of the assets and contractual rights and obligations of the IBE, including the Cooperation Agreement and the proceeds payable to the IBE thereunder, and, in accordance with Clause 5.2 (</w:t>
            </w:r>
            <w:r w:rsidRPr="00A67277">
              <w:rPr>
                <w:rFonts w:cs="Arial"/>
                <w:i/>
              </w:rPr>
              <w:t>Restrictions on Transfer of Equity</w:t>
            </w:r>
            <w:r w:rsidRPr="00A67277">
              <w:rPr>
                <w:rFonts w:cs="Arial"/>
              </w:rPr>
              <w:t>) of the Cooperation Agreement, the Shareholders and their Affiliates, as applicable, have granted an Encumbrance and powers of attorney over their respective Equity in the IBE, in each case to the Financing Parties under the Financing Documents represented by [**</w:t>
            </w:r>
            <w:r w:rsidRPr="00A67277">
              <w:rPr>
                <w:rFonts w:cs="Arial"/>
                <w:b/>
                <w:i/>
              </w:rPr>
              <w:t>name of Representative</w:t>
            </w:r>
            <w:r w:rsidRPr="00A67277">
              <w:rPr>
                <w:rFonts w:cs="Arial"/>
              </w:rPr>
              <w:t xml:space="preserve">**] as agent (together with its successors and permitted assigns, the </w:t>
            </w:r>
            <w:r w:rsidRPr="00A67277">
              <w:rPr>
                <w:rFonts w:cs="Arial"/>
                <w:b/>
              </w:rPr>
              <w:t>Representative</w:t>
            </w:r>
            <w:r w:rsidRPr="00A67277">
              <w:rPr>
                <w:rFonts w:cs="Arial"/>
              </w:rPr>
              <w:t xml:space="preserve">), pursuant to certain security documents, powers of attorney and other contractual documents entered into by, as applicable, the IBE, its Shareholders and their Affiliates (as amended, restated, amended and restated, supplemented or otherwise modified from time to time, including any replacement therefor, the </w:t>
            </w:r>
            <w:r w:rsidRPr="00A67277">
              <w:rPr>
                <w:rFonts w:cs="Arial"/>
                <w:b/>
              </w:rPr>
              <w:t>Security Documents</w:t>
            </w:r>
            <w:r w:rsidRPr="00A67277">
              <w:rPr>
                <w:rFonts w:cs="Arial"/>
              </w:rPr>
              <w:t>) for the benefit of the Financing Parties.</w:t>
            </w:r>
          </w:p>
        </w:tc>
        <w:tc>
          <w:tcPr>
            <w:tcW w:w="243" w:type="dxa"/>
          </w:tcPr>
          <w:p w14:paraId="4F4F1304" w14:textId="77777777" w:rsidR="00923319" w:rsidRPr="00A67277" w:rsidRDefault="00923319" w:rsidP="00923319">
            <w:pPr>
              <w:spacing w:before="120" w:after="120"/>
              <w:rPr>
                <w:rFonts w:ascii="Arial" w:hAnsi="Arial" w:cs="Arial"/>
                <w:sz w:val="21"/>
                <w:szCs w:val="21"/>
              </w:rPr>
            </w:pPr>
          </w:p>
        </w:tc>
        <w:tc>
          <w:tcPr>
            <w:tcW w:w="4568" w:type="dxa"/>
          </w:tcPr>
          <w:p w14:paraId="27995220" w14:textId="77777777" w:rsidR="00923319" w:rsidRPr="00A67277" w:rsidRDefault="00923319" w:rsidP="00923319">
            <w:pPr>
              <w:pStyle w:val="Body1"/>
              <w:spacing w:before="120" w:after="120"/>
              <w:rPr>
                <w:rFonts w:cs="Arial"/>
              </w:rPr>
            </w:pPr>
            <w:r w:rsidRPr="00A67277">
              <w:rPr>
                <w:rFonts w:cs="Arial"/>
              </w:rPr>
              <w:t>Berdasarkan Dokumen Pembiayaan dan sebagaimana dimaksud oleh Pasal 30 (a) (</w:t>
            </w:r>
            <w:r w:rsidRPr="00A67277">
              <w:rPr>
                <w:rFonts w:cs="Arial"/>
                <w:i/>
              </w:rPr>
              <w:t>Pengalihan</w:t>
            </w:r>
            <w:r w:rsidRPr="00A67277">
              <w:rPr>
                <w:rFonts w:cs="Arial"/>
              </w:rPr>
              <w:t>) dari Perjanjian Kerjasama, BUP telah menyerahkan dan mengalihkan untuk tujuan penjaminan, memberikan Hak-Hak Jaminan dalam, memberikan kuasa atas, dan mengkondisikan novasi, yang mana relevan, hak kepentingannya dana tau haknya atas seluruh asset dan hak dan kewajiban kontraktual BUP di dalam Perjanjian Kerjasama, dan, sesuai dengan Pasal 5.2 (</w:t>
            </w:r>
            <w:r w:rsidRPr="00A67277">
              <w:rPr>
                <w:rFonts w:cs="Arial"/>
                <w:i/>
              </w:rPr>
              <w:t>Batasan Pengalihan Ekuitas</w:t>
            </w:r>
            <w:r w:rsidRPr="00A67277">
              <w:rPr>
                <w:rFonts w:cs="Arial"/>
              </w:rPr>
              <w:t xml:space="preserve">) Perjanjian Kerjasama, Pemegang Saham dan Afiliasinya, sebagaimana berlaku, telah memberikan Hak-Hak Jaminan dan kuasa atas Ekuitas masing-masing yang </w:t>
            </w:r>
            <w:r w:rsidRPr="00A67277">
              <w:rPr>
                <w:rFonts w:cs="Arial"/>
                <w:i/>
              </w:rPr>
              <w:t xml:space="preserve"> </w:t>
            </w:r>
            <w:r w:rsidRPr="00A67277">
              <w:rPr>
                <w:rFonts w:cs="Arial"/>
              </w:rPr>
              <w:t>diberikan oleh [**</w:t>
            </w:r>
            <w:r w:rsidRPr="00A67277">
              <w:rPr>
                <w:rFonts w:cs="Arial"/>
                <w:b/>
                <w:i/>
              </w:rPr>
              <w:t>masukkan Perwakilan</w:t>
            </w:r>
            <w:r w:rsidRPr="00A67277">
              <w:rPr>
                <w:rFonts w:cs="Arial"/>
              </w:rPr>
              <w:t xml:space="preserve">”] sebagai agen (bersama dengan penerusnya dan yang diizinkan bertugas, </w:t>
            </w:r>
            <w:r w:rsidRPr="00A67277">
              <w:rPr>
                <w:rFonts w:cs="Arial"/>
                <w:b/>
              </w:rPr>
              <w:t>Perwakilan</w:t>
            </w:r>
            <w:r w:rsidRPr="00A67277">
              <w:rPr>
                <w:rFonts w:cs="Arial"/>
              </w:rPr>
              <w:t xml:space="preserve">), sesuai dengan dokumen jaminan tertentu, kuasa dan dokumen kontraktual lainnya yang ditandatangani oleh, sebagaimana berlaku, BUP, Pemegang Sahamnya dan Afiliasinya (sebagaimana diamandemen, dinyatakan ulang, diamandemen dan dinyatakan ulang, ditambahkan atau dimodifikasi sebaliknya dari waktu ke waktu, termasuk pergantian di dalamnya, </w:t>
            </w:r>
            <w:r w:rsidRPr="00A67277">
              <w:rPr>
                <w:rFonts w:cs="Arial"/>
                <w:b/>
              </w:rPr>
              <w:t>Dokumen Jaminan</w:t>
            </w:r>
            <w:r w:rsidRPr="00A67277">
              <w:rPr>
                <w:rFonts w:cs="Arial"/>
              </w:rPr>
              <w:t>) untuk kepentingan Pihak Pembiaya.</w:t>
            </w:r>
          </w:p>
        </w:tc>
      </w:tr>
      <w:tr w:rsidR="00A67277" w:rsidRPr="00A67277" w14:paraId="3B1323C9" w14:textId="77777777" w:rsidTr="00923319">
        <w:tc>
          <w:tcPr>
            <w:tcW w:w="4886" w:type="dxa"/>
          </w:tcPr>
          <w:p w14:paraId="05DFBAAF" w14:textId="77777777" w:rsidR="00923319" w:rsidRPr="00A67277" w:rsidRDefault="00923319" w:rsidP="00923319">
            <w:pPr>
              <w:pStyle w:val="Body1"/>
              <w:spacing w:before="120" w:after="120"/>
              <w:rPr>
                <w:rFonts w:cs="Arial"/>
              </w:rPr>
            </w:pPr>
            <w:r w:rsidRPr="00A67277">
              <w:rPr>
                <w:rFonts w:cs="Arial"/>
              </w:rPr>
              <w:t xml:space="preserve">Upon acknowledging and accepting this consent letter, the parties to this consent letter hereby agree as follows: </w:t>
            </w:r>
          </w:p>
        </w:tc>
        <w:tc>
          <w:tcPr>
            <w:tcW w:w="243" w:type="dxa"/>
          </w:tcPr>
          <w:p w14:paraId="730970F6" w14:textId="77777777" w:rsidR="00923319" w:rsidRPr="00A67277" w:rsidRDefault="00923319" w:rsidP="00923319">
            <w:pPr>
              <w:spacing w:before="120" w:after="120"/>
              <w:rPr>
                <w:rFonts w:ascii="Arial" w:hAnsi="Arial" w:cs="Arial"/>
                <w:sz w:val="21"/>
                <w:szCs w:val="21"/>
              </w:rPr>
            </w:pPr>
          </w:p>
        </w:tc>
        <w:tc>
          <w:tcPr>
            <w:tcW w:w="4568" w:type="dxa"/>
          </w:tcPr>
          <w:p w14:paraId="4C3F7FB5" w14:textId="77777777" w:rsidR="00923319" w:rsidRPr="00A67277" w:rsidRDefault="00923319" w:rsidP="00923319">
            <w:pPr>
              <w:pStyle w:val="Body1"/>
              <w:spacing w:before="120" w:after="120"/>
              <w:rPr>
                <w:rFonts w:cs="Arial"/>
              </w:rPr>
            </w:pPr>
            <w:r w:rsidRPr="00A67277">
              <w:rPr>
                <w:rFonts w:cs="Arial"/>
                <w:lang w:val="id-ID"/>
              </w:rPr>
              <w:t>Setelah mengakui dan menerima surat persetujuan ini, Para Pihak berdasarkan surat persetujuan ini menyetujui untuk:</w:t>
            </w:r>
          </w:p>
        </w:tc>
      </w:tr>
      <w:tr w:rsidR="00A67277" w:rsidRPr="00A67277" w14:paraId="26C09238" w14:textId="77777777" w:rsidTr="00923319">
        <w:tc>
          <w:tcPr>
            <w:tcW w:w="4886" w:type="dxa"/>
          </w:tcPr>
          <w:p w14:paraId="6850B879" w14:textId="77777777" w:rsidR="00923319" w:rsidRPr="00A67277" w:rsidRDefault="00923319" w:rsidP="00923319">
            <w:pPr>
              <w:pStyle w:val="SchHeading1"/>
              <w:numPr>
                <w:ilvl w:val="2"/>
                <w:numId w:val="564"/>
              </w:numPr>
              <w:spacing w:before="120" w:after="120"/>
              <w:ind w:left="702" w:hanging="630"/>
              <w:rPr>
                <w:rFonts w:cs="Arial"/>
              </w:rPr>
            </w:pPr>
            <w:r w:rsidRPr="00A67277">
              <w:rPr>
                <w:rFonts w:cs="Arial"/>
              </w:rPr>
              <w:t>Acknowledgment</w:t>
            </w:r>
          </w:p>
        </w:tc>
        <w:tc>
          <w:tcPr>
            <w:tcW w:w="243" w:type="dxa"/>
          </w:tcPr>
          <w:p w14:paraId="7BC1EDB8" w14:textId="77777777" w:rsidR="00923319" w:rsidRPr="00A67277" w:rsidRDefault="00923319" w:rsidP="00923319">
            <w:pPr>
              <w:spacing w:before="120" w:after="120"/>
              <w:rPr>
                <w:rFonts w:ascii="Arial" w:hAnsi="Arial" w:cs="Arial"/>
                <w:sz w:val="21"/>
                <w:szCs w:val="21"/>
              </w:rPr>
            </w:pPr>
          </w:p>
        </w:tc>
        <w:tc>
          <w:tcPr>
            <w:tcW w:w="4568" w:type="dxa"/>
          </w:tcPr>
          <w:p w14:paraId="59C99E09" w14:textId="77777777" w:rsidR="00923319" w:rsidRPr="00A67277" w:rsidRDefault="00923319" w:rsidP="00923319">
            <w:pPr>
              <w:pStyle w:val="Heading3"/>
              <w:numPr>
                <w:ilvl w:val="0"/>
                <w:numId w:val="678"/>
              </w:numPr>
              <w:spacing w:before="120" w:after="120"/>
              <w:ind w:left="613" w:hanging="540"/>
              <w:rPr>
                <w:rFonts w:cs="Arial"/>
              </w:rPr>
            </w:pPr>
            <w:r w:rsidRPr="00A67277">
              <w:rPr>
                <w:rFonts w:cs="Arial"/>
                <w:lang w:val="id-ID"/>
              </w:rPr>
              <w:t>Pengakuan</w:t>
            </w:r>
          </w:p>
        </w:tc>
      </w:tr>
      <w:tr w:rsidR="00A67277" w:rsidRPr="00A67277" w14:paraId="30DE2C9C" w14:textId="77777777" w:rsidTr="00923319">
        <w:tc>
          <w:tcPr>
            <w:tcW w:w="4886" w:type="dxa"/>
          </w:tcPr>
          <w:p w14:paraId="44B624BE" w14:textId="77777777" w:rsidR="00923319" w:rsidRPr="00A67277" w:rsidRDefault="00923319" w:rsidP="00923319">
            <w:pPr>
              <w:pStyle w:val="Body2"/>
              <w:spacing w:before="120" w:after="120"/>
              <w:rPr>
                <w:rFonts w:cs="Arial"/>
              </w:rPr>
            </w:pPr>
            <w:r w:rsidRPr="00A67277">
              <w:rPr>
                <w:rFonts w:cs="Arial"/>
              </w:rPr>
              <w:t>GCA hereby acknowledges receipt of each of the Security Documents to which this consent letter relates, and acknowledges that the Security Documents may be amended, restated, amended and restated, supplemented, novated or otherwise modified from time to time, and where relevant, registered with the relevant security registration office. GCA acknowledges and agrees that its consent shall not be required for and that its obligations under this consent letter shall not be affected, impaired, or released by, any amendment, restatement, amendment and restatement, supplement, novation or other modification of any of the Security Documents made in connection with a Refinancing to which the GCA has given its prior written consent, in each case in accordance with Clause 6.4 (</w:t>
            </w:r>
            <w:r w:rsidRPr="00A67277">
              <w:rPr>
                <w:rFonts w:cs="Arial"/>
                <w:i/>
              </w:rPr>
              <w:t>Refinancing</w:t>
            </w:r>
            <w:r w:rsidRPr="00A67277">
              <w:rPr>
                <w:rFonts w:cs="Arial"/>
              </w:rPr>
              <w:t>) of the Cooperation Agreement.</w:t>
            </w:r>
          </w:p>
        </w:tc>
        <w:tc>
          <w:tcPr>
            <w:tcW w:w="243" w:type="dxa"/>
          </w:tcPr>
          <w:p w14:paraId="1AAC61EB" w14:textId="77777777" w:rsidR="00923319" w:rsidRPr="00A67277" w:rsidRDefault="00923319" w:rsidP="00923319">
            <w:pPr>
              <w:spacing w:before="120" w:after="120"/>
              <w:rPr>
                <w:rFonts w:ascii="Arial" w:hAnsi="Arial" w:cs="Arial"/>
                <w:sz w:val="21"/>
                <w:szCs w:val="21"/>
              </w:rPr>
            </w:pPr>
          </w:p>
        </w:tc>
        <w:tc>
          <w:tcPr>
            <w:tcW w:w="4568" w:type="dxa"/>
          </w:tcPr>
          <w:p w14:paraId="6235467E" w14:textId="77777777" w:rsidR="00923319" w:rsidRPr="00A67277" w:rsidRDefault="00923319" w:rsidP="00923319">
            <w:pPr>
              <w:pStyle w:val="Body2"/>
              <w:spacing w:before="120" w:after="120"/>
              <w:ind w:left="613"/>
              <w:rPr>
                <w:rFonts w:cs="Arial"/>
                <w:lang w:val="id-ID"/>
              </w:rPr>
            </w:pPr>
            <w:r w:rsidRPr="00A67277">
              <w:rPr>
                <w:rFonts w:cs="Arial"/>
                <w:lang w:val="id-ID"/>
              </w:rPr>
              <w:t>PJPK dengan ini mengakui penerimaan setiap Dokumen Jaminan yang mengikat berdasarkan surat persetujuan ini, dan mengakui bahwa Dokumen Jaminan dapat, diubah dan</w:t>
            </w:r>
            <w:r w:rsidRPr="00A67277">
              <w:rPr>
                <w:rFonts w:cs="Arial"/>
                <w:lang w:val="en-ID"/>
              </w:rPr>
              <w:t xml:space="preserve"> dinyatakan ulang</w:t>
            </w:r>
            <w:r w:rsidRPr="00A67277">
              <w:rPr>
                <w:rFonts w:cs="Arial"/>
                <w:lang w:val="id-ID"/>
              </w:rPr>
              <w:t>, ditambah, dilakukan novasi atau dimodifikasi dari waktu ke waktu, dan apabila relevan, terdaftar di kantor pendaftaran jaminan yang relevan PJPK mengakui dan menyetujui bahwa persetujuannya tidak diperlukan dan bahwa kewajibannya berdasarkan surat persetujuan ini tidak akan terpengaruh, dirugikan, atau dilepaskan oleh, perubahan, penyajian kembali, amandemen dan penyajian ulang, suplemen, novasi atau modifikasi lainnya dari salah satu Dokumen</w:t>
            </w:r>
            <w:r w:rsidRPr="00A67277">
              <w:rPr>
                <w:rFonts w:cs="Arial"/>
                <w:lang w:val="en-ID"/>
              </w:rPr>
              <w:t xml:space="preserve"> Jaminan</w:t>
            </w:r>
            <w:r w:rsidRPr="00A67277">
              <w:rPr>
                <w:rFonts w:cs="Arial"/>
                <w:lang w:val="id-ID"/>
              </w:rPr>
              <w:t xml:space="preserve"> yang dibuat</w:t>
            </w:r>
            <w:r w:rsidRPr="00A67277">
              <w:rPr>
                <w:rFonts w:cs="Arial"/>
                <w:lang w:val="en-ID"/>
              </w:rPr>
              <w:t>mengenai Pembiayaan Ulang</w:t>
            </w:r>
            <w:r w:rsidRPr="00A67277">
              <w:rPr>
                <w:rFonts w:cs="Arial"/>
                <w:lang w:val="id-ID"/>
              </w:rPr>
              <w:t xml:space="preserve"> dimana PJPK telah memberikan persetujuan tertulis sebelumnya, dalam setiap </w:t>
            </w:r>
            <w:r w:rsidRPr="00A67277">
              <w:rPr>
                <w:rFonts w:cs="Arial"/>
                <w:lang w:val="en-ID"/>
              </w:rPr>
              <w:t xml:space="preserve"> hal </w:t>
            </w:r>
            <w:r w:rsidRPr="00A67277">
              <w:rPr>
                <w:rFonts w:cs="Arial"/>
                <w:lang w:val="id-ID"/>
              </w:rPr>
              <w:t>sesuai dengan</w:t>
            </w:r>
            <w:r w:rsidRPr="00A67277">
              <w:rPr>
                <w:rFonts w:cs="Arial"/>
                <w:lang w:val="en-ID"/>
              </w:rPr>
              <w:t xml:space="preserve"> Pasal 6.4 (</w:t>
            </w:r>
            <w:r w:rsidRPr="00A67277">
              <w:rPr>
                <w:rFonts w:cs="Arial"/>
                <w:i/>
                <w:lang w:val="en-ID"/>
              </w:rPr>
              <w:t>Pembiayaan Ulang</w:t>
            </w:r>
            <w:r w:rsidRPr="00A67277">
              <w:rPr>
                <w:rFonts w:cs="Arial"/>
                <w:lang w:val="en-ID"/>
              </w:rPr>
              <w:t>)</w:t>
            </w:r>
            <w:r w:rsidRPr="00A67277">
              <w:rPr>
                <w:rFonts w:cs="Arial"/>
                <w:lang w:val="id-ID"/>
              </w:rPr>
              <w:t>dari Perjanjian Kerjasama.</w:t>
            </w:r>
          </w:p>
        </w:tc>
      </w:tr>
      <w:tr w:rsidR="00A67277" w:rsidRPr="00A67277" w14:paraId="2BB419A3" w14:textId="77777777" w:rsidTr="00923319">
        <w:tc>
          <w:tcPr>
            <w:tcW w:w="4886" w:type="dxa"/>
          </w:tcPr>
          <w:p w14:paraId="56623888" w14:textId="77777777" w:rsidR="00923319" w:rsidRPr="00A67277" w:rsidRDefault="00923319" w:rsidP="00923319">
            <w:pPr>
              <w:pStyle w:val="SchHeading1"/>
              <w:numPr>
                <w:ilvl w:val="2"/>
                <w:numId w:val="564"/>
              </w:numPr>
              <w:spacing w:before="120" w:after="120"/>
              <w:ind w:left="702" w:hanging="630"/>
              <w:rPr>
                <w:rFonts w:cs="Arial"/>
              </w:rPr>
            </w:pPr>
            <w:r w:rsidRPr="00A67277">
              <w:rPr>
                <w:rFonts w:cs="Arial"/>
              </w:rPr>
              <w:t>Consent</w:t>
            </w:r>
          </w:p>
        </w:tc>
        <w:tc>
          <w:tcPr>
            <w:tcW w:w="243" w:type="dxa"/>
          </w:tcPr>
          <w:p w14:paraId="111FADC6" w14:textId="77777777" w:rsidR="00923319" w:rsidRPr="00A67277" w:rsidRDefault="00923319" w:rsidP="00923319">
            <w:pPr>
              <w:spacing w:before="120" w:after="120"/>
              <w:rPr>
                <w:rFonts w:ascii="Arial" w:hAnsi="Arial" w:cs="Arial"/>
                <w:sz w:val="21"/>
                <w:szCs w:val="21"/>
              </w:rPr>
            </w:pPr>
          </w:p>
        </w:tc>
        <w:tc>
          <w:tcPr>
            <w:tcW w:w="4568" w:type="dxa"/>
          </w:tcPr>
          <w:p w14:paraId="075A3BC8" w14:textId="77777777" w:rsidR="00923319" w:rsidRPr="00A67277" w:rsidRDefault="00923319" w:rsidP="00923319">
            <w:pPr>
              <w:pStyle w:val="Heading3"/>
              <w:numPr>
                <w:ilvl w:val="0"/>
                <w:numId w:val="678"/>
              </w:numPr>
              <w:spacing w:before="120" w:after="120"/>
              <w:ind w:left="613" w:hanging="540"/>
              <w:rPr>
                <w:rFonts w:cs="Arial"/>
              </w:rPr>
            </w:pPr>
            <w:r w:rsidRPr="00A67277">
              <w:rPr>
                <w:rFonts w:cs="Arial"/>
                <w:lang w:val="id-ID"/>
              </w:rPr>
              <w:t>Persetujuan</w:t>
            </w:r>
          </w:p>
        </w:tc>
      </w:tr>
      <w:tr w:rsidR="00A67277" w:rsidRPr="00A67277" w14:paraId="0224D15B" w14:textId="77777777" w:rsidTr="00923319">
        <w:tc>
          <w:tcPr>
            <w:tcW w:w="4886" w:type="dxa"/>
          </w:tcPr>
          <w:p w14:paraId="37483B9C" w14:textId="77777777" w:rsidR="00923319" w:rsidRPr="00A67277" w:rsidRDefault="00923319" w:rsidP="00923319">
            <w:pPr>
              <w:pStyle w:val="Body2"/>
              <w:spacing w:before="120" w:after="120"/>
              <w:rPr>
                <w:rFonts w:cs="Arial"/>
              </w:rPr>
            </w:pPr>
            <w:r w:rsidRPr="00A67277">
              <w:rPr>
                <w:rFonts w:cs="Arial"/>
              </w:rPr>
              <w:t xml:space="preserve">GCA consents for the benefit of the IBE, its Shareholders and their Affiliates, the Representative and the Financing Parties to the transfer, fiduciary assignment and conditional novation and grant of powers of attorney and other rights and authorities granted by the IBE and, as applicable, its Shareholders and their Affiliates to the Representative for the benefit of the Financing Parties, on the terms and conditions set forth in the Security Documents (the </w:t>
            </w:r>
            <w:r w:rsidRPr="00A67277">
              <w:rPr>
                <w:rFonts w:cs="Arial"/>
                <w:b/>
              </w:rPr>
              <w:t>Assignment</w:t>
            </w:r>
            <w:r w:rsidRPr="00A67277">
              <w:rPr>
                <w:rFonts w:cs="Arial"/>
              </w:rPr>
              <w:t>) and confirms that, by virtue of such consent, no breach of the Cooperation Agreement has arisen.</w:t>
            </w:r>
          </w:p>
        </w:tc>
        <w:tc>
          <w:tcPr>
            <w:tcW w:w="243" w:type="dxa"/>
          </w:tcPr>
          <w:p w14:paraId="6923AEC1" w14:textId="77777777" w:rsidR="00923319" w:rsidRPr="00A67277" w:rsidRDefault="00923319" w:rsidP="00923319">
            <w:pPr>
              <w:spacing w:before="120" w:after="120"/>
              <w:rPr>
                <w:rFonts w:ascii="Arial" w:hAnsi="Arial" w:cs="Arial"/>
                <w:sz w:val="21"/>
                <w:szCs w:val="21"/>
              </w:rPr>
            </w:pPr>
          </w:p>
        </w:tc>
        <w:tc>
          <w:tcPr>
            <w:tcW w:w="4568" w:type="dxa"/>
          </w:tcPr>
          <w:p w14:paraId="18F40F36" w14:textId="77777777" w:rsidR="00923319" w:rsidRPr="00A67277" w:rsidRDefault="00923319" w:rsidP="00923319">
            <w:pPr>
              <w:pStyle w:val="Body2"/>
              <w:spacing w:before="120" w:after="120"/>
              <w:ind w:left="613"/>
              <w:rPr>
                <w:rFonts w:cs="Arial"/>
                <w:lang w:val="id-ID"/>
              </w:rPr>
            </w:pPr>
            <w:r w:rsidRPr="00A67277">
              <w:rPr>
                <w:rFonts w:cs="Arial"/>
                <w:shd w:val="clear" w:color="auto" w:fill="FFFFFF"/>
                <w:lang w:val="id-ID"/>
              </w:rPr>
              <w:t>PJPK</w:t>
            </w:r>
            <w:r w:rsidRPr="00A67277">
              <w:rPr>
                <w:rFonts w:cs="Arial"/>
                <w:shd w:val="clear" w:color="auto" w:fill="FFFFFF"/>
              </w:rPr>
              <w:t xml:space="preserve"> menyetujui </w:t>
            </w:r>
            <w:r w:rsidRPr="00A67277">
              <w:rPr>
                <w:rFonts w:cs="Arial"/>
                <w:shd w:val="clear" w:color="auto" w:fill="FFFFFF"/>
                <w:lang w:val="id-ID"/>
              </w:rPr>
              <w:t>demi</w:t>
            </w:r>
            <w:r w:rsidRPr="00A67277">
              <w:rPr>
                <w:rFonts w:cs="Arial"/>
                <w:shd w:val="clear" w:color="auto" w:fill="FFFFFF"/>
              </w:rPr>
              <w:t xml:space="preserve"> keuntungan dari </w:t>
            </w:r>
            <w:r w:rsidRPr="00A67277">
              <w:rPr>
                <w:rFonts w:cs="Arial"/>
                <w:shd w:val="clear" w:color="auto" w:fill="FFFFFF"/>
                <w:lang w:val="id-ID"/>
              </w:rPr>
              <w:t>BUP</w:t>
            </w:r>
            <w:r w:rsidRPr="00A67277">
              <w:rPr>
                <w:rFonts w:cs="Arial"/>
                <w:shd w:val="clear" w:color="auto" w:fill="FFFFFF"/>
              </w:rPr>
              <w:t xml:space="preserve">, Pemegang Saham dan Afiliasinya, Perwakilan dan Pihak Pembiayaan </w:t>
            </w:r>
            <w:r w:rsidRPr="00A67277">
              <w:rPr>
                <w:rFonts w:cs="Arial"/>
                <w:shd w:val="clear" w:color="auto" w:fill="FFFFFF"/>
                <w:lang w:val="id-ID"/>
              </w:rPr>
              <w:t>terhadap</w:t>
            </w:r>
            <w:r w:rsidRPr="00A67277">
              <w:rPr>
                <w:rFonts w:cs="Arial"/>
                <w:shd w:val="clear" w:color="auto" w:fill="FFFFFF"/>
              </w:rPr>
              <w:t xml:space="preserve"> pengalihan, fidusia dan novasi bersyarat dan pemberian surat kuasa dan hak dan wewenang lainnya yang diberikan oleh </w:t>
            </w:r>
            <w:r w:rsidRPr="00A67277">
              <w:rPr>
                <w:rFonts w:cs="Arial"/>
                <w:shd w:val="clear" w:color="auto" w:fill="FFFFFF"/>
                <w:lang w:val="id-ID"/>
              </w:rPr>
              <w:t>BUP</w:t>
            </w:r>
            <w:r w:rsidRPr="00A67277">
              <w:rPr>
                <w:rFonts w:cs="Arial"/>
                <w:shd w:val="clear" w:color="auto" w:fill="FFFFFF"/>
              </w:rPr>
              <w:t xml:space="preserve"> dan, sebagaimana</w:t>
            </w:r>
            <w:r w:rsidRPr="00A67277">
              <w:rPr>
                <w:rFonts w:cs="Arial"/>
                <w:shd w:val="clear" w:color="auto" w:fill="FFFFFF"/>
                <w:lang w:val="id-ID"/>
              </w:rPr>
              <w:t xml:space="preserve"> </w:t>
            </w:r>
            <w:r w:rsidRPr="00A67277">
              <w:rPr>
                <w:rFonts w:cs="Arial"/>
                <w:shd w:val="clear" w:color="auto" w:fill="FFFFFF"/>
              </w:rPr>
              <w:t xml:space="preserve">berlaku, </w:t>
            </w:r>
            <w:r w:rsidRPr="00A67277">
              <w:rPr>
                <w:rFonts w:cs="Arial"/>
                <w:lang w:val="id-ID"/>
              </w:rPr>
              <w:t>Pemegang</w:t>
            </w:r>
            <w:r w:rsidRPr="00A67277">
              <w:rPr>
                <w:rFonts w:cs="Arial"/>
                <w:shd w:val="clear" w:color="auto" w:fill="FFFFFF"/>
              </w:rPr>
              <w:t xml:space="preserve"> Saham dan Afiliasinya kepada Perwakilan</w:t>
            </w:r>
            <w:r w:rsidRPr="00A67277">
              <w:rPr>
                <w:rFonts w:cs="Arial"/>
                <w:shd w:val="clear" w:color="auto" w:fill="FFFFFF"/>
                <w:lang w:val="id-ID"/>
              </w:rPr>
              <w:t>nya</w:t>
            </w:r>
            <w:r w:rsidRPr="00A67277">
              <w:rPr>
                <w:rFonts w:cs="Arial"/>
                <w:shd w:val="clear" w:color="auto" w:fill="FFFFFF"/>
              </w:rPr>
              <w:t xml:space="preserve"> untuk kepentingan Pihak Pembiaya, berdasarkan syarat dan ketentuan yang tercantum dalam Dokumen Keamanan (</w:t>
            </w:r>
            <w:r w:rsidRPr="00A67277">
              <w:rPr>
                <w:rFonts w:cs="Arial"/>
                <w:b/>
                <w:shd w:val="clear" w:color="auto" w:fill="FFFFFF"/>
              </w:rPr>
              <w:t>Pen</w:t>
            </w:r>
            <w:r w:rsidRPr="00A67277">
              <w:rPr>
                <w:rFonts w:cs="Arial"/>
                <w:b/>
                <w:shd w:val="clear" w:color="auto" w:fill="FFFFFF"/>
                <w:lang w:val="id-ID"/>
              </w:rPr>
              <w:t>galihan</w:t>
            </w:r>
            <w:r w:rsidRPr="00A67277">
              <w:rPr>
                <w:rFonts w:cs="Arial"/>
                <w:shd w:val="clear" w:color="auto" w:fill="FFFFFF"/>
              </w:rPr>
              <w:t>) dan menegaskan bahwa, berdasarkan persetujuan tersebut, tidak ada pelanggaran terhadap Perjanjian Kerjasama</w:t>
            </w:r>
            <w:r w:rsidRPr="00A67277">
              <w:rPr>
                <w:rFonts w:cs="Arial"/>
                <w:shd w:val="clear" w:color="auto" w:fill="FFFFFF"/>
                <w:lang w:val="id-ID"/>
              </w:rPr>
              <w:t xml:space="preserve"> yang akan timbul terhadapnya</w:t>
            </w:r>
            <w:r w:rsidRPr="00A67277">
              <w:rPr>
                <w:rFonts w:cs="Arial"/>
                <w:shd w:val="clear" w:color="auto" w:fill="FFFFFF"/>
              </w:rPr>
              <w:t>.</w:t>
            </w:r>
          </w:p>
          <w:p w14:paraId="65F85013" w14:textId="77777777" w:rsidR="00923319" w:rsidRPr="00A67277" w:rsidRDefault="00923319" w:rsidP="00923319">
            <w:pPr>
              <w:pStyle w:val="SchNumber3"/>
              <w:numPr>
                <w:ilvl w:val="0"/>
                <w:numId w:val="0"/>
              </w:numPr>
              <w:spacing w:before="120" w:after="120"/>
              <w:ind w:left="432"/>
              <w:rPr>
                <w:rFonts w:cs="Arial"/>
                <w:lang w:val="id-ID"/>
              </w:rPr>
            </w:pPr>
          </w:p>
        </w:tc>
      </w:tr>
      <w:tr w:rsidR="00A67277" w:rsidRPr="00A67277" w14:paraId="41684311" w14:textId="77777777" w:rsidTr="00923319">
        <w:tc>
          <w:tcPr>
            <w:tcW w:w="4886" w:type="dxa"/>
          </w:tcPr>
          <w:p w14:paraId="59804B7A" w14:textId="77777777" w:rsidR="00923319" w:rsidRPr="00A67277" w:rsidRDefault="00923319" w:rsidP="00923319">
            <w:pPr>
              <w:pStyle w:val="SchHeading1"/>
              <w:numPr>
                <w:ilvl w:val="2"/>
                <w:numId w:val="564"/>
              </w:numPr>
              <w:spacing w:before="120" w:after="120"/>
              <w:ind w:left="702" w:hanging="630"/>
              <w:rPr>
                <w:rFonts w:cs="Arial"/>
              </w:rPr>
            </w:pPr>
            <w:r w:rsidRPr="00A67277">
              <w:rPr>
                <w:rFonts w:cs="Arial"/>
              </w:rPr>
              <w:t xml:space="preserve">Terms of Assignment </w:t>
            </w:r>
          </w:p>
        </w:tc>
        <w:tc>
          <w:tcPr>
            <w:tcW w:w="243" w:type="dxa"/>
          </w:tcPr>
          <w:p w14:paraId="29DC62BD" w14:textId="77777777" w:rsidR="00923319" w:rsidRPr="00A67277" w:rsidRDefault="00923319" w:rsidP="00923319">
            <w:pPr>
              <w:spacing w:before="120" w:after="120"/>
              <w:rPr>
                <w:rFonts w:ascii="Arial" w:hAnsi="Arial" w:cs="Arial"/>
                <w:sz w:val="21"/>
                <w:szCs w:val="21"/>
              </w:rPr>
            </w:pPr>
          </w:p>
        </w:tc>
        <w:tc>
          <w:tcPr>
            <w:tcW w:w="4568" w:type="dxa"/>
          </w:tcPr>
          <w:p w14:paraId="06C4A7DB" w14:textId="77777777" w:rsidR="00923319" w:rsidRPr="00A67277" w:rsidRDefault="00923319" w:rsidP="00923319">
            <w:pPr>
              <w:pStyle w:val="Heading3"/>
              <w:numPr>
                <w:ilvl w:val="0"/>
                <w:numId w:val="678"/>
              </w:numPr>
              <w:spacing w:before="120" w:after="120"/>
              <w:ind w:left="613" w:hanging="540"/>
              <w:rPr>
                <w:rFonts w:cs="Arial"/>
              </w:rPr>
            </w:pPr>
            <w:r w:rsidRPr="00A67277">
              <w:rPr>
                <w:rFonts w:cs="Arial"/>
                <w:lang w:val="id-ID"/>
              </w:rPr>
              <w:t>Persyaratan-Persyaratan Pengalihan</w:t>
            </w:r>
          </w:p>
        </w:tc>
      </w:tr>
      <w:tr w:rsidR="00A67277" w:rsidRPr="00A67277" w14:paraId="62ECD4C5" w14:textId="77777777" w:rsidTr="00923319">
        <w:tc>
          <w:tcPr>
            <w:tcW w:w="4886" w:type="dxa"/>
          </w:tcPr>
          <w:p w14:paraId="57E1BA17" w14:textId="77777777" w:rsidR="00923319" w:rsidRPr="00A67277" w:rsidRDefault="00923319" w:rsidP="00923319">
            <w:pPr>
              <w:pStyle w:val="Body2"/>
              <w:spacing w:before="120" w:after="120"/>
              <w:rPr>
                <w:rFonts w:cs="Arial"/>
              </w:rPr>
            </w:pPr>
            <w:r w:rsidRPr="00A67277">
              <w:rPr>
                <w:rFonts w:cs="Arial"/>
              </w:rPr>
              <w:t>In furtherance of the Assignment, the IBE, GCA and Representative (for itself and on behalf of the Financing Parties) agree as follow:</w:t>
            </w:r>
          </w:p>
        </w:tc>
        <w:tc>
          <w:tcPr>
            <w:tcW w:w="243" w:type="dxa"/>
          </w:tcPr>
          <w:p w14:paraId="09ACF92C" w14:textId="77777777" w:rsidR="00923319" w:rsidRPr="00A67277" w:rsidRDefault="00923319" w:rsidP="00923319">
            <w:pPr>
              <w:spacing w:before="120" w:after="120"/>
              <w:rPr>
                <w:rFonts w:ascii="Arial" w:hAnsi="Arial" w:cs="Arial"/>
                <w:sz w:val="21"/>
                <w:szCs w:val="21"/>
              </w:rPr>
            </w:pPr>
          </w:p>
        </w:tc>
        <w:tc>
          <w:tcPr>
            <w:tcW w:w="4568" w:type="dxa"/>
          </w:tcPr>
          <w:p w14:paraId="4BDFC747" w14:textId="77777777" w:rsidR="00923319" w:rsidRPr="00A67277" w:rsidRDefault="00923319" w:rsidP="00923319">
            <w:pPr>
              <w:pStyle w:val="Body2"/>
              <w:spacing w:before="120" w:after="120"/>
              <w:ind w:left="652"/>
              <w:rPr>
                <w:rFonts w:cs="Arial"/>
              </w:rPr>
            </w:pPr>
            <w:r w:rsidRPr="00A67277">
              <w:rPr>
                <w:rFonts w:cs="Arial"/>
              </w:rPr>
              <w:t>Sebagai kelanjutan dari Pe</w:t>
            </w:r>
            <w:r w:rsidRPr="00A67277">
              <w:rPr>
                <w:rFonts w:cs="Arial"/>
                <w:lang w:val="id-ID"/>
              </w:rPr>
              <w:t>ngalihan</w:t>
            </w:r>
            <w:r w:rsidRPr="00A67277">
              <w:rPr>
                <w:rFonts w:cs="Arial"/>
              </w:rPr>
              <w:t xml:space="preserve">, </w:t>
            </w:r>
            <w:r w:rsidRPr="00A67277">
              <w:rPr>
                <w:rFonts w:cs="Arial"/>
                <w:lang w:val="id-ID"/>
              </w:rPr>
              <w:t>BUP</w:t>
            </w:r>
            <w:r w:rsidRPr="00A67277">
              <w:rPr>
                <w:rFonts w:cs="Arial"/>
              </w:rPr>
              <w:t xml:space="preserve">, </w:t>
            </w:r>
            <w:r w:rsidRPr="00A67277">
              <w:rPr>
                <w:rFonts w:cs="Arial"/>
                <w:lang w:val="id-ID"/>
              </w:rPr>
              <w:t xml:space="preserve">PJPK </w:t>
            </w:r>
            <w:r w:rsidRPr="00A67277">
              <w:rPr>
                <w:rFonts w:cs="Arial"/>
              </w:rPr>
              <w:t>dan Perwakilan (untuk dirinya sendiri dan atas nama Pihak Pembiaya) setuju sebagai berikut:</w:t>
            </w:r>
          </w:p>
        </w:tc>
      </w:tr>
      <w:tr w:rsidR="00A67277" w:rsidRPr="00A67277" w14:paraId="6F6592E1" w14:textId="77777777" w:rsidTr="00923319">
        <w:tc>
          <w:tcPr>
            <w:tcW w:w="4886" w:type="dxa"/>
          </w:tcPr>
          <w:p w14:paraId="32AB6B93" w14:textId="77777777" w:rsidR="00923319" w:rsidRPr="00A67277" w:rsidRDefault="00923319" w:rsidP="00923319">
            <w:pPr>
              <w:pStyle w:val="SchNumber3"/>
              <w:numPr>
                <w:ilvl w:val="0"/>
                <w:numId w:val="0"/>
              </w:numPr>
              <w:spacing w:before="120" w:after="120"/>
              <w:ind w:left="702"/>
              <w:rPr>
                <w:rFonts w:cs="Arial"/>
                <w:b/>
              </w:rPr>
            </w:pPr>
            <w:r w:rsidRPr="00A67277">
              <w:rPr>
                <w:rFonts w:cs="Arial"/>
                <w:b/>
              </w:rPr>
              <w:t>No Transfer of Liability</w:t>
            </w:r>
          </w:p>
        </w:tc>
        <w:tc>
          <w:tcPr>
            <w:tcW w:w="243" w:type="dxa"/>
          </w:tcPr>
          <w:p w14:paraId="754AB05B" w14:textId="77777777" w:rsidR="00923319" w:rsidRPr="00A67277" w:rsidRDefault="00923319" w:rsidP="00923319">
            <w:pPr>
              <w:spacing w:before="120" w:after="120"/>
              <w:rPr>
                <w:rFonts w:ascii="Arial" w:hAnsi="Arial" w:cs="Arial"/>
                <w:sz w:val="21"/>
                <w:szCs w:val="21"/>
              </w:rPr>
            </w:pPr>
          </w:p>
        </w:tc>
        <w:tc>
          <w:tcPr>
            <w:tcW w:w="4568" w:type="dxa"/>
          </w:tcPr>
          <w:p w14:paraId="4D5C779D" w14:textId="77777777" w:rsidR="00923319" w:rsidRPr="00A67277" w:rsidRDefault="00923319" w:rsidP="00923319">
            <w:pPr>
              <w:pStyle w:val="SchNumber3"/>
              <w:numPr>
                <w:ilvl w:val="0"/>
                <w:numId w:val="0"/>
              </w:numPr>
              <w:tabs>
                <w:tab w:val="left" w:pos="652"/>
              </w:tabs>
              <w:spacing w:before="120" w:after="120"/>
              <w:ind w:left="652"/>
              <w:rPr>
                <w:rFonts w:cs="Arial"/>
                <w:b/>
                <w:lang w:val="id-ID"/>
              </w:rPr>
            </w:pPr>
            <w:r w:rsidRPr="00A67277">
              <w:rPr>
                <w:rFonts w:cs="Arial"/>
                <w:b/>
              </w:rPr>
              <w:t>Tidak ada Kewajiban Pengalihan</w:t>
            </w:r>
          </w:p>
        </w:tc>
      </w:tr>
      <w:tr w:rsidR="00A67277" w:rsidRPr="00A67277" w14:paraId="21279014" w14:textId="77777777" w:rsidTr="00923319">
        <w:tc>
          <w:tcPr>
            <w:tcW w:w="4886" w:type="dxa"/>
          </w:tcPr>
          <w:p w14:paraId="26C0C191"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GCA acknowledges that the Representative will not assume any liabilities or obligations under, pursuant to, or in connection with, the Cooperation Agreement as a result of the Assignment. </w:t>
            </w:r>
          </w:p>
        </w:tc>
        <w:tc>
          <w:tcPr>
            <w:tcW w:w="243" w:type="dxa"/>
          </w:tcPr>
          <w:p w14:paraId="4BCEAD05" w14:textId="77777777" w:rsidR="00923319" w:rsidRPr="00A67277" w:rsidRDefault="00923319" w:rsidP="00923319">
            <w:pPr>
              <w:spacing w:before="120" w:after="120"/>
              <w:rPr>
                <w:rFonts w:ascii="Arial" w:hAnsi="Arial" w:cs="Arial"/>
                <w:sz w:val="21"/>
                <w:szCs w:val="21"/>
              </w:rPr>
            </w:pPr>
          </w:p>
        </w:tc>
        <w:tc>
          <w:tcPr>
            <w:tcW w:w="4568" w:type="dxa"/>
          </w:tcPr>
          <w:p w14:paraId="52D06E62"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PJPK dengan ini mengakui dan menyatakan tidak akan menanggung setiap tanggung jawab dan setiap kewajiban berdasarkan atau sehubungan dengan Perjanjian Kerjasama sebagai hasil atas Pengalihan.</w:t>
            </w:r>
          </w:p>
        </w:tc>
      </w:tr>
      <w:tr w:rsidR="00A67277" w:rsidRPr="00A67277" w14:paraId="13F49506" w14:textId="77777777" w:rsidTr="00923319">
        <w:tc>
          <w:tcPr>
            <w:tcW w:w="4886" w:type="dxa"/>
          </w:tcPr>
          <w:p w14:paraId="05CF0704"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The IBE acknowledges that, subject to the terms of this consent letter and notwithstanding the Assignment, the IBE remains fully responsible for the fulfilment of all its present and future liabilities and obligations under, pursuant to, or in connection, with the Cooperation Agreement.</w:t>
            </w:r>
          </w:p>
        </w:tc>
        <w:tc>
          <w:tcPr>
            <w:tcW w:w="243" w:type="dxa"/>
          </w:tcPr>
          <w:p w14:paraId="724CDD52" w14:textId="77777777" w:rsidR="00923319" w:rsidRPr="00A67277" w:rsidRDefault="00923319" w:rsidP="00923319">
            <w:pPr>
              <w:spacing w:before="120" w:after="120"/>
              <w:rPr>
                <w:rFonts w:ascii="Arial" w:hAnsi="Arial" w:cs="Arial"/>
                <w:sz w:val="21"/>
                <w:szCs w:val="21"/>
              </w:rPr>
            </w:pPr>
          </w:p>
        </w:tc>
        <w:tc>
          <w:tcPr>
            <w:tcW w:w="4568" w:type="dxa"/>
          </w:tcPr>
          <w:p w14:paraId="09D38DD3"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 xml:space="preserve">BUP </w:t>
            </w:r>
            <w:r w:rsidRPr="00A67277">
              <w:rPr>
                <w:rFonts w:cs="Arial"/>
              </w:rPr>
              <w:t>mengakui bahwa, sesuai dengan persyaratan dalam surat persetujuan ini dan terlepas dari P</w:t>
            </w:r>
            <w:r w:rsidRPr="00A67277">
              <w:rPr>
                <w:rFonts w:cs="Arial"/>
                <w:lang w:val="id-ID"/>
              </w:rPr>
              <w:t>engalihan</w:t>
            </w:r>
            <w:r w:rsidRPr="00A67277">
              <w:rPr>
                <w:rFonts w:cs="Arial"/>
              </w:rPr>
              <w:t xml:space="preserve">, </w:t>
            </w:r>
            <w:r w:rsidRPr="00A67277">
              <w:rPr>
                <w:rFonts w:cs="Arial"/>
                <w:lang w:val="id-ID"/>
              </w:rPr>
              <w:t>BUP</w:t>
            </w:r>
            <w:r w:rsidRPr="00A67277">
              <w:rPr>
                <w:rFonts w:cs="Arial"/>
              </w:rPr>
              <w:t xml:space="preserve"> tetap bertanggung jawab penuh atas pemenuhan se</w:t>
            </w:r>
            <w:r w:rsidRPr="00A67277">
              <w:rPr>
                <w:rFonts w:cs="Arial"/>
                <w:lang w:val="id-ID"/>
              </w:rPr>
              <w:t>luruh</w:t>
            </w:r>
            <w:r w:rsidRPr="00A67277">
              <w:rPr>
                <w:rFonts w:cs="Arial"/>
              </w:rPr>
              <w:t xml:space="preserve"> kewajiban</w:t>
            </w:r>
            <w:r w:rsidRPr="00A67277">
              <w:rPr>
                <w:rFonts w:cs="Arial"/>
                <w:lang w:val="id-ID"/>
              </w:rPr>
              <w:t xml:space="preserve"> yang telah ada</w:t>
            </w:r>
            <w:r w:rsidRPr="00A67277">
              <w:rPr>
                <w:rFonts w:cs="Arial"/>
              </w:rPr>
              <w:t xml:space="preserve"> dan kewajiban </w:t>
            </w:r>
            <w:r w:rsidRPr="00A67277">
              <w:rPr>
                <w:rFonts w:cs="Arial"/>
                <w:lang w:val="id-ID"/>
              </w:rPr>
              <w:t xml:space="preserve">yang akan ada </w:t>
            </w:r>
            <w:r w:rsidRPr="00A67277">
              <w:rPr>
                <w:rFonts w:cs="Arial"/>
              </w:rPr>
              <w:t>berdasarkan, sesuai dengan, atau sehubungan dengan, dengan Perjanjian Kerjasama.</w:t>
            </w:r>
          </w:p>
        </w:tc>
      </w:tr>
      <w:tr w:rsidR="00A67277" w:rsidRPr="00A67277" w14:paraId="46833859" w14:textId="77777777" w:rsidTr="00923319">
        <w:tc>
          <w:tcPr>
            <w:tcW w:w="4886" w:type="dxa"/>
          </w:tcPr>
          <w:p w14:paraId="2905B197" w14:textId="77777777" w:rsidR="00923319" w:rsidRPr="00A67277" w:rsidRDefault="00923319" w:rsidP="00923319">
            <w:pPr>
              <w:pStyle w:val="SchNumber3"/>
              <w:numPr>
                <w:ilvl w:val="0"/>
                <w:numId w:val="0"/>
              </w:numPr>
              <w:spacing w:before="120" w:after="120"/>
              <w:ind w:left="720"/>
              <w:rPr>
                <w:rFonts w:cs="Arial"/>
                <w:b/>
              </w:rPr>
            </w:pPr>
            <w:r w:rsidRPr="00A67277">
              <w:rPr>
                <w:rFonts w:cs="Arial"/>
                <w:b/>
              </w:rPr>
              <w:t>Payment of Prices</w:t>
            </w:r>
          </w:p>
        </w:tc>
        <w:tc>
          <w:tcPr>
            <w:tcW w:w="243" w:type="dxa"/>
          </w:tcPr>
          <w:p w14:paraId="5A7AC05A" w14:textId="77777777" w:rsidR="00923319" w:rsidRPr="00A67277" w:rsidRDefault="00923319" w:rsidP="00923319">
            <w:pPr>
              <w:spacing w:before="120" w:after="120"/>
              <w:rPr>
                <w:rFonts w:ascii="Arial" w:hAnsi="Arial" w:cs="Arial"/>
                <w:sz w:val="21"/>
                <w:szCs w:val="21"/>
              </w:rPr>
            </w:pPr>
          </w:p>
        </w:tc>
        <w:tc>
          <w:tcPr>
            <w:tcW w:w="4568" w:type="dxa"/>
          </w:tcPr>
          <w:p w14:paraId="32321603" w14:textId="77777777" w:rsidR="00923319" w:rsidRPr="00A67277" w:rsidRDefault="00923319" w:rsidP="00923319">
            <w:pPr>
              <w:pStyle w:val="SchNumber3"/>
              <w:numPr>
                <w:ilvl w:val="0"/>
                <w:numId w:val="0"/>
              </w:numPr>
              <w:spacing w:before="120" w:after="120"/>
              <w:ind w:left="613"/>
              <w:rPr>
                <w:rFonts w:cs="Arial"/>
                <w:b/>
                <w:lang w:val="id-ID"/>
              </w:rPr>
            </w:pPr>
            <w:r w:rsidRPr="00A67277">
              <w:rPr>
                <w:rFonts w:cs="Arial"/>
                <w:b/>
              </w:rPr>
              <w:t>Pembayaran Biaya Kontrak</w:t>
            </w:r>
          </w:p>
        </w:tc>
      </w:tr>
      <w:tr w:rsidR="00A67277" w:rsidRPr="00A67277" w14:paraId="3D99997E" w14:textId="77777777" w:rsidTr="00923319">
        <w:tc>
          <w:tcPr>
            <w:tcW w:w="4886" w:type="dxa"/>
          </w:tcPr>
          <w:p w14:paraId="33157E35"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From the earliest of: (i) the date of a Representative Notice (as defined below); or (ii) the date of the </w:t>
            </w:r>
            <w:r w:rsidRPr="008A28BF">
              <w:rPr>
                <w:rFonts w:cs="Arial"/>
              </w:rPr>
              <w:t>Cure</w:t>
            </w:r>
            <w:r w:rsidRPr="00A67277">
              <w:rPr>
                <w:rFonts w:cs="Arial"/>
              </w:rPr>
              <w:t xml:space="preserve"> Notice (as defined below), GCA shall make each payment to be made by it under the Cooperation Agreement (subject to any claims or rights it may have against the IBE under the Cooperation Agreement including any right of set off), in immediately available funds to account no. [●] in the name of the IBE at [●] (or to such other account as the Representative may specify from time to time on 14 Days prior notice in writing to GCA).</w:t>
            </w:r>
          </w:p>
        </w:tc>
        <w:tc>
          <w:tcPr>
            <w:tcW w:w="243" w:type="dxa"/>
          </w:tcPr>
          <w:p w14:paraId="5A9782DB" w14:textId="77777777" w:rsidR="00923319" w:rsidRPr="00A67277" w:rsidRDefault="00923319" w:rsidP="00923319">
            <w:pPr>
              <w:spacing w:before="120" w:after="120"/>
              <w:rPr>
                <w:rFonts w:ascii="Arial" w:hAnsi="Arial" w:cs="Arial"/>
                <w:sz w:val="21"/>
                <w:szCs w:val="21"/>
              </w:rPr>
            </w:pPr>
          </w:p>
        </w:tc>
        <w:tc>
          <w:tcPr>
            <w:tcW w:w="4568" w:type="dxa"/>
          </w:tcPr>
          <w:p w14:paraId="0183EFF7"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rPr>
              <w:t xml:space="preserve">Sejak awal: (i) </w:t>
            </w:r>
            <w:r w:rsidRPr="00A67277">
              <w:rPr>
                <w:rFonts w:cs="Arial"/>
                <w:lang w:val="id-ID"/>
              </w:rPr>
              <w:t xml:space="preserve">pada </w:t>
            </w:r>
            <w:r w:rsidRPr="00A67277">
              <w:rPr>
                <w:rFonts w:cs="Arial"/>
              </w:rPr>
              <w:t xml:space="preserve">tanggal Pemberitahuan Perwakilan (sebagaimana didefinisikan di bawah ini); atau (ii) tanggal Pemberitahuan </w:t>
            </w:r>
            <w:r w:rsidRPr="00A67277">
              <w:rPr>
                <w:rFonts w:cs="Arial"/>
                <w:lang w:val="id-ID"/>
              </w:rPr>
              <w:t>Pemulihan</w:t>
            </w:r>
            <w:r w:rsidRPr="00A67277">
              <w:rPr>
                <w:rFonts w:cs="Arial"/>
              </w:rPr>
              <w:t xml:space="preserve"> (sebagaimana didefinisikan di bawah), </w:t>
            </w:r>
            <w:r w:rsidRPr="00A67277">
              <w:rPr>
                <w:rFonts w:cs="Arial"/>
                <w:lang w:val="id-ID"/>
              </w:rPr>
              <w:t>PJPK</w:t>
            </w:r>
            <w:r w:rsidRPr="00A67277">
              <w:rPr>
                <w:rFonts w:cs="Arial"/>
              </w:rPr>
              <w:t xml:space="preserve"> akan membuat setiap pembayaran dilakukan olehnya berdasarkan Perjanjian Kerjasama (dengan tunduk pada klaim atau hak apa pun terhadap </w:t>
            </w:r>
            <w:r w:rsidRPr="00A67277">
              <w:rPr>
                <w:rFonts w:cs="Arial"/>
                <w:lang w:val="id-ID"/>
              </w:rPr>
              <w:t>BUP</w:t>
            </w:r>
            <w:r w:rsidRPr="00A67277">
              <w:rPr>
                <w:rFonts w:cs="Arial"/>
              </w:rPr>
              <w:t xml:space="preserve"> berdasarkan Perjanjian Kerjasama termasuk juga hak </w:t>
            </w:r>
            <w:r w:rsidRPr="00A67277">
              <w:rPr>
                <w:rFonts w:cs="Arial"/>
                <w:lang w:val="id-ID"/>
              </w:rPr>
              <w:t>perjumpaan hutang</w:t>
            </w:r>
            <w:r w:rsidRPr="00A67277">
              <w:rPr>
                <w:rFonts w:cs="Arial"/>
              </w:rPr>
              <w:t xml:space="preserve">), </w:t>
            </w:r>
            <w:r w:rsidRPr="00A67277">
              <w:rPr>
                <w:rFonts w:cs="Arial"/>
                <w:lang w:val="id-ID"/>
              </w:rPr>
              <w:t>akan</w:t>
            </w:r>
            <w:r w:rsidRPr="00A67277">
              <w:rPr>
                <w:rFonts w:cs="Arial"/>
              </w:rPr>
              <w:t xml:space="preserve"> tersedia ke rekening no. [●] atas nama </w:t>
            </w:r>
            <w:r w:rsidRPr="00A67277">
              <w:rPr>
                <w:rFonts w:cs="Arial"/>
                <w:lang w:val="id-ID"/>
              </w:rPr>
              <w:t>BUP</w:t>
            </w:r>
            <w:r w:rsidRPr="00A67277">
              <w:rPr>
                <w:rFonts w:cs="Arial"/>
              </w:rPr>
              <w:t xml:space="preserve"> d</w:t>
            </w:r>
            <w:r w:rsidRPr="00A67277">
              <w:rPr>
                <w:rFonts w:cs="Arial"/>
                <w:lang w:val="id-ID"/>
              </w:rPr>
              <w:t>engan alamat</w:t>
            </w:r>
            <w:r w:rsidRPr="00A67277">
              <w:rPr>
                <w:rFonts w:cs="Arial"/>
              </w:rPr>
              <w:t xml:space="preserve"> [●] (atau ke akun lain seperti yang dapat ditentukan oleh Perwakilan dari waktu ke waktu pada 14 Hari pemberitahuan sebelumnya secara tertulis kepada </w:t>
            </w:r>
            <w:r w:rsidRPr="00A67277">
              <w:rPr>
                <w:rFonts w:cs="Arial"/>
                <w:lang w:val="id-ID"/>
              </w:rPr>
              <w:t>PJPK</w:t>
            </w:r>
            <w:r w:rsidRPr="00A67277">
              <w:rPr>
                <w:rFonts w:cs="Arial"/>
                <w:lang w:val="en-ID"/>
              </w:rPr>
              <w:t>)</w:t>
            </w:r>
            <w:r w:rsidRPr="00A67277">
              <w:rPr>
                <w:rFonts w:cs="Arial"/>
              </w:rPr>
              <w:t>.</w:t>
            </w:r>
          </w:p>
        </w:tc>
      </w:tr>
      <w:tr w:rsidR="00A67277" w:rsidRPr="00A67277" w14:paraId="3AAA5F84" w14:textId="77777777" w:rsidTr="00923319">
        <w:tc>
          <w:tcPr>
            <w:tcW w:w="4886" w:type="dxa"/>
          </w:tcPr>
          <w:p w14:paraId="48A24A8B"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The IBE hereby authorizes and requests GCA to make such payment as provided in paragraph (3)(c) above and agrees that such payments shall satisfy in full GCA's obligation to pay such amounts to the IBE under the Cooperation Agreement. The IBE shall have no right whatsoever to cancel, rescind or repeal the instruction and Authorization in paragraph (3)(c) above without the prior written consent of the Representative.</w:t>
            </w:r>
          </w:p>
        </w:tc>
        <w:tc>
          <w:tcPr>
            <w:tcW w:w="243" w:type="dxa"/>
          </w:tcPr>
          <w:p w14:paraId="15129EA6" w14:textId="77777777" w:rsidR="00923319" w:rsidRPr="00A67277" w:rsidRDefault="00923319" w:rsidP="00923319">
            <w:pPr>
              <w:spacing w:before="120" w:after="120"/>
              <w:rPr>
                <w:rFonts w:ascii="Arial" w:hAnsi="Arial" w:cs="Arial"/>
                <w:sz w:val="21"/>
                <w:szCs w:val="21"/>
              </w:rPr>
            </w:pPr>
          </w:p>
        </w:tc>
        <w:tc>
          <w:tcPr>
            <w:tcW w:w="4568" w:type="dxa"/>
          </w:tcPr>
          <w:p w14:paraId="065D0C37"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BUP</w:t>
            </w:r>
            <w:r w:rsidRPr="00A67277">
              <w:rPr>
                <w:rFonts w:cs="Arial"/>
              </w:rPr>
              <w:t xml:space="preserve"> dengan ini memberi kuasa dan meminta </w:t>
            </w:r>
            <w:r w:rsidRPr="00A67277">
              <w:rPr>
                <w:rFonts w:cs="Arial"/>
                <w:lang w:val="id-ID"/>
              </w:rPr>
              <w:t>PJPK</w:t>
            </w:r>
            <w:r w:rsidRPr="00A67277">
              <w:rPr>
                <w:rFonts w:cs="Arial"/>
              </w:rPr>
              <w:t xml:space="preserve"> untuk melakukan pembayaran tersebut sebagaimana dimaksud pada paragraf (3)(c) di atas dan menyetujui bahwa pembayaran tersebut harus memenuhi </w:t>
            </w:r>
            <w:r w:rsidRPr="00A67277">
              <w:rPr>
                <w:rFonts w:cs="Arial"/>
                <w:lang w:val="id-ID"/>
              </w:rPr>
              <w:t xml:space="preserve">atas </w:t>
            </w:r>
            <w:r w:rsidRPr="00A67277">
              <w:rPr>
                <w:rFonts w:cs="Arial"/>
              </w:rPr>
              <w:t>kewajiban</w:t>
            </w:r>
            <w:r w:rsidRPr="00A67277">
              <w:rPr>
                <w:rFonts w:cs="Arial"/>
                <w:lang w:val="id-ID"/>
              </w:rPr>
              <w:t xml:space="preserve"> </w:t>
            </w:r>
            <w:r w:rsidRPr="00A67277">
              <w:rPr>
                <w:rFonts w:cs="Arial"/>
              </w:rPr>
              <w:t xml:space="preserve">penuh </w:t>
            </w:r>
            <w:r w:rsidRPr="00A67277">
              <w:rPr>
                <w:rFonts w:cs="Arial"/>
                <w:lang w:val="id-ID"/>
              </w:rPr>
              <w:t>PJPK</w:t>
            </w:r>
            <w:r w:rsidRPr="00A67277">
              <w:rPr>
                <w:rFonts w:cs="Arial"/>
              </w:rPr>
              <w:t xml:space="preserve"> untuk membayar jumlah tersebut kepada </w:t>
            </w:r>
            <w:r w:rsidRPr="00A67277">
              <w:rPr>
                <w:rFonts w:cs="Arial"/>
                <w:lang w:val="id-ID"/>
              </w:rPr>
              <w:t>BUP</w:t>
            </w:r>
            <w:r w:rsidRPr="00A67277">
              <w:rPr>
                <w:rFonts w:cs="Arial"/>
              </w:rPr>
              <w:t xml:space="preserve"> berdasarkan Perjanjian Kerjasama. </w:t>
            </w:r>
            <w:r w:rsidRPr="00A67277">
              <w:rPr>
                <w:rFonts w:cs="Arial"/>
                <w:lang w:val="id-ID"/>
              </w:rPr>
              <w:t>BUP</w:t>
            </w:r>
            <w:r w:rsidRPr="00A67277">
              <w:rPr>
                <w:rFonts w:cs="Arial"/>
              </w:rPr>
              <w:t xml:space="preserve"> tidak berhak membatalkan atau mencabut instruksi dan </w:t>
            </w:r>
            <w:r w:rsidRPr="00A67277">
              <w:rPr>
                <w:rFonts w:cs="Arial"/>
                <w:lang w:val="id-ID"/>
              </w:rPr>
              <w:t>Persetujuan-persetujuan</w:t>
            </w:r>
            <w:r w:rsidRPr="00A67277">
              <w:rPr>
                <w:rFonts w:cs="Arial"/>
              </w:rPr>
              <w:t xml:space="preserve"> pada paragraf (3)(c) di atas tanpa persetujuan tertulis dari Perwakilan terlebih dahulu.</w:t>
            </w:r>
          </w:p>
        </w:tc>
      </w:tr>
      <w:tr w:rsidR="00A67277" w:rsidRPr="00A67277" w14:paraId="29125E26" w14:textId="77777777" w:rsidTr="00923319">
        <w:tc>
          <w:tcPr>
            <w:tcW w:w="4886" w:type="dxa"/>
          </w:tcPr>
          <w:p w14:paraId="351F1402" w14:textId="77777777" w:rsidR="00923319" w:rsidRPr="00A67277" w:rsidRDefault="00923319" w:rsidP="00923319">
            <w:pPr>
              <w:pStyle w:val="SchNumber3"/>
              <w:numPr>
                <w:ilvl w:val="0"/>
                <w:numId w:val="0"/>
              </w:numPr>
              <w:spacing w:before="120" w:after="120"/>
              <w:jc w:val="center"/>
              <w:rPr>
                <w:rFonts w:cs="Arial"/>
                <w:b/>
              </w:rPr>
            </w:pPr>
            <w:r w:rsidRPr="00A67277">
              <w:rPr>
                <w:rFonts w:cs="Arial"/>
                <w:b/>
              </w:rPr>
              <w:t>Prior Notice for Exercising of Rights</w:t>
            </w:r>
          </w:p>
        </w:tc>
        <w:tc>
          <w:tcPr>
            <w:tcW w:w="243" w:type="dxa"/>
          </w:tcPr>
          <w:p w14:paraId="044F6E64" w14:textId="77777777" w:rsidR="00923319" w:rsidRPr="00A67277" w:rsidRDefault="00923319" w:rsidP="00923319">
            <w:pPr>
              <w:spacing w:before="120" w:after="120"/>
              <w:rPr>
                <w:rFonts w:ascii="Arial" w:hAnsi="Arial" w:cs="Arial"/>
                <w:sz w:val="21"/>
                <w:szCs w:val="21"/>
              </w:rPr>
            </w:pPr>
          </w:p>
        </w:tc>
        <w:tc>
          <w:tcPr>
            <w:tcW w:w="4568" w:type="dxa"/>
          </w:tcPr>
          <w:p w14:paraId="764AA7C0" w14:textId="77777777" w:rsidR="00923319" w:rsidRPr="00A67277" w:rsidRDefault="00923319" w:rsidP="00923319">
            <w:pPr>
              <w:pStyle w:val="SchNumber3"/>
              <w:numPr>
                <w:ilvl w:val="0"/>
                <w:numId w:val="0"/>
              </w:numPr>
              <w:spacing w:before="120" w:after="120"/>
              <w:ind w:left="613"/>
              <w:rPr>
                <w:rFonts w:cs="Arial"/>
                <w:b/>
              </w:rPr>
            </w:pPr>
            <w:r w:rsidRPr="00A67277">
              <w:rPr>
                <w:rFonts w:cs="Arial"/>
                <w:b/>
              </w:rPr>
              <w:t>Pemberitahuan Sebelumya dalam Melaksanakan Hak-Hak</w:t>
            </w:r>
          </w:p>
        </w:tc>
      </w:tr>
      <w:tr w:rsidR="00A67277" w:rsidRPr="00A67277" w14:paraId="0CA18849" w14:textId="77777777" w:rsidTr="00923319">
        <w:tc>
          <w:tcPr>
            <w:tcW w:w="4886" w:type="dxa"/>
          </w:tcPr>
          <w:p w14:paraId="40B292C6"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GCA may not terminate the Cooperation Agreement, or exercise the GCA Step-In Rights under the Cooperation Agreement, without giving the Representative a copy of any notice given to IBE pursuant to Clause 23.4 (</w:t>
            </w:r>
            <w:r w:rsidRPr="00A67277">
              <w:rPr>
                <w:rFonts w:cs="Arial"/>
                <w:i/>
              </w:rPr>
              <w:t>Remedial Procedures and Termination upon Default</w:t>
            </w:r>
            <w:r w:rsidRPr="00A67277">
              <w:rPr>
                <w:rFonts w:cs="Arial"/>
              </w:rPr>
              <w:t>) or Clause 27.3 (</w:t>
            </w:r>
            <w:r w:rsidRPr="00A67277">
              <w:rPr>
                <w:rFonts w:cs="Arial"/>
                <w:i/>
              </w:rPr>
              <w:t>Step-In Notice</w:t>
            </w:r>
            <w:r w:rsidRPr="00A67277">
              <w:rPr>
                <w:rFonts w:cs="Arial"/>
              </w:rPr>
              <w:t xml:space="preserve">), as applicable, of the Cooperation Agreement (such notice or notice(s), a </w:t>
            </w:r>
            <w:r w:rsidRPr="00A67277">
              <w:rPr>
                <w:rFonts w:cs="Arial"/>
                <w:b/>
              </w:rPr>
              <w:t>GCA Notice</w:t>
            </w:r>
            <w:r w:rsidRPr="00A67277">
              <w:rPr>
                <w:rFonts w:cs="Arial"/>
              </w:rPr>
              <w:t>).</w:t>
            </w:r>
          </w:p>
        </w:tc>
        <w:tc>
          <w:tcPr>
            <w:tcW w:w="243" w:type="dxa"/>
          </w:tcPr>
          <w:p w14:paraId="1DB58DE6" w14:textId="77777777" w:rsidR="00923319" w:rsidRPr="00A67277" w:rsidRDefault="00923319" w:rsidP="00923319">
            <w:pPr>
              <w:spacing w:before="120" w:after="120"/>
              <w:rPr>
                <w:rFonts w:ascii="Arial" w:hAnsi="Arial" w:cs="Arial"/>
                <w:sz w:val="21"/>
                <w:szCs w:val="21"/>
              </w:rPr>
            </w:pPr>
          </w:p>
        </w:tc>
        <w:tc>
          <w:tcPr>
            <w:tcW w:w="4568" w:type="dxa"/>
          </w:tcPr>
          <w:p w14:paraId="59116D78" w14:textId="77777777" w:rsidR="00923319" w:rsidRPr="00A67277" w:rsidRDefault="00923319" w:rsidP="00923319">
            <w:pPr>
              <w:pStyle w:val="SchNumber3"/>
              <w:numPr>
                <w:ilvl w:val="0"/>
                <w:numId w:val="608"/>
              </w:numPr>
              <w:spacing w:before="120" w:after="120"/>
              <w:ind w:left="1219" w:hanging="567"/>
              <w:rPr>
                <w:rFonts w:cs="Arial"/>
                <w:lang w:val="id-ID"/>
              </w:rPr>
            </w:pPr>
            <w:r w:rsidRPr="00A67277">
              <w:rPr>
                <w:rFonts w:cs="Arial"/>
                <w:lang w:val="id-ID"/>
              </w:rPr>
              <w:t>PJPK tidak dapat mengakhiri Perjanjian Kerjasama, atau menjalankan Hak Step-in PJPK berdasarkan Perjanjian Kerjasama ini, tanpa memberikan pemberitahuan kepada Perwakilan yang diberikan kepada BUP sesuai dengan Pasal 23.4 (</w:t>
            </w:r>
            <w:r w:rsidRPr="00A67277">
              <w:rPr>
                <w:rFonts w:cs="Arial"/>
                <w:i/>
                <w:lang w:val="id-ID"/>
              </w:rPr>
              <w:t>Prosedur Pemulihan dan Pengakhiran Karena Cidera Janji)</w:t>
            </w:r>
            <w:r w:rsidRPr="00A67277">
              <w:rPr>
                <w:rFonts w:cs="Arial"/>
                <w:lang w:val="id-ID"/>
              </w:rPr>
              <w:t xml:space="preserve"> atau Klausul 27.3 (</w:t>
            </w:r>
            <w:r w:rsidRPr="00A67277">
              <w:rPr>
                <w:rFonts w:cs="Arial"/>
                <w:i/>
                <w:lang w:val="id-ID"/>
              </w:rPr>
              <w:t>Pemberitahuan Step-In)</w:t>
            </w:r>
            <w:r w:rsidRPr="00A67277">
              <w:rPr>
                <w:rFonts w:cs="Arial"/>
                <w:lang w:val="id-ID"/>
              </w:rPr>
              <w:t xml:space="preserve">, sebagaimana berlaku, dari Perjanjian Kerjasama (pemberitahuan tersebut atau pemberitahuan(-pemberitahuan), suatu </w:t>
            </w:r>
            <w:r w:rsidRPr="00A67277">
              <w:rPr>
                <w:rFonts w:cs="Arial"/>
                <w:b/>
                <w:lang w:val="id-ID"/>
              </w:rPr>
              <w:t>Pemberitahuan PJPK</w:t>
            </w:r>
            <w:r w:rsidRPr="00A67277">
              <w:rPr>
                <w:rFonts w:cs="Arial"/>
                <w:lang w:val="id-ID"/>
              </w:rPr>
              <w:t>)</w:t>
            </w:r>
            <w:r w:rsidRPr="00A67277">
              <w:rPr>
                <w:rFonts w:cs="Arial"/>
                <w:lang w:val="en-US"/>
              </w:rPr>
              <w:t>.</w:t>
            </w:r>
          </w:p>
        </w:tc>
      </w:tr>
      <w:tr w:rsidR="00A67277" w:rsidRPr="00A67277" w14:paraId="3FB05E9F" w14:textId="77777777" w:rsidTr="00923319">
        <w:tc>
          <w:tcPr>
            <w:tcW w:w="4886" w:type="dxa"/>
          </w:tcPr>
          <w:p w14:paraId="2BF61D61" w14:textId="77777777" w:rsidR="00923319" w:rsidRPr="00A67277" w:rsidRDefault="00923319" w:rsidP="00923319">
            <w:pPr>
              <w:pStyle w:val="SchNumber3"/>
              <w:numPr>
                <w:ilvl w:val="0"/>
                <w:numId w:val="0"/>
              </w:numPr>
              <w:spacing w:before="120" w:after="120"/>
              <w:ind w:left="720"/>
              <w:rPr>
                <w:rFonts w:cs="Arial"/>
                <w:b/>
              </w:rPr>
            </w:pPr>
            <w:r w:rsidRPr="008A28BF">
              <w:rPr>
                <w:rFonts w:cs="Arial"/>
                <w:b/>
              </w:rPr>
              <w:t>Cure b</w:t>
            </w:r>
            <w:r w:rsidRPr="00A67277">
              <w:rPr>
                <w:rFonts w:cs="Arial"/>
                <w:b/>
              </w:rPr>
              <w:t>y Financing Parties</w:t>
            </w:r>
          </w:p>
        </w:tc>
        <w:tc>
          <w:tcPr>
            <w:tcW w:w="243" w:type="dxa"/>
          </w:tcPr>
          <w:p w14:paraId="1BD1E94F" w14:textId="77777777" w:rsidR="00923319" w:rsidRPr="00A67277" w:rsidRDefault="00923319" w:rsidP="00923319">
            <w:pPr>
              <w:spacing w:before="120" w:after="120"/>
              <w:rPr>
                <w:rFonts w:ascii="Arial" w:hAnsi="Arial" w:cs="Arial"/>
                <w:sz w:val="21"/>
                <w:szCs w:val="21"/>
              </w:rPr>
            </w:pPr>
          </w:p>
        </w:tc>
        <w:tc>
          <w:tcPr>
            <w:tcW w:w="4568" w:type="dxa"/>
          </w:tcPr>
          <w:p w14:paraId="5EF031B9" w14:textId="77777777" w:rsidR="00923319" w:rsidRPr="00A67277" w:rsidRDefault="00923319" w:rsidP="00923319">
            <w:pPr>
              <w:pStyle w:val="SchNumber3"/>
              <w:numPr>
                <w:ilvl w:val="0"/>
                <w:numId w:val="0"/>
              </w:numPr>
              <w:spacing w:before="120" w:after="120"/>
              <w:ind w:left="613"/>
              <w:rPr>
                <w:rFonts w:cs="Arial"/>
                <w:b/>
              </w:rPr>
            </w:pPr>
            <w:r w:rsidRPr="00A67277">
              <w:rPr>
                <w:rFonts w:cs="Arial"/>
                <w:b/>
              </w:rPr>
              <w:t>Pemulihan oleh Pihak Pembiaya</w:t>
            </w:r>
          </w:p>
        </w:tc>
      </w:tr>
      <w:tr w:rsidR="00A67277" w:rsidRPr="00A67277" w14:paraId="3F8D503A" w14:textId="77777777" w:rsidTr="00923319">
        <w:tc>
          <w:tcPr>
            <w:tcW w:w="4886" w:type="dxa"/>
          </w:tcPr>
          <w:p w14:paraId="6C2AE07C"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GCA grants the Representative a period of sixty (60) Days (or such longer period as may be specified in the GCA Notice or as the parties may agree) (such period, the </w:t>
            </w:r>
            <w:r w:rsidRPr="00A67277">
              <w:rPr>
                <w:rFonts w:cs="Arial"/>
                <w:b/>
              </w:rPr>
              <w:t>Election Period</w:t>
            </w:r>
            <w:r w:rsidRPr="00A67277">
              <w:rPr>
                <w:rFonts w:cs="Arial"/>
              </w:rPr>
              <w:t xml:space="preserve">) from the earlier of a receipt by the Representative of a copy of a GCA Notice, or the receipt by the GCA of a Representative Notice, to elect to exercise the rights pursuant to paragraphs (3)(i), (m) and / or (p). </w:t>
            </w:r>
          </w:p>
        </w:tc>
        <w:tc>
          <w:tcPr>
            <w:tcW w:w="243" w:type="dxa"/>
          </w:tcPr>
          <w:p w14:paraId="43F2F660" w14:textId="77777777" w:rsidR="00923319" w:rsidRPr="00A67277" w:rsidRDefault="00923319" w:rsidP="00923319">
            <w:pPr>
              <w:spacing w:before="120" w:after="120"/>
              <w:rPr>
                <w:rFonts w:ascii="Arial" w:hAnsi="Arial" w:cs="Arial"/>
                <w:sz w:val="21"/>
                <w:szCs w:val="21"/>
              </w:rPr>
            </w:pPr>
          </w:p>
        </w:tc>
        <w:tc>
          <w:tcPr>
            <w:tcW w:w="4568" w:type="dxa"/>
          </w:tcPr>
          <w:p w14:paraId="5AE28821"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 xml:space="preserve">PJPK  akan </w:t>
            </w:r>
            <w:r w:rsidRPr="00A67277">
              <w:rPr>
                <w:rFonts w:cs="Arial"/>
              </w:rPr>
              <w:t xml:space="preserve">memberikan </w:t>
            </w:r>
            <w:r w:rsidRPr="00A67277">
              <w:rPr>
                <w:rFonts w:cs="Arial"/>
                <w:lang w:val="id-ID"/>
              </w:rPr>
              <w:t>Perw</w:t>
            </w:r>
            <w:r w:rsidRPr="00A67277">
              <w:rPr>
                <w:rFonts w:cs="Arial"/>
              </w:rPr>
              <w:t>akil</w:t>
            </w:r>
            <w:r w:rsidRPr="00A67277">
              <w:rPr>
                <w:rFonts w:cs="Arial"/>
                <w:lang w:val="id-ID"/>
              </w:rPr>
              <w:t>an</w:t>
            </w:r>
            <w:r w:rsidRPr="00A67277">
              <w:rPr>
                <w:rFonts w:cs="Arial"/>
              </w:rPr>
              <w:t xml:space="preserve"> jangka waktu enam puluh (60) Hari (atau jangka waktu yang lebih lama sebagaimana dapat ditentukan </w:t>
            </w:r>
            <w:r w:rsidRPr="00A67277">
              <w:rPr>
                <w:rFonts w:cs="Arial"/>
                <w:lang w:val="id-ID"/>
              </w:rPr>
              <w:t>pada saat</w:t>
            </w:r>
            <w:r w:rsidRPr="00A67277">
              <w:rPr>
                <w:rFonts w:cs="Arial"/>
              </w:rPr>
              <w:t xml:space="preserve"> Pemberitahuan </w:t>
            </w:r>
            <w:r w:rsidRPr="00A67277">
              <w:rPr>
                <w:rFonts w:cs="Arial"/>
                <w:lang w:val="id-ID"/>
              </w:rPr>
              <w:t>PJPK</w:t>
            </w:r>
            <w:r w:rsidRPr="00A67277">
              <w:rPr>
                <w:rFonts w:cs="Arial"/>
              </w:rPr>
              <w:t xml:space="preserve"> atau sesuai dengan keputusan para pihak) (periode tersebut, </w:t>
            </w:r>
            <w:r w:rsidRPr="00A67277">
              <w:rPr>
                <w:rFonts w:cs="Arial"/>
                <w:b/>
                <w:lang w:val="id-ID"/>
              </w:rPr>
              <w:t>Jangka Waktu</w:t>
            </w:r>
            <w:r w:rsidRPr="00A67277">
              <w:rPr>
                <w:rFonts w:cs="Arial"/>
                <w:b/>
              </w:rPr>
              <w:t xml:space="preserve"> Pemil</w:t>
            </w:r>
            <w:r w:rsidRPr="00A67277">
              <w:rPr>
                <w:rFonts w:cs="Arial"/>
                <w:b/>
                <w:lang w:val="id-ID"/>
              </w:rPr>
              <w:t>ihan</w:t>
            </w:r>
            <w:r w:rsidRPr="00A67277">
              <w:rPr>
                <w:rFonts w:cs="Arial"/>
              </w:rPr>
              <w:t xml:space="preserve">) dari </w:t>
            </w:r>
            <w:r w:rsidRPr="00A67277">
              <w:rPr>
                <w:rFonts w:cs="Arial"/>
                <w:lang w:val="id-ID"/>
              </w:rPr>
              <w:t xml:space="preserve">penerimaan </w:t>
            </w:r>
            <w:r w:rsidRPr="00A67277">
              <w:rPr>
                <w:rFonts w:cs="Arial"/>
              </w:rPr>
              <w:t xml:space="preserve">sebelumnya oleh Perwakilan dari salinan Pemberitahuan </w:t>
            </w:r>
            <w:r w:rsidRPr="00A67277">
              <w:rPr>
                <w:rFonts w:cs="Arial"/>
                <w:lang w:val="id-ID"/>
              </w:rPr>
              <w:t>PJPK</w:t>
            </w:r>
            <w:r w:rsidRPr="00A67277">
              <w:rPr>
                <w:rFonts w:cs="Arial"/>
              </w:rPr>
              <w:t xml:space="preserve">, atau </w:t>
            </w:r>
            <w:r w:rsidRPr="00A67277">
              <w:rPr>
                <w:rFonts w:cs="Arial"/>
                <w:lang w:val="id-ID"/>
              </w:rPr>
              <w:t>penerimaan</w:t>
            </w:r>
            <w:r w:rsidRPr="00A67277">
              <w:rPr>
                <w:rFonts w:cs="Arial"/>
              </w:rPr>
              <w:t xml:space="preserve"> Pemberitahuan Perwakilan oleh </w:t>
            </w:r>
            <w:r w:rsidRPr="00A67277">
              <w:rPr>
                <w:rFonts w:cs="Arial"/>
                <w:lang w:val="id-ID"/>
              </w:rPr>
              <w:t>PJPK</w:t>
            </w:r>
            <w:r w:rsidRPr="00A67277">
              <w:rPr>
                <w:rFonts w:cs="Arial"/>
              </w:rPr>
              <w:t>, untuk memilih untuk melaksanakan hak</w:t>
            </w:r>
            <w:r w:rsidRPr="00A67277">
              <w:rPr>
                <w:rFonts w:cs="Arial"/>
                <w:lang w:val="id-ID"/>
              </w:rPr>
              <w:t>-haknya</w:t>
            </w:r>
            <w:r w:rsidRPr="00A67277">
              <w:rPr>
                <w:rFonts w:cs="Arial"/>
              </w:rPr>
              <w:t xml:space="preserve"> sesuai dengan paragraf (3)(i), (m) dan/atau (p).</w:t>
            </w:r>
          </w:p>
        </w:tc>
      </w:tr>
      <w:tr w:rsidR="00A67277" w:rsidRPr="00A67277" w14:paraId="22A1ADF7" w14:textId="77777777" w:rsidTr="00923319">
        <w:tc>
          <w:tcPr>
            <w:tcW w:w="4886" w:type="dxa"/>
          </w:tcPr>
          <w:p w14:paraId="2B4B8CAD" w14:textId="77777777" w:rsidR="00923319" w:rsidRPr="008A28BF" w:rsidRDefault="00923319" w:rsidP="00923319">
            <w:pPr>
              <w:pStyle w:val="SchNumber3"/>
              <w:numPr>
                <w:ilvl w:val="4"/>
                <w:numId w:val="564"/>
              </w:numPr>
              <w:tabs>
                <w:tab w:val="clear" w:pos="1418"/>
                <w:tab w:val="left" w:pos="1242"/>
              </w:tabs>
              <w:spacing w:before="120" w:after="120"/>
              <w:ind w:left="1242" w:hanging="540"/>
              <w:rPr>
                <w:rFonts w:cs="Arial"/>
              </w:rPr>
            </w:pPr>
            <w:r w:rsidRPr="008A28BF">
              <w:rPr>
                <w:rFonts w:cs="Arial"/>
              </w:rPr>
              <w:t xml:space="preserve">If the Representative intends to elect to exercise its rights under paragraphs (3)(i), (m) and / or (p), following receipt of a GCA Notice by the Representative or receipt of a Representative Notice by the GCA, the Representative must, within the Election Period or during the period when the event of default in respect of the Senior Debt (as defined in the Cooperation Agreement) is subsisting, give notice (a </w:t>
            </w:r>
            <w:r w:rsidRPr="008A28BF">
              <w:rPr>
                <w:rFonts w:cs="Arial"/>
                <w:b/>
              </w:rPr>
              <w:t>Cure Notice</w:t>
            </w:r>
            <w:r w:rsidRPr="008A28BF">
              <w:rPr>
                <w:rFonts w:cs="Arial"/>
              </w:rPr>
              <w:t xml:space="preserve">) to GCA in respect of itself or, subject to paragraph (3)(h), a designee of the Representative that is approved by GCA (a </w:t>
            </w:r>
            <w:r w:rsidRPr="008A28BF">
              <w:rPr>
                <w:rFonts w:cs="Arial"/>
                <w:b/>
              </w:rPr>
              <w:t>Financing Parties' Agent</w:t>
            </w:r>
            <w:r w:rsidRPr="008A28BF">
              <w:rPr>
                <w:rFonts w:cs="Arial"/>
              </w:rPr>
              <w:t xml:space="preserve">), stating that the Representative or the Financing Parties' Agent, as the case may be, (an </w:t>
            </w:r>
            <w:r w:rsidRPr="008A28BF">
              <w:rPr>
                <w:rFonts w:cs="Arial"/>
                <w:b/>
              </w:rPr>
              <w:t>Additional Obligor</w:t>
            </w:r>
            <w:r w:rsidRPr="008A28BF">
              <w:rPr>
                <w:rFonts w:cs="Arial"/>
              </w:rPr>
              <w:t>) intends to exercise such rights. If the Representative does not issue a Cure Notice during the Election Period, GCA may, upon the cessation of the Election Period, immediately terminate the Cooperation Agreement by notice to the IBE.</w:t>
            </w:r>
          </w:p>
        </w:tc>
        <w:tc>
          <w:tcPr>
            <w:tcW w:w="243" w:type="dxa"/>
          </w:tcPr>
          <w:p w14:paraId="0C6086E4" w14:textId="77777777" w:rsidR="00923319" w:rsidRPr="00A67277" w:rsidRDefault="00923319" w:rsidP="00923319">
            <w:pPr>
              <w:spacing w:before="120" w:after="120"/>
              <w:rPr>
                <w:rFonts w:ascii="Arial" w:hAnsi="Arial" w:cs="Arial"/>
                <w:sz w:val="21"/>
                <w:szCs w:val="21"/>
              </w:rPr>
            </w:pPr>
          </w:p>
        </w:tc>
        <w:tc>
          <w:tcPr>
            <w:tcW w:w="4568" w:type="dxa"/>
          </w:tcPr>
          <w:p w14:paraId="6E239B96"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en-ID"/>
              </w:rPr>
              <w:t xml:space="preserve">Jika </w:t>
            </w:r>
            <w:r w:rsidRPr="00A67277">
              <w:rPr>
                <w:rFonts w:cs="Arial"/>
                <w:lang w:val="id-ID"/>
              </w:rPr>
              <w:t xml:space="preserve">Perwakilan </w:t>
            </w:r>
            <w:r w:rsidRPr="00A67277">
              <w:rPr>
                <w:rFonts w:cs="Arial"/>
                <w:lang w:val="en-ID"/>
              </w:rPr>
              <w:t xml:space="preserve">hendak </w:t>
            </w:r>
            <w:r w:rsidRPr="00A67277">
              <w:rPr>
                <w:rFonts w:cs="Arial"/>
                <w:lang w:val="id-ID"/>
              </w:rPr>
              <w:t>memilih melaks</w:t>
            </w:r>
            <w:r w:rsidRPr="00A67277">
              <w:rPr>
                <w:rFonts w:cs="Arial"/>
                <w:lang w:val="en-ID"/>
              </w:rPr>
              <w:t>a</w:t>
            </w:r>
            <w:r w:rsidRPr="00A67277">
              <w:rPr>
                <w:rFonts w:cs="Arial"/>
                <w:lang w:val="id-ID"/>
              </w:rPr>
              <w:t>nakan hak-haknya berdasarkan paragra</w:t>
            </w:r>
            <w:r w:rsidRPr="00A67277">
              <w:rPr>
                <w:rFonts w:cs="Arial"/>
                <w:lang w:val="en-ID"/>
              </w:rPr>
              <w:t>f</w:t>
            </w:r>
            <w:r w:rsidRPr="00A67277">
              <w:rPr>
                <w:rFonts w:cs="Arial"/>
                <w:lang w:val="id-ID"/>
              </w:rPr>
              <w:t xml:space="preserve"> (3)(i), (m) dan/atau (p), setelah penerimaan Pemberitahuan PJPK oleh Perwakilan atau penerimaan Pemberitahuan Perwakilan oleh PJPK, Perwakilan harus</w:t>
            </w:r>
            <w:r w:rsidRPr="00A67277">
              <w:rPr>
                <w:rFonts w:cs="Arial"/>
                <w:lang w:val="en-ID"/>
              </w:rPr>
              <w:t>,</w:t>
            </w:r>
            <w:r w:rsidRPr="00A67277">
              <w:rPr>
                <w:rFonts w:cs="Arial"/>
                <w:lang w:val="id-ID"/>
              </w:rPr>
              <w:t xml:space="preserve"> selama Jangka Waktu Pemilihan atau selama jangka waktu dimana </w:t>
            </w:r>
            <w:r w:rsidRPr="00A67277">
              <w:rPr>
                <w:rFonts w:cs="Arial"/>
                <w:lang w:val="en-ID"/>
              </w:rPr>
              <w:t>peristiwa c</w:t>
            </w:r>
            <w:r w:rsidRPr="00A67277">
              <w:rPr>
                <w:rFonts w:cs="Arial"/>
                <w:lang w:val="id-ID"/>
              </w:rPr>
              <w:t xml:space="preserve">idera </w:t>
            </w:r>
            <w:r w:rsidRPr="00A67277">
              <w:rPr>
                <w:rFonts w:cs="Arial"/>
                <w:lang w:val="en-ID"/>
              </w:rPr>
              <w:t>j</w:t>
            </w:r>
            <w:r w:rsidRPr="00A67277">
              <w:rPr>
                <w:rFonts w:cs="Arial"/>
                <w:lang w:val="id-ID"/>
              </w:rPr>
              <w:t>anji terjadi sehubungan dengan Hutang Senior (sebagaimana didefinisikan dalam Perjanjian Kerjasama), memberikan pemberitahuan (</w:t>
            </w:r>
            <w:r w:rsidRPr="00A67277">
              <w:rPr>
                <w:rFonts w:cs="Arial"/>
                <w:b/>
                <w:lang w:val="id-ID"/>
              </w:rPr>
              <w:t>Pemberitahuan Pemuli</w:t>
            </w:r>
            <w:r w:rsidRPr="00A67277">
              <w:rPr>
                <w:rFonts w:cs="Arial"/>
                <w:b/>
                <w:lang w:val="en-ID"/>
              </w:rPr>
              <w:t>h</w:t>
            </w:r>
            <w:r w:rsidRPr="00A67277">
              <w:rPr>
                <w:rFonts w:cs="Arial"/>
                <w:b/>
                <w:lang w:val="id-ID"/>
              </w:rPr>
              <w:t>an</w:t>
            </w:r>
            <w:r w:rsidRPr="00A67277">
              <w:rPr>
                <w:rFonts w:cs="Arial"/>
                <w:lang w:val="id-ID"/>
              </w:rPr>
              <w:t xml:space="preserve">)  kepada PJPK sehubungan dengan dirinya sendiri, berdasarkan dengan paragraf (3)(h), </w:t>
            </w:r>
            <w:r w:rsidRPr="00A67277">
              <w:rPr>
                <w:rFonts w:cs="Arial"/>
                <w:lang w:val="en-ID"/>
              </w:rPr>
              <w:t xml:space="preserve">suatu </w:t>
            </w:r>
            <w:r w:rsidRPr="00A67277">
              <w:rPr>
                <w:rFonts w:cs="Arial"/>
                <w:lang w:val="id-ID"/>
              </w:rPr>
              <w:t>penunjuk</w:t>
            </w:r>
            <w:r w:rsidRPr="00A67277">
              <w:rPr>
                <w:rFonts w:cs="Arial"/>
                <w:lang w:val="en-ID"/>
              </w:rPr>
              <w:t>k</w:t>
            </w:r>
            <w:r w:rsidRPr="00A67277">
              <w:rPr>
                <w:rFonts w:cs="Arial"/>
                <w:lang w:val="id-ID"/>
              </w:rPr>
              <w:t>an Perwakilan yang disetujui oleh PJPK (</w:t>
            </w:r>
            <w:r w:rsidRPr="00A67277">
              <w:rPr>
                <w:rFonts w:cs="Arial"/>
                <w:b/>
                <w:lang w:val="id-ID"/>
              </w:rPr>
              <w:t>Agen Pihak Pembiaya</w:t>
            </w:r>
            <w:r w:rsidRPr="00A67277">
              <w:rPr>
                <w:rFonts w:cs="Arial"/>
                <w:lang w:val="id-ID"/>
              </w:rPr>
              <w:t xml:space="preserve">), yang menyatakan Perwakilan </w:t>
            </w:r>
            <w:r w:rsidRPr="00A67277">
              <w:rPr>
                <w:rFonts w:cs="Arial"/>
                <w:shd w:val="clear" w:color="auto" w:fill="FFFFFF"/>
              </w:rPr>
              <w:t>atau Agen Pihak Pembiaya, jika memang demikian, (</w:t>
            </w:r>
            <w:r w:rsidRPr="00A67277">
              <w:rPr>
                <w:rFonts w:cs="Arial"/>
                <w:b/>
                <w:shd w:val="clear" w:color="auto" w:fill="FFFFFF"/>
              </w:rPr>
              <w:t>Penjamin</w:t>
            </w:r>
            <w:r w:rsidRPr="00A67277">
              <w:rPr>
                <w:rFonts w:cs="Arial"/>
                <w:shd w:val="clear" w:color="auto" w:fill="FFFFFF"/>
              </w:rPr>
              <w:t xml:space="preserve"> </w:t>
            </w:r>
            <w:r w:rsidRPr="00A67277">
              <w:rPr>
                <w:rFonts w:cs="Arial"/>
                <w:b/>
                <w:shd w:val="clear" w:color="auto" w:fill="FFFFFF"/>
              </w:rPr>
              <w:t>Tambahan</w:t>
            </w:r>
            <w:r w:rsidRPr="00A67277">
              <w:rPr>
                <w:rFonts w:cs="Arial"/>
                <w:shd w:val="clear" w:color="auto" w:fill="FFFFFF"/>
              </w:rPr>
              <w:t xml:space="preserve">) bermaksud untuk menjalankan hak-hak tersebut. Jika Perwakilan tidak menerbitkan Pemberitahuan Pemulihan selama </w:t>
            </w:r>
            <w:r w:rsidRPr="00A67277">
              <w:rPr>
                <w:rFonts w:cs="Arial"/>
                <w:shd w:val="clear" w:color="auto" w:fill="FFFFFF"/>
                <w:lang w:val="en-ID"/>
              </w:rPr>
              <w:t>Jangka Waktu Pemilihan</w:t>
            </w:r>
            <w:r w:rsidRPr="00A67277">
              <w:rPr>
                <w:rFonts w:cs="Arial"/>
                <w:shd w:val="clear" w:color="auto" w:fill="FFFFFF"/>
              </w:rPr>
              <w:t xml:space="preserve">, </w:t>
            </w:r>
            <w:r w:rsidRPr="00A67277">
              <w:rPr>
                <w:rFonts w:cs="Arial"/>
                <w:shd w:val="clear" w:color="auto" w:fill="FFFFFF"/>
                <w:lang w:val="id-ID"/>
              </w:rPr>
              <w:t>PJPK</w:t>
            </w:r>
            <w:r w:rsidRPr="00A67277">
              <w:rPr>
                <w:rFonts w:cs="Arial"/>
                <w:shd w:val="clear" w:color="auto" w:fill="FFFFFF"/>
              </w:rPr>
              <w:t xml:space="preserve"> dapat, setelah penghentian Jangka Waktu Pemil</w:t>
            </w:r>
            <w:r w:rsidRPr="00A67277">
              <w:rPr>
                <w:rFonts w:cs="Arial"/>
                <w:shd w:val="clear" w:color="auto" w:fill="FFFFFF"/>
                <w:lang w:val="id-ID"/>
              </w:rPr>
              <w:t>ihan</w:t>
            </w:r>
            <w:r w:rsidRPr="00A67277">
              <w:rPr>
                <w:rFonts w:cs="Arial"/>
                <w:shd w:val="clear" w:color="auto" w:fill="FFFFFF"/>
              </w:rPr>
              <w:t xml:space="preserve">, segera mengakhiri Perjanjian Kerjasama dengan pemberitahuan kepada </w:t>
            </w:r>
            <w:r w:rsidRPr="00A67277">
              <w:rPr>
                <w:rFonts w:cs="Arial"/>
                <w:shd w:val="clear" w:color="auto" w:fill="FFFFFF"/>
                <w:lang w:val="id-ID"/>
              </w:rPr>
              <w:t>BUP</w:t>
            </w:r>
            <w:r w:rsidRPr="00A67277">
              <w:rPr>
                <w:rFonts w:cs="Arial"/>
                <w:shd w:val="clear" w:color="auto" w:fill="FFFFFF"/>
              </w:rPr>
              <w:t>.</w:t>
            </w:r>
          </w:p>
          <w:p w14:paraId="6714C3A0" w14:textId="77777777" w:rsidR="00923319" w:rsidRPr="00A67277" w:rsidRDefault="00923319" w:rsidP="00923319">
            <w:pPr>
              <w:pStyle w:val="SchNumber3"/>
              <w:numPr>
                <w:ilvl w:val="0"/>
                <w:numId w:val="0"/>
              </w:numPr>
              <w:spacing w:before="120" w:after="120"/>
              <w:ind w:left="432"/>
              <w:rPr>
                <w:rFonts w:cs="Arial"/>
                <w:lang w:val="id-ID"/>
              </w:rPr>
            </w:pPr>
          </w:p>
        </w:tc>
      </w:tr>
      <w:tr w:rsidR="00A67277" w:rsidRPr="00A67277" w14:paraId="7D9BEA1B" w14:textId="77777777" w:rsidTr="00923319">
        <w:tc>
          <w:tcPr>
            <w:tcW w:w="4886" w:type="dxa"/>
          </w:tcPr>
          <w:p w14:paraId="2F9B923B"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If the Representative proposes a Financing Parties' Agent pursuant to </w:t>
            </w:r>
            <w:r w:rsidRPr="008A28BF">
              <w:rPr>
                <w:rFonts w:cs="Arial"/>
              </w:rPr>
              <w:t>a Cure</w:t>
            </w:r>
            <w:r w:rsidRPr="00A67277">
              <w:rPr>
                <w:rFonts w:cs="Arial"/>
              </w:rPr>
              <w:t xml:space="preserve"> Notice, the Representative must provide reasonable evidence, to the satisfaction of GCA, that the proposed Financing Parties' Agent has the financial and technical ability, and relevant experience, to perform the obligations of the IBE under the Cooperation Agreement. If GCA rejects a proposed Financing Parties' Agent, the Representative may issue a further Cure Notice nominating itself or another proposed Financing Parties' Agent under paragraph (3)(g), upon which paragraph (3)(g) will again apply.</w:t>
            </w:r>
          </w:p>
        </w:tc>
        <w:tc>
          <w:tcPr>
            <w:tcW w:w="243" w:type="dxa"/>
          </w:tcPr>
          <w:p w14:paraId="7E45AF6E" w14:textId="77777777" w:rsidR="00923319" w:rsidRPr="00A67277" w:rsidRDefault="00923319" w:rsidP="00923319">
            <w:pPr>
              <w:spacing w:before="120" w:after="120"/>
              <w:rPr>
                <w:rFonts w:ascii="Arial" w:hAnsi="Arial" w:cs="Arial"/>
                <w:sz w:val="21"/>
                <w:szCs w:val="21"/>
              </w:rPr>
            </w:pPr>
          </w:p>
        </w:tc>
        <w:tc>
          <w:tcPr>
            <w:tcW w:w="4568" w:type="dxa"/>
          </w:tcPr>
          <w:p w14:paraId="52681289"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rPr>
              <w:t xml:space="preserve">Jika Perwakilan mengusulkan Agen Pihak Pembiaya sesuai dengan Pemberitahuan </w:t>
            </w:r>
            <w:r w:rsidRPr="00A67277">
              <w:rPr>
                <w:rFonts w:cs="Arial"/>
                <w:lang w:val="id-ID"/>
              </w:rPr>
              <w:t>P</w:t>
            </w:r>
            <w:r w:rsidRPr="00A67277">
              <w:rPr>
                <w:rFonts w:cs="Arial"/>
                <w:lang w:val="en-ID"/>
              </w:rPr>
              <w:t>e</w:t>
            </w:r>
            <w:r w:rsidRPr="00A67277">
              <w:rPr>
                <w:rFonts w:cs="Arial"/>
                <w:lang w:val="id-ID"/>
              </w:rPr>
              <w:t>mulihan</w:t>
            </w:r>
            <w:r w:rsidRPr="00A67277">
              <w:rPr>
                <w:rFonts w:cs="Arial"/>
              </w:rPr>
              <w:t xml:space="preserve">, Perwakilan harus memberikan bukti yang </w:t>
            </w:r>
            <w:r w:rsidRPr="00A67277">
              <w:rPr>
                <w:rFonts w:cs="Arial"/>
                <w:lang w:val="id-ID"/>
              </w:rPr>
              <w:t>wajar</w:t>
            </w:r>
            <w:r w:rsidRPr="00A67277">
              <w:rPr>
                <w:rFonts w:cs="Arial"/>
              </w:rPr>
              <w:t xml:space="preserve">, untuk </w:t>
            </w:r>
            <w:r w:rsidRPr="00A67277">
              <w:rPr>
                <w:rFonts w:cs="Arial"/>
                <w:lang w:val="id-ID"/>
              </w:rPr>
              <w:t>kepuasan PJPK</w:t>
            </w:r>
            <w:r w:rsidRPr="00A67277">
              <w:rPr>
                <w:rFonts w:cs="Arial"/>
              </w:rPr>
              <w:t>, bahwa Agen Pihak Pembiaya yang diusulkan memiliki kemampuan finansial dan teknis, dan pengalaman yang relevan, untuk melakukan kewajiban</w:t>
            </w:r>
            <w:r w:rsidRPr="00A67277">
              <w:rPr>
                <w:rFonts w:cs="Arial"/>
                <w:lang w:val="id-ID"/>
              </w:rPr>
              <w:t>nya terhadap BUP</w:t>
            </w:r>
            <w:r w:rsidRPr="00A67277">
              <w:rPr>
                <w:rFonts w:cs="Arial"/>
              </w:rPr>
              <w:t xml:space="preserve"> berdasarkan Perjanjian Kerjasama. Jika </w:t>
            </w:r>
            <w:r w:rsidRPr="00A67277">
              <w:rPr>
                <w:rFonts w:cs="Arial"/>
                <w:lang w:val="id-ID"/>
              </w:rPr>
              <w:t>PJPK</w:t>
            </w:r>
            <w:r w:rsidRPr="00A67277">
              <w:rPr>
                <w:rFonts w:cs="Arial"/>
              </w:rPr>
              <w:t xml:space="preserve"> menolak Agen Pihak Pembiaya yang diusulkan, Perwakilan dapat mengeluarkan Pemberitahuan </w:t>
            </w:r>
            <w:r w:rsidRPr="00A67277">
              <w:rPr>
                <w:rFonts w:cs="Arial"/>
                <w:lang w:val="id-ID"/>
              </w:rPr>
              <w:t>Pemulihan</w:t>
            </w:r>
            <w:r w:rsidRPr="00A67277">
              <w:rPr>
                <w:rFonts w:cs="Arial"/>
              </w:rPr>
              <w:t xml:space="preserve"> lebih lanjut yang mencalonkan diri atau Agen Pihak Pembiaya yang diusulkan lain berdasarkan paragraf (3)(g), setelah paragraf (3)(g) akan berlaku lagi.</w:t>
            </w:r>
          </w:p>
        </w:tc>
      </w:tr>
      <w:tr w:rsidR="00A67277" w:rsidRPr="00A67277" w14:paraId="21E76D76" w14:textId="77777777" w:rsidTr="00923319">
        <w:tc>
          <w:tcPr>
            <w:tcW w:w="4886" w:type="dxa"/>
          </w:tcPr>
          <w:p w14:paraId="617113EE" w14:textId="77777777" w:rsidR="00923319" w:rsidRPr="008A28BF" w:rsidRDefault="00923319" w:rsidP="00923319">
            <w:pPr>
              <w:pStyle w:val="SchNumber3"/>
              <w:numPr>
                <w:ilvl w:val="4"/>
                <w:numId w:val="564"/>
              </w:numPr>
              <w:tabs>
                <w:tab w:val="clear" w:pos="1418"/>
                <w:tab w:val="left" w:pos="1242"/>
              </w:tabs>
              <w:spacing w:before="120" w:after="120"/>
              <w:ind w:left="1242" w:hanging="540"/>
              <w:rPr>
                <w:rFonts w:cs="Arial"/>
              </w:rPr>
            </w:pPr>
            <w:r w:rsidRPr="008A28BF">
              <w:rPr>
                <w:rFonts w:cs="Arial"/>
              </w:rPr>
              <w:t>If the Representative delivers a Cure Notice in accordance with paragraph (3)(g), GCA shall provide the Additional Obligor with an opportunity to remedy any Default by the IBE prior to giving effect to any termination of the Cooperation Agreement resulting from such Default by the IBE. The duration of the opportunity so provided to the Additional Obligor to effect a remedy (</w:t>
            </w:r>
            <w:r w:rsidRPr="00221255">
              <w:rPr>
                <w:rFonts w:cs="Arial"/>
                <w:b/>
                <w:bCs/>
              </w:rPr>
              <w:t>the</w:t>
            </w:r>
            <w:r w:rsidRPr="008A28BF">
              <w:rPr>
                <w:rFonts w:cs="Arial"/>
              </w:rPr>
              <w:t xml:space="preserve"> </w:t>
            </w:r>
            <w:r w:rsidRPr="008A28BF">
              <w:rPr>
                <w:rFonts w:cs="Arial"/>
                <w:b/>
              </w:rPr>
              <w:t>Cure Period</w:t>
            </w:r>
            <w:r w:rsidRPr="008A28BF">
              <w:rPr>
                <w:rFonts w:cs="Arial"/>
              </w:rPr>
              <w:t>) shall be not less than sixty (60) Days from the first Cure Notice, and GCA may not terminate the Cooperation Agreement during the Cure Period unless the Additional Obligor has notified the GCA that it no longer intends to exercise its rights under this paragraph (3)(i) (without affecting the continuation of the IBE’s past, present and future rights and obligations towards GCA under the Cooperation Agreement) (</w:t>
            </w:r>
            <w:r w:rsidRPr="008A28BF">
              <w:rPr>
                <w:rFonts w:cs="Arial"/>
                <w:b/>
              </w:rPr>
              <w:t>Withdrawal Notice</w:t>
            </w:r>
            <w:r w:rsidRPr="008A28BF">
              <w:rPr>
                <w:rFonts w:cs="Arial"/>
              </w:rPr>
              <w:t>).</w:t>
            </w:r>
          </w:p>
        </w:tc>
        <w:tc>
          <w:tcPr>
            <w:tcW w:w="243" w:type="dxa"/>
          </w:tcPr>
          <w:p w14:paraId="4A1670B2" w14:textId="77777777" w:rsidR="00923319" w:rsidRPr="00A67277" w:rsidRDefault="00923319" w:rsidP="00923319">
            <w:pPr>
              <w:spacing w:before="120" w:after="120"/>
              <w:rPr>
                <w:rFonts w:ascii="Arial" w:hAnsi="Arial" w:cs="Arial"/>
                <w:sz w:val="21"/>
                <w:szCs w:val="21"/>
              </w:rPr>
            </w:pPr>
          </w:p>
        </w:tc>
        <w:tc>
          <w:tcPr>
            <w:tcW w:w="4568" w:type="dxa"/>
          </w:tcPr>
          <w:p w14:paraId="59EE3155"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en-ID"/>
              </w:rPr>
              <w:t xml:space="preserve">Jika </w:t>
            </w:r>
            <w:r w:rsidRPr="00A67277">
              <w:rPr>
                <w:rFonts w:cs="Arial"/>
              </w:rPr>
              <w:t xml:space="preserve">Perwakilan menyampaikan Pemberitahuan </w:t>
            </w:r>
            <w:r w:rsidRPr="00A67277">
              <w:rPr>
                <w:rFonts w:cs="Arial"/>
                <w:lang w:val="id-ID"/>
              </w:rPr>
              <w:t>Pemulihan</w:t>
            </w:r>
            <w:r w:rsidRPr="00A67277">
              <w:rPr>
                <w:rFonts w:cs="Arial"/>
              </w:rPr>
              <w:t xml:space="preserve"> sesuai dengan paragraf (3)(g), </w:t>
            </w:r>
            <w:r w:rsidRPr="00A67277">
              <w:rPr>
                <w:rFonts w:cs="Arial"/>
                <w:lang w:val="id-ID"/>
              </w:rPr>
              <w:t>PJPK</w:t>
            </w:r>
            <w:r w:rsidRPr="00A67277">
              <w:rPr>
                <w:rFonts w:cs="Arial"/>
              </w:rPr>
              <w:t xml:space="preserve"> harus memberikan Penjamin Tambahan dengan kesempatan untuk memperbaiki </w:t>
            </w:r>
            <w:r w:rsidRPr="00A67277">
              <w:rPr>
                <w:rFonts w:cs="Arial"/>
                <w:lang w:val="id-ID"/>
              </w:rPr>
              <w:t>Cidera Janji</w:t>
            </w:r>
            <w:r w:rsidRPr="00A67277">
              <w:rPr>
                <w:rFonts w:cs="Arial"/>
              </w:rPr>
              <w:t xml:space="preserve"> oleh </w:t>
            </w:r>
            <w:r w:rsidRPr="00A67277">
              <w:rPr>
                <w:rFonts w:cs="Arial"/>
                <w:lang w:val="id-ID"/>
              </w:rPr>
              <w:t>BUP</w:t>
            </w:r>
            <w:r w:rsidRPr="00A67277">
              <w:rPr>
                <w:rFonts w:cs="Arial"/>
              </w:rPr>
              <w:t xml:space="preserve"> sebelum memberlakukan penghentian Perjanjian Kerjasama yang dihasilkan dari </w:t>
            </w:r>
            <w:r w:rsidRPr="00A67277">
              <w:rPr>
                <w:rFonts w:cs="Arial"/>
                <w:lang w:val="id-ID"/>
              </w:rPr>
              <w:t>Cidera Janji</w:t>
            </w:r>
            <w:r w:rsidRPr="00A67277">
              <w:rPr>
                <w:rFonts w:cs="Arial"/>
              </w:rPr>
              <w:t xml:space="preserve"> tersebut oleh </w:t>
            </w:r>
            <w:r w:rsidRPr="00A67277">
              <w:rPr>
                <w:rFonts w:cs="Arial"/>
                <w:lang w:val="id-ID"/>
              </w:rPr>
              <w:t>BUP</w:t>
            </w:r>
            <w:r w:rsidRPr="00A67277">
              <w:rPr>
                <w:rFonts w:cs="Arial"/>
              </w:rPr>
              <w:t xml:space="preserve">. Lamanya kesempatan yang diberikan </w:t>
            </w:r>
            <w:r w:rsidRPr="00A67277">
              <w:rPr>
                <w:rFonts w:cs="Arial"/>
                <w:lang w:val="id-ID"/>
              </w:rPr>
              <w:t xml:space="preserve">terhadap </w:t>
            </w:r>
            <w:r w:rsidRPr="00A67277">
              <w:rPr>
                <w:rFonts w:cs="Arial"/>
              </w:rPr>
              <w:t xml:space="preserve">Penjamin Tambahan untuk menghasilkan </w:t>
            </w:r>
            <w:r w:rsidRPr="00A67277">
              <w:rPr>
                <w:rFonts w:cs="Arial"/>
                <w:lang w:val="en-ID"/>
              </w:rPr>
              <w:t>p</w:t>
            </w:r>
            <w:r w:rsidRPr="00A67277">
              <w:rPr>
                <w:rFonts w:cs="Arial"/>
                <w:lang w:val="id-ID"/>
              </w:rPr>
              <w:t>emulihan</w:t>
            </w:r>
            <w:r w:rsidRPr="00A67277">
              <w:rPr>
                <w:rFonts w:cs="Arial"/>
              </w:rPr>
              <w:t xml:space="preserve"> (</w:t>
            </w:r>
            <w:r w:rsidRPr="00A67277">
              <w:rPr>
                <w:rFonts w:cs="Arial"/>
                <w:b/>
                <w:lang w:val="id-ID"/>
              </w:rPr>
              <w:t>Jangka waktu Pemulihan</w:t>
            </w:r>
            <w:r w:rsidRPr="00A67277">
              <w:rPr>
                <w:rFonts w:cs="Arial"/>
              </w:rPr>
              <w:t xml:space="preserve">) tidak kurang dari enam puluh (60) Hari sejak </w:t>
            </w:r>
            <w:r w:rsidRPr="00A67277">
              <w:rPr>
                <w:rFonts w:cs="Arial"/>
                <w:lang w:val="id-ID"/>
              </w:rPr>
              <w:t>Pemberitahuan Pemulihan</w:t>
            </w:r>
            <w:r w:rsidRPr="00A67277">
              <w:rPr>
                <w:rFonts w:cs="Arial"/>
              </w:rPr>
              <w:t xml:space="preserve"> pertama, dan </w:t>
            </w:r>
            <w:r w:rsidRPr="00A67277">
              <w:rPr>
                <w:rFonts w:cs="Arial"/>
                <w:lang w:val="id-ID"/>
              </w:rPr>
              <w:t>PJPK</w:t>
            </w:r>
            <w:r w:rsidRPr="00A67277">
              <w:rPr>
                <w:rFonts w:cs="Arial"/>
              </w:rPr>
              <w:t xml:space="preserve"> tidak boleh menghentikan Perjanjian Kerjasama selama </w:t>
            </w:r>
            <w:r w:rsidRPr="00A67277">
              <w:rPr>
                <w:rFonts w:cs="Arial"/>
                <w:lang w:val="id-ID"/>
              </w:rPr>
              <w:t>Jangka Waktu Pemulihan</w:t>
            </w:r>
            <w:r w:rsidRPr="00A67277">
              <w:rPr>
                <w:rFonts w:cs="Arial"/>
              </w:rPr>
              <w:t xml:space="preserve"> kecuali jika telah memberitahukan kepada </w:t>
            </w:r>
            <w:r w:rsidRPr="00A67277">
              <w:rPr>
                <w:rFonts w:cs="Arial"/>
                <w:lang w:val="id-ID"/>
              </w:rPr>
              <w:t>PJPK</w:t>
            </w:r>
            <w:r w:rsidRPr="00A67277">
              <w:rPr>
                <w:rFonts w:cs="Arial"/>
              </w:rPr>
              <w:t xml:space="preserve"> bahwa tidak lagi bermaksud untuk menjalankan haknya berdasarkan paragraf (3)(i) ini (tanpa mempengaruhi kelanjutan hak dan kewajiban BUP di masa lalu, masa sekarang dan masa depan</w:t>
            </w:r>
            <w:r w:rsidRPr="00A67277">
              <w:rPr>
                <w:rFonts w:cs="Arial"/>
                <w:lang w:val="id-ID"/>
              </w:rPr>
              <w:t xml:space="preserve"> </w:t>
            </w:r>
            <w:r w:rsidRPr="00A67277">
              <w:rPr>
                <w:rFonts w:cs="Arial"/>
              </w:rPr>
              <w:t xml:space="preserve">terhadap </w:t>
            </w:r>
            <w:r w:rsidRPr="00A67277">
              <w:rPr>
                <w:rFonts w:cs="Arial"/>
                <w:lang w:val="id-ID"/>
              </w:rPr>
              <w:t xml:space="preserve">PJPK </w:t>
            </w:r>
            <w:r w:rsidRPr="00A67277">
              <w:rPr>
                <w:rFonts w:cs="Arial"/>
              </w:rPr>
              <w:t>berdasarkan Perjanjian Kerjasama) (</w:t>
            </w:r>
            <w:r w:rsidRPr="00A67277">
              <w:rPr>
                <w:rFonts w:cs="Arial"/>
                <w:b/>
                <w:lang w:val="id-ID"/>
              </w:rPr>
              <w:t>Pemberitahuan</w:t>
            </w:r>
            <w:r w:rsidRPr="00A67277">
              <w:rPr>
                <w:rFonts w:cs="Arial"/>
                <w:b/>
                <w:lang w:val="en-ID"/>
              </w:rPr>
              <w:t xml:space="preserve"> Penarikan</w:t>
            </w:r>
            <w:r w:rsidRPr="00A67277">
              <w:rPr>
                <w:rFonts w:cs="Arial"/>
              </w:rPr>
              <w:t>)</w:t>
            </w:r>
            <w:r w:rsidRPr="00A67277">
              <w:rPr>
                <w:rFonts w:cs="Arial"/>
                <w:lang w:val="id-ID"/>
              </w:rPr>
              <w:t>.</w:t>
            </w:r>
          </w:p>
        </w:tc>
      </w:tr>
      <w:tr w:rsidR="00A67277" w:rsidRPr="00A67277" w14:paraId="58091DE3" w14:textId="77777777" w:rsidTr="00923319">
        <w:tc>
          <w:tcPr>
            <w:tcW w:w="4886" w:type="dxa"/>
          </w:tcPr>
          <w:p w14:paraId="465F0AB4"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During the Cure Period, until the earlier of its expiry or the date of any Withdrawal Notice:</w:t>
            </w:r>
          </w:p>
        </w:tc>
        <w:tc>
          <w:tcPr>
            <w:tcW w:w="243" w:type="dxa"/>
          </w:tcPr>
          <w:p w14:paraId="472A7621" w14:textId="77777777" w:rsidR="00923319" w:rsidRPr="00A67277" w:rsidRDefault="00923319" w:rsidP="00923319">
            <w:pPr>
              <w:spacing w:before="120" w:after="120"/>
              <w:rPr>
                <w:rFonts w:ascii="Arial" w:hAnsi="Arial" w:cs="Arial"/>
                <w:sz w:val="21"/>
                <w:szCs w:val="21"/>
              </w:rPr>
            </w:pPr>
          </w:p>
        </w:tc>
        <w:tc>
          <w:tcPr>
            <w:tcW w:w="4568" w:type="dxa"/>
          </w:tcPr>
          <w:p w14:paraId="4302A88E"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 xml:space="preserve">Selama </w:t>
            </w:r>
            <w:r w:rsidRPr="00A67277">
              <w:rPr>
                <w:rFonts w:cs="Arial"/>
                <w:lang w:val="en-ID"/>
              </w:rPr>
              <w:t>J</w:t>
            </w:r>
            <w:r w:rsidRPr="00A67277">
              <w:rPr>
                <w:rFonts w:cs="Arial"/>
                <w:lang w:val="id-ID"/>
              </w:rPr>
              <w:t>angka Waktu Pemulihan, sampai dengan awal tanggal pengakhiran setiap Pemberitahuan Penarikan:</w:t>
            </w:r>
          </w:p>
        </w:tc>
      </w:tr>
      <w:tr w:rsidR="00A67277" w:rsidRPr="00A67277" w14:paraId="4EDB4CCE" w14:textId="77777777" w:rsidTr="00923319">
        <w:tc>
          <w:tcPr>
            <w:tcW w:w="4886" w:type="dxa"/>
          </w:tcPr>
          <w:p w14:paraId="70CC602F" w14:textId="77777777" w:rsidR="00923319" w:rsidRPr="00A67277" w:rsidRDefault="00923319" w:rsidP="00923319">
            <w:pPr>
              <w:pStyle w:val="SchNumber4"/>
              <w:numPr>
                <w:ilvl w:val="5"/>
                <w:numId w:val="564"/>
              </w:numPr>
              <w:tabs>
                <w:tab w:val="clear" w:pos="2126"/>
                <w:tab w:val="num" w:pos="1782"/>
              </w:tabs>
              <w:spacing w:before="120" w:after="120"/>
              <w:ind w:left="1782" w:hanging="540"/>
              <w:rPr>
                <w:rFonts w:cs="Arial"/>
              </w:rPr>
            </w:pPr>
            <w:r w:rsidRPr="00A67277">
              <w:rPr>
                <w:rFonts w:cs="Arial"/>
              </w:rPr>
              <w:t>the Additional Obligor is jointly and severally with the IBE entitled to the present and future rights, titles, benefits and interests of the IBE under the Cooperation Agreement, in accordance with the Assignment, and is liable, at its own cost, for remedying any Default by the IBE identified or referred to in the relevant GCA Notice and performing all of the IBE's obligations under the Cooperation Agreement;</w:t>
            </w:r>
          </w:p>
        </w:tc>
        <w:tc>
          <w:tcPr>
            <w:tcW w:w="243" w:type="dxa"/>
          </w:tcPr>
          <w:p w14:paraId="6B92D94B" w14:textId="77777777" w:rsidR="00923319" w:rsidRPr="00A67277" w:rsidRDefault="00923319" w:rsidP="00923319">
            <w:pPr>
              <w:spacing w:before="120" w:after="120"/>
              <w:rPr>
                <w:rFonts w:ascii="Arial" w:hAnsi="Arial" w:cs="Arial"/>
                <w:sz w:val="21"/>
                <w:szCs w:val="21"/>
              </w:rPr>
            </w:pPr>
          </w:p>
        </w:tc>
        <w:tc>
          <w:tcPr>
            <w:tcW w:w="4568" w:type="dxa"/>
          </w:tcPr>
          <w:p w14:paraId="7BA6F393" w14:textId="77777777" w:rsidR="00923319" w:rsidRPr="00A67277" w:rsidRDefault="00923319" w:rsidP="00923319">
            <w:pPr>
              <w:pStyle w:val="SchNumber4"/>
              <w:numPr>
                <w:ilvl w:val="0"/>
                <w:numId w:val="609"/>
              </w:numPr>
              <w:spacing w:before="120" w:after="120"/>
              <w:ind w:left="1772" w:hanging="425"/>
              <w:rPr>
                <w:rFonts w:cs="Arial"/>
              </w:rPr>
            </w:pPr>
            <w:r w:rsidRPr="00A67277">
              <w:rPr>
                <w:rFonts w:cs="Arial"/>
                <w:lang w:val="en-ID"/>
              </w:rPr>
              <w:t xml:space="preserve">Penjamin </w:t>
            </w:r>
            <w:r w:rsidRPr="00A67277">
              <w:rPr>
                <w:rFonts w:cs="Arial"/>
              </w:rPr>
              <w:t xml:space="preserve">Tambahan dimiliki bersama dan bersama-sama dengan </w:t>
            </w:r>
            <w:r w:rsidRPr="00A67277">
              <w:rPr>
                <w:rFonts w:cs="Arial"/>
                <w:lang w:val="id-ID"/>
              </w:rPr>
              <w:t xml:space="preserve">BUP </w:t>
            </w:r>
            <w:r w:rsidRPr="00A67277">
              <w:rPr>
                <w:rFonts w:cs="Arial"/>
              </w:rPr>
              <w:t>yang berhak atas hak, jabatan, manfaat dan kepentingan masa kini dan masa depan</w:t>
            </w:r>
            <w:r w:rsidRPr="00A67277">
              <w:rPr>
                <w:rFonts w:cs="Arial"/>
                <w:lang w:val="id-ID"/>
              </w:rPr>
              <w:t xml:space="preserve"> BUP</w:t>
            </w:r>
            <w:r w:rsidRPr="00A67277">
              <w:rPr>
                <w:rFonts w:cs="Arial"/>
              </w:rPr>
              <w:t xml:space="preserve"> berdasarkan Perjanjian Kerjasama, sesuai dengan Pengalihan, dan bertanggung jawab atas biaya sendiri, untuk memperbaiki </w:t>
            </w:r>
            <w:r w:rsidRPr="00A67277">
              <w:rPr>
                <w:rFonts w:cs="Arial"/>
                <w:lang w:val="id-ID"/>
              </w:rPr>
              <w:t>Cidera Janji</w:t>
            </w:r>
            <w:r w:rsidRPr="00A67277">
              <w:rPr>
                <w:rFonts w:cs="Arial"/>
              </w:rPr>
              <w:t xml:space="preserve"> oleh </w:t>
            </w:r>
            <w:r w:rsidRPr="00A67277">
              <w:rPr>
                <w:rFonts w:cs="Arial"/>
                <w:lang w:val="id-ID"/>
              </w:rPr>
              <w:t>BUP</w:t>
            </w:r>
            <w:r w:rsidRPr="00A67277">
              <w:rPr>
                <w:rFonts w:cs="Arial"/>
              </w:rPr>
              <w:t xml:space="preserve"> yang diidentifikasi atau disebut dalam Pemberitahuan </w:t>
            </w:r>
            <w:r w:rsidRPr="00A67277">
              <w:rPr>
                <w:rFonts w:cs="Arial"/>
                <w:lang w:val="id-ID"/>
              </w:rPr>
              <w:t>PJPK</w:t>
            </w:r>
            <w:r w:rsidRPr="00A67277">
              <w:rPr>
                <w:rFonts w:cs="Arial"/>
              </w:rPr>
              <w:t xml:space="preserve"> yang relevan dan melaksanakan semua kewajiban </w:t>
            </w:r>
            <w:r w:rsidRPr="00A67277">
              <w:rPr>
                <w:rFonts w:cs="Arial"/>
                <w:lang w:val="id-ID"/>
              </w:rPr>
              <w:t xml:space="preserve">BUP </w:t>
            </w:r>
            <w:r w:rsidRPr="00A67277">
              <w:rPr>
                <w:rFonts w:cs="Arial"/>
              </w:rPr>
              <w:t>berdasarkan Perjanjian Kerjasama;</w:t>
            </w:r>
          </w:p>
        </w:tc>
      </w:tr>
      <w:tr w:rsidR="00A67277" w:rsidRPr="00A67277" w14:paraId="4B17F7AA" w14:textId="77777777" w:rsidTr="00923319">
        <w:tc>
          <w:tcPr>
            <w:tcW w:w="4886" w:type="dxa"/>
          </w:tcPr>
          <w:p w14:paraId="4E1E6529" w14:textId="77777777" w:rsidR="00923319" w:rsidRPr="00A67277" w:rsidRDefault="00923319" w:rsidP="00923319">
            <w:pPr>
              <w:pStyle w:val="SchNumber4"/>
              <w:numPr>
                <w:ilvl w:val="5"/>
                <w:numId w:val="564"/>
              </w:numPr>
              <w:tabs>
                <w:tab w:val="clear" w:pos="2126"/>
                <w:tab w:val="num" w:pos="1782"/>
              </w:tabs>
              <w:spacing w:before="120" w:after="120"/>
              <w:ind w:left="1782" w:hanging="540"/>
              <w:rPr>
                <w:rFonts w:cs="Arial"/>
              </w:rPr>
            </w:pPr>
            <w:r w:rsidRPr="00A67277">
              <w:rPr>
                <w:rFonts w:cs="Arial"/>
              </w:rPr>
              <w:t>without limiting paragraph (3)(j)(i), the Additional Obligor shall ensure that the IBE complies with all of its obligations under the Cooperation Agreement; and</w:t>
            </w:r>
          </w:p>
        </w:tc>
        <w:tc>
          <w:tcPr>
            <w:tcW w:w="243" w:type="dxa"/>
          </w:tcPr>
          <w:p w14:paraId="7F1BA610" w14:textId="77777777" w:rsidR="00923319" w:rsidRPr="00A67277" w:rsidRDefault="00923319" w:rsidP="00923319">
            <w:pPr>
              <w:spacing w:before="120" w:after="120"/>
              <w:rPr>
                <w:rFonts w:ascii="Arial" w:hAnsi="Arial" w:cs="Arial"/>
                <w:sz w:val="21"/>
                <w:szCs w:val="21"/>
              </w:rPr>
            </w:pPr>
          </w:p>
        </w:tc>
        <w:tc>
          <w:tcPr>
            <w:tcW w:w="4568" w:type="dxa"/>
          </w:tcPr>
          <w:p w14:paraId="62BEC1A6" w14:textId="77777777" w:rsidR="00923319" w:rsidRPr="00A67277" w:rsidRDefault="00923319" w:rsidP="00923319">
            <w:pPr>
              <w:pStyle w:val="SchNumber4"/>
              <w:numPr>
                <w:ilvl w:val="0"/>
                <w:numId w:val="609"/>
              </w:numPr>
              <w:spacing w:before="120" w:after="120"/>
              <w:ind w:left="1772" w:hanging="425"/>
              <w:rPr>
                <w:rFonts w:cs="Arial"/>
              </w:rPr>
            </w:pPr>
            <w:r w:rsidRPr="00A67277">
              <w:rPr>
                <w:rFonts w:cs="Arial"/>
              </w:rPr>
              <w:t xml:space="preserve">tanpa membatasi paragraf (3)(j)(i), Penjamin Tambahan harus memastikan bahwa </w:t>
            </w:r>
            <w:r w:rsidRPr="00A67277">
              <w:rPr>
                <w:rFonts w:cs="Arial"/>
                <w:lang w:val="id-ID"/>
              </w:rPr>
              <w:t>BUP</w:t>
            </w:r>
            <w:r w:rsidRPr="00A67277">
              <w:rPr>
                <w:rFonts w:cs="Arial"/>
              </w:rPr>
              <w:t xml:space="preserve"> mematuhi semua kewajibannya berdasarkan Perjanjian Kerjasama; dan</w:t>
            </w:r>
          </w:p>
        </w:tc>
      </w:tr>
      <w:tr w:rsidR="00A67277" w:rsidRPr="00A67277" w14:paraId="322AD4EC" w14:textId="77777777" w:rsidTr="00923319">
        <w:tc>
          <w:tcPr>
            <w:tcW w:w="4886" w:type="dxa"/>
          </w:tcPr>
          <w:p w14:paraId="7184FFFC" w14:textId="77777777" w:rsidR="00923319" w:rsidRPr="00A67277" w:rsidRDefault="00923319" w:rsidP="00923319">
            <w:pPr>
              <w:pStyle w:val="SchNumber4"/>
              <w:numPr>
                <w:ilvl w:val="5"/>
                <w:numId w:val="564"/>
              </w:numPr>
              <w:tabs>
                <w:tab w:val="clear" w:pos="2126"/>
                <w:tab w:val="num" w:pos="1782"/>
              </w:tabs>
              <w:spacing w:before="120" w:after="120"/>
              <w:ind w:left="1782" w:hanging="540"/>
              <w:rPr>
                <w:rFonts w:cs="Arial"/>
              </w:rPr>
            </w:pPr>
            <w:r w:rsidRPr="00A67277">
              <w:rPr>
                <w:rFonts w:cs="Arial"/>
              </w:rPr>
              <w:t>in relation to the relationship between the IBE and the Additional Obligor, only the Additional Obligor is authorised to deal with GCA and to exercise the IBE's present and future rights, titles, benefits and interests in and to the Cooperation Agreement.</w:t>
            </w:r>
          </w:p>
        </w:tc>
        <w:tc>
          <w:tcPr>
            <w:tcW w:w="243" w:type="dxa"/>
          </w:tcPr>
          <w:p w14:paraId="165D4E7A" w14:textId="77777777" w:rsidR="00923319" w:rsidRPr="00A67277" w:rsidRDefault="00923319" w:rsidP="00923319">
            <w:pPr>
              <w:spacing w:before="120" w:after="120"/>
              <w:rPr>
                <w:rFonts w:ascii="Arial" w:hAnsi="Arial" w:cs="Arial"/>
                <w:sz w:val="21"/>
                <w:szCs w:val="21"/>
              </w:rPr>
            </w:pPr>
          </w:p>
        </w:tc>
        <w:tc>
          <w:tcPr>
            <w:tcW w:w="4568" w:type="dxa"/>
          </w:tcPr>
          <w:p w14:paraId="14984F67" w14:textId="77777777" w:rsidR="00923319" w:rsidRPr="00A67277" w:rsidRDefault="00923319" w:rsidP="00923319">
            <w:pPr>
              <w:pStyle w:val="SchNumber4"/>
              <w:numPr>
                <w:ilvl w:val="0"/>
                <w:numId w:val="609"/>
              </w:numPr>
              <w:spacing w:before="120" w:after="120"/>
              <w:ind w:left="1772" w:hanging="425"/>
              <w:rPr>
                <w:rFonts w:cs="Arial"/>
              </w:rPr>
            </w:pPr>
            <w:r w:rsidRPr="00A67277">
              <w:rPr>
                <w:rFonts w:cs="Arial"/>
                <w:lang w:val="en-ID"/>
              </w:rPr>
              <w:t>s</w:t>
            </w:r>
            <w:r w:rsidRPr="00A67277">
              <w:rPr>
                <w:rFonts w:cs="Arial"/>
              </w:rPr>
              <w:t xml:space="preserve">ehubungan dengan hubungan antara </w:t>
            </w:r>
            <w:r w:rsidRPr="00A67277">
              <w:rPr>
                <w:rFonts w:cs="Arial"/>
                <w:lang w:val="id-ID"/>
              </w:rPr>
              <w:t>BUP</w:t>
            </w:r>
            <w:r w:rsidRPr="00A67277">
              <w:rPr>
                <w:rFonts w:cs="Arial"/>
              </w:rPr>
              <w:t xml:space="preserve"> dan </w:t>
            </w:r>
            <w:r w:rsidRPr="00A67277">
              <w:rPr>
                <w:rFonts w:cs="Arial"/>
                <w:lang w:val="id-ID"/>
              </w:rPr>
              <w:t>Penjamin</w:t>
            </w:r>
            <w:r w:rsidRPr="00A67277">
              <w:rPr>
                <w:rFonts w:cs="Arial"/>
              </w:rPr>
              <w:t xml:space="preserve"> Tambahan, hanya Penjamin Tambahan yang diberi wewenang untuk menangani </w:t>
            </w:r>
            <w:r w:rsidRPr="00A67277">
              <w:rPr>
                <w:rFonts w:cs="Arial"/>
                <w:lang w:val="id-ID"/>
              </w:rPr>
              <w:t>PJPK</w:t>
            </w:r>
            <w:r w:rsidRPr="00A67277">
              <w:rPr>
                <w:rFonts w:cs="Arial"/>
              </w:rPr>
              <w:t xml:space="preserve"> dan untuk melaksanakan hak</w:t>
            </w:r>
            <w:r w:rsidRPr="00A67277">
              <w:rPr>
                <w:rFonts w:cs="Arial"/>
                <w:lang w:val="id-ID"/>
              </w:rPr>
              <w:t>-</w:t>
            </w:r>
            <w:r w:rsidRPr="00A67277">
              <w:rPr>
                <w:rFonts w:cs="Arial"/>
              </w:rPr>
              <w:t xml:space="preserve">hak, manfaat </w:t>
            </w:r>
            <w:r w:rsidRPr="00A67277">
              <w:rPr>
                <w:rFonts w:cs="Arial"/>
                <w:lang w:val="id-ID"/>
              </w:rPr>
              <w:t xml:space="preserve">dan </w:t>
            </w:r>
            <w:r w:rsidRPr="00A67277">
              <w:rPr>
                <w:rFonts w:cs="Arial"/>
              </w:rPr>
              <w:t>kepentingan</w:t>
            </w:r>
            <w:r w:rsidRPr="00A67277">
              <w:rPr>
                <w:rFonts w:cs="Arial"/>
                <w:lang w:val="id-ID"/>
              </w:rPr>
              <w:t>-</w:t>
            </w:r>
            <w:r w:rsidRPr="00A67277">
              <w:rPr>
                <w:rFonts w:cs="Arial"/>
              </w:rPr>
              <w:t xml:space="preserve">kepentingan </w:t>
            </w:r>
            <w:r w:rsidRPr="00A67277">
              <w:rPr>
                <w:rFonts w:cs="Arial"/>
                <w:lang w:val="id-ID"/>
              </w:rPr>
              <w:t>BUP</w:t>
            </w:r>
            <w:r w:rsidRPr="00A67277">
              <w:rPr>
                <w:rFonts w:cs="Arial"/>
                <w:lang w:val="en-ID"/>
              </w:rPr>
              <w:t xml:space="preserve"> dalam dan untuk</w:t>
            </w:r>
            <w:r w:rsidRPr="00A67277">
              <w:rPr>
                <w:rFonts w:cs="Arial"/>
              </w:rPr>
              <w:t xml:space="preserve"> Perjanjian Kerjasam</w:t>
            </w:r>
            <w:r w:rsidRPr="00A67277">
              <w:rPr>
                <w:rFonts w:cs="Arial"/>
                <w:lang w:val="id-ID"/>
              </w:rPr>
              <w:t>a.</w:t>
            </w:r>
          </w:p>
        </w:tc>
      </w:tr>
      <w:tr w:rsidR="00A67277" w:rsidRPr="00A67277" w14:paraId="225121DC" w14:textId="77777777" w:rsidTr="00923319">
        <w:tc>
          <w:tcPr>
            <w:tcW w:w="4886" w:type="dxa"/>
          </w:tcPr>
          <w:p w14:paraId="3037258C"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If a GCA Notice has been served and by the expiry of the Cure Period, the Additional Obligor has not cured all IBE Defaults specified in the GCA Notice to the satisfaction of GCA:</w:t>
            </w:r>
          </w:p>
        </w:tc>
        <w:tc>
          <w:tcPr>
            <w:tcW w:w="243" w:type="dxa"/>
          </w:tcPr>
          <w:p w14:paraId="4EA82E18" w14:textId="77777777" w:rsidR="00923319" w:rsidRPr="00A67277" w:rsidRDefault="00923319" w:rsidP="00923319">
            <w:pPr>
              <w:spacing w:before="120" w:after="120"/>
              <w:rPr>
                <w:rFonts w:ascii="Arial" w:hAnsi="Arial" w:cs="Arial"/>
                <w:sz w:val="21"/>
                <w:szCs w:val="21"/>
              </w:rPr>
            </w:pPr>
          </w:p>
        </w:tc>
        <w:tc>
          <w:tcPr>
            <w:tcW w:w="4568" w:type="dxa"/>
          </w:tcPr>
          <w:p w14:paraId="24FD3E70"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Apabila</w:t>
            </w:r>
            <w:r w:rsidRPr="00A67277">
              <w:rPr>
                <w:rFonts w:cs="Arial"/>
              </w:rPr>
              <w:t xml:space="preserve"> Pemberitahuan </w:t>
            </w:r>
            <w:r w:rsidRPr="00A67277">
              <w:rPr>
                <w:rFonts w:cs="Arial"/>
                <w:lang w:val="id-ID"/>
              </w:rPr>
              <w:t>PJPK</w:t>
            </w:r>
            <w:r w:rsidRPr="00A67277">
              <w:rPr>
                <w:rFonts w:cs="Arial"/>
              </w:rPr>
              <w:t xml:space="preserve"> telah dilayani dan dengan berakhirnya </w:t>
            </w:r>
            <w:r w:rsidRPr="00A67277">
              <w:rPr>
                <w:rFonts w:cs="Arial"/>
                <w:lang w:val="id-ID"/>
              </w:rPr>
              <w:t>jangka Waktu Pemulihan</w:t>
            </w:r>
            <w:r w:rsidRPr="00A67277">
              <w:rPr>
                <w:rFonts w:cs="Arial"/>
              </w:rPr>
              <w:t xml:space="preserve">, </w:t>
            </w:r>
            <w:r w:rsidRPr="00A67277">
              <w:rPr>
                <w:rFonts w:cs="Arial"/>
                <w:lang w:val="id-ID"/>
              </w:rPr>
              <w:t>Penjamin</w:t>
            </w:r>
            <w:r w:rsidRPr="00A67277">
              <w:rPr>
                <w:rFonts w:cs="Arial"/>
              </w:rPr>
              <w:t xml:space="preserve"> Tambahan belum </w:t>
            </w:r>
            <w:r w:rsidRPr="00A67277">
              <w:rPr>
                <w:rFonts w:cs="Arial"/>
                <w:lang w:val="id-ID"/>
              </w:rPr>
              <w:t>memulihkan</w:t>
            </w:r>
            <w:r w:rsidRPr="00A67277">
              <w:rPr>
                <w:rFonts w:cs="Arial"/>
              </w:rPr>
              <w:t xml:space="preserve"> semua </w:t>
            </w:r>
            <w:r w:rsidRPr="00A67277">
              <w:rPr>
                <w:rFonts w:cs="Arial"/>
                <w:lang w:val="id-ID"/>
              </w:rPr>
              <w:t>Cidera janji BUP</w:t>
            </w:r>
            <w:r w:rsidRPr="00A67277">
              <w:rPr>
                <w:rFonts w:cs="Arial"/>
              </w:rPr>
              <w:t xml:space="preserve"> yang ditentukan dalam </w:t>
            </w:r>
            <w:r w:rsidRPr="00A67277">
              <w:rPr>
                <w:rFonts w:cs="Arial"/>
                <w:lang w:val="id-ID"/>
              </w:rPr>
              <w:t>Pemberitahuan PJPK</w:t>
            </w:r>
            <w:r w:rsidRPr="00A67277">
              <w:rPr>
                <w:rFonts w:cs="Arial"/>
              </w:rPr>
              <w:t>:</w:t>
            </w:r>
          </w:p>
        </w:tc>
      </w:tr>
      <w:tr w:rsidR="00A67277" w:rsidRPr="00A67277" w14:paraId="7A59D612" w14:textId="77777777" w:rsidTr="00923319">
        <w:tc>
          <w:tcPr>
            <w:tcW w:w="4886" w:type="dxa"/>
          </w:tcPr>
          <w:p w14:paraId="1D8CC03A" w14:textId="77777777" w:rsidR="00923319" w:rsidRPr="00A67277" w:rsidRDefault="00923319" w:rsidP="00923319">
            <w:pPr>
              <w:pStyle w:val="SchNumber4"/>
              <w:numPr>
                <w:ilvl w:val="5"/>
                <w:numId w:val="564"/>
              </w:numPr>
              <w:tabs>
                <w:tab w:val="clear" w:pos="2126"/>
              </w:tabs>
              <w:spacing w:before="120" w:after="120"/>
              <w:ind w:left="1872" w:hanging="630"/>
              <w:rPr>
                <w:rFonts w:cs="Arial"/>
              </w:rPr>
            </w:pPr>
            <w:r w:rsidRPr="00A67277">
              <w:rPr>
                <w:rFonts w:cs="Arial"/>
              </w:rPr>
              <w:t>the Additional Obligor shall immediately be deemed to have terminated forthwith its future obligations to GCA under the Cooperation Agreement (without affecting the continuation of the IBE’s past, present and future rights and obligations towards GCA under the Cooperation Agreement); and</w:t>
            </w:r>
          </w:p>
        </w:tc>
        <w:tc>
          <w:tcPr>
            <w:tcW w:w="243" w:type="dxa"/>
          </w:tcPr>
          <w:p w14:paraId="3BB7399A" w14:textId="77777777" w:rsidR="00923319" w:rsidRPr="00A67277" w:rsidRDefault="00923319" w:rsidP="00923319">
            <w:pPr>
              <w:spacing w:before="120" w:after="120"/>
              <w:rPr>
                <w:rFonts w:ascii="Arial" w:hAnsi="Arial" w:cs="Arial"/>
                <w:sz w:val="21"/>
                <w:szCs w:val="21"/>
              </w:rPr>
            </w:pPr>
          </w:p>
        </w:tc>
        <w:tc>
          <w:tcPr>
            <w:tcW w:w="4568" w:type="dxa"/>
          </w:tcPr>
          <w:p w14:paraId="7F299C30" w14:textId="77777777" w:rsidR="00923319" w:rsidRPr="00A67277" w:rsidRDefault="00923319" w:rsidP="00923319">
            <w:pPr>
              <w:pStyle w:val="SchNumber4"/>
              <w:numPr>
                <w:ilvl w:val="0"/>
                <w:numId w:val="610"/>
              </w:numPr>
              <w:spacing w:before="120" w:after="120"/>
              <w:ind w:left="1810" w:hanging="425"/>
              <w:rPr>
                <w:rFonts w:cs="Arial"/>
              </w:rPr>
            </w:pPr>
            <w:r w:rsidRPr="00A67277">
              <w:rPr>
                <w:rFonts w:cs="Arial"/>
                <w:lang w:val="id-ID"/>
              </w:rPr>
              <w:t>Penjamin</w:t>
            </w:r>
            <w:r w:rsidRPr="00A67277">
              <w:rPr>
                <w:rFonts w:cs="Arial"/>
              </w:rPr>
              <w:t xml:space="preserve"> Tambahan segera dianggap telah dihentikan segera dengan kewajiban</w:t>
            </w:r>
            <w:r w:rsidRPr="00A67277">
              <w:rPr>
                <w:rFonts w:cs="Arial"/>
                <w:lang w:val="id-ID"/>
              </w:rPr>
              <w:t>nya</w:t>
            </w:r>
            <w:r w:rsidRPr="00A67277">
              <w:rPr>
                <w:rFonts w:cs="Arial"/>
              </w:rPr>
              <w:t xml:space="preserve"> kepada </w:t>
            </w:r>
            <w:r w:rsidRPr="00A67277">
              <w:rPr>
                <w:rFonts w:cs="Arial"/>
                <w:lang w:val="id-ID"/>
              </w:rPr>
              <w:t>PJPK</w:t>
            </w:r>
            <w:r w:rsidRPr="00A67277">
              <w:rPr>
                <w:rFonts w:cs="Arial"/>
              </w:rPr>
              <w:t xml:space="preserve"> berdasarkan Perjanjian Kerjasama (tanpa mempengaruhi kelanjutan hak dan kewajiban masa lalu, sekarang dan masa depan </w:t>
            </w:r>
            <w:r w:rsidRPr="00A67277">
              <w:rPr>
                <w:rFonts w:cs="Arial"/>
                <w:lang w:val="id-ID"/>
              </w:rPr>
              <w:t>BUP</w:t>
            </w:r>
            <w:r w:rsidRPr="00A67277">
              <w:rPr>
                <w:rFonts w:cs="Arial"/>
              </w:rPr>
              <w:t xml:space="preserve"> terhadap </w:t>
            </w:r>
            <w:r w:rsidRPr="00A67277">
              <w:rPr>
                <w:rFonts w:cs="Arial"/>
                <w:lang w:val="id-ID"/>
              </w:rPr>
              <w:t>PJPK</w:t>
            </w:r>
            <w:r w:rsidRPr="00A67277">
              <w:rPr>
                <w:rFonts w:cs="Arial"/>
              </w:rPr>
              <w:t xml:space="preserve"> berdasarkan Perjanjian Kerjasama); dan</w:t>
            </w:r>
          </w:p>
        </w:tc>
      </w:tr>
      <w:tr w:rsidR="00A67277" w:rsidRPr="00A67277" w14:paraId="69C94F9D" w14:textId="77777777" w:rsidTr="00923319">
        <w:tc>
          <w:tcPr>
            <w:tcW w:w="4886" w:type="dxa"/>
          </w:tcPr>
          <w:p w14:paraId="63765B76" w14:textId="77777777" w:rsidR="00923319" w:rsidRPr="00A67277" w:rsidRDefault="00923319" w:rsidP="00923319">
            <w:pPr>
              <w:pStyle w:val="SchNumber4"/>
              <w:numPr>
                <w:ilvl w:val="5"/>
                <w:numId w:val="564"/>
              </w:numPr>
              <w:tabs>
                <w:tab w:val="clear" w:pos="2126"/>
              </w:tabs>
              <w:spacing w:before="120" w:after="120"/>
              <w:ind w:left="1872" w:hanging="630"/>
              <w:rPr>
                <w:rFonts w:cs="Arial"/>
              </w:rPr>
            </w:pPr>
            <w:r w:rsidRPr="00A67277">
              <w:rPr>
                <w:rFonts w:cs="Arial"/>
              </w:rPr>
              <w:t>GCA may immediately by notice to the IBE terminate the Cooperation Agreement.</w:t>
            </w:r>
          </w:p>
        </w:tc>
        <w:tc>
          <w:tcPr>
            <w:tcW w:w="243" w:type="dxa"/>
          </w:tcPr>
          <w:p w14:paraId="4E9F9F80" w14:textId="77777777" w:rsidR="00923319" w:rsidRPr="00A67277" w:rsidRDefault="00923319" w:rsidP="00923319">
            <w:pPr>
              <w:spacing w:before="120" w:after="120"/>
              <w:rPr>
                <w:rFonts w:ascii="Arial" w:hAnsi="Arial" w:cs="Arial"/>
                <w:sz w:val="21"/>
                <w:szCs w:val="21"/>
              </w:rPr>
            </w:pPr>
          </w:p>
        </w:tc>
        <w:tc>
          <w:tcPr>
            <w:tcW w:w="4568" w:type="dxa"/>
          </w:tcPr>
          <w:p w14:paraId="5CB6BEF9" w14:textId="77777777" w:rsidR="00923319" w:rsidRPr="00A67277" w:rsidRDefault="00923319" w:rsidP="00923319">
            <w:pPr>
              <w:pStyle w:val="SchNumber4"/>
              <w:numPr>
                <w:ilvl w:val="0"/>
                <w:numId w:val="610"/>
              </w:numPr>
              <w:spacing w:before="120" w:after="120"/>
              <w:ind w:left="1810" w:hanging="425"/>
              <w:rPr>
                <w:rFonts w:cs="Arial"/>
              </w:rPr>
            </w:pPr>
            <w:r w:rsidRPr="00A67277">
              <w:rPr>
                <w:rFonts w:cs="Arial"/>
                <w:lang w:val="id-ID"/>
              </w:rPr>
              <w:t>PJPK</w:t>
            </w:r>
            <w:r w:rsidRPr="00A67277">
              <w:rPr>
                <w:rFonts w:cs="Arial"/>
              </w:rPr>
              <w:t xml:space="preserve"> dapat segera dengan pemberitahuan kepada </w:t>
            </w:r>
            <w:r w:rsidRPr="00A67277">
              <w:rPr>
                <w:rFonts w:cs="Arial"/>
                <w:lang w:val="id-ID"/>
              </w:rPr>
              <w:t>BUP untuk</w:t>
            </w:r>
            <w:r w:rsidRPr="00A67277">
              <w:rPr>
                <w:rFonts w:cs="Arial"/>
              </w:rPr>
              <w:t xml:space="preserve"> mengakhiri Perjanjian Kerjasama.</w:t>
            </w:r>
          </w:p>
        </w:tc>
      </w:tr>
      <w:tr w:rsidR="00A67277" w:rsidRPr="00A67277" w14:paraId="1225D8DC" w14:textId="77777777" w:rsidTr="00923319">
        <w:tc>
          <w:tcPr>
            <w:tcW w:w="4886" w:type="dxa"/>
          </w:tcPr>
          <w:p w14:paraId="6B002F38"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Following the expiry of any Withdrawal Notice Date, the Additional Obligor will be released from all obligations and liabilities under the Cooperation Agreement and will have no further rights under the Cooperation Agreement.</w:t>
            </w:r>
          </w:p>
        </w:tc>
        <w:tc>
          <w:tcPr>
            <w:tcW w:w="243" w:type="dxa"/>
          </w:tcPr>
          <w:p w14:paraId="01207AD9" w14:textId="77777777" w:rsidR="00923319" w:rsidRPr="00A67277" w:rsidRDefault="00923319" w:rsidP="00923319">
            <w:pPr>
              <w:spacing w:before="120" w:after="120"/>
              <w:rPr>
                <w:rFonts w:ascii="Arial" w:hAnsi="Arial" w:cs="Arial"/>
                <w:sz w:val="21"/>
                <w:szCs w:val="21"/>
              </w:rPr>
            </w:pPr>
          </w:p>
        </w:tc>
        <w:tc>
          <w:tcPr>
            <w:tcW w:w="4568" w:type="dxa"/>
          </w:tcPr>
          <w:p w14:paraId="561581EA"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rPr>
              <w:t xml:space="preserve">Setelah berakhirnya Tanggal Pemberitahuan Penarikan, </w:t>
            </w:r>
            <w:r w:rsidRPr="00A67277">
              <w:rPr>
                <w:rFonts w:cs="Arial"/>
                <w:lang w:val="id-ID"/>
              </w:rPr>
              <w:t>Penjamin</w:t>
            </w:r>
            <w:r w:rsidRPr="00A67277">
              <w:rPr>
                <w:rFonts w:cs="Arial"/>
              </w:rPr>
              <w:t xml:space="preserve"> Tambahan akan dilepaskan dari </w:t>
            </w:r>
            <w:r w:rsidRPr="00A67277">
              <w:rPr>
                <w:rFonts w:cs="Arial"/>
                <w:lang w:val="id-ID"/>
              </w:rPr>
              <w:t>semua</w:t>
            </w:r>
            <w:r w:rsidRPr="00A67277">
              <w:rPr>
                <w:rFonts w:cs="Arial"/>
              </w:rPr>
              <w:t xml:space="preserve"> </w:t>
            </w:r>
            <w:r w:rsidRPr="00A67277">
              <w:rPr>
                <w:rFonts w:cs="Arial"/>
                <w:lang w:val="id-ID"/>
              </w:rPr>
              <w:t>tanggung jawab</w:t>
            </w:r>
            <w:r w:rsidRPr="00A67277">
              <w:rPr>
                <w:rFonts w:cs="Arial"/>
              </w:rPr>
              <w:t xml:space="preserve"> dan kewajiban</w:t>
            </w:r>
            <w:r w:rsidRPr="00A67277">
              <w:rPr>
                <w:rFonts w:cs="Arial"/>
                <w:lang w:val="id-ID"/>
              </w:rPr>
              <w:t>nya</w:t>
            </w:r>
            <w:r w:rsidRPr="00A67277">
              <w:rPr>
                <w:rFonts w:cs="Arial"/>
              </w:rPr>
              <w:t xml:space="preserve"> berdasarkan Perjanjian Kerjasama dan tidak memiliki hak lebih lanjut </w:t>
            </w:r>
            <w:r w:rsidRPr="00A67277">
              <w:rPr>
                <w:rFonts w:cs="Arial"/>
                <w:lang w:val="id-ID"/>
              </w:rPr>
              <w:t>terhadap</w:t>
            </w:r>
            <w:r w:rsidRPr="00A67277">
              <w:rPr>
                <w:rFonts w:cs="Arial"/>
              </w:rPr>
              <w:t xml:space="preserve"> Perjanjian Kerjasama.</w:t>
            </w:r>
          </w:p>
        </w:tc>
      </w:tr>
      <w:tr w:rsidR="00A67277" w:rsidRPr="00A67277" w14:paraId="3D6FADA5" w14:textId="77777777" w:rsidTr="00923319">
        <w:tc>
          <w:tcPr>
            <w:tcW w:w="4886" w:type="dxa"/>
          </w:tcPr>
          <w:p w14:paraId="50FD2F9C" w14:textId="77777777" w:rsidR="00923319" w:rsidRPr="00A67277" w:rsidRDefault="00923319" w:rsidP="00923319">
            <w:pPr>
              <w:pStyle w:val="SchNumber3"/>
              <w:numPr>
                <w:ilvl w:val="0"/>
                <w:numId w:val="0"/>
              </w:numPr>
              <w:spacing w:before="120" w:after="120"/>
              <w:jc w:val="center"/>
              <w:rPr>
                <w:rFonts w:cs="Arial"/>
                <w:b/>
              </w:rPr>
            </w:pPr>
            <w:r w:rsidRPr="00A67277">
              <w:rPr>
                <w:rFonts w:cs="Arial"/>
                <w:b/>
              </w:rPr>
              <w:t>Breach in Financing Documents</w:t>
            </w:r>
          </w:p>
        </w:tc>
        <w:tc>
          <w:tcPr>
            <w:tcW w:w="243" w:type="dxa"/>
          </w:tcPr>
          <w:p w14:paraId="1C185CA6" w14:textId="77777777" w:rsidR="00923319" w:rsidRPr="00A67277" w:rsidRDefault="00923319" w:rsidP="00923319">
            <w:pPr>
              <w:spacing w:before="120" w:after="120"/>
              <w:rPr>
                <w:rFonts w:ascii="Arial" w:hAnsi="Arial" w:cs="Arial"/>
                <w:sz w:val="21"/>
                <w:szCs w:val="21"/>
              </w:rPr>
            </w:pPr>
          </w:p>
        </w:tc>
        <w:tc>
          <w:tcPr>
            <w:tcW w:w="4568" w:type="dxa"/>
          </w:tcPr>
          <w:p w14:paraId="6DA71223" w14:textId="77777777" w:rsidR="00923319" w:rsidRPr="00A67277" w:rsidRDefault="00923319" w:rsidP="00923319">
            <w:pPr>
              <w:pStyle w:val="SchNumber3"/>
              <w:numPr>
                <w:ilvl w:val="0"/>
                <w:numId w:val="0"/>
              </w:numPr>
              <w:spacing w:before="120" w:after="120"/>
              <w:ind w:left="613"/>
              <w:rPr>
                <w:rFonts w:cs="Arial"/>
                <w:b/>
                <w:lang w:val="de-DE"/>
              </w:rPr>
            </w:pPr>
            <w:r w:rsidRPr="00A67277">
              <w:rPr>
                <w:rFonts w:cs="Arial"/>
                <w:b/>
                <w:lang w:val="de-DE"/>
              </w:rPr>
              <w:t>Pelanggaran Terhadap Dokumen-Dokumen Pembiayaan</w:t>
            </w:r>
          </w:p>
        </w:tc>
      </w:tr>
      <w:tr w:rsidR="00A67277" w:rsidRPr="00A67277" w14:paraId="73E807D3" w14:textId="77777777" w:rsidTr="00923319">
        <w:tc>
          <w:tcPr>
            <w:tcW w:w="4886" w:type="dxa"/>
          </w:tcPr>
          <w:p w14:paraId="00656032"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If the Representative has notified GCA that an event of default in respect of the Senior Debt (as defined in the Cooperation Agreement) shall have occurred and be continuing (a </w:t>
            </w:r>
            <w:r w:rsidRPr="00A67277">
              <w:rPr>
                <w:rFonts w:cs="Arial"/>
                <w:b/>
              </w:rPr>
              <w:t>Representative Notice</w:t>
            </w:r>
            <w:r w:rsidRPr="00A67277">
              <w:rPr>
                <w:rFonts w:cs="Arial"/>
              </w:rPr>
              <w:t xml:space="preserve">) and the Representative has delivered a Cure Notice in accordance with paragraph (3)(g), the Representative on behalf of the Financing Parties shall have the right, during the Cure Period, to nominate a person (a </w:t>
            </w:r>
            <w:r w:rsidRPr="00A67277">
              <w:rPr>
                <w:rFonts w:cs="Arial"/>
                <w:b/>
              </w:rPr>
              <w:t>Substitute</w:t>
            </w:r>
            <w:r w:rsidRPr="00A67277">
              <w:rPr>
                <w:rFonts w:cs="Arial"/>
              </w:rPr>
              <w:t>) to succeed, by assignment, transfer and / or novation, to the interest and rights of the IBE under the Cooperation Agreement and, in such event, GCA will accept performance by the Substitute as performance by the IBE under the Cooperation Agreement; provided that:</w:t>
            </w:r>
          </w:p>
        </w:tc>
        <w:tc>
          <w:tcPr>
            <w:tcW w:w="243" w:type="dxa"/>
          </w:tcPr>
          <w:p w14:paraId="4C281C0E" w14:textId="77777777" w:rsidR="00923319" w:rsidRPr="00A67277" w:rsidRDefault="00923319" w:rsidP="00923319">
            <w:pPr>
              <w:spacing w:before="120" w:after="120"/>
              <w:rPr>
                <w:rFonts w:ascii="Arial" w:hAnsi="Arial" w:cs="Arial"/>
                <w:sz w:val="21"/>
                <w:szCs w:val="21"/>
              </w:rPr>
            </w:pPr>
          </w:p>
        </w:tc>
        <w:tc>
          <w:tcPr>
            <w:tcW w:w="4568" w:type="dxa"/>
          </w:tcPr>
          <w:p w14:paraId="39C92047"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lang w:val="id-ID"/>
              </w:rPr>
              <w:t>Apabila</w:t>
            </w:r>
            <w:r w:rsidRPr="00A67277">
              <w:rPr>
                <w:rFonts w:cs="Arial"/>
              </w:rPr>
              <w:t xml:space="preserve"> Perwakilan telah </w:t>
            </w:r>
            <w:r w:rsidRPr="00A67277">
              <w:rPr>
                <w:rFonts w:cs="Arial"/>
                <w:lang w:val="id-ID"/>
              </w:rPr>
              <w:t>memberikan pemberitahuan kepada PJPK</w:t>
            </w:r>
            <w:r w:rsidRPr="00A67277">
              <w:rPr>
                <w:rFonts w:cs="Arial"/>
              </w:rPr>
              <w:t xml:space="preserve"> bahwa peristiwa </w:t>
            </w:r>
            <w:r w:rsidRPr="00A67277">
              <w:rPr>
                <w:rFonts w:cs="Arial"/>
                <w:lang w:val="id-ID"/>
              </w:rPr>
              <w:t>cidera janji</w:t>
            </w:r>
            <w:r w:rsidRPr="00A67277">
              <w:rPr>
                <w:rFonts w:cs="Arial"/>
              </w:rPr>
              <w:t xml:space="preserve"> sehubungan dengan </w:t>
            </w:r>
            <w:r w:rsidRPr="00A67277">
              <w:rPr>
                <w:rFonts w:cs="Arial"/>
                <w:lang w:val="id-ID"/>
              </w:rPr>
              <w:t>Hutang Senior</w:t>
            </w:r>
            <w:r w:rsidRPr="00A67277">
              <w:rPr>
                <w:rFonts w:cs="Arial"/>
              </w:rPr>
              <w:t xml:space="preserve"> (sebagaimana didefinisikan dalam Perjanjian Kerjasama) terjadi dan berlanjut (</w:t>
            </w:r>
            <w:r w:rsidRPr="00A67277">
              <w:rPr>
                <w:rFonts w:cs="Arial"/>
                <w:b/>
              </w:rPr>
              <w:t>Pemberitahuan Perwakilan</w:t>
            </w:r>
            <w:r w:rsidRPr="00A67277">
              <w:rPr>
                <w:rFonts w:cs="Arial"/>
              </w:rPr>
              <w:t xml:space="preserve">) dan Perwakilan telah menyampaikan Pemberitahuan </w:t>
            </w:r>
            <w:r w:rsidRPr="00A67277">
              <w:rPr>
                <w:rFonts w:cs="Arial"/>
                <w:lang w:val="id-ID"/>
              </w:rPr>
              <w:t>Pemulihan</w:t>
            </w:r>
            <w:r w:rsidRPr="00A67277">
              <w:rPr>
                <w:rFonts w:cs="Arial"/>
              </w:rPr>
              <w:t xml:space="preserve"> sesuai dengan paragraf (3)(g), Perwakilan atas nama Pihak Pembiaya berhak, selama Periode </w:t>
            </w:r>
            <w:r w:rsidRPr="00A67277">
              <w:rPr>
                <w:rFonts w:cs="Arial"/>
                <w:lang w:val="id-ID"/>
              </w:rPr>
              <w:t>Pemulihan</w:t>
            </w:r>
            <w:r w:rsidRPr="00A67277">
              <w:rPr>
                <w:rFonts w:cs="Arial"/>
              </w:rPr>
              <w:t>, untuk mencalonkan seseorang (</w:t>
            </w:r>
            <w:r w:rsidRPr="00A67277">
              <w:rPr>
                <w:rFonts w:cs="Arial"/>
                <w:b/>
              </w:rPr>
              <w:t>Pengganti</w:t>
            </w:r>
            <w:r w:rsidRPr="00A67277">
              <w:rPr>
                <w:rFonts w:cs="Arial"/>
              </w:rPr>
              <w:t xml:space="preserve">) untuk, dengan tugas, </w:t>
            </w:r>
            <w:r w:rsidRPr="00A67277">
              <w:rPr>
                <w:rFonts w:cs="Arial"/>
                <w:lang w:val="id-ID"/>
              </w:rPr>
              <w:t>pengalihan</w:t>
            </w:r>
            <w:r w:rsidRPr="00A67277">
              <w:rPr>
                <w:rFonts w:cs="Arial"/>
              </w:rPr>
              <w:t xml:space="preserve"> dan/atau novasi, untuk kepentingan dan hak </w:t>
            </w:r>
            <w:r w:rsidRPr="00A67277">
              <w:rPr>
                <w:rFonts w:cs="Arial"/>
                <w:lang w:val="id-ID"/>
              </w:rPr>
              <w:t>BUP</w:t>
            </w:r>
            <w:r w:rsidRPr="00A67277">
              <w:rPr>
                <w:rFonts w:cs="Arial"/>
              </w:rPr>
              <w:t xml:space="preserve"> berdasarkan Perjanjian Kerjasama dan, dalam hal demikian, </w:t>
            </w:r>
            <w:r w:rsidRPr="00A67277">
              <w:rPr>
                <w:rFonts w:cs="Arial"/>
                <w:lang w:val="id-ID"/>
              </w:rPr>
              <w:t>PJPK</w:t>
            </w:r>
            <w:r w:rsidRPr="00A67277">
              <w:rPr>
                <w:rFonts w:cs="Arial"/>
              </w:rPr>
              <w:t xml:space="preserve"> akan menerima kinerja oleh Pengganti oleh </w:t>
            </w:r>
            <w:r w:rsidRPr="00A67277">
              <w:rPr>
                <w:rFonts w:cs="Arial"/>
                <w:lang w:val="id-ID"/>
              </w:rPr>
              <w:t>BUP</w:t>
            </w:r>
            <w:r w:rsidRPr="00A67277">
              <w:rPr>
                <w:rFonts w:cs="Arial"/>
              </w:rPr>
              <w:t xml:space="preserve"> berdasarkan Perjanjian Kerjasama; dengan ketentuan:</w:t>
            </w:r>
          </w:p>
        </w:tc>
      </w:tr>
      <w:tr w:rsidR="00A67277" w:rsidRPr="00A67277" w14:paraId="3F724778" w14:textId="77777777" w:rsidTr="00923319">
        <w:tc>
          <w:tcPr>
            <w:tcW w:w="4886" w:type="dxa"/>
          </w:tcPr>
          <w:p w14:paraId="27812729" w14:textId="77777777" w:rsidR="00923319" w:rsidRPr="00A67277" w:rsidRDefault="00923319" w:rsidP="00923319">
            <w:pPr>
              <w:pStyle w:val="SchNumber4"/>
              <w:numPr>
                <w:ilvl w:val="5"/>
                <w:numId w:val="564"/>
              </w:numPr>
              <w:tabs>
                <w:tab w:val="clear" w:pos="2126"/>
                <w:tab w:val="num" w:pos="1872"/>
              </w:tabs>
              <w:spacing w:before="120" w:after="120"/>
              <w:ind w:left="1872" w:hanging="630"/>
              <w:rPr>
                <w:rFonts w:cs="Arial"/>
              </w:rPr>
            </w:pPr>
            <w:r w:rsidRPr="00A67277">
              <w:rPr>
                <w:rFonts w:cs="Arial"/>
              </w:rPr>
              <w:t xml:space="preserve">the Representative must provide the GCA written notice that it wishes the Substitute to assume the obligations of the IBE under the Cooperation Agreement (such notice, the </w:t>
            </w:r>
            <w:r w:rsidRPr="00A67277">
              <w:rPr>
                <w:rFonts w:cs="Arial"/>
                <w:b/>
              </w:rPr>
              <w:t>Novation Notice</w:t>
            </w:r>
            <w:r w:rsidRPr="00A67277">
              <w:rPr>
                <w:rFonts w:cs="Arial"/>
              </w:rPr>
              <w:t>), which notice must: (1) give reasonable evidence that the Substitute has the financial and technical ability, and relevant experience required to perform the obligations of the IBE under the Cooperation Agreement; and (2) specify a date of not less than fourteen (14) Days after the date of such notice on which the Representative proposes such succession is to be effective;</w:t>
            </w:r>
          </w:p>
        </w:tc>
        <w:tc>
          <w:tcPr>
            <w:tcW w:w="243" w:type="dxa"/>
          </w:tcPr>
          <w:p w14:paraId="20C80CF7" w14:textId="77777777" w:rsidR="00923319" w:rsidRPr="00A67277" w:rsidRDefault="00923319" w:rsidP="00923319">
            <w:pPr>
              <w:spacing w:before="120" w:after="120"/>
              <w:rPr>
                <w:rFonts w:ascii="Arial" w:hAnsi="Arial" w:cs="Arial"/>
                <w:sz w:val="21"/>
                <w:szCs w:val="21"/>
              </w:rPr>
            </w:pPr>
          </w:p>
        </w:tc>
        <w:tc>
          <w:tcPr>
            <w:tcW w:w="4568" w:type="dxa"/>
          </w:tcPr>
          <w:p w14:paraId="35A614A1" w14:textId="77777777" w:rsidR="00923319" w:rsidRPr="00A67277" w:rsidRDefault="00923319" w:rsidP="00923319">
            <w:pPr>
              <w:pStyle w:val="SchNumber4"/>
              <w:numPr>
                <w:ilvl w:val="0"/>
                <w:numId w:val="611"/>
              </w:numPr>
              <w:spacing w:before="120" w:after="120"/>
              <w:ind w:left="1952" w:hanging="567"/>
              <w:rPr>
                <w:rFonts w:cs="Arial"/>
              </w:rPr>
            </w:pPr>
            <w:r w:rsidRPr="00A67277">
              <w:rPr>
                <w:rFonts w:cs="Arial"/>
              </w:rPr>
              <w:t>Perwakilan</w:t>
            </w:r>
            <w:r w:rsidRPr="00A67277">
              <w:rPr>
                <w:rFonts w:cs="Arial"/>
                <w:lang w:val="id-ID"/>
              </w:rPr>
              <w:t xml:space="preserve"> tersebut</w:t>
            </w:r>
            <w:r w:rsidRPr="00A67277">
              <w:rPr>
                <w:rFonts w:cs="Arial"/>
              </w:rPr>
              <w:t xml:space="preserve"> harus memberikan pemberitahuan tertulis kepada </w:t>
            </w:r>
            <w:r w:rsidRPr="00A67277">
              <w:rPr>
                <w:rFonts w:cs="Arial"/>
                <w:lang w:val="id-ID"/>
              </w:rPr>
              <w:t>PJPK</w:t>
            </w:r>
            <w:r w:rsidRPr="00A67277">
              <w:rPr>
                <w:rFonts w:cs="Arial"/>
              </w:rPr>
              <w:t xml:space="preserve"> bahwa ia meminta Pengganti untuk menanggung kewajiban </w:t>
            </w:r>
            <w:r w:rsidRPr="00A67277">
              <w:rPr>
                <w:rFonts w:cs="Arial"/>
                <w:lang w:val="id-ID"/>
              </w:rPr>
              <w:t>BUP</w:t>
            </w:r>
            <w:r w:rsidRPr="00A67277">
              <w:rPr>
                <w:rFonts w:cs="Arial"/>
              </w:rPr>
              <w:t xml:space="preserve"> berdasarkan Perjanjian Kerjasama (pemberitahuan tersebut, </w:t>
            </w:r>
            <w:r w:rsidRPr="00A67277">
              <w:rPr>
                <w:rFonts w:cs="Arial"/>
                <w:b/>
              </w:rPr>
              <w:t>Pemberitahuan Novasi</w:t>
            </w:r>
            <w:r w:rsidRPr="00A67277">
              <w:rPr>
                <w:rFonts w:cs="Arial"/>
              </w:rPr>
              <w:t xml:space="preserve">), yang mana pemberitahuan harus: (1) memberikan bukti yang masuk akal bahwa Pengganti memiliki kemampuan finansial dan teknis, dan pengalaman yang relevan yang diperlukan untuk menjalankan kewajiban </w:t>
            </w:r>
            <w:r w:rsidRPr="00A67277">
              <w:rPr>
                <w:rFonts w:cs="Arial"/>
                <w:lang w:val="id-ID"/>
              </w:rPr>
              <w:t>BUP</w:t>
            </w:r>
            <w:r w:rsidRPr="00A67277">
              <w:rPr>
                <w:rFonts w:cs="Arial"/>
              </w:rPr>
              <w:t xml:space="preserve"> berdasarkan Perjanjian Kerjasama; dan (2) menentukan tanggal tidak kurang dari empat belas (14) Hari setelah tanggal pemberitahuan tersebut dimana Perwakilan mengusulkan tersebut efektif;</w:t>
            </w:r>
          </w:p>
        </w:tc>
      </w:tr>
      <w:tr w:rsidR="00A67277" w:rsidRPr="00A67277" w14:paraId="60D3A04B" w14:textId="77777777" w:rsidTr="00923319">
        <w:tc>
          <w:tcPr>
            <w:tcW w:w="4886" w:type="dxa"/>
          </w:tcPr>
          <w:p w14:paraId="1E2C9E69" w14:textId="77777777" w:rsidR="00923319" w:rsidRPr="00A67277" w:rsidRDefault="00923319" w:rsidP="00923319">
            <w:pPr>
              <w:pStyle w:val="SchNumber4"/>
              <w:numPr>
                <w:ilvl w:val="5"/>
                <w:numId w:val="564"/>
              </w:numPr>
              <w:tabs>
                <w:tab w:val="clear" w:pos="2126"/>
                <w:tab w:val="num" w:pos="1872"/>
              </w:tabs>
              <w:spacing w:before="120" w:after="120"/>
              <w:ind w:left="1872" w:hanging="630"/>
              <w:rPr>
                <w:rFonts w:cs="Arial"/>
              </w:rPr>
            </w:pPr>
            <w:r w:rsidRPr="00A67277">
              <w:rPr>
                <w:rFonts w:cs="Arial"/>
              </w:rPr>
              <w:t>either: (1) the Financing Parties acting through the Representative or Financing Parties' Agent must have cured any Defaults by the IBE identified in any related GCA Notice to the satisfaction of GCA prior to the expiry of the Cure Period; or (2) such succession must be completed by the expiry of the Cure Period; and</w:t>
            </w:r>
          </w:p>
        </w:tc>
        <w:tc>
          <w:tcPr>
            <w:tcW w:w="243" w:type="dxa"/>
          </w:tcPr>
          <w:p w14:paraId="30C5F77D" w14:textId="77777777" w:rsidR="00923319" w:rsidRPr="00A67277" w:rsidRDefault="00923319" w:rsidP="00923319">
            <w:pPr>
              <w:spacing w:before="120" w:after="120"/>
              <w:rPr>
                <w:rFonts w:ascii="Arial" w:hAnsi="Arial" w:cs="Arial"/>
                <w:sz w:val="21"/>
                <w:szCs w:val="21"/>
              </w:rPr>
            </w:pPr>
          </w:p>
        </w:tc>
        <w:tc>
          <w:tcPr>
            <w:tcW w:w="4568" w:type="dxa"/>
          </w:tcPr>
          <w:p w14:paraId="35B44BFB" w14:textId="77777777" w:rsidR="00923319" w:rsidRPr="00A67277" w:rsidRDefault="00923319" w:rsidP="00923319">
            <w:pPr>
              <w:pStyle w:val="SchNumber4"/>
              <w:numPr>
                <w:ilvl w:val="0"/>
                <w:numId w:val="611"/>
              </w:numPr>
              <w:spacing w:before="120" w:after="120"/>
              <w:ind w:left="1952" w:hanging="567"/>
              <w:rPr>
                <w:rFonts w:cs="Arial"/>
              </w:rPr>
            </w:pPr>
            <w:r w:rsidRPr="00A67277">
              <w:rPr>
                <w:rFonts w:cs="Arial"/>
              </w:rPr>
              <w:t>antara: (1) Pihak Pembiaya yang bertindak melalui Agen Perwakilan atau Pihak Pembiaya harus telah memastikan bahwa Cidera Janji oleh BUP diidentifikasi sedang dalam Pemberitahuan PJPK terkait kepuasan PJPK sebelum berakhirnya Masa Pemulihan; atau (2) suksesi tersebut harus diselesaikan pada saat berakhirnya Masa Pemulihan; dan</w:t>
            </w:r>
          </w:p>
        </w:tc>
      </w:tr>
      <w:tr w:rsidR="00A67277" w:rsidRPr="00A67277" w14:paraId="2CF45A97" w14:textId="77777777" w:rsidTr="00923319">
        <w:tc>
          <w:tcPr>
            <w:tcW w:w="4886" w:type="dxa"/>
          </w:tcPr>
          <w:p w14:paraId="31B93B5B" w14:textId="77777777" w:rsidR="00923319" w:rsidRPr="00A67277" w:rsidRDefault="00923319" w:rsidP="00923319">
            <w:pPr>
              <w:pStyle w:val="SchNumber4"/>
              <w:numPr>
                <w:ilvl w:val="5"/>
                <w:numId w:val="564"/>
              </w:numPr>
              <w:tabs>
                <w:tab w:val="clear" w:pos="2126"/>
                <w:tab w:val="num" w:pos="1872"/>
              </w:tabs>
              <w:spacing w:before="120" w:after="120"/>
              <w:ind w:left="1872" w:hanging="630"/>
              <w:rPr>
                <w:rFonts w:cs="Arial"/>
              </w:rPr>
            </w:pPr>
            <w:r w:rsidRPr="00A67277">
              <w:rPr>
                <w:rFonts w:cs="Arial"/>
              </w:rPr>
              <w:t>such right is subject to the right of GCA to reject a Substitute on the grounds that the proposed Substitute does not have the financial and technical ability, and relevant experience required to perform the obligations of the IBE under the Cooperation Agreement, which rejection by GCA shall be given by notice in writing delivered to the Representative within fourteen (14) Days of receipt of the Novation Notice by GCA, and the Representative must supply GCA with such information as GCA reasonably requires to enable it to decide whether to accept the proposed Substitute.</w:t>
            </w:r>
          </w:p>
        </w:tc>
        <w:tc>
          <w:tcPr>
            <w:tcW w:w="243" w:type="dxa"/>
          </w:tcPr>
          <w:p w14:paraId="2A26F14B" w14:textId="77777777" w:rsidR="00923319" w:rsidRPr="00A67277" w:rsidRDefault="00923319" w:rsidP="00923319">
            <w:pPr>
              <w:spacing w:before="120" w:after="120"/>
              <w:rPr>
                <w:rFonts w:ascii="Arial" w:hAnsi="Arial" w:cs="Arial"/>
                <w:sz w:val="21"/>
                <w:szCs w:val="21"/>
              </w:rPr>
            </w:pPr>
          </w:p>
        </w:tc>
        <w:tc>
          <w:tcPr>
            <w:tcW w:w="4568" w:type="dxa"/>
          </w:tcPr>
          <w:p w14:paraId="33039EEB" w14:textId="77777777" w:rsidR="00923319" w:rsidRPr="00A67277" w:rsidRDefault="00923319" w:rsidP="00923319">
            <w:pPr>
              <w:pStyle w:val="SchNumber4"/>
              <w:numPr>
                <w:ilvl w:val="0"/>
                <w:numId w:val="611"/>
              </w:numPr>
              <w:spacing w:before="120" w:after="120"/>
              <w:ind w:left="1952" w:hanging="567"/>
              <w:rPr>
                <w:rFonts w:cs="Arial"/>
              </w:rPr>
            </w:pPr>
            <w:r w:rsidRPr="00A67277">
              <w:rPr>
                <w:rFonts w:cs="Arial"/>
              </w:rPr>
              <w:t xml:space="preserve">hak tersebut tunduk pada hak </w:t>
            </w:r>
            <w:r w:rsidRPr="00A67277">
              <w:rPr>
                <w:rFonts w:cs="Arial"/>
                <w:lang w:val="id-ID"/>
              </w:rPr>
              <w:t>PJPK</w:t>
            </w:r>
            <w:r w:rsidRPr="00A67277">
              <w:rPr>
                <w:rFonts w:cs="Arial"/>
              </w:rPr>
              <w:t xml:space="preserve"> untuk menolak Pengganti dengan alasan bahwa Pengganti yang diajukan tidak memiliki kemampuan finansial dan teknis, dan pengalaman relevan yang diperlukan untuk melaksanakan kewajiban </w:t>
            </w:r>
            <w:r w:rsidRPr="00A67277">
              <w:rPr>
                <w:rFonts w:cs="Arial"/>
                <w:lang w:val="id-ID"/>
              </w:rPr>
              <w:t>BUP</w:t>
            </w:r>
            <w:r w:rsidRPr="00A67277">
              <w:rPr>
                <w:rFonts w:cs="Arial"/>
              </w:rPr>
              <w:t xml:space="preserve"> berdasarkan Perjanjian Kerjasama, yang penolakan oleh </w:t>
            </w:r>
            <w:r w:rsidRPr="00A67277">
              <w:rPr>
                <w:rFonts w:cs="Arial"/>
                <w:lang w:val="id-ID"/>
              </w:rPr>
              <w:t>PJPK</w:t>
            </w:r>
            <w:r w:rsidRPr="00A67277">
              <w:rPr>
                <w:rFonts w:cs="Arial"/>
              </w:rPr>
              <w:t xml:space="preserve"> diberikan dengan pemberitahuan secara tertulis yang disampaikan ke Perwakilan dalam waktu empat belas (14) Hari setelah diterimanya Pemberitahuan Novasi oleh </w:t>
            </w:r>
            <w:r w:rsidRPr="00A67277">
              <w:rPr>
                <w:rFonts w:cs="Arial"/>
                <w:lang w:val="id-ID"/>
              </w:rPr>
              <w:t>PJPK</w:t>
            </w:r>
            <w:r w:rsidRPr="00A67277">
              <w:rPr>
                <w:rFonts w:cs="Arial"/>
              </w:rPr>
              <w:t xml:space="preserve">, dan Perwakilan harus menyediakan </w:t>
            </w:r>
            <w:r w:rsidRPr="00A67277">
              <w:rPr>
                <w:rFonts w:cs="Arial"/>
                <w:lang w:val="id-ID"/>
              </w:rPr>
              <w:t>kepada PJPK</w:t>
            </w:r>
            <w:r w:rsidRPr="00A67277">
              <w:rPr>
                <w:rFonts w:cs="Arial"/>
              </w:rPr>
              <w:t xml:space="preserve"> dengan informasi seperti yang layak oleh </w:t>
            </w:r>
            <w:r w:rsidRPr="00A67277">
              <w:rPr>
                <w:rFonts w:cs="Arial"/>
                <w:lang w:val="id-ID"/>
              </w:rPr>
              <w:t>PJPK</w:t>
            </w:r>
            <w:r w:rsidRPr="00A67277">
              <w:rPr>
                <w:rFonts w:cs="Arial"/>
              </w:rPr>
              <w:t xml:space="preserve"> untuk memungkinkannya memutuskan apakah akan menerima Pengganti yang diusulkan.</w:t>
            </w:r>
          </w:p>
        </w:tc>
      </w:tr>
      <w:tr w:rsidR="00A67277" w:rsidRPr="00A67277" w14:paraId="5D9EFCD3" w14:textId="77777777" w:rsidTr="00923319">
        <w:tc>
          <w:tcPr>
            <w:tcW w:w="4886" w:type="dxa"/>
          </w:tcPr>
          <w:p w14:paraId="354415B1"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 xml:space="preserve">Subject to satisfaction of the terms and conditions of paragraph (3)(m), the GCA agrees that, to the extent required, it will not unreasonably withhold or delay its consent to the assignment, transfer or </w:t>
            </w:r>
            <w:r w:rsidRPr="008A28BF">
              <w:rPr>
                <w:rFonts w:cs="Arial"/>
              </w:rPr>
              <w:t>novation</w:t>
            </w:r>
            <w:r w:rsidRPr="00A67277">
              <w:rPr>
                <w:rFonts w:cs="Arial"/>
              </w:rPr>
              <w:t xml:space="preserve"> by the Financing Parties of their interest in the Cooperation Agreement to the Substitute; provided that such Substitute assumes the obligations of the IBE under the Cooperation Agreement from and after the date of such assignment, transfer or novation. Any such succession, novation or transfer shall include the succession, novation or transfer of all of the rights and interest of the IBE under the Cooperation Agreement. </w:t>
            </w:r>
          </w:p>
        </w:tc>
        <w:tc>
          <w:tcPr>
            <w:tcW w:w="243" w:type="dxa"/>
          </w:tcPr>
          <w:p w14:paraId="1001020B" w14:textId="77777777" w:rsidR="00923319" w:rsidRPr="00A67277" w:rsidRDefault="00923319" w:rsidP="00923319">
            <w:pPr>
              <w:spacing w:before="120" w:after="120"/>
              <w:rPr>
                <w:rFonts w:ascii="Arial" w:hAnsi="Arial" w:cs="Arial"/>
                <w:sz w:val="21"/>
                <w:szCs w:val="21"/>
              </w:rPr>
            </w:pPr>
          </w:p>
        </w:tc>
        <w:tc>
          <w:tcPr>
            <w:tcW w:w="4568" w:type="dxa"/>
          </w:tcPr>
          <w:p w14:paraId="11B81234" w14:textId="77777777" w:rsidR="00923319" w:rsidRPr="00A67277" w:rsidRDefault="00923319" w:rsidP="00923319">
            <w:pPr>
              <w:pStyle w:val="SchNumber3"/>
              <w:numPr>
                <w:ilvl w:val="0"/>
                <w:numId w:val="608"/>
              </w:numPr>
              <w:spacing w:before="120" w:after="120"/>
              <w:ind w:left="1219" w:hanging="567"/>
              <w:rPr>
                <w:rFonts w:cs="Arial"/>
              </w:rPr>
            </w:pPr>
            <w:r w:rsidRPr="00A67277">
              <w:rPr>
                <w:rFonts w:cs="Arial"/>
              </w:rPr>
              <w:t xml:space="preserve">Tunduk pada pemenuhan persyaratan dan ketentuan paragraf (3)(m), </w:t>
            </w:r>
            <w:r w:rsidRPr="00A67277">
              <w:rPr>
                <w:rFonts w:cs="Arial"/>
                <w:lang w:val="id-ID"/>
              </w:rPr>
              <w:t>PJPK</w:t>
            </w:r>
            <w:r w:rsidRPr="00A67277">
              <w:rPr>
                <w:rFonts w:cs="Arial"/>
                <w:lang w:val="en-ID"/>
              </w:rPr>
              <w:t xml:space="preserve"> sepakat</w:t>
            </w:r>
            <w:r w:rsidRPr="00A67277">
              <w:rPr>
                <w:rFonts w:cs="Arial"/>
              </w:rPr>
              <w:t xml:space="preserve"> bahwa, jika diperlukan, tidak akan menahan atau menunda persetujuannya secara tidak wajar atas pengalihan, perpindahan atau novasi oleh Pihak Pembiaya kepentingan mereka dalam Perjanjian Kerjasama dengan Pengganti; dengan ketentuan bahwa Pengganti tersebut mengasumsikan kewajiban </w:t>
            </w:r>
            <w:r w:rsidRPr="00A67277">
              <w:rPr>
                <w:rFonts w:cs="Arial"/>
                <w:lang w:val="id-ID"/>
              </w:rPr>
              <w:t>BUP</w:t>
            </w:r>
            <w:r w:rsidRPr="00A67277">
              <w:rPr>
                <w:rFonts w:cs="Arial"/>
              </w:rPr>
              <w:t xml:space="preserve"> berdasarkan Perjanjian Kerjasama dari dan setelah tanggal pengalihan, perpindahan atau novasi tersebut. </w:t>
            </w:r>
            <w:r w:rsidRPr="00A67277">
              <w:rPr>
                <w:rFonts w:cs="Arial"/>
                <w:lang w:val="en-ID"/>
              </w:rPr>
              <w:t>S</w:t>
            </w:r>
            <w:r w:rsidRPr="00A67277">
              <w:rPr>
                <w:rFonts w:cs="Arial"/>
              </w:rPr>
              <w:t xml:space="preserve">emua suksesi, novasi atau perpindahan tersebut mencakup novasi atau pengalihan seluruh hak dan kepentingan </w:t>
            </w:r>
            <w:r w:rsidRPr="00A67277">
              <w:rPr>
                <w:rFonts w:cs="Arial"/>
                <w:lang w:val="id-ID"/>
              </w:rPr>
              <w:t>BUP</w:t>
            </w:r>
            <w:r w:rsidRPr="00A67277">
              <w:rPr>
                <w:rFonts w:cs="Arial"/>
              </w:rPr>
              <w:t xml:space="preserve"> berdasarkan Perjanjian Kerjasama</w:t>
            </w:r>
            <w:r w:rsidRPr="00A67277">
              <w:rPr>
                <w:rFonts w:cs="Arial"/>
                <w:lang w:val="id-ID"/>
              </w:rPr>
              <w:t>.</w:t>
            </w:r>
          </w:p>
        </w:tc>
      </w:tr>
      <w:tr w:rsidR="00A67277" w:rsidRPr="00A67277" w14:paraId="198666C4" w14:textId="77777777" w:rsidTr="00923319">
        <w:tc>
          <w:tcPr>
            <w:tcW w:w="4886" w:type="dxa"/>
          </w:tcPr>
          <w:p w14:paraId="375623BD" w14:textId="77777777" w:rsidR="00923319" w:rsidRPr="00A67277" w:rsidRDefault="00923319" w:rsidP="00923319">
            <w:pPr>
              <w:pStyle w:val="SchNumber3"/>
              <w:numPr>
                <w:ilvl w:val="0"/>
                <w:numId w:val="0"/>
              </w:numPr>
              <w:tabs>
                <w:tab w:val="left" w:pos="4599"/>
              </w:tabs>
              <w:spacing w:before="120" w:after="120"/>
              <w:ind w:left="720"/>
              <w:rPr>
                <w:rFonts w:cs="Arial"/>
              </w:rPr>
            </w:pPr>
            <w:r w:rsidRPr="00A67277">
              <w:rPr>
                <w:rFonts w:cs="Arial"/>
                <w:b/>
              </w:rPr>
              <w:t>Liability to GCA</w:t>
            </w:r>
          </w:p>
        </w:tc>
        <w:tc>
          <w:tcPr>
            <w:tcW w:w="243" w:type="dxa"/>
          </w:tcPr>
          <w:p w14:paraId="7EA5D183" w14:textId="77777777" w:rsidR="00923319" w:rsidRPr="00A67277" w:rsidRDefault="00923319" w:rsidP="00923319">
            <w:pPr>
              <w:spacing w:before="120" w:after="120"/>
              <w:rPr>
                <w:rFonts w:ascii="Arial" w:hAnsi="Arial" w:cs="Arial"/>
                <w:sz w:val="21"/>
                <w:szCs w:val="21"/>
              </w:rPr>
            </w:pPr>
          </w:p>
        </w:tc>
        <w:tc>
          <w:tcPr>
            <w:tcW w:w="4568" w:type="dxa"/>
          </w:tcPr>
          <w:p w14:paraId="3A639636" w14:textId="77777777" w:rsidR="00923319" w:rsidRPr="00A67277" w:rsidRDefault="00923319" w:rsidP="00923319">
            <w:pPr>
              <w:pStyle w:val="SchNumber3"/>
              <w:numPr>
                <w:ilvl w:val="0"/>
                <w:numId w:val="0"/>
              </w:numPr>
              <w:spacing w:before="120" w:after="120"/>
              <w:ind w:left="613"/>
              <w:rPr>
                <w:rFonts w:cs="Arial"/>
                <w:b/>
              </w:rPr>
            </w:pPr>
            <w:r w:rsidRPr="00A67277">
              <w:rPr>
                <w:rFonts w:cs="Arial"/>
                <w:b/>
              </w:rPr>
              <w:t>Kewajiban PJPK</w:t>
            </w:r>
          </w:p>
        </w:tc>
      </w:tr>
      <w:tr w:rsidR="00A67277" w:rsidRPr="00A67277" w14:paraId="2E2BC96A" w14:textId="77777777" w:rsidTr="00923319">
        <w:tc>
          <w:tcPr>
            <w:tcW w:w="4886" w:type="dxa"/>
          </w:tcPr>
          <w:p w14:paraId="54213C2D" w14:textId="77777777" w:rsidR="00923319" w:rsidRPr="00A67277" w:rsidRDefault="00923319" w:rsidP="00923319">
            <w:pPr>
              <w:pStyle w:val="SchNumber3"/>
              <w:numPr>
                <w:ilvl w:val="4"/>
                <w:numId w:val="564"/>
              </w:numPr>
              <w:tabs>
                <w:tab w:val="clear" w:pos="1418"/>
                <w:tab w:val="left" w:pos="1242"/>
              </w:tabs>
              <w:spacing w:before="120" w:after="120"/>
              <w:ind w:left="1242" w:hanging="540"/>
              <w:rPr>
                <w:rFonts w:cs="Arial"/>
              </w:rPr>
            </w:pPr>
            <w:r w:rsidRPr="00A67277">
              <w:rPr>
                <w:rFonts w:cs="Arial"/>
              </w:rPr>
              <w:t>Notwithstanding the foregoing, none of the Substitute, the Representative or the Financing Parties shall have any obligation to GCA under the Cooperation Agreement unless and until:</w:t>
            </w:r>
          </w:p>
        </w:tc>
        <w:tc>
          <w:tcPr>
            <w:tcW w:w="243" w:type="dxa"/>
          </w:tcPr>
          <w:p w14:paraId="1A0E756C" w14:textId="77777777" w:rsidR="00923319" w:rsidRPr="00A67277" w:rsidRDefault="00923319" w:rsidP="00923319">
            <w:pPr>
              <w:spacing w:before="120" w:after="120"/>
              <w:rPr>
                <w:rFonts w:ascii="Arial" w:hAnsi="Arial" w:cs="Arial"/>
                <w:sz w:val="21"/>
                <w:szCs w:val="21"/>
              </w:rPr>
            </w:pPr>
          </w:p>
        </w:tc>
        <w:tc>
          <w:tcPr>
            <w:tcW w:w="4568" w:type="dxa"/>
          </w:tcPr>
          <w:p w14:paraId="37BB795D" w14:textId="77777777" w:rsidR="00923319" w:rsidRPr="00A67277" w:rsidRDefault="00923319" w:rsidP="00923319">
            <w:pPr>
              <w:pStyle w:val="SchNumber3"/>
              <w:numPr>
                <w:ilvl w:val="0"/>
                <w:numId w:val="608"/>
              </w:numPr>
              <w:spacing w:before="120" w:after="120"/>
              <w:ind w:left="1153" w:hanging="501"/>
              <w:rPr>
                <w:rFonts w:cs="Arial"/>
              </w:rPr>
            </w:pPr>
            <w:r w:rsidRPr="00A67277">
              <w:rPr>
                <w:rFonts w:cs="Arial"/>
              </w:rPr>
              <w:t xml:space="preserve">Tanpa mengesampingkan hal yang terjadi, tidak satupun dari Pengganti, </w:t>
            </w:r>
            <w:r w:rsidRPr="00A67277">
              <w:rPr>
                <w:rFonts w:cs="Arial"/>
                <w:lang w:val="id-ID"/>
              </w:rPr>
              <w:t>Perw</w:t>
            </w:r>
            <w:r w:rsidRPr="00A67277">
              <w:rPr>
                <w:rFonts w:cs="Arial"/>
              </w:rPr>
              <w:t>akil</w:t>
            </w:r>
            <w:r w:rsidRPr="00A67277">
              <w:rPr>
                <w:rFonts w:cs="Arial"/>
                <w:lang w:val="id-ID"/>
              </w:rPr>
              <w:t>an</w:t>
            </w:r>
            <w:r w:rsidRPr="00A67277">
              <w:rPr>
                <w:rFonts w:cs="Arial"/>
              </w:rPr>
              <w:t xml:space="preserve"> atau Pihak Pembiaya wajib melakukan</w:t>
            </w:r>
            <w:r w:rsidRPr="00A67277">
              <w:rPr>
                <w:rFonts w:cs="Arial"/>
                <w:lang w:val="id-ID"/>
              </w:rPr>
              <w:t xml:space="preserve"> kewajiban kepada PJPK</w:t>
            </w:r>
            <w:r w:rsidRPr="00A67277">
              <w:rPr>
                <w:rFonts w:cs="Arial"/>
              </w:rPr>
              <w:t xml:space="preserve"> berdasarkan Perjanjian Kerjasama kecuali dan sampai dengan:</w:t>
            </w:r>
          </w:p>
        </w:tc>
      </w:tr>
      <w:tr w:rsidR="00A67277" w:rsidRPr="00A67277" w14:paraId="4A367475" w14:textId="77777777" w:rsidTr="00923319">
        <w:tc>
          <w:tcPr>
            <w:tcW w:w="4886" w:type="dxa"/>
          </w:tcPr>
          <w:p w14:paraId="60DABF2C" w14:textId="74430317" w:rsidR="00923319" w:rsidRPr="00A67277" w:rsidRDefault="00923319" w:rsidP="00923319">
            <w:pPr>
              <w:pStyle w:val="SchNumber4"/>
              <w:numPr>
                <w:ilvl w:val="5"/>
                <w:numId w:val="564"/>
              </w:numPr>
              <w:spacing w:before="120" w:after="120"/>
              <w:rPr>
                <w:rFonts w:cs="Arial"/>
              </w:rPr>
            </w:pPr>
            <w:r w:rsidRPr="00A67277">
              <w:rPr>
                <w:rFonts w:cs="Arial"/>
              </w:rPr>
              <w:t xml:space="preserve">in the case of the Substitute, the Substitute has succeeded to the interest of the IBE under the Cooperation Agreement </w:t>
            </w:r>
            <w:r w:rsidR="002372FD" w:rsidRPr="00A67277">
              <w:rPr>
                <w:rFonts w:cs="Arial"/>
              </w:rPr>
              <w:t>(</w:t>
            </w:r>
            <w:r w:rsidR="002372FD" w:rsidRPr="00A67277">
              <w:rPr>
                <w:rFonts w:cs="Arial"/>
                <w:b/>
                <w:bCs/>
              </w:rPr>
              <w:t>Signing Date</w:t>
            </w:r>
            <w:r w:rsidR="002372FD" w:rsidRPr="00A67277">
              <w:rPr>
                <w:rFonts w:cs="Arial"/>
              </w:rPr>
              <w:t>)</w:t>
            </w:r>
            <w:r w:rsidR="008A28BF">
              <w:rPr>
                <w:rFonts w:cs="Arial"/>
              </w:rPr>
              <w:t xml:space="preserve"> </w:t>
            </w:r>
            <w:r w:rsidRPr="00A67277">
              <w:rPr>
                <w:rFonts w:cs="Arial"/>
              </w:rPr>
              <w:t>upon which:</w:t>
            </w:r>
          </w:p>
        </w:tc>
        <w:tc>
          <w:tcPr>
            <w:tcW w:w="243" w:type="dxa"/>
          </w:tcPr>
          <w:p w14:paraId="42E4E8C1" w14:textId="77777777" w:rsidR="00923319" w:rsidRPr="00A67277" w:rsidRDefault="00923319" w:rsidP="00923319">
            <w:pPr>
              <w:spacing w:before="120" w:after="120"/>
              <w:rPr>
                <w:rFonts w:ascii="Arial" w:hAnsi="Arial" w:cs="Arial"/>
                <w:sz w:val="21"/>
                <w:szCs w:val="21"/>
              </w:rPr>
            </w:pPr>
          </w:p>
        </w:tc>
        <w:tc>
          <w:tcPr>
            <w:tcW w:w="4568" w:type="dxa"/>
          </w:tcPr>
          <w:p w14:paraId="62C211EC" w14:textId="77777777" w:rsidR="00923319" w:rsidRPr="00A67277" w:rsidRDefault="00923319" w:rsidP="00297681">
            <w:pPr>
              <w:pStyle w:val="SchNumber4"/>
              <w:numPr>
                <w:ilvl w:val="5"/>
                <w:numId w:val="724"/>
              </w:numPr>
              <w:spacing w:before="120" w:after="120"/>
              <w:rPr>
                <w:rFonts w:cs="Arial"/>
              </w:rPr>
            </w:pPr>
            <w:r w:rsidRPr="00A67277">
              <w:rPr>
                <w:rFonts w:cs="Arial"/>
                <w:lang w:val="en-ID"/>
              </w:rPr>
              <w:t>d</w:t>
            </w:r>
            <w:r w:rsidRPr="00A67277">
              <w:rPr>
                <w:rFonts w:cs="Arial"/>
              </w:rPr>
              <w:t xml:space="preserve">alam hal Pengganti, Pengganti telah berhasil untuk kepentingan </w:t>
            </w:r>
            <w:r w:rsidRPr="00A67277">
              <w:rPr>
                <w:rFonts w:cs="Arial"/>
                <w:lang w:val="id-ID"/>
              </w:rPr>
              <w:t>BUP</w:t>
            </w:r>
            <w:r w:rsidRPr="00A67277">
              <w:rPr>
                <w:rFonts w:cs="Arial"/>
              </w:rPr>
              <w:t xml:space="preserve"> berdasarkan Perjanjian Kerjasama (</w:t>
            </w:r>
            <w:r w:rsidRPr="00A67277">
              <w:rPr>
                <w:rFonts w:cs="Arial"/>
                <w:b/>
              </w:rPr>
              <w:t>Tanggal Penandatanganan)</w:t>
            </w:r>
            <w:r w:rsidRPr="00A67277">
              <w:rPr>
                <w:rFonts w:cs="Arial"/>
              </w:rPr>
              <w:t>, yang mana</w:t>
            </w:r>
            <w:r w:rsidRPr="00A67277">
              <w:rPr>
                <w:rFonts w:cs="Arial"/>
                <w:lang w:val="id-ID"/>
              </w:rPr>
              <w:t>:</w:t>
            </w:r>
          </w:p>
        </w:tc>
      </w:tr>
      <w:tr w:rsidR="00A67277" w:rsidRPr="00A67277" w14:paraId="3A45E9F0" w14:textId="77777777" w:rsidTr="00923319">
        <w:tc>
          <w:tcPr>
            <w:tcW w:w="4886" w:type="dxa"/>
          </w:tcPr>
          <w:p w14:paraId="261E91A9" w14:textId="77777777" w:rsidR="00923319" w:rsidRPr="00A67277" w:rsidRDefault="00923319" w:rsidP="00923319">
            <w:pPr>
              <w:pStyle w:val="SchNumber5"/>
              <w:numPr>
                <w:ilvl w:val="6"/>
                <w:numId w:val="564"/>
              </w:numPr>
              <w:spacing w:before="120" w:after="120"/>
              <w:rPr>
                <w:rFonts w:cs="Arial"/>
              </w:rPr>
            </w:pPr>
            <w:r w:rsidRPr="00A67277">
              <w:rPr>
                <w:rFonts w:cs="Arial"/>
              </w:rPr>
              <w:t>the Substitute will assume and enjoy all of the rights and perform all of the obligations of the IBE under the Cooperation Agreement (whether those rights arose before, on, or after, the Effective Date) and without delay, fully perform any or all of its obligations that have already arisen and have not yet been fully performed and discharged (which in the case of any outstanding amounts payable will be deemed to be payable within 5 Days); and</w:t>
            </w:r>
          </w:p>
        </w:tc>
        <w:tc>
          <w:tcPr>
            <w:tcW w:w="243" w:type="dxa"/>
          </w:tcPr>
          <w:p w14:paraId="7DC6BC1C" w14:textId="77777777" w:rsidR="00923319" w:rsidRPr="00A67277" w:rsidRDefault="00923319" w:rsidP="00923319">
            <w:pPr>
              <w:spacing w:before="120" w:after="120"/>
              <w:rPr>
                <w:rFonts w:ascii="Arial" w:hAnsi="Arial" w:cs="Arial"/>
                <w:sz w:val="21"/>
                <w:szCs w:val="21"/>
              </w:rPr>
            </w:pPr>
          </w:p>
        </w:tc>
        <w:tc>
          <w:tcPr>
            <w:tcW w:w="4568" w:type="dxa"/>
          </w:tcPr>
          <w:p w14:paraId="4C2B7575" w14:textId="77777777" w:rsidR="00923319" w:rsidRPr="00A67277" w:rsidRDefault="00923319" w:rsidP="00923319">
            <w:pPr>
              <w:pStyle w:val="SchNumber5"/>
              <w:numPr>
                <w:ilvl w:val="0"/>
                <w:numId w:val="679"/>
              </w:numPr>
              <w:tabs>
                <w:tab w:val="num" w:pos="2233"/>
              </w:tabs>
              <w:spacing w:before="120" w:after="120"/>
              <w:ind w:left="2233" w:hanging="540"/>
              <w:rPr>
                <w:rFonts w:cs="Arial"/>
              </w:rPr>
            </w:pPr>
            <w:r w:rsidRPr="00A67277">
              <w:rPr>
                <w:rFonts w:cs="Arial"/>
              </w:rPr>
              <w:t>Pengganti akan menanggung dan mendapatkan seluruh hak dan kewajiban BUP berdasarkan Perjanjian Kerjasama (apakah hak tersebut timbul sebelum, pada, atau sesudah, Tanggal Penandatanganan) dan tanpa penundaan, melakukan sepenuhnya atau semua kewajibannya yang telah muncul dan belum dilakukan sepenuhnya dan diberhentikan (yang dalam hal jumlah terhutang yang terutang akan dianggap dapat dibayarkan dalam waktu 5 Hari); dan</w:t>
            </w:r>
          </w:p>
        </w:tc>
      </w:tr>
      <w:tr w:rsidR="00A67277" w:rsidRPr="00A67277" w14:paraId="70255A03" w14:textId="77777777" w:rsidTr="00923319">
        <w:tc>
          <w:tcPr>
            <w:tcW w:w="4886" w:type="dxa"/>
          </w:tcPr>
          <w:p w14:paraId="272C6D43" w14:textId="77777777" w:rsidR="00923319" w:rsidRPr="00A67277" w:rsidRDefault="00923319" w:rsidP="00923319">
            <w:pPr>
              <w:pStyle w:val="SchNumber5"/>
              <w:numPr>
                <w:ilvl w:val="6"/>
                <w:numId w:val="564"/>
              </w:numPr>
              <w:spacing w:before="120" w:after="120"/>
              <w:rPr>
                <w:rFonts w:cs="Arial"/>
              </w:rPr>
            </w:pPr>
            <w:r w:rsidRPr="00A67277">
              <w:rPr>
                <w:rFonts w:cs="Arial"/>
              </w:rPr>
              <w:tab/>
              <w:t>the IBE (and, if applicable, the Additional Obligor) will no longer enjoy any rights of whatever kind and will be released from all obligations arising out of or related to the Cooperation Agreement; and</w:t>
            </w:r>
          </w:p>
        </w:tc>
        <w:tc>
          <w:tcPr>
            <w:tcW w:w="243" w:type="dxa"/>
          </w:tcPr>
          <w:p w14:paraId="6E686B58" w14:textId="77777777" w:rsidR="00923319" w:rsidRPr="00A67277" w:rsidRDefault="00923319" w:rsidP="00923319">
            <w:pPr>
              <w:spacing w:before="120" w:after="120"/>
              <w:rPr>
                <w:rFonts w:ascii="Arial" w:hAnsi="Arial" w:cs="Arial"/>
                <w:sz w:val="21"/>
                <w:szCs w:val="21"/>
              </w:rPr>
            </w:pPr>
          </w:p>
        </w:tc>
        <w:tc>
          <w:tcPr>
            <w:tcW w:w="4568" w:type="dxa"/>
          </w:tcPr>
          <w:p w14:paraId="36EAFE2A" w14:textId="77777777" w:rsidR="00923319" w:rsidRPr="00A67277" w:rsidRDefault="00923319" w:rsidP="00923319">
            <w:pPr>
              <w:pStyle w:val="SchNumber5"/>
              <w:numPr>
                <w:ilvl w:val="0"/>
                <w:numId w:val="679"/>
              </w:numPr>
              <w:tabs>
                <w:tab w:val="num" w:pos="2233"/>
              </w:tabs>
              <w:spacing w:before="120" w:after="120"/>
              <w:ind w:left="2233" w:hanging="540"/>
              <w:rPr>
                <w:rFonts w:cs="Arial"/>
              </w:rPr>
            </w:pPr>
            <w:r w:rsidRPr="00A67277">
              <w:rPr>
                <w:rFonts w:cs="Arial"/>
              </w:rPr>
              <w:t>BUP (dan apabila ada, Penjamin Tambahan) tidak lagi menikmati hak apapun dan akan dibebaskan dari semua kewajiban yang timbul atau terkait dengan Perjanjian Kerjasama; dan</w:t>
            </w:r>
          </w:p>
        </w:tc>
      </w:tr>
      <w:tr w:rsidR="00A67277" w:rsidRPr="00A67277" w14:paraId="79E4D0C1" w14:textId="77777777" w:rsidTr="00923319">
        <w:tc>
          <w:tcPr>
            <w:tcW w:w="4886" w:type="dxa"/>
          </w:tcPr>
          <w:p w14:paraId="63FB0D3D" w14:textId="61A03740" w:rsidR="00923319" w:rsidRPr="00A67277" w:rsidRDefault="00923319" w:rsidP="00923319">
            <w:pPr>
              <w:pStyle w:val="SchNumber4"/>
              <w:numPr>
                <w:ilvl w:val="5"/>
                <w:numId w:val="564"/>
              </w:numPr>
              <w:spacing w:before="120" w:after="120"/>
              <w:rPr>
                <w:rFonts w:cs="Arial"/>
              </w:rPr>
            </w:pPr>
            <w:r w:rsidRPr="00A67277">
              <w:rPr>
                <w:rFonts w:cs="Arial"/>
              </w:rPr>
              <w:t>in the case of the Representative and the Financing Parties, the Additional Obligor has failed to fulfil its obligations under paragraph (3)(j) above or the Representative has otherwise exercised its rights, and remedies to take possession, title or control of the Project pursuant to the Assignment; provided however, that, except to the extent described in this consent letter, the exercise by any of the Representative, the Financing Parties or their designee(s) of any rights under the Security Documents shall be subject to the terms of the Cooperation Agreement.</w:t>
            </w:r>
          </w:p>
        </w:tc>
        <w:tc>
          <w:tcPr>
            <w:tcW w:w="243" w:type="dxa"/>
          </w:tcPr>
          <w:p w14:paraId="3137C995" w14:textId="77777777" w:rsidR="00923319" w:rsidRPr="00A67277" w:rsidRDefault="00923319" w:rsidP="00923319">
            <w:pPr>
              <w:spacing w:before="120" w:after="120"/>
              <w:rPr>
                <w:rFonts w:ascii="Arial" w:hAnsi="Arial" w:cs="Arial"/>
                <w:sz w:val="21"/>
                <w:szCs w:val="21"/>
              </w:rPr>
            </w:pPr>
          </w:p>
        </w:tc>
        <w:tc>
          <w:tcPr>
            <w:tcW w:w="4568" w:type="dxa"/>
          </w:tcPr>
          <w:p w14:paraId="443D2C99" w14:textId="77777777" w:rsidR="00923319" w:rsidRPr="00A67277" w:rsidRDefault="00923319" w:rsidP="00923319">
            <w:pPr>
              <w:pStyle w:val="SchNumber4"/>
              <w:numPr>
                <w:ilvl w:val="0"/>
                <w:numId w:val="680"/>
              </w:numPr>
              <w:spacing w:before="120" w:after="120"/>
              <w:ind w:left="1693" w:hanging="540"/>
              <w:rPr>
                <w:rFonts w:cs="Arial"/>
              </w:rPr>
            </w:pPr>
            <w:r w:rsidRPr="00A67277">
              <w:rPr>
                <w:rFonts w:cs="Arial"/>
              </w:rPr>
              <w:t xml:space="preserve">dalam hal Perwakilan dan Pihak Pembiayaa, </w:t>
            </w:r>
            <w:r w:rsidRPr="00A67277">
              <w:rPr>
                <w:rFonts w:cs="Arial"/>
                <w:lang w:val="id-ID"/>
              </w:rPr>
              <w:t>Penjamin</w:t>
            </w:r>
            <w:r w:rsidRPr="00A67277">
              <w:rPr>
                <w:rFonts w:cs="Arial"/>
              </w:rPr>
              <w:t xml:space="preserve"> Tambahan telah gagal memenuhi kewajibannya berdasarkan paragraf (3)(j) di atas atau Perwakilan dinyatakan telah melaksanakan hak, wewenang dan upaya untuk mengambil alih kepemilikan</w:t>
            </w:r>
            <w:r w:rsidRPr="00A67277">
              <w:rPr>
                <w:rFonts w:cs="Arial"/>
                <w:lang w:val="id-ID"/>
              </w:rPr>
              <w:t xml:space="preserve"> </w:t>
            </w:r>
            <w:r w:rsidRPr="00A67277">
              <w:rPr>
                <w:rFonts w:cs="Arial"/>
              </w:rPr>
              <w:t>atau kontrol Proyek sesuai dengan Pe</w:t>
            </w:r>
            <w:r w:rsidRPr="00A67277">
              <w:rPr>
                <w:rFonts w:cs="Arial"/>
                <w:lang w:val="id-ID"/>
              </w:rPr>
              <w:t>ngalihan</w:t>
            </w:r>
            <w:r w:rsidRPr="00A67277">
              <w:rPr>
                <w:rFonts w:cs="Arial"/>
              </w:rPr>
              <w:t xml:space="preserve">; Jika demikian, kecuali untuk hal yang dijelaskan dalam surat persetujuan ini, pelaksanaan oleh salah satu Perwakilan, Pihak Pembiaya atau pemegang hak berdasarkan Dokumen </w:t>
            </w:r>
            <w:r w:rsidRPr="00A67277">
              <w:rPr>
                <w:rFonts w:cs="Arial"/>
                <w:lang w:val="id-ID"/>
              </w:rPr>
              <w:t>Jaminan</w:t>
            </w:r>
            <w:r w:rsidRPr="00A67277">
              <w:rPr>
                <w:rFonts w:cs="Arial"/>
              </w:rPr>
              <w:t xml:space="preserve"> harus tunduk pada persyaratan Perjanjian Kerjasama.</w:t>
            </w:r>
          </w:p>
        </w:tc>
      </w:tr>
      <w:tr w:rsidR="00A67277" w:rsidRPr="00A67277" w14:paraId="0E0E0D8E" w14:textId="77777777" w:rsidTr="00923319">
        <w:tc>
          <w:tcPr>
            <w:tcW w:w="4886" w:type="dxa"/>
          </w:tcPr>
          <w:p w14:paraId="5A2980E3" w14:textId="77777777" w:rsidR="00923319" w:rsidRPr="00A67277" w:rsidRDefault="00923319" w:rsidP="00923319">
            <w:pPr>
              <w:pStyle w:val="SchNumber3"/>
              <w:numPr>
                <w:ilvl w:val="4"/>
                <w:numId w:val="564"/>
              </w:numPr>
              <w:spacing w:before="120" w:after="120"/>
              <w:rPr>
                <w:rFonts w:cs="Arial"/>
              </w:rPr>
            </w:pPr>
            <w:r w:rsidRPr="00A67277">
              <w:rPr>
                <w:rFonts w:cs="Arial"/>
              </w:rPr>
              <w:t>If the conditions for a Substitute to succeed to the interest and rights of the IBE under the Cooperation Agreement under paragraph (3)(m) have been fulfilled and, prior to the Effective Date, the Cooperation Agreement is rejected or terminated by a receiver, administrative receiver, administrator, curator, supervisor judge, liquidation body (</w:t>
            </w:r>
            <w:r w:rsidRPr="00A67277">
              <w:rPr>
                <w:rFonts w:cs="Arial"/>
                <w:i/>
              </w:rPr>
              <w:t>balai harta peninggalan</w:t>
            </w:r>
            <w:r w:rsidRPr="00A67277">
              <w:rPr>
                <w:rFonts w:cs="Arial"/>
              </w:rPr>
              <w:t>) or similar officer in respect of the IBE in any Insolvency Event in respect of the IBE or if the Cooperation Agreement is terminated by reason of a Default by the IBE under Clause 22.1(h) (</w:t>
            </w:r>
            <w:r w:rsidRPr="00A67277">
              <w:rPr>
                <w:rFonts w:cs="Arial"/>
                <w:i/>
              </w:rPr>
              <w:t>Default by IBE</w:t>
            </w:r>
            <w:r w:rsidRPr="00A67277">
              <w:rPr>
                <w:rFonts w:cs="Arial"/>
              </w:rPr>
              <w:t>) of the Cooperation Agreement, GCA will, if requested by the Financing Parties, enter into a replacement Cooperation Agreement with the Substitute on the same terms and conditions as the Cooperation Agreement and for the remaining period of the Cooperation Agreement. If such a replacement Cooperation Agreement is entered into, the term “Cooperation Agreement” as used herein shall thereafter mean such replacement Cooperation Agreement.</w:t>
            </w:r>
          </w:p>
        </w:tc>
        <w:tc>
          <w:tcPr>
            <w:tcW w:w="243" w:type="dxa"/>
          </w:tcPr>
          <w:p w14:paraId="05425936" w14:textId="77777777" w:rsidR="00923319" w:rsidRPr="00A67277" w:rsidRDefault="00923319" w:rsidP="00923319">
            <w:pPr>
              <w:spacing w:before="120" w:after="120"/>
              <w:rPr>
                <w:rFonts w:ascii="Arial" w:hAnsi="Arial" w:cs="Arial"/>
                <w:sz w:val="21"/>
                <w:szCs w:val="21"/>
              </w:rPr>
            </w:pPr>
          </w:p>
        </w:tc>
        <w:tc>
          <w:tcPr>
            <w:tcW w:w="4568" w:type="dxa"/>
          </w:tcPr>
          <w:p w14:paraId="5D6530CD" w14:textId="77777777" w:rsidR="00923319" w:rsidRPr="00A67277" w:rsidRDefault="00923319" w:rsidP="00923319">
            <w:pPr>
              <w:pStyle w:val="SchNumber3"/>
              <w:numPr>
                <w:ilvl w:val="0"/>
                <w:numId w:val="608"/>
              </w:numPr>
              <w:spacing w:before="120" w:after="120"/>
              <w:ind w:left="1153" w:hanging="501"/>
              <w:rPr>
                <w:rFonts w:cs="Arial"/>
              </w:rPr>
            </w:pPr>
            <w:r w:rsidRPr="00A67277">
              <w:rPr>
                <w:rFonts w:cs="Arial"/>
                <w:lang w:val="en-ID"/>
              </w:rPr>
              <w:t xml:space="preserve">Jika </w:t>
            </w:r>
            <w:r w:rsidRPr="00A67277">
              <w:rPr>
                <w:rFonts w:cs="Arial"/>
              </w:rPr>
              <w:t xml:space="preserve">kondisi Pengganti untuk menggantikan kepentingan dan hak </w:t>
            </w:r>
            <w:r w:rsidRPr="00A67277">
              <w:rPr>
                <w:rFonts w:cs="Arial"/>
                <w:lang w:val="id-ID"/>
              </w:rPr>
              <w:t>BUP</w:t>
            </w:r>
            <w:r w:rsidRPr="00A67277">
              <w:rPr>
                <w:rFonts w:cs="Arial"/>
              </w:rPr>
              <w:t xml:space="preserve"> berdasarkan Perjanjian Kerjasama berdasarkan paragraf (3)(m) telah terpenuhi dan, sebelum Tanggal Penandatanganan, Perjanjian Kerjasama ditolak atau dihentikan oleh penerima, penerima administrasi, administrator, kurator, hakim pengawas, </w:t>
            </w:r>
            <w:r w:rsidRPr="00A67277">
              <w:rPr>
                <w:rFonts w:cs="Arial"/>
                <w:lang w:val="id-ID"/>
              </w:rPr>
              <w:t>balai harta peninggalan</w:t>
            </w:r>
            <w:r w:rsidRPr="00A67277">
              <w:rPr>
                <w:rFonts w:cs="Arial"/>
              </w:rPr>
              <w:t xml:space="preserve"> atau pejabat serupa sehubungan dengan </w:t>
            </w:r>
            <w:r w:rsidRPr="00A67277">
              <w:rPr>
                <w:rFonts w:cs="Arial"/>
                <w:lang w:val="id-ID"/>
              </w:rPr>
              <w:t>BUP</w:t>
            </w:r>
            <w:r w:rsidRPr="00A67277">
              <w:rPr>
                <w:rFonts w:cs="Arial"/>
              </w:rPr>
              <w:t xml:space="preserve"> dalam Peristiwa Kepailitan atau jika Perjanjian Kerjasama diakhiri dengan alasan </w:t>
            </w:r>
            <w:r w:rsidRPr="00A67277">
              <w:rPr>
                <w:rFonts w:cs="Arial"/>
                <w:lang w:val="id-ID"/>
              </w:rPr>
              <w:t>Cidera Janji</w:t>
            </w:r>
            <w:r w:rsidRPr="00A67277">
              <w:rPr>
                <w:rFonts w:cs="Arial"/>
              </w:rPr>
              <w:t xml:space="preserve"> oleh </w:t>
            </w:r>
            <w:r w:rsidRPr="00A67277">
              <w:rPr>
                <w:rFonts w:cs="Arial"/>
                <w:lang w:val="id-ID"/>
              </w:rPr>
              <w:t>BUP</w:t>
            </w:r>
            <w:r w:rsidRPr="00A67277">
              <w:rPr>
                <w:rFonts w:cs="Arial"/>
              </w:rPr>
              <w:t xml:space="preserve"> berdasarkan Pasal 22.1(h) (</w:t>
            </w:r>
            <w:r w:rsidRPr="00A67277">
              <w:rPr>
                <w:rFonts w:cs="Arial"/>
                <w:i/>
                <w:lang w:val="id-ID"/>
              </w:rPr>
              <w:t>Cidera Janji</w:t>
            </w:r>
            <w:r w:rsidRPr="00A67277">
              <w:rPr>
                <w:rFonts w:cs="Arial"/>
                <w:i/>
              </w:rPr>
              <w:t xml:space="preserve"> oleh </w:t>
            </w:r>
            <w:r w:rsidRPr="00A67277">
              <w:rPr>
                <w:rFonts w:cs="Arial"/>
                <w:i/>
                <w:lang w:val="id-ID"/>
              </w:rPr>
              <w:t>BUP</w:t>
            </w:r>
            <w:r w:rsidRPr="00A67277">
              <w:rPr>
                <w:rFonts w:cs="Arial"/>
              </w:rPr>
              <w:t xml:space="preserve">) dari Perjanjian Kerjasama, </w:t>
            </w:r>
            <w:r w:rsidRPr="00A67277">
              <w:rPr>
                <w:rFonts w:cs="Arial"/>
                <w:lang w:val="id-ID"/>
              </w:rPr>
              <w:t>PJPK</w:t>
            </w:r>
            <w:r w:rsidRPr="00A67277">
              <w:rPr>
                <w:rFonts w:cs="Arial"/>
              </w:rPr>
              <w:t xml:space="preserve"> akan, jika diminta oleh Pihak Pembiaya, menandatangani Perjanjian Kerjasama pengganti dengan Pengganti dengan syarat dan ketentuan yang sama dengan Perjanjian Kerjasama dan untuk sisa </w:t>
            </w:r>
            <w:r w:rsidRPr="00A67277">
              <w:rPr>
                <w:rFonts w:cs="Arial"/>
                <w:lang w:val="id-ID"/>
              </w:rPr>
              <w:t xml:space="preserve">jangka waktu </w:t>
            </w:r>
            <w:r w:rsidRPr="00A67277">
              <w:rPr>
                <w:rFonts w:cs="Arial"/>
              </w:rPr>
              <w:t>Perjanjian Kerjasama. Jika Perjanjian Kerjasama Penggantian tersebut ditandatangani, istilah "Perjanjian Kerjasama" sebagaimana digunakan disini akan berarti Perjanjian Kerjasama pengganti tersebut.</w:t>
            </w:r>
          </w:p>
        </w:tc>
      </w:tr>
      <w:tr w:rsidR="00A67277" w:rsidRPr="00A67277" w14:paraId="10F0935D" w14:textId="77777777" w:rsidTr="00923319">
        <w:tc>
          <w:tcPr>
            <w:tcW w:w="4886" w:type="dxa"/>
          </w:tcPr>
          <w:p w14:paraId="4C2AB556" w14:textId="77777777" w:rsidR="00923319" w:rsidRPr="00A67277" w:rsidRDefault="00923319" w:rsidP="00923319">
            <w:pPr>
              <w:pStyle w:val="SchNumber3"/>
              <w:numPr>
                <w:ilvl w:val="0"/>
                <w:numId w:val="0"/>
              </w:numPr>
              <w:spacing w:before="120" w:after="120"/>
              <w:ind w:left="720"/>
              <w:rPr>
                <w:rFonts w:cs="Arial"/>
                <w:b/>
              </w:rPr>
            </w:pPr>
            <w:r w:rsidRPr="00A67277">
              <w:rPr>
                <w:rFonts w:cs="Arial"/>
                <w:b/>
              </w:rPr>
              <w:t>Termination by GCA</w:t>
            </w:r>
          </w:p>
        </w:tc>
        <w:tc>
          <w:tcPr>
            <w:tcW w:w="243" w:type="dxa"/>
          </w:tcPr>
          <w:p w14:paraId="1D7B794A" w14:textId="77777777" w:rsidR="00923319" w:rsidRPr="00A67277" w:rsidRDefault="00923319" w:rsidP="00923319">
            <w:pPr>
              <w:spacing w:before="120" w:after="120"/>
              <w:rPr>
                <w:rFonts w:ascii="Arial" w:hAnsi="Arial" w:cs="Arial"/>
                <w:sz w:val="21"/>
                <w:szCs w:val="21"/>
              </w:rPr>
            </w:pPr>
          </w:p>
        </w:tc>
        <w:tc>
          <w:tcPr>
            <w:tcW w:w="4568" w:type="dxa"/>
          </w:tcPr>
          <w:p w14:paraId="24E8C594" w14:textId="77777777" w:rsidR="00923319" w:rsidRPr="00A67277" w:rsidRDefault="00923319" w:rsidP="00923319">
            <w:pPr>
              <w:pStyle w:val="SchNumber3"/>
              <w:numPr>
                <w:ilvl w:val="0"/>
                <w:numId w:val="0"/>
              </w:numPr>
              <w:spacing w:before="120" w:after="120"/>
              <w:ind w:left="613"/>
              <w:rPr>
                <w:rFonts w:cs="Arial"/>
                <w:b/>
                <w:lang w:val="id-ID"/>
              </w:rPr>
            </w:pPr>
            <w:r w:rsidRPr="00A67277">
              <w:rPr>
                <w:rFonts w:cs="Arial"/>
                <w:b/>
                <w:lang w:val="id-ID"/>
              </w:rPr>
              <w:t>Pengakhiran oleh PJPK</w:t>
            </w:r>
          </w:p>
        </w:tc>
      </w:tr>
      <w:tr w:rsidR="00A67277" w:rsidRPr="00A67277" w14:paraId="5B0F3E5B" w14:textId="77777777" w:rsidTr="00923319">
        <w:tc>
          <w:tcPr>
            <w:tcW w:w="4886" w:type="dxa"/>
          </w:tcPr>
          <w:p w14:paraId="78520D08" w14:textId="77777777" w:rsidR="00923319" w:rsidRPr="00A67277" w:rsidRDefault="00923319" w:rsidP="00923319">
            <w:pPr>
              <w:pStyle w:val="SchNumber3"/>
              <w:numPr>
                <w:ilvl w:val="4"/>
                <w:numId w:val="564"/>
              </w:numPr>
              <w:spacing w:before="120" w:after="120"/>
              <w:rPr>
                <w:rFonts w:cs="Arial"/>
              </w:rPr>
            </w:pPr>
            <w:r w:rsidRPr="00A67277">
              <w:rPr>
                <w:rFonts w:cs="Arial"/>
              </w:rPr>
              <w:t>If by the expiry of the Cure Period, the Representative, the Financing Parties' Agent or the Substitute, as the case may be, has not cured all the IBE Defaults specified in the GCA Notice to the satisfaction of GCA, GCA may immediately by notice to the IBE terminate the Cooperation Agreement.</w:t>
            </w:r>
          </w:p>
        </w:tc>
        <w:tc>
          <w:tcPr>
            <w:tcW w:w="243" w:type="dxa"/>
          </w:tcPr>
          <w:p w14:paraId="7ECAD939" w14:textId="77777777" w:rsidR="00923319" w:rsidRPr="00A67277" w:rsidRDefault="00923319" w:rsidP="00923319">
            <w:pPr>
              <w:spacing w:before="120" w:after="120"/>
              <w:rPr>
                <w:rFonts w:ascii="Arial" w:hAnsi="Arial" w:cs="Arial"/>
                <w:sz w:val="21"/>
                <w:szCs w:val="21"/>
              </w:rPr>
            </w:pPr>
          </w:p>
        </w:tc>
        <w:tc>
          <w:tcPr>
            <w:tcW w:w="4568" w:type="dxa"/>
          </w:tcPr>
          <w:p w14:paraId="46FC6082" w14:textId="77777777" w:rsidR="00923319" w:rsidRPr="00A67277" w:rsidRDefault="00923319" w:rsidP="00923319">
            <w:pPr>
              <w:pStyle w:val="SchNumber3"/>
              <w:numPr>
                <w:ilvl w:val="0"/>
                <w:numId w:val="608"/>
              </w:numPr>
              <w:spacing w:before="120" w:after="120"/>
              <w:ind w:left="1153" w:hanging="501"/>
              <w:rPr>
                <w:rFonts w:cs="Arial"/>
              </w:rPr>
            </w:pPr>
            <w:r w:rsidRPr="00A67277">
              <w:rPr>
                <w:rFonts w:cs="Arial"/>
              </w:rPr>
              <w:t xml:space="preserve">Jika pada saat berakhirnya Masa </w:t>
            </w:r>
            <w:r w:rsidRPr="00A67277">
              <w:rPr>
                <w:rFonts w:cs="Arial"/>
                <w:lang w:val="id-ID"/>
              </w:rPr>
              <w:t>Pemulihan</w:t>
            </w:r>
            <w:r w:rsidRPr="00A67277">
              <w:rPr>
                <w:rFonts w:cs="Arial"/>
              </w:rPr>
              <w:t xml:space="preserve">, Perwakilan, Agen Pihak Pembiaya atau Pengganti, telah tidak memulihkan semua </w:t>
            </w:r>
            <w:r w:rsidRPr="00A67277">
              <w:rPr>
                <w:rFonts w:cs="Arial"/>
                <w:lang w:val="id-ID"/>
              </w:rPr>
              <w:t>Cidera Janji</w:t>
            </w:r>
            <w:r w:rsidRPr="00A67277">
              <w:rPr>
                <w:rFonts w:cs="Arial"/>
                <w:lang w:val="en-ID"/>
              </w:rPr>
              <w:t xml:space="preserve"> BUP</w:t>
            </w:r>
            <w:r w:rsidRPr="00A67277">
              <w:rPr>
                <w:rFonts w:cs="Arial"/>
              </w:rPr>
              <w:t xml:space="preserve"> yang ditentukan dalam </w:t>
            </w:r>
            <w:r w:rsidRPr="00A67277">
              <w:rPr>
                <w:rFonts w:cs="Arial"/>
                <w:lang w:val="id-ID"/>
              </w:rPr>
              <w:t>Pemberitahuan PJPK</w:t>
            </w:r>
            <w:r w:rsidRPr="00A67277">
              <w:rPr>
                <w:rFonts w:cs="Arial"/>
              </w:rPr>
              <w:t xml:space="preserve"> untuk, </w:t>
            </w:r>
            <w:r w:rsidRPr="00A67277">
              <w:rPr>
                <w:rFonts w:cs="Arial"/>
                <w:lang w:val="id-ID"/>
              </w:rPr>
              <w:t>PJPK</w:t>
            </w:r>
            <w:r w:rsidRPr="00A67277">
              <w:rPr>
                <w:rFonts w:cs="Arial"/>
              </w:rPr>
              <w:t xml:space="preserve"> dapat segera dengan pemberitahuan kepada </w:t>
            </w:r>
            <w:r w:rsidRPr="00A67277">
              <w:rPr>
                <w:rFonts w:cs="Arial"/>
                <w:lang w:val="id-ID"/>
              </w:rPr>
              <w:t>BUP</w:t>
            </w:r>
            <w:r w:rsidRPr="00A67277">
              <w:rPr>
                <w:rFonts w:cs="Arial"/>
              </w:rPr>
              <w:t xml:space="preserve"> mengakhiri Perjanjian Kerjasama.</w:t>
            </w:r>
          </w:p>
        </w:tc>
      </w:tr>
      <w:tr w:rsidR="00A67277" w:rsidRPr="00A67277" w14:paraId="0EA3AA35" w14:textId="77777777" w:rsidTr="00923319">
        <w:tc>
          <w:tcPr>
            <w:tcW w:w="4886" w:type="dxa"/>
          </w:tcPr>
          <w:p w14:paraId="72D80ECF" w14:textId="77777777" w:rsidR="00923319" w:rsidRPr="00A67277" w:rsidRDefault="00923319" w:rsidP="00923319">
            <w:pPr>
              <w:pStyle w:val="Heading3"/>
              <w:spacing w:before="120" w:after="120"/>
              <w:rPr>
                <w:rFonts w:cs="Arial"/>
              </w:rPr>
            </w:pPr>
            <w:r w:rsidRPr="00A67277">
              <w:rPr>
                <w:rFonts w:cs="Arial"/>
              </w:rPr>
              <w:t>Notices</w:t>
            </w:r>
          </w:p>
        </w:tc>
        <w:tc>
          <w:tcPr>
            <w:tcW w:w="243" w:type="dxa"/>
          </w:tcPr>
          <w:p w14:paraId="65BD0EA9" w14:textId="77777777" w:rsidR="00923319" w:rsidRPr="00A67277" w:rsidRDefault="00923319" w:rsidP="00923319">
            <w:pPr>
              <w:spacing w:before="120" w:after="120"/>
              <w:rPr>
                <w:rFonts w:ascii="Arial" w:hAnsi="Arial" w:cs="Arial"/>
                <w:sz w:val="21"/>
                <w:szCs w:val="21"/>
              </w:rPr>
            </w:pPr>
          </w:p>
        </w:tc>
        <w:tc>
          <w:tcPr>
            <w:tcW w:w="4568" w:type="dxa"/>
          </w:tcPr>
          <w:p w14:paraId="20E86627" w14:textId="77777777" w:rsidR="00923319" w:rsidRPr="00A67277" w:rsidRDefault="00923319" w:rsidP="00923319">
            <w:pPr>
              <w:pStyle w:val="SchHeading1"/>
              <w:numPr>
                <w:ilvl w:val="0"/>
                <w:numId w:val="612"/>
              </w:numPr>
              <w:spacing w:before="120" w:after="120"/>
              <w:ind w:left="457" w:hanging="457"/>
              <w:rPr>
                <w:rFonts w:cs="Arial"/>
                <w:lang w:val="id-ID"/>
              </w:rPr>
            </w:pPr>
            <w:r w:rsidRPr="00A67277">
              <w:rPr>
                <w:rFonts w:cs="Arial"/>
              </w:rPr>
              <w:t>Pemberitahuan</w:t>
            </w:r>
          </w:p>
        </w:tc>
      </w:tr>
      <w:tr w:rsidR="00A67277" w:rsidRPr="00A67277" w14:paraId="1EB00DF5" w14:textId="77777777" w:rsidTr="00923319">
        <w:tc>
          <w:tcPr>
            <w:tcW w:w="4886" w:type="dxa"/>
          </w:tcPr>
          <w:p w14:paraId="37C56408" w14:textId="77777777" w:rsidR="00923319" w:rsidRPr="00A67277" w:rsidRDefault="00923319" w:rsidP="00923319">
            <w:pPr>
              <w:pStyle w:val="Body2"/>
              <w:spacing w:before="120" w:after="120"/>
              <w:rPr>
                <w:rFonts w:cs="Arial"/>
              </w:rPr>
            </w:pPr>
            <w:r w:rsidRPr="00A67277">
              <w:rPr>
                <w:rFonts w:cs="Arial"/>
              </w:rPr>
              <w:t>Any communication or document to be made or delivered in connection with this consent letter shall be made in writing in the [</w:t>
            </w:r>
            <w:r w:rsidRPr="00A67277">
              <w:rPr>
                <w:rFonts w:cs="Arial"/>
                <w:i/>
              </w:rPr>
              <w:t>insert language</w:t>
            </w:r>
            <w:r w:rsidRPr="00A67277">
              <w:rPr>
                <w:rFonts w:cs="Arial"/>
              </w:rPr>
              <w:t>] and accompanied by a Bahasa Indonesia translation, or in Bahasa Indonesia accompanied by an [</w:t>
            </w:r>
            <w:r w:rsidRPr="00A67277">
              <w:rPr>
                <w:rFonts w:cs="Arial"/>
                <w:i/>
              </w:rPr>
              <w:t>insert language</w:t>
            </w:r>
            <w:r w:rsidRPr="00A67277">
              <w:rPr>
                <w:rFonts w:cs="Arial"/>
              </w:rPr>
              <w:t>] translation, in by facsimile or letter and shall be made or delivered to: (a) for the IBE and GCA, the addresses set forth in the Cooperation Agreement; and (b) for the Representative, the address set forth under its signature below, or in any case such other address as may be notified in writing to the other parties from time to time.</w:t>
            </w:r>
          </w:p>
        </w:tc>
        <w:tc>
          <w:tcPr>
            <w:tcW w:w="243" w:type="dxa"/>
          </w:tcPr>
          <w:p w14:paraId="2A9B6A43" w14:textId="77777777" w:rsidR="00923319" w:rsidRPr="00A67277" w:rsidRDefault="00923319" w:rsidP="00923319">
            <w:pPr>
              <w:spacing w:before="120" w:after="120"/>
              <w:rPr>
                <w:rFonts w:ascii="Arial" w:hAnsi="Arial" w:cs="Arial"/>
                <w:sz w:val="21"/>
                <w:szCs w:val="21"/>
              </w:rPr>
            </w:pPr>
          </w:p>
        </w:tc>
        <w:tc>
          <w:tcPr>
            <w:tcW w:w="4568" w:type="dxa"/>
          </w:tcPr>
          <w:p w14:paraId="274860A3" w14:textId="77777777" w:rsidR="00923319" w:rsidRPr="00A67277" w:rsidRDefault="00923319" w:rsidP="00923319">
            <w:pPr>
              <w:pStyle w:val="Body2"/>
              <w:spacing w:before="120" w:after="120"/>
              <w:ind w:left="457"/>
              <w:rPr>
                <w:rFonts w:cs="Arial"/>
                <w:lang w:val="id-ID"/>
              </w:rPr>
            </w:pPr>
            <w:r w:rsidRPr="00A67277">
              <w:rPr>
                <w:rFonts w:cs="Arial"/>
              </w:rPr>
              <w:t>Setiap komunikasi atau dokumen yang akan dibuat atau diserahkan sehubungan dengan surat persetujuan harus dibuat dalam bentuk tertulis dalam bahasa [masukan bahasa yang digunakan] dan diikuti dengan terjemahan bahasa Indonesia, atau dalam bahasa Indonesia dan diikuti dengan terjemahan bahasa [masukan bahasa yang digunakan] , dengan faksimili atau surat atau dibuat atau diserahkan kepada: (a) untuk BUP dan PJPK, alamat sebagaimana tercantum dalam Perjanjian Kerjasama, dan (b) untuk Perwakilan, alamat sebagaimana tercantum setelah tanda tangannya di bawah ini, atau dalam hal alamat lain sebagaimana daoat diberitahukan dalam bentuk tertulis kepada pihak-pihak lain dari waktu ke waktu.</w:t>
            </w:r>
          </w:p>
        </w:tc>
      </w:tr>
      <w:tr w:rsidR="00A67277" w:rsidRPr="00A67277" w14:paraId="1A20FE84" w14:textId="77777777" w:rsidTr="00923319">
        <w:tc>
          <w:tcPr>
            <w:tcW w:w="4886" w:type="dxa"/>
          </w:tcPr>
          <w:p w14:paraId="63142115" w14:textId="77777777" w:rsidR="00923319" w:rsidRPr="00A67277" w:rsidRDefault="00923319" w:rsidP="00923319">
            <w:pPr>
              <w:pStyle w:val="Heading3"/>
              <w:spacing w:before="120" w:after="120"/>
              <w:rPr>
                <w:rFonts w:cs="Arial"/>
              </w:rPr>
            </w:pPr>
            <w:r w:rsidRPr="00A67277">
              <w:rPr>
                <w:rFonts w:cs="Arial"/>
              </w:rPr>
              <w:t>Amendments and Waivers</w:t>
            </w:r>
          </w:p>
        </w:tc>
        <w:tc>
          <w:tcPr>
            <w:tcW w:w="243" w:type="dxa"/>
          </w:tcPr>
          <w:p w14:paraId="1645FB7F" w14:textId="77777777" w:rsidR="00923319" w:rsidRPr="00A67277" w:rsidRDefault="00923319" w:rsidP="00923319">
            <w:pPr>
              <w:spacing w:before="120" w:after="120"/>
              <w:rPr>
                <w:rFonts w:ascii="Arial" w:hAnsi="Arial" w:cs="Arial"/>
                <w:sz w:val="21"/>
                <w:szCs w:val="21"/>
              </w:rPr>
            </w:pPr>
          </w:p>
        </w:tc>
        <w:tc>
          <w:tcPr>
            <w:tcW w:w="4568" w:type="dxa"/>
          </w:tcPr>
          <w:p w14:paraId="15CDFAF3" w14:textId="77777777" w:rsidR="00923319" w:rsidRPr="00A67277" w:rsidRDefault="00923319" w:rsidP="00923319">
            <w:pPr>
              <w:pStyle w:val="SchHeading1"/>
              <w:numPr>
                <w:ilvl w:val="0"/>
                <w:numId w:val="612"/>
              </w:numPr>
              <w:spacing w:before="120" w:after="120"/>
              <w:ind w:left="457" w:hanging="457"/>
              <w:rPr>
                <w:rFonts w:cs="Arial"/>
              </w:rPr>
            </w:pPr>
            <w:r w:rsidRPr="00A67277">
              <w:rPr>
                <w:rFonts w:cs="Arial"/>
              </w:rPr>
              <w:t xml:space="preserve">Amandemen dan Pengesampingan </w:t>
            </w:r>
          </w:p>
        </w:tc>
      </w:tr>
      <w:tr w:rsidR="00A67277" w:rsidRPr="00A67277" w14:paraId="401A2DB3" w14:textId="77777777" w:rsidTr="00923319">
        <w:tc>
          <w:tcPr>
            <w:tcW w:w="4886" w:type="dxa"/>
          </w:tcPr>
          <w:p w14:paraId="7ED0D74E" w14:textId="77777777" w:rsidR="00923319" w:rsidRPr="00A67277" w:rsidRDefault="00923319" w:rsidP="00923319">
            <w:pPr>
              <w:pStyle w:val="SchNumber3"/>
              <w:numPr>
                <w:ilvl w:val="4"/>
                <w:numId w:val="612"/>
              </w:numPr>
              <w:spacing w:before="120" w:after="120"/>
              <w:ind w:left="881" w:hanging="425"/>
              <w:rPr>
                <w:rFonts w:cs="Arial"/>
              </w:rPr>
            </w:pPr>
            <w:r w:rsidRPr="00A67277">
              <w:rPr>
                <w:rFonts w:cs="Arial"/>
              </w:rPr>
              <w:t>No amendment or waiver to any provision of this consent letter shall be effective and binding unless agreed in writing by the IBE, GCA and the Representative.</w:t>
            </w:r>
          </w:p>
        </w:tc>
        <w:tc>
          <w:tcPr>
            <w:tcW w:w="243" w:type="dxa"/>
          </w:tcPr>
          <w:p w14:paraId="2CE0C4DF" w14:textId="77777777" w:rsidR="00923319" w:rsidRPr="00A67277" w:rsidRDefault="00923319" w:rsidP="00923319">
            <w:pPr>
              <w:spacing w:before="120" w:after="120"/>
              <w:rPr>
                <w:rFonts w:ascii="Arial" w:hAnsi="Arial" w:cs="Arial"/>
                <w:sz w:val="21"/>
                <w:szCs w:val="21"/>
              </w:rPr>
            </w:pPr>
          </w:p>
        </w:tc>
        <w:tc>
          <w:tcPr>
            <w:tcW w:w="4568" w:type="dxa"/>
          </w:tcPr>
          <w:p w14:paraId="45ED6A77" w14:textId="77777777" w:rsidR="00923319" w:rsidRPr="00A67277" w:rsidRDefault="00923319" w:rsidP="00923319">
            <w:pPr>
              <w:pStyle w:val="SchNumber3"/>
              <w:numPr>
                <w:ilvl w:val="4"/>
                <w:numId w:val="564"/>
              </w:numPr>
              <w:tabs>
                <w:tab w:val="clear" w:pos="1418"/>
              </w:tabs>
              <w:spacing w:before="120" w:after="120"/>
              <w:ind w:left="882" w:hanging="425"/>
              <w:rPr>
                <w:rFonts w:cs="Arial"/>
              </w:rPr>
            </w:pPr>
            <w:r w:rsidRPr="00A67277">
              <w:rPr>
                <w:rFonts w:cs="Arial"/>
              </w:rPr>
              <w:t>Tidak ada amandemen atau pengesampingan terhadap ketentuan manapun dalam surat persetujuan ini harus berlaku dan mengikat kecuali disepakati secara tertulis oleh BUP, PJPK dan Perwakilan.</w:t>
            </w:r>
          </w:p>
        </w:tc>
      </w:tr>
      <w:tr w:rsidR="00A67277" w:rsidRPr="00A67277" w14:paraId="306EC0CA" w14:textId="77777777" w:rsidTr="00923319">
        <w:tc>
          <w:tcPr>
            <w:tcW w:w="4886" w:type="dxa"/>
          </w:tcPr>
          <w:p w14:paraId="4757F708" w14:textId="77777777" w:rsidR="00923319" w:rsidRPr="00A67277" w:rsidRDefault="00923319" w:rsidP="00923319">
            <w:pPr>
              <w:pStyle w:val="SchNumber3"/>
              <w:numPr>
                <w:ilvl w:val="4"/>
                <w:numId w:val="612"/>
              </w:numPr>
              <w:spacing w:before="120" w:after="120"/>
              <w:ind w:left="881" w:hanging="425"/>
              <w:rPr>
                <w:rFonts w:cs="Arial"/>
              </w:rPr>
            </w:pPr>
            <w:r w:rsidRPr="00A67277">
              <w:rPr>
                <w:rFonts w:cs="Arial"/>
              </w:rPr>
              <w:t>GCA and the IBE agree that they will not amend, supplement or otherwise modify the Cooperation Agreement without prior written consent of the Representative.</w:t>
            </w:r>
          </w:p>
        </w:tc>
        <w:tc>
          <w:tcPr>
            <w:tcW w:w="243" w:type="dxa"/>
          </w:tcPr>
          <w:p w14:paraId="14ACC0EE" w14:textId="77777777" w:rsidR="00923319" w:rsidRPr="00A67277" w:rsidRDefault="00923319" w:rsidP="00923319">
            <w:pPr>
              <w:spacing w:before="120" w:after="120"/>
              <w:rPr>
                <w:rFonts w:ascii="Arial" w:hAnsi="Arial" w:cs="Arial"/>
                <w:sz w:val="21"/>
                <w:szCs w:val="21"/>
              </w:rPr>
            </w:pPr>
          </w:p>
        </w:tc>
        <w:tc>
          <w:tcPr>
            <w:tcW w:w="4568" w:type="dxa"/>
          </w:tcPr>
          <w:p w14:paraId="427227D4" w14:textId="77777777" w:rsidR="00923319" w:rsidRPr="00A67277" w:rsidRDefault="00923319" w:rsidP="00923319">
            <w:pPr>
              <w:pStyle w:val="SchNumber3"/>
              <w:numPr>
                <w:ilvl w:val="4"/>
                <w:numId w:val="564"/>
              </w:numPr>
              <w:tabs>
                <w:tab w:val="clear" w:pos="1418"/>
              </w:tabs>
              <w:spacing w:before="120" w:after="120"/>
              <w:ind w:left="882" w:hanging="425"/>
              <w:rPr>
                <w:rFonts w:cs="Arial"/>
                <w:lang w:val="id-ID"/>
              </w:rPr>
            </w:pPr>
            <w:r w:rsidRPr="00A67277">
              <w:rPr>
                <w:rFonts w:cs="Arial"/>
              </w:rPr>
              <w:t>PJPK dan BUP sepakat bahwa mereka tidak akan mengamandemen, menambahkan atau memodifikasi Perjanjian Kerjasama tanpa persetujuan tertulis sebelumnya dari Perwakilan.</w:t>
            </w:r>
          </w:p>
        </w:tc>
      </w:tr>
      <w:tr w:rsidR="00A67277" w:rsidRPr="00A67277" w14:paraId="4CD86BD8" w14:textId="77777777" w:rsidTr="00923319">
        <w:tc>
          <w:tcPr>
            <w:tcW w:w="4886" w:type="dxa"/>
          </w:tcPr>
          <w:p w14:paraId="23E6D7E2" w14:textId="77777777" w:rsidR="00923319" w:rsidRPr="00A67277" w:rsidRDefault="00923319" w:rsidP="00923319">
            <w:pPr>
              <w:pStyle w:val="Heading3"/>
              <w:spacing w:before="120" w:after="120"/>
              <w:rPr>
                <w:rFonts w:cs="Arial"/>
              </w:rPr>
            </w:pPr>
            <w:r w:rsidRPr="00A67277">
              <w:rPr>
                <w:rFonts w:cs="Arial"/>
              </w:rPr>
              <w:t>No Other Assignment</w:t>
            </w:r>
          </w:p>
        </w:tc>
        <w:tc>
          <w:tcPr>
            <w:tcW w:w="243" w:type="dxa"/>
          </w:tcPr>
          <w:p w14:paraId="69F4AC0D" w14:textId="77777777" w:rsidR="00923319" w:rsidRPr="00A67277" w:rsidRDefault="00923319" w:rsidP="00923319">
            <w:pPr>
              <w:spacing w:before="120" w:after="120"/>
              <w:rPr>
                <w:rFonts w:ascii="Arial" w:hAnsi="Arial" w:cs="Arial"/>
                <w:sz w:val="21"/>
                <w:szCs w:val="21"/>
              </w:rPr>
            </w:pPr>
          </w:p>
        </w:tc>
        <w:tc>
          <w:tcPr>
            <w:tcW w:w="4568" w:type="dxa"/>
          </w:tcPr>
          <w:p w14:paraId="6A795C57" w14:textId="77777777" w:rsidR="00923319" w:rsidRPr="00A67277" w:rsidRDefault="00923319" w:rsidP="00923319">
            <w:pPr>
              <w:pStyle w:val="SchHeading1"/>
              <w:numPr>
                <w:ilvl w:val="0"/>
                <w:numId w:val="612"/>
              </w:numPr>
              <w:spacing w:before="120" w:after="120"/>
              <w:ind w:left="457" w:hanging="457"/>
              <w:rPr>
                <w:rFonts w:cs="Arial"/>
                <w:lang w:val="id-ID"/>
              </w:rPr>
            </w:pPr>
            <w:r w:rsidRPr="00A67277">
              <w:rPr>
                <w:rFonts w:cs="Arial"/>
              </w:rPr>
              <w:t>Tidak Ada Pengalihan Lain</w:t>
            </w:r>
          </w:p>
        </w:tc>
      </w:tr>
      <w:tr w:rsidR="00A67277" w:rsidRPr="00A67277" w14:paraId="0C42E19F" w14:textId="77777777" w:rsidTr="00923319">
        <w:tc>
          <w:tcPr>
            <w:tcW w:w="4886" w:type="dxa"/>
          </w:tcPr>
          <w:p w14:paraId="25AE0913" w14:textId="77777777" w:rsidR="00923319" w:rsidRPr="00A67277" w:rsidRDefault="00923319" w:rsidP="00923319">
            <w:pPr>
              <w:pStyle w:val="Body2"/>
              <w:spacing w:before="120" w:after="120"/>
              <w:rPr>
                <w:rFonts w:cs="Arial"/>
              </w:rPr>
            </w:pPr>
            <w:r w:rsidRPr="00A67277">
              <w:rPr>
                <w:rFonts w:cs="Arial"/>
              </w:rPr>
              <w:t>GCA agrees that it will not consent to any sale, assignment or transfer (other than pursuant to the Security Documents or paragraph (3)(m) above) by the IBE of its rights and interest under the Cooperation Agreement without the prior written consent of the Representative.</w:t>
            </w:r>
          </w:p>
        </w:tc>
        <w:tc>
          <w:tcPr>
            <w:tcW w:w="243" w:type="dxa"/>
          </w:tcPr>
          <w:p w14:paraId="209EDBF2" w14:textId="77777777" w:rsidR="00923319" w:rsidRPr="00A67277" w:rsidRDefault="00923319" w:rsidP="00923319">
            <w:pPr>
              <w:spacing w:before="120" w:after="120"/>
              <w:rPr>
                <w:rFonts w:ascii="Arial" w:hAnsi="Arial" w:cs="Arial"/>
                <w:sz w:val="21"/>
                <w:szCs w:val="21"/>
              </w:rPr>
            </w:pPr>
          </w:p>
        </w:tc>
        <w:tc>
          <w:tcPr>
            <w:tcW w:w="4568" w:type="dxa"/>
          </w:tcPr>
          <w:p w14:paraId="096895AE" w14:textId="3291DAF8" w:rsidR="00923319" w:rsidRPr="00A67277" w:rsidRDefault="00923319" w:rsidP="00923319">
            <w:pPr>
              <w:pStyle w:val="SchNumber3"/>
              <w:numPr>
                <w:ilvl w:val="0"/>
                <w:numId w:val="0"/>
              </w:numPr>
              <w:spacing w:before="120" w:after="120"/>
              <w:ind w:left="432"/>
              <w:rPr>
                <w:rFonts w:cs="Arial"/>
                <w:lang w:val="id-ID"/>
              </w:rPr>
            </w:pPr>
            <w:r w:rsidRPr="00A67277">
              <w:rPr>
                <w:rFonts w:cs="Arial"/>
              </w:rPr>
              <w:t xml:space="preserve">PJPK sepakat bahwa </w:t>
            </w:r>
            <w:r w:rsidR="002372FD" w:rsidRPr="00A67277">
              <w:rPr>
                <w:rFonts w:cs="Arial"/>
              </w:rPr>
              <w:t xml:space="preserve">Pihaknya </w:t>
            </w:r>
            <w:r w:rsidRPr="00A67277">
              <w:rPr>
                <w:rFonts w:cs="Arial"/>
              </w:rPr>
              <w:t>tidak akan setuju pada setiap penjualan, pengalihan atau penyerahan (selain daripada yang mengacu kepada Dokumen Jaminan atau paragraf (3)(m) di atas) ole</w:t>
            </w:r>
            <w:r w:rsidR="002372FD" w:rsidRPr="00A67277">
              <w:rPr>
                <w:rFonts w:cs="Arial"/>
              </w:rPr>
              <w:t>h</w:t>
            </w:r>
            <w:r w:rsidRPr="00A67277">
              <w:rPr>
                <w:rFonts w:cs="Arial"/>
              </w:rPr>
              <w:t xml:space="preserve"> BUP dari hak dan kepentingannya berdasarkan Perjanjian Kerjasama tanpa persetujuan tertulis sebelumnya dari Perwakilan.</w:t>
            </w:r>
          </w:p>
        </w:tc>
      </w:tr>
      <w:tr w:rsidR="00A67277" w:rsidRPr="00A67277" w14:paraId="4347207F" w14:textId="77777777" w:rsidTr="00923319">
        <w:tc>
          <w:tcPr>
            <w:tcW w:w="4886" w:type="dxa"/>
          </w:tcPr>
          <w:p w14:paraId="7CD64715" w14:textId="77777777" w:rsidR="00923319" w:rsidRPr="00A67277" w:rsidRDefault="00923319" w:rsidP="00923319">
            <w:pPr>
              <w:pStyle w:val="Heading3"/>
              <w:spacing w:before="120" w:after="120"/>
              <w:rPr>
                <w:rFonts w:cs="Arial"/>
              </w:rPr>
            </w:pPr>
            <w:r w:rsidRPr="00A67277">
              <w:rPr>
                <w:rFonts w:cs="Arial"/>
              </w:rPr>
              <w:t>Counterparts</w:t>
            </w:r>
          </w:p>
        </w:tc>
        <w:tc>
          <w:tcPr>
            <w:tcW w:w="243" w:type="dxa"/>
          </w:tcPr>
          <w:p w14:paraId="4371E4EB" w14:textId="77777777" w:rsidR="00923319" w:rsidRPr="00A67277" w:rsidRDefault="00923319" w:rsidP="00923319">
            <w:pPr>
              <w:spacing w:before="120" w:after="120"/>
              <w:rPr>
                <w:rFonts w:ascii="Arial" w:hAnsi="Arial" w:cs="Arial"/>
                <w:sz w:val="21"/>
                <w:szCs w:val="21"/>
              </w:rPr>
            </w:pPr>
          </w:p>
        </w:tc>
        <w:tc>
          <w:tcPr>
            <w:tcW w:w="4568" w:type="dxa"/>
          </w:tcPr>
          <w:p w14:paraId="0367E19E" w14:textId="77777777" w:rsidR="00923319" w:rsidRPr="00A67277" w:rsidRDefault="00923319" w:rsidP="00923319">
            <w:pPr>
              <w:pStyle w:val="SchHeading1"/>
              <w:numPr>
                <w:ilvl w:val="0"/>
                <w:numId w:val="612"/>
              </w:numPr>
              <w:spacing w:before="120" w:after="120"/>
              <w:ind w:left="457" w:hanging="457"/>
              <w:rPr>
                <w:rFonts w:cs="Arial"/>
                <w:lang w:val="id-ID"/>
              </w:rPr>
            </w:pPr>
            <w:r w:rsidRPr="00A67277">
              <w:rPr>
                <w:rFonts w:cs="Arial"/>
              </w:rPr>
              <w:t>Salinan</w:t>
            </w:r>
          </w:p>
        </w:tc>
      </w:tr>
      <w:tr w:rsidR="00A67277" w:rsidRPr="00A67277" w14:paraId="3E66447D" w14:textId="77777777" w:rsidTr="00923319">
        <w:tc>
          <w:tcPr>
            <w:tcW w:w="4886" w:type="dxa"/>
          </w:tcPr>
          <w:p w14:paraId="1AB68786" w14:textId="77777777" w:rsidR="00923319" w:rsidRPr="00A67277" w:rsidRDefault="00923319" w:rsidP="00923319">
            <w:pPr>
              <w:pStyle w:val="Body2"/>
              <w:spacing w:before="120" w:after="120"/>
              <w:rPr>
                <w:rFonts w:cs="Arial"/>
              </w:rPr>
            </w:pPr>
            <w:r w:rsidRPr="00A67277">
              <w:rPr>
                <w:rFonts w:cs="Arial"/>
              </w:rPr>
              <w:t>This consent letter may be executed in any number of counterparts, and this has the same effect as if the signatures on the counterparts were on a single copy of this consent letter. The IBE and GCA agree that the Cooperation Agreement remains in full force and effect, and unmodified except as expressly provided for in this consent letter.</w:t>
            </w:r>
          </w:p>
        </w:tc>
        <w:tc>
          <w:tcPr>
            <w:tcW w:w="243" w:type="dxa"/>
          </w:tcPr>
          <w:p w14:paraId="6779DBEC" w14:textId="77777777" w:rsidR="00923319" w:rsidRPr="00A67277" w:rsidRDefault="00923319" w:rsidP="00923319">
            <w:pPr>
              <w:spacing w:before="120" w:after="120"/>
              <w:rPr>
                <w:rFonts w:ascii="Arial" w:hAnsi="Arial" w:cs="Arial"/>
                <w:sz w:val="21"/>
                <w:szCs w:val="21"/>
              </w:rPr>
            </w:pPr>
          </w:p>
        </w:tc>
        <w:tc>
          <w:tcPr>
            <w:tcW w:w="4568" w:type="dxa"/>
          </w:tcPr>
          <w:p w14:paraId="48F6C812"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eastAsia="Arial" w:cs="Arial"/>
                <w:lang w:val="en-US" w:bidi="en-US"/>
              </w:rPr>
              <w:t>Surat persetujuan ini dapat dibuat salinannya dalam jumlah berapapun, dan surat persetujuan ini memiliki dampak sebagaimana tanda tangan pada Salinan terdapat pada setiap salinan surat persetujuan ini. BUP dan PJPK sepakat bahwa Perjanjian Kerjasama tetap berlaku penuh, dan tidak dimodifikasi kecuali sebagaimana ditentukan secara jelas untuk surat persetujuan ini.</w:t>
            </w:r>
          </w:p>
        </w:tc>
      </w:tr>
      <w:tr w:rsidR="00A67277" w:rsidRPr="00A67277" w14:paraId="168CF93A" w14:textId="77777777" w:rsidTr="00923319">
        <w:tc>
          <w:tcPr>
            <w:tcW w:w="4886" w:type="dxa"/>
          </w:tcPr>
          <w:p w14:paraId="745E431A" w14:textId="77777777" w:rsidR="00923319" w:rsidRPr="00A67277" w:rsidRDefault="00923319" w:rsidP="00923319">
            <w:pPr>
              <w:pStyle w:val="Heading3"/>
              <w:spacing w:before="120" w:after="120"/>
              <w:rPr>
                <w:rFonts w:cs="Arial"/>
              </w:rPr>
            </w:pPr>
            <w:r w:rsidRPr="00A67277">
              <w:rPr>
                <w:rFonts w:cs="Arial"/>
              </w:rPr>
              <w:t>Settlement of Dispute</w:t>
            </w:r>
          </w:p>
        </w:tc>
        <w:tc>
          <w:tcPr>
            <w:tcW w:w="243" w:type="dxa"/>
          </w:tcPr>
          <w:p w14:paraId="5F413886" w14:textId="77777777" w:rsidR="00923319" w:rsidRPr="00A67277" w:rsidRDefault="00923319" w:rsidP="00923319">
            <w:pPr>
              <w:spacing w:before="120" w:after="120"/>
              <w:rPr>
                <w:rFonts w:ascii="Arial" w:hAnsi="Arial" w:cs="Arial"/>
                <w:sz w:val="21"/>
                <w:szCs w:val="21"/>
              </w:rPr>
            </w:pPr>
          </w:p>
        </w:tc>
        <w:tc>
          <w:tcPr>
            <w:tcW w:w="4568" w:type="dxa"/>
          </w:tcPr>
          <w:p w14:paraId="64226516" w14:textId="77777777" w:rsidR="00923319" w:rsidRPr="00A67277" w:rsidRDefault="00923319" w:rsidP="00923319">
            <w:pPr>
              <w:pStyle w:val="SchHeading1"/>
              <w:numPr>
                <w:ilvl w:val="0"/>
                <w:numId w:val="612"/>
              </w:numPr>
              <w:spacing w:before="120" w:after="120"/>
              <w:ind w:left="457" w:hanging="457"/>
              <w:rPr>
                <w:rFonts w:cs="Arial"/>
                <w:lang w:val="id-ID"/>
              </w:rPr>
            </w:pPr>
            <w:r w:rsidRPr="00A67277">
              <w:rPr>
                <w:rFonts w:cs="Arial"/>
              </w:rPr>
              <w:t>Penyelesaian Sengketa</w:t>
            </w:r>
          </w:p>
        </w:tc>
      </w:tr>
      <w:tr w:rsidR="00A67277" w:rsidRPr="00A67277" w14:paraId="53418BF6" w14:textId="77777777" w:rsidTr="00923319">
        <w:tc>
          <w:tcPr>
            <w:tcW w:w="4886" w:type="dxa"/>
          </w:tcPr>
          <w:p w14:paraId="3941DFB1" w14:textId="77777777" w:rsidR="00923319" w:rsidRPr="00A67277" w:rsidRDefault="00923319" w:rsidP="00923319">
            <w:pPr>
              <w:pStyle w:val="Body2"/>
              <w:spacing w:before="120" w:after="120"/>
              <w:rPr>
                <w:rFonts w:cs="Arial"/>
              </w:rPr>
            </w:pPr>
            <w:r w:rsidRPr="00A67277">
              <w:rPr>
                <w:rFonts w:cs="Arial"/>
              </w:rPr>
              <w:t>The IBE and GCA agree that Clause 28 (</w:t>
            </w:r>
            <w:r w:rsidRPr="00A67277">
              <w:rPr>
                <w:rFonts w:cs="Arial"/>
                <w:i/>
              </w:rPr>
              <w:t>Settlement of Disputes</w:t>
            </w:r>
            <w:r w:rsidRPr="00A67277">
              <w:rPr>
                <w:rFonts w:cs="Arial"/>
              </w:rPr>
              <w:t>) and Clause 32.11 (</w:t>
            </w:r>
            <w:r w:rsidRPr="00A67277">
              <w:rPr>
                <w:rFonts w:cs="Arial"/>
                <w:i/>
              </w:rPr>
              <w:t>Governing Law</w:t>
            </w:r>
            <w:r w:rsidRPr="00A67277">
              <w:rPr>
                <w:rFonts w:cs="Arial"/>
              </w:rPr>
              <w:t xml:space="preserve">) of the Cooperation Agreement shall apply to this consent letter </w:t>
            </w:r>
            <w:r w:rsidRPr="00A67277">
              <w:rPr>
                <w:rFonts w:cs="Arial"/>
                <w:i/>
              </w:rPr>
              <w:t>mutatis mutandis</w:t>
            </w:r>
            <w:r w:rsidRPr="00A67277">
              <w:rPr>
                <w:rFonts w:cs="Arial"/>
              </w:rPr>
              <w:t>, and acknowledge that the exercise of their respective rights and the performance of their respective obligations under the Cooperation Agreement and this consent letter will constitute private and commercial acts for private and commercial purposes and neither party will claim otherwise. If any ambiguity, inconsistency or conflict of obligations exists or arises between this consent letter and the Cooperation Agreement, the provisions of this consent letter will take precedence over the Cooperation Agreement and will apply to resolve that ambiguity, inconsistency or conflict.</w:t>
            </w:r>
          </w:p>
        </w:tc>
        <w:tc>
          <w:tcPr>
            <w:tcW w:w="243" w:type="dxa"/>
          </w:tcPr>
          <w:p w14:paraId="2F2F56EE" w14:textId="77777777" w:rsidR="00923319" w:rsidRPr="00A67277" w:rsidRDefault="00923319" w:rsidP="00923319">
            <w:pPr>
              <w:spacing w:before="120" w:after="120"/>
              <w:rPr>
                <w:rFonts w:ascii="Arial" w:hAnsi="Arial" w:cs="Arial"/>
                <w:sz w:val="21"/>
                <w:szCs w:val="21"/>
              </w:rPr>
            </w:pPr>
          </w:p>
        </w:tc>
        <w:tc>
          <w:tcPr>
            <w:tcW w:w="4568" w:type="dxa"/>
          </w:tcPr>
          <w:p w14:paraId="4626A2D4"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cs="Arial"/>
              </w:rPr>
              <w:t>BUP dan PJPK sepakat bahwa Pasal 28 (</w:t>
            </w:r>
            <w:r w:rsidRPr="00A67277">
              <w:rPr>
                <w:rFonts w:cs="Arial"/>
                <w:i/>
              </w:rPr>
              <w:t>Penyelesaian Sengketa</w:t>
            </w:r>
            <w:r w:rsidRPr="00A67277">
              <w:rPr>
                <w:rFonts w:cs="Arial"/>
              </w:rPr>
              <w:t>) dan Pasal 32.11 (</w:t>
            </w:r>
            <w:r w:rsidRPr="00A67277">
              <w:rPr>
                <w:rFonts w:cs="Arial"/>
                <w:i/>
              </w:rPr>
              <w:t>Hukum Yang Berlaku</w:t>
            </w:r>
            <w:r w:rsidRPr="00A67277">
              <w:rPr>
                <w:rFonts w:cs="Arial"/>
              </w:rPr>
              <w:t>) dari Perjanjian Kerjasama harus berlaku terhadap surat persetujuan ini dengan perubahan yang perlu (</w:t>
            </w:r>
            <w:r w:rsidRPr="00A67277">
              <w:rPr>
                <w:rFonts w:cs="Arial"/>
                <w:i/>
              </w:rPr>
              <w:t>mutatis mutandis</w:t>
            </w:r>
            <w:r w:rsidRPr="00A67277">
              <w:rPr>
                <w:rFonts w:cs="Arial"/>
              </w:rPr>
              <w:t>), dan mengetahui bahwa pelaksanaan hak mereka masing-masing dan pelaksanaan kewajibannya masing-masing berdasarkan Perjanjian Kerjasama dan surat persetujuan ini akan mengatur tindakan privat dan komersial untuk tujuan privat dan komersial dan tidaj ada pihak yang akan mengklaim sebaliknya. Jika setiap ambiguitas, inkonsistensi atau konflik kewajiban terjadi atau timbul antara surat persetujuan ini dan Perjanjian Kerjasama, ketentuan-ketenuan dalam surat persetujuan ini akan menjadi preseden atas Perjanjian Kerjasama dan akan berlaku untuk menyelesaikan ambiguitas, inkonsistensi atau konflik.</w:t>
            </w:r>
          </w:p>
        </w:tc>
      </w:tr>
      <w:tr w:rsidR="00A67277" w:rsidRPr="00A67277" w14:paraId="1B7E9D96" w14:textId="77777777" w:rsidTr="00923319">
        <w:tc>
          <w:tcPr>
            <w:tcW w:w="4886" w:type="dxa"/>
          </w:tcPr>
          <w:p w14:paraId="14A33A41" w14:textId="77777777" w:rsidR="00923319" w:rsidRPr="00A67277" w:rsidRDefault="00923319" w:rsidP="00923319">
            <w:pPr>
              <w:pStyle w:val="Heading3"/>
              <w:spacing w:before="120" w:after="120"/>
              <w:rPr>
                <w:rFonts w:cs="Arial"/>
              </w:rPr>
            </w:pPr>
            <w:r w:rsidRPr="00A67277">
              <w:rPr>
                <w:rFonts w:cs="Arial"/>
              </w:rPr>
              <w:t>Language</w:t>
            </w:r>
          </w:p>
        </w:tc>
        <w:tc>
          <w:tcPr>
            <w:tcW w:w="243" w:type="dxa"/>
          </w:tcPr>
          <w:p w14:paraId="54FE99F1" w14:textId="77777777" w:rsidR="00923319" w:rsidRPr="00A67277" w:rsidRDefault="00923319" w:rsidP="00923319">
            <w:pPr>
              <w:spacing w:before="120" w:after="120"/>
              <w:rPr>
                <w:rFonts w:ascii="Arial" w:hAnsi="Arial" w:cs="Arial"/>
                <w:sz w:val="21"/>
                <w:szCs w:val="21"/>
              </w:rPr>
            </w:pPr>
          </w:p>
        </w:tc>
        <w:tc>
          <w:tcPr>
            <w:tcW w:w="4568" w:type="dxa"/>
          </w:tcPr>
          <w:p w14:paraId="46649395" w14:textId="77777777" w:rsidR="00923319" w:rsidRPr="00A67277" w:rsidRDefault="00923319" w:rsidP="00923319">
            <w:pPr>
              <w:pStyle w:val="SchHeading1"/>
              <w:numPr>
                <w:ilvl w:val="0"/>
                <w:numId w:val="612"/>
              </w:numPr>
              <w:spacing w:before="120" w:after="120"/>
              <w:ind w:left="457" w:hanging="457"/>
              <w:rPr>
                <w:rFonts w:cs="Arial"/>
                <w:lang w:val="id-ID"/>
              </w:rPr>
            </w:pPr>
            <w:r w:rsidRPr="00A67277">
              <w:rPr>
                <w:rFonts w:cs="Arial"/>
              </w:rPr>
              <w:t xml:space="preserve">Bahasa </w:t>
            </w:r>
          </w:p>
        </w:tc>
      </w:tr>
      <w:tr w:rsidR="00A67277" w:rsidRPr="00A67277" w14:paraId="55DC749A" w14:textId="77777777" w:rsidTr="00923319">
        <w:tc>
          <w:tcPr>
            <w:tcW w:w="4886" w:type="dxa"/>
          </w:tcPr>
          <w:p w14:paraId="637050E4" w14:textId="77777777" w:rsidR="00923319" w:rsidRPr="00A67277" w:rsidRDefault="00923319" w:rsidP="00923319">
            <w:pPr>
              <w:pStyle w:val="Body2"/>
              <w:spacing w:before="120" w:after="120"/>
              <w:rPr>
                <w:rFonts w:cs="Arial"/>
              </w:rPr>
            </w:pPr>
            <w:r w:rsidRPr="00A67277">
              <w:rPr>
                <w:rFonts w:cs="Arial"/>
              </w:rPr>
              <w:t xml:space="preserve">[This consent letter has been executed in both Bahasa Indonesia and English. The two versions of this consent letter shall not be construed as separate documents and, when taken together, shall constitute one and the same instrument. In the event of any conflict or inconsistency between the English language version and the Bahasa Indonesia language version of this consent letter, the Bahasa Indonesia version shall prevail. </w:t>
            </w:r>
          </w:p>
        </w:tc>
        <w:tc>
          <w:tcPr>
            <w:tcW w:w="243" w:type="dxa"/>
          </w:tcPr>
          <w:p w14:paraId="66DC2D04" w14:textId="77777777" w:rsidR="00923319" w:rsidRPr="00A67277" w:rsidRDefault="00923319" w:rsidP="00923319">
            <w:pPr>
              <w:spacing w:before="120" w:after="120"/>
              <w:rPr>
                <w:rFonts w:ascii="Arial" w:hAnsi="Arial" w:cs="Arial"/>
                <w:sz w:val="21"/>
                <w:szCs w:val="21"/>
              </w:rPr>
            </w:pPr>
          </w:p>
        </w:tc>
        <w:tc>
          <w:tcPr>
            <w:tcW w:w="4568" w:type="dxa"/>
          </w:tcPr>
          <w:p w14:paraId="27B7EBC4" w14:textId="208A241A" w:rsidR="00923319" w:rsidRPr="00A67277" w:rsidRDefault="00923319" w:rsidP="00923319">
            <w:pPr>
              <w:pStyle w:val="SchNumber3"/>
              <w:numPr>
                <w:ilvl w:val="0"/>
                <w:numId w:val="0"/>
              </w:numPr>
              <w:spacing w:before="120" w:after="120"/>
              <w:ind w:left="432"/>
              <w:rPr>
                <w:rFonts w:cs="Arial"/>
                <w:lang w:val="id-ID"/>
              </w:rPr>
            </w:pPr>
            <w:r w:rsidRPr="00A67277">
              <w:rPr>
                <w:rFonts w:cs="Arial"/>
              </w:rPr>
              <w:t xml:space="preserve">[Surat persetujuan ini telah dibuat dalam bahasa Indonesia dan Inggris. Kedua versi dari surat persetujuan ini tidak boleh ditafsirkan sebagai dokumen terpisah dan, ketika dilaksanakan bersamaan, harus mengatur satu dan instrument yang sama. Dalam hal terjadi konflik atau inkonsistensi antara versi bahasa Inggris dan versi bahasa Indonesia dari surat persetujuan ini, versi bahasa Indonesia berlaku. </w:t>
            </w:r>
          </w:p>
        </w:tc>
      </w:tr>
      <w:tr w:rsidR="00A67277" w:rsidRPr="00A67277" w14:paraId="02696EE0" w14:textId="77777777" w:rsidTr="00923319">
        <w:tc>
          <w:tcPr>
            <w:tcW w:w="9697" w:type="dxa"/>
            <w:gridSpan w:val="3"/>
          </w:tcPr>
          <w:p w14:paraId="05720CD8" w14:textId="77777777" w:rsidR="00923319" w:rsidRPr="00A67277" w:rsidRDefault="00923319" w:rsidP="00923319">
            <w:pPr>
              <w:pStyle w:val="Body1"/>
              <w:spacing w:before="120" w:after="120"/>
              <w:rPr>
                <w:rFonts w:cs="Arial"/>
              </w:rPr>
            </w:pPr>
            <w:r w:rsidRPr="00A67277">
              <w:rPr>
                <w:rFonts w:cs="Arial"/>
              </w:rPr>
              <w:t>Very truly yours</w:t>
            </w:r>
          </w:p>
          <w:p w14:paraId="0363663B" w14:textId="77777777" w:rsidR="00923319" w:rsidRPr="00A67277" w:rsidRDefault="00923319" w:rsidP="00923319">
            <w:pPr>
              <w:pStyle w:val="Body1"/>
              <w:spacing w:before="120" w:after="120"/>
              <w:rPr>
                <w:rFonts w:cs="Arial"/>
              </w:rPr>
            </w:pPr>
            <w:r w:rsidRPr="00A67277">
              <w:rPr>
                <w:rFonts w:cs="Arial"/>
              </w:rPr>
              <w:t>[**</w:t>
            </w:r>
            <w:r w:rsidRPr="00A67277">
              <w:rPr>
                <w:rFonts w:cs="Arial"/>
                <w:b/>
                <w:i/>
              </w:rPr>
              <w:t>Insert name of IBE</w:t>
            </w:r>
            <w:r w:rsidRPr="00A67277">
              <w:rPr>
                <w:rFonts w:cs="Arial"/>
              </w:rPr>
              <w:t>**]/[**</w:t>
            </w:r>
            <w:r w:rsidRPr="00A67277">
              <w:rPr>
                <w:rFonts w:cs="Arial"/>
                <w:b/>
                <w:i/>
              </w:rPr>
              <w:t>masukkan nama BUP</w:t>
            </w:r>
            <w:r w:rsidRPr="00A67277">
              <w:rPr>
                <w:rFonts w:cs="Arial"/>
              </w:rPr>
              <w:t>**]</w:t>
            </w:r>
          </w:p>
          <w:p w14:paraId="17559BE9" w14:textId="77777777" w:rsidR="00923319" w:rsidRPr="00A67277" w:rsidRDefault="00923319" w:rsidP="00923319">
            <w:pPr>
              <w:pStyle w:val="Body1"/>
              <w:spacing w:before="120" w:after="120"/>
              <w:rPr>
                <w:rFonts w:cs="Arial"/>
              </w:rPr>
            </w:pPr>
          </w:p>
          <w:p w14:paraId="4A4AEF25" w14:textId="77777777" w:rsidR="00923319" w:rsidRPr="00A67277" w:rsidRDefault="00923319" w:rsidP="00923319">
            <w:pPr>
              <w:pStyle w:val="Body1"/>
              <w:spacing w:before="120" w:after="120"/>
              <w:rPr>
                <w:rFonts w:cs="Arial"/>
              </w:rPr>
            </w:pPr>
            <w:r w:rsidRPr="00A67277">
              <w:rPr>
                <w:rFonts w:cs="Arial"/>
              </w:rPr>
              <w:t>as the IBE/ sebagai BUP</w:t>
            </w:r>
          </w:p>
          <w:p w14:paraId="37C52C71" w14:textId="77777777" w:rsidR="00923319" w:rsidRPr="00A67277" w:rsidRDefault="00923319" w:rsidP="00923319">
            <w:pPr>
              <w:pStyle w:val="Body1"/>
              <w:spacing w:before="120" w:after="120"/>
              <w:rPr>
                <w:rFonts w:cs="Arial"/>
              </w:rPr>
            </w:pPr>
          </w:p>
          <w:p w14:paraId="2246C844" w14:textId="77777777" w:rsidR="00923319" w:rsidRPr="00A67277" w:rsidRDefault="00923319" w:rsidP="00923319">
            <w:pPr>
              <w:pStyle w:val="Body1"/>
              <w:spacing w:before="120" w:after="120"/>
              <w:rPr>
                <w:rFonts w:cs="Arial"/>
              </w:rPr>
            </w:pPr>
          </w:p>
          <w:p w14:paraId="107D8AAF" w14:textId="77777777" w:rsidR="00923319" w:rsidRPr="00A67277" w:rsidRDefault="00923319" w:rsidP="00923319">
            <w:pPr>
              <w:pStyle w:val="Body1"/>
              <w:spacing w:before="120" w:after="120"/>
              <w:rPr>
                <w:rFonts w:cs="Arial"/>
              </w:rPr>
            </w:pPr>
          </w:p>
          <w:p w14:paraId="3B3E14F8" w14:textId="77777777" w:rsidR="00923319" w:rsidRPr="00A67277" w:rsidRDefault="00923319" w:rsidP="00923319">
            <w:pPr>
              <w:pStyle w:val="Body1"/>
              <w:spacing w:before="120" w:after="120"/>
              <w:rPr>
                <w:rFonts w:cs="Arial"/>
              </w:rPr>
            </w:pPr>
            <w:r w:rsidRPr="00A67277">
              <w:rPr>
                <w:rFonts w:cs="Arial"/>
              </w:rPr>
              <w:t>By/Oleh</w:t>
            </w:r>
            <w:r w:rsidRPr="00A67277">
              <w:rPr>
                <w:rFonts w:cs="Arial"/>
              </w:rPr>
              <w:tab/>
              <w:t xml:space="preserve">: </w:t>
            </w:r>
          </w:p>
          <w:p w14:paraId="57B74D2D" w14:textId="77777777" w:rsidR="00923319" w:rsidRPr="00A67277" w:rsidRDefault="00923319" w:rsidP="00923319">
            <w:pPr>
              <w:pStyle w:val="Body1"/>
              <w:spacing w:before="120" w:after="120"/>
              <w:rPr>
                <w:rFonts w:cs="Arial"/>
              </w:rPr>
            </w:pPr>
            <w:r w:rsidRPr="00A67277">
              <w:rPr>
                <w:rFonts w:cs="Arial"/>
              </w:rPr>
              <w:t>Name/Nama</w:t>
            </w:r>
            <w:r w:rsidRPr="00A67277">
              <w:rPr>
                <w:rFonts w:cs="Arial"/>
              </w:rPr>
              <w:tab/>
              <w:t>:</w:t>
            </w:r>
          </w:p>
          <w:p w14:paraId="2E18A472" w14:textId="77777777" w:rsidR="00923319" w:rsidRPr="00A67277" w:rsidRDefault="00923319" w:rsidP="00923319">
            <w:pPr>
              <w:pStyle w:val="Body1"/>
              <w:spacing w:before="120" w:after="120"/>
              <w:rPr>
                <w:rFonts w:cs="Arial"/>
              </w:rPr>
            </w:pPr>
            <w:r w:rsidRPr="00A67277">
              <w:rPr>
                <w:rFonts w:cs="Arial"/>
              </w:rPr>
              <w:t>Title/Jabatan</w:t>
            </w:r>
            <w:r w:rsidRPr="00A67277">
              <w:rPr>
                <w:rFonts w:cs="Arial"/>
              </w:rPr>
              <w:tab/>
              <w:t>:</w:t>
            </w:r>
          </w:p>
        </w:tc>
      </w:tr>
      <w:tr w:rsidR="00A67277" w:rsidRPr="00A67277" w14:paraId="4A73BC62" w14:textId="77777777" w:rsidTr="00923319">
        <w:tc>
          <w:tcPr>
            <w:tcW w:w="9697" w:type="dxa"/>
            <w:gridSpan w:val="3"/>
          </w:tcPr>
          <w:p w14:paraId="21CF4977" w14:textId="77777777" w:rsidR="00923319" w:rsidRPr="00A67277" w:rsidRDefault="00923319" w:rsidP="00923319">
            <w:pPr>
              <w:pStyle w:val="Body1"/>
              <w:spacing w:before="120" w:after="120"/>
              <w:rPr>
                <w:rFonts w:cs="Arial"/>
              </w:rPr>
            </w:pPr>
            <w:r w:rsidRPr="00A67277">
              <w:rPr>
                <w:rFonts w:cs="Arial"/>
              </w:rPr>
              <w:t xml:space="preserve">Acknowledged and agreed as of the date set forth above:/Diketahui dan disepakati sebagai tanggal sebagaimana tercantum di atas: </w:t>
            </w:r>
          </w:p>
          <w:p w14:paraId="284215A7" w14:textId="77777777" w:rsidR="00923319" w:rsidRPr="00A67277" w:rsidRDefault="00923319" w:rsidP="00923319">
            <w:pPr>
              <w:pStyle w:val="Body1"/>
              <w:spacing w:before="120" w:after="120"/>
              <w:rPr>
                <w:rFonts w:cs="Arial"/>
              </w:rPr>
            </w:pPr>
            <w:r w:rsidRPr="00A67277">
              <w:rPr>
                <w:rFonts w:cs="Arial"/>
              </w:rPr>
              <w:t>[**</w:t>
            </w:r>
            <w:r w:rsidRPr="00A67277">
              <w:rPr>
                <w:rFonts w:cs="Arial"/>
                <w:b/>
                <w:i/>
              </w:rPr>
              <w:t>Insert name of GCA</w:t>
            </w:r>
            <w:r w:rsidRPr="00A67277">
              <w:rPr>
                <w:rFonts w:cs="Arial"/>
              </w:rPr>
              <w:t>**]/[**</w:t>
            </w:r>
            <w:r w:rsidRPr="00A67277">
              <w:rPr>
                <w:rFonts w:cs="Arial"/>
                <w:b/>
                <w:i/>
              </w:rPr>
              <w:t>masukkan nama PJPK</w:t>
            </w:r>
            <w:r w:rsidRPr="00A67277">
              <w:rPr>
                <w:rFonts w:cs="Arial"/>
              </w:rPr>
              <w:t>**]</w:t>
            </w:r>
          </w:p>
          <w:p w14:paraId="0A4573B9" w14:textId="77777777" w:rsidR="00923319" w:rsidRPr="00A67277" w:rsidRDefault="00923319" w:rsidP="00923319">
            <w:pPr>
              <w:pStyle w:val="Body1"/>
              <w:spacing w:before="120" w:after="120"/>
              <w:rPr>
                <w:rFonts w:cs="Arial"/>
              </w:rPr>
            </w:pPr>
            <w:r w:rsidRPr="00A67277">
              <w:rPr>
                <w:rFonts w:cs="Arial"/>
              </w:rPr>
              <w:t xml:space="preserve">as GCA/Sebagai PJPK </w:t>
            </w:r>
          </w:p>
          <w:p w14:paraId="257541B2" w14:textId="77777777" w:rsidR="00923319" w:rsidRPr="00A67277" w:rsidRDefault="00923319" w:rsidP="00923319">
            <w:pPr>
              <w:pStyle w:val="Body1"/>
              <w:spacing w:before="120" w:after="120"/>
              <w:rPr>
                <w:rFonts w:cs="Arial"/>
              </w:rPr>
            </w:pPr>
          </w:p>
          <w:p w14:paraId="1E661A11" w14:textId="77777777" w:rsidR="00923319" w:rsidRPr="00A67277" w:rsidRDefault="00923319" w:rsidP="00923319">
            <w:pPr>
              <w:pStyle w:val="Body1"/>
              <w:spacing w:before="120" w:after="120"/>
              <w:rPr>
                <w:rFonts w:cs="Arial"/>
              </w:rPr>
            </w:pPr>
          </w:p>
          <w:p w14:paraId="4E02ADD4" w14:textId="77777777" w:rsidR="00923319" w:rsidRPr="00A67277" w:rsidRDefault="00923319" w:rsidP="00923319">
            <w:pPr>
              <w:pStyle w:val="Body1"/>
              <w:spacing w:before="120" w:after="120"/>
              <w:rPr>
                <w:rFonts w:cs="Arial"/>
              </w:rPr>
            </w:pPr>
          </w:p>
          <w:p w14:paraId="57D38BEF" w14:textId="77777777" w:rsidR="00923319" w:rsidRPr="00A67277" w:rsidRDefault="00923319" w:rsidP="00923319">
            <w:pPr>
              <w:pStyle w:val="Body1"/>
              <w:spacing w:before="120" w:after="120"/>
              <w:rPr>
                <w:rFonts w:cs="Arial"/>
              </w:rPr>
            </w:pPr>
          </w:p>
          <w:p w14:paraId="69AC3B92" w14:textId="77777777" w:rsidR="00923319" w:rsidRPr="00A67277" w:rsidRDefault="00923319" w:rsidP="00923319">
            <w:pPr>
              <w:pStyle w:val="Body1"/>
              <w:spacing w:before="120" w:after="120"/>
              <w:rPr>
                <w:rFonts w:cs="Arial"/>
              </w:rPr>
            </w:pPr>
            <w:r w:rsidRPr="00A67277">
              <w:rPr>
                <w:rFonts w:cs="Arial"/>
              </w:rPr>
              <w:t>By/Oleh</w:t>
            </w:r>
            <w:r w:rsidRPr="00A67277">
              <w:rPr>
                <w:rFonts w:cs="Arial"/>
              </w:rPr>
              <w:tab/>
              <w:t xml:space="preserve">: </w:t>
            </w:r>
          </w:p>
          <w:p w14:paraId="0F763186" w14:textId="77777777" w:rsidR="00923319" w:rsidRPr="00A67277" w:rsidRDefault="00923319" w:rsidP="00923319">
            <w:pPr>
              <w:pStyle w:val="Body1"/>
              <w:spacing w:before="120" w:after="120"/>
              <w:rPr>
                <w:rFonts w:cs="Arial"/>
              </w:rPr>
            </w:pPr>
            <w:r w:rsidRPr="00A67277">
              <w:rPr>
                <w:rFonts w:cs="Arial"/>
              </w:rPr>
              <w:t>Name/Nama</w:t>
            </w:r>
            <w:r w:rsidRPr="00A67277">
              <w:rPr>
                <w:rFonts w:cs="Arial"/>
              </w:rPr>
              <w:tab/>
              <w:t>:</w:t>
            </w:r>
          </w:p>
          <w:p w14:paraId="4456A138" w14:textId="77777777" w:rsidR="00923319" w:rsidRPr="00A67277" w:rsidRDefault="00923319" w:rsidP="00923319">
            <w:pPr>
              <w:pStyle w:val="Body1"/>
              <w:spacing w:before="120" w:after="120"/>
              <w:rPr>
                <w:rFonts w:cs="Arial"/>
              </w:rPr>
            </w:pPr>
            <w:r w:rsidRPr="00A67277">
              <w:rPr>
                <w:rFonts w:cs="Arial"/>
              </w:rPr>
              <w:t>Title/Jabatan:</w:t>
            </w:r>
          </w:p>
        </w:tc>
      </w:tr>
      <w:tr w:rsidR="00A67277" w:rsidRPr="00A67277" w14:paraId="3A3623DB" w14:textId="77777777" w:rsidTr="00923319">
        <w:tc>
          <w:tcPr>
            <w:tcW w:w="9697" w:type="dxa"/>
            <w:gridSpan w:val="3"/>
          </w:tcPr>
          <w:p w14:paraId="550EC9AD" w14:textId="77777777" w:rsidR="00923319" w:rsidRPr="00A67277" w:rsidRDefault="00923319" w:rsidP="00923319">
            <w:pPr>
              <w:pStyle w:val="Body1"/>
              <w:spacing w:before="120" w:after="120"/>
              <w:rPr>
                <w:rFonts w:cs="Arial"/>
              </w:rPr>
            </w:pPr>
            <w:r w:rsidRPr="00A67277">
              <w:rPr>
                <w:rFonts w:cs="Arial"/>
              </w:rPr>
              <w:t xml:space="preserve">Acknowledged and agreed as of the date set forth above:/Diketahui dan disepakati sebagai tanggal sebagaimana tercantum di atas: </w:t>
            </w:r>
          </w:p>
          <w:p w14:paraId="335BD607" w14:textId="77777777" w:rsidR="00923319" w:rsidRPr="00A67277" w:rsidRDefault="00923319" w:rsidP="00923319">
            <w:pPr>
              <w:pStyle w:val="Body1"/>
              <w:spacing w:before="120" w:after="120"/>
              <w:rPr>
                <w:rFonts w:cs="Arial"/>
              </w:rPr>
            </w:pPr>
            <w:r w:rsidRPr="00A67277">
              <w:rPr>
                <w:rFonts w:cs="Arial"/>
              </w:rPr>
              <w:t>[**</w:t>
            </w:r>
            <w:r w:rsidRPr="00A67277">
              <w:rPr>
                <w:rFonts w:cs="Arial"/>
                <w:b/>
                <w:i/>
              </w:rPr>
              <w:t>Insert name of Financial Institution</w:t>
            </w:r>
            <w:r w:rsidRPr="00A67277">
              <w:rPr>
                <w:rFonts w:cs="Arial"/>
              </w:rPr>
              <w:t>**]/[**</w:t>
            </w:r>
            <w:r w:rsidRPr="00A67277">
              <w:rPr>
                <w:rFonts w:cs="Arial"/>
                <w:b/>
                <w:i/>
              </w:rPr>
              <w:t>masukkan nama Lembaga Keuangan</w:t>
            </w:r>
            <w:r w:rsidRPr="00A67277">
              <w:rPr>
                <w:rFonts w:cs="Arial"/>
              </w:rPr>
              <w:t>**]</w:t>
            </w:r>
          </w:p>
          <w:p w14:paraId="652E9EC3" w14:textId="77777777" w:rsidR="00923319" w:rsidRPr="00A67277" w:rsidRDefault="00923319" w:rsidP="00923319">
            <w:pPr>
              <w:pStyle w:val="Body1"/>
              <w:spacing w:before="120" w:after="120"/>
              <w:rPr>
                <w:rFonts w:cs="Arial"/>
              </w:rPr>
            </w:pPr>
            <w:r w:rsidRPr="00A67277">
              <w:rPr>
                <w:rFonts w:cs="Arial"/>
              </w:rPr>
              <w:t>as Financial Institution/Sebagai Lembaga Keuangan</w:t>
            </w:r>
          </w:p>
          <w:p w14:paraId="488D7EF9" w14:textId="77777777" w:rsidR="00923319" w:rsidRPr="00A67277" w:rsidRDefault="00923319" w:rsidP="00923319">
            <w:pPr>
              <w:pStyle w:val="Body1"/>
              <w:spacing w:before="120" w:after="120"/>
              <w:rPr>
                <w:rFonts w:cs="Arial"/>
              </w:rPr>
            </w:pPr>
          </w:p>
          <w:p w14:paraId="774CF204" w14:textId="77777777" w:rsidR="00923319" w:rsidRPr="00A67277" w:rsidRDefault="00923319" w:rsidP="00923319">
            <w:pPr>
              <w:pStyle w:val="Body1"/>
              <w:spacing w:before="120" w:after="120"/>
              <w:rPr>
                <w:rFonts w:cs="Arial"/>
              </w:rPr>
            </w:pPr>
          </w:p>
          <w:p w14:paraId="5DED824E" w14:textId="77777777" w:rsidR="00923319" w:rsidRPr="00A67277" w:rsidRDefault="00923319" w:rsidP="00923319">
            <w:pPr>
              <w:pStyle w:val="Body1"/>
              <w:spacing w:before="120" w:after="120"/>
              <w:rPr>
                <w:rFonts w:cs="Arial"/>
              </w:rPr>
            </w:pPr>
          </w:p>
          <w:p w14:paraId="7BACD81A" w14:textId="77777777" w:rsidR="00923319" w:rsidRPr="00A67277" w:rsidRDefault="00923319" w:rsidP="00923319">
            <w:pPr>
              <w:pStyle w:val="Body1"/>
              <w:spacing w:before="120" w:after="120"/>
              <w:rPr>
                <w:rFonts w:cs="Arial"/>
              </w:rPr>
            </w:pPr>
          </w:p>
          <w:p w14:paraId="30EB619F" w14:textId="77777777" w:rsidR="00923319" w:rsidRPr="00A67277" w:rsidRDefault="00923319" w:rsidP="00923319">
            <w:pPr>
              <w:pStyle w:val="Body1"/>
              <w:spacing w:before="120" w:after="120"/>
              <w:rPr>
                <w:rFonts w:cs="Arial"/>
              </w:rPr>
            </w:pPr>
            <w:r w:rsidRPr="00A67277">
              <w:rPr>
                <w:rFonts w:cs="Arial"/>
              </w:rPr>
              <w:t>By/Oleh</w:t>
            </w:r>
            <w:r w:rsidRPr="00A67277">
              <w:rPr>
                <w:rFonts w:cs="Arial"/>
              </w:rPr>
              <w:tab/>
              <w:t xml:space="preserve">: </w:t>
            </w:r>
          </w:p>
          <w:p w14:paraId="510CD41F" w14:textId="77777777" w:rsidR="00923319" w:rsidRPr="00A67277" w:rsidRDefault="00923319" w:rsidP="00923319">
            <w:pPr>
              <w:pStyle w:val="Body1"/>
              <w:spacing w:before="120" w:after="120"/>
              <w:rPr>
                <w:rFonts w:cs="Arial"/>
              </w:rPr>
            </w:pPr>
            <w:r w:rsidRPr="00A67277">
              <w:rPr>
                <w:rFonts w:cs="Arial"/>
              </w:rPr>
              <w:t>Name/Nama</w:t>
            </w:r>
            <w:r w:rsidRPr="00A67277">
              <w:rPr>
                <w:rFonts w:cs="Arial"/>
              </w:rPr>
              <w:tab/>
              <w:t>:</w:t>
            </w:r>
          </w:p>
          <w:p w14:paraId="74328E69" w14:textId="77777777" w:rsidR="00923319" w:rsidRPr="00A67277" w:rsidRDefault="00923319" w:rsidP="00923319">
            <w:pPr>
              <w:pStyle w:val="Body1"/>
              <w:spacing w:before="120" w:after="120"/>
              <w:rPr>
                <w:rFonts w:cs="Arial"/>
              </w:rPr>
            </w:pPr>
            <w:r w:rsidRPr="00A67277">
              <w:rPr>
                <w:rFonts w:cs="Arial"/>
              </w:rPr>
              <w:t>Title/Jabatan:</w:t>
            </w:r>
          </w:p>
          <w:p w14:paraId="528E5A97" w14:textId="77777777" w:rsidR="00923319" w:rsidRPr="00A67277" w:rsidRDefault="00923319" w:rsidP="00923319">
            <w:pPr>
              <w:pStyle w:val="Body1"/>
              <w:spacing w:before="120" w:after="120"/>
              <w:rPr>
                <w:rFonts w:cs="Arial"/>
              </w:rPr>
            </w:pPr>
          </w:p>
        </w:tc>
      </w:tr>
    </w:tbl>
    <w:p w14:paraId="4A0A4999" w14:textId="77777777" w:rsidR="00923319" w:rsidRPr="00A67277" w:rsidRDefault="00923319" w:rsidP="00923319"/>
    <w:tbl>
      <w:tblPr>
        <w:tblStyle w:val="TableGrid"/>
        <w:tblW w:w="9697" w:type="dxa"/>
        <w:tblInd w:w="-72" w:type="dxa"/>
        <w:tblLayout w:type="fixed"/>
        <w:tblLook w:val="04A0" w:firstRow="1" w:lastRow="0" w:firstColumn="1" w:lastColumn="0" w:noHBand="0" w:noVBand="1"/>
      </w:tblPr>
      <w:tblGrid>
        <w:gridCol w:w="4886"/>
        <w:gridCol w:w="243"/>
        <w:gridCol w:w="4568"/>
      </w:tblGrid>
      <w:tr w:rsidR="00923319" w:rsidRPr="00A67277" w14:paraId="3E2F36E9" w14:textId="77777777" w:rsidTr="00923319">
        <w:tc>
          <w:tcPr>
            <w:tcW w:w="4886" w:type="dxa"/>
            <w:tcBorders>
              <w:top w:val="nil"/>
              <w:left w:val="nil"/>
              <w:bottom w:val="nil"/>
              <w:right w:val="nil"/>
            </w:tcBorders>
          </w:tcPr>
          <w:p w14:paraId="07B63F8A" w14:textId="6E97C246" w:rsidR="00923319" w:rsidRPr="00A67277" w:rsidRDefault="00923319" w:rsidP="00E030C4">
            <w:pPr>
              <w:pStyle w:val="SchTitle"/>
              <w:ind w:left="48"/>
              <w:jc w:val="left"/>
              <w:rPr>
                <w:rFonts w:cs="Arial"/>
                <w:sz w:val="21"/>
              </w:rPr>
            </w:pPr>
            <w:r w:rsidRPr="00A67277">
              <w:rPr>
                <w:rFonts w:cs="Arial"/>
                <w:sz w:val="21"/>
              </w:rPr>
              <w:t xml:space="preserve">APPENDIX </w:t>
            </w:r>
            <w:r w:rsidR="00E030C4" w:rsidRPr="00A67277">
              <w:rPr>
                <w:rFonts w:cs="Arial"/>
                <w:sz w:val="21"/>
              </w:rPr>
              <w:t xml:space="preserve">20  </w:t>
            </w:r>
            <w:r w:rsidRPr="00A67277">
              <w:rPr>
                <w:rFonts w:cs="Arial"/>
                <w:sz w:val="21"/>
              </w:rPr>
              <w:t>– form of legal opinion</w:t>
            </w:r>
          </w:p>
        </w:tc>
        <w:tc>
          <w:tcPr>
            <w:tcW w:w="243" w:type="dxa"/>
            <w:tcBorders>
              <w:top w:val="nil"/>
              <w:left w:val="nil"/>
              <w:bottom w:val="nil"/>
              <w:right w:val="nil"/>
            </w:tcBorders>
          </w:tcPr>
          <w:p w14:paraId="75B03326" w14:textId="77777777" w:rsidR="00923319" w:rsidRPr="00A67277" w:rsidRDefault="00923319" w:rsidP="00923319">
            <w:pPr>
              <w:spacing w:before="120" w:after="120"/>
              <w:rPr>
                <w:rFonts w:ascii="Arial" w:hAnsi="Arial" w:cs="Arial"/>
                <w:b/>
                <w:sz w:val="21"/>
                <w:szCs w:val="21"/>
              </w:rPr>
            </w:pPr>
          </w:p>
        </w:tc>
        <w:tc>
          <w:tcPr>
            <w:tcW w:w="4568" w:type="dxa"/>
            <w:tcBorders>
              <w:top w:val="nil"/>
              <w:left w:val="nil"/>
              <w:bottom w:val="nil"/>
              <w:right w:val="nil"/>
            </w:tcBorders>
          </w:tcPr>
          <w:p w14:paraId="03A7247B" w14:textId="4F04E68C" w:rsidR="00923319" w:rsidRPr="00A67277" w:rsidRDefault="00923319" w:rsidP="00E030C4">
            <w:pPr>
              <w:pStyle w:val="SchTitle"/>
              <w:jc w:val="both"/>
              <w:rPr>
                <w:rFonts w:cs="Arial"/>
                <w:sz w:val="21"/>
              </w:rPr>
            </w:pPr>
            <w:r w:rsidRPr="00A67277">
              <w:rPr>
                <w:rFonts w:cs="Arial"/>
                <w:sz w:val="21"/>
              </w:rPr>
              <w:t xml:space="preserve">Lampiran </w:t>
            </w:r>
            <w:r w:rsidR="00E030C4" w:rsidRPr="00A67277">
              <w:rPr>
                <w:rFonts w:cs="Arial"/>
                <w:sz w:val="21"/>
              </w:rPr>
              <w:t xml:space="preserve">20 </w:t>
            </w:r>
            <w:r w:rsidRPr="00A67277">
              <w:rPr>
                <w:rFonts w:cs="Arial"/>
                <w:sz w:val="21"/>
              </w:rPr>
              <w:t>– bentuk pendapat hukum</w:t>
            </w:r>
          </w:p>
        </w:tc>
      </w:tr>
    </w:tbl>
    <w:p w14:paraId="345A5346" w14:textId="77777777" w:rsidR="00923319" w:rsidRPr="00A67277" w:rsidRDefault="00923319" w:rsidP="00923319">
      <w:pPr>
        <w:rPr>
          <w:rFonts w:ascii="Arial" w:hAnsi="Arial" w:cs="Arial"/>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85"/>
        <w:gridCol w:w="4316"/>
      </w:tblGrid>
      <w:tr w:rsidR="00923319" w:rsidRPr="00A67277" w14:paraId="27B3D207" w14:textId="77777777" w:rsidTr="00923319">
        <w:tc>
          <w:tcPr>
            <w:tcW w:w="2512" w:type="pct"/>
          </w:tcPr>
          <w:p w14:paraId="08397AFA" w14:textId="77777777" w:rsidR="00923319" w:rsidRPr="00A67277" w:rsidRDefault="00923319" w:rsidP="00923319">
            <w:pPr>
              <w:snapToGrid w:val="0"/>
              <w:spacing w:after="120"/>
              <w:jc w:val="center"/>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iCs/>
                <w:sz w:val="21"/>
                <w:szCs w:val="21"/>
              </w:rPr>
              <w:t>Letter Head of Law Office</w:t>
            </w:r>
            <w:r w:rsidRPr="00A67277">
              <w:rPr>
                <w:rFonts w:ascii="Arial" w:eastAsia="Cambria" w:hAnsi="Arial" w:cs="Arial"/>
                <w:sz w:val="21"/>
                <w:szCs w:val="21"/>
              </w:rPr>
              <w:t>]</w:t>
            </w:r>
          </w:p>
        </w:tc>
        <w:tc>
          <w:tcPr>
            <w:tcW w:w="154" w:type="pct"/>
          </w:tcPr>
          <w:p w14:paraId="202F746E" w14:textId="77777777" w:rsidR="00923319" w:rsidRPr="005F41DF" w:rsidRDefault="00923319" w:rsidP="005F41DF">
            <w:pPr>
              <w:pStyle w:val="ListParagraph"/>
              <w:numPr>
                <w:ilvl w:val="0"/>
                <w:numId w:val="590"/>
              </w:numPr>
              <w:snapToGrid w:val="0"/>
              <w:spacing w:after="120" w:line="240" w:lineRule="auto"/>
              <w:jc w:val="center"/>
              <w:rPr>
                <w:rFonts w:eastAsia="Cambria" w:cs="Arial"/>
              </w:rPr>
            </w:pPr>
          </w:p>
        </w:tc>
        <w:tc>
          <w:tcPr>
            <w:tcW w:w="2335" w:type="pct"/>
          </w:tcPr>
          <w:p w14:paraId="57926EDC" w14:textId="77777777" w:rsidR="00923319" w:rsidRPr="00A67277" w:rsidRDefault="00923319" w:rsidP="00923319">
            <w:pPr>
              <w:snapToGrid w:val="0"/>
              <w:spacing w:after="120"/>
              <w:jc w:val="center"/>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iCs/>
                <w:sz w:val="21"/>
                <w:szCs w:val="21"/>
              </w:rPr>
              <w:t>kop Surat Kantor Hukum/Advokat</w:t>
            </w:r>
            <w:r w:rsidRPr="00A67277">
              <w:rPr>
                <w:rFonts w:ascii="Arial" w:eastAsia="Cambria" w:hAnsi="Arial" w:cs="Arial"/>
                <w:sz w:val="21"/>
                <w:szCs w:val="21"/>
              </w:rPr>
              <w:t>]</w:t>
            </w:r>
          </w:p>
        </w:tc>
      </w:tr>
      <w:tr w:rsidR="00923319" w:rsidRPr="00A67277" w14:paraId="0D6D1B74" w14:textId="77777777" w:rsidTr="00923319">
        <w:tc>
          <w:tcPr>
            <w:tcW w:w="2512" w:type="pct"/>
          </w:tcPr>
          <w:p w14:paraId="388D23CB" w14:textId="77777777" w:rsidR="00923319" w:rsidRPr="00A67277" w:rsidRDefault="00923319" w:rsidP="00923319">
            <w:pPr>
              <w:snapToGrid w:val="0"/>
              <w:spacing w:after="120"/>
              <w:jc w:val="center"/>
              <w:rPr>
                <w:rFonts w:ascii="Arial" w:eastAsia="Cambria" w:hAnsi="Arial" w:cs="Arial"/>
                <w:sz w:val="21"/>
                <w:szCs w:val="21"/>
              </w:rPr>
            </w:pPr>
          </w:p>
        </w:tc>
        <w:tc>
          <w:tcPr>
            <w:tcW w:w="154" w:type="pct"/>
          </w:tcPr>
          <w:p w14:paraId="19A30701" w14:textId="77777777" w:rsidR="00923319" w:rsidRPr="005F41DF" w:rsidRDefault="00923319" w:rsidP="005F41DF">
            <w:pPr>
              <w:pStyle w:val="ListParagraph"/>
              <w:numPr>
                <w:ilvl w:val="0"/>
                <w:numId w:val="590"/>
              </w:numPr>
              <w:snapToGrid w:val="0"/>
              <w:spacing w:after="120" w:line="240" w:lineRule="auto"/>
              <w:jc w:val="center"/>
              <w:rPr>
                <w:rFonts w:eastAsia="Cambria" w:cs="Arial"/>
              </w:rPr>
            </w:pPr>
          </w:p>
        </w:tc>
        <w:tc>
          <w:tcPr>
            <w:tcW w:w="2335" w:type="pct"/>
          </w:tcPr>
          <w:p w14:paraId="1E506631" w14:textId="77777777" w:rsidR="00923319" w:rsidRPr="00A67277" w:rsidRDefault="00923319" w:rsidP="00923319">
            <w:pPr>
              <w:snapToGrid w:val="0"/>
              <w:spacing w:after="120"/>
              <w:jc w:val="center"/>
              <w:rPr>
                <w:rFonts w:ascii="Arial" w:eastAsia="Cambria" w:hAnsi="Arial" w:cs="Arial"/>
                <w:sz w:val="21"/>
                <w:szCs w:val="21"/>
              </w:rPr>
            </w:pPr>
          </w:p>
        </w:tc>
      </w:tr>
      <w:tr w:rsidR="00923319" w:rsidRPr="00A67277" w14:paraId="3029E85D" w14:textId="77777777" w:rsidTr="00923319">
        <w:tc>
          <w:tcPr>
            <w:tcW w:w="2512" w:type="pct"/>
          </w:tcPr>
          <w:p w14:paraId="2DC2E6B7"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To:</w:t>
            </w:r>
          </w:p>
        </w:tc>
        <w:tc>
          <w:tcPr>
            <w:tcW w:w="154" w:type="pct"/>
          </w:tcPr>
          <w:p w14:paraId="2919CF73"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5E3847DE"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Kepada Yth.:</w:t>
            </w:r>
          </w:p>
        </w:tc>
      </w:tr>
      <w:tr w:rsidR="00923319" w:rsidRPr="00A67277" w14:paraId="12309A37" w14:textId="77777777" w:rsidTr="00923319">
        <w:tc>
          <w:tcPr>
            <w:tcW w:w="2512" w:type="pct"/>
          </w:tcPr>
          <w:p w14:paraId="52C41405"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w:t>
            </w:r>
          </w:p>
        </w:tc>
        <w:tc>
          <w:tcPr>
            <w:tcW w:w="154" w:type="pct"/>
          </w:tcPr>
          <w:p w14:paraId="4740F4A9"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21F6C001"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w:t>
            </w:r>
          </w:p>
        </w:tc>
      </w:tr>
      <w:tr w:rsidR="00923319" w:rsidRPr="00A67277" w14:paraId="77715CCF" w14:textId="77777777" w:rsidTr="00923319">
        <w:tc>
          <w:tcPr>
            <w:tcW w:w="2512" w:type="pct"/>
          </w:tcPr>
          <w:p w14:paraId="6D98FE21" w14:textId="77777777" w:rsidR="00923319" w:rsidRPr="00A67277" w:rsidRDefault="00923319" w:rsidP="00923319">
            <w:pPr>
              <w:snapToGrid w:val="0"/>
              <w:spacing w:after="120"/>
              <w:jc w:val="center"/>
              <w:rPr>
                <w:rFonts w:ascii="Arial" w:eastAsia="Cambria" w:hAnsi="Arial" w:cs="Arial"/>
                <w:sz w:val="21"/>
                <w:szCs w:val="21"/>
              </w:rPr>
            </w:pPr>
            <w:r w:rsidRPr="00A67277">
              <w:rPr>
                <w:rFonts w:ascii="Arial" w:eastAsia="Cambria" w:hAnsi="Arial" w:cs="Arial"/>
                <w:sz w:val="21"/>
                <w:szCs w:val="21"/>
              </w:rPr>
              <w:t xml:space="preserve">Subject: </w:t>
            </w:r>
            <w:r w:rsidRPr="00A67277">
              <w:rPr>
                <w:rFonts w:ascii="Arial" w:eastAsia="Cambria" w:hAnsi="Arial" w:cs="Arial"/>
                <w:b/>
                <w:sz w:val="21"/>
                <w:szCs w:val="21"/>
              </w:rPr>
              <w:t>Legal Opinion</w:t>
            </w:r>
          </w:p>
        </w:tc>
        <w:tc>
          <w:tcPr>
            <w:tcW w:w="154" w:type="pct"/>
          </w:tcPr>
          <w:p w14:paraId="215A2323" w14:textId="77777777" w:rsidR="00923319" w:rsidRPr="005F41DF" w:rsidRDefault="00923319" w:rsidP="005F41DF">
            <w:pPr>
              <w:pStyle w:val="ListParagraph"/>
              <w:numPr>
                <w:ilvl w:val="0"/>
                <w:numId w:val="590"/>
              </w:numPr>
              <w:snapToGrid w:val="0"/>
              <w:spacing w:after="120" w:line="240" w:lineRule="auto"/>
              <w:jc w:val="center"/>
              <w:rPr>
                <w:rFonts w:eastAsia="Cambria" w:cs="Arial"/>
              </w:rPr>
            </w:pPr>
          </w:p>
        </w:tc>
        <w:tc>
          <w:tcPr>
            <w:tcW w:w="2335" w:type="pct"/>
          </w:tcPr>
          <w:p w14:paraId="1A02C5F7" w14:textId="77777777" w:rsidR="00923319" w:rsidRPr="00A67277" w:rsidRDefault="00923319" w:rsidP="00923319">
            <w:pPr>
              <w:snapToGrid w:val="0"/>
              <w:spacing w:after="120"/>
              <w:jc w:val="center"/>
              <w:rPr>
                <w:rFonts w:ascii="Arial" w:eastAsia="Cambria" w:hAnsi="Arial" w:cs="Arial"/>
                <w:b/>
                <w:sz w:val="21"/>
                <w:szCs w:val="21"/>
              </w:rPr>
            </w:pPr>
            <w:r w:rsidRPr="00A67277">
              <w:rPr>
                <w:rFonts w:ascii="Arial" w:eastAsia="Cambria" w:hAnsi="Arial" w:cs="Arial"/>
                <w:sz w:val="21"/>
                <w:szCs w:val="21"/>
              </w:rPr>
              <w:t xml:space="preserve">Perihal: </w:t>
            </w:r>
            <w:r w:rsidRPr="00A67277">
              <w:rPr>
                <w:rFonts w:ascii="Arial" w:eastAsia="Cambria" w:hAnsi="Arial" w:cs="Arial"/>
                <w:b/>
                <w:sz w:val="21"/>
                <w:szCs w:val="21"/>
              </w:rPr>
              <w:t>Pendapat Hukum</w:t>
            </w:r>
          </w:p>
        </w:tc>
      </w:tr>
      <w:tr w:rsidR="00923319" w:rsidRPr="00A67277" w14:paraId="5E0B5955" w14:textId="77777777" w:rsidTr="00923319">
        <w:tc>
          <w:tcPr>
            <w:tcW w:w="2512" w:type="pct"/>
          </w:tcPr>
          <w:p w14:paraId="5302675C"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We, Law Office [***], hereby convey this legal opinion in relation to the [***] Number [***], dated [***], between [***] and PT[***] (the "</w:t>
            </w:r>
            <w:r w:rsidRPr="00A67277">
              <w:rPr>
                <w:rFonts w:ascii="Arial" w:eastAsia="Cambria" w:hAnsi="Arial" w:cs="Arial"/>
                <w:b/>
                <w:sz w:val="21"/>
                <w:szCs w:val="21"/>
              </w:rPr>
              <w:t>Agreement</w:t>
            </w:r>
            <w:r w:rsidRPr="00A67277">
              <w:rPr>
                <w:rFonts w:ascii="Arial" w:eastAsia="Cambria" w:hAnsi="Arial" w:cs="Arial"/>
                <w:sz w:val="21"/>
                <w:szCs w:val="21"/>
              </w:rPr>
              <w:t xml:space="preserve">"). </w:t>
            </w:r>
          </w:p>
        </w:tc>
        <w:tc>
          <w:tcPr>
            <w:tcW w:w="154" w:type="pct"/>
          </w:tcPr>
          <w:p w14:paraId="1E441F7F"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36791445"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Kami, Kantor Hukum [***], dengan ini menyampaikan pendapat hukum ini sehubungan dengan Perjanjian Kerjasama [***] Nomor [***], tanggal [***], antara [***] dan PT[***] ("</w:t>
            </w:r>
            <w:r w:rsidRPr="00A67277">
              <w:rPr>
                <w:rFonts w:ascii="Arial" w:eastAsia="Cambria" w:hAnsi="Arial" w:cs="Arial"/>
                <w:b/>
                <w:sz w:val="21"/>
                <w:szCs w:val="21"/>
              </w:rPr>
              <w:t>Perjanjian</w:t>
            </w:r>
            <w:r w:rsidRPr="00A67277">
              <w:rPr>
                <w:rFonts w:ascii="Arial" w:eastAsia="Cambria" w:hAnsi="Arial" w:cs="Arial"/>
                <w:sz w:val="21"/>
                <w:szCs w:val="21"/>
              </w:rPr>
              <w:t>").</w:t>
            </w:r>
          </w:p>
        </w:tc>
      </w:tr>
      <w:tr w:rsidR="00923319" w:rsidRPr="00A67277" w14:paraId="4D85602F" w14:textId="77777777" w:rsidTr="00923319">
        <w:tc>
          <w:tcPr>
            <w:tcW w:w="2512" w:type="pct"/>
          </w:tcPr>
          <w:p w14:paraId="746EE98B"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This opinion is conveyed in accordance with Article 3 (</w:t>
            </w:r>
            <w:r w:rsidRPr="00A67277">
              <w:rPr>
                <w:rFonts w:ascii="Arial" w:eastAsia="Cambria" w:hAnsi="Arial" w:cs="Arial"/>
                <w:i/>
                <w:iCs/>
                <w:sz w:val="21"/>
                <w:szCs w:val="21"/>
              </w:rPr>
              <w:t>Conditions Precedent</w:t>
            </w:r>
            <w:r w:rsidRPr="00A67277">
              <w:rPr>
                <w:rFonts w:ascii="Arial" w:eastAsia="Cambria" w:hAnsi="Arial" w:cs="Arial"/>
                <w:sz w:val="21"/>
                <w:szCs w:val="21"/>
              </w:rPr>
              <w:t xml:space="preserve">) of the Agreement. Unless defined otherwise in this opinion, the term indicated with capital letters in this legal opinion shall have the same meaning with term defined in the Agreement. </w:t>
            </w:r>
          </w:p>
        </w:tc>
        <w:tc>
          <w:tcPr>
            <w:tcW w:w="154" w:type="pct"/>
          </w:tcPr>
          <w:p w14:paraId="5E026744"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1D407997"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Pendapat ini disampaikan sesuai dengan Pasal 3 (</w:t>
            </w:r>
            <w:r w:rsidRPr="00A67277">
              <w:rPr>
                <w:rFonts w:ascii="Arial" w:eastAsia="Cambria" w:hAnsi="Arial" w:cs="Arial"/>
                <w:i/>
                <w:sz w:val="21"/>
                <w:szCs w:val="21"/>
              </w:rPr>
              <w:t>Persyaratan Pendahuluan</w:t>
            </w:r>
            <w:r w:rsidRPr="00A67277">
              <w:rPr>
                <w:rFonts w:ascii="Arial" w:eastAsia="Cambria" w:hAnsi="Arial" w:cs="Arial"/>
                <w:sz w:val="21"/>
                <w:szCs w:val="21"/>
              </w:rPr>
              <w:t>)</w:t>
            </w:r>
            <w:r w:rsidRPr="00A67277">
              <w:rPr>
                <w:rFonts w:ascii="Arial" w:eastAsia="Cambria" w:hAnsi="Arial" w:cs="Arial"/>
                <w:i/>
                <w:sz w:val="21"/>
                <w:szCs w:val="21"/>
              </w:rPr>
              <w:t xml:space="preserve"> </w:t>
            </w:r>
            <w:r w:rsidRPr="00A67277">
              <w:rPr>
                <w:rFonts w:ascii="Arial" w:eastAsia="Cambria" w:hAnsi="Arial" w:cs="Arial"/>
                <w:sz w:val="21"/>
                <w:szCs w:val="21"/>
              </w:rPr>
              <w:t>dari Perjanjian. Kecuali didefinisikan lain dalam pendapat hukum ini, istilah yang menggunakan huruf besar dalam pendapat hukum ini yang tidak didefinisikan memiliki arti yang sama sebagaimana didefinisikan dalam Perjanjian.</w:t>
            </w:r>
          </w:p>
        </w:tc>
      </w:tr>
      <w:tr w:rsidR="00923319" w:rsidRPr="00A67277" w14:paraId="3D66F7A3" w14:textId="77777777" w:rsidTr="00923319">
        <w:tc>
          <w:tcPr>
            <w:tcW w:w="2512" w:type="pct"/>
          </w:tcPr>
          <w:p w14:paraId="10C7CC1C"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In relation to this opinion, we have reviewed the copy of following documents:</w:t>
            </w:r>
          </w:p>
        </w:tc>
        <w:tc>
          <w:tcPr>
            <w:tcW w:w="154" w:type="pct"/>
          </w:tcPr>
          <w:p w14:paraId="5BEE0A43"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560CA01A"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Sehubungan dengan pendapat ini, kami telah meneliti salinan dokumen-dokumen berikut:</w:t>
            </w:r>
          </w:p>
        </w:tc>
      </w:tr>
      <w:tr w:rsidR="00923319" w:rsidRPr="00A67277" w14:paraId="74F86338" w14:textId="77777777" w:rsidTr="00923319">
        <w:tc>
          <w:tcPr>
            <w:tcW w:w="2512" w:type="pct"/>
          </w:tcPr>
          <w:p w14:paraId="3236FB29" w14:textId="77777777" w:rsidR="00923319" w:rsidRPr="00A67277" w:rsidRDefault="00923319" w:rsidP="00923319">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Company incorporation documents of PT [IBE], as follows:</w:t>
            </w:r>
          </w:p>
        </w:tc>
        <w:tc>
          <w:tcPr>
            <w:tcW w:w="154" w:type="pct"/>
          </w:tcPr>
          <w:p w14:paraId="024E30A9"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0CAD71EE" w14:textId="77777777" w:rsidR="00923319" w:rsidRPr="00A67277" w:rsidRDefault="00923319" w:rsidP="005F41DF">
            <w:pPr>
              <w:numPr>
                <w:ilvl w:val="0"/>
                <w:numId w:val="736"/>
              </w:numPr>
              <w:snapToGrid w:val="0"/>
              <w:spacing w:after="120"/>
              <w:ind w:left="360"/>
              <w:jc w:val="both"/>
              <w:rPr>
                <w:rFonts w:ascii="Arial" w:eastAsia="Cambria" w:hAnsi="Arial" w:cs="Arial"/>
                <w:sz w:val="21"/>
                <w:szCs w:val="21"/>
              </w:rPr>
            </w:pPr>
            <w:r w:rsidRPr="00A67277">
              <w:rPr>
                <w:rFonts w:ascii="Arial" w:eastAsia="Cambria" w:hAnsi="Arial" w:cs="Arial"/>
                <w:sz w:val="21"/>
                <w:szCs w:val="21"/>
              </w:rPr>
              <w:t>Dokumen pendirian perusahaan PT [BUP] meliputi:</w:t>
            </w:r>
          </w:p>
        </w:tc>
      </w:tr>
      <w:tr w:rsidR="00923319" w:rsidRPr="00A67277" w14:paraId="14C375CC" w14:textId="77777777" w:rsidTr="00923319">
        <w:tc>
          <w:tcPr>
            <w:tcW w:w="2512" w:type="pct"/>
          </w:tcPr>
          <w:p w14:paraId="78034F2C" w14:textId="77777777" w:rsidR="00923319" w:rsidRPr="00A67277" w:rsidRDefault="00923319" w:rsidP="00923319">
            <w:pPr>
              <w:numPr>
                <w:ilvl w:val="0"/>
                <w:numId w:val="685"/>
              </w:numPr>
              <w:snapToGrid w:val="0"/>
              <w:spacing w:after="120"/>
              <w:ind w:left="1134" w:hanging="567"/>
              <w:jc w:val="both"/>
              <w:rPr>
                <w:rFonts w:ascii="Arial" w:eastAsia="Cambria" w:hAnsi="Arial" w:cs="Arial"/>
                <w:sz w:val="21"/>
                <w:szCs w:val="21"/>
              </w:rPr>
            </w:pPr>
            <w:r w:rsidRPr="00A67277">
              <w:rPr>
                <w:rFonts w:ascii="Arial" w:eastAsia="Cambria" w:hAnsi="Arial" w:cs="Arial"/>
                <w:sz w:val="21"/>
                <w:szCs w:val="21"/>
              </w:rPr>
              <w:t>Deed of establishment and its approval;</w:t>
            </w:r>
          </w:p>
        </w:tc>
        <w:tc>
          <w:tcPr>
            <w:tcW w:w="154" w:type="pct"/>
          </w:tcPr>
          <w:p w14:paraId="32013502"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735B6876" w14:textId="77777777" w:rsidR="00923319" w:rsidRPr="00A67277" w:rsidRDefault="00923319" w:rsidP="00923319">
            <w:pPr>
              <w:numPr>
                <w:ilvl w:val="0"/>
                <w:numId w:val="685"/>
              </w:numPr>
              <w:snapToGrid w:val="0"/>
              <w:spacing w:after="120"/>
              <w:ind w:left="1134" w:hanging="567"/>
              <w:jc w:val="both"/>
              <w:rPr>
                <w:rFonts w:ascii="Arial" w:eastAsia="Cambria" w:hAnsi="Arial" w:cs="Arial"/>
                <w:sz w:val="21"/>
                <w:szCs w:val="21"/>
              </w:rPr>
            </w:pPr>
            <w:r w:rsidRPr="00A67277">
              <w:rPr>
                <w:rFonts w:ascii="Arial" w:eastAsia="Cambria" w:hAnsi="Arial" w:cs="Arial"/>
                <w:sz w:val="21"/>
                <w:szCs w:val="21"/>
              </w:rPr>
              <w:t>Akta Pendirian dan pengesahan atas Akta Pendirian;</w:t>
            </w:r>
          </w:p>
        </w:tc>
      </w:tr>
      <w:tr w:rsidR="00923319" w:rsidRPr="00A67277" w14:paraId="69FB1586" w14:textId="77777777" w:rsidTr="00923319">
        <w:tc>
          <w:tcPr>
            <w:tcW w:w="2512" w:type="pct"/>
          </w:tcPr>
          <w:p w14:paraId="298AE190" w14:textId="77777777" w:rsidR="00923319" w:rsidRPr="00A67277" w:rsidRDefault="00923319" w:rsidP="00923319">
            <w:pPr>
              <w:numPr>
                <w:ilvl w:val="0"/>
                <w:numId w:val="685"/>
              </w:numPr>
              <w:snapToGrid w:val="0"/>
              <w:spacing w:after="120"/>
              <w:ind w:left="1134" w:hanging="567"/>
              <w:jc w:val="both"/>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iCs/>
                <w:sz w:val="21"/>
                <w:szCs w:val="21"/>
              </w:rPr>
              <w:t>please add other reviewed documents</w:t>
            </w:r>
            <w:r w:rsidRPr="00A67277">
              <w:rPr>
                <w:rFonts w:ascii="Arial" w:eastAsia="Cambria" w:hAnsi="Arial" w:cs="Arial"/>
                <w:sz w:val="21"/>
                <w:szCs w:val="21"/>
              </w:rPr>
              <w:t>];</w:t>
            </w:r>
          </w:p>
        </w:tc>
        <w:tc>
          <w:tcPr>
            <w:tcW w:w="154" w:type="pct"/>
          </w:tcPr>
          <w:p w14:paraId="4FFC0B9B"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13561F4A" w14:textId="77777777" w:rsidR="00923319" w:rsidRPr="00A67277" w:rsidRDefault="00923319" w:rsidP="00923319">
            <w:pPr>
              <w:numPr>
                <w:ilvl w:val="0"/>
                <w:numId w:val="685"/>
              </w:numPr>
              <w:snapToGrid w:val="0"/>
              <w:spacing w:after="120"/>
              <w:ind w:left="1134" w:hanging="567"/>
              <w:jc w:val="both"/>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iCs/>
                <w:sz w:val="21"/>
                <w:szCs w:val="21"/>
              </w:rPr>
              <w:t>harap ditambahkan dokumen-dokumen lainnya yang diperiksa</w:t>
            </w:r>
            <w:r w:rsidRPr="00A67277">
              <w:rPr>
                <w:rFonts w:ascii="Arial" w:eastAsia="Cambria" w:hAnsi="Arial" w:cs="Arial"/>
                <w:sz w:val="21"/>
                <w:szCs w:val="21"/>
              </w:rPr>
              <w:t>];</w:t>
            </w:r>
          </w:p>
        </w:tc>
      </w:tr>
      <w:tr w:rsidR="00923319" w:rsidRPr="00A67277" w14:paraId="74A5EE06" w14:textId="77777777" w:rsidTr="00923319">
        <w:tc>
          <w:tcPr>
            <w:tcW w:w="2512" w:type="pct"/>
          </w:tcPr>
          <w:p w14:paraId="6075A5FF"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Shareholder Register of PT [ * ];</w:t>
            </w:r>
          </w:p>
        </w:tc>
        <w:tc>
          <w:tcPr>
            <w:tcW w:w="154" w:type="pct"/>
          </w:tcPr>
          <w:p w14:paraId="1C6E0C31"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4D68480"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Daftar Pemegang Saham PT [***];</w:t>
            </w:r>
          </w:p>
        </w:tc>
      </w:tr>
      <w:tr w:rsidR="00923319" w:rsidRPr="00A67277" w14:paraId="7F040D22" w14:textId="77777777" w:rsidTr="00923319">
        <w:tc>
          <w:tcPr>
            <w:tcW w:w="2512" w:type="pct"/>
          </w:tcPr>
          <w:p w14:paraId="1CA95FFB"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Share Certificate No. [***] dated [***] representing the [***] shares owned by [***] in PT [***];</w:t>
            </w:r>
          </w:p>
        </w:tc>
        <w:tc>
          <w:tcPr>
            <w:tcW w:w="154" w:type="pct"/>
          </w:tcPr>
          <w:p w14:paraId="28D3E724"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64572A71"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Sertifikat Saham No. [***] tertanggal [***] yang menunjukkan [***] saham yang dimiliki oleh [***] dalam PT [***];</w:t>
            </w:r>
          </w:p>
        </w:tc>
      </w:tr>
      <w:tr w:rsidR="00923319" w:rsidRPr="00A67277" w14:paraId="685C2BE8" w14:textId="77777777" w:rsidTr="00923319">
        <w:tc>
          <w:tcPr>
            <w:tcW w:w="2512" w:type="pct"/>
          </w:tcPr>
          <w:p w14:paraId="5978DA9E"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Share Certificate No. [***] dated [***] representing the [***] shares owned by [***] in PT [***];</w:t>
            </w:r>
          </w:p>
        </w:tc>
        <w:tc>
          <w:tcPr>
            <w:tcW w:w="154" w:type="pct"/>
          </w:tcPr>
          <w:p w14:paraId="0C67D69D"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06A0F824"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Sertifikat Saham No. [***] tertanggal [***] yang menunjukkan [***] saham yang dimiliki oleh [***] dalam PT [***];</w:t>
            </w:r>
          </w:p>
        </w:tc>
      </w:tr>
      <w:tr w:rsidR="00923319" w:rsidRPr="00A67277" w14:paraId="78ECEBBF" w14:textId="77777777" w:rsidTr="00923319">
        <w:tc>
          <w:tcPr>
            <w:tcW w:w="2512" w:type="pct"/>
          </w:tcPr>
          <w:p w14:paraId="330D5147"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evidence of bank transfer dated [***] in the amount of [***] from [***] to PT [***] evidencing injection of capital into PT [***];</w:t>
            </w:r>
          </w:p>
        </w:tc>
        <w:tc>
          <w:tcPr>
            <w:tcW w:w="154" w:type="pct"/>
          </w:tcPr>
          <w:p w14:paraId="20F3DD26"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677B1CD"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bukti transfer bank tertanggal [***] sejumlah [***] dari [***] ke PT [***] yang menunjukkan masuknya modal ke dalam PT [***];</w:t>
            </w:r>
          </w:p>
        </w:tc>
      </w:tr>
      <w:tr w:rsidR="00923319" w:rsidRPr="00A67277" w14:paraId="05DB7644" w14:textId="77777777" w:rsidTr="00923319">
        <w:tc>
          <w:tcPr>
            <w:tcW w:w="2512" w:type="pct"/>
          </w:tcPr>
          <w:p w14:paraId="341CFC44"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evidence of bank transfer dated [***] in the amount of [***] from [***] to PT [***] evidencing injection of capital into PT [***];</w:t>
            </w:r>
          </w:p>
        </w:tc>
        <w:tc>
          <w:tcPr>
            <w:tcW w:w="154" w:type="pct"/>
          </w:tcPr>
          <w:p w14:paraId="57069C89"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33B019D3"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bukti transfer bank tertanggal [***] sejumlah [***] dari [***] ke PT [***] yang menunjukkan masuknya modal ke dalam PT [***];</w:t>
            </w:r>
          </w:p>
        </w:tc>
      </w:tr>
      <w:tr w:rsidR="00923319" w:rsidRPr="00A67277" w14:paraId="767BB82C" w14:textId="77777777" w:rsidTr="00923319">
        <w:tc>
          <w:tcPr>
            <w:tcW w:w="2512" w:type="pct"/>
          </w:tcPr>
          <w:p w14:paraId="4F54D489" w14:textId="0A0D711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 xml:space="preserve">Approvals set out in Appendix </w:t>
            </w:r>
            <w:r w:rsidR="00E030C4" w:rsidRPr="00A67277">
              <w:rPr>
                <w:rFonts w:ascii="Arial" w:eastAsia="Cambria" w:hAnsi="Arial" w:cs="Arial"/>
                <w:sz w:val="21"/>
                <w:szCs w:val="21"/>
              </w:rPr>
              <w:t xml:space="preserve">11 </w:t>
            </w:r>
            <w:r w:rsidRPr="00A67277">
              <w:rPr>
                <w:rFonts w:ascii="Arial" w:eastAsia="Cambria" w:hAnsi="Arial" w:cs="Arial"/>
                <w:sz w:val="21"/>
                <w:szCs w:val="21"/>
              </w:rPr>
              <w:t>(Key Authorisations) of the Agreement;</w:t>
            </w:r>
          </w:p>
        </w:tc>
        <w:tc>
          <w:tcPr>
            <w:tcW w:w="154" w:type="pct"/>
          </w:tcPr>
          <w:p w14:paraId="046A70B4"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02725035" w14:textId="40B825DE"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 xml:space="preserve">Persetujuan sebagaimana dimuat dalam Lampiran </w:t>
            </w:r>
            <w:r w:rsidR="00E030C4" w:rsidRPr="00A67277">
              <w:rPr>
                <w:rFonts w:ascii="Arial" w:eastAsia="Cambria" w:hAnsi="Arial" w:cs="Arial"/>
                <w:sz w:val="21"/>
                <w:szCs w:val="21"/>
              </w:rPr>
              <w:t xml:space="preserve">11 </w:t>
            </w:r>
            <w:r w:rsidRPr="00A67277">
              <w:rPr>
                <w:rFonts w:ascii="Arial" w:eastAsia="Cambria" w:hAnsi="Arial" w:cs="Arial"/>
                <w:sz w:val="21"/>
                <w:szCs w:val="21"/>
              </w:rPr>
              <w:t>(</w:t>
            </w:r>
            <w:r w:rsidRPr="00A67277">
              <w:rPr>
                <w:rFonts w:ascii="Arial" w:eastAsia="Cambria" w:hAnsi="Arial" w:cs="Arial"/>
                <w:i/>
                <w:sz w:val="21"/>
                <w:szCs w:val="21"/>
              </w:rPr>
              <w:t>Persetujuan Utama</w:t>
            </w:r>
            <w:r w:rsidRPr="00A67277">
              <w:rPr>
                <w:rFonts w:ascii="Arial" w:eastAsia="Cambria" w:hAnsi="Arial" w:cs="Arial"/>
                <w:sz w:val="21"/>
                <w:szCs w:val="21"/>
              </w:rPr>
              <w:t>) Perjanjian;</w:t>
            </w:r>
          </w:p>
        </w:tc>
      </w:tr>
      <w:tr w:rsidR="00923319" w:rsidRPr="00A67277" w14:paraId="7B8831A9" w14:textId="77777777" w:rsidTr="00923319">
        <w:tc>
          <w:tcPr>
            <w:tcW w:w="2512" w:type="pct"/>
          </w:tcPr>
          <w:p w14:paraId="035575AA" w14:textId="77777777" w:rsidR="00923319" w:rsidRPr="005F41DF"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Corporate certificate dated [**] and signed by the President Director of PT [***] with respect to any action, claim, lawsuit, legal proceeding, arbitration, report, notification, or investigation in any form, whether in civil, crime, state administrative related with PT [***] or its assets (“</w:t>
            </w:r>
            <w:r w:rsidRPr="005F41DF">
              <w:rPr>
                <w:rFonts w:ascii="Arial" w:eastAsia="Cambria" w:hAnsi="Arial" w:cs="Arial"/>
                <w:sz w:val="21"/>
                <w:szCs w:val="21"/>
              </w:rPr>
              <w:t>Corporate Certificate</w:t>
            </w:r>
            <w:r w:rsidRPr="00A67277">
              <w:rPr>
                <w:rFonts w:ascii="Arial" w:eastAsia="Cambria" w:hAnsi="Arial" w:cs="Arial"/>
                <w:sz w:val="21"/>
                <w:szCs w:val="21"/>
              </w:rPr>
              <w:t xml:space="preserve">”); </w:t>
            </w:r>
          </w:p>
        </w:tc>
        <w:tc>
          <w:tcPr>
            <w:tcW w:w="154" w:type="pct"/>
          </w:tcPr>
          <w:p w14:paraId="008FA0C0" w14:textId="77777777" w:rsidR="00923319" w:rsidRPr="00A67277" w:rsidRDefault="00923319" w:rsidP="005F41DF">
            <w:pPr>
              <w:numPr>
                <w:ilvl w:val="0"/>
                <w:numId w:val="590"/>
              </w:numPr>
              <w:snapToGrid w:val="0"/>
              <w:spacing w:after="120"/>
              <w:jc w:val="both"/>
              <w:rPr>
                <w:rFonts w:ascii="Arial" w:eastAsia="Cambria" w:hAnsi="Arial" w:cs="Arial"/>
                <w:sz w:val="21"/>
                <w:szCs w:val="21"/>
                <w:lang w:val="en-ID"/>
              </w:rPr>
            </w:pPr>
          </w:p>
        </w:tc>
        <w:tc>
          <w:tcPr>
            <w:tcW w:w="2335" w:type="pct"/>
          </w:tcPr>
          <w:p w14:paraId="21169CC0"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lang w:val="en-ID"/>
              </w:rPr>
              <w:t>Sertifikat perusahaan tertanggal [***] dan ditandatangani oleh Direktur Utama dari PT [***] sehubungan dengan segala tindakan, klaim, tuntutan, proses hukum, arbitrase, laporan, pemberitahuan atau pemeriksaan dalam bentuk apapun, baik perdata, pidana, administratif pemerintahan berkaitan dengan PT [***] atau aset miliknya (“</w:t>
            </w:r>
            <w:r w:rsidRPr="00A67277">
              <w:rPr>
                <w:rFonts w:ascii="Arial" w:eastAsia="Cambria" w:hAnsi="Arial" w:cs="Arial"/>
                <w:b/>
                <w:sz w:val="21"/>
                <w:szCs w:val="21"/>
                <w:lang w:val="en-ID"/>
              </w:rPr>
              <w:t>Sertifikat Perusahaan</w:t>
            </w:r>
            <w:r w:rsidRPr="00A67277">
              <w:rPr>
                <w:rFonts w:ascii="Arial" w:eastAsia="Cambria" w:hAnsi="Arial" w:cs="Arial"/>
                <w:sz w:val="21"/>
                <w:szCs w:val="21"/>
                <w:lang w:val="en-ID"/>
              </w:rPr>
              <w:t>”);</w:t>
            </w:r>
          </w:p>
        </w:tc>
      </w:tr>
      <w:tr w:rsidR="00923319" w:rsidRPr="00A67277" w14:paraId="3365FC60" w14:textId="77777777" w:rsidTr="00923319">
        <w:tc>
          <w:tcPr>
            <w:tcW w:w="2512" w:type="pct"/>
          </w:tcPr>
          <w:p w14:paraId="32E629C7"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Agreement;</w:t>
            </w:r>
          </w:p>
        </w:tc>
        <w:tc>
          <w:tcPr>
            <w:tcW w:w="154" w:type="pct"/>
          </w:tcPr>
          <w:p w14:paraId="42DD7F73"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66F358B"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Perjanjian;</w:t>
            </w:r>
          </w:p>
        </w:tc>
      </w:tr>
      <w:tr w:rsidR="00923319" w:rsidRPr="00A67277" w14:paraId="40EAB01D" w14:textId="77777777" w:rsidTr="00923319">
        <w:tc>
          <w:tcPr>
            <w:tcW w:w="2512" w:type="pct"/>
          </w:tcPr>
          <w:p w14:paraId="6A8FB169"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Initial Project Agreements, as follows:</w:t>
            </w:r>
          </w:p>
        </w:tc>
        <w:tc>
          <w:tcPr>
            <w:tcW w:w="154" w:type="pct"/>
          </w:tcPr>
          <w:p w14:paraId="2595EE60"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03E69B91"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Perjanjian Proyek Awal, sebagai berikut:</w:t>
            </w:r>
          </w:p>
        </w:tc>
      </w:tr>
      <w:tr w:rsidR="00923319" w:rsidRPr="00A67277" w14:paraId="71210A54" w14:textId="77777777" w:rsidTr="00923319">
        <w:tc>
          <w:tcPr>
            <w:tcW w:w="2512" w:type="pct"/>
          </w:tcPr>
          <w:p w14:paraId="06732959"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 xml:space="preserve">Sponsor Agreement dated [***] between [***] and [***]; </w:t>
            </w:r>
          </w:p>
        </w:tc>
        <w:tc>
          <w:tcPr>
            <w:tcW w:w="154" w:type="pct"/>
          </w:tcPr>
          <w:p w14:paraId="0B05E286"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7BCFE214"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Perjanjian Sponsor tertanggal [***] antara [***] dan [***];</w:t>
            </w:r>
          </w:p>
        </w:tc>
      </w:tr>
      <w:tr w:rsidR="00923319" w:rsidRPr="00A67277" w14:paraId="2F422B39" w14:textId="77777777" w:rsidTr="00923319">
        <w:tc>
          <w:tcPr>
            <w:tcW w:w="2512" w:type="pct"/>
          </w:tcPr>
          <w:p w14:paraId="1B963C78"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Independent Supervision Consultant Contract dated [***] among [***], [***] and [***];</w:t>
            </w:r>
          </w:p>
        </w:tc>
        <w:tc>
          <w:tcPr>
            <w:tcW w:w="154" w:type="pct"/>
          </w:tcPr>
          <w:p w14:paraId="6D9A761F"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59B27BBF"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Kontrak Konsultan Pengawas Independen tertanggal [***] antara [***], [***] dan [***];</w:t>
            </w:r>
          </w:p>
        </w:tc>
      </w:tr>
      <w:tr w:rsidR="00923319" w:rsidRPr="00A67277" w14:paraId="70E822CE" w14:textId="77777777" w:rsidTr="00923319">
        <w:tc>
          <w:tcPr>
            <w:tcW w:w="2512" w:type="pct"/>
          </w:tcPr>
          <w:p w14:paraId="18810592"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Shareholders Agreement dated [***] between [***] and [***]; and</w:t>
            </w:r>
          </w:p>
        </w:tc>
        <w:tc>
          <w:tcPr>
            <w:tcW w:w="154" w:type="pct"/>
          </w:tcPr>
          <w:p w14:paraId="28BF800B"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559FDCD8"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Perjanjian Pemegang Saham tertanggal [***] antara [***] dan [***]; dan</w:t>
            </w:r>
          </w:p>
        </w:tc>
      </w:tr>
      <w:tr w:rsidR="00923319" w:rsidRPr="00A67277" w14:paraId="25D1BC99" w14:textId="77777777" w:rsidTr="00923319">
        <w:tc>
          <w:tcPr>
            <w:tcW w:w="2512" w:type="pct"/>
          </w:tcPr>
          <w:p w14:paraId="148C3EF6"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Financing Document dated [***] between [***] and [***]; and</w:t>
            </w:r>
          </w:p>
        </w:tc>
        <w:tc>
          <w:tcPr>
            <w:tcW w:w="154" w:type="pct"/>
          </w:tcPr>
          <w:p w14:paraId="63581C3C"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464024D4" w14:textId="77777777" w:rsidR="00923319" w:rsidRPr="00A67277" w:rsidRDefault="00923319" w:rsidP="00923319">
            <w:pPr>
              <w:pStyle w:val="ListParagraph"/>
              <w:numPr>
                <w:ilvl w:val="0"/>
                <w:numId w:val="688"/>
              </w:numPr>
              <w:snapToGrid w:val="0"/>
              <w:spacing w:after="120" w:line="240" w:lineRule="auto"/>
              <w:ind w:left="1156" w:hanging="425"/>
              <w:rPr>
                <w:rFonts w:eastAsia="Cambria" w:cs="Arial"/>
              </w:rPr>
            </w:pPr>
            <w:r w:rsidRPr="00A67277">
              <w:rPr>
                <w:rFonts w:eastAsia="Cambria" w:cs="Arial"/>
              </w:rPr>
              <w:t>Dokumen Pembiayaan tertanggal [***] antara [***] dan [***]; dan</w:t>
            </w:r>
          </w:p>
        </w:tc>
      </w:tr>
      <w:tr w:rsidR="00923319" w:rsidRPr="00A67277" w14:paraId="0E0DAE56" w14:textId="77777777" w:rsidTr="00923319">
        <w:tc>
          <w:tcPr>
            <w:tcW w:w="2512" w:type="pct"/>
          </w:tcPr>
          <w:p w14:paraId="7A3CFC6A" w14:textId="77777777" w:rsidR="00923319" w:rsidRPr="00A67277" w:rsidRDefault="00923319" w:rsidP="005F41DF">
            <w:pPr>
              <w:numPr>
                <w:ilvl w:val="0"/>
                <w:numId w:val="684"/>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sz w:val="21"/>
                <w:szCs w:val="21"/>
              </w:rPr>
              <w:t xml:space="preserve">other documents as may be reasonably </w:t>
            </w:r>
            <w:r w:rsidRPr="005F41DF">
              <w:rPr>
                <w:rFonts w:ascii="Arial" w:eastAsia="Cambria" w:hAnsi="Arial" w:cs="Arial"/>
                <w:sz w:val="21"/>
                <w:szCs w:val="21"/>
              </w:rPr>
              <w:t>required</w:t>
            </w:r>
            <w:r w:rsidRPr="00A67277">
              <w:rPr>
                <w:rFonts w:ascii="Arial" w:eastAsia="Cambria" w:hAnsi="Arial" w:cs="Arial"/>
                <w:i/>
                <w:sz w:val="21"/>
                <w:szCs w:val="21"/>
              </w:rPr>
              <w:t xml:space="preserve"> by the GCA</w:t>
            </w:r>
            <w:r w:rsidRPr="00A67277">
              <w:rPr>
                <w:rFonts w:ascii="Arial" w:eastAsia="Cambria" w:hAnsi="Arial" w:cs="Arial"/>
                <w:sz w:val="21"/>
                <w:szCs w:val="21"/>
              </w:rPr>
              <w:t>.]</w:t>
            </w:r>
          </w:p>
        </w:tc>
        <w:tc>
          <w:tcPr>
            <w:tcW w:w="154" w:type="pct"/>
          </w:tcPr>
          <w:p w14:paraId="10AC6F9D"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2428C50" w14:textId="77777777" w:rsidR="00923319" w:rsidRPr="00A67277" w:rsidRDefault="00923319" w:rsidP="005F41DF">
            <w:pPr>
              <w:numPr>
                <w:ilvl w:val="0"/>
                <w:numId w:val="736"/>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w:t>
            </w:r>
            <w:r w:rsidRPr="00A67277">
              <w:rPr>
                <w:rFonts w:ascii="Arial" w:eastAsia="Cambria" w:hAnsi="Arial" w:cs="Arial"/>
                <w:i/>
                <w:sz w:val="21"/>
                <w:szCs w:val="21"/>
              </w:rPr>
              <w:t>dokumen lain sebagaimana diperlukan oleh PJPK</w:t>
            </w:r>
            <w:r w:rsidRPr="00A67277">
              <w:rPr>
                <w:rFonts w:ascii="Arial" w:eastAsia="Cambria" w:hAnsi="Arial" w:cs="Arial"/>
                <w:sz w:val="21"/>
                <w:szCs w:val="21"/>
              </w:rPr>
              <w:t>.]</w:t>
            </w:r>
          </w:p>
        </w:tc>
      </w:tr>
      <w:tr w:rsidR="00923319" w:rsidRPr="00A67277" w14:paraId="008AFCC8" w14:textId="77777777" w:rsidTr="00923319">
        <w:tc>
          <w:tcPr>
            <w:tcW w:w="2512" w:type="pct"/>
          </w:tcPr>
          <w:p w14:paraId="3DE5C17B"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(Documents listed above are hereinafter referred to as "</w:t>
            </w:r>
            <w:r w:rsidRPr="00A67277">
              <w:rPr>
                <w:rFonts w:ascii="Arial" w:eastAsia="Cambria" w:hAnsi="Arial" w:cs="Arial"/>
                <w:b/>
                <w:sz w:val="21"/>
                <w:szCs w:val="21"/>
              </w:rPr>
              <w:t>Documents</w:t>
            </w:r>
            <w:r w:rsidRPr="00A67277">
              <w:rPr>
                <w:rFonts w:ascii="Arial" w:eastAsia="Cambria" w:hAnsi="Arial" w:cs="Arial"/>
                <w:sz w:val="21"/>
                <w:szCs w:val="21"/>
              </w:rPr>
              <w:t>” and document listed in number 9 to 10 hereinafter also referred to as “</w:t>
            </w:r>
            <w:r w:rsidRPr="00A67277">
              <w:rPr>
                <w:rFonts w:ascii="Arial" w:eastAsia="Cambria" w:hAnsi="Arial" w:cs="Arial"/>
                <w:b/>
                <w:sz w:val="21"/>
                <w:szCs w:val="21"/>
              </w:rPr>
              <w:t>Project Agreements</w:t>
            </w:r>
            <w:r w:rsidRPr="00A67277">
              <w:rPr>
                <w:rFonts w:ascii="Arial" w:eastAsia="Cambria" w:hAnsi="Arial" w:cs="Arial"/>
                <w:sz w:val="21"/>
                <w:szCs w:val="21"/>
              </w:rPr>
              <w:t>”).</w:t>
            </w:r>
          </w:p>
        </w:tc>
        <w:tc>
          <w:tcPr>
            <w:tcW w:w="154" w:type="pct"/>
          </w:tcPr>
          <w:p w14:paraId="323C53EA"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4F6C15BE"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(Dokumen sebagaimana disebutkan diatas selanjutnya disebut “</w:t>
            </w:r>
            <w:r w:rsidRPr="00A67277">
              <w:rPr>
                <w:rFonts w:ascii="Arial" w:eastAsia="Cambria" w:hAnsi="Arial" w:cs="Arial"/>
                <w:b/>
                <w:sz w:val="21"/>
                <w:szCs w:val="21"/>
              </w:rPr>
              <w:t>Dokumen</w:t>
            </w:r>
            <w:r w:rsidRPr="00A67277">
              <w:rPr>
                <w:rFonts w:ascii="Arial" w:eastAsia="Cambria" w:hAnsi="Arial" w:cs="Arial"/>
                <w:sz w:val="21"/>
                <w:szCs w:val="21"/>
              </w:rPr>
              <w:t>” dan dokumen yang disebutkan pada angka 9 sampai dengan 10 selanjutnya juga disebut sebagai “</w:t>
            </w:r>
            <w:r w:rsidRPr="00A67277">
              <w:rPr>
                <w:rFonts w:ascii="Arial" w:eastAsia="Cambria" w:hAnsi="Arial" w:cs="Arial"/>
                <w:b/>
                <w:sz w:val="21"/>
                <w:szCs w:val="21"/>
              </w:rPr>
              <w:t>Perjanjian Proyek</w:t>
            </w:r>
            <w:r w:rsidRPr="00A67277">
              <w:rPr>
                <w:rFonts w:ascii="Arial" w:eastAsia="Cambria" w:hAnsi="Arial" w:cs="Arial"/>
                <w:sz w:val="21"/>
                <w:szCs w:val="21"/>
              </w:rPr>
              <w:t>”).</w:t>
            </w:r>
          </w:p>
        </w:tc>
      </w:tr>
      <w:tr w:rsidR="00923319" w:rsidRPr="00A67277" w14:paraId="32821A1E" w14:textId="77777777" w:rsidTr="00923319">
        <w:tc>
          <w:tcPr>
            <w:tcW w:w="2512" w:type="pct"/>
          </w:tcPr>
          <w:p w14:paraId="6F104791"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 xml:space="preserve">We have examined the original or official copy of the Documents and all other agreements as deemed necessary for the purpose of this legal opinion. </w:t>
            </w:r>
          </w:p>
        </w:tc>
        <w:tc>
          <w:tcPr>
            <w:tcW w:w="154" w:type="pct"/>
          </w:tcPr>
          <w:p w14:paraId="5E966762"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4B08FA96"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Kami telah memeriksa asli atau salinan resmi dari Dokumen dan seluruh perjanjian lainnya yang kami anggap perlu untuk pendapat hukum ini.</w:t>
            </w:r>
          </w:p>
        </w:tc>
      </w:tr>
      <w:tr w:rsidR="00923319" w:rsidRPr="00A67277" w14:paraId="6EB8ABF2" w14:textId="77777777" w:rsidTr="00923319">
        <w:tc>
          <w:tcPr>
            <w:tcW w:w="2512" w:type="pct"/>
          </w:tcPr>
          <w:p w14:paraId="4430D1A2"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We also have reviewed Applicable Laws as deemed necessary for the purpose of this legal opinion.</w:t>
            </w:r>
          </w:p>
        </w:tc>
        <w:tc>
          <w:tcPr>
            <w:tcW w:w="154" w:type="pct"/>
          </w:tcPr>
          <w:p w14:paraId="1FE6FA70"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7B225235"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Kami juga telah memeriksa Hukum Yang Berlaku sebagaimana yang dianggap perlu untuk pendapat hukum ini.</w:t>
            </w:r>
          </w:p>
        </w:tc>
      </w:tr>
      <w:tr w:rsidR="00923319" w:rsidRPr="00A67277" w14:paraId="0BE9B0BB" w14:textId="77777777" w:rsidTr="00923319">
        <w:tc>
          <w:tcPr>
            <w:tcW w:w="2512" w:type="pct"/>
          </w:tcPr>
          <w:p w14:paraId="3DA943F2"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In giving opinion as mentioned below, we have assumed:</w:t>
            </w:r>
          </w:p>
        </w:tc>
        <w:tc>
          <w:tcPr>
            <w:tcW w:w="154" w:type="pct"/>
          </w:tcPr>
          <w:p w14:paraId="21A07D72"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24F952C9"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Dalam memberikan pendapat hukum sebagaimana dijabarkan di bawah ini, kami telah mengasumsikan:</w:t>
            </w:r>
          </w:p>
        </w:tc>
      </w:tr>
      <w:tr w:rsidR="00923319" w:rsidRPr="00A67277" w14:paraId="0D075104" w14:textId="77777777" w:rsidTr="00923319">
        <w:tc>
          <w:tcPr>
            <w:tcW w:w="2512" w:type="pct"/>
          </w:tcPr>
          <w:p w14:paraId="1F2DA2E5"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originality of signature in Documents; </w:t>
            </w:r>
          </w:p>
        </w:tc>
        <w:tc>
          <w:tcPr>
            <w:tcW w:w="154" w:type="pct"/>
          </w:tcPr>
          <w:p w14:paraId="34CEDE12"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7F2A18D3"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keaslian tanda tangan dalam Dokumen; </w:t>
            </w:r>
          </w:p>
        </w:tc>
      </w:tr>
      <w:tr w:rsidR="00923319" w:rsidRPr="00A67277" w14:paraId="066F05FE" w14:textId="77777777" w:rsidTr="00923319">
        <w:tc>
          <w:tcPr>
            <w:tcW w:w="2512" w:type="pct"/>
          </w:tcPr>
          <w:p w14:paraId="6CBBAB64"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the authenticity of original Documents submitted to us;  </w:t>
            </w:r>
          </w:p>
        </w:tc>
        <w:tc>
          <w:tcPr>
            <w:tcW w:w="154" w:type="pct"/>
          </w:tcPr>
          <w:p w14:paraId="76AB0A38"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1AB3FFF4"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keotentikan semua Dokumen asli yang diserahkan kepada kami;  </w:t>
            </w:r>
          </w:p>
        </w:tc>
      </w:tr>
      <w:tr w:rsidR="00923319" w:rsidRPr="00A67277" w14:paraId="6D798C16" w14:textId="77777777" w:rsidTr="00923319">
        <w:tc>
          <w:tcPr>
            <w:tcW w:w="2512" w:type="pct"/>
          </w:tcPr>
          <w:p w14:paraId="6C458649"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the authenticity of Documents submitted to us as certified copy; and</w:t>
            </w:r>
          </w:p>
        </w:tc>
        <w:tc>
          <w:tcPr>
            <w:tcW w:w="154" w:type="pct"/>
          </w:tcPr>
          <w:p w14:paraId="423D9462"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F7242CD"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keotentikan semua Dokumen yang diserahkan kepada kami sebagai salinan yang telah disertifikasi; dan</w:t>
            </w:r>
          </w:p>
        </w:tc>
      </w:tr>
      <w:tr w:rsidR="00923319" w:rsidRPr="00A67277" w14:paraId="746ACFBD" w14:textId="77777777" w:rsidTr="00923319">
        <w:tc>
          <w:tcPr>
            <w:tcW w:w="2512" w:type="pct"/>
          </w:tcPr>
          <w:p w14:paraId="6B000B1F" w14:textId="5A747F0B"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the capacity, </w:t>
            </w:r>
            <w:r w:rsidR="002C5282">
              <w:rPr>
                <w:rFonts w:ascii="Arial" w:eastAsia="Cambria" w:hAnsi="Arial" w:cs="Arial"/>
                <w:sz w:val="21"/>
                <w:szCs w:val="21"/>
              </w:rPr>
              <w:t>right</w:t>
            </w:r>
            <w:r w:rsidR="002C5282" w:rsidRPr="00A67277">
              <w:rPr>
                <w:rFonts w:ascii="Arial" w:eastAsia="Cambria" w:hAnsi="Arial" w:cs="Arial"/>
                <w:sz w:val="21"/>
                <w:szCs w:val="21"/>
              </w:rPr>
              <w:t xml:space="preserve"> </w:t>
            </w:r>
            <w:r w:rsidRPr="00A67277">
              <w:rPr>
                <w:rFonts w:ascii="Arial" w:eastAsia="Cambria" w:hAnsi="Arial" w:cs="Arial"/>
                <w:sz w:val="21"/>
                <w:szCs w:val="21"/>
              </w:rPr>
              <w:t>and authority of each of the parties (other than PT [***]) to the Project Agreements to execute and deliver each Project Agreement and to perform their obligations thereunder and that such agreements are binding upon them.</w:t>
            </w:r>
          </w:p>
        </w:tc>
        <w:tc>
          <w:tcPr>
            <w:tcW w:w="154" w:type="pct"/>
          </w:tcPr>
          <w:p w14:paraId="7BB78A16"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4B396880" w14:textId="77777777" w:rsidR="00923319" w:rsidRPr="00A67277" w:rsidRDefault="00923319" w:rsidP="005F41DF">
            <w:pPr>
              <w:numPr>
                <w:ilvl w:val="0"/>
                <w:numId w:val="686"/>
              </w:numPr>
              <w:snapToGrid w:val="0"/>
              <w:spacing w:after="120"/>
              <w:ind w:left="419" w:hanging="419"/>
              <w:jc w:val="both"/>
              <w:rPr>
                <w:rFonts w:ascii="Arial" w:eastAsia="Cambria" w:hAnsi="Arial" w:cs="Arial"/>
                <w:sz w:val="21"/>
                <w:szCs w:val="21"/>
              </w:rPr>
            </w:pPr>
            <w:r w:rsidRPr="00A67277">
              <w:rPr>
                <w:rFonts w:ascii="Arial" w:eastAsia="Cambria" w:hAnsi="Arial" w:cs="Arial"/>
                <w:sz w:val="21"/>
                <w:szCs w:val="21"/>
              </w:rPr>
              <w:t xml:space="preserve">kapasitas, kuasa, dan kewenangan dari masing-masing pihak (selain dari PT [***]) terhadap Perjanjian Proyek untuk menandatangani dan menyampaikan setiap Perjanjian Proyek dan untuk melaksanakan kewajiban mereka sebagaimana dimaksud dan perjanjian tersebut mengikat kepada mereka. </w:t>
            </w:r>
          </w:p>
        </w:tc>
      </w:tr>
      <w:tr w:rsidR="00923319" w:rsidRPr="00A67277" w14:paraId="2B417F8E" w14:textId="77777777" w:rsidTr="00923319">
        <w:tc>
          <w:tcPr>
            <w:tcW w:w="2512" w:type="pct"/>
          </w:tcPr>
          <w:p w14:paraId="40B06C50"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Our opinion is subject to the following qualifications:</w:t>
            </w:r>
          </w:p>
        </w:tc>
        <w:tc>
          <w:tcPr>
            <w:tcW w:w="154" w:type="pct"/>
          </w:tcPr>
          <w:p w14:paraId="4B380D35"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405F836B"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Pendapat kami tunduk pada kualifikasi berikut ini:</w:t>
            </w:r>
          </w:p>
        </w:tc>
      </w:tr>
      <w:tr w:rsidR="00923319" w:rsidRPr="00A67277" w14:paraId="6F828510" w14:textId="77777777" w:rsidTr="00923319">
        <w:tc>
          <w:tcPr>
            <w:tcW w:w="2512" w:type="pct"/>
          </w:tcPr>
          <w:p w14:paraId="0AC742B5" w14:textId="77777777" w:rsidR="00923319" w:rsidRPr="00A67277" w:rsidRDefault="00923319" w:rsidP="005F41DF">
            <w:pPr>
              <w:pStyle w:val="ListParagraph"/>
              <w:numPr>
                <w:ilvl w:val="1"/>
                <w:numId w:val="689"/>
              </w:numPr>
              <w:snapToGrid w:val="0"/>
              <w:spacing w:after="120" w:line="240" w:lineRule="auto"/>
              <w:ind w:left="567" w:hanging="567"/>
              <w:rPr>
                <w:rFonts w:eastAsia="Cambria" w:cs="Arial"/>
              </w:rPr>
            </w:pPr>
            <w:r w:rsidRPr="00A67277">
              <w:rPr>
                <w:rFonts w:eastAsia="Cambria" w:cs="Arial"/>
              </w:rPr>
              <w:t xml:space="preserve">we express no opinion as to any laws other than the laws of the Republic of Indonesia as are in force at the date of this opinion; </w:t>
            </w:r>
          </w:p>
        </w:tc>
        <w:tc>
          <w:tcPr>
            <w:tcW w:w="154" w:type="pct"/>
          </w:tcPr>
          <w:p w14:paraId="1956BE3F"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2FCD3BF9"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rPr>
              <w:t>kami tidak menyatakan pendapat hukum apa pun selain hukum Republik Indonesia yang berlaku pada tanggal pendapat ini</w:t>
            </w:r>
            <w:r w:rsidRPr="00A67277">
              <w:rPr>
                <w:rFonts w:eastAsia="Cambria" w:cs="Arial"/>
                <w:lang w:val="en-ID"/>
              </w:rPr>
              <w:t>;</w:t>
            </w:r>
          </w:p>
        </w:tc>
      </w:tr>
      <w:tr w:rsidR="00923319" w:rsidRPr="00A67277" w14:paraId="2780C3FD" w14:textId="77777777" w:rsidTr="00923319">
        <w:tc>
          <w:tcPr>
            <w:tcW w:w="2512" w:type="pct"/>
          </w:tcPr>
          <w:p w14:paraId="7D37AD32"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rPr>
            </w:pPr>
            <w:r w:rsidRPr="00A67277">
              <w:rPr>
                <w:rFonts w:cs="Arial"/>
              </w:rPr>
              <w:t>the rights and obligations of the parties to the Project Agreements are, to the extent that the laws of the Republic of Indonesia are or would be deemed applicable, subject to the principle of good faith</w:t>
            </w:r>
            <w:r w:rsidRPr="00A67277">
              <w:rPr>
                <w:rFonts w:cs="Arial"/>
                <w:i/>
                <w:iCs/>
              </w:rPr>
              <w:t xml:space="preserve">, </w:t>
            </w:r>
            <w:r w:rsidRPr="00A67277">
              <w:rPr>
                <w:rFonts w:cs="Arial"/>
              </w:rPr>
              <w:t>which under Indonesian law governs the relationship between the parties to a contract and which in certain circumstances may limit or preclude the reliance on, or enforcement of, contractual terms and provisions;</w:t>
            </w:r>
          </w:p>
        </w:tc>
        <w:tc>
          <w:tcPr>
            <w:tcW w:w="154" w:type="pct"/>
          </w:tcPr>
          <w:p w14:paraId="5BFC5711"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7AA50369"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rPr>
              <w:t xml:space="preserve">hak dan kewajiban para pihak dalam Perjanjian Proyek adalah, </w:t>
            </w:r>
            <w:r w:rsidRPr="00A67277">
              <w:rPr>
                <w:rFonts w:eastAsia="Cambria" w:cs="Arial"/>
                <w:lang w:val="id-ID"/>
              </w:rPr>
              <w:t>sejauh</w:t>
            </w:r>
            <w:r w:rsidRPr="00A67277">
              <w:rPr>
                <w:rFonts w:eastAsia="Cambria" w:cs="Arial"/>
              </w:rPr>
              <w:t xml:space="preserve"> hukum Republik Indonesia </w:t>
            </w:r>
            <w:r w:rsidRPr="00A67277">
              <w:rPr>
                <w:rFonts w:eastAsia="Cambria" w:cs="Arial"/>
                <w:lang w:val="id-ID"/>
              </w:rPr>
              <w:t>berlaku atau</w:t>
            </w:r>
            <w:r w:rsidRPr="00A67277">
              <w:rPr>
                <w:rFonts w:eastAsia="Cambria" w:cs="Arial"/>
              </w:rPr>
              <w:t xml:space="preserve"> akan berlaku, tunduk pada prinsip itikad baik, yang menurut hukum Indonesia mengatur hubungan antara para pihak dalam kontrak dan yang dalam keadaan tertentu dapat membatasi atau menghalangi ketergantungan pada, atau penegakan, syarat dan ketentuan kontrak</w:t>
            </w:r>
            <w:r w:rsidRPr="00A67277">
              <w:rPr>
                <w:rFonts w:eastAsia="Cambria" w:cs="Arial"/>
                <w:lang w:val="id-ID"/>
              </w:rPr>
              <w:t>;</w:t>
            </w:r>
          </w:p>
        </w:tc>
      </w:tr>
      <w:tr w:rsidR="00923319" w:rsidRPr="00A67277" w14:paraId="5CF5D31E" w14:textId="77777777" w:rsidTr="00923319">
        <w:tc>
          <w:tcPr>
            <w:tcW w:w="2512" w:type="pct"/>
          </w:tcPr>
          <w:p w14:paraId="11EB89AB"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rPr>
            </w:pPr>
            <w:r w:rsidRPr="00A67277">
              <w:rPr>
                <w:rFonts w:cs="Arial"/>
              </w:rPr>
              <w:t>a reference to the validity and binding effect of an obligation, or to its enforceability is not to be taken as indicating its enforcements by way of specific performance, injunctive relief or any other discretionary remedy or power of a court nor to the recognition or enforcement in Indonesia of any judgment obtained outside Indonesia;</w:t>
            </w:r>
          </w:p>
        </w:tc>
        <w:tc>
          <w:tcPr>
            <w:tcW w:w="154" w:type="pct"/>
          </w:tcPr>
          <w:p w14:paraId="140D26E9"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579A7E8D"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rPr>
              <w:t xml:space="preserve">referensi </w:t>
            </w:r>
            <w:r w:rsidRPr="00A67277">
              <w:rPr>
                <w:rFonts w:eastAsia="Cambria" w:cs="Arial"/>
                <w:lang w:val="id-ID"/>
              </w:rPr>
              <w:t xml:space="preserve">terhadap </w:t>
            </w:r>
            <w:r w:rsidRPr="00A67277">
              <w:rPr>
                <w:rFonts w:eastAsia="Cambria" w:cs="Arial"/>
              </w:rPr>
              <w:t xml:space="preserve">validitas dan efek mengikat dari suatu kewajiban, atau keberlakuannya tidak dianggap </w:t>
            </w:r>
            <w:r w:rsidRPr="00A67277">
              <w:rPr>
                <w:rFonts w:eastAsia="Cambria" w:cs="Arial"/>
                <w:lang w:val="id-ID"/>
              </w:rPr>
              <w:t>sebagai indikasi penerapan</w:t>
            </w:r>
            <w:r w:rsidRPr="00A67277">
              <w:rPr>
                <w:rFonts w:eastAsia="Cambria" w:cs="Arial"/>
              </w:rPr>
              <w:t xml:space="preserve"> melalui </w:t>
            </w:r>
            <w:r w:rsidRPr="00A67277">
              <w:rPr>
                <w:rFonts w:eastAsia="Cambria" w:cs="Arial"/>
                <w:lang w:val="id-ID"/>
              </w:rPr>
              <w:t>perbuatan</w:t>
            </w:r>
            <w:r w:rsidRPr="00A67277">
              <w:rPr>
                <w:rFonts w:eastAsia="Cambria" w:cs="Arial"/>
              </w:rPr>
              <w:t xml:space="preserve"> tertentu, ganti rugi atau </w:t>
            </w:r>
            <w:r w:rsidRPr="00A67277">
              <w:rPr>
                <w:rFonts w:eastAsia="Cambria" w:cs="Arial"/>
                <w:lang w:val="id-ID"/>
              </w:rPr>
              <w:t xml:space="preserve">kebijaksanaan </w:t>
            </w:r>
            <w:r w:rsidRPr="00A67277">
              <w:rPr>
                <w:rFonts w:eastAsia="Cambria" w:cs="Arial"/>
              </w:rPr>
              <w:t xml:space="preserve">pemulihan </w:t>
            </w:r>
            <w:r w:rsidRPr="00A67277">
              <w:rPr>
                <w:rFonts w:eastAsia="Cambria" w:cs="Arial"/>
                <w:lang w:val="id-ID"/>
              </w:rPr>
              <w:t xml:space="preserve">apapun </w:t>
            </w:r>
            <w:r w:rsidRPr="00A67277">
              <w:rPr>
                <w:rFonts w:eastAsia="Cambria" w:cs="Arial"/>
              </w:rPr>
              <w:t xml:space="preserve">lainnya atau pada pengakuan atau penegakan </w:t>
            </w:r>
            <w:r w:rsidRPr="00A67277">
              <w:rPr>
                <w:rFonts w:eastAsia="Cambria" w:cs="Arial"/>
                <w:lang w:val="id-ID"/>
              </w:rPr>
              <w:t>di</w:t>
            </w:r>
            <w:r w:rsidRPr="00A67277">
              <w:rPr>
                <w:rFonts w:eastAsia="Cambria" w:cs="Arial"/>
              </w:rPr>
              <w:t xml:space="preserve"> Indonesia atas segala putusan yang diperoleh di luar Indonesia</w:t>
            </w:r>
            <w:r w:rsidRPr="00A67277">
              <w:rPr>
                <w:rFonts w:eastAsia="Cambria" w:cs="Arial"/>
                <w:lang w:val="id-ID"/>
              </w:rPr>
              <w:t>;</w:t>
            </w:r>
          </w:p>
        </w:tc>
      </w:tr>
      <w:tr w:rsidR="00923319" w:rsidRPr="00A67277" w14:paraId="4D0F1CC3" w14:textId="77777777" w:rsidTr="00923319">
        <w:tc>
          <w:tcPr>
            <w:tcW w:w="2512" w:type="pct"/>
          </w:tcPr>
          <w:p w14:paraId="5DB11551"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rPr>
            </w:pPr>
            <w:r w:rsidRPr="00A67277">
              <w:rPr>
                <w:rFonts w:cs="Arial"/>
              </w:rPr>
              <w:t>we have made no specific inquiries or investigations with regard to any factual matters or circumstances relating to or referred to in this opinion;</w:t>
            </w:r>
          </w:p>
        </w:tc>
        <w:tc>
          <w:tcPr>
            <w:tcW w:w="154" w:type="pct"/>
          </w:tcPr>
          <w:p w14:paraId="6D8BA215"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20D601C8"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rPr>
              <w:t xml:space="preserve">kami tidak melakukan </w:t>
            </w:r>
            <w:r w:rsidRPr="00A67277">
              <w:rPr>
                <w:rFonts w:eastAsia="Cambria" w:cs="Arial"/>
                <w:lang w:val="id-ID"/>
              </w:rPr>
              <w:t>pemeriksaan</w:t>
            </w:r>
            <w:r w:rsidRPr="00A67277">
              <w:rPr>
                <w:rFonts w:eastAsia="Cambria" w:cs="Arial"/>
              </w:rPr>
              <w:t xml:space="preserve"> atau penyelidikan khusus sehubungan dengan masalah atau keadaan faktual yang berkaitan dengan atau dirujuk dalam pendapat ini</w:t>
            </w:r>
            <w:r w:rsidRPr="00A67277">
              <w:rPr>
                <w:rFonts w:eastAsia="Cambria" w:cs="Arial"/>
                <w:lang w:val="id-ID"/>
              </w:rPr>
              <w:t>;</w:t>
            </w:r>
          </w:p>
        </w:tc>
      </w:tr>
      <w:tr w:rsidR="00923319" w:rsidRPr="00A67277" w14:paraId="4423DC22" w14:textId="77777777" w:rsidTr="00923319">
        <w:tc>
          <w:tcPr>
            <w:tcW w:w="2512" w:type="pct"/>
          </w:tcPr>
          <w:p w14:paraId="57CF4D24"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lang w:val="en-ID"/>
              </w:rPr>
            </w:pPr>
            <w:r w:rsidRPr="00A67277">
              <w:rPr>
                <w:rFonts w:cs="Arial"/>
              </w:rPr>
              <w:t>there exists no reliable public registry for obtaining, or confirming the accuracy of, information related to legal suits, bankruptcy petition or any similar proceedings submitted in Indonesia;</w:t>
            </w:r>
          </w:p>
        </w:tc>
        <w:tc>
          <w:tcPr>
            <w:tcW w:w="154" w:type="pct"/>
          </w:tcPr>
          <w:p w14:paraId="46CF31EC" w14:textId="77777777" w:rsidR="00923319" w:rsidRPr="00A67277" w:rsidRDefault="00923319" w:rsidP="005F41DF">
            <w:pPr>
              <w:pStyle w:val="ListParagraph"/>
              <w:numPr>
                <w:ilvl w:val="0"/>
                <w:numId w:val="590"/>
              </w:numPr>
              <w:snapToGrid w:val="0"/>
              <w:spacing w:after="120" w:line="240" w:lineRule="auto"/>
              <w:rPr>
                <w:rFonts w:eastAsia="Cambria" w:cs="Arial"/>
                <w:lang w:val="en-ID"/>
              </w:rPr>
            </w:pPr>
          </w:p>
        </w:tc>
        <w:tc>
          <w:tcPr>
            <w:tcW w:w="2335" w:type="pct"/>
          </w:tcPr>
          <w:p w14:paraId="15BB0E64"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lang w:val="en-ID"/>
              </w:rPr>
              <w:t>tidak ada register publik untuk mendapatkan, atau mengkonfirmasi keakuratan dari, informasi terkait dengan tuntutan hukum, permohonan kepailitan atau proses serupa lainnya yang diajukan di Indonesia;</w:t>
            </w:r>
          </w:p>
        </w:tc>
      </w:tr>
      <w:tr w:rsidR="00923319" w:rsidRPr="00A67277" w14:paraId="4E1961D6" w14:textId="77777777" w:rsidTr="00923319">
        <w:tc>
          <w:tcPr>
            <w:tcW w:w="2512" w:type="pct"/>
          </w:tcPr>
          <w:p w14:paraId="2EC0DAF8"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lang w:val="en-ID"/>
              </w:rPr>
            </w:pPr>
            <w:r w:rsidRPr="00A67277">
              <w:rPr>
                <w:rFonts w:cs="Arial"/>
              </w:rPr>
              <w:t>certain remedies, such as injunctions and pre-judgment attachment, are discretionary and may not be awarded by the courts of the Republic of Indonesia in enforcement of any of the Project Agreements; and</w:t>
            </w:r>
          </w:p>
        </w:tc>
        <w:tc>
          <w:tcPr>
            <w:tcW w:w="154" w:type="pct"/>
          </w:tcPr>
          <w:p w14:paraId="379D3509" w14:textId="77777777" w:rsidR="00923319" w:rsidRPr="00A67277" w:rsidRDefault="00923319" w:rsidP="005F41DF">
            <w:pPr>
              <w:pStyle w:val="ListParagraph"/>
              <w:numPr>
                <w:ilvl w:val="0"/>
                <w:numId w:val="590"/>
              </w:numPr>
              <w:snapToGrid w:val="0"/>
              <w:spacing w:after="120" w:line="240" w:lineRule="auto"/>
              <w:rPr>
                <w:rFonts w:eastAsia="Cambria" w:cs="Arial"/>
                <w:lang w:val="en-ID"/>
              </w:rPr>
            </w:pPr>
          </w:p>
        </w:tc>
        <w:tc>
          <w:tcPr>
            <w:tcW w:w="2335" w:type="pct"/>
          </w:tcPr>
          <w:p w14:paraId="2508650D"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lang w:val="en-ID"/>
              </w:rPr>
              <w:t xml:space="preserve">pemulihan tertentu, seperti perintah dan </w:t>
            </w:r>
            <w:r w:rsidRPr="00A67277">
              <w:rPr>
                <w:rFonts w:eastAsia="Cambria" w:cs="Arial"/>
                <w:i/>
                <w:lang w:val="en-ID"/>
              </w:rPr>
              <w:t>pre-judgement attachment</w:t>
            </w:r>
            <w:r w:rsidRPr="00A67277">
              <w:rPr>
                <w:rFonts w:eastAsia="Cambria" w:cs="Arial"/>
                <w:lang w:val="en-ID"/>
              </w:rPr>
              <w:t>, adalah kebijaksanaan dan mungkin tidak diberikan oleh pengadlan di Republik Indonesia dalam penerapan dari setiap Perjanjian Proyek; dan</w:t>
            </w:r>
          </w:p>
        </w:tc>
      </w:tr>
      <w:tr w:rsidR="00923319" w:rsidRPr="00A67277" w14:paraId="0A317ABC" w14:textId="77777777" w:rsidTr="00923319">
        <w:tc>
          <w:tcPr>
            <w:tcW w:w="2512" w:type="pct"/>
          </w:tcPr>
          <w:p w14:paraId="3ECB3ED6" w14:textId="77777777" w:rsidR="00923319" w:rsidRPr="00A67277" w:rsidRDefault="00923319" w:rsidP="005F41DF">
            <w:pPr>
              <w:pStyle w:val="ListParagraph"/>
              <w:numPr>
                <w:ilvl w:val="0"/>
                <w:numId w:val="737"/>
              </w:numPr>
              <w:snapToGrid w:val="0"/>
              <w:spacing w:after="120" w:line="240" w:lineRule="auto"/>
              <w:ind w:left="567" w:hanging="567"/>
              <w:rPr>
                <w:rFonts w:eastAsia="Cambria" w:cs="Arial"/>
              </w:rPr>
            </w:pPr>
            <w:r w:rsidRPr="00A67277">
              <w:rPr>
                <w:rFonts w:cs="Arial"/>
              </w:rPr>
              <w:t>Indonesian judges operate in an inquisitorial legal system, have very broad fact finding powers and a high level of discretion as to the manner in which those powers are exercised, including for the purpose of enforcing a foreign arbitration award. Consequently, Indonesian courts can sometimes be influenced by factors, issues, and evidence which may not immediately be apparent on the face of the court documents in questions.</w:t>
            </w:r>
          </w:p>
        </w:tc>
        <w:tc>
          <w:tcPr>
            <w:tcW w:w="154" w:type="pct"/>
          </w:tcPr>
          <w:p w14:paraId="16366765" w14:textId="77777777" w:rsidR="00923319" w:rsidRPr="00A67277" w:rsidRDefault="00923319" w:rsidP="005F41DF">
            <w:pPr>
              <w:pStyle w:val="ListParagraph"/>
              <w:numPr>
                <w:ilvl w:val="0"/>
                <w:numId w:val="590"/>
              </w:numPr>
              <w:snapToGrid w:val="0"/>
              <w:spacing w:after="120" w:line="240" w:lineRule="auto"/>
              <w:rPr>
                <w:rFonts w:eastAsia="Cambria" w:cs="Arial"/>
              </w:rPr>
            </w:pPr>
          </w:p>
        </w:tc>
        <w:tc>
          <w:tcPr>
            <w:tcW w:w="2335" w:type="pct"/>
          </w:tcPr>
          <w:p w14:paraId="40294464" w14:textId="77777777" w:rsidR="00923319" w:rsidRPr="00A67277" w:rsidRDefault="00923319" w:rsidP="005F41DF">
            <w:pPr>
              <w:pStyle w:val="ListParagraph"/>
              <w:numPr>
                <w:ilvl w:val="0"/>
                <w:numId w:val="737"/>
              </w:numPr>
              <w:snapToGrid w:val="0"/>
              <w:spacing w:after="120" w:line="240" w:lineRule="auto"/>
              <w:ind w:left="458" w:hanging="458"/>
              <w:rPr>
                <w:rFonts w:eastAsia="Cambria" w:cs="Arial"/>
              </w:rPr>
            </w:pPr>
            <w:r w:rsidRPr="00A67277">
              <w:rPr>
                <w:rFonts w:eastAsia="Cambria" w:cs="Arial"/>
              </w:rPr>
              <w:t>hakim</w:t>
            </w:r>
            <w:r w:rsidRPr="00A67277">
              <w:rPr>
                <w:rFonts w:eastAsia="Cambria" w:cs="Arial"/>
                <w:lang w:val="en-ID"/>
              </w:rPr>
              <w:t xml:space="preserve"> </w:t>
            </w:r>
            <w:r w:rsidRPr="00A67277">
              <w:rPr>
                <w:rFonts w:eastAsia="Cambria" w:cs="Arial"/>
              </w:rPr>
              <w:t xml:space="preserve">Indonesia beroperasi dalam sistem hukum inkuisitorial, memiliki kekuasaan pencari fakta yang luas dan tingkat diskresi yang tinggi mengenai cara </w:t>
            </w:r>
            <w:r w:rsidRPr="00A67277">
              <w:rPr>
                <w:rFonts w:eastAsia="Cambria" w:cs="Arial"/>
                <w:lang w:val="en-ID"/>
              </w:rPr>
              <w:t>kekuasaan tersebut dilaksanakan</w:t>
            </w:r>
            <w:r w:rsidRPr="00A67277">
              <w:rPr>
                <w:rFonts w:eastAsia="Cambria" w:cs="Arial"/>
              </w:rPr>
              <w:t xml:space="preserve">, termasuk untuk tujuan </w:t>
            </w:r>
            <w:r w:rsidRPr="00A67277">
              <w:rPr>
                <w:rFonts w:eastAsia="Cambria" w:cs="Arial"/>
                <w:lang w:val="en-ID"/>
              </w:rPr>
              <w:t>penegakan</w:t>
            </w:r>
            <w:r w:rsidRPr="00A67277">
              <w:rPr>
                <w:rFonts w:eastAsia="Cambria" w:cs="Arial"/>
              </w:rPr>
              <w:t xml:space="preserve"> putusan arbitrase asing. Akibatnya, pengadilan Indonesia</w:t>
            </w:r>
            <w:r w:rsidRPr="00A67277">
              <w:rPr>
                <w:rFonts w:eastAsia="Cambria" w:cs="Arial"/>
                <w:lang w:val="en-ID"/>
              </w:rPr>
              <w:t xml:space="preserve"> </w:t>
            </w:r>
            <w:r w:rsidRPr="00A67277">
              <w:rPr>
                <w:rFonts w:eastAsia="Cambria" w:cs="Arial"/>
              </w:rPr>
              <w:t>dapat</w:t>
            </w:r>
            <w:r w:rsidRPr="00A67277">
              <w:rPr>
                <w:rFonts w:eastAsia="Cambria" w:cs="Arial"/>
                <w:lang w:val="en-ID"/>
              </w:rPr>
              <w:t xml:space="preserve"> sewaktu-waktu</w:t>
            </w:r>
            <w:r w:rsidRPr="00A67277">
              <w:rPr>
                <w:rFonts w:eastAsia="Cambria" w:cs="Arial"/>
              </w:rPr>
              <w:t xml:space="preserve"> dipengaruhi oleh faktor, masalah, dan bukti yang mungkin tidak </w:t>
            </w:r>
            <w:r w:rsidRPr="00A67277">
              <w:rPr>
                <w:rFonts w:eastAsia="Cambria" w:cs="Arial"/>
                <w:lang w:val="en-ID"/>
              </w:rPr>
              <w:t>langsung</w:t>
            </w:r>
            <w:r w:rsidRPr="00A67277">
              <w:rPr>
                <w:rFonts w:eastAsia="Cambria" w:cs="Arial"/>
              </w:rPr>
              <w:t xml:space="preserve"> terlihat pada dokumen pengadilan </w:t>
            </w:r>
            <w:r w:rsidRPr="00A67277">
              <w:rPr>
                <w:rFonts w:eastAsia="Cambria" w:cs="Arial"/>
                <w:lang w:val="en-ID"/>
              </w:rPr>
              <w:t>yang dipaparkan</w:t>
            </w:r>
            <w:r w:rsidRPr="00A67277">
              <w:rPr>
                <w:rFonts w:eastAsia="Cambria" w:cs="Arial"/>
              </w:rPr>
              <w:t>.</w:t>
            </w:r>
          </w:p>
        </w:tc>
      </w:tr>
      <w:tr w:rsidR="00923319" w:rsidRPr="00A67277" w14:paraId="6ED01ACA" w14:textId="77777777" w:rsidTr="00923319">
        <w:tc>
          <w:tcPr>
            <w:tcW w:w="2512" w:type="pct"/>
          </w:tcPr>
          <w:p w14:paraId="273E3FF0"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Considering the above documents and taking into account laws and regulations of Republic of Indonesia, we provide legal opinion that:</w:t>
            </w:r>
          </w:p>
        </w:tc>
        <w:tc>
          <w:tcPr>
            <w:tcW w:w="154" w:type="pct"/>
          </w:tcPr>
          <w:p w14:paraId="1A279229"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7B1EFCAB"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Setelah mempertimbangkan dokumen di atas dan dengan memperhatikan peraturan perundang-undangan Republik Indonesia, kami berpendapat bahwa:</w:t>
            </w:r>
          </w:p>
        </w:tc>
      </w:tr>
      <w:tr w:rsidR="00923319" w:rsidRPr="00A67277" w14:paraId="388BC135" w14:textId="77777777" w:rsidTr="00923319">
        <w:tc>
          <w:tcPr>
            <w:tcW w:w="2512" w:type="pct"/>
          </w:tcPr>
          <w:p w14:paraId="40A09C29"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PT [ * ] is a limited liability company that is validly established in accordance with Republic of Indonesia laws and regulations;</w:t>
            </w:r>
          </w:p>
        </w:tc>
        <w:tc>
          <w:tcPr>
            <w:tcW w:w="154" w:type="pct"/>
          </w:tcPr>
          <w:p w14:paraId="6C93B692"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79CFEB88"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PT [***] merupakan perseroan terbatas yang sah didirikan berdasarkan peraturan perundang-undangan Republik Indonesia;</w:t>
            </w:r>
          </w:p>
        </w:tc>
      </w:tr>
      <w:tr w:rsidR="00923319" w:rsidRPr="00A67277" w14:paraId="3EBE5D36" w14:textId="77777777" w:rsidTr="00923319">
        <w:tc>
          <w:tcPr>
            <w:tcW w:w="2512" w:type="pct"/>
          </w:tcPr>
          <w:p w14:paraId="647FF162"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Each Shareholder has injected its capital to PT [***] in accordance with its participation as set in Articles of Association;</w:t>
            </w:r>
          </w:p>
        </w:tc>
        <w:tc>
          <w:tcPr>
            <w:tcW w:w="154" w:type="pct"/>
          </w:tcPr>
          <w:p w14:paraId="1B5C225B"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389ECA29"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 xml:space="preserve">Masing-masing Pemegang Saham telah melakukan penyetoran modal kepada PT [***] sesuai dengan partisipasinya sebagaimana diatur dalam Anggaran Dasar;  </w:t>
            </w:r>
          </w:p>
        </w:tc>
      </w:tr>
      <w:tr w:rsidR="00923319" w:rsidRPr="00A67277" w14:paraId="50A561D7" w14:textId="77777777" w:rsidTr="00923319">
        <w:tc>
          <w:tcPr>
            <w:tcW w:w="2512" w:type="pct"/>
          </w:tcPr>
          <w:p w14:paraId="280AC40C"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PT [***] has full authority and legal right to sign the Project Agreements and to conduct its obligations set therein and the signing and its implementation conducted by PT [***] of the Project Agreement and transaction as mentioned therein has been duly authorized;</w:t>
            </w:r>
          </w:p>
        </w:tc>
        <w:tc>
          <w:tcPr>
            <w:tcW w:w="154" w:type="pct"/>
          </w:tcPr>
          <w:p w14:paraId="400FDB9F"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3B6945BE"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PT [***] memiliki kekuasaan penuh, wewenang dan hak hukum untuk menandatangani Perjanjian Proyek dan untuk melakukan kewajiban-kewajiban yang diatur di dalamnya dan penandatanganan serta pelaksanaan oleh PT [***] atas Perjanjian Proyek dan transaksi sebagaimana disebutkan di dalamnya telah diotorisasi;</w:t>
            </w:r>
          </w:p>
        </w:tc>
      </w:tr>
      <w:tr w:rsidR="00923319" w:rsidRPr="00A67277" w14:paraId="71B7C9F9" w14:textId="77777777" w:rsidTr="00923319">
        <w:tc>
          <w:tcPr>
            <w:tcW w:w="2512" w:type="pct"/>
          </w:tcPr>
          <w:p w14:paraId="73A74A72" w14:textId="73919D6C" w:rsidR="00923319" w:rsidRPr="00A67277" w:rsidRDefault="00923319" w:rsidP="00F93200">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 xml:space="preserve">Each of the Approvals set out in Appendix </w:t>
            </w:r>
            <w:r w:rsidR="00F93200" w:rsidRPr="00A67277">
              <w:rPr>
                <w:rFonts w:ascii="Arial" w:eastAsia="Cambria" w:hAnsi="Arial" w:cs="Arial"/>
                <w:sz w:val="21"/>
                <w:szCs w:val="21"/>
              </w:rPr>
              <w:t xml:space="preserve">11 </w:t>
            </w:r>
            <w:r w:rsidRPr="00A67277">
              <w:rPr>
                <w:rFonts w:ascii="Arial" w:eastAsia="Cambria" w:hAnsi="Arial" w:cs="Arial"/>
                <w:sz w:val="21"/>
                <w:szCs w:val="21"/>
              </w:rPr>
              <w:t>(Key Authorizations) of the Agreement has been obtained and is valid in accordance with its provisions, and remain in full force and effect as at the date of this legal opinion;</w:t>
            </w:r>
          </w:p>
        </w:tc>
        <w:tc>
          <w:tcPr>
            <w:tcW w:w="154" w:type="pct"/>
          </w:tcPr>
          <w:p w14:paraId="73DFF358"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71876197" w14:textId="34512807" w:rsidR="00923319" w:rsidRPr="00A67277" w:rsidRDefault="00923319" w:rsidP="00F93200">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 xml:space="preserve">Masing-masing Persetujuan pada Lampiran </w:t>
            </w:r>
            <w:r w:rsidR="00F93200" w:rsidRPr="00A67277">
              <w:rPr>
                <w:rFonts w:ascii="Arial" w:eastAsia="Cambria" w:hAnsi="Arial" w:cs="Arial"/>
                <w:sz w:val="21"/>
                <w:szCs w:val="21"/>
              </w:rPr>
              <w:t xml:space="preserve">11 </w:t>
            </w:r>
            <w:r w:rsidRPr="00A67277">
              <w:rPr>
                <w:rFonts w:ascii="Arial" w:eastAsia="Cambria" w:hAnsi="Arial" w:cs="Arial"/>
                <w:sz w:val="21"/>
                <w:szCs w:val="21"/>
              </w:rPr>
              <w:t>(</w:t>
            </w:r>
            <w:r w:rsidRPr="00A67277">
              <w:rPr>
                <w:rFonts w:ascii="Arial" w:eastAsia="Cambria" w:hAnsi="Arial" w:cs="Arial"/>
                <w:i/>
                <w:sz w:val="21"/>
                <w:szCs w:val="21"/>
              </w:rPr>
              <w:t>Persetujuan Utama</w:t>
            </w:r>
            <w:r w:rsidRPr="00A67277">
              <w:rPr>
                <w:rFonts w:ascii="Arial" w:eastAsia="Cambria" w:hAnsi="Arial" w:cs="Arial"/>
                <w:sz w:val="21"/>
                <w:szCs w:val="21"/>
              </w:rPr>
              <w:t>) dari Perjanjian telah diperoleh dan berlaku sesuai dengan ketentuan-ketentuannya dan tetap berlaku penuh dan efektif sejak tanggal pendapat hukum ini;</w:t>
            </w:r>
          </w:p>
        </w:tc>
      </w:tr>
      <w:tr w:rsidR="00923319" w:rsidRPr="00A67277" w14:paraId="2459E526" w14:textId="77777777" w:rsidTr="00923319">
        <w:tc>
          <w:tcPr>
            <w:tcW w:w="2512" w:type="pct"/>
          </w:tcPr>
          <w:p w14:paraId="32CC59DB"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Each of the Project Agreements has been validly signed and contemplates legal, valid and binding obligations of PT [***], enforceable against PT [***] in accordance with its provisions;</w:t>
            </w:r>
          </w:p>
        </w:tc>
        <w:tc>
          <w:tcPr>
            <w:tcW w:w="154" w:type="pct"/>
          </w:tcPr>
          <w:p w14:paraId="649FFEE6"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69029D50"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Masing-masing Perjanjian Proyek telah ditandatangani sepatutnya dan merupakan kewajiban hukum, sah dan mengikat PT [***], dapat ditegakkan terhadap PT [***] sesuai dengan ketentuan-ketentuannya;</w:t>
            </w:r>
          </w:p>
        </w:tc>
      </w:tr>
      <w:tr w:rsidR="00923319" w:rsidRPr="00A67277" w14:paraId="5F24EF44" w14:textId="77777777" w:rsidTr="00923319">
        <w:tc>
          <w:tcPr>
            <w:tcW w:w="2512" w:type="pct"/>
          </w:tcPr>
          <w:p w14:paraId="27B8A98A"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Signing and implementation by PT [***] over the Project Agreements and perfection to transaction as set therein shall and will not violate to or cause to violate of (i) laws and regulations in Republic of Indonesia, or (ii) any order, court decision or prevailing decree to PT [***] or its assets, or (iii) any contract, agreement, or other instrument where PT [***] as the Party or bind to PT [***] or bind its assets;</w:t>
            </w:r>
          </w:p>
        </w:tc>
        <w:tc>
          <w:tcPr>
            <w:tcW w:w="154" w:type="pct"/>
          </w:tcPr>
          <w:p w14:paraId="724CD897"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091E014F"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Penandatanganan dan pelaksanaan oleh PT [***] atas Perjanjian Proyek dan penyempurnaan transaksi sebagaimana diatur di dalamnya harus dan tidak boleh bertentangan dengan atau mengakibatkan pelanggaran atas (i) peraturan perundang-undangan yang berlaku di Republik Indonesia, atau (ii) setiap perintah, putusan pengadilan atau keputusan yang berlaku terhadap PT [***] atau asetnya, atau (iii) setiap kontrak, perjanjian atau instrumen lain dimana PT [***] sebagai Pihak atau dengannya PT [***] atau setiap asetnya terikat;</w:t>
            </w:r>
          </w:p>
        </w:tc>
      </w:tr>
      <w:tr w:rsidR="00923319" w:rsidRPr="00A67277" w14:paraId="2673014A" w14:textId="77777777" w:rsidTr="00923319">
        <w:tc>
          <w:tcPr>
            <w:tcW w:w="2512" w:type="pct"/>
          </w:tcPr>
          <w:p w14:paraId="26FBED0E"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To the best of our knowledge and based on the Corporate Certificate, no action, claim, lawsuit, legal proceeding, arbitration, report, notification, or investigation in any form, whether in civil, crime, state administrative its pending or, to the best of our knowledge, threatened to or related with PT [***] or its assets to the transaction matter as set in Project Agreements.</w:t>
            </w:r>
          </w:p>
        </w:tc>
        <w:tc>
          <w:tcPr>
            <w:tcW w:w="154" w:type="pct"/>
          </w:tcPr>
          <w:p w14:paraId="29C1F466" w14:textId="77777777" w:rsidR="00923319" w:rsidRPr="00A67277" w:rsidRDefault="00923319" w:rsidP="005F41DF">
            <w:pPr>
              <w:numPr>
                <w:ilvl w:val="0"/>
                <w:numId w:val="590"/>
              </w:numPr>
              <w:snapToGrid w:val="0"/>
              <w:spacing w:after="120"/>
              <w:jc w:val="both"/>
              <w:rPr>
                <w:rFonts w:ascii="Arial" w:eastAsia="Cambria" w:hAnsi="Arial" w:cs="Arial"/>
                <w:sz w:val="21"/>
                <w:szCs w:val="21"/>
              </w:rPr>
            </w:pPr>
          </w:p>
        </w:tc>
        <w:tc>
          <w:tcPr>
            <w:tcW w:w="2335" w:type="pct"/>
          </w:tcPr>
          <w:p w14:paraId="10C9BD62" w14:textId="77777777" w:rsidR="00923319" w:rsidRPr="00A67277" w:rsidRDefault="00923319" w:rsidP="00923319">
            <w:pPr>
              <w:numPr>
                <w:ilvl w:val="0"/>
                <w:numId w:val="687"/>
              </w:numPr>
              <w:snapToGrid w:val="0"/>
              <w:spacing w:after="120"/>
              <w:ind w:left="567" w:hanging="567"/>
              <w:jc w:val="both"/>
              <w:rPr>
                <w:rFonts w:ascii="Arial" w:eastAsia="Cambria" w:hAnsi="Arial" w:cs="Arial"/>
                <w:sz w:val="21"/>
                <w:szCs w:val="21"/>
              </w:rPr>
            </w:pPr>
            <w:r w:rsidRPr="00A67277">
              <w:rPr>
                <w:rFonts w:ascii="Arial" w:eastAsia="Cambria" w:hAnsi="Arial" w:cs="Arial"/>
                <w:sz w:val="21"/>
                <w:szCs w:val="21"/>
              </w:rPr>
              <w:t>Sepanjang sepengetahuan terbaik kami dan berdasar pada Sertifikat Perusahaan, tidak ada tindakan, klaim, gugatan, proses persidangan, arbitrase, pengaduan, panggilan atau investigasi dalam bentuk apapun, perdata, pidana, tata usaha negara atau yang tertunda atau, sepanjang pengetahuan kami, yang mengancam terhadap atau berkaitan dengan PT [***] atau asetnya sehubungan dengan transaksi yang diatur dalam Perjanjian Proyek.</w:t>
            </w:r>
          </w:p>
        </w:tc>
      </w:tr>
      <w:tr w:rsidR="00923319" w:rsidRPr="00A67277" w14:paraId="02CF30FF" w14:textId="77777777" w:rsidTr="00923319">
        <w:trPr>
          <w:trHeight w:val="2088"/>
        </w:trPr>
        <w:tc>
          <w:tcPr>
            <w:tcW w:w="2512" w:type="pct"/>
          </w:tcPr>
          <w:p w14:paraId="25053F90"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 xml:space="preserve">This opinion is given in both English and Indonesian language. In the event of any inconsistencies between the English and Indonesian language versions, the Indonesian language version prevail and the English version will be deemed as amended to conform with the Indonesian language version. </w:t>
            </w:r>
          </w:p>
          <w:p w14:paraId="55643C52" w14:textId="77777777" w:rsidR="00923319" w:rsidRPr="00A67277" w:rsidRDefault="00923319" w:rsidP="00923319">
            <w:pPr>
              <w:snapToGrid w:val="0"/>
              <w:spacing w:after="120"/>
              <w:jc w:val="both"/>
              <w:rPr>
                <w:rFonts w:ascii="Arial" w:eastAsia="Cambria" w:hAnsi="Arial" w:cs="Arial"/>
                <w:sz w:val="21"/>
                <w:szCs w:val="21"/>
              </w:rPr>
            </w:pPr>
          </w:p>
        </w:tc>
        <w:tc>
          <w:tcPr>
            <w:tcW w:w="154" w:type="pct"/>
          </w:tcPr>
          <w:p w14:paraId="016AFACC"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002411E5"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 xml:space="preserve">Pendapat hukum ini diberikan dalam Bahasa Inggris dan Bahasa Indonesia. Jika terdapat ketidaksesuaian antara versi Bahasa Inggris dan Bahasa Indonesia, versi Bahasa Indonesia yang akan berlaku dan versi Bahasa Inggris akan dianggap diubah untuk menyesuaikan dengan versi Bahasa Indonesia. </w:t>
            </w:r>
          </w:p>
        </w:tc>
      </w:tr>
      <w:tr w:rsidR="00923319" w:rsidRPr="00A67277" w14:paraId="31181D77" w14:textId="77777777" w:rsidTr="00923319">
        <w:tc>
          <w:tcPr>
            <w:tcW w:w="2512" w:type="pct"/>
          </w:tcPr>
          <w:p w14:paraId="61976B74" w14:textId="77777777" w:rsidR="00923319" w:rsidRPr="00A67277" w:rsidRDefault="00923319" w:rsidP="00923319">
            <w:pPr>
              <w:snapToGrid w:val="0"/>
              <w:spacing w:after="120"/>
              <w:jc w:val="both"/>
              <w:rPr>
                <w:rFonts w:ascii="Arial" w:eastAsia="Cambria" w:hAnsi="Arial" w:cs="Arial"/>
                <w:sz w:val="21"/>
                <w:szCs w:val="21"/>
              </w:rPr>
            </w:pPr>
          </w:p>
        </w:tc>
        <w:tc>
          <w:tcPr>
            <w:tcW w:w="154" w:type="pct"/>
          </w:tcPr>
          <w:p w14:paraId="09023A27"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357DAB0F" w14:textId="77777777" w:rsidR="00923319" w:rsidRPr="00A67277" w:rsidRDefault="00923319" w:rsidP="00923319">
            <w:pPr>
              <w:snapToGrid w:val="0"/>
              <w:spacing w:after="120"/>
              <w:jc w:val="both"/>
              <w:rPr>
                <w:rFonts w:ascii="Arial" w:eastAsia="Cambria" w:hAnsi="Arial" w:cs="Arial"/>
                <w:sz w:val="21"/>
                <w:szCs w:val="21"/>
              </w:rPr>
            </w:pPr>
          </w:p>
        </w:tc>
      </w:tr>
      <w:tr w:rsidR="00923319" w:rsidRPr="00A67277" w14:paraId="4D12DB29" w14:textId="77777777" w:rsidTr="00923319">
        <w:tc>
          <w:tcPr>
            <w:tcW w:w="2512" w:type="pct"/>
          </w:tcPr>
          <w:p w14:paraId="052F2EDB"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Yours faithfully,</w:t>
            </w:r>
          </w:p>
        </w:tc>
        <w:tc>
          <w:tcPr>
            <w:tcW w:w="154" w:type="pct"/>
          </w:tcPr>
          <w:p w14:paraId="7E254C1D"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77E5FC74" w14:textId="77777777" w:rsidR="00923319" w:rsidRPr="00A67277" w:rsidRDefault="00923319" w:rsidP="00923319">
            <w:pPr>
              <w:snapToGrid w:val="0"/>
              <w:spacing w:after="120"/>
              <w:jc w:val="both"/>
              <w:rPr>
                <w:rFonts w:ascii="Arial" w:eastAsia="Cambria" w:hAnsi="Arial" w:cs="Arial"/>
                <w:sz w:val="21"/>
                <w:szCs w:val="21"/>
              </w:rPr>
            </w:pPr>
            <w:r w:rsidRPr="00A67277">
              <w:rPr>
                <w:rFonts w:ascii="Arial" w:eastAsia="Cambria" w:hAnsi="Arial" w:cs="Arial"/>
                <w:sz w:val="21"/>
                <w:szCs w:val="21"/>
              </w:rPr>
              <w:t>Hormat Kami,</w:t>
            </w:r>
          </w:p>
        </w:tc>
      </w:tr>
      <w:tr w:rsidR="00923319" w:rsidRPr="00A67277" w14:paraId="44233E48" w14:textId="77777777" w:rsidTr="00923319">
        <w:tc>
          <w:tcPr>
            <w:tcW w:w="2512" w:type="pct"/>
          </w:tcPr>
          <w:p w14:paraId="676E98D2" w14:textId="77777777" w:rsidR="00923319" w:rsidRPr="00A67277" w:rsidRDefault="00923319" w:rsidP="00923319">
            <w:pPr>
              <w:snapToGrid w:val="0"/>
              <w:spacing w:after="120"/>
              <w:jc w:val="both"/>
              <w:rPr>
                <w:rFonts w:ascii="Arial" w:eastAsia="Cambria" w:hAnsi="Arial" w:cs="Arial"/>
                <w:sz w:val="21"/>
                <w:szCs w:val="21"/>
              </w:rPr>
            </w:pPr>
          </w:p>
        </w:tc>
        <w:tc>
          <w:tcPr>
            <w:tcW w:w="154" w:type="pct"/>
          </w:tcPr>
          <w:p w14:paraId="18E9A3D5"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563ED94D" w14:textId="77777777" w:rsidR="00923319" w:rsidRPr="00A67277" w:rsidRDefault="00923319" w:rsidP="00923319">
            <w:pPr>
              <w:snapToGrid w:val="0"/>
              <w:spacing w:after="120"/>
              <w:jc w:val="both"/>
              <w:rPr>
                <w:rFonts w:ascii="Arial" w:eastAsia="Cambria" w:hAnsi="Arial" w:cs="Arial"/>
                <w:sz w:val="21"/>
                <w:szCs w:val="21"/>
              </w:rPr>
            </w:pPr>
          </w:p>
        </w:tc>
      </w:tr>
      <w:tr w:rsidR="00923319" w:rsidRPr="00A67277" w14:paraId="52CECA72" w14:textId="77777777" w:rsidTr="00923319">
        <w:tc>
          <w:tcPr>
            <w:tcW w:w="2512" w:type="pct"/>
          </w:tcPr>
          <w:p w14:paraId="17192BCC" w14:textId="77777777" w:rsidR="00923319" w:rsidRPr="00A67277" w:rsidRDefault="00923319" w:rsidP="00923319">
            <w:pPr>
              <w:tabs>
                <w:tab w:val="left" w:pos="2817"/>
              </w:tabs>
              <w:snapToGrid w:val="0"/>
              <w:spacing w:after="120"/>
              <w:jc w:val="both"/>
              <w:rPr>
                <w:rFonts w:ascii="Arial" w:eastAsia="Cambria" w:hAnsi="Arial" w:cs="Arial"/>
                <w:sz w:val="21"/>
                <w:szCs w:val="21"/>
              </w:rPr>
            </w:pPr>
            <w:r w:rsidRPr="00A67277">
              <w:rPr>
                <w:rFonts w:ascii="Arial" w:eastAsia="Cambria" w:hAnsi="Arial" w:cs="Arial"/>
                <w:sz w:val="21"/>
                <w:szCs w:val="21"/>
              </w:rPr>
              <w:t>___________________</w:t>
            </w:r>
            <w:r w:rsidRPr="00A67277">
              <w:rPr>
                <w:rFonts w:ascii="Arial" w:eastAsia="Cambria" w:hAnsi="Arial" w:cs="Arial"/>
                <w:sz w:val="21"/>
                <w:szCs w:val="21"/>
              </w:rPr>
              <w:tab/>
            </w:r>
          </w:p>
        </w:tc>
        <w:tc>
          <w:tcPr>
            <w:tcW w:w="154" w:type="pct"/>
          </w:tcPr>
          <w:p w14:paraId="3BB1EA35" w14:textId="77777777" w:rsidR="00923319" w:rsidRPr="005F41DF" w:rsidRDefault="00923319" w:rsidP="005F41DF">
            <w:pPr>
              <w:pStyle w:val="ListParagraph"/>
              <w:numPr>
                <w:ilvl w:val="0"/>
                <w:numId w:val="590"/>
              </w:numPr>
              <w:snapToGrid w:val="0"/>
              <w:spacing w:after="120" w:line="240" w:lineRule="auto"/>
              <w:rPr>
                <w:rFonts w:eastAsia="Cambria" w:cs="Arial"/>
              </w:rPr>
            </w:pPr>
          </w:p>
        </w:tc>
        <w:tc>
          <w:tcPr>
            <w:tcW w:w="2335" w:type="pct"/>
          </w:tcPr>
          <w:p w14:paraId="3372B677" w14:textId="77777777" w:rsidR="00923319" w:rsidRPr="00A67277" w:rsidRDefault="00923319" w:rsidP="00923319">
            <w:pPr>
              <w:snapToGrid w:val="0"/>
              <w:spacing w:after="120"/>
              <w:jc w:val="both"/>
              <w:rPr>
                <w:rFonts w:ascii="Arial" w:hAnsi="Arial" w:cs="Arial"/>
                <w:b/>
                <w:sz w:val="21"/>
                <w:szCs w:val="21"/>
              </w:rPr>
            </w:pPr>
            <w:r w:rsidRPr="00A67277">
              <w:rPr>
                <w:rFonts w:ascii="Arial" w:eastAsia="Cambria" w:hAnsi="Arial" w:cs="Arial"/>
                <w:sz w:val="21"/>
                <w:szCs w:val="21"/>
              </w:rPr>
              <w:t>___________________</w:t>
            </w:r>
          </w:p>
        </w:tc>
      </w:tr>
    </w:tbl>
    <w:p w14:paraId="623961BC"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Style w:val="TableGrid"/>
        <w:tblW w:w="9711"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9"/>
        <w:gridCol w:w="236"/>
        <w:gridCol w:w="4526"/>
      </w:tblGrid>
      <w:tr w:rsidR="00923319" w:rsidRPr="00A67277" w14:paraId="73A9E0F1" w14:textId="77777777" w:rsidTr="00923319">
        <w:tc>
          <w:tcPr>
            <w:tcW w:w="4949" w:type="dxa"/>
          </w:tcPr>
          <w:p w14:paraId="4E675FD5" w14:textId="4D5A8B8B" w:rsidR="00923319" w:rsidRPr="00A67277" w:rsidRDefault="00923319" w:rsidP="00F93200">
            <w:pPr>
              <w:pStyle w:val="SchTitle"/>
              <w:rPr>
                <w:rFonts w:cs="Arial"/>
                <w:sz w:val="21"/>
              </w:rPr>
            </w:pPr>
            <w:r w:rsidRPr="00A67277">
              <w:rPr>
                <w:rFonts w:cs="Arial"/>
                <w:sz w:val="21"/>
              </w:rPr>
              <w:t xml:space="preserve">Appendix </w:t>
            </w:r>
            <w:r w:rsidR="00F93200" w:rsidRPr="00A67277">
              <w:rPr>
                <w:rFonts w:cs="Arial"/>
                <w:sz w:val="21"/>
              </w:rPr>
              <w:t xml:space="preserve">21 </w:t>
            </w:r>
            <w:r w:rsidRPr="00A67277">
              <w:rPr>
                <w:rFonts w:cs="Arial"/>
                <w:sz w:val="21"/>
              </w:rPr>
              <w:t>– Format of Independent Supervisor Consultant</w:t>
            </w:r>
            <w:r w:rsidR="00F9647C">
              <w:rPr>
                <w:rFonts w:cs="Arial"/>
                <w:sz w:val="21"/>
              </w:rPr>
              <w:t xml:space="preserve"> Contract</w:t>
            </w:r>
          </w:p>
        </w:tc>
        <w:tc>
          <w:tcPr>
            <w:tcW w:w="236" w:type="dxa"/>
          </w:tcPr>
          <w:p w14:paraId="6ED455DA" w14:textId="77777777" w:rsidR="00923319" w:rsidRPr="00A67277" w:rsidRDefault="00923319" w:rsidP="00923319">
            <w:pPr>
              <w:spacing w:before="120" w:after="120"/>
              <w:jc w:val="center"/>
              <w:rPr>
                <w:rFonts w:ascii="Arial" w:hAnsi="Arial" w:cs="Arial"/>
                <w:sz w:val="21"/>
                <w:szCs w:val="21"/>
              </w:rPr>
            </w:pPr>
          </w:p>
        </w:tc>
        <w:tc>
          <w:tcPr>
            <w:tcW w:w="4526" w:type="dxa"/>
          </w:tcPr>
          <w:p w14:paraId="62EE867A" w14:textId="1621E15A" w:rsidR="00923319" w:rsidRPr="00A67277" w:rsidRDefault="00923319" w:rsidP="00F9647C">
            <w:pPr>
              <w:pStyle w:val="SchTitle"/>
              <w:rPr>
                <w:rFonts w:cs="Arial"/>
                <w:sz w:val="21"/>
              </w:rPr>
            </w:pPr>
            <w:r w:rsidRPr="00A67277">
              <w:rPr>
                <w:rFonts w:cs="Arial"/>
                <w:sz w:val="21"/>
              </w:rPr>
              <w:t xml:space="preserve">Lampiran </w:t>
            </w:r>
            <w:r w:rsidR="00F93200" w:rsidRPr="00A67277">
              <w:rPr>
                <w:rFonts w:cs="Arial"/>
                <w:sz w:val="21"/>
              </w:rPr>
              <w:t xml:space="preserve">21 </w:t>
            </w:r>
            <w:r w:rsidRPr="00A67277">
              <w:rPr>
                <w:rFonts w:cs="Arial"/>
                <w:sz w:val="21"/>
              </w:rPr>
              <w:t>– Bentuk Perjanjian Konsultan Pengawas Independen</w:t>
            </w:r>
          </w:p>
        </w:tc>
      </w:tr>
      <w:tr w:rsidR="00923319" w:rsidRPr="00A67277" w14:paraId="7BA1059A" w14:textId="77777777" w:rsidTr="00923319">
        <w:tc>
          <w:tcPr>
            <w:tcW w:w="4949" w:type="dxa"/>
          </w:tcPr>
          <w:p w14:paraId="57276999" w14:textId="77777777" w:rsidR="00923319" w:rsidRPr="00A67277" w:rsidRDefault="00923319" w:rsidP="00923319">
            <w:pPr>
              <w:pStyle w:val="Body1"/>
              <w:spacing w:before="120" w:after="120"/>
              <w:rPr>
                <w:rFonts w:cs="Arial"/>
                <w:b/>
                <w:smallCaps/>
              </w:rPr>
            </w:pPr>
          </w:p>
        </w:tc>
        <w:tc>
          <w:tcPr>
            <w:tcW w:w="236" w:type="dxa"/>
          </w:tcPr>
          <w:p w14:paraId="1E0AE9BA" w14:textId="77777777" w:rsidR="00923319" w:rsidRPr="00A67277" w:rsidRDefault="00923319" w:rsidP="00923319">
            <w:pPr>
              <w:spacing w:before="120" w:after="120"/>
              <w:rPr>
                <w:rFonts w:ascii="Arial" w:hAnsi="Arial" w:cs="Arial"/>
                <w:sz w:val="21"/>
                <w:szCs w:val="21"/>
              </w:rPr>
            </w:pPr>
          </w:p>
        </w:tc>
        <w:tc>
          <w:tcPr>
            <w:tcW w:w="4526" w:type="dxa"/>
          </w:tcPr>
          <w:p w14:paraId="23B54190" w14:textId="77777777" w:rsidR="00923319" w:rsidRPr="00A67277" w:rsidRDefault="00923319" w:rsidP="00923319">
            <w:pPr>
              <w:pStyle w:val="SchNumber3"/>
              <w:numPr>
                <w:ilvl w:val="0"/>
                <w:numId w:val="0"/>
              </w:numPr>
              <w:spacing w:before="120" w:after="120"/>
              <w:ind w:left="33"/>
              <w:rPr>
                <w:rFonts w:cs="Arial"/>
                <w:b/>
                <w:smallCaps/>
              </w:rPr>
            </w:pPr>
          </w:p>
        </w:tc>
      </w:tr>
      <w:tr w:rsidR="00923319" w:rsidRPr="00A67277" w14:paraId="102FB91B" w14:textId="77777777" w:rsidTr="00923319">
        <w:tc>
          <w:tcPr>
            <w:tcW w:w="4949" w:type="dxa"/>
          </w:tcPr>
          <w:p w14:paraId="6B60F268" w14:textId="1AE611B8" w:rsidR="00923319" w:rsidRPr="00A67277" w:rsidRDefault="00923319" w:rsidP="00F9647C">
            <w:pPr>
              <w:pStyle w:val="Body1"/>
              <w:spacing w:before="120" w:after="120"/>
              <w:rPr>
                <w:rFonts w:cs="Arial"/>
                <w:lang w:val="en-US"/>
              </w:rPr>
            </w:pPr>
            <w:r w:rsidRPr="00A67277">
              <w:rPr>
                <w:rFonts w:cs="Arial"/>
                <w:lang w:val="en-US"/>
              </w:rPr>
              <w:t xml:space="preserve">This </w:t>
            </w:r>
            <w:r w:rsidRPr="00A67277">
              <w:rPr>
                <w:rFonts w:cs="Arial"/>
                <w:b/>
                <w:lang w:val="en-US"/>
              </w:rPr>
              <w:t xml:space="preserve">Independent Supervisor Consultant </w:t>
            </w:r>
            <w:r w:rsidR="00F9647C">
              <w:rPr>
                <w:rFonts w:cs="Arial"/>
                <w:b/>
                <w:lang w:val="en-US"/>
              </w:rPr>
              <w:t>Contract</w:t>
            </w:r>
            <w:r w:rsidR="00F9647C" w:rsidRPr="00A67277" w:rsidDel="00354B99">
              <w:rPr>
                <w:rFonts w:cs="Arial"/>
                <w:lang w:val="en-US"/>
              </w:rPr>
              <w:t xml:space="preserve"> </w:t>
            </w:r>
            <w:r w:rsidRPr="00A67277">
              <w:rPr>
                <w:rFonts w:cs="Arial"/>
                <w:lang w:val="en-US"/>
              </w:rPr>
              <w:t>(this "Agreement") is made and signed today, [day] _______________, [date] _______________, by and between:</w:t>
            </w:r>
          </w:p>
        </w:tc>
        <w:tc>
          <w:tcPr>
            <w:tcW w:w="236" w:type="dxa"/>
          </w:tcPr>
          <w:p w14:paraId="01407D97" w14:textId="77777777" w:rsidR="00923319" w:rsidRPr="00A67277" w:rsidRDefault="00923319" w:rsidP="00923319">
            <w:pPr>
              <w:spacing w:before="120" w:after="120"/>
              <w:rPr>
                <w:rFonts w:ascii="Arial" w:eastAsia="Arial Unicode MS" w:hAnsi="Arial" w:cs="Arial"/>
                <w:sz w:val="21"/>
                <w:szCs w:val="21"/>
                <w:lang w:eastAsia="en-GB"/>
              </w:rPr>
            </w:pPr>
          </w:p>
        </w:tc>
        <w:tc>
          <w:tcPr>
            <w:tcW w:w="4526" w:type="dxa"/>
          </w:tcPr>
          <w:p w14:paraId="221EBC6F" w14:textId="0742701A" w:rsidR="00923319" w:rsidRPr="00A67277" w:rsidRDefault="00923319" w:rsidP="00F9647C">
            <w:pPr>
              <w:pStyle w:val="SchNumber3"/>
              <w:numPr>
                <w:ilvl w:val="0"/>
                <w:numId w:val="0"/>
              </w:numPr>
              <w:spacing w:before="120" w:after="120"/>
              <w:ind w:left="33"/>
              <w:rPr>
                <w:rFonts w:cs="Arial"/>
                <w:lang w:val="en-US"/>
              </w:rPr>
            </w:pPr>
            <w:r w:rsidRPr="00A67277">
              <w:rPr>
                <w:rFonts w:cs="Arial"/>
                <w:b/>
                <w:lang w:val="en-US"/>
              </w:rPr>
              <w:t>Perjanjian Konsultan Pengawas Independen</w:t>
            </w:r>
            <w:r w:rsidRPr="00A67277">
              <w:rPr>
                <w:rFonts w:cs="Arial"/>
                <w:lang w:val="en-US"/>
              </w:rPr>
              <w:t xml:space="preserve"> ini ("</w:t>
            </w:r>
            <w:r w:rsidRPr="00A67277">
              <w:rPr>
                <w:rFonts w:cs="Arial"/>
                <w:b/>
                <w:lang w:val="en-US"/>
              </w:rPr>
              <w:t>Perjanjian</w:t>
            </w:r>
            <w:r w:rsidRPr="00A67277">
              <w:rPr>
                <w:rFonts w:cs="Arial"/>
                <w:lang w:val="en-US"/>
              </w:rPr>
              <w:t>") dibuat dan ditandatangani pada hari ini, _______________, tanggal _______________, oleh dan antara:</w:t>
            </w:r>
          </w:p>
        </w:tc>
      </w:tr>
      <w:tr w:rsidR="00923319" w:rsidRPr="00A67277" w14:paraId="21189CFC" w14:textId="77777777" w:rsidTr="00923319">
        <w:tc>
          <w:tcPr>
            <w:tcW w:w="4949" w:type="dxa"/>
          </w:tcPr>
          <w:p w14:paraId="11DD0A6E" w14:textId="77777777" w:rsidR="00923319" w:rsidRPr="00A67277" w:rsidRDefault="00923319" w:rsidP="00923319">
            <w:pPr>
              <w:pStyle w:val="Parties"/>
              <w:numPr>
                <w:ilvl w:val="0"/>
                <w:numId w:val="615"/>
              </w:numPr>
              <w:tabs>
                <w:tab w:val="clear" w:pos="2146"/>
                <w:tab w:val="num" w:pos="456"/>
              </w:tabs>
              <w:spacing w:before="120" w:after="120"/>
              <w:ind w:left="456" w:hanging="456"/>
              <w:rPr>
                <w:rFonts w:cs="Arial"/>
              </w:rPr>
            </w:pPr>
            <w:r w:rsidRPr="00A67277">
              <w:rPr>
                <w:rFonts w:cs="Arial"/>
                <w:b/>
              </w:rPr>
              <w:t>[***]</w:t>
            </w:r>
            <w:r w:rsidRPr="00A67277">
              <w:rPr>
                <w:rFonts w:cs="Arial"/>
              </w:rPr>
              <w:t xml:space="preserve">, </w:t>
            </w:r>
            <w:r w:rsidRPr="00A67277">
              <w:rPr>
                <w:rFonts w:cs="Arial"/>
                <w:lang w:val="en-US"/>
              </w:rPr>
              <w:t>duly established based on [***] whose head office is located at [***], in this matter is represented by [***] as [***] appointed pursuant to [***] and therefore acting for and on behalf of [***] (hereinafter shall be referred to as the “</w:t>
            </w:r>
            <w:r w:rsidRPr="00A67277">
              <w:rPr>
                <w:rFonts w:cs="Arial"/>
                <w:b/>
                <w:lang w:val="en-US"/>
              </w:rPr>
              <w:t>GCA</w:t>
            </w:r>
            <w:r w:rsidRPr="00A67277">
              <w:rPr>
                <w:rFonts w:cs="Arial"/>
                <w:lang w:val="en-US"/>
              </w:rPr>
              <w:t>”)</w:t>
            </w:r>
          </w:p>
        </w:tc>
        <w:tc>
          <w:tcPr>
            <w:tcW w:w="236" w:type="dxa"/>
          </w:tcPr>
          <w:p w14:paraId="67E5CFF9" w14:textId="77777777" w:rsidR="00923319" w:rsidRPr="00A67277" w:rsidRDefault="00923319" w:rsidP="00923319">
            <w:pPr>
              <w:spacing w:before="120" w:after="120"/>
              <w:rPr>
                <w:rFonts w:ascii="Arial" w:hAnsi="Arial" w:cs="Arial"/>
                <w:sz w:val="21"/>
                <w:szCs w:val="21"/>
              </w:rPr>
            </w:pPr>
          </w:p>
        </w:tc>
        <w:tc>
          <w:tcPr>
            <w:tcW w:w="4526" w:type="dxa"/>
          </w:tcPr>
          <w:p w14:paraId="766879E1" w14:textId="77777777" w:rsidR="00923319" w:rsidRPr="00A67277" w:rsidRDefault="00923319" w:rsidP="00923319">
            <w:pPr>
              <w:pStyle w:val="SchNumber3"/>
              <w:numPr>
                <w:ilvl w:val="0"/>
                <w:numId w:val="616"/>
              </w:numPr>
              <w:tabs>
                <w:tab w:val="clear" w:pos="2146"/>
                <w:tab w:val="num" w:pos="450"/>
              </w:tabs>
              <w:spacing w:before="120" w:after="120"/>
              <w:ind w:left="450" w:hanging="425"/>
              <w:rPr>
                <w:rFonts w:cs="Arial"/>
                <w:lang w:val="id-ID"/>
              </w:rPr>
            </w:pPr>
            <w:r w:rsidRPr="00A67277">
              <w:rPr>
                <w:rFonts w:cs="Arial"/>
                <w:b/>
              </w:rPr>
              <w:t>[***]</w:t>
            </w:r>
            <w:r w:rsidRPr="00A67277">
              <w:rPr>
                <w:rFonts w:cs="Arial"/>
              </w:rPr>
              <w:t xml:space="preserve">, yang dibentuk berdasarkan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w:t>
            </w:r>
            <w:r w:rsidRPr="00A67277">
              <w:rPr>
                <w:rFonts w:cs="Arial"/>
                <w:b/>
                <w:smallCaps/>
              </w:rPr>
              <w:t xml:space="preserve"> </w:t>
            </w:r>
            <w:r w:rsidRPr="00A67277">
              <w:rPr>
                <w:rFonts w:cs="Arial"/>
              </w:rPr>
              <w:t xml:space="preserve">yang mempunyai kantor pusat di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dalam hal ini diwakili oleh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selaku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yang diangkat berdasarkan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dan oleh karenanya bertindak untuk dan atas nama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(selanjutnya disebut sebagai "</w:t>
            </w:r>
            <w:r w:rsidRPr="00A67277">
              <w:rPr>
                <w:rFonts w:cs="Arial"/>
                <w:b/>
              </w:rPr>
              <w:t>PJPK</w:t>
            </w:r>
            <w:r w:rsidRPr="00A67277">
              <w:rPr>
                <w:rFonts w:cs="Arial"/>
              </w:rPr>
              <w:t>"),</w:t>
            </w:r>
            <w:r w:rsidRPr="00A67277">
              <w:rPr>
                <w:rFonts w:cs="Arial"/>
                <w:b/>
              </w:rPr>
              <w:t xml:space="preserve"> </w:t>
            </w:r>
            <w:r w:rsidRPr="00A67277">
              <w:rPr>
                <w:rFonts w:cs="Arial"/>
              </w:rPr>
              <w:t>dan</w:t>
            </w:r>
          </w:p>
        </w:tc>
      </w:tr>
      <w:tr w:rsidR="00923319" w:rsidRPr="00A67277" w14:paraId="4473E543" w14:textId="77777777" w:rsidTr="00923319">
        <w:tc>
          <w:tcPr>
            <w:tcW w:w="4949" w:type="dxa"/>
          </w:tcPr>
          <w:p w14:paraId="484B26EB" w14:textId="77777777" w:rsidR="00923319" w:rsidRPr="00A67277" w:rsidRDefault="00923319" w:rsidP="00923319">
            <w:pPr>
              <w:pStyle w:val="Parties"/>
              <w:numPr>
                <w:ilvl w:val="0"/>
                <w:numId w:val="615"/>
              </w:numPr>
              <w:tabs>
                <w:tab w:val="clear" w:pos="2146"/>
                <w:tab w:val="num" w:pos="456"/>
              </w:tabs>
              <w:spacing w:before="120" w:after="120"/>
              <w:ind w:left="456" w:hanging="456"/>
              <w:rPr>
                <w:rFonts w:cs="Arial"/>
              </w:rPr>
            </w:pPr>
            <w:r w:rsidRPr="00A67277">
              <w:rPr>
                <w:rFonts w:cs="Arial"/>
                <w:b/>
                <w:smallCaps/>
                <w:lang w:val="en-US"/>
              </w:rPr>
              <w:t xml:space="preserve">[***], </w:t>
            </w:r>
            <w:r w:rsidRPr="00A67277">
              <w:rPr>
                <w:rFonts w:cs="Arial"/>
                <w:lang w:val="en-US"/>
              </w:rPr>
              <w:t>a limited liability company established under the Indonesian laws of [***], made before [***], Notary in [***] which has been legalized by Minister of Law and Human Rights based on [***], domiciled in [***], in this matter is represented by [***] as [***] acting for and on behalf of [***] (hereinafter shall be referred to as the “</w:t>
            </w:r>
            <w:r w:rsidRPr="00A67277">
              <w:rPr>
                <w:rFonts w:cs="Arial"/>
                <w:b/>
                <w:lang w:val="en-US"/>
              </w:rPr>
              <w:t>IBE</w:t>
            </w:r>
            <w:r w:rsidRPr="00A67277">
              <w:rPr>
                <w:rFonts w:cs="Arial"/>
                <w:lang w:val="en-US"/>
              </w:rPr>
              <w:t>”);</w:t>
            </w:r>
            <w:r w:rsidRPr="00A67277">
              <w:rPr>
                <w:rFonts w:cs="Arial"/>
              </w:rPr>
              <w:t xml:space="preserve"> and</w:t>
            </w:r>
          </w:p>
        </w:tc>
        <w:tc>
          <w:tcPr>
            <w:tcW w:w="236" w:type="dxa"/>
          </w:tcPr>
          <w:p w14:paraId="0620E821" w14:textId="77777777" w:rsidR="00923319" w:rsidRPr="00A67277" w:rsidRDefault="00923319" w:rsidP="00923319">
            <w:pPr>
              <w:spacing w:before="120" w:after="120"/>
              <w:rPr>
                <w:rFonts w:ascii="Arial" w:hAnsi="Arial" w:cs="Arial"/>
                <w:sz w:val="21"/>
                <w:szCs w:val="21"/>
              </w:rPr>
            </w:pPr>
          </w:p>
        </w:tc>
        <w:tc>
          <w:tcPr>
            <w:tcW w:w="4526" w:type="dxa"/>
          </w:tcPr>
          <w:p w14:paraId="3775FCE6" w14:textId="77777777" w:rsidR="00923319" w:rsidRPr="00A67277" w:rsidRDefault="00923319" w:rsidP="00923319">
            <w:pPr>
              <w:pStyle w:val="SchNumber3"/>
              <w:numPr>
                <w:ilvl w:val="0"/>
                <w:numId w:val="616"/>
              </w:numPr>
              <w:tabs>
                <w:tab w:val="clear" w:pos="2146"/>
                <w:tab w:val="num" w:pos="450"/>
              </w:tabs>
              <w:spacing w:before="120" w:after="120"/>
              <w:ind w:left="450" w:hanging="425"/>
              <w:rPr>
                <w:rFonts w:cs="Arial"/>
                <w:lang w:val="id-ID"/>
              </w:rPr>
            </w:pPr>
            <w:r w:rsidRPr="00A67277">
              <w:rPr>
                <w:rFonts w:cs="Arial"/>
                <w:b/>
                <w:smallCaps/>
              </w:rPr>
              <w:t>[***]</w:t>
            </w:r>
            <w:r w:rsidRPr="00A67277">
              <w:rPr>
                <w:rFonts w:cs="Arial"/>
              </w:rPr>
              <w:t xml:space="preserve">, suatu perusahaan yang didirikan berdasarkan hukum negara Republik Indonesia berdasarkan </w:t>
            </w:r>
            <w:r w:rsidRPr="00A67277">
              <w:rPr>
                <w:rFonts w:cs="Arial"/>
                <w:smallCaps/>
              </w:rPr>
              <w:t>[***]</w:t>
            </w:r>
            <w:r w:rsidRPr="00A67277">
              <w:rPr>
                <w:rFonts w:cs="Arial"/>
              </w:rPr>
              <w:t xml:space="preserve">, dibuat di hadapan </w:t>
            </w:r>
            <w:r w:rsidRPr="00A67277">
              <w:rPr>
                <w:rFonts w:cs="Arial"/>
                <w:smallCaps/>
              </w:rPr>
              <w:t>[***]</w:t>
            </w:r>
            <w:r w:rsidRPr="00A67277">
              <w:rPr>
                <w:rFonts w:cs="Arial"/>
              </w:rPr>
              <w:t xml:space="preserve">, Notaris di </w:t>
            </w:r>
            <w:r w:rsidRPr="00A67277">
              <w:rPr>
                <w:rFonts w:cs="Arial"/>
                <w:smallCaps/>
              </w:rPr>
              <w:t>[***]</w:t>
            </w:r>
            <w:r w:rsidRPr="00A67277">
              <w:rPr>
                <w:rFonts w:cs="Arial"/>
                <w:b/>
                <w:smallCaps/>
              </w:rPr>
              <w:t xml:space="preserve"> </w:t>
            </w:r>
            <w:r w:rsidRPr="00A67277">
              <w:rPr>
                <w:rFonts w:cs="Arial"/>
              </w:rPr>
              <w:t xml:space="preserve">yang telah mendapatkan pengesahan dari Menteri Hukum dan Hak Asasi Manusia berdasarkan </w:t>
            </w:r>
            <w:r w:rsidRPr="00A67277">
              <w:rPr>
                <w:rFonts w:cs="Arial"/>
                <w:smallCaps/>
              </w:rPr>
              <w:t>[***]</w:t>
            </w:r>
            <w:r w:rsidRPr="00A67277">
              <w:rPr>
                <w:rFonts w:cs="Arial"/>
              </w:rPr>
              <w:t xml:space="preserve">, berkedudukan di </w:t>
            </w:r>
            <w:r w:rsidRPr="00A67277">
              <w:rPr>
                <w:rFonts w:cs="Arial"/>
                <w:smallCaps/>
              </w:rPr>
              <w:t xml:space="preserve">[***], </w:t>
            </w:r>
            <w:r w:rsidRPr="00A67277">
              <w:rPr>
                <w:rFonts w:cs="Arial"/>
              </w:rPr>
              <w:t xml:space="preserve">dalam hal ini diwakili oleh </w:t>
            </w:r>
            <w:r w:rsidRPr="00A67277">
              <w:rPr>
                <w:rFonts w:cs="Arial"/>
                <w:smallCaps/>
              </w:rPr>
              <w:t>[***]</w:t>
            </w:r>
            <w:r w:rsidRPr="00A67277">
              <w:rPr>
                <w:rFonts w:cs="Arial"/>
                <w:b/>
                <w:smallCaps/>
              </w:rPr>
              <w:t xml:space="preserve"> </w:t>
            </w:r>
            <w:r w:rsidRPr="00A67277">
              <w:rPr>
                <w:rFonts w:cs="Arial"/>
              </w:rPr>
              <w:t xml:space="preserve">selaku </w:t>
            </w:r>
            <w:r w:rsidRPr="00A67277">
              <w:rPr>
                <w:rFonts w:cs="Arial"/>
                <w:smallCaps/>
              </w:rPr>
              <w:t>[***]</w:t>
            </w:r>
            <w:r w:rsidRPr="00A67277">
              <w:rPr>
                <w:rFonts w:cs="Arial"/>
                <w:b/>
                <w:smallCaps/>
              </w:rPr>
              <w:t xml:space="preserve"> </w:t>
            </w:r>
            <w:r w:rsidRPr="00A67277">
              <w:rPr>
                <w:rFonts w:cs="Arial"/>
              </w:rPr>
              <w:t xml:space="preserve">dari dan oleh karenanya berhak bertindak untuk dan atas nama </w:t>
            </w:r>
            <w:r w:rsidRPr="00A67277">
              <w:rPr>
                <w:rFonts w:cs="Arial"/>
                <w:smallCaps/>
              </w:rPr>
              <w:t>[***]</w:t>
            </w:r>
            <w:r w:rsidRPr="00A67277">
              <w:rPr>
                <w:rFonts w:cs="Arial"/>
                <w:b/>
                <w:smallCaps/>
              </w:rPr>
              <w:t xml:space="preserve"> </w:t>
            </w:r>
            <w:r w:rsidRPr="00A67277">
              <w:rPr>
                <w:rFonts w:cs="Arial"/>
              </w:rPr>
              <w:t>(selanjutnya disebut sebagai "</w:t>
            </w:r>
            <w:r w:rsidRPr="00A67277">
              <w:rPr>
                <w:rFonts w:cs="Arial"/>
                <w:b/>
              </w:rPr>
              <w:t>BUP</w:t>
            </w:r>
            <w:r w:rsidRPr="00A67277">
              <w:rPr>
                <w:rFonts w:cs="Arial"/>
              </w:rPr>
              <w:t xml:space="preserve">"); dan </w:t>
            </w:r>
          </w:p>
        </w:tc>
      </w:tr>
      <w:tr w:rsidR="00923319" w:rsidRPr="00A67277" w14:paraId="301806E7" w14:textId="77777777" w:rsidTr="00923319">
        <w:tc>
          <w:tcPr>
            <w:tcW w:w="4949" w:type="dxa"/>
          </w:tcPr>
          <w:p w14:paraId="2D2F0FC9" w14:textId="77777777" w:rsidR="00923319" w:rsidRPr="00A67277" w:rsidRDefault="00923319" w:rsidP="00923319">
            <w:pPr>
              <w:pStyle w:val="Parties"/>
              <w:numPr>
                <w:ilvl w:val="0"/>
                <w:numId w:val="615"/>
              </w:numPr>
              <w:tabs>
                <w:tab w:val="clear" w:pos="2146"/>
                <w:tab w:val="num" w:pos="456"/>
              </w:tabs>
              <w:spacing w:before="120" w:after="120"/>
              <w:ind w:left="456" w:hanging="456"/>
              <w:rPr>
                <w:rFonts w:cs="Arial"/>
              </w:rPr>
            </w:pPr>
            <w:r w:rsidRPr="00A67277">
              <w:rPr>
                <w:rFonts w:cs="Arial"/>
                <w:b/>
                <w:smallCaps/>
                <w:lang w:val="en-US"/>
              </w:rPr>
              <w:t xml:space="preserve">[***], </w:t>
            </w:r>
            <w:r w:rsidRPr="00A67277">
              <w:rPr>
                <w:rFonts w:cs="Arial"/>
                <w:lang w:val="en-US"/>
              </w:rPr>
              <w:t>a limited liability company established under the Indonesian laws of [***], made before [***], Notary in [***] which has been legalized by Minister of Law and Human Rights based on [***], domicile in [***], in this matter represented by [***] as [***] acting for and on behalf of [***]</w:t>
            </w:r>
            <w:r w:rsidRPr="00A67277">
              <w:rPr>
                <w:rFonts w:cs="Arial"/>
              </w:rPr>
              <w:t xml:space="preserve"> (</w:t>
            </w:r>
            <w:r w:rsidRPr="00A67277">
              <w:rPr>
                <w:rFonts w:cs="Arial"/>
                <w:lang w:val="en-US"/>
              </w:rPr>
              <w:t xml:space="preserve">hereinafter shall be referred to as the </w:t>
            </w:r>
            <w:r w:rsidRPr="00A67277">
              <w:rPr>
                <w:rFonts w:cs="Arial"/>
              </w:rPr>
              <w:t>"</w:t>
            </w:r>
            <w:r w:rsidRPr="00A67277">
              <w:rPr>
                <w:rFonts w:cs="Arial"/>
                <w:b/>
              </w:rPr>
              <w:t>Independent Supervisor Consultant</w:t>
            </w:r>
            <w:r w:rsidRPr="00A67277">
              <w:rPr>
                <w:rFonts w:cs="Arial"/>
              </w:rPr>
              <w:t xml:space="preserve"> ").</w:t>
            </w:r>
          </w:p>
        </w:tc>
        <w:tc>
          <w:tcPr>
            <w:tcW w:w="236" w:type="dxa"/>
          </w:tcPr>
          <w:p w14:paraId="017D60B3" w14:textId="77777777" w:rsidR="00923319" w:rsidRPr="00A67277" w:rsidRDefault="00923319" w:rsidP="00923319">
            <w:pPr>
              <w:spacing w:before="120" w:after="120"/>
              <w:rPr>
                <w:rFonts w:ascii="Arial" w:hAnsi="Arial" w:cs="Arial"/>
                <w:sz w:val="21"/>
                <w:szCs w:val="21"/>
              </w:rPr>
            </w:pPr>
          </w:p>
        </w:tc>
        <w:tc>
          <w:tcPr>
            <w:tcW w:w="4526" w:type="dxa"/>
          </w:tcPr>
          <w:p w14:paraId="41F35BDD" w14:textId="77777777" w:rsidR="00923319" w:rsidRPr="00A67277" w:rsidRDefault="00923319" w:rsidP="00923319">
            <w:pPr>
              <w:pStyle w:val="SchNumber3"/>
              <w:numPr>
                <w:ilvl w:val="0"/>
                <w:numId w:val="616"/>
              </w:numPr>
              <w:tabs>
                <w:tab w:val="clear" w:pos="2146"/>
                <w:tab w:val="num" w:pos="450"/>
              </w:tabs>
              <w:spacing w:before="120" w:after="120"/>
              <w:ind w:left="450" w:hanging="425"/>
              <w:rPr>
                <w:rFonts w:cs="Arial"/>
                <w:lang w:val="id-ID"/>
              </w:rPr>
            </w:pPr>
            <w:r w:rsidRPr="00A67277">
              <w:rPr>
                <w:rFonts w:cs="Arial"/>
                <w:b/>
                <w:smallCaps/>
              </w:rPr>
              <w:t>[***]</w:t>
            </w:r>
            <w:r w:rsidRPr="00A67277">
              <w:rPr>
                <w:rFonts w:cs="Arial"/>
              </w:rPr>
              <w:t xml:space="preserve">, suatu perusahaan yang didirikan berdasarkan hukum negara Republik Indonesia berdasarkan </w:t>
            </w:r>
            <w:r w:rsidRPr="00A67277">
              <w:rPr>
                <w:rFonts w:cs="Arial"/>
                <w:smallCaps/>
              </w:rPr>
              <w:t>[***]</w:t>
            </w:r>
            <w:r w:rsidRPr="00A67277">
              <w:rPr>
                <w:rFonts w:cs="Arial"/>
              </w:rPr>
              <w:t xml:space="preserve">, dibuat di hadapan </w:t>
            </w:r>
            <w:r w:rsidRPr="00A67277">
              <w:rPr>
                <w:rFonts w:cs="Arial"/>
                <w:smallCaps/>
              </w:rPr>
              <w:t>[***]</w:t>
            </w:r>
            <w:r w:rsidRPr="00A67277">
              <w:rPr>
                <w:rFonts w:cs="Arial"/>
              </w:rPr>
              <w:t xml:space="preserve">, Notaris di </w:t>
            </w:r>
            <w:r w:rsidRPr="00A67277">
              <w:rPr>
                <w:rFonts w:cs="Arial"/>
                <w:smallCaps/>
              </w:rPr>
              <w:t>[***]</w:t>
            </w:r>
            <w:r w:rsidRPr="00A67277">
              <w:rPr>
                <w:rFonts w:cs="Arial"/>
                <w:b/>
                <w:smallCaps/>
              </w:rPr>
              <w:t xml:space="preserve"> </w:t>
            </w:r>
            <w:r w:rsidRPr="00A67277">
              <w:rPr>
                <w:rFonts w:cs="Arial"/>
              </w:rPr>
              <w:t xml:space="preserve">yang telah mendapatkan pengesahan dari Menteri Hukum dan Hak Asasi Manusia berdasarkan </w:t>
            </w:r>
            <w:r w:rsidRPr="00A67277">
              <w:rPr>
                <w:rFonts w:cs="Arial"/>
                <w:smallCaps/>
              </w:rPr>
              <w:t>[***]</w:t>
            </w:r>
            <w:r w:rsidRPr="00A67277">
              <w:rPr>
                <w:rFonts w:cs="Arial"/>
              </w:rPr>
              <w:t xml:space="preserve">, berkedudukan di </w:t>
            </w:r>
            <w:r w:rsidRPr="00A67277">
              <w:rPr>
                <w:rFonts w:cs="Arial"/>
                <w:smallCaps/>
              </w:rPr>
              <w:t xml:space="preserve">[***], </w:t>
            </w:r>
            <w:r w:rsidRPr="00A67277">
              <w:rPr>
                <w:rFonts w:cs="Arial"/>
              </w:rPr>
              <w:t xml:space="preserve">dalam hal ini diwakili oleh </w:t>
            </w:r>
            <w:r w:rsidRPr="00A67277">
              <w:rPr>
                <w:rFonts w:cs="Arial"/>
                <w:smallCaps/>
              </w:rPr>
              <w:t>[***]</w:t>
            </w:r>
            <w:r w:rsidRPr="00A67277">
              <w:rPr>
                <w:rFonts w:cs="Arial"/>
                <w:b/>
                <w:smallCaps/>
              </w:rPr>
              <w:t xml:space="preserve"> </w:t>
            </w:r>
            <w:r w:rsidRPr="00A67277">
              <w:rPr>
                <w:rFonts w:cs="Arial"/>
              </w:rPr>
              <w:t xml:space="preserve">selaku </w:t>
            </w:r>
            <w:r w:rsidRPr="00A67277">
              <w:rPr>
                <w:rFonts w:cs="Arial"/>
                <w:smallCaps/>
              </w:rPr>
              <w:t>[***]</w:t>
            </w:r>
            <w:r w:rsidRPr="00A67277">
              <w:rPr>
                <w:rFonts w:cs="Arial"/>
                <w:b/>
                <w:smallCaps/>
              </w:rPr>
              <w:t xml:space="preserve"> </w:t>
            </w:r>
            <w:r w:rsidRPr="00A67277">
              <w:rPr>
                <w:rFonts w:cs="Arial"/>
              </w:rPr>
              <w:t xml:space="preserve">dari dan oleh karenanya berhak bertindak untuk dan atas nama </w:t>
            </w:r>
            <w:r w:rsidRPr="00A67277">
              <w:rPr>
                <w:rFonts w:cs="Arial"/>
                <w:smallCaps/>
              </w:rPr>
              <w:t>[***]</w:t>
            </w:r>
            <w:r w:rsidRPr="00A67277">
              <w:rPr>
                <w:rFonts w:cs="Arial"/>
                <w:b/>
                <w:smallCaps/>
              </w:rPr>
              <w:t xml:space="preserve"> </w:t>
            </w:r>
            <w:r w:rsidRPr="00A67277">
              <w:rPr>
                <w:rFonts w:cs="Arial"/>
              </w:rPr>
              <w:t>(selanjutnya disebut sebagai "</w:t>
            </w:r>
            <w:r w:rsidRPr="00A67277">
              <w:rPr>
                <w:rFonts w:cs="Arial"/>
                <w:b/>
              </w:rPr>
              <w:t>Konsultan Pengawas Independen</w:t>
            </w:r>
            <w:r w:rsidRPr="00A67277">
              <w:rPr>
                <w:rFonts w:cs="Arial"/>
              </w:rPr>
              <w:t>").</w:t>
            </w:r>
          </w:p>
        </w:tc>
      </w:tr>
      <w:tr w:rsidR="00923319" w:rsidRPr="00A67277" w14:paraId="48024A60" w14:textId="77777777" w:rsidTr="00923319">
        <w:tc>
          <w:tcPr>
            <w:tcW w:w="4949" w:type="dxa"/>
          </w:tcPr>
          <w:p w14:paraId="24CD9427" w14:textId="77777777" w:rsidR="00923319" w:rsidRPr="00A67277" w:rsidRDefault="00923319" w:rsidP="00923319">
            <w:pPr>
              <w:pStyle w:val="Body1"/>
              <w:spacing w:before="120" w:after="120"/>
              <w:rPr>
                <w:rFonts w:cs="Arial"/>
              </w:rPr>
            </w:pPr>
            <w:r w:rsidRPr="00A67277">
              <w:rPr>
                <w:rFonts w:cs="Arial"/>
              </w:rPr>
              <w:t>(</w:t>
            </w:r>
            <w:r w:rsidRPr="00A67277">
              <w:rPr>
                <w:rFonts w:cs="Arial"/>
                <w:b/>
              </w:rPr>
              <w:t>GCA</w:t>
            </w:r>
            <w:r w:rsidRPr="00A67277">
              <w:rPr>
                <w:rFonts w:cs="Arial"/>
              </w:rPr>
              <w:t xml:space="preserve">, </w:t>
            </w:r>
            <w:r w:rsidRPr="00A67277">
              <w:rPr>
                <w:rFonts w:cs="Arial"/>
                <w:b/>
              </w:rPr>
              <w:t xml:space="preserve">IBE </w:t>
            </w:r>
            <w:r w:rsidRPr="00A67277">
              <w:rPr>
                <w:rFonts w:cs="Arial"/>
              </w:rPr>
              <w:t>and</w:t>
            </w:r>
            <w:r w:rsidRPr="00A67277">
              <w:rPr>
                <w:rFonts w:cs="Arial"/>
                <w:b/>
              </w:rPr>
              <w:t xml:space="preserve"> Independent Supervisor Consultant </w:t>
            </w:r>
            <w:r w:rsidRPr="00A67277">
              <w:rPr>
                <w:rFonts w:cs="Arial"/>
              </w:rPr>
              <w:t>shall hereinafter collectively be referred to as “</w:t>
            </w:r>
            <w:r w:rsidRPr="00A67277">
              <w:rPr>
                <w:rFonts w:cs="Arial"/>
                <w:b/>
              </w:rPr>
              <w:t>Parties</w:t>
            </w:r>
            <w:r w:rsidRPr="00A67277">
              <w:rPr>
                <w:rFonts w:cs="Arial"/>
              </w:rPr>
              <w:t>” and individually as “</w:t>
            </w:r>
            <w:r w:rsidRPr="00A67277">
              <w:rPr>
                <w:rFonts w:cs="Arial"/>
                <w:b/>
              </w:rPr>
              <w:t>Party</w:t>
            </w:r>
            <w:r w:rsidRPr="00A67277">
              <w:rPr>
                <w:rFonts w:cs="Arial"/>
              </w:rPr>
              <w:t>”)</w:t>
            </w:r>
          </w:p>
        </w:tc>
        <w:tc>
          <w:tcPr>
            <w:tcW w:w="236" w:type="dxa"/>
          </w:tcPr>
          <w:p w14:paraId="7DB95389" w14:textId="77777777" w:rsidR="00923319" w:rsidRPr="00A67277" w:rsidRDefault="00923319" w:rsidP="00923319">
            <w:pPr>
              <w:spacing w:before="120" w:after="120"/>
              <w:rPr>
                <w:rFonts w:ascii="Arial" w:hAnsi="Arial" w:cs="Arial"/>
                <w:sz w:val="21"/>
                <w:szCs w:val="21"/>
              </w:rPr>
            </w:pPr>
          </w:p>
        </w:tc>
        <w:tc>
          <w:tcPr>
            <w:tcW w:w="4526" w:type="dxa"/>
          </w:tcPr>
          <w:p w14:paraId="49C6B7E3" w14:textId="77777777" w:rsidR="00923319" w:rsidRPr="00A67277" w:rsidRDefault="00923319" w:rsidP="00923319">
            <w:pPr>
              <w:pStyle w:val="Body1"/>
              <w:spacing w:before="120" w:after="120"/>
              <w:rPr>
                <w:rFonts w:cs="Arial"/>
              </w:rPr>
            </w:pPr>
            <w:r w:rsidRPr="00A67277">
              <w:rPr>
                <w:rFonts w:cs="Arial"/>
              </w:rPr>
              <w:t xml:space="preserve">(Selanjutnya </w:t>
            </w:r>
            <w:r w:rsidRPr="00A67277">
              <w:rPr>
                <w:rFonts w:cs="Arial"/>
                <w:b/>
              </w:rPr>
              <w:t>PJPK</w:t>
            </w:r>
            <w:r w:rsidRPr="00A67277">
              <w:rPr>
                <w:rFonts w:cs="Arial"/>
              </w:rPr>
              <w:t>,</w:t>
            </w:r>
            <w:r w:rsidRPr="00A67277">
              <w:rPr>
                <w:rFonts w:cs="Arial"/>
                <w:b/>
              </w:rPr>
              <w:t xml:space="preserve"> BUP</w:t>
            </w:r>
            <w:r w:rsidRPr="00A67277">
              <w:rPr>
                <w:rFonts w:cs="Arial"/>
              </w:rPr>
              <w:t xml:space="preserve"> dan </w:t>
            </w:r>
            <w:r w:rsidRPr="00A67277">
              <w:rPr>
                <w:rFonts w:cs="Arial"/>
                <w:b/>
              </w:rPr>
              <w:t>Konsultan Pengawas Independen</w:t>
            </w:r>
            <w:r w:rsidRPr="00A67277">
              <w:rPr>
                <w:rFonts w:cs="Arial"/>
              </w:rPr>
              <w:t xml:space="preserve"> secara bersama-sama disebut sebagai "</w:t>
            </w:r>
            <w:r w:rsidRPr="00A67277">
              <w:rPr>
                <w:rFonts w:cs="Arial"/>
                <w:b/>
              </w:rPr>
              <w:t>Para Pihak</w:t>
            </w:r>
            <w:r w:rsidRPr="00A67277">
              <w:rPr>
                <w:rFonts w:cs="Arial"/>
              </w:rPr>
              <w:t>" dan masing-masing disebut "</w:t>
            </w:r>
            <w:r w:rsidRPr="00A67277">
              <w:rPr>
                <w:rFonts w:cs="Arial"/>
                <w:b/>
              </w:rPr>
              <w:t>Pihak</w:t>
            </w:r>
            <w:r w:rsidRPr="00A67277">
              <w:rPr>
                <w:rFonts w:cs="Arial"/>
              </w:rPr>
              <w:t>".).</w:t>
            </w:r>
          </w:p>
          <w:p w14:paraId="678968E3" w14:textId="77777777" w:rsidR="00923319" w:rsidRPr="00A67277" w:rsidRDefault="00923319" w:rsidP="00923319">
            <w:pPr>
              <w:pStyle w:val="Body1"/>
              <w:spacing w:before="120" w:after="120"/>
              <w:rPr>
                <w:rFonts w:cs="Arial"/>
              </w:rPr>
            </w:pPr>
          </w:p>
          <w:p w14:paraId="1D89BC1C" w14:textId="77777777" w:rsidR="00923319" w:rsidRPr="00A67277" w:rsidRDefault="00923319" w:rsidP="00923319">
            <w:pPr>
              <w:pStyle w:val="Body1"/>
              <w:spacing w:before="120" w:after="120"/>
              <w:rPr>
                <w:rFonts w:cs="Arial"/>
              </w:rPr>
            </w:pPr>
          </w:p>
        </w:tc>
      </w:tr>
      <w:tr w:rsidR="00923319" w:rsidRPr="00A67277" w14:paraId="6F2E4123" w14:textId="77777777" w:rsidTr="00923319">
        <w:tc>
          <w:tcPr>
            <w:tcW w:w="4949" w:type="dxa"/>
          </w:tcPr>
          <w:p w14:paraId="1AEC144D" w14:textId="77777777" w:rsidR="00923319" w:rsidRPr="00A67277" w:rsidRDefault="00923319" w:rsidP="00923319">
            <w:pPr>
              <w:pStyle w:val="Body1"/>
              <w:spacing w:before="120" w:after="120"/>
              <w:rPr>
                <w:rFonts w:cs="Arial"/>
              </w:rPr>
            </w:pPr>
            <w:r w:rsidRPr="00A67277">
              <w:rPr>
                <w:rStyle w:val="Heading1Text"/>
                <w:rFonts w:cs="Arial"/>
              </w:rPr>
              <w:t>Recital</w:t>
            </w:r>
          </w:p>
        </w:tc>
        <w:tc>
          <w:tcPr>
            <w:tcW w:w="236" w:type="dxa"/>
          </w:tcPr>
          <w:p w14:paraId="6DD39620" w14:textId="77777777" w:rsidR="00923319" w:rsidRPr="00A67277" w:rsidRDefault="00923319" w:rsidP="00923319">
            <w:pPr>
              <w:spacing w:before="120" w:after="120"/>
              <w:rPr>
                <w:rFonts w:ascii="Arial" w:hAnsi="Arial" w:cs="Arial"/>
                <w:sz w:val="21"/>
                <w:szCs w:val="21"/>
              </w:rPr>
            </w:pPr>
          </w:p>
        </w:tc>
        <w:tc>
          <w:tcPr>
            <w:tcW w:w="4526" w:type="dxa"/>
          </w:tcPr>
          <w:p w14:paraId="693346C1" w14:textId="77777777" w:rsidR="00923319" w:rsidRPr="00A67277" w:rsidRDefault="00923319" w:rsidP="00923319">
            <w:pPr>
              <w:pStyle w:val="SchNumber3"/>
              <w:numPr>
                <w:ilvl w:val="0"/>
                <w:numId w:val="0"/>
              </w:numPr>
              <w:spacing w:before="120" w:after="120"/>
              <w:rPr>
                <w:rFonts w:cs="Arial"/>
                <w:lang w:val="id-ID"/>
              </w:rPr>
            </w:pPr>
            <w:r w:rsidRPr="00A67277">
              <w:rPr>
                <w:rStyle w:val="Heading1Text"/>
                <w:rFonts w:cs="Arial"/>
              </w:rPr>
              <w:t>pembukaan</w:t>
            </w:r>
          </w:p>
        </w:tc>
      </w:tr>
      <w:tr w:rsidR="00923319" w:rsidRPr="00A67277" w14:paraId="3F94C9A0" w14:textId="77777777" w:rsidTr="00923319">
        <w:tc>
          <w:tcPr>
            <w:tcW w:w="4949" w:type="dxa"/>
          </w:tcPr>
          <w:p w14:paraId="5C85D28D" w14:textId="77777777" w:rsidR="00923319" w:rsidRPr="00A67277" w:rsidRDefault="00923319" w:rsidP="00291AD9">
            <w:pPr>
              <w:pStyle w:val="Recitals"/>
              <w:numPr>
                <w:ilvl w:val="0"/>
                <w:numId w:val="730"/>
              </w:numPr>
              <w:spacing w:before="120" w:after="120"/>
              <w:ind w:left="510" w:hanging="540"/>
              <w:rPr>
                <w:rFonts w:cs="Arial"/>
              </w:rPr>
            </w:pPr>
            <w:r w:rsidRPr="00A67277">
              <w:rPr>
                <w:rFonts w:cs="Arial"/>
              </w:rPr>
              <w:t xml:space="preserve">GCA and IBE have signed </w:t>
            </w:r>
            <w:r w:rsidRPr="00A67277">
              <w:rPr>
                <w:rFonts w:cs="Arial"/>
                <w:lang w:val="id-ID"/>
              </w:rPr>
              <w:t>the Cooperation Agreement</w:t>
            </w:r>
            <w:r w:rsidRPr="00A67277">
              <w:rPr>
                <w:rFonts w:cs="Arial"/>
              </w:rPr>
              <w:t xml:space="preserve"> on [name of the </w:t>
            </w:r>
            <w:r w:rsidRPr="00A67277">
              <w:rPr>
                <w:rFonts w:cs="Arial"/>
                <w:lang w:val="id-ID"/>
              </w:rPr>
              <w:t>Project</w:t>
            </w:r>
            <w:r w:rsidRPr="00A67277">
              <w:rPr>
                <w:rFonts w:cs="Arial"/>
                <w:lang w:val="en-US"/>
              </w:rPr>
              <w:t>]</w:t>
            </w:r>
            <w:r w:rsidRPr="00A67277">
              <w:rPr>
                <w:rFonts w:cs="Arial"/>
                <w:lang w:val="id-ID"/>
              </w:rPr>
              <w:t xml:space="preserve"> </w:t>
            </w:r>
            <w:r w:rsidRPr="00A67277">
              <w:rPr>
                <w:rFonts w:cs="Arial"/>
              </w:rPr>
              <w:t>dated _______________ (“</w:t>
            </w:r>
            <w:r w:rsidRPr="00A67277">
              <w:rPr>
                <w:rFonts w:cs="Arial"/>
                <w:b/>
              </w:rPr>
              <w:t>Cooperation Agreement</w:t>
            </w:r>
            <w:r w:rsidRPr="00A67277">
              <w:rPr>
                <w:rFonts w:cs="Arial"/>
              </w:rPr>
              <w:t xml:space="preserve">”) where IBE has agreed to implement the Project pursuant to Cooperation Agreement. </w:t>
            </w:r>
          </w:p>
        </w:tc>
        <w:tc>
          <w:tcPr>
            <w:tcW w:w="236" w:type="dxa"/>
          </w:tcPr>
          <w:p w14:paraId="14EB485D" w14:textId="77777777" w:rsidR="00923319" w:rsidRPr="00A67277" w:rsidRDefault="00923319" w:rsidP="00923319">
            <w:pPr>
              <w:spacing w:before="120" w:after="120"/>
              <w:rPr>
                <w:rFonts w:ascii="Arial" w:hAnsi="Arial" w:cs="Arial"/>
                <w:sz w:val="21"/>
                <w:szCs w:val="21"/>
              </w:rPr>
            </w:pPr>
          </w:p>
        </w:tc>
        <w:tc>
          <w:tcPr>
            <w:tcW w:w="4526" w:type="dxa"/>
          </w:tcPr>
          <w:p w14:paraId="2143C2CC" w14:textId="77777777" w:rsidR="00923319" w:rsidRPr="00A67277" w:rsidRDefault="00923319" w:rsidP="00923319">
            <w:pPr>
              <w:pStyle w:val="Recitals"/>
              <w:numPr>
                <w:ilvl w:val="0"/>
                <w:numId w:val="618"/>
              </w:numPr>
              <w:spacing w:before="120" w:after="120"/>
              <w:ind w:left="450" w:hanging="425"/>
              <w:rPr>
                <w:rFonts w:cs="Arial"/>
                <w:lang w:val="id-ID"/>
              </w:rPr>
            </w:pPr>
            <w:r w:rsidRPr="00A67277">
              <w:rPr>
                <w:rFonts w:cs="Arial"/>
              </w:rPr>
              <w:t>PJPK dan BUP telah menandatangani suatu Perjanjian [***] tertanggal _______________ (“</w:t>
            </w:r>
            <w:r w:rsidRPr="00A67277">
              <w:rPr>
                <w:rFonts w:cs="Arial"/>
                <w:b/>
              </w:rPr>
              <w:t>Perjanjian Kerjasama</w:t>
            </w:r>
            <w:r w:rsidRPr="00A67277">
              <w:rPr>
                <w:rFonts w:cs="Arial"/>
              </w:rPr>
              <w:t>”) dimana BUP setuju untuk melaksanakan Proyek sesuai ketentuan dalam Perjanjian Kerjasama.</w:t>
            </w:r>
          </w:p>
        </w:tc>
      </w:tr>
      <w:tr w:rsidR="00923319" w:rsidRPr="00A67277" w14:paraId="27CACD9B" w14:textId="77777777" w:rsidTr="00923319">
        <w:tc>
          <w:tcPr>
            <w:tcW w:w="4949" w:type="dxa"/>
          </w:tcPr>
          <w:p w14:paraId="4A07DDD6" w14:textId="77777777" w:rsidR="00923319" w:rsidRPr="00A67277" w:rsidRDefault="00923319" w:rsidP="00291AD9">
            <w:pPr>
              <w:pStyle w:val="Recitals"/>
              <w:numPr>
                <w:ilvl w:val="0"/>
                <w:numId w:val="730"/>
              </w:numPr>
              <w:spacing w:before="120" w:after="120"/>
              <w:ind w:left="510" w:hanging="540"/>
              <w:rPr>
                <w:rFonts w:cs="Arial"/>
              </w:rPr>
            </w:pPr>
            <w:r w:rsidRPr="00A67277">
              <w:rPr>
                <w:rFonts w:cs="Arial"/>
              </w:rPr>
              <w:t>In accordance with Article 8.2 (</w:t>
            </w:r>
            <w:r w:rsidRPr="00A67277">
              <w:rPr>
                <w:rFonts w:cs="Arial"/>
                <w:i/>
              </w:rPr>
              <w:t>Independent Supervisor Consultant</w:t>
            </w:r>
            <w:r w:rsidRPr="00A67277">
              <w:rPr>
                <w:rFonts w:cs="Arial"/>
              </w:rPr>
              <w:t xml:space="preserve">) of the Cooperation Agreement, GCA and IBE have agreed to jointly appoint Independent Supervisor Consultant </w:t>
            </w:r>
            <w:r w:rsidRPr="00A67277">
              <w:rPr>
                <w:rFonts w:cs="Arial"/>
                <w:shd w:val="clear" w:color="auto" w:fill="FFFFFF"/>
              </w:rPr>
              <w:t>to provide the supervision service of the implementation of the Works</w:t>
            </w:r>
            <w:r w:rsidRPr="00A67277">
              <w:rPr>
                <w:rFonts w:cs="Arial"/>
              </w:rPr>
              <w:t xml:space="preserve"> (</w:t>
            </w:r>
            <w:r w:rsidRPr="00A67277">
              <w:rPr>
                <w:rFonts w:cs="Arial"/>
                <w:lang w:eastAsia="en-US"/>
              </w:rPr>
              <w:t>as defined in the Cooperation Agreement</w:t>
            </w:r>
            <w:r w:rsidRPr="00A67277">
              <w:rPr>
                <w:rFonts w:cs="Arial"/>
                <w:lang w:val="en-US" w:eastAsia="en-US"/>
              </w:rPr>
              <w:t xml:space="preserve"> </w:t>
            </w:r>
            <w:r w:rsidRPr="00A67277">
              <w:rPr>
                <w:rFonts w:cs="Arial"/>
              </w:rPr>
              <w:t>(“</w:t>
            </w:r>
            <w:r w:rsidRPr="00A67277">
              <w:rPr>
                <w:rFonts w:cs="Arial"/>
                <w:b/>
              </w:rPr>
              <w:t>Supervision Service</w:t>
            </w:r>
            <w:r w:rsidRPr="00A67277">
              <w:rPr>
                <w:rFonts w:cs="Arial"/>
              </w:rPr>
              <w:t xml:space="preserve">”) for IBE and GCA. </w:t>
            </w:r>
          </w:p>
        </w:tc>
        <w:tc>
          <w:tcPr>
            <w:tcW w:w="236" w:type="dxa"/>
          </w:tcPr>
          <w:p w14:paraId="2AD624FF" w14:textId="77777777" w:rsidR="00923319" w:rsidRPr="00A67277" w:rsidRDefault="00923319" w:rsidP="00923319">
            <w:pPr>
              <w:spacing w:before="120" w:after="120"/>
              <w:rPr>
                <w:rFonts w:ascii="Arial" w:hAnsi="Arial" w:cs="Arial"/>
                <w:sz w:val="21"/>
                <w:szCs w:val="21"/>
              </w:rPr>
            </w:pPr>
          </w:p>
        </w:tc>
        <w:tc>
          <w:tcPr>
            <w:tcW w:w="4526" w:type="dxa"/>
          </w:tcPr>
          <w:p w14:paraId="745624B3" w14:textId="77777777" w:rsidR="00923319" w:rsidRPr="00A67277" w:rsidRDefault="00923319" w:rsidP="00923319">
            <w:pPr>
              <w:pStyle w:val="Recitals"/>
              <w:numPr>
                <w:ilvl w:val="0"/>
                <w:numId w:val="618"/>
              </w:numPr>
              <w:spacing w:before="120" w:after="120"/>
              <w:ind w:left="450" w:hanging="425"/>
              <w:rPr>
                <w:rFonts w:cs="Arial"/>
                <w:lang w:val="id-ID"/>
              </w:rPr>
            </w:pPr>
            <w:r w:rsidRPr="00A67277">
              <w:rPr>
                <w:rFonts w:cs="Arial"/>
              </w:rPr>
              <w:t>Sesuai dengan ketentuan Pasal 8.2 (</w:t>
            </w:r>
            <w:r w:rsidRPr="00A67277">
              <w:rPr>
                <w:rFonts w:cs="Arial"/>
                <w:i/>
              </w:rPr>
              <w:t>Konsultang Pengawas Independen</w:t>
            </w:r>
            <w:r w:rsidRPr="00A67277">
              <w:rPr>
                <w:rFonts w:cs="Arial"/>
              </w:rPr>
              <w:t>) dari Perjanjian Kerjasama, PJPK dan BUP setuju untuk secara bersama-sama menunjuk Konsultan Pengawas Independen untuk memberikan jasa pengawasan pelaksanaan Pekerjaan (sebagaimana didefinisikan dalam Perjanjian Kerjasama) (“</w:t>
            </w:r>
            <w:r w:rsidRPr="00A67277">
              <w:rPr>
                <w:rFonts w:cs="Arial"/>
                <w:b/>
              </w:rPr>
              <w:t>Jasa Pengawasan</w:t>
            </w:r>
            <w:r w:rsidRPr="00A67277">
              <w:rPr>
                <w:rFonts w:cs="Arial"/>
              </w:rPr>
              <w:t xml:space="preserve">”) kepada BUP dan PJPK. </w:t>
            </w:r>
          </w:p>
        </w:tc>
      </w:tr>
      <w:tr w:rsidR="00923319" w:rsidRPr="00A67277" w14:paraId="75506ADE" w14:textId="77777777" w:rsidTr="00923319">
        <w:tc>
          <w:tcPr>
            <w:tcW w:w="4949" w:type="dxa"/>
          </w:tcPr>
          <w:p w14:paraId="2A3E8069" w14:textId="77777777" w:rsidR="00923319" w:rsidRPr="00A67277" w:rsidRDefault="00923319" w:rsidP="00291AD9">
            <w:pPr>
              <w:pStyle w:val="Recitals"/>
              <w:numPr>
                <w:ilvl w:val="0"/>
                <w:numId w:val="730"/>
              </w:numPr>
              <w:spacing w:before="120" w:after="120"/>
              <w:ind w:left="510" w:hanging="540"/>
              <w:rPr>
                <w:rFonts w:cs="Arial"/>
              </w:rPr>
            </w:pPr>
            <w:r w:rsidRPr="00A67277">
              <w:rPr>
                <w:rFonts w:cs="Arial"/>
                <w:lang w:val="id-ID"/>
              </w:rPr>
              <w:t>For such</w:t>
            </w:r>
            <w:r w:rsidRPr="00A67277">
              <w:rPr>
                <w:rFonts w:cs="Arial"/>
              </w:rPr>
              <w:t xml:space="preserve"> purpose, IBE has received the offering from the Independent Supervisor Consultant In accordance with the Offering Letter No. _______________ dated _______________, and has been accepted by IBE at the date of _______________. </w:t>
            </w:r>
          </w:p>
        </w:tc>
        <w:tc>
          <w:tcPr>
            <w:tcW w:w="236" w:type="dxa"/>
          </w:tcPr>
          <w:p w14:paraId="3AD11276" w14:textId="77777777" w:rsidR="00923319" w:rsidRPr="00A67277" w:rsidRDefault="00923319" w:rsidP="00923319">
            <w:pPr>
              <w:spacing w:before="120" w:after="120"/>
              <w:rPr>
                <w:rFonts w:ascii="Arial" w:hAnsi="Arial" w:cs="Arial"/>
                <w:sz w:val="21"/>
                <w:szCs w:val="21"/>
              </w:rPr>
            </w:pPr>
          </w:p>
        </w:tc>
        <w:tc>
          <w:tcPr>
            <w:tcW w:w="4526" w:type="dxa"/>
          </w:tcPr>
          <w:p w14:paraId="01BE1C4D" w14:textId="77777777" w:rsidR="00923319" w:rsidRPr="00A67277" w:rsidRDefault="00923319" w:rsidP="00923319">
            <w:pPr>
              <w:pStyle w:val="Recitals"/>
              <w:numPr>
                <w:ilvl w:val="0"/>
                <w:numId w:val="618"/>
              </w:numPr>
              <w:spacing w:before="120" w:after="120"/>
              <w:ind w:left="450" w:hanging="425"/>
              <w:rPr>
                <w:rFonts w:cs="Arial"/>
                <w:lang w:val="id-ID"/>
              </w:rPr>
            </w:pPr>
            <w:r w:rsidRPr="00A67277">
              <w:rPr>
                <w:rFonts w:cs="Arial"/>
              </w:rPr>
              <w:t xml:space="preserve">Sehubungan dengan maksud tersebut, BUP telah mendapatkan penawaran dari Konsultan Pengawas Independen sesuai dengan Surat Penawaran No. _______________ tanggal _______________, penawaran mana telah diterima oleh BUP pada tanggal _______________.  </w:t>
            </w:r>
          </w:p>
        </w:tc>
      </w:tr>
      <w:tr w:rsidR="00923319" w:rsidRPr="00A67277" w14:paraId="2DA8A32E" w14:textId="77777777" w:rsidTr="00923319">
        <w:tc>
          <w:tcPr>
            <w:tcW w:w="4949" w:type="dxa"/>
          </w:tcPr>
          <w:p w14:paraId="2920CFFF" w14:textId="77777777" w:rsidR="00923319" w:rsidRPr="00A67277" w:rsidRDefault="00923319" w:rsidP="00291AD9">
            <w:pPr>
              <w:pStyle w:val="Recitals"/>
              <w:numPr>
                <w:ilvl w:val="0"/>
                <w:numId w:val="730"/>
              </w:numPr>
              <w:spacing w:before="120" w:after="120"/>
              <w:ind w:left="510" w:hanging="540"/>
              <w:rPr>
                <w:rFonts w:cs="Arial"/>
              </w:rPr>
            </w:pPr>
            <w:r w:rsidRPr="00A67277">
              <w:rPr>
                <w:rFonts w:cs="Arial"/>
              </w:rPr>
              <w:t>The Independent Supervisor Consultant is an independent advisor who is willing to provide Supervision Service for the interests of IBE and GCA.</w:t>
            </w:r>
          </w:p>
        </w:tc>
        <w:tc>
          <w:tcPr>
            <w:tcW w:w="236" w:type="dxa"/>
          </w:tcPr>
          <w:p w14:paraId="6AD83217" w14:textId="77777777" w:rsidR="00923319" w:rsidRPr="00A67277" w:rsidRDefault="00923319" w:rsidP="00923319">
            <w:pPr>
              <w:spacing w:before="120" w:after="120"/>
              <w:rPr>
                <w:rFonts w:ascii="Arial" w:hAnsi="Arial" w:cs="Arial"/>
                <w:sz w:val="21"/>
                <w:szCs w:val="21"/>
              </w:rPr>
            </w:pPr>
          </w:p>
        </w:tc>
        <w:tc>
          <w:tcPr>
            <w:tcW w:w="4526" w:type="dxa"/>
          </w:tcPr>
          <w:p w14:paraId="03068F00" w14:textId="77777777" w:rsidR="00923319" w:rsidRPr="00A67277" w:rsidRDefault="00923319" w:rsidP="00923319">
            <w:pPr>
              <w:pStyle w:val="Recitals"/>
              <w:numPr>
                <w:ilvl w:val="0"/>
                <w:numId w:val="618"/>
              </w:numPr>
              <w:spacing w:before="120" w:after="120"/>
              <w:ind w:left="450" w:hanging="425"/>
              <w:rPr>
                <w:rFonts w:cs="Arial"/>
                <w:lang w:val="id-ID"/>
              </w:rPr>
            </w:pPr>
            <w:r w:rsidRPr="00A67277">
              <w:rPr>
                <w:rFonts w:cs="Arial"/>
              </w:rPr>
              <w:t>Konsultan Pengawas Independen adalah suatu penasehat independen yang bersedia untuk memberikan Jasa Pengawasan untuk kepentingan BUP dan PJPK.</w:t>
            </w:r>
          </w:p>
        </w:tc>
      </w:tr>
      <w:tr w:rsidR="00923319" w:rsidRPr="00A67277" w14:paraId="590B467F" w14:textId="77777777" w:rsidTr="00923319">
        <w:tc>
          <w:tcPr>
            <w:tcW w:w="4949" w:type="dxa"/>
          </w:tcPr>
          <w:p w14:paraId="3988EDB0" w14:textId="77777777" w:rsidR="00923319" w:rsidRPr="00A67277" w:rsidRDefault="00923319" w:rsidP="00291AD9">
            <w:pPr>
              <w:pStyle w:val="Recitals"/>
              <w:numPr>
                <w:ilvl w:val="0"/>
                <w:numId w:val="730"/>
              </w:numPr>
              <w:spacing w:before="120" w:after="120"/>
              <w:ind w:left="510" w:hanging="540"/>
              <w:rPr>
                <w:rFonts w:cs="Arial"/>
              </w:rPr>
            </w:pPr>
            <w:r w:rsidRPr="00A67277">
              <w:rPr>
                <w:rFonts w:cs="Arial"/>
              </w:rPr>
              <w:t>GCA and IBE have agreed to appoint Independent Supervisor Consultant, and the Independent Supervisor Consultant agrees to accept the appointment, to perform the duties and obligations of the Independent Supervisor Consultant in the Cooperation Agreement</w:t>
            </w:r>
          </w:p>
        </w:tc>
        <w:tc>
          <w:tcPr>
            <w:tcW w:w="236" w:type="dxa"/>
          </w:tcPr>
          <w:p w14:paraId="5513387A" w14:textId="77777777" w:rsidR="00923319" w:rsidRPr="00A67277" w:rsidRDefault="00923319" w:rsidP="00923319">
            <w:pPr>
              <w:spacing w:before="120" w:after="120"/>
              <w:rPr>
                <w:rFonts w:ascii="Arial" w:hAnsi="Arial" w:cs="Arial"/>
                <w:sz w:val="21"/>
                <w:szCs w:val="21"/>
              </w:rPr>
            </w:pPr>
          </w:p>
        </w:tc>
        <w:tc>
          <w:tcPr>
            <w:tcW w:w="4526" w:type="dxa"/>
          </w:tcPr>
          <w:p w14:paraId="5D6A7B5B" w14:textId="77777777" w:rsidR="00923319" w:rsidRPr="00A67277" w:rsidRDefault="00923319" w:rsidP="00923319">
            <w:pPr>
              <w:pStyle w:val="Recitals"/>
              <w:numPr>
                <w:ilvl w:val="0"/>
                <w:numId w:val="618"/>
              </w:numPr>
              <w:spacing w:before="120" w:after="120"/>
              <w:ind w:left="450" w:hanging="425"/>
              <w:rPr>
                <w:rFonts w:cs="Arial"/>
                <w:lang w:val="id-ID"/>
              </w:rPr>
            </w:pPr>
            <w:r w:rsidRPr="00A67277">
              <w:rPr>
                <w:rFonts w:cs="Arial"/>
              </w:rPr>
              <w:t>PJPK dan BUP telah bersama-sama setuju untuk menunjuk Konsultan Pengawas Independen, dan Konsultan Pengawas Independen setuju untuk menerima penunjukkan tersebut, untuk melaksanakan tugas dan kewajiban Konsultan Pengawas Independen dalam Perjanjian Kerjasama.</w:t>
            </w:r>
          </w:p>
        </w:tc>
      </w:tr>
      <w:tr w:rsidR="00923319" w:rsidRPr="00A67277" w14:paraId="01E75778" w14:textId="77777777" w:rsidTr="00923319">
        <w:tc>
          <w:tcPr>
            <w:tcW w:w="4949" w:type="dxa"/>
          </w:tcPr>
          <w:p w14:paraId="209C5A51" w14:textId="77777777" w:rsidR="00923319" w:rsidRPr="00A67277" w:rsidRDefault="00923319" w:rsidP="00923319">
            <w:pPr>
              <w:pStyle w:val="Body1"/>
              <w:spacing w:before="120" w:after="120"/>
              <w:rPr>
                <w:rFonts w:cs="Arial"/>
              </w:rPr>
            </w:pPr>
            <w:r w:rsidRPr="00A67277">
              <w:rPr>
                <w:rFonts w:cs="Arial"/>
                <w:b/>
                <w:smallCaps/>
              </w:rPr>
              <w:t>Now, Therefore</w:t>
            </w:r>
            <w:r w:rsidRPr="00A67277">
              <w:rPr>
                <w:rFonts w:cs="Arial"/>
              </w:rPr>
              <w:t>, given the foregoing considerations, the Parties have agreed to bind themselves to the following terms and conditions:</w:t>
            </w:r>
          </w:p>
        </w:tc>
        <w:tc>
          <w:tcPr>
            <w:tcW w:w="236" w:type="dxa"/>
          </w:tcPr>
          <w:p w14:paraId="2941A9A6" w14:textId="77777777" w:rsidR="00923319" w:rsidRPr="00A67277" w:rsidRDefault="00923319" w:rsidP="00923319">
            <w:pPr>
              <w:spacing w:before="120" w:after="120"/>
              <w:rPr>
                <w:rFonts w:ascii="Arial" w:hAnsi="Arial" w:cs="Arial"/>
                <w:sz w:val="21"/>
                <w:szCs w:val="21"/>
              </w:rPr>
            </w:pPr>
          </w:p>
        </w:tc>
        <w:tc>
          <w:tcPr>
            <w:tcW w:w="4526" w:type="dxa"/>
          </w:tcPr>
          <w:p w14:paraId="5715FF13" w14:textId="77777777" w:rsidR="00923319" w:rsidRPr="00A67277" w:rsidRDefault="00923319" w:rsidP="00923319">
            <w:pPr>
              <w:pStyle w:val="Body1"/>
              <w:spacing w:before="120" w:after="120"/>
              <w:rPr>
                <w:rFonts w:cs="Arial"/>
              </w:rPr>
            </w:pPr>
            <w:r w:rsidRPr="00A67277">
              <w:rPr>
                <w:rFonts w:cs="Arial"/>
                <w:b/>
                <w:smallCaps/>
              </w:rPr>
              <w:t>Maka</w:t>
            </w:r>
            <w:r w:rsidRPr="00A67277">
              <w:rPr>
                <w:rFonts w:cs="Arial"/>
              </w:rPr>
              <w:t xml:space="preserve">, </w:t>
            </w:r>
            <w:r w:rsidRPr="00A67277">
              <w:rPr>
                <w:rFonts w:cs="Arial"/>
                <w:b/>
                <w:smallCaps/>
              </w:rPr>
              <w:t>Dengan Demikian</w:t>
            </w:r>
            <w:r w:rsidRPr="00A67277">
              <w:rPr>
                <w:rFonts w:cs="Arial"/>
              </w:rPr>
              <w:t>, berdasarkan pertimbangan-pertimbangan sebagaimana disebutkan di atas, Para Pihak sepakat untuk saling mengikatkan diri terhadap syarat-syarat dan ketentuan-ketentuan sebagaimana berikut:</w:t>
            </w:r>
          </w:p>
        </w:tc>
      </w:tr>
      <w:tr w:rsidR="00923319" w:rsidRPr="00A67277" w14:paraId="44569299" w14:textId="77777777" w:rsidTr="00923319">
        <w:tc>
          <w:tcPr>
            <w:tcW w:w="4949" w:type="dxa"/>
          </w:tcPr>
          <w:p w14:paraId="231348B9" w14:textId="77777777" w:rsidR="00923319" w:rsidRPr="00A67277" w:rsidRDefault="00923319" w:rsidP="00923319">
            <w:pPr>
              <w:pStyle w:val="Heading3"/>
              <w:numPr>
                <w:ilvl w:val="2"/>
                <w:numId w:val="682"/>
              </w:numPr>
              <w:spacing w:before="120" w:after="120"/>
              <w:rPr>
                <w:rFonts w:cs="Arial"/>
              </w:rPr>
            </w:pPr>
            <w:r w:rsidRPr="00A67277">
              <w:rPr>
                <w:rFonts w:cs="Arial"/>
              </w:rPr>
              <w:t>Definitions and Interpretation</w:t>
            </w:r>
          </w:p>
        </w:tc>
        <w:tc>
          <w:tcPr>
            <w:tcW w:w="236" w:type="dxa"/>
          </w:tcPr>
          <w:p w14:paraId="35D9A88B" w14:textId="77777777" w:rsidR="00923319" w:rsidRPr="00A67277" w:rsidRDefault="00923319" w:rsidP="00923319">
            <w:pPr>
              <w:spacing w:before="120" w:after="120"/>
              <w:rPr>
                <w:rFonts w:ascii="Arial" w:hAnsi="Arial" w:cs="Arial"/>
                <w:sz w:val="21"/>
                <w:szCs w:val="21"/>
              </w:rPr>
            </w:pPr>
          </w:p>
        </w:tc>
        <w:tc>
          <w:tcPr>
            <w:tcW w:w="4526" w:type="dxa"/>
          </w:tcPr>
          <w:p w14:paraId="7A23A3F9" w14:textId="77777777" w:rsidR="00923319" w:rsidRPr="00A67277" w:rsidRDefault="00923319" w:rsidP="00923319">
            <w:pPr>
              <w:pStyle w:val="SchNumber3"/>
              <w:numPr>
                <w:ilvl w:val="0"/>
                <w:numId w:val="619"/>
              </w:numPr>
              <w:tabs>
                <w:tab w:val="clear" w:pos="2146"/>
                <w:tab w:val="num" w:pos="450"/>
              </w:tabs>
              <w:spacing w:before="120" w:after="120"/>
              <w:ind w:left="450" w:hanging="425"/>
              <w:rPr>
                <w:rFonts w:cs="Arial"/>
                <w:b/>
                <w:lang w:val="id-ID"/>
              </w:rPr>
            </w:pPr>
            <w:r w:rsidRPr="00A67277">
              <w:rPr>
                <w:rFonts w:cs="Arial"/>
                <w:b/>
              </w:rPr>
              <w:t>Definisi dan Interpretasi</w:t>
            </w:r>
          </w:p>
        </w:tc>
      </w:tr>
      <w:tr w:rsidR="00923319" w:rsidRPr="00A67277" w14:paraId="283532C0" w14:textId="77777777" w:rsidTr="00923319">
        <w:tc>
          <w:tcPr>
            <w:tcW w:w="4949" w:type="dxa"/>
          </w:tcPr>
          <w:p w14:paraId="4842DD42" w14:textId="77777777" w:rsidR="00923319" w:rsidRPr="00A67277" w:rsidRDefault="00923319" w:rsidP="00923319">
            <w:pPr>
              <w:pStyle w:val="Body2"/>
              <w:spacing w:before="120" w:after="120"/>
              <w:rPr>
                <w:rFonts w:cs="Arial"/>
                <w:shd w:val="clear" w:color="auto" w:fill="FFFFFF"/>
                <w:lang w:val="id-ID"/>
              </w:rPr>
            </w:pPr>
            <w:r w:rsidRPr="00A67277">
              <w:rPr>
                <w:rFonts w:cs="Arial"/>
              </w:rPr>
              <w:t xml:space="preserve">Unless the context otherwise requires or is expressly provided otherwise in this Agreement, the </w:t>
            </w:r>
            <w:r w:rsidRPr="00A67277">
              <w:rPr>
                <w:rFonts w:cs="Arial"/>
                <w:shd w:val="clear" w:color="auto" w:fill="FFFFFF"/>
              </w:rPr>
              <w:t xml:space="preserve">capitalized terms used in this Agreement have the same meaning as the terms contained in Article 1.1 (Definition) of the Cooperation Agreement and </w:t>
            </w:r>
            <w:r w:rsidRPr="00A67277">
              <w:rPr>
                <w:rFonts w:cs="Arial"/>
              </w:rPr>
              <w:t xml:space="preserve">This Agreement shall be interpreted in accordance with the provisions of Article 1.2 (Interpretation) of the Cooperation Agreement, </w:t>
            </w:r>
            <w:r w:rsidRPr="00A67277">
              <w:rPr>
                <w:rFonts w:cs="Arial"/>
                <w:i/>
              </w:rPr>
              <w:t>mutatis mutandis</w:t>
            </w:r>
            <w:r w:rsidRPr="00A67277">
              <w:rPr>
                <w:rFonts w:cs="Arial"/>
                <w:i/>
                <w:lang w:val="id-ID"/>
              </w:rPr>
              <w:t>.</w:t>
            </w:r>
          </w:p>
        </w:tc>
        <w:tc>
          <w:tcPr>
            <w:tcW w:w="236" w:type="dxa"/>
          </w:tcPr>
          <w:p w14:paraId="482F1979" w14:textId="77777777" w:rsidR="00923319" w:rsidRPr="00A67277" w:rsidRDefault="00923319" w:rsidP="00923319">
            <w:pPr>
              <w:spacing w:before="120" w:after="120"/>
              <w:rPr>
                <w:rFonts w:ascii="Arial" w:hAnsi="Arial" w:cs="Arial"/>
                <w:sz w:val="21"/>
                <w:szCs w:val="21"/>
              </w:rPr>
            </w:pPr>
          </w:p>
        </w:tc>
        <w:tc>
          <w:tcPr>
            <w:tcW w:w="4526" w:type="dxa"/>
          </w:tcPr>
          <w:p w14:paraId="51F11165"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cs="Arial"/>
              </w:rPr>
              <w:t xml:space="preserve">Kecuali konteksnya mensyaratkan lain atau secara tegas diatur lain dalam Perjanjian ini, istilah dengan huruf besar yang digunakan dalam Perjanjian ini memiliki arti yang sama dengan istilah yang terdapat dalam Pasal 1.1 (Definisi) dari Perjanjian Kerjasama dan Perjanjian ini harus diinterpretasikan sesuai dengan ketentuan Pasal 1.2 (Interpretasi) dari Perjanjian Kerjasama, secara </w:t>
            </w:r>
            <w:r w:rsidRPr="00A67277">
              <w:rPr>
                <w:rFonts w:cs="Arial"/>
                <w:i/>
              </w:rPr>
              <w:t>mutatis mutandis</w:t>
            </w:r>
            <w:r w:rsidRPr="00A67277">
              <w:rPr>
                <w:rFonts w:cs="Arial"/>
                <w:i/>
                <w:lang w:val="id-ID"/>
              </w:rPr>
              <w:t>.</w:t>
            </w:r>
          </w:p>
        </w:tc>
      </w:tr>
      <w:tr w:rsidR="00923319" w:rsidRPr="00A67277" w14:paraId="3BB8691E" w14:textId="77777777" w:rsidTr="00923319">
        <w:tc>
          <w:tcPr>
            <w:tcW w:w="4949" w:type="dxa"/>
          </w:tcPr>
          <w:p w14:paraId="1BE8A82C" w14:textId="77777777" w:rsidR="00923319" w:rsidRPr="00A67277" w:rsidRDefault="00923319" w:rsidP="00923319">
            <w:pPr>
              <w:pStyle w:val="Heading3"/>
              <w:spacing w:before="120" w:after="120"/>
              <w:rPr>
                <w:rFonts w:cs="Arial"/>
              </w:rPr>
            </w:pPr>
            <w:r w:rsidRPr="00A67277">
              <w:rPr>
                <w:rFonts w:cs="Arial"/>
              </w:rPr>
              <w:t>Purpose and Objective</w:t>
            </w:r>
          </w:p>
        </w:tc>
        <w:tc>
          <w:tcPr>
            <w:tcW w:w="236" w:type="dxa"/>
          </w:tcPr>
          <w:p w14:paraId="47887135" w14:textId="77777777" w:rsidR="00923319" w:rsidRPr="00A67277" w:rsidRDefault="00923319" w:rsidP="00923319">
            <w:pPr>
              <w:spacing w:before="120" w:after="120"/>
              <w:rPr>
                <w:rFonts w:ascii="Arial" w:hAnsi="Arial" w:cs="Arial"/>
                <w:sz w:val="21"/>
                <w:szCs w:val="21"/>
              </w:rPr>
            </w:pPr>
          </w:p>
        </w:tc>
        <w:tc>
          <w:tcPr>
            <w:tcW w:w="4526" w:type="dxa"/>
          </w:tcPr>
          <w:p w14:paraId="586BD432" w14:textId="77777777" w:rsidR="00923319" w:rsidRPr="00A67277" w:rsidRDefault="00923319" w:rsidP="00923319">
            <w:pPr>
              <w:pStyle w:val="SchNumber3"/>
              <w:numPr>
                <w:ilvl w:val="0"/>
                <w:numId w:val="619"/>
              </w:numPr>
              <w:tabs>
                <w:tab w:val="clear" w:pos="2146"/>
                <w:tab w:val="num" w:pos="450"/>
              </w:tabs>
              <w:spacing w:before="120" w:after="120"/>
              <w:ind w:left="450" w:hanging="425"/>
              <w:rPr>
                <w:rFonts w:cs="Arial"/>
                <w:b/>
                <w:lang w:val="id-ID"/>
              </w:rPr>
            </w:pPr>
            <w:r w:rsidRPr="00A67277">
              <w:rPr>
                <w:rFonts w:cs="Arial"/>
                <w:b/>
              </w:rPr>
              <w:t>Maksud dan Tujuan</w:t>
            </w:r>
          </w:p>
        </w:tc>
      </w:tr>
      <w:tr w:rsidR="00923319" w:rsidRPr="00A67277" w14:paraId="2F6F0C17" w14:textId="77777777" w:rsidTr="00923319">
        <w:tc>
          <w:tcPr>
            <w:tcW w:w="4949" w:type="dxa"/>
          </w:tcPr>
          <w:p w14:paraId="2CA56D68" w14:textId="77777777" w:rsidR="00923319" w:rsidRPr="00A67277" w:rsidRDefault="00923319" w:rsidP="00923319">
            <w:pPr>
              <w:pStyle w:val="SchNumber2"/>
              <w:numPr>
                <w:ilvl w:val="1"/>
                <w:numId w:val="619"/>
              </w:numPr>
              <w:tabs>
                <w:tab w:val="left" w:pos="739"/>
              </w:tabs>
              <w:spacing w:before="120" w:after="120"/>
              <w:ind w:left="739" w:hanging="709"/>
              <w:rPr>
                <w:rFonts w:cs="Arial"/>
              </w:rPr>
            </w:pPr>
            <w:r w:rsidRPr="00A67277">
              <w:rPr>
                <w:rFonts w:cs="Arial"/>
              </w:rPr>
              <w:t>The purpose of this Agreement is the appointment [name of the Independent Supervisor Consultant] as the Independent Supervisor Consultant as mandated in Article 8.2 (</w:t>
            </w:r>
            <w:r w:rsidRPr="00A67277">
              <w:rPr>
                <w:rFonts w:cs="Arial"/>
                <w:i/>
              </w:rPr>
              <w:t>Independent Supervisor Consultant</w:t>
            </w:r>
            <w:r w:rsidRPr="00A67277">
              <w:rPr>
                <w:rFonts w:cs="Arial"/>
              </w:rPr>
              <w:t>) of the Cooperation Agreement</w:t>
            </w:r>
          </w:p>
        </w:tc>
        <w:tc>
          <w:tcPr>
            <w:tcW w:w="236" w:type="dxa"/>
          </w:tcPr>
          <w:p w14:paraId="6162E986" w14:textId="77777777" w:rsidR="00923319" w:rsidRPr="00A67277" w:rsidRDefault="00923319" w:rsidP="00923319">
            <w:pPr>
              <w:spacing w:before="120" w:after="120"/>
              <w:rPr>
                <w:rFonts w:ascii="Arial" w:hAnsi="Arial" w:cs="Arial"/>
                <w:sz w:val="21"/>
                <w:szCs w:val="21"/>
              </w:rPr>
            </w:pPr>
          </w:p>
        </w:tc>
        <w:tc>
          <w:tcPr>
            <w:tcW w:w="4526" w:type="dxa"/>
          </w:tcPr>
          <w:p w14:paraId="2AA5A31B" w14:textId="77777777" w:rsidR="00923319" w:rsidRPr="00A67277" w:rsidRDefault="00923319" w:rsidP="00923319">
            <w:pPr>
              <w:pStyle w:val="SchNumber3"/>
              <w:numPr>
                <w:ilvl w:val="1"/>
                <w:numId w:val="620"/>
              </w:numPr>
              <w:spacing w:before="120" w:after="120"/>
              <w:ind w:left="450" w:hanging="450"/>
              <w:rPr>
                <w:rFonts w:cs="Arial"/>
                <w:lang w:val="id-ID"/>
              </w:rPr>
            </w:pPr>
            <w:r w:rsidRPr="00A67277">
              <w:rPr>
                <w:rFonts w:cs="Arial"/>
              </w:rPr>
              <w:t>Maksud Perjanjian ini adalah penunjukan [Nama Konsultan Pengawas Independen] sebagai Konsultan Pengawas Independen sebagaimana diamanatkan dalam Pasal 8.2 (</w:t>
            </w:r>
            <w:r w:rsidRPr="00A67277">
              <w:rPr>
                <w:rFonts w:cs="Arial"/>
                <w:i/>
              </w:rPr>
              <w:t>Konsultan Pengawas Independen</w:t>
            </w:r>
            <w:r w:rsidRPr="00A67277">
              <w:rPr>
                <w:rFonts w:cs="Arial"/>
              </w:rPr>
              <w:t>) Perjanjian Kerjasama.</w:t>
            </w:r>
          </w:p>
        </w:tc>
      </w:tr>
      <w:tr w:rsidR="00923319" w:rsidRPr="00A67277" w14:paraId="4D778FAC" w14:textId="77777777" w:rsidTr="00923319">
        <w:tc>
          <w:tcPr>
            <w:tcW w:w="4949" w:type="dxa"/>
          </w:tcPr>
          <w:p w14:paraId="522F9A8F" w14:textId="77777777" w:rsidR="00923319" w:rsidRPr="00A67277" w:rsidRDefault="00923319" w:rsidP="00923319">
            <w:pPr>
              <w:pStyle w:val="SchNumber2"/>
              <w:numPr>
                <w:ilvl w:val="1"/>
                <w:numId w:val="619"/>
              </w:numPr>
              <w:tabs>
                <w:tab w:val="left" w:pos="739"/>
              </w:tabs>
              <w:spacing w:before="120" w:after="120"/>
              <w:ind w:left="739" w:hanging="709"/>
              <w:rPr>
                <w:rFonts w:cs="Arial"/>
              </w:rPr>
            </w:pPr>
            <w:r w:rsidRPr="00A67277">
              <w:rPr>
                <w:rFonts w:cs="Arial"/>
              </w:rPr>
              <w:t>The objective of this Agreement is for performance of the duties and functions of Independent Supervisor Consultant as provided in Article 8.2 (</w:t>
            </w:r>
            <w:r w:rsidRPr="00A67277">
              <w:rPr>
                <w:rFonts w:cs="Arial"/>
                <w:i/>
              </w:rPr>
              <w:t>Independent Supervisor Consultant</w:t>
            </w:r>
            <w:r w:rsidRPr="00A67277">
              <w:rPr>
                <w:rFonts w:cs="Arial"/>
              </w:rPr>
              <w:t>) of the Cooperation Agreement.</w:t>
            </w:r>
          </w:p>
        </w:tc>
        <w:tc>
          <w:tcPr>
            <w:tcW w:w="236" w:type="dxa"/>
          </w:tcPr>
          <w:p w14:paraId="07492F61" w14:textId="77777777" w:rsidR="00923319" w:rsidRPr="00A67277" w:rsidRDefault="00923319" w:rsidP="00923319">
            <w:pPr>
              <w:spacing w:before="120" w:after="120"/>
              <w:rPr>
                <w:rFonts w:ascii="Arial" w:hAnsi="Arial" w:cs="Arial"/>
                <w:sz w:val="21"/>
                <w:szCs w:val="21"/>
              </w:rPr>
            </w:pPr>
          </w:p>
        </w:tc>
        <w:tc>
          <w:tcPr>
            <w:tcW w:w="4526" w:type="dxa"/>
          </w:tcPr>
          <w:p w14:paraId="1DAB3E09" w14:textId="77777777" w:rsidR="00923319" w:rsidRPr="00A67277" w:rsidRDefault="00923319" w:rsidP="00923319">
            <w:pPr>
              <w:pStyle w:val="SchNumber3"/>
              <w:numPr>
                <w:ilvl w:val="1"/>
                <w:numId w:val="620"/>
              </w:numPr>
              <w:spacing w:before="120" w:after="120"/>
              <w:ind w:left="450" w:hanging="450"/>
              <w:rPr>
                <w:rFonts w:cs="Arial"/>
                <w:lang w:val="id-ID"/>
              </w:rPr>
            </w:pPr>
            <w:r w:rsidRPr="00A67277">
              <w:rPr>
                <w:rFonts w:cs="Arial"/>
              </w:rPr>
              <w:t>Tujuan Perjanjian ini adalah untuk pelaksanaan tugas dan fungsi dari Konsultan Pengawas Independen sebagaimana diatur dalam Pasal 8.2 (</w:t>
            </w:r>
            <w:r w:rsidRPr="00A67277">
              <w:rPr>
                <w:rFonts w:cs="Arial"/>
                <w:i/>
              </w:rPr>
              <w:t>Konsultan Pengawas Independen</w:t>
            </w:r>
            <w:r w:rsidRPr="00A67277">
              <w:rPr>
                <w:rFonts w:cs="Arial"/>
              </w:rPr>
              <w:t>) dari Perjanjian Kerjasama.</w:t>
            </w:r>
          </w:p>
        </w:tc>
      </w:tr>
      <w:tr w:rsidR="00923319" w:rsidRPr="00A67277" w14:paraId="0A9B7795" w14:textId="77777777" w:rsidTr="00923319">
        <w:tc>
          <w:tcPr>
            <w:tcW w:w="4949" w:type="dxa"/>
          </w:tcPr>
          <w:p w14:paraId="7ECFA05B" w14:textId="77777777" w:rsidR="00923319" w:rsidRPr="00A67277" w:rsidRDefault="00923319" w:rsidP="00923319">
            <w:pPr>
              <w:pStyle w:val="Heading3"/>
              <w:spacing w:before="120" w:after="120"/>
              <w:rPr>
                <w:rFonts w:cs="Arial"/>
              </w:rPr>
            </w:pPr>
            <w:r w:rsidRPr="00A67277">
              <w:rPr>
                <w:rFonts w:cs="Arial"/>
              </w:rPr>
              <w:t>Scope of Work</w:t>
            </w:r>
          </w:p>
        </w:tc>
        <w:tc>
          <w:tcPr>
            <w:tcW w:w="236" w:type="dxa"/>
          </w:tcPr>
          <w:p w14:paraId="7E47D251" w14:textId="77777777" w:rsidR="00923319" w:rsidRPr="00A67277" w:rsidRDefault="00923319" w:rsidP="00923319">
            <w:pPr>
              <w:spacing w:before="120" w:after="120"/>
              <w:rPr>
                <w:rFonts w:ascii="Arial" w:hAnsi="Arial" w:cs="Arial"/>
                <w:sz w:val="21"/>
                <w:szCs w:val="21"/>
              </w:rPr>
            </w:pPr>
          </w:p>
        </w:tc>
        <w:tc>
          <w:tcPr>
            <w:tcW w:w="4526" w:type="dxa"/>
          </w:tcPr>
          <w:p w14:paraId="245C7905" w14:textId="77777777" w:rsidR="00923319" w:rsidRPr="00A67277" w:rsidRDefault="00923319" w:rsidP="00923319">
            <w:pPr>
              <w:pStyle w:val="SchNumber3"/>
              <w:numPr>
                <w:ilvl w:val="0"/>
                <w:numId w:val="619"/>
              </w:numPr>
              <w:tabs>
                <w:tab w:val="clear" w:pos="2146"/>
                <w:tab w:val="num" w:pos="450"/>
              </w:tabs>
              <w:spacing w:before="120" w:after="120"/>
              <w:ind w:left="450" w:hanging="425"/>
              <w:rPr>
                <w:rFonts w:cs="Arial"/>
                <w:lang w:val="id-ID"/>
              </w:rPr>
            </w:pPr>
            <w:r w:rsidRPr="00A67277">
              <w:rPr>
                <w:rFonts w:cs="Arial"/>
                <w:b/>
              </w:rPr>
              <w:t>Ruang Lingkup Pekerjaan</w:t>
            </w:r>
          </w:p>
        </w:tc>
      </w:tr>
      <w:tr w:rsidR="00923319" w:rsidRPr="00A67277" w14:paraId="4F364034" w14:textId="77777777" w:rsidTr="00923319">
        <w:tc>
          <w:tcPr>
            <w:tcW w:w="4949" w:type="dxa"/>
          </w:tcPr>
          <w:p w14:paraId="09473C8A" w14:textId="77777777" w:rsidR="00923319" w:rsidRPr="00A67277" w:rsidRDefault="00923319" w:rsidP="00923319">
            <w:pPr>
              <w:pStyle w:val="SchNumber2"/>
              <w:numPr>
                <w:ilvl w:val="1"/>
                <w:numId w:val="619"/>
              </w:numPr>
              <w:tabs>
                <w:tab w:val="left" w:pos="739"/>
              </w:tabs>
              <w:spacing w:before="120" w:after="120"/>
              <w:ind w:left="739" w:hanging="739"/>
              <w:rPr>
                <w:rFonts w:cs="Arial"/>
              </w:rPr>
            </w:pPr>
            <w:r w:rsidRPr="00A67277">
              <w:rPr>
                <w:rFonts w:cs="Arial"/>
              </w:rPr>
              <w:t>The scope of work that shall be performed by the Independent Supervisor Consultant is to supervise, monitor, review, and assess the work and implementation of design obligations, the obtainment of Approvals, surveys, procurement, construction, including documents and other activities submitted and carried out by IBE according to Article 9 (</w:t>
            </w:r>
            <w:r w:rsidRPr="00A67277">
              <w:rPr>
                <w:rFonts w:cs="Arial"/>
                <w:i/>
              </w:rPr>
              <w:t>Development and Construction and Commercial Operation Date</w:t>
            </w:r>
            <w:r w:rsidRPr="00A67277">
              <w:rPr>
                <w:rFonts w:cs="Arial"/>
              </w:rPr>
              <w:t>) of the Cooperation Agreement.</w:t>
            </w:r>
          </w:p>
        </w:tc>
        <w:tc>
          <w:tcPr>
            <w:tcW w:w="236" w:type="dxa"/>
          </w:tcPr>
          <w:p w14:paraId="0CEA3076" w14:textId="77777777" w:rsidR="00923319" w:rsidRPr="00A67277" w:rsidRDefault="00923319" w:rsidP="00923319">
            <w:pPr>
              <w:spacing w:before="120" w:after="120"/>
              <w:rPr>
                <w:rFonts w:ascii="Arial" w:hAnsi="Arial" w:cs="Arial"/>
                <w:sz w:val="21"/>
                <w:szCs w:val="21"/>
              </w:rPr>
            </w:pPr>
          </w:p>
        </w:tc>
        <w:tc>
          <w:tcPr>
            <w:tcW w:w="4526" w:type="dxa"/>
          </w:tcPr>
          <w:p w14:paraId="0F51C66F" w14:textId="77777777" w:rsidR="00923319" w:rsidRPr="00A67277" w:rsidRDefault="00923319" w:rsidP="00923319">
            <w:pPr>
              <w:pStyle w:val="SchNumber3"/>
              <w:numPr>
                <w:ilvl w:val="1"/>
                <w:numId w:val="621"/>
              </w:numPr>
              <w:spacing w:before="120" w:after="120"/>
              <w:ind w:left="450" w:hanging="425"/>
              <w:rPr>
                <w:rFonts w:cs="Arial"/>
                <w:lang w:val="id-ID"/>
              </w:rPr>
            </w:pPr>
            <w:r w:rsidRPr="00A67277">
              <w:rPr>
                <w:rFonts w:cs="Arial"/>
              </w:rPr>
              <w:t xml:space="preserve">Lingkup pekerjaan yang wajib dilaksanakan oleh Konsultan Pengawas Independen antara lain adalah mengawasi, memantau, mengkaji, memeriksa, dan menilai Pekerjaan dan pelaksanaan kewajiban desain, perolehan Persetujuan, survei, pengadaan, konstruksi, termasuk dokumen dan kegiatan lainnya yang disampaikan dan dilakukan oleh BUP sesuai </w:t>
            </w:r>
            <w:bookmarkStart w:id="451" w:name="_Hlk500938273"/>
            <w:r w:rsidRPr="00A67277">
              <w:rPr>
                <w:rFonts w:cs="Arial"/>
              </w:rPr>
              <w:t>Pasal 9 (</w:t>
            </w:r>
            <w:r w:rsidRPr="00A67277">
              <w:rPr>
                <w:rFonts w:cs="Arial"/>
                <w:i/>
              </w:rPr>
              <w:t>Pembangunan dan Konstruksi serta Tanggal Operasi Komersial</w:t>
            </w:r>
            <w:r w:rsidRPr="00A67277">
              <w:rPr>
                <w:rFonts w:cs="Arial"/>
              </w:rPr>
              <w:t>)</w:t>
            </w:r>
            <w:bookmarkEnd w:id="451"/>
            <w:r w:rsidRPr="00A67277">
              <w:rPr>
                <w:rFonts w:cs="Arial"/>
              </w:rPr>
              <w:t xml:space="preserve"> Perjanjian Kerjasama.</w:t>
            </w:r>
          </w:p>
        </w:tc>
      </w:tr>
      <w:tr w:rsidR="00923319" w:rsidRPr="00A67277" w14:paraId="7AE3A238" w14:textId="77777777" w:rsidTr="00923319">
        <w:tc>
          <w:tcPr>
            <w:tcW w:w="4949" w:type="dxa"/>
          </w:tcPr>
          <w:p w14:paraId="6F49E759" w14:textId="77777777" w:rsidR="00923319" w:rsidRPr="00A67277" w:rsidRDefault="00923319" w:rsidP="00923319">
            <w:pPr>
              <w:pStyle w:val="SchNumber2"/>
              <w:numPr>
                <w:ilvl w:val="1"/>
                <w:numId w:val="619"/>
              </w:numPr>
              <w:tabs>
                <w:tab w:val="left" w:pos="739"/>
              </w:tabs>
              <w:spacing w:before="120" w:after="120"/>
              <w:ind w:left="739" w:hanging="739"/>
              <w:rPr>
                <w:rFonts w:cs="Arial"/>
              </w:rPr>
            </w:pPr>
            <w:r w:rsidRPr="00A67277">
              <w:rPr>
                <w:rFonts w:cs="Arial"/>
              </w:rPr>
              <w:t xml:space="preserve">On the date of this Agreement, The Independent Supervisor Consultant is obliged to perform and shall be responsible for the scope of work as contemplated in this Agreement and other provisions to be governed later in a separate agreement between IBE and the Independent Supervisor Consultant on technical implementation. </w:t>
            </w:r>
          </w:p>
        </w:tc>
        <w:tc>
          <w:tcPr>
            <w:tcW w:w="236" w:type="dxa"/>
          </w:tcPr>
          <w:p w14:paraId="013D4715" w14:textId="77777777" w:rsidR="00923319" w:rsidRPr="00A67277" w:rsidRDefault="00923319" w:rsidP="00923319">
            <w:pPr>
              <w:spacing w:before="120" w:after="120"/>
              <w:rPr>
                <w:rFonts w:ascii="Arial" w:hAnsi="Arial" w:cs="Arial"/>
                <w:sz w:val="21"/>
                <w:szCs w:val="21"/>
              </w:rPr>
            </w:pPr>
          </w:p>
        </w:tc>
        <w:tc>
          <w:tcPr>
            <w:tcW w:w="4526" w:type="dxa"/>
          </w:tcPr>
          <w:p w14:paraId="26DCACF3" w14:textId="77777777" w:rsidR="00923319" w:rsidRPr="00A67277" w:rsidRDefault="00923319" w:rsidP="00923319">
            <w:pPr>
              <w:pStyle w:val="SchNumber3"/>
              <w:numPr>
                <w:ilvl w:val="1"/>
                <w:numId w:val="621"/>
              </w:numPr>
              <w:spacing w:before="120" w:after="120"/>
              <w:ind w:left="450" w:hanging="425"/>
              <w:rPr>
                <w:rFonts w:cs="Arial"/>
                <w:lang w:val="id-ID"/>
              </w:rPr>
            </w:pPr>
            <w:r w:rsidRPr="00A67277">
              <w:rPr>
                <w:rFonts w:cs="Arial"/>
              </w:rPr>
              <w:t xml:space="preserve">Sejak tanggal Perjanjian ini, Konsultan Pengawas Independen berkewajiban melaksanakan dan bertanggung jawab terhadap lingkup pekerjaan sebagaimana dimaksud dalam Perjanjian ini dan ketentuan lainnya yang akan diatur kemudian dalam perjanjian tersendiri antara BUP dan Konsultan Pengawas Independen mengenai teknis pelaksanaan. </w:t>
            </w:r>
          </w:p>
        </w:tc>
      </w:tr>
      <w:tr w:rsidR="00923319" w:rsidRPr="00A67277" w14:paraId="044C42ED" w14:textId="77777777" w:rsidTr="00923319">
        <w:tc>
          <w:tcPr>
            <w:tcW w:w="4949" w:type="dxa"/>
          </w:tcPr>
          <w:p w14:paraId="09D32FAD" w14:textId="77777777" w:rsidR="00923319" w:rsidRPr="00A67277" w:rsidRDefault="00923319" w:rsidP="00923319">
            <w:pPr>
              <w:pStyle w:val="Heading3"/>
              <w:spacing w:before="120" w:after="120"/>
              <w:rPr>
                <w:rFonts w:cs="Arial"/>
              </w:rPr>
            </w:pPr>
            <w:r w:rsidRPr="00A67277">
              <w:rPr>
                <w:rFonts w:cs="Arial"/>
              </w:rPr>
              <w:t>Rights and Obligations of the Independent Supervisor Consultant</w:t>
            </w:r>
          </w:p>
        </w:tc>
        <w:tc>
          <w:tcPr>
            <w:tcW w:w="236" w:type="dxa"/>
          </w:tcPr>
          <w:p w14:paraId="05D8BC52" w14:textId="77777777" w:rsidR="00923319" w:rsidRPr="00A67277" w:rsidRDefault="00923319" w:rsidP="00923319">
            <w:pPr>
              <w:spacing w:before="120" w:after="120"/>
              <w:rPr>
                <w:rFonts w:ascii="Arial" w:hAnsi="Arial" w:cs="Arial"/>
                <w:sz w:val="21"/>
                <w:szCs w:val="21"/>
              </w:rPr>
            </w:pPr>
          </w:p>
        </w:tc>
        <w:tc>
          <w:tcPr>
            <w:tcW w:w="4526" w:type="dxa"/>
          </w:tcPr>
          <w:p w14:paraId="66BD394E" w14:textId="77777777" w:rsidR="00923319" w:rsidRPr="00A67277" w:rsidRDefault="00923319" w:rsidP="00923319">
            <w:pPr>
              <w:pStyle w:val="SchNumber3"/>
              <w:numPr>
                <w:ilvl w:val="0"/>
                <w:numId w:val="619"/>
              </w:numPr>
              <w:tabs>
                <w:tab w:val="clear" w:pos="2146"/>
                <w:tab w:val="num" w:pos="450"/>
              </w:tabs>
              <w:spacing w:before="120" w:after="120"/>
              <w:ind w:left="450" w:hanging="425"/>
              <w:rPr>
                <w:rFonts w:cs="Arial"/>
                <w:b/>
                <w:lang w:val="id-ID"/>
              </w:rPr>
            </w:pPr>
            <w:bookmarkStart w:id="452" w:name="_Hlk500926504"/>
            <w:r w:rsidRPr="00A67277">
              <w:rPr>
                <w:rFonts w:cs="Arial"/>
                <w:b/>
              </w:rPr>
              <w:t>Hak dan Kewajiban Konsultan Pengawas Independen</w:t>
            </w:r>
            <w:bookmarkEnd w:id="452"/>
          </w:p>
        </w:tc>
      </w:tr>
      <w:tr w:rsidR="00923319" w:rsidRPr="00A67277" w14:paraId="4F8BEDC2" w14:textId="77777777" w:rsidTr="00923319">
        <w:tc>
          <w:tcPr>
            <w:tcW w:w="4949" w:type="dxa"/>
          </w:tcPr>
          <w:p w14:paraId="7CB02C8D" w14:textId="77777777" w:rsidR="00923319" w:rsidRPr="00A67277" w:rsidRDefault="00923319" w:rsidP="00923319">
            <w:pPr>
              <w:pStyle w:val="SchNumber2"/>
              <w:numPr>
                <w:ilvl w:val="1"/>
                <w:numId w:val="619"/>
              </w:numPr>
              <w:tabs>
                <w:tab w:val="left" w:pos="739"/>
              </w:tabs>
              <w:spacing w:before="120" w:after="120"/>
              <w:ind w:left="739" w:hanging="709"/>
              <w:rPr>
                <w:rFonts w:cs="Arial"/>
              </w:rPr>
            </w:pPr>
            <w:r w:rsidRPr="00A67277">
              <w:rPr>
                <w:rFonts w:cs="Arial"/>
              </w:rPr>
              <w:t xml:space="preserve">The Independent Supervisor Consultant </w:t>
            </w:r>
            <w:r w:rsidRPr="00A67277">
              <w:rPr>
                <w:rFonts w:cs="Arial"/>
                <w:lang w:val="id-ID"/>
              </w:rPr>
              <w:t>is</w:t>
            </w:r>
            <w:r w:rsidRPr="00A67277">
              <w:rPr>
                <w:rFonts w:cs="Arial"/>
              </w:rPr>
              <w:t xml:space="preserve"> obliged to </w:t>
            </w:r>
            <w:r w:rsidRPr="00A67277">
              <w:rPr>
                <w:rFonts w:cs="Arial"/>
                <w:lang w:val="id-ID"/>
              </w:rPr>
              <w:t>p</w:t>
            </w:r>
            <w:r w:rsidRPr="00A67277">
              <w:rPr>
                <w:rFonts w:cs="Arial"/>
              </w:rPr>
              <w:t>erform the following duties and functions:</w:t>
            </w:r>
          </w:p>
        </w:tc>
        <w:tc>
          <w:tcPr>
            <w:tcW w:w="236" w:type="dxa"/>
          </w:tcPr>
          <w:p w14:paraId="0DAA0EBE" w14:textId="77777777" w:rsidR="00923319" w:rsidRPr="00A67277" w:rsidRDefault="00923319" w:rsidP="00923319">
            <w:pPr>
              <w:spacing w:before="120" w:after="120"/>
              <w:rPr>
                <w:rFonts w:ascii="Arial" w:hAnsi="Arial" w:cs="Arial"/>
                <w:sz w:val="21"/>
                <w:szCs w:val="21"/>
              </w:rPr>
            </w:pPr>
          </w:p>
        </w:tc>
        <w:tc>
          <w:tcPr>
            <w:tcW w:w="4526" w:type="dxa"/>
          </w:tcPr>
          <w:p w14:paraId="500449B1" w14:textId="77777777" w:rsidR="00923319" w:rsidRPr="00A67277" w:rsidRDefault="00923319" w:rsidP="00923319">
            <w:pPr>
              <w:pStyle w:val="SchNumber2"/>
              <w:numPr>
                <w:ilvl w:val="1"/>
                <w:numId w:val="625"/>
              </w:numPr>
              <w:tabs>
                <w:tab w:val="left" w:pos="450"/>
              </w:tabs>
              <w:spacing w:before="120" w:after="120"/>
              <w:ind w:left="450" w:hanging="425"/>
              <w:rPr>
                <w:rFonts w:cs="Arial"/>
                <w:lang w:val="id-ID"/>
              </w:rPr>
            </w:pPr>
            <w:r w:rsidRPr="00A67277">
              <w:rPr>
                <w:rFonts w:cs="Arial"/>
              </w:rPr>
              <w:t xml:space="preserve">Konsultan Pengawas Independen </w:t>
            </w:r>
            <w:r w:rsidRPr="00A67277">
              <w:rPr>
                <w:rFonts w:cs="Arial"/>
                <w:lang w:val="id-ID"/>
              </w:rPr>
              <w:t>berkewajiban untuk menjalankan tugas dan fungsi sebagai berikut</w:t>
            </w:r>
            <w:r w:rsidRPr="00A67277">
              <w:rPr>
                <w:rFonts w:cs="Arial"/>
              </w:rPr>
              <w:t>:</w:t>
            </w:r>
          </w:p>
        </w:tc>
      </w:tr>
      <w:tr w:rsidR="00923319" w:rsidRPr="00A67277" w14:paraId="6B7C9C85" w14:textId="77777777" w:rsidTr="00923319">
        <w:tc>
          <w:tcPr>
            <w:tcW w:w="4949" w:type="dxa"/>
          </w:tcPr>
          <w:p w14:paraId="462CF8E1"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supervise, monitor and inspect the Works and the implementation of design and construction obligations by the IBE under this Agreement;</w:t>
            </w:r>
          </w:p>
        </w:tc>
        <w:tc>
          <w:tcPr>
            <w:tcW w:w="236" w:type="dxa"/>
          </w:tcPr>
          <w:p w14:paraId="46549B91" w14:textId="77777777" w:rsidR="00923319" w:rsidRPr="00A67277" w:rsidRDefault="00923319" w:rsidP="00923319">
            <w:pPr>
              <w:spacing w:before="120" w:after="120"/>
              <w:rPr>
                <w:rFonts w:ascii="Arial" w:hAnsi="Arial" w:cs="Arial"/>
                <w:sz w:val="21"/>
                <w:szCs w:val="21"/>
              </w:rPr>
            </w:pPr>
          </w:p>
        </w:tc>
        <w:tc>
          <w:tcPr>
            <w:tcW w:w="4526" w:type="dxa"/>
          </w:tcPr>
          <w:p w14:paraId="36E0DC9F" w14:textId="77777777" w:rsidR="00923319" w:rsidRPr="00A67277" w:rsidRDefault="00923319" w:rsidP="00923319">
            <w:pPr>
              <w:pStyle w:val="SchNumber3"/>
              <w:numPr>
                <w:ilvl w:val="0"/>
                <w:numId w:val="622"/>
              </w:numPr>
              <w:spacing w:before="120" w:after="120"/>
              <w:ind w:left="876" w:hanging="426"/>
              <w:rPr>
                <w:rFonts w:cs="Arial"/>
                <w:lang w:val="id-ID"/>
              </w:rPr>
            </w:pPr>
            <w:r w:rsidRPr="00A67277">
              <w:rPr>
                <w:rFonts w:cs="Arial"/>
              </w:rPr>
              <w:t>mengawasi, memantau dan memeriksa Pekerjaan dan pelaksanaan kewajiban desain dan konstruksi oleh BUP berdasarkan Perjanjian ini;</w:t>
            </w:r>
          </w:p>
        </w:tc>
      </w:tr>
      <w:tr w:rsidR="00923319" w:rsidRPr="00A67277" w14:paraId="63E1E4B4" w14:textId="77777777" w:rsidTr="00923319">
        <w:tc>
          <w:tcPr>
            <w:tcW w:w="4949" w:type="dxa"/>
          </w:tcPr>
          <w:p w14:paraId="268D9593"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review and determine whether the details of the approved Design Documents has fulfilled the Design and Technical Specifications;</w:t>
            </w:r>
          </w:p>
        </w:tc>
        <w:tc>
          <w:tcPr>
            <w:tcW w:w="236" w:type="dxa"/>
          </w:tcPr>
          <w:p w14:paraId="20AFFA9A" w14:textId="77777777" w:rsidR="00923319" w:rsidRPr="00A67277" w:rsidRDefault="00923319" w:rsidP="00923319">
            <w:pPr>
              <w:spacing w:before="120" w:after="120"/>
              <w:rPr>
                <w:rFonts w:ascii="Arial" w:hAnsi="Arial" w:cs="Arial"/>
                <w:sz w:val="21"/>
                <w:szCs w:val="21"/>
              </w:rPr>
            </w:pPr>
          </w:p>
        </w:tc>
        <w:tc>
          <w:tcPr>
            <w:tcW w:w="4526" w:type="dxa"/>
          </w:tcPr>
          <w:p w14:paraId="1A2DA364" w14:textId="77777777" w:rsidR="00923319" w:rsidRPr="00A67277" w:rsidRDefault="00923319" w:rsidP="00923319">
            <w:pPr>
              <w:pStyle w:val="SchNumber3"/>
              <w:numPr>
                <w:ilvl w:val="0"/>
                <w:numId w:val="623"/>
              </w:numPr>
              <w:spacing w:before="120" w:after="120"/>
              <w:ind w:left="876" w:hanging="426"/>
              <w:rPr>
                <w:rFonts w:cs="Arial"/>
                <w:lang w:val="id-ID"/>
              </w:rPr>
            </w:pPr>
            <w:r w:rsidRPr="00A67277">
              <w:rPr>
                <w:rFonts w:cs="Arial"/>
              </w:rPr>
              <w:t>mengkaji dan menentukan apakan rincian Dokumen Desain telah memenuhi Spesifikasi Desain dan Teknis;</w:t>
            </w:r>
          </w:p>
        </w:tc>
      </w:tr>
      <w:tr w:rsidR="00923319" w:rsidRPr="00A67277" w14:paraId="66C9F06A" w14:textId="77777777" w:rsidTr="00923319">
        <w:tc>
          <w:tcPr>
            <w:tcW w:w="4949" w:type="dxa"/>
          </w:tcPr>
          <w:p w14:paraId="6C0FC220"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monitor and inspect the Works to determine whether the Project Completion Phase by IBE in accordance with the Project Completion Phase Schedule;</w:t>
            </w:r>
          </w:p>
        </w:tc>
        <w:tc>
          <w:tcPr>
            <w:tcW w:w="236" w:type="dxa"/>
          </w:tcPr>
          <w:p w14:paraId="339745AE" w14:textId="77777777" w:rsidR="00923319" w:rsidRPr="00A67277" w:rsidRDefault="00923319" w:rsidP="00923319">
            <w:pPr>
              <w:spacing w:before="120" w:after="120"/>
              <w:rPr>
                <w:rFonts w:ascii="Arial" w:hAnsi="Arial" w:cs="Arial"/>
                <w:sz w:val="21"/>
                <w:szCs w:val="21"/>
              </w:rPr>
            </w:pPr>
          </w:p>
        </w:tc>
        <w:tc>
          <w:tcPr>
            <w:tcW w:w="4526" w:type="dxa"/>
          </w:tcPr>
          <w:p w14:paraId="4D58E805"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memantau dan memeriksa Pekerjaan untuk menentukan apakah Tahap Penyelesaian Proyek oleh BUP sesuai dengan Jadwal Tahap Penyelesaian Proyek;</w:t>
            </w:r>
          </w:p>
        </w:tc>
      </w:tr>
      <w:tr w:rsidR="00923319" w:rsidRPr="00A67277" w14:paraId="27BB9C4A" w14:textId="77777777" w:rsidTr="00923319">
        <w:tc>
          <w:tcPr>
            <w:tcW w:w="4949" w:type="dxa"/>
          </w:tcPr>
          <w:p w14:paraId="6C190239"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review and determine whether the Operational and Maintenance Procedures prepared by IBE have met the requirements of Article 8.5 (</w:t>
            </w:r>
            <w:r w:rsidRPr="00A67277">
              <w:rPr>
                <w:rFonts w:cs="Arial"/>
                <w:i/>
              </w:rPr>
              <w:t>Operation and Maintenance Manual</w:t>
            </w:r>
            <w:r w:rsidRPr="00A67277">
              <w:rPr>
                <w:rFonts w:cs="Arial"/>
              </w:rPr>
              <w:t>) of the Cooperation Agreement;</w:t>
            </w:r>
          </w:p>
        </w:tc>
        <w:tc>
          <w:tcPr>
            <w:tcW w:w="236" w:type="dxa"/>
          </w:tcPr>
          <w:p w14:paraId="16773E3E" w14:textId="77777777" w:rsidR="00923319" w:rsidRPr="00A67277" w:rsidRDefault="00923319" w:rsidP="00923319">
            <w:pPr>
              <w:spacing w:before="120" w:after="120"/>
              <w:rPr>
                <w:rFonts w:ascii="Arial" w:hAnsi="Arial" w:cs="Arial"/>
                <w:sz w:val="21"/>
                <w:szCs w:val="21"/>
              </w:rPr>
            </w:pPr>
          </w:p>
        </w:tc>
        <w:tc>
          <w:tcPr>
            <w:tcW w:w="4526" w:type="dxa"/>
          </w:tcPr>
          <w:p w14:paraId="779B9BF9"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mengkaji dan menentukan apakah Prosedur Operasional dan Pemeliharaan yang disiapkan oleh BUP telah memenuhi persyaratan Pasal 8.5 (</w:t>
            </w:r>
            <w:r w:rsidRPr="00A67277">
              <w:rPr>
                <w:rFonts w:cs="Arial"/>
                <w:i/>
              </w:rPr>
              <w:t>Panduan Operasi dan Pemeliharaan</w:t>
            </w:r>
            <w:r w:rsidRPr="00A67277">
              <w:rPr>
                <w:rFonts w:cs="Arial"/>
              </w:rPr>
              <w:t>) Perjanjian Kerjasama;</w:t>
            </w:r>
          </w:p>
        </w:tc>
      </w:tr>
      <w:tr w:rsidR="00923319" w:rsidRPr="00A67277" w14:paraId="0BB16B7A" w14:textId="77777777" w:rsidTr="00923319">
        <w:tc>
          <w:tcPr>
            <w:tcW w:w="4949" w:type="dxa"/>
          </w:tcPr>
          <w:p w14:paraId="63678E09"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participate in the Test of Facility and determine whether Independent Supervisor Consultant can issue certificate of acceptance to IBE</w:t>
            </w:r>
            <w:r w:rsidRPr="00A67277">
              <w:rPr>
                <w:rFonts w:cs="Arial"/>
                <w:lang w:val="id-ID"/>
              </w:rPr>
              <w:t>;</w:t>
            </w:r>
          </w:p>
        </w:tc>
        <w:tc>
          <w:tcPr>
            <w:tcW w:w="236" w:type="dxa"/>
          </w:tcPr>
          <w:p w14:paraId="16C0D03B" w14:textId="77777777" w:rsidR="00923319" w:rsidRPr="00A67277" w:rsidRDefault="00923319" w:rsidP="00923319">
            <w:pPr>
              <w:spacing w:before="120" w:after="120"/>
              <w:rPr>
                <w:rFonts w:ascii="Arial" w:hAnsi="Arial" w:cs="Arial"/>
                <w:sz w:val="21"/>
                <w:szCs w:val="21"/>
              </w:rPr>
            </w:pPr>
          </w:p>
        </w:tc>
        <w:tc>
          <w:tcPr>
            <w:tcW w:w="4526" w:type="dxa"/>
          </w:tcPr>
          <w:p w14:paraId="7E011C8E"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berpartisipasi dalam pengujian atas Fasilitas untuk menentukan apakah Konsultan Pengawas Independen dapat menerbitkan sertifikat penerimaan kepada BUP;</w:t>
            </w:r>
          </w:p>
        </w:tc>
      </w:tr>
      <w:tr w:rsidR="00923319" w:rsidRPr="00A67277" w14:paraId="004CBAA8" w14:textId="77777777" w:rsidTr="00923319">
        <w:tc>
          <w:tcPr>
            <w:tcW w:w="4949" w:type="dxa"/>
          </w:tcPr>
          <w:p w14:paraId="3074CC69" w14:textId="1AD34806" w:rsidR="00923319" w:rsidRPr="00A67277" w:rsidRDefault="00923319" w:rsidP="00923319">
            <w:pPr>
              <w:pStyle w:val="Body2"/>
              <w:numPr>
                <w:ilvl w:val="0"/>
                <w:numId w:val="569"/>
              </w:numPr>
              <w:spacing w:before="120" w:after="120"/>
              <w:ind w:left="1164" w:hanging="444"/>
              <w:rPr>
                <w:rFonts w:cs="Arial"/>
              </w:rPr>
            </w:pPr>
            <w:r w:rsidRPr="00A67277">
              <w:rPr>
                <w:rFonts w:cs="Arial"/>
              </w:rPr>
              <w:t>recommend GCA whether IBE may be granted an extension of time for the achievement of the Project Completion Phase in accordance with Article 31.1 (</w:t>
            </w:r>
            <w:r w:rsidRPr="00A67277">
              <w:rPr>
                <w:rFonts w:cs="Arial"/>
                <w:i/>
              </w:rPr>
              <w:t>Monitoring Rights</w:t>
            </w:r>
            <w:r w:rsidR="00966C20">
              <w:rPr>
                <w:rFonts w:cs="Arial"/>
                <w:i/>
              </w:rPr>
              <w:t>;</w:t>
            </w:r>
            <w:r w:rsidRPr="00A67277">
              <w:rPr>
                <w:rFonts w:cs="Arial"/>
                <w:i/>
              </w:rPr>
              <w:t xml:space="preserve"> Report</w:t>
            </w:r>
            <w:r w:rsidRPr="00A67277">
              <w:rPr>
                <w:rFonts w:cs="Arial"/>
              </w:rPr>
              <w:t>) of the Cooperation Agreement;</w:t>
            </w:r>
          </w:p>
        </w:tc>
        <w:tc>
          <w:tcPr>
            <w:tcW w:w="236" w:type="dxa"/>
          </w:tcPr>
          <w:p w14:paraId="0BD2AE9E" w14:textId="77777777" w:rsidR="00923319" w:rsidRPr="00A67277" w:rsidRDefault="00923319" w:rsidP="00923319">
            <w:pPr>
              <w:spacing w:before="120" w:after="120"/>
              <w:rPr>
                <w:rFonts w:ascii="Arial" w:hAnsi="Arial" w:cs="Arial"/>
                <w:sz w:val="21"/>
                <w:szCs w:val="21"/>
              </w:rPr>
            </w:pPr>
          </w:p>
        </w:tc>
        <w:tc>
          <w:tcPr>
            <w:tcW w:w="4526" w:type="dxa"/>
          </w:tcPr>
          <w:p w14:paraId="2C81880A"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memberikan rekomendasi kepada PJPK apakah BUP dapat diberikan perpanjangan waktu untuk pencapaian Tahap Penyelesaian Proyek sesuai dengan Pasal 31.1 (</w:t>
            </w:r>
            <w:r w:rsidRPr="00A67277">
              <w:rPr>
                <w:rFonts w:cs="Arial"/>
                <w:i/>
              </w:rPr>
              <w:t>Hak Pengawasan; Laporan-Laporan</w:t>
            </w:r>
            <w:r w:rsidRPr="00A67277">
              <w:rPr>
                <w:rFonts w:cs="Arial"/>
              </w:rPr>
              <w:t>) Perjanjian Kerjasama;</w:t>
            </w:r>
          </w:p>
        </w:tc>
      </w:tr>
      <w:tr w:rsidR="00923319" w:rsidRPr="00A67277" w14:paraId="2B709220" w14:textId="77777777" w:rsidTr="00923319">
        <w:tc>
          <w:tcPr>
            <w:tcW w:w="4949" w:type="dxa"/>
          </w:tcPr>
          <w:p w14:paraId="1AA17C66" w14:textId="41E23962" w:rsidR="00923319" w:rsidRPr="00A67277" w:rsidRDefault="00923319" w:rsidP="00923319">
            <w:pPr>
              <w:pStyle w:val="Body2"/>
              <w:numPr>
                <w:ilvl w:val="0"/>
                <w:numId w:val="569"/>
              </w:numPr>
              <w:spacing w:before="120" w:after="120"/>
              <w:ind w:left="1164" w:hanging="444"/>
              <w:rPr>
                <w:rFonts w:cs="Arial"/>
              </w:rPr>
            </w:pPr>
            <w:r w:rsidRPr="00A67277">
              <w:rPr>
                <w:rFonts w:cs="Arial"/>
                <w:lang w:val="id-ID"/>
              </w:rPr>
              <w:t>p</w:t>
            </w:r>
            <w:r w:rsidRPr="00A67277">
              <w:rPr>
                <w:rFonts w:cs="Arial"/>
              </w:rPr>
              <w:t xml:space="preserve">repare reports and weekly and monthly analysis and submit reports and records to GCA and IBE on a monthly </w:t>
            </w:r>
            <w:r w:rsidRPr="00A67277">
              <w:rPr>
                <w:rFonts w:cs="Arial"/>
                <w:lang w:val="id-ID"/>
              </w:rPr>
              <w:t xml:space="preserve">basis </w:t>
            </w:r>
            <w:r w:rsidRPr="00A67277">
              <w:rPr>
                <w:rFonts w:cs="Arial"/>
              </w:rPr>
              <w:t>or at any time based on a reasonable request from GCA or IBE;</w:t>
            </w:r>
          </w:p>
        </w:tc>
        <w:tc>
          <w:tcPr>
            <w:tcW w:w="236" w:type="dxa"/>
          </w:tcPr>
          <w:p w14:paraId="402E25D4" w14:textId="77777777" w:rsidR="00923319" w:rsidRPr="00A67277" w:rsidRDefault="00923319" w:rsidP="00923319">
            <w:pPr>
              <w:spacing w:before="120" w:after="120"/>
              <w:rPr>
                <w:rFonts w:ascii="Arial" w:hAnsi="Arial" w:cs="Arial"/>
                <w:sz w:val="21"/>
                <w:szCs w:val="21"/>
              </w:rPr>
            </w:pPr>
          </w:p>
        </w:tc>
        <w:tc>
          <w:tcPr>
            <w:tcW w:w="4526" w:type="dxa"/>
          </w:tcPr>
          <w:p w14:paraId="456E16E1" w14:textId="1EC03454"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membuat laporan/ catatan dan analisis secara mingguan dan bulanan dan menyerahkan laporan dan catatan tersebut kepada PJPK dan BUP secara bulanan atau setiap saat berdasarkan permintaan wajar dari PJPK atau BUP;</w:t>
            </w:r>
          </w:p>
        </w:tc>
      </w:tr>
      <w:tr w:rsidR="00923319" w:rsidRPr="00A67277" w14:paraId="5EDAAD12" w14:textId="77777777" w:rsidTr="00923319">
        <w:tc>
          <w:tcPr>
            <w:tcW w:w="4949" w:type="dxa"/>
          </w:tcPr>
          <w:p w14:paraId="18A2AE0B" w14:textId="367ED8F6" w:rsidR="00923319" w:rsidRPr="00A67277" w:rsidRDefault="00923319" w:rsidP="00923319">
            <w:pPr>
              <w:pStyle w:val="Body2"/>
              <w:numPr>
                <w:ilvl w:val="0"/>
                <w:numId w:val="569"/>
              </w:numPr>
              <w:spacing w:before="120" w:after="120"/>
              <w:ind w:left="1164" w:hanging="444"/>
              <w:rPr>
                <w:rFonts w:cs="Arial"/>
              </w:rPr>
            </w:pPr>
            <w:r w:rsidRPr="00A67277">
              <w:rPr>
                <w:rFonts w:cs="Arial"/>
                <w:lang w:val="id-ID"/>
              </w:rPr>
              <w:t>p</w:t>
            </w:r>
            <w:r w:rsidRPr="00A67277">
              <w:rPr>
                <w:rFonts w:cs="Arial"/>
              </w:rPr>
              <w:t>erform an inspection in connection with the implementation of IBE obligations under this Agreement in accordance with Article 31.1 (</w:t>
            </w:r>
            <w:r w:rsidRPr="00A67277">
              <w:rPr>
                <w:rFonts w:cs="Arial"/>
                <w:i/>
              </w:rPr>
              <w:t>Monitoring Rights</w:t>
            </w:r>
            <w:r w:rsidR="00966C20">
              <w:rPr>
                <w:rFonts w:cs="Arial"/>
                <w:i/>
              </w:rPr>
              <w:t>;</w:t>
            </w:r>
            <w:r w:rsidRPr="00A67277">
              <w:rPr>
                <w:rFonts w:cs="Arial"/>
                <w:i/>
              </w:rPr>
              <w:t xml:space="preserve"> Report</w:t>
            </w:r>
            <w:r w:rsidRPr="00A67277">
              <w:rPr>
                <w:rFonts w:cs="Arial"/>
              </w:rPr>
              <w:t>) of the Cooperation Agreement;</w:t>
            </w:r>
          </w:p>
        </w:tc>
        <w:tc>
          <w:tcPr>
            <w:tcW w:w="236" w:type="dxa"/>
          </w:tcPr>
          <w:p w14:paraId="33FB9C5C" w14:textId="77777777" w:rsidR="00923319" w:rsidRPr="00A67277" w:rsidRDefault="00923319" w:rsidP="00923319">
            <w:pPr>
              <w:spacing w:before="120" w:after="120"/>
              <w:rPr>
                <w:rFonts w:ascii="Arial" w:hAnsi="Arial" w:cs="Arial"/>
                <w:sz w:val="21"/>
                <w:szCs w:val="21"/>
              </w:rPr>
            </w:pPr>
          </w:p>
        </w:tc>
        <w:tc>
          <w:tcPr>
            <w:tcW w:w="4526" w:type="dxa"/>
          </w:tcPr>
          <w:p w14:paraId="56AA5062"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melaksanakan pemeriksaan sehubungan dengan pelaksanaan kewajiban BUP berdasarkan Perjanjian ini sesuai dengan Pasal 31.1 (</w:t>
            </w:r>
            <w:r w:rsidRPr="00A67277">
              <w:rPr>
                <w:rFonts w:cs="Arial"/>
                <w:i/>
              </w:rPr>
              <w:t>Hak Pengawasan; Laporan-Laporan</w:t>
            </w:r>
            <w:r w:rsidRPr="00A67277">
              <w:rPr>
                <w:rFonts w:cs="Arial"/>
              </w:rPr>
              <w:t>) Perjanjian Kerjasama; dan</w:t>
            </w:r>
          </w:p>
        </w:tc>
      </w:tr>
      <w:tr w:rsidR="00923319" w:rsidRPr="00A67277" w14:paraId="4BC475A1" w14:textId="77777777" w:rsidTr="00923319">
        <w:tc>
          <w:tcPr>
            <w:tcW w:w="4949" w:type="dxa"/>
          </w:tcPr>
          <w:p w14:paraId="062E73D8" w14:textId="77777777" w:rsidR="00923319" w:rsidRPr="00A67277" w:rsidRDefault="00923319" w:rsidP="00923319">
            <w:pPr>
              <w:pStyle w:val="Body2"/>
              <w:numPr>
                <w:ilvl w:val="0"/>
                <w:numId w:val="569"/>
              </w:numPr>
              <w:spacing w:before="120" w:after="120"/>
              <w:ind w:left="1164" w:hanging="444"/>
              <w:rPr>
                <w:rFonts w:cs="Arial"/>
              </w:rPr>
            </w:pPr>
            <w:r w:rsidRPr="00A67277">
              <w:rPr>
                <w:rFonts w:cs="Arial"/>
              </w:rPr>
              <w:t>perform any other duties and functions as provided for in the Cooperation Agreement or as assigned to them under the consent of the Parties; and</w:t>
            </w:r>
          </w:p>
        </w:tc>
        <w:tc>
          <w:tcPr>
            <w:tcW w:w="236" w:type="dxa"/>
          </w:tcPr>
          <w:p w14:paraId="3F1ED2F3" w14:textId="77777777" w:rsidR="00923319" w:rsidRPr="00A67277" w:rsidRDefault="00923319" w:rsidP="00923319">
            <w:pPr>
              <w:spacing w:before="120" w:after="120"/>
              <w:rPr>
                <w:rFonts w:ascii="Arial" w:hAnsi="Arial" w:cs="Arial"/>
                <w:sz w:val="21"/>
                <w:szCs w:val="21"/>
              </w:rPr>
            </w:pPr>
          </w:p>
        </w:tc>
        <w:tc>
          <w:tcPr>
            <w:tcW w:w="4526" w:type="dxa"/>
          </w:tcPr>
          <w:p w14:paraId="1C8F97EF" w14:textId="77777777" w:rsidR="00923319" w:rsidRPr="00A67277" w:rsidRDefault="00923319" w:rsidP="00923319">
            <w:pPr>
              <w:pStyle w:val="SchNumber3"/>
              <w:numPr>
                <w:ilvl w:val="0"/>
                <w:numId w:val="624"/>
              </w:numPr>
              <w:spacing w:before="120" w:after="120"/>
              <w:ind w:left="876" w:hanging="426"/>
              <w:rPr>
                <w:rFonts w:cs="Arial"/>
                <w:lang w:val="id-ID"/>
              </w:rPr>
            </w:pPr>
            <w:r w:rsidRPr="00A67277">
              <w:rPr>
                <w:rFonts w:cs="Arial"/>
              </w:rPr>
              <w:t>melaksanakan tugas dan fungsi lainnya sebagaimana diatur dalam Perjanjian Kerjasama atau sebagaimana ditugaskan kepadanya berdasarkan kesepakatan Para Pihak.</w:t>
            </w:r>
          </w:p>
        </w:tc>
      </w:tr>
      <w:tr w:rsidR="00923319" w:rsidRPr="00A67277" w14:paraId="7D58CB85" w14:textId="77777777" w:rsidTr="00923319">
        <w:tc>
          <w:tcPr>
            <w:tcW w:w="4949" w:type="dxa"/>
          </w:tcPr>
          <w:p w14:paraId="4AE1781B" w14:textId="77777777" w:rsidR="00923319" w:rsidRPr="00A67277" w:rsidRDefault="00923319" w:rsidP="00923319">
            <w:pPr>
              <w:pStyle w:val="SchNumber2"/>
              <w:numPr>
                <w:ilvl w:val="1"/>
                <w:numId w:val="625"/>
              </w:numPr>
              <w:tabs>
                <w:tab w:val="left" w:pos="739"/>
              </w:tabs>
              <w:spacing w:before="120" w:after="120"/>
              <w:ind w:left="739" w:hanging="709"/>
              <w:rPr>
                <w:rFonts w:cs="Arial"/>
              </w:rPr>
            </w:pPr>
            <w:r w:rsidRPr="00A67277">
              <w:rPr>
                <w:rFonts w:cs="Arial"/>
              </w:rPr>
              <w:t>For the purposes of Article 4.1 above, the Independent Supervisor Consultant shall implement the following:</w:t>
            </w:r>
          </w:p>
        </w:tc>
        <w:tc>
          <w:tcPr>
            <w:tcW w:w="236" w:type="dxa"/>
          </w:tcPr>
          <w:p w14:paraId="46C97CC0" w14:textId="77777777" w:rsidR="00923319" w:rsidRPr="00A67277" w:rsidRDefault="00923319" w:rsidP="00923319">
            <w:pPr>
              <w:spacing w:before="120" w:after="120"/>
              <w:rPr>
                <w:rFonts w:ascii="Arial" w:hAnsi="Arial" w:cs="Arial"/>
                <w:sz w:val="21"/>
                <w:szCs w:val="21"/>
              </w:rPr>
            </w:pPr>
          </w:p>
        </w:tc>
        <w:tc>
          <w:tcPr>
            <w:tcW w:w="4526" w:type="dxa"/>
          </w:tcPr>
          <w:p w14:paraId="3AC39C87" w14:textId="77777777" w:rsidR="00923319" w:rsidRPr="00A67277" w:rsidRDefault="00923319" w:rsidP="00923319">
            <w:pPr>
              <w:pStyle w:val="SchNumber2"/>
              <w:numPr>
                <w:ilvl w:val="1"/>
                <w:numId w:val="626"/>
              </w:numPr>
              <w:tabs>
                <w:tab w:val="left" w:pos="450"/>
              </w:tabs>
              <w:spacing w:before="120" w:after="120"/>
              <w:ind w:left="450" w:hanging="425"/>
              <w:rPr>
                <w:rFonts w:cs="Arial"/>
                <w:lang w:val="id-ID"/>
              </w:rPr>
            </w:pPr>
            <w:r w:rsidRPr="00A67277">
              <w:rPr>
                <w:rFonts w:cs="Arial"/>
              </w:rPr>
              <w:t>Untuk maksud dimaksud dalam Pasal 4.1 di atas, Konsultan Pengawas Independen harus melakukan hal-hal sebagai berikut:</w:t>
            </w:r>
          </w:p>
        </w:tc>
      </w:tr>
      <w:tr w:rsidR="00923319" w:rsidRPr="00A67277" w14:paraId="15DC2B9B" w14:textId="77777777" w:rsidTr="00923319">
        <w:tc>
          <w:tcPr>
            <w:tcW w:w="4949" w:type="dxa"/>
          </w:tcPr>
          <w:p w14:paraId="52849D69" w14:textId="269B7070"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r</w:t>
            </w:r>
            <w:r w:rsidRPr="00A67277">
              <w:rPr>
                <w:rFonts w:cs="Arial"/>
              </w:rPr>
              <w:t xml:space="preserve">eview, assess and provide input on printed copies and electronic copies of the initial </w:t>
            </w:r>
            <w:r w:rsidR="00DC2236" w:rsidRPr="00A67277">
              <w:rPr>
                <w:rFonts w:cs="Arial"/>
              </w:rPr>
              <w:t>D</w:t>
            </w:r>
            <w:r w:rsidRPr="00A67277">
              <w:rPr>
                <w:rFonts w:cs="Arial"/>
              </w:rPr>
              <w:t xml:space="preserve">esign </w:t>
            </w:r>
            <w:r w:rsidR="00DC2236" w:rsidRPr="00A67277">
              <w:rPr>
                <w:rFonts w:cs="Arial"/>
              </w:rPr>
              <w:t>D</w:t>
            </w:r>
            <w:r w:rsidRPr="00A67277">
              <w:rPr>
                <w:rFonts w:cs="Arial"/>
              </w:rPr>
              <w:t>ocuments, including drawings and plans, process details, including work plans and operating philosophy on the Facility</w:t>
            </w:r>
            <w:r w:rsidRPr="00A67277">
              <w:rPr>
                <w:rFonts w:cs="Arial"/>
                <w:lang w:val="id-ID"/>
              </w:rPr>
              <w:t>;</w:t>
            </w:r>
          </w:p>
        </w:tc>
        <w:tc>
          <w:tcPr>
            <w:tcW w:w="236" w:type="dxa"/>
          </w:tcPr>
          <w:p w14:paraId="449794CB" w14:textId="77777777" w:rsidR="00923319" w:rsidRPr="00A67277" w:rsidRDefault="00923319" w:rsidP="00923319">
            <w:pPr>
              <w:spacing w:before="120" w:after="120"/>
              <w:rPr>
                <w:rFonts w:ascii="Arial" w:hAnsi="Arial" w:cs="Arial"/>
                <w:sz w:val="21"/>
                <w:szCs w:val="21"/>
              </w:rPr>
            </w:pPr>
          </w:p>
        </w:tc>
        <w:tc>
          <w:tcPr>
            <w:tcW w:w="4526" w:type="dxa"/>
          </w:tcPr>
          <w:p w14:paraId="06340CD0" w14:textId="04ED32DD"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 xml:space="preserve">mengkaji, menilai dan memberikan masukan hasil salinan cetak dan salinan elektronik </w:t>
            </w:r>
            <w:r w:rsidR="00DC2236" w:rsidRPr="00A67277">
              <w:rPr>
                <w:rFonts w:cs="Arial"/>
              </w:rPr>
              <w:t>D</w:t>
            </w:r>
            <w:r w:rsidRPr="00A67277">
              <w:rPr>
                <w:rFonts w:cs="Arial"/>
              </w:rPr>
              <w:t xml:space="preserve">okumen </w:t>
            </w:r>
            <w:r w:rsidR="00DC2236" w:rsidRPr="00A67277">
              <w:rPr>
                <w:rFonts w:cs="Arial"/>
              </w:rPr>
              <w:t>D</w:t>
            </w:r>
            <w:r w:rsidRPr="00A67277">
              <w:rPr>
                <w:rFonts w:cs="Arial"/>
              </w:rPr>
              <w:t>esain, termasuk gambar dan rencana, rincian proses, termasuk rencana kerja dan filosofi pengoperasian, atas Fasilitas</w:t>
            </w:r>
          </w:p>
        </w:tc>
      </w:tr>
      <w:tr w:rsidR="00923319" w:rsidRPr="00A67277" w14:paraId="21156B5D" w14:textId="77777777" w:rsidTr="00923319">
        <w:tc>
          <w:tcPr>
            <w:tcW w:w="4949" w:type="dxa"/>
          </w:tcPr>
          <w:p w14:paraId="3E1C1E89" w14:textId="48028BE8"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r</w:t>
            </w:r>
            <w:r w:rsidRPr="00A67277">
              <w:rPr>
                <w:rFonts w:cs="Arial"/>
              </w:rPr>
              <w:t xml:space="preserve">eview, assess and provide input from each final </w:t>
            </w:r>
            <w:r w:rsidR="00DC2236" w:rsidRPr="00A67277">
              <w:rPr>
                <w:rFonts w:cs="Arial"/>
              </w:rPr>
              <w:t>D</w:t>
            </w:r>
            <w:r w:rsidRPr="00A67277">
              <w:rPr>
                <w:rFonts w:cs="Arial"/>
              </w:rPr>
              <w:t xml:space="preserve">esign </w:t>
            </w:r>
            <w:r w:rsidR="00DC2236" w:rsidRPr="00A67277">
              <w:rPr>
                <w:rFonts w:cs="Arial"/>
              </w:rPr>
              <w:t>D</w:t>
            </w:r>
            <w:r w:rsidRPr="00A67277">
              <w:rPr>
                <w:rFonts w:cs="Arial"/>
              </w:rPr>
              <w:t>ocument, including drawings and plans, process details and operating philosophy of the Facility within the period set forth in Article 8 (</w:t>
            </w:r>
            <w:r w:rsidRPr="00A67277">
              <w:rPr>
                <w:rFonts w:cs="Arial"/>
                <w:i/>
              </w:rPr>
              <w:t>Development and Construction of the Project</w:t>
            </w:r>
            <w:r w:rsidRPr="00A67277">
              <w:rPr>
                <w:rFonts w:cs="Arial"/>
              </w:rPr>
              <w:t>) of the Cooperation agreement</w:t>
            </w:r>
            <w:r w:rsidRPr="00A67277">
              <w:rPr>
                <w:rFonts w:cs="Arial"/>
                <w:lang w:val="id-ID"/>
              </w:rPr>
              <w:t>;</w:t>
            </w:r>
          </w:p>
        </w:tc>
        <w:tc>
          <w:tcPr>
            <w:tcW w:w="236" w:type="dxa"/>
          </w:tcPr>
          <w:p w14:paraId="57CC4C67" w14:textId="77777777" w:rsidR="00923319" w:rsidRPr="00A67277" w:rsidRDefault="00923319" w:rsidP="00923319">
            <w:pPr>
              <w:spacing w:before="120" w:after="120"/>
              <w:rPr>
                <w:rFonts w:ascii="Arial" w:hAnsi="Arial" w:cs="Arial"/>
                <w:sz w:val="21"/>
                <w:szCs w:val="21"/>
              </w:rPr>
            </w:pPr>
          </w:p>
        </w:tc>
        <w:tc>
          <w:tcPr>
            <w:tcW w:w="4526" w:type="dxa"/>
          </w:tcPr>
          <w:p w14:paraId="539BF511" w14:textId="34F2516E"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 xml:space="preserve">mengkaji, menilai dan memberikan masukan dari setiap </w:t>
            </w:r>
            <w:r w:rsidR="00DC2236" w:rsidRPr="00A67277">
              <w:rPr>
                <w:rFonts w:cs="Arial"/>
              </w:rPr>
              <w:t>D</w:t>
            </w:r>
            <w:r w:rsidRPr="00A67277">
              <w:rPr>
                <w:rFonts w:cs="Arial"/>
              </w:rPr>
              <w:t xml:space="preserve">okumen </w:t>
            </w:r>
            <w:r w:rsidR="00DC2236" w:rsidRPr="00A67277">
              <w:rPr>
                <w:rFonts w:cs="Arial"/>
              </w:rPr>
              <w:t>D</w:t>
            </w:r>
            <w:r w:rsidRPr="00A67277">
              <w:rPr>
                <w:rFonts w:cs="Arial"/>
              </w:rPr>
              <w:t>esain, termasuk gambar dan rencana, rincian proses dan filosofi pengoperasian atas Fasilitas dalam jangka waktu sebagaimana diatur dalam Pasal 8 (</w:t>
            </w:r>
            <w:r w:rsidRPr="00A67277">
              <w:rPr>
                <w:rFonts w:cs="Arial"/>
                <w:i/>
              </w:rPr>
              <w:t>Pembangunan dan Konstruksi Proyek</w:t>
            </w:r>
            <w:r w:rsidRPr="00A67277">
              <w:rPr>
                <w:rFonts w:cs="Arial"/>
              </w:rPr>
              <w:t>) Perjanjian Kerjasama.</w:t>
            </w:r>
          </w:p>
        </w:tc>
      </w:tr>
      <w:tr w:rsidR="00923319" w:rsidRPr="00A67277" w14:paraId="0230D05F" w14:textId="77777777" w:rsidTr="00923319">
        <w:tc>
          <w:tcPr>
            <w:tcW w:w="4949" w:type="dxa"/>
          </w:tcPr>
          <w:p w14:paraId="4DC48EA0" w14:textId="77777777"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r</w:t>
            </w:r>
            <w:r w:rsidRPr="00A67277">
              <w:rPr>
                <w:rFonts w:cs="Arial"/>
              </w:rPr>
              <w:t>eview and assess the suitability of proposals if there is an increase in capital expenditure proposed by IBE</w:t>
            </w:r>
            <w:r w:rsidRPr="00A67277">
              <w:rPr>
                <w:rFonts w:cs="Arial"/>
                <w:lang w:val="id-ID"/>
              </w:rPr>
              <w:t>;</w:t>
            </w:r>
          </w:p>
        </w:tc>
        <w:tc>
          <w:tcPr>
            <w:tcW w:w="236" w:type="dxa"/>
          </w:tcPr>
          <w:p w14:paraId="08A060AD" w14:textId="77777777" w:rsidR="00923319" w:rsidRPr="00A67277" w:rsidRDefault="00923319" w:rsidP="00923319">
            <w:pPr>
              <w:spacing w:before="120" w:after="120"/>
              <w:rPr>
                <w:rFonts w:ascii="Arial" w:hAnsi="Arial" w:cs="Arial"/>
                <w:sz w:val="21"/>
                <w:szCs w:val="21"/>
              </w:rPr>
            </w:pPr>
          </w:p>
        </w:tc>
        <w:tc>
          <w:tcPr>
            <w:tcW w:w="4526" w:type="dxa"/>
          </w:tcPr>
          <w:p w14:paraId="0BA98A71" w14:textId="77777777"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mengkaji dan menilai kesesuaian usulan apabila terdapat peningkatan biaya modal (</w:t>
            </w:r>
            <w:r w:rsidRPr="00A67277">
              <w:rPr>
                <w:rFonts w:cs="Arial"/>
                <w:i/>
              </w:rPr>
              <w:t>capital expenditure</w:t>
            </w:r>
            <w:r w:rsidRPr="00A67277">
              <w:rPr>
                <w:rFonts w:cs="Arial"/>
              </w:rPr>
              <w:t>) yang diajukan oleh BUP;</w:t>
            </w:r>
          </w:p>
        </w:tc>
      </w:tr>
      <w:tr w:rsidR="00923319" w:rsidRPr="00A67277" w14:paraId="204E7683" w14:textId="77777777" w:rsidTr="00923319">
        <w:tc>
          <w:tcPr>
            <w:tcW w:w="4949" w:type="dxa"/>
          </w:tcPr>
          <w:p w14:paraId="25B66C49" w14:textId="77777777"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r</w:t>
            </w:r>
            <w:r w:rsidRPr="00A67277">
              <w:rPr>
                <w:rFonts w:cs="Arial"/>
              </w:rPr>
              <w:t>eview and determine the accuracy of the IBE’s Modifikasi Notice, to be confirmed by GCA</w:t>
            </w:r>
            <w:r w:rsidRPr="00A67277">
              <w:rPr>
                <w:rFonts w:cs="Arial"/>
                <w:lang w:val="id-ID"/>
              </w:rPr>
              <w:t>;</w:t>
            </w:r>
          </w:p>
        </w:tc>
        <w:tc>
          <w:tcPr>
            <w:tcW w:w="236" w:type="dxa"/>
          </w:tcPr>
          <w:p w14:paraId="6264E098" w14:textId="77777777" w:rsidR="00923319" w:rsidRPr="00A67277" w:rsidRDefault="00923319" w:rsidP="00923319">
            <w:pPr>
              <w:spacing w:before="120" w:after="120"/>
              <w:rPr>
                <w:rFonts w:ascii="Arial" w:hAnsi="Arial" w:cs="Arial"/>
                <w:sz w:val="21"/>
                <w:szCs w:val="21"/>
              </w:rPr>
            </w:pPr>
          </w:p>
        </w:tc>
        <w:tc>
          <w:tcPr>
            <w:tcW w:w="4526" w:type="dxa"/>
          </w:tcPr>
          <w:p w14:paraId="53092147" w14:textId="77777777"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mengkaji dan menentukan ketepatan Pemberitahuan Perubahan, untuk dikonfirmasi oleh PJPK</w:t>
            </w:r>
            <w:r w:rsidRPr="00A67277">
              <w:rPr>
                <w:rFonts w:cs="Arial"/>
                <w:lang w:val="id-ID"/>
              </w:rPr>
              <w:t>;</w:t>
            </w:r>
          </w:p>
        </w:tc>
      </w:tr>
      <w:tr w:rsidR="00923319" w:rsidRPr="00A67277" w14:paraId="7C751566" w14:textId="77777777" w:rsidTr="00923319">
        <w:tc>
          <w:tcPr>
            <w:tcW w:w="4949" w:type="dxa"/>
          </w:tcPr>
          <w:p w14:paraId="7D2551A2" w14:textId="77777777"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p</w:t>
            </w:r>
            <w:r w:rsidRPr="00A67277">
              <w:rPr>
                <w:rFonts w:cs="Arial"/>
              </w:rPr>
              <w:t>rovide recommendation to GCA whether IBE may be granted an extension of time for achievement of the Project Completion Phase Schedule pursuant to Article 2.2 (</w:t>
            </w:r>
            <w:r w:rsidRPr="00A67277">
              <w:rPr>
                <w:rFonts w:cs="Arial"/>
                <w:i/>
              </w:rPr>
              <w:t>Term of the Agreement</w:t>
            </w:r>
            <w:r w:rsidRPr="00A67277">
              <w:rPr>
                <w:rFonts w:cs="Arial"/>
              </w:rPr>
              <w:t>);</w:t>
            </w:r>
          </w:p>
        </w:tc>
        <w:tc>
          <w:tcPr>
            <w:tcW w:w="236" w:type="dxa"/>
          </w:tcPr>
          <w:p w14:paraId="1BB9B016" w14:textId="77777777" w:rsidR="00923319" w:rsidRPr="00A67277" w:rsidRDefault="00923319" w:rsidP="00923319">
            <w:pPr>
              <w:spacing w:before="120" w:after="120"/>
              <w:rPr>
                <w:rFonts w:ascii="Arial" w:hAnsi="Arial" w:cs="Arial"/>
                <w:sz w:val="21"/>
                <w:szCs w:val="21"/>
              </w:rPr>
            </w:pPr>
          </w:p>
        </w:tc>
        <w:tc>
          <w:tcPr>
            <w:tcW w:w="4526" w:type="dxa"/>
          </w:tcPr>
          <w:p w14:paraId="3DA4F5C3" w14:textId="77777777"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memberikan rekomendasi kepada PJPK apakah BUP dapat diberikan perpanjangan waktu untuk pencapaian Jadwal Tahap Penyelesaian Proyek sesuai dengan Pasal 2.2 (</w:t>
            </w:r>
            <w:r w:rsidRPr="00A67277">
              <w:rPr>
                <w:rFonts w:cs="Arial"/>
                <w:i/>
              </w:rPr>
              <w:t>Jangka Waktu Perjanjian</w:t>
            </w:r>
            <w:r w:rsidRPr="00A67277">
              <w:rPr>
                <w:rFonts w:cs="Arial"/>
              </w:rPr>
              <w:t>) Perjanjian Kerjasama;</w:t>
            </w:r>
          </w:p>
        </w:tc>
      </w:tr>
      <w:tr w:rsidR="00923319" w:rsidRPr="00A67277" w14:paraId="7A4E2520" w14:textId="77777777" w:rsidTr="00923319">
        <w:tc>
          <w:tcPr>
            <w:tcW w:w="4949" w:type="dxa"/>
          </w:tcPr>
          <w:p w14:paraId="32C2E8E9" w14:textId="77777777" w:rsidR="00923319" w:rsidRPr="00A67277" w:rsidRDefault="00923319" w:rsidP="00923319">
            <w:pPr>
              <w:pStyle w:val="Body2"/>
              <w:numPr>
                <w:ilvl w:val="0"/>
                <w:numId w:val="627"/>
              </w:numPr>
              <w:spacing w:before="120" w:after="120"/>
              <w:ind w:left="1164" w:hanging="425"/>
              <w:rPr>
                <w:rFonts w:cs="Arial"/>
              </w:rPr>
            </w:pPr>
            <w:r w:rsidRPr="00A67277">
              <w:rPr>
                <w:rFonts w:cs="Arial"/>
                <w:lang w:val="id-ID"/>
              </w:rPr>
              <w:t>d</w:t>
            </w:r>
            <w:r w:rsidRPr="00A67277">
              <w:rPr>
                <w:rFonts w:cs="Arial"/>
              </w:rPr>
              <w:t xml:space="preserve">etermine whether the test conducted by IBE </w:t>
            </w:r>
            <w:r w:rsidRPr="00A67277">
              <w:rPr>
                <w:rFonts w:cs="Arial"/>
                <w:lang w:val="id-ID"/>
              </w:rPr>
              <w:t>is in compliance</w:t>
            </w:r>
            <w:r w:rsidRPr="00A67277">
              <w:rPr>
                <w:rFonts w:cs="Arial"/>
              </w:rPr>
              <w:t xml:space="preserve"> with the provisions stipulated in the Cooperation Agreement;</w:t>
            </w:r>
          </w:p>
        </w:tc>
        <w:tc>
          <w:tcPr>
            <w:tcW w:w="236" w:type="dxa"/>
          </w:tcPr>
          <w:p w14:paraId="7A6DFA0C" w14:textId="77777777" w:rsidR="00923319" w:rsidRPr="00A67277" w:rsidRDefault="00923319" w:rsidP="00923319">
            <w:pPr>
              <w:spacing w:before="120" w:after="120"/>
              <w:rPr>
                <w:rFonts w:ascii="Arial" w:hAnsi="Arial" w:cs="Arial"/>
                <w:sz w:val="21"/>
                <w:szCs w:val="21"/>
              </w:rPr>
            </w:pPr>
          </w:p>
        </w:tc>
        <w:tc>
          <w:tcPr>
            <w:tcW w:w="4526" w:type="dxa"/>
          </w:tcPr>
          <w:p w14:paraId="681EA288" w14:textId="77777777" w:rsidR="00923319" w:rsidRPr="00A67277" w:rsidRDefault="00923319" w:rsidP="00923319">
            <w:pPr>
              <w:pStyle w:val="SchNumber3"/>
              <w:numPr>
                <w:ilvl w:val="0"/>
                <w:numId w:val="628"/>
              </w:numPr>
              <w:spacing w:before="120" w:after="120"/>
              <w:ind w:left="876" w:hanging="426"/>
              <w:rPr>
                <w:rFonts w:cs="Arial"/>
                <w:lang w:val="id-ID"/>
              </w:rPr>
            </w:pPr>
            <w:r w:rsidRPr="00A67277">
              <w:rPr>
                <w:rFonts w:cs="Arial"/>
              </w:rPr>
              <w:t>menentukan apakah pengujian yang dilakukan oleh BUP telah sesuai dengan ketentuan yang diatur dalam Perjanjian Kerjasama; dan;</w:t>
            </w:r>
          </w:p>
        </w:tc>
      </w:tr>
      <w:tr w:rsidR="00923319" w:rsidRPr="00A67277" w14:paraId="6DBF2E23" w14:textId="77777777" w:rsidTr="00923319">
        <w:tc>
          <w:tcPr>
            <w:tcW w:w="4949" w:type="dxa"/>
          </w:tcPr>
          <w:p w14:paraId="22F34825" w14:textId="77777777" w:rsidR="00923319" w:rsidRPr="00A67277" w:rsidRDefault="00923319" w:rsidP="00923319">
            <w:pPr>
              <w:pStyle w:val="Heading3"/>
              <w:spacing w:before="120" w:after="120"/>
              <w:rPr>
                <w:rFonts w:cs="Arial"/>
              </w:rPr>
            </w:pPr>
            <w:r w:rsidRPr="00A67277">
              <w:rPr>
                <w:rFonts w:cs="Arial"/>
              </w:rPr>
              <w:t>Rights and Obligations of IBE</w:t>
            </w:r>
          </w:p>
        </w:tc>
        <w:tc>
          <w:tcPr>
            <w:tcW w:w="236" w:type="dxa"/>
          </w:tcPr>
          <w:p w14:paraId="6A236F4F" w14:textId="77777777" w:rsidR="00923319" w:rsidRPr="00A67277" w:rsidRDefault="00923319" w:rsidP="00923319">
            <w:pPr>
              <w:spacing w:before="120" w:after="120"/>
              <w:rPr>
                <w:rFonts w:ascii="Arial" w:hAnsi="Arial" w:cs="Arial"/>
                <w:sz w:val="21"/>
                <w:szCs w:val="21"/>
              </w:rPr>
            </w:pPr>
          </w:p>
        </w:tc>
        <w:tc>
          <w:tcPr>
            <w:tcW w:w="4526" w:type="dxa"/>
          </w:tcPr>
          <w:p w14:paraId="6C72088E" w14:textId="77777777" w:rsidR="00923319" w:rsidRPr="00A67277" w:rsidRDefault="00923319" w:rsidP="00923319">
            <w:pPr>
              <w:pStyle w:val="SchNumber3"/>
              <w:numPr>
                <w:ilvl w:val="0"/>
                <w:numId w:val="619"/>
              </w:numPr>
              <w:tabs>
                <w:tab w:val="clear" w:pos="2146"/>
                <w:tab w:val="num" w:pos="450"/>
              </w:tabs>
              <w:spacing w:before="120" w:after="120"/>
              <w:ind w:left="450" w:hanging="425"/>
              <w:rPr>
                <w:rFonts w:cs="Arial"/>
                <w:b/>
                <w:lang w:val="id-ID"/>
              </w:rPr>
            </w:pPr>
            <w:r w:rsidRPr="00A67277">
              <w:rPr>
                <w:rFonts w:cs="Arial"/>
                <w:b/>
              </w:rPr>
              <w:t>Hak dan Kewajiban BUP</w:t>
            </w:r>
          </w:p>
        </w:tc>
      </w:tr>
      <w:tr w:rsidR="00923319" w:rsidRPr="00A67277" w14:paraId="53A4D096" w14:textId="77777777" w:rsidTr="00923319">
        <w:tc>
          <w:tcPr>
            <w:tcW w:w="4949" w:type="dxa"/>
          </w:tcPr>
          <w:p w14:paraId="5A59ECF9" w14:textId="703645C6"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provide </w:t>
            </w:r>
            <w:r w:rsidR="00784003">
              <w:rPr>
                <w:rFonts w:cs="Arial"/>
              </w:rPr>
              <w:t xml:space="preserve">the </w:t>
            </w:r>
            <w:r w:rsidRPr="00A67277">
              <w:rPr>
                <w:rFonts w:cs="Arial"/>
              </w:rPr>
              <w:t xml:space="preserve">Independent Supervisor Consultant </w:t>
            </w:r>
            <w:r w:rsidR="00966C20">
              <w:rPr>
                <w:rFonts w:cs="Arial"/>
              </w:rPr>
              <w:t>a</w:t>
            </w:r>
            <w:r w:rsidRPr="00A67277">
              <w:rPr>
                <w:rFonts w:cs="Arial"/>
              </w:rPr>
              <w:t xml:space="preserve">ccess to all work sites, Facility, designs, drawings, documents, Design Documents, functionaries, officers, advisors and other information requested by </w:t>
            </w:r>
            <w:r w:rsidR="00784003">
              <w:rPr>
                <w:rFonts w:cs="Arial"/>
              </w:rPr>
              <w:t xml:space="preserve">the </w:t>
            </w:r>
            <w:r w:rsidRPr="00A67277">
              <w:rPr>
                <w:rFonts w:cs="Arial"/>
              </w:rPr>
              <w:t>Independent Supervisor Consultant for implementation purposes of duties and functions under this Agreement and the Cooperation Agreement.</w:t>
            </w:r>
          </w:p>
        </w:tc>
        <w:tc>
          <w:tcPr>
            <w:tcW w:w="236" w:type="dxa"/>
          </w:tcPr>
          <w:p w14:paraId="46E4FAD4" w14:textId="77777777" w:rsidR="00923319" w:rsidRPr="00A67277" w:rsidRDefault="00923319" w:rsidP="00923319">
            <w:pPr>
              <w:spacing w:before="120" w:after="120"/>
              <w:rPr>
                <w:rFonts w:ascii="Arial" w:hAnsi="Arial" w:cs="Arial"/>
                <w:sz w:val="21"/>
                <w:szCs w:val="21"/>
              </w:rPr>
            </w:pPr>
          </w:p>
        </w:tc>
        <w:tc>
          <w:tcPr>
            <w:tcW w:w="4526" w:type="dxa"/>
          </w:tcPr>
          <w:p w14:paraId="59775FD8" w14:textId="77777777" w:rsidR="00923319" w:rsidRPr="00A67277" w:rsidRDefault="00923319" w:rsidP="00923319">
            <w:pPr>
              <w:pStyle w:val="SchNumber3"/>
              <w:numPr>
                <w:ilvl w:val="0"/>
                <w:numId w:val="630"/>
              </w:numPr>
              <w:spacing w:before="120" w:after="120"/>
              <w:ind w:left="876" w:hanging="426"/>
              <w:rPr>
                <w:rFonts w:cs="Arial"/>
                <w:lang w:val="id-ID"/>
              </w:rPr>
            </w:pPr>
            <w:bookmarkStart w:id="453" w:name="_Hlk500941148"/>
            <w:r w:rsidRPr="00A67277">
              <w:rPr>
                <w:rFonts w:cs="Arial"/>
              </w:rPr>
              <w:t>BUP wajib memberikan Konsultan Pengawas Independen akses ke seluruh lokasi Pekerjaan, Fasilitas, desain, gambar rancang, dokumen, Dokumen Desain, petugas, pegawai, penasehat dan informasi lainnya yang diminta oleh Konsultan Pengawas Independen untuk tujuan pelaksanaan tugas dan fungsinya berdasarkan Perjanjian ini dan Perjanjian Kerjasama</w:t>
            </w:r>
            <w:bookmarkEnd w:id="453"/>
            <w:r w:rsidRPr="00A67277">
              <w:rPr>
                <w:rFonts w:cs="Arial"/>
              </w:rPr>
              <w:t>.</w:t>
            </w:r>
          </w:p>
        </w:tc>
      </w:tr>
      <w:tr w:rsidR="00923319" w:rsidRPr="00A67277" w14:paraId="04FFCFDD" w14:textId="77777777" w:rsidTr="00923319">
        <w:tc>
          <w:tcPr>
            <w:tcW w:w="4949" w:type="dxa"/>
          </w:tcPr>
          <w:p w14:paraId="74E2F2A4" w14:textId="4F51E733"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make and deliver to GCA and </w:t>
            </w:r>
            <w:r w:rsidR="00784003">
              <w:rPr>
                <w:rFonts w:cs="Arial"/>
              </w:rPr>
              <w:t xml:space="preserve">the </w:t>
            </w:r>
            <w:r w:rsidRPr="00A67277">
              <w:rPr>
                <w:rFonts w:cs="Arial"/>
              </w:rPr>
              <w:t>Independent Supervisor Consultant four (4) printed copies and one (1) electronic copy of the initial detailed engineering design document, including drawings and plans, process details, and operating philosophy, made based on desktop study on the Facility.</w:t>
            </w:r>
          </w:p>
        </w:tc>
        <w:tc>
          <w:tcPr>
            <w:tcW w:w="236" w:type="dxa"/>
          </w:tcPr>
          <w:p w14:paraId="418369DA" w14:textId="77777777" w:rsidR="00923319" w:rsidRPr="00A67277" w:rsidRDefault="00923319" w:rsidP="00923319">
            <w:pPr>
              <w:spacing w:before="120" w:after="120"/>
              <w:rPr>
                <w:rFonts w:ascii="Arial" w:hAnsi="Arial" w:cs="Arial"/>
                <w:sz w:val="21"/>
                <w:szCs w:val="21"/>
              </w:rPr>
            </w:pPr>
          </w:p>
        </w:tc>
        <w:tc>
          <w:tcPr>
            <w:tcW w:w="4526" w:type="dxa"/>
          </w:tcPr>
          <w:p w14:paraId="698095CD" w14:textId="77777777"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BUP wajib membuat dan menyerahkan kepada PJPK dan Konsultan Pengawas Independen empat (4) salinan cetak dan satu (1) salinan elektronik dokumen desain teknik terperinci awal (</w:t>
            </w:r>
            <w:r w:rsidRPr="00A67277">
              <w:rPr>
                <w:rFonts w:cs="Arial"/>
                <w:i/>
              </w:rPr>
              <w:t>initial detailed engineering design</w:t>
            </w:r>
            <w:r w:rsidRPr="00A67277">
              <w:rPr>
                <w:rFonts w:cs="Arial"/>
              </w:rPr>
              <w:t xml:space="preserve">), termasuk gambar dan rencana, perincian proses, dan filosofi pengoperasian, yang dibuat berdasarkan </w:t>
            </w:r>
            <w:r w:rsidRPr="00A67277">
              <w:rPr>
                <w:rFonts w:cs="Arial"/>
                <w:i/>
              </w:rPr>
              <w:t>desktop study</w:t>
            </w:r>
            <w:r w:rsidRPr="00A67277">
              <w:rPr>
                <w:rFonts w:cs="Arial"/>
              </w:rPr>
              <w:t>, atas Fasilitas.</w:t>
            </w:r>
          </w:p>
        </w:tc>
      </w:tr>
      <w:tr w:rsidR="00923319" w:rsidRPr="00A67277" w14:paraId="5578B1E6" w14:textId="77777777" w:rsidTr="00923319">
        <w:tc>
          <w:tcPr>
            <w:tcW w:w="4949" w:type="dxa"/>
          </w:tcPr>
          <w:p w14:paraId="365554EC" w14:textId="7E72DBA6"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make and deliver to GCA and </w:t>
            </w:r>
            <w:r w:rsidR="00784003">
              <w:rPr>
                <w:rFonts w:cs="Arial"/>
              </w:rPr>
              <w:t xml:space="preserve">the </w:t>
            </w:r>
            <w:r w:rsidRPr="00A67277">
              <w:rPr>
                <w:rFonts w:cs="Arial"/>
              </w:rPr>
              <w:t xml:space="preserve">Independent Supervisor Consultant 4 (four) printed copies and 1 (one) electronic Copy of each final </w:t>
            </w:r>
            <w:r w:rsidR="00DC2236" w:rsidRPr="00A67277">
              <w:rPr>
                <w:rFonts w:cs="Arial"/>
              </w:rPr>
              <w:t>D</w:t>
            </w:r>
            <w:r w:rsidRPr="00A67277">
              <w:rPr>
                <w:rFonts w:cs="Arial"/>
              </w:rPr>
              <w:t xml:space="preserve">esign </w:t>
            </w:r>
            <w:r w:rsidR="00DC2236" w:rsidRPr="00A67277">
              <w:rPr>
                <w:rFonts w:cs="Arial"/>
              </w:rPr>
              <w:t>D</w:t>
            </w:r>
            <w:r w:rsidRPr="00A67277">
              <w:rPr>
                <w:rFonts w:cs="Arial"/>
              </w:rPr>
              <w:t>ocument including drawings and plans, process details and philosophy Operation of Facility.</w:t>
            </w:r>
          </w:p>
        </w:tc>
        <w:tc>
          <w:tcPr>
            <w:tcW w:w="236" w:type="dxa"/>
          </w:tcPr>
          <w:p w14:paraId="02A7C20F" w14:textId="77777777" w:rsidR="00923319" w:rsidRPr="00A67277" w:rsidRDefault="00923319" w:rsidP="00923319">
            <w:pPr>
              <w:spacing w:before="120" w:after="120"/>
              <w:rPr>
                <w:rFonts w:ascii="Arial" w:hAnsi="Arial" w:cs="Arial"/>
                <w:sz w:val="21"/>
                <w:szCs w:val="21"/>
              </w:rPr>
            </w:pPr>
          </w:p>
        </w:tc>
        <w:tc>
          <w:tcPr>
            <w:tcW w:w="4526" w:type="dxa"/>
          </w:tcPr>
          <w:p w14:paraId="78CC6CD9" w14:textId="6D1FB2F0"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 xml:space="preserve">BUP wajib membuat dan menyerahkan kepada PJPK dan Konsultan Pengawas Independen 4 (empat) salinan cetak dan 1 (satu) Salinan elektronik dari setiap </w:t>
            </w:r>
            <w:r w:rsidR="00DC2236" w:rsidRPr="00A67277">
              <w:rPr>
                <w:rFonts w:cs="Arial"/>
              </w:rPr>
              <w:t>D</w:t>
            </w:r>
            <w:r w:rsidRPr="00A67277">
              <w:rPr>
                <w:rFonts w:cs="Arial"/>
              </w:rPr>
              <w:t xml:space="preserve">okumen </w:t>
            </w:r>
            <w:r w:rsidR="00DC2236" w:rsidRPr="00A67277">
              <w:rPr>
                <w:rFonts w:cs="Arial"/>
              </w:rPr>
              <w:t>D</w:t>
            </w:r>
            <w:r w:rsidRPr="00A67277">
              <w:rPr>
                <w:rFonts w:cs="Arial"/>
              </w:rPr>
              <w:t xml:space="preserve">esain, termasuk gambar dan rencana, perincian proses dan filosofi pengoperasian atas Fasilitas. </w:t>
            </w:r>
          </w:p>
        </w:tc>
      </w:tr>
      <w:tr w:rsidR="00923319" w:rsidRPr="00A67277" w14:paraId="34CEC3C2" w14:textId="77777777" w:rsidTr="00923319">
        <w:tc>
          <w:tcPr>
            <w:tcW w:w="4949" w:type="dxa"/>
          </w:tcPr>
          <w:p w14:paraId="124DB912" w14:textId="5A326E49"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submit 4 (four) printed copies and 1 (one) electronic copy of the Operational and Maintenance Procedures to GCA and </w:t>
            </w:r>
            <w:r w:rsidR="00784003">
              <w:rPr>
                <w:rFonts w:cs="Arial"/>
              </w:rPr>
              <w:t xml:space="preserve">the </w:t>
            </w:r>
            <w:r w:rsidRPr="00A67277">
              <w:rPr>
                <w:rFonts w:cs="Arial"/>
              </w:rPr>
              <w:t>Independent Supervisor Consultant no later than [six (6) Months before the Commercial Operating Date].</w:t>
            </w:r>
          </w:p>
        </w:tc>
        <w:tc>
          <w:tcPr>
            <w:tcW w:w="236" w:type="dxa"/>
          </w:tcPr>
          <w:p w14:paraId="4AC1AC53" w14:textId="77777777" w:rsidR="00923319" w:rsidRPr="00A67277" w:rsidRDefault="00923319" w:rsidP="00923319">
            <w:pPr>
              <w:spacing w:before="120" w:after="120"/>
              <w:rPr>
                <w:rFonts w:ascii="Arial" w:hAnsi="Arial" w:cs="Arial"/>
                <w:sz w:val="21"/>
                <w:szCs w:val="21"/>
              </w:rPr>
            </w:pPr>
          </w:p>
        </w:tc>
        <w:tc>
          <w:tcPr>
            <w:tcW w:w="4526" w:type="dxa"/>
          </w:tcPr>
          <w:p w14:paraId="02FCBC41" w14:textId="7420A4AF"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 xml:space="preserve">BUP wajib menyampaikan 4 (empat) salinan cetak dan 1 (satu) salinan elektronik dari Prosedur Operasional dan Pemeliharaan kepada PJPK dan Konsultan Pengawas Independen selambat-lambatnya [enam (6) Bulan sebelum Tanggal Operasi Komersial. </w:t>
            </w:r>
          </w:p>
        </w:tc>
      </w:tr>
      <w:tr w:rsidR="00923319" w:rsidRPr="00A67277" w14:paraId="4DEFAB9F" w14:textId="77777777" w:rsidTr="00923319">
        <w:tc>
          <w:tcPr>
            <w:tcW w:w="4949" w:type="dxa"/>
          </w:tcPr>
          <w:p w14:paraId="7B38C184" w14:textId="77777777" w:rsidR="00923319" w:rsidRPr="00A67277" w:rsidRDefault="00923319" w:rsidP="00923319">
            <w:pPr>
              <w:pStyle w:val="Body2"/>
              <w:numPr>
                <w:ilvl w:val="0"/>
                <w:numId w:val="629"/>
              </w:numPr>
              <w:spacing w:before="120" w:after="120"/>
              <w:ind w:left="1164" w:hanging="425"/>
              <w:rPr>
                <w:rFonts w:cs="Arial"/>
              </w:rPr>
            </w:pPr>
            <w:r w:rsidRPr="00A67277">
              <w:rPr>
                <w:rFonts w:cs="Arial"/>
              </w:rPr>
              <w:t>IBE shall consider the findings of the Independent Supervisor Consultant, although GCA does not provide any input to the Design Document.</w:t>
            </w:r>
          </w:p>
        </w:tc>
        <w:tc>
          <w:tcPr>
            <w:tcW w:w="236" w:type="dxa"/>
          </w:tcPr>
          <w:p w14:paraId="4B64E634" w14:textId="77777777" w:rsidR="00923319" w:rsidRPr="00A67277" w:rsidRDefault="00923319" w:rsidP="00923319">
            <w:pPr>
              <w:spacing w:before="120" w:after="120"/>
              <w:rPr>
                <w:rFonts w:ascii="Arial" w:hAnsi="Arial" w:cs="Arial"/>
                <w:sz w:val="21"/>
                <w:szCs w:val="21"/>
              </w:rPr>
            </w:pPr>
          </w:p>
        </w:tc>
        <w:tc>
          <w:tcPr>
            <w:tcW w:w="4526" w:type="dxa"/>
          </w:tcPr>
          <w:p w14:paraId="78E03F77" w14:textId="77777777"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BUP wajib mempertimbangkan temuan dari Konsultan Pengawas Independen, meskipun PJPK tidak memberikan masukan apapun atas Dokumen Desain.</w:t>
            </w:r>
          </w:p>
        </w:tc>
      </w:tr>
      <w:tr w:rsidR="00923319" w:rsidRPr="00A67277" w14:paraId="74346DF6" w14:textId="77777777" w:rsidTr="00923319">
        <w:tc>
          <w:tcPr>
            <w:tcW w:w="4949" w:type="dxa"/>
          </w:tcPr>
          <w:p w14:paraId="7E97C21B" w14:textId="77777777"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submit the completion of the test report and its supporting data to GCA and the Independent Supervisor Consultant </w:t>
            </w:r>
            <w:r w:rsidRPr="00A67277">
              <w:rPr>
                <w:rFonts w:cs="Arial"/>
                <w:lang w:val="id-ID"/>
              </w:rPr>
              <w:t>within the period</w:t>
            </w:r>
            <w:r w:rsidRPr="00A67277">
              <w:rPr>
                <w:rFonts w:cs="Arial"/>
              </w:rPr>
              <w:t xml:space="preserve"> </w:t>
            </w:r>
            <w:r w:rsidRPr="00A67277">
              <w:rPr>
                <w:rFonts w:cs="Arial"/>
                <w:lang w:val="id-ID"/>
              </w:rPr>
              <w:t xml:space="preserve">as stipulated in </w:t>
            </w:r>
            <w:r w:rsidRPr="00A67277">
              <w:rPr>
                <w:rFonts w:cs="Arial"/>
              </w:rPr>
              <w:t>the provisions set forth in Article 9.2 (</w:t>
            </w:r>
            <w:r w:rsidRPr="00A67277">
              <w:rPr>
                <w:rFonts w:cs="Arial"/>
                <w:i/>
              </w:rPr>
              <w:t>Commercial Operation Date</w:t>
            </w:r>
            <w:r w:rsidRPr="00A67277">
              <w:rPr>
                <w:rFonts w:cs="Arial"/>
              </w:rPr>
              <w:t>) of the Cooperation Agreement.</w:t>
            </w:r>
          </w:p>
        </w:tc>
        <w:tc>
          <w:tcPr>
            <w:tcW w:w="236" w:type="dxa"/>
          </w:tcPr>
          <w:p w14:paraId="1EFE93BA" w14:textId="77777777" w:rsidR="00923319" w:rsidRPr="00A67277" w:rsidRDefault="00923319" w:rsidP="00923319">
            <w:pPr>
              <w:spacing w:before="120" w:after="120"/>
              <w:rPr>
                <w:rFonts w:ascii="Arial" w:hAnsi="Arial" w:cs="Arial"/>
                <w:sz w:val="21"/>
                <w:szCs w:val="21"/>
              </w:rPr>
            </w:pPr>
          </w:p>
        </w:tc>
        <w:tc>
          <w:tcPr>
            <w:tcW w:w="4526" w:type="dxa"/>
          </w:tcPr>
          <w:p w14:paraId="2775FB3F" w14:textId="77777777"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BUP wajib menyerahkan laporan penyelesaian pengujian dan data pendukungnya kepada PJPK dan Konsultan Pengawas Independen dengan jangka waktu sesuai dengan ketentuan yang diatur dalam Pasal 9.2 (</w:t>
            </w:r>
            <w:r w:rsidRPr="00A67277">
              <w:rPr>
                <w:rFonts w:cs="Arial"/>
                <w:i/>
              </w:rPr>
              <w:t>Tanggal Operasi Komersial</w:t>
            </w:r>
            <w:r w:rsidRPr="00A67277">
              <w:rPr>
                <w:rFonts w:cs="Arial"/>
              </w:rPr>
              <w:t>) Perjanjian Kerjasama.</w:t>
            </w:r>
          </w:p>
        </w:tc>
      </w:tr>
      <w:tr w:rsidR="00923319" w:rsidRPr="00A67277" w14:paraId="7E07DA81" w14:textId="77777777" w:rsidTr="00923319">
        <w:tc>
          <w:tcPr>
            <w:tcW w:w="4949" w:type="dxa"/>
          </w:tcPr>
          <w:p w14:paraId="1A6B5A8D" w14:textId="77777777" w:rsidR="00923319" w:rsidRPr="00A67277" w:rsidRDefault="00923319" w:rsidP="00923319">
            <w:pPr>
              <w:pStyle w:val="Body2"/>
              <w:numPr>
                <w:ilvl w:val="0"/>
                <w:numId w:val="629"/>
              </w:numPr>
              <w:spacing w:before="120" w:after="120"/>
              <w:ind w:left="1164" w:hanging="425"/>
              <w:rPr>
                <w:rFonts w:cs="Arial"/>
              </w:rPr>
            </w:pPr>
            <w:r w:rsidRPr="00A67277">
              <w:rPr>
                <w:rFonts w:cs="Arial"/>
              </w:rPr>
              <w:t>IBE shall authorize GCA or its authorized representatives, and the Independent Supervisor Consultant to conduct inspections during normal business hours after notifying IBE by not excluding the provisions of paragraph (1) of this Article. IBE shall appoint its authorized representative to attend the inspection.</w:t>
            </w:r>
          </w:p>
        </w:tc>
        <w:tc>
          <w:tcPr>
            <w:tcW w:w="236" w:type="dxa"/>
          </w:tcPr>
          <w:p w14:paraId="237D8128" w14:textId="77777777" w:rsidR="00923319" w:rsidRPr="00A67277" w:rsidRDefault="00923319" w:rsidP="00923319">
            <w:pPr>
              <w:spacing w:before="120" w:after="120"/>
              <w:rPr>
                <w:rFonts w:ascii="Arial" w:hAnsi="Arial" w:cs="Arial"/>
                <w:sz w:val="21"/>
                <w:szCs w:val="21"/>
              </w:rPr>
            </w:pPr>
          </w:p>
        </w:tc>
        <w:tc>
          <w:tcPr>
            <w:tcW w:w="4526" w:type="dxa"/>
          </w:tcPr>
          <w:p w14:paraId="20D09C46" w14:textId="77777777"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BUP wajib mengizinkan PJPK atau para wakil resminya, dan Konsultan Pengawas Independen untuk melakukan inspeksi selama jam kerja normal setelah menyampaikan pemberitahuan kepada BUP dengan tidak mengesampingkan ketentuan dari ayat (1) Pasal ini. BUP wajib menunjuk wakil resminya untuk menghadiri inspeksi tersebut.</w:t>
            </w:r>
          </w:p>
        </w:tc>
      </w:tr>
      <w:tr w:rsidR="00923319" w:rsidRPr="00A67277" w14:paraId="0812E815" w14:textId="77777777" w:rsidTr="00923319">
        <w:tc>
          <w:tcPr>
            <w:tcW w:w="4949" w:type="dxa"/>
          </w:tcPr>
          <w:p w14:paraId="0E568618" w14:textId="77777777" w:rsidR="00923319" w:rsidRPr="00A67277" w:rsidRDefault="00923319" w:rsidP="00923319">
            <w:pPr>
              <w:pStyle w:val="Body2"/>
              <w:numPr>
                <w:ilvl w:val="0"/>
                <w:numId w:val="629"/>
              </w:numPr>
              <w:spacing w:before="120" w:after="120"/>
              <w:ind w:left="1164" w:hanging="425"/>
              <w:rPr>
                <w:rFonts w:cs="Arial"/>
              </w:rPr>
            </w:pPr>
            <w:r w:rsidRPr="00A67277">
              <w:rPr>
                <w:rFonts w:cs="Arial"/>
              </w:rPr>
              <w:t xml:space="preserve">IBE shall cover the costs of the Supervision Services </w:t>
            </w:r>
            <w:r w:rsidRPr="00A67277">
              <w:rPr>
                <w:rFonts w:cs="Arial"/>
                <w:lang w:val="id-ID"/>
              </w:rPr>
              <w:t>which amount</w:t>
            </w:r>
            <w:r w:rsidRPr="00A67277">
              <w:rPr>
                <w:rFonts w:cs="Arial"/>
              </w:rPr>
              <w:t xml:space="preserve"> and payment method shall be </w:t>
            </w:r>
            <w:r w:rsidRPr="00A67277">
              <w:rPr>
                <w:rFonts w:cs="Arial"/>
                <w:lang w:val="id-ID"/>
              </w:rPr>
              <w:t>stipulated</w:t>
            </w:r>
            <w:r w:rsidRPr="00A67277">
              <w:rPr>
                <w:rFonts w:cs="Arial"/>
              </w:rPr>
              <w:t xml:space="preserve"> separately in an agreement between IBE and the Independent Supervisor Consultant.</w:t>
            </w:r>
          </w:p>
        </w:tc>
        <w:tc>
          <w:tcPr>
            <w:tcW w:w="236" w:type="dxa"/>
          </w:tcPr>
          <w:p w14:paraId="28630AAE" w14:textId="77777777" w:rsidR="00923319" w:rsidRPr="00A67277" w:rsidRDefault="00923319" w:rsidP="00923319">
            <w:pPr>
              <w:spacing w:before="120" w:after="120"/>
              <w:rPr>
                <w:rFonts w:ascii="Arial" w:hAnsi="Arial" w:cs="Arial"/>
                <w:sz w:val="21"/>
                <w:szCs w:val="21"/>
              </w:rPr>
            </w:pPr>
          </w:p>
        </w:tc>
        <w:tc>
          <w:tcPr>
            <w:tcW w:w="4526" w:type="dxa"/>
          </w:tcPr>
          <w:p w14:paraId="7A9D8562" w14:textId="77777777" w:rsidR="00923319" w:rsidRPr="00A67277" w:rsidRDefault="00923319" w:rsidP="00923319">
            <w:pPr>
              <w:pStyle w:val="SchNumber3"/>
              <w:numPr>
                <w:ilvl w:val="0"/>
                <w:numId w:val="630"/>
              </w:numPr>
              <w:spacing w:before="120" w:after="120"/>
              <w:ind w:left="876" w:hanging="426"/>
              <w:rPr>
                <w:rFonts w:cs="Arial"/>
                <w:lang w:val="id-ID"/>
              </w:rPr>
            </w:pPr>
            <w:r w:rsidRPr="00A67277">
              <w:rPr>
                <w:rFonts w:cs="Arial"/>
              </w:rPr>
              <w:t>BUP wajib menanggung biaya atas Jasa Pengawasan yang nilai dan cara pembayarannya akan diatur tersendiri dalam perjanjian antara BUP dengan Konsultan Pengawas Independen</w:t>
            </w:r>
          </w:p>
        </w:tc>
      </w:tr>
      <w:tr w:rsidR="00923319" w:rsidRPr="00A67277" w14:paraId="25E18950" w14:textId="77777777" w:rsidTr="00923319">
        <w:tc>
          <w:tcPr>
            <w:tcW w:w="4949" w:type="dxa"/>
          </w:tcPr>
          <w:p w14:paraId="585E1B42" w14:textId="77777777" w:rsidR="00923319" w:rsidRPr="00A67277" w:rsidRDefault="00923319" w:rsidP="00923319">
            <w:pPr>
              <w:pStyle w:val="Heading3"/>
              <w:spacing w:before="120" w:after="120"/>
              <w:rPr>
                <w:rFonts w:cs="Arial"/>
              </w:rPr>
            </w:pPr>
            <w:r w:rsidRPr="00A67277">
              <w:rPr>
                <w:rFonts w:cs="Arial"/>
              </w:rPr>
              <w:t>Rights and Obligations of GCA</w:t>
            </w:r>
          </w:p>
        </w:tc>
        <w:tc>
          <w:tcPr>
            <w:tcW w:w="236" w:type="dxa"/>
          </w:tcPr>
          <w:p w14:paraId="2D48A492" w14:textId="77777777" w:rsidR="00923319" w:rsidRPr="00A67277" w:rsidRDefault="00923319" w:rsidP="00923319">
            <w:pPr>
              <w:spacing w:before="120" w:after="120"/>
              <w:rPr>
                <w:rFonts w:ascii="Arial" w:hAnsi="Arial" w:cs="Arial"/>
                <w:sz w:val="21"/>
                <w:szCs w:val="21"/>
              </w:rPr>
            </w:pPr>
          </w:p>
        </w:tc>
        <w:tc>
          <w:tcPr>
            <w:tcW w:w="4526" w:type="dxa"/>
          </w:tcPr>
          <w:p w14:paraId="56DE369A" w14:textId="77777777" w:rsidR="00923319" w:rsidRPr="00A67277" w:rsidRDefault="00923319" w:rsidP="00923319">
            <w:pPr>
              <w:pStyle w:val="SchNumber3"/>
              <w:numPr>
                <w:ilvl w:val="0"/>
                <w:numId w:val="619"/>
              </w:numPr>
              <w:tabs>
                <w:tab w:val="clear" w:pos="2146"/>
                <w:tab w:val="num" w:pos="557"/>
              </w:tabs>
              <w:spacing w:before="120" w:after="120"/>
              <w:ind w:left="557" w:hanging="540"/>
              <w:rPr>
                <w:rFonts w:cs="Arial"/>
                <w:lang w:val="id-ID"/>
              </w:rPr>
            </w:pPr>
            <w:r w:rsidRPr="00A67277">
              <w:rPr>
                <w:rFonts w:cs="Arial"/>
                <w:b/>
              </w:rPr>
              <w:t>Hak dan Kewajiban PJPK</w:t>
            </w:r>
          </w:p>
        </w:tc>
      </w:tr>
      <w:tr w:rsidR="00923319" w:rsidRPr="00A67277" w14:paraId="2799899F" w14:textId="77777777" w:rsidTr="00923319">
        <w:tc>
          <w:tcPr>
            <w:tcW w:w="4949" w:type="dxa"/>
          </w:tcPr>
          <w:p w14:paraId="585D93F5" w14:textId="77777777" w:rsidR="00923319" w:rsidRPr="00A67277" w:rsidRDefault="00923319" w:rsidP="00923319">
            <w:pPr>
              <w:pStyle w:val="SchNumber2"/>
              <w:numPr>
                <w:ilvl w:val="0"/>
                <w:numId w:val="0"/>
              </w:numPr>
              <w:spacing w:before="120" w:after="120"/>
              <w:ind w:left="720"/>
              <w:rPr>
                <w:rFonts w:cs="Arial"/>
              </w:rPr>
            </w:pPr>
            <w:r w:rsidRPr="00A67277">
              <w:rPr>
                <w:rFonts w:cs="Arial"/>
              </w:rPr>
              <w:t>All Rights and Duties of GCA in the Cooperation Agreement shall be the same and binding for this Agreement.</w:t>
            </w:r>
          </w:p>
        </w:tc>
        <w:tc>
          <w:tcPr>
            <w:tcW w:w="236" w:type="dxa"/>
          </w:tcPr>
          <w:p w14:paraId="19020C4D" w14:textId="77777777" w:rsidR="00923319" w:rsidRPr="00A67277" w:rsidRDefault="00923319" w:rsidP="00923319">
            <w:pPr>
              <w:spacing w:before="120" w:after="120"/>
              <w:rPr>
                <w:rFonts w:ascii="Arial" w:hAnsi="Arial" w:cs="Arial"/>
                <w:sz w:val="21"/>
                <w:szCs w:val="21"/>
              </w:rPr>
            </w:pPr>
          </w:p>
        </w:tc>
        <w:tc>
          <w:tcPr>
            <w:tcW w:w="4526" w:type="dxa"/>
          </w:tcPr>
          <w:p w14:paraId="7E9EA7D5" w14:textId="77777777" w:rsidR="00923319" w:rsidRPr="00A67277" w:rsidRDefault="00923319" w:rsidP="00923319">
            <w:pPr>
              <w:pStyle w:val="SchNumber3"/>
              <w:numPr>
                <w:ilvl w:val="0"/>
                <w:numId w:val="0"/>
              </w:numPr>
              <w:spacing w:before="120" w:after="120"/>
              <w:ind w:left="557"/>
              <w:rPr>
                <w:rFonts w:cs="Arial"/>
                <w:lang w:val="id-ID"/>
              </w:rPr>
            </w:pPr>
            <w:r w:rsidRPr="00A67277">
              <w:rPr>
                <w:rFonts w:cs="Arial"/>
              </w:rPr>
              <w:t>Seluruh Hak dan Kewajiban PJPK dalam Perjanjian Kerjasama berlaku sama dan mengikat bagi Perjanjian ini.</w:t>
            </w:r>
          </w:p>
        </w:tc>
      </w:tr>
      <w:tr w:rsidR="00923319" w:rsidRPr="00A67277" w14:paraId="615546E9" w14:textId="77777777" w:rsidTr="00923319">
        <w:tc>
          <w:tcPr>
            <w:tcW w:w="4949" w:type="dxa"/>
          </w:tcPr>
          <w:p w14:paraId="48415A53" w14:textId="77777777" w:rsidR="00923319" w:rsidRPr="00A67277" w:rsidRDefault="00923319" w:rsidP="00923319">
            <w:pPr>
              <w:pStyle w:val="Heading3"/>
              <w:spacing w:before="120" w:after="120"/>
              <w:rPr>
                <w:rFonts w:cs="Arial"/>
              </w:rPr>
            </w:pPr>
            <w:r w:rsidRPr="00A67277">
              <w:rPr>
                <w:rFonts w:eastAsia="Times New Roman" w:cs="Arial"/>
                <w:lang w:eastAsia="zh-CN"/>
              </w:rPr>
              <w:t>Restrictions</w:t>
            </w:r>
            <w:r w:rsidRPr="00A67277">
              <w:rPr>
                <w:rFonts w:cs="Arial"/>
              </w:rPr>
              <w:t xml:space="preserve"> of Independent Supervisor Consultant</w:t>
            </w:r>
          </w:p>
        </w:tc>
        <w:tc>
          <w:tcPr>
            <w:tcW w:w="236" w:type="dxa"/>
          </w:tcPr>
          <w:p w14:paraId="0E32F986" w14:textId="77777777" w:rsidR="00923319" w:rsidRPr="00A67277" w:rsidRDefault="00923319" w:rsidP="00923319">
            <w:pPr>
              <w:spacing w:before="120" w:after="120"/>
              <w:rPr>
                <w:rFonts w:ascii="Arial" w:hAnsi="Arial" w:cs="Arial"/>
                <w:sz w:val="21"/>
                <w:szCs w:val="21"/>
              </w:rPr>
            </w:pPr>
          </w:p>
        </w:tc>
        <w:tc>
          <w:tcPr>
            <w:tcW w:w="4526" w:type="dxa"/>
          </w:tcPr>
          <w:p w14:paraId="549B3536" w14:textId="77777777" w:rsidR="00923319" w:rsidRPr="00A67277" w:rsidRDefault="00923319" w:rsidP="00923319">
            <w:pPr>
              <w:pStyle w:val="SchNumber3"/>
              <w:numPr>
                <w:ilvl w:val="0"/>
                <w:numId w:val="619"/>
              </w:numPr>
              <w:tabs>
                <w:tab w:val="clear" w:pos="2146"/>
                <w:tab w:val="num" w:pos="557"/>
              </w:tabs>
              <w:spacing w:before="120" w:after="120"/>
              <w:ind w:left="557" w:hanging="540"/>
              <w:rPr>
                <w:rFonts w:cs="Arial"/>
                <w:lang w:val="id-ID"/>
              </w:rPr>
            </w:pPr>
            <w:r w:rsidRPr="00A67277">
              <w:rPr>
                <w:rFonts w:cs="Arial"/>
                <w:b/>
              </w:rPr>
              <w:t>Pembatasan Konsultan Pengawas Independen</w:t>
            </w:r>
          </w:p>
        </w:tc>
      </w:tr>
      <w:tr w:rsidR="00923319" w:rsidRPr="00A67277" w14:paraId="70D53EF3" w14:textId="77777777" w:rsidTr="00923319">
        <w:tc>
          <w:tcPr>
            <w:tcW w:w="4949" w:type="dxa"/>
          </w:tcPr>
          <w:p w14:paraId="1F8E40DF" w14:textId="51990F97" w:rsidR="00923319" w:rsidRPr="00A67277" w:rsidRDefault="00784003" w:rsidP="00923319">
            <w:pPr>
              <w:pStyle w:val="SchNumber2"/>
              <w:numPr>
                <w:ilvl w:val="1"/>
                <w:numId w:val="619"/>
              </w:numPr>
              <w:spacing w:before="120" w:after="120"/>
              <w:ind w:left="702" w:hanging="702"/>
              <w:rPr>
                <w:rFonts w:cs="Arial"/>
              </w:rPr>
            </w:pPr>
            <w:r>
              <w:rPr>
                <w:rFonts w:cs="Arial"/>
              </w:rPr>
              <w:t xml:space="preserve">The </w:t>
            </w:r>
            <w:r w:rsidR="00923319" w:rsidRPr="00A67277">
              <w:rPr>
                <w:rFonts w:cs="Arial"/>
              </w:rPr>
              <w:t>Independent Supervisor Consultant may not:</w:t>
            </w:r>
          </w:p>
        </w:tc>
        <w:tc>
          <w:tcPr>
            <w:tcW w:w="236" w:type="dxa"/>
          </w:tcPr>
          <w:p w14:paraId="2F5B77E4" w14:textId="77777777" w:rsidR="00923319" w:rsidRPr="00A67277" w:rsidRDefault="00923319" w:rsidP="00923319">
            <w:pPr>
              <w:spacing w:before="120" w:after="120"/>
              <w:rPr>
                <w:rFonts w:ascii="Arial" w:hAnsi="Arial" w:cs="Arial"/>
                <w:sz w:val="21"/>
                <w:szCs w:val="21"/>
              </w:rPr>
            </w:pPr>
          </w:p>
        </w:tc>
        <w:tc>
          <w:tcPr>
            <w:tcW w:w="4526" w:type="dxa"/>
          </w:tcPr>
          <w:p w14:paraId="6313273D" w14:textId="77777777" w:rsidR="00923319" w:rsidRPr="00A67277" w:rsidRDefault="00923319" w:rsidP="00923319">
            <w:pPr>
              <w:pStyle w:val="SchNumber2"/>
              <w:numPr>
                <w:ilvl w:val="1"/>
                <w:numId w:val="632"/>
              </w:numPr>
              <w:spacing w:before="120" w:after="120"/>
              <w:ind w:left="557" w:hanging="540"/>
              <w:rPr>
                <w:rFonts w:cs="Arial"/>
                <w:lang w:val="id-ID"/>
              </w:rPr>
            </w:pPr>
            <w:r w:rsidRPr="00A67277">
              <w:rPr>
                <w:rFonts w:cs="Arial"/>
              </w:rPr>
              <w:t>Konsultan Pengawas Independen tidak dapat:</w:t>
            </w:r>
          </w:p>
        </w:tc>
      </w:tr>
      <w:tr w:rsidR="00923319" w:rsidRPr="00A67277" w14:paraId="2636B0B5" w14:textId="77777777" w:rsidTr="00923319">
        <w:tc>
          <w:tcPr>
            <w:tcW w:w="4949" w:type="dxa"/>
          </w:tcPr>
          <w:p w14:paraId="3FDCF0C8" w14:textId="77777777" w:rsidR="00923319" w:rsidRPr="00A67277" w:rsidRDefault="00923319" w:rsidP="00923319">
            <w:pPr>
              <w:pStyle w:val="SchNumber3"/>
              <w:numPr>
                <w:ilvl w:val="0"/>
                <w:numId w:val="631"/>
              </w:numPr>
              <w:tabs>
                <w:tab w:val="left" w:pos="1242"/>
              </w:tabs>
              <w:spacing w:before="120" w:after="120"/>
              <w:ind w:left="1242" w:hanging="540"/>
              <w:rPr>
                <w:rFonts w:cs="Arial"/>
              </w:rPr>
            </w:pPr>
            <w:r w:rsidRPr="00A67277">
              <w:rPr>
                <w:rFonts w:cs="Arial"/>
                <w:lang w:val="id-ID"/>
              </w:rPr>
              <w:t>make</w:t>
            </w:r>
            <w:r w:rsidRPr="00A67277">
              <w:rPr>
                <w:rFonts w:cs="Arial"/>
              </w:rPr>
              <w:t xml:space="preserve"> or acknowledge to make any changes or additions to or removal of a design, drawing design, document and/or a Design Document in connection with the Project or issue any instructions or directions to any contractor or professional consultant employed or engaged in the Project; or</w:t>
            </w:r>
          </w:p>
        </w:tc>
        <w:tc>
          <w:tcPr>
            <w:tcW w:w="236" w:type="dxa"/>
          </w:tcPr>
          <w:p w14:paraId="1A0DEFEA" w14:textId="77777777" w:rsidR="00923319" w:rsidRPr="00A67277" w:rsidRDefault="00923319" w:rsidP="00923319">
            <w:pPr>
              <w:spacing w:before="120" w:after="120"/>
              <w:rPr>
                <w:rFonts w:ascii="Arial" w:hAnsi="Arial" w:cs="Arial"/>
                <w:sz w:val="21"/>
                <w:szCs w:val="21"/>
              </w:rPr>
            </w:pPr>
          </w:p>
        </w:tc>
        <w:tc>
          <w:tcPr>
            <w:tcW w:w="4526" w:type="dxa"/>
          </w:tcPr>
          <w:p w14:paraId="23B9B3E2" w14:textId="62CA0C45" w:rsidR="00923319" w:rsidRPr="00A67277" w:rsidRDefault="00923319" w:rsidP="00923319">
            <w:pPr>
              <w:pStyle w:val="SchNumber3"/>
              <w:numPr>
                <w:ilvl w:val="0"/>
                <w:numId w:val="634"/>
              </w:numPr>
              <w:spacing w:before="120" w:after="120"/>
              <w:ind w:left="1097" w:hanging="540"/>
              <w:rPr>
                <w:rFonts w:cs="Arial"/>
                <w:lang w:val="id-ID"/>
              </w:rPr>
            </w:pPr>
            <w:r w:rsidRPr="00A67277">
              <w:rPr>
                <w:rFonts w:cs="Arial"/>
              </w:rPr>
              <w:t xml:space="preserve">membuat atau mengakui untuk membuat setiap perubahan atau penambahan terhadap atau penghilangan dari suatu desain, gambar rancang, dokumen, dan/atau Dokumen Desain sehubungan dengan Proyek atau mengeluarkan setiap instruksi atau arahan kepada setiap kontraktor atau konsultan </w:t>
            </w:r>
            <w:r w:rsidR="00784003">
              <w:rPr>
                <w:rFonts w:cs="Arial"/>
              </w:rPr>
              <w:pgNum/>
            </w:r>
            <w:r w:rsidR="00784003">
              <w:rPr>
                <w:rFonts w:cs="Arial"/>
              </w:rPr>
              <w:t>rofessional</w:t>
            </w:r>
            <w:r w:rsidRPr="00A67277">
              <w:rPr>
                <w:rFonts w:cs="Arial"/>
              </w:rPr>
              <w:t xml:space="preserve"> yang dipekerjakan atau diikutsertakan sehubungan dengan Proyek; atau</w:t>
            </w:r>
          </w:p>
        </w:tc>
      </w:tr>
      <w:tr w:rsidR="00923319" w:rsidRPr="00A67277" w14:paraId="5D195057" w14:textId="77777777" w:rsidTr="00923319">
        <w:tc>
          <w:tcPr>
            <w:tcW w:w="4949" w:type="dxa"/>
          </w:tcPr>
          <w:p w14:paraId="1B25CDCC" w14:textId="77777777" w:rsidR="00923319" w:rsidRPr="00A67277" w:rsidRDefault="00923319" w:rsidP="00923319">
            <w:pPr>
              <w:pStyle w:val="SchNumber3"/>
              <w:numPr>
                <w:ilvl w:val="0"/>
                <w:numId w:val="631"/>
              </w:numPr>
              <w:tabs>
                <w:tab w:val="left" w:pos="1242"/>
              </w:tabs>
              <w:spacing w:before="120" w:after="120"/>
              <w:ind w:left="1242" w:hanging="540"/>
              <w:rPr>
                <w:rFonts w:cs="Arial"/>
              </w:rPr>
            </w:pPr>
            <w:r w:rsidRPr="00A67277">
              <w:rPr>
                <w:rFonts w:cs="Arial"/>
              </w:rPr>
              <w:t>(unless GCA and IBE both agree in writing) to agree or approve any waiver or discharge of any liability of GCA or IBE under the Cooperation Agreement or any contractor or professional consultant employed or engaged in the Project.</w:t>
            </w:r>
          </w:p>
        </w:tc>
        <w:tc>
          <w:tcPr>
            <w:tcW w:w="236" w:type="dxa"/>
          </w:tcPr>
          <w:p w14:paraId="1454CDE0" w14:textId="77777777" w:rsidR="00923319" w:rsidRPr="00A67277" w:rsidRDefault="00923319" w:rsidP="00923319">
            <w:pPr>
              <w:spacing w:before="120" w:after="120"/>
              <w:rPr>
                <w:rFonts w:ascii="Arial" w:hAnsi="Arial" w:cs="Arial"/>
                <w:sz w:val="21"/>
                <w:szCs w:val="21"/>
              </w:rPr>
            </w:pPr>
          </w:p>
        </w:tc>
        <w:tc>
          <w:tcPr>
            <w:tcW w:w="4526" w:type="dxa"/>
          </w:tcPr>
          <w:p w14:paraId="146AB7C9" w14:textId="6C532B86" w:rsidR="00923319" w:rsidRPr="00A67277" w:rsidRDefault="00923319" w:rsidP="00923319">
            <w:pPr>
              <w:pStyle w:val="SchNumber3"/>
              <w:numPr>
                <w:ilvl w:val="0"/>
                <w:numId w:val="634"/>
              </w:numPr>
              <w:spacing w:before="120" w:after="120"/>
              <w:ind w:left="1097" w:hanging="540"/>
              <w:rPr>
                <w:rFonts w:cs="Arial"/>
                <w:lang w:val="id-ID"/>
              </w:rPr>
            </w:pPr>
            <w:r w:rsidRPr="00A67277">
              <w:rPr>
                <w:rFonts w:cs="Arial"/>
              </w:rPr>
              <w:t xml:space="preserve">(kecuali PJPK dan BUP keduanya setuju secara tertulis) menyepakati atau menyetujui setiap pengenyampingan atau pelepasan atas setiap kewajiban dari PJPK atau BUP berdasarkan Perjanjian Kerjasama atau setiap kontraktor atau konsultan </w:t>
            </w:r>
            <w:r w:rsidR="00966C20">
              <w:rPr>
                <w:rFonts w:cs="Arial"/>
              </w:rPr>
              <w:t>profesional</w:t>
            </w:r>
            <w:r w:rsidRPr="00A67277">
              <w:rPr>
                <w:rFonts w:cs="Arial"/>
              </w:rPr>
              <w:t xml:space="preserve"> yang dipekerjakan atau diikut</w:t>
            </w:r>
            <w:r w:rsidR="00966C20">
              <w:rPr>
                <w:rFonts w:cs="Arial"/>
              </w:rPr>
              <w:t xml:space="preserve"> </w:t>
            </w:r>
            <w:r w:rsidRPr="00A67277">
              <w:rPr>
                <w:rFonts w:cs="Arial"/>
              </w:rPr>
              <w:t>sertakan sehubungan dengan Proyek.</w:t>
            </w:r>
          </w:p>
        </w:tc>
      </w:tr>
      <w:tr w:rsidR="00923319" w:rsidRPr="00A67277" w14:paraId="236AA468" w14:textId="77777777" w:rsidTr="00923319">
        <w:tc>
          <w:tcPr>
            <w:tcW w:w="4949" w:type="dxa"/>
          </w:tcPr>
          <w:p w14:paraId="2F2C0DE5" w14:textId="77777777" w:rsidR="00923319" w:rsidRPr="00A67277" w:rsidRDefault="00923319" w:rsidP="00923319">
            <w:pPr>
              <w:pStyle w:val="SchNumber2"/>
              <w:numPr>
                <w:ilvl w:val="1"/>
                <w:numId w:val="619"/>
              </w:numPr>
              <w:spacing w:before="120" w:after="120"/>
              <w:ind w:left="702" w:hanging="702"/>
              <w:rPr>
                <w:rFonts w:cs="Arial"/>
              </w:rPr>
            </w:pPr>
            <w:r w:rsidRPr="00A67277">
              <w:rPr>
                <w:rFonts w:cs="Arial"/>
              </w:rPr>
              <w:t>For the avoidance of doubt, the Independent Supervisor Consultant shall not express his opinion and shall not interfere or provide any advice, opinion or make any statements in respect of any matters beyond his role and liability under this Agreement.</w:t>
            </w:r>
          </w:p>
        </w:tc>
        <w:tc>
          <w:tcPr>
            <w:tcW w:w="236" w:type="dxa"/>
          </w:tcPr>
          <w:p w14:paraId="481DE06F" w14:textId="77777777" w:rsidR="00923319" w:rsidRPr="00A67277" w:rsidRDefault="00923319" w:rsidP="00923319">
            <w:pPr>
              <w:spacing w:before="120" w:after="120"/>
              <w:rPr>
                <w:rFonts w:ascii="Arial" w:hAnsi="Arial" w:cs="Arial"/>
                <w:sz w:val="21"/>
                <w:szCs w:val="21"/>
              </w:rPr>
            </w:pPr>
          </w:p>
        </w:tc>
        <w:tc>
          <w:tcPr>
            <w:tcW w:w="4526" w:type="dxa"/>
          </w:tcPr>
          <w:p w14:paraId="3D37DEC9" w14:textId="77777777" w:rsidR="00923319" w:rsidRPr="00A67277" w:rsidRDefault="00923319" w:rsidP="00923319">
            <w:pPr>
              <w:pStyle w:val="SchNumber2"/>
              <w:numPr>
                <w:ilvl w:val="1"/>
                <w:numId w:val="632"/>
              </w:numPr>
              <w:spacing w:before="120" w:after="120"/>
              <w:ind w:left="557" w:hanging="540"/>
              <w:rPr>
                <w:rFonts w:cs="Arial"/>
              </w:rPr>
            </w:pPr>
            <w:r w:rsidRPr="00A67277">
              <w:rPr>
                <w:rFonts w:cs="Arial"/>
              </w:rPr>
              <w:t>Untuk menghindari keraguan, Konsultan Pengawas Independen tidak akan menyatakan pendapat dan tidak akan mengganggu atau memberikan setiap saran, pendapat atau membuat setiap pernyataan sehubungan dengan setiap hal yang berada diluar peran dan tanggungjawabnya berdasarkan Perjanjian ini.</w:t>
            </w:r>
          </w:p>
        </w:tc>
      </w:tr>
      <w:tr w:rsidR="00923319" w:rsidRPr="00A67277" w14:paraId="4448C59D" w14:textId="77777777" w:rsidTr="00923319">
        <w:tc>
          <w:tcPr>
            <w:tcW w:w="4949" w:type="dxa"/>
          </w:tcPr>
          <w:p w14:paraId="4D31E606" w14:textId="63498BA6" w:rsidR="00923319" w:rsidRPr="00A67277" w:rsidRDefault="00784003" w:rsidP="00923319">
            <w:pPr>
              <w:pStyle w:val="SchNumber2"/>
              <w:numPr>
                <w:ilvl w:val="1"/>
                <w:numId w:val="619"/>
              </w:numPr>
              <w:spacing w:before="120" w:after="120"/>
              <w:ind w:left="702" w:hanging="702"/>
              <w:rPr>
                <w:rFonts w:cs="Arial"/>
              </w:rPr>
            </w:pPr>
            <w:r>
              <w:rPr>
                <w:rFonts w:cs="Arial"/>
              </w:rPr>
              <w:t xml:space="preserve">The </w:t>
            </w:r>
            <w:r w:rsidR="00923319" w:rsidRPr="00A67277">
              <w:rPr>
                <w:rFonts w:cs="Arial"/>
              </w:rPr>
              <w:t>Independent Supervisor Consultant may not cause GCA to act on behalf of GCA or IBE in respect of any matters relating to the Project or otherwise and shall not restrain himself from causing GCA to act on behalf of GCA or IBE.</w:t>
            </w:r>
          </w:p>
        </w:tc>
        <w:tc>
          <w:tcPr>
            <w:tcW w:w="236" w:type="dxa"/>
          </w:tcPr>
          <w:p w14:paraId="0E524F85" w14:textId="77777777" w:rsidR="00923319" w:rsidRPr="00A67277" w:rsidRDefault="00923319" w:rsidP="00923319">
            <w:pPr>
              <w:spacing w:before="120" w:after="120"/>
              <w:rPr>
                <w:rFonts w:ascii="Arial" w:hAnsi="Arial" w:cs="Arial"/>
                <w:sz w:val="21"/>
                <w:szCs w:val="21"/>
              </w:rPr>
            </w:pPr>
          </w:p>
        </w:tc>
        <w:tc>
          <w:tcPr>
            <w:tcW w:w="4526" w:type="dxa"/>
          </w:tcPr>
          <w:p w14:paraId="06C164E8" w14:textId="77777777" w:rsidR="00923319" w:rsidRPr="00A67277" w:rsidRDefault="00923319" w:rsidP="00923319">
            <w:pPr>
              <w:pStyle w:val="SchNumber2"/>
              <w:numPr>
                <w:ilvl w:val="1"/>
                <w:numId w:val="632"/>
              </w:numPr>
              <w:spacing w:before="120" w:after="120"/>
              <w:ind w:left="557" w:hanging="540"/>
              <w:rPr>
                <w:rFonts w:cs="Arial"/>
              </w:rPr>
            </w:pPr>
            <w:r w:rsidRPr="00A67277">
              <w:rPr>
                <w:rFonts w:cs="Arial"/>
              </w:rPr>
              <w:t xml:space="preserve">Konsultan Pengawas Independen tidak dapat menyebabkan PJPK untuk bertindak atas nama PJPK atau BUP sehubungan dengan setiap hal sehubungan dengan Proyek atau sebaliknya dan tidak akan menahan dirinya untuk menyebabkan PJPK untuk bertindak atas nama PJPK atau BUP. </w:t>
            </w:r>
          </w:p>
        </w:tc>
      </w:tr>
      <w:tr w:rsidR="00923319" w:rsidRPr="00A67277" w14:paraId="1378B9D3" w14:textId="77777777" w:rsidTr="00923319">
        <w:tc>
          <w:tcPr>
            <w:tcW w:w="4949" w:type="dxa"/>
          </w:tcPr>
          <w:p w14:paraId="36D1EDC1" w14:textId="77777777" w:rsidR="00923319" w:rsidRPr="00A67277" w:rsidRDefault="00923319" w:rsidP="00923319">
            <w:pPr>
              <w:pStyle w:val="Heading3"/>
              <w:spacing w:before="120" w:after="120"/>
              <w:rPr>
                <w:rFonts w:cs="Arial"/>
              </w:rPr>
            </w:pPr>
            <w:r w:rsidRPr="00A67277">
              <w:rPr>
                <w:rFonts w:cs="Arial"/>
              </w:rPr>
              <w:t>Duration of the Agreement</w:t>
            </w:r>
          </w:p>
        </w:tc>
        <w:tc>
          <w:tcPr>
            <w:tcW w:w="236" w:type="dxa"/>
          </w:tcPr>
          <w:p w14:paraId="2E9AD729" w14:textId="77777777" w:rsidR="00923319" w:rsidRPr="00A67277" w:rsidRDefault="00923319" w:rsidP="00923319">
            <w:pPr>
              <w:spacing w:before="120" w:after="120"/>
              <w:rPr>
                <w:rFonts w:ascii="Arial" w:hAnsi="Arial" w:cs="Arial"/>
                <w:sz w:val="21"/>
                <w:szCs w:val="21"/>
              </w:rPr>
            </w:pPr>
          </w:p>
        </w:tc>
        <w:tc>
          <w:tcPr>
            <w:tcW w:w="4526" w:type="dxa"/>
          </w:tcPr>
          <w:p w14:paraId="053D15C4" w14:textId="77777777" w:rsidR="00923319" w:rsidRPr="00A67277" w:rsidRDefault="00923319" w:rsidP="00923319">
            <w:pPr>
              <w:pStyle w:val="SchNumber3"/>
              <w:numPr>
                <w:ilvl w:val="0"/>
                <w:numId w:val="633"/>
              </w:numPr>
              <w:tabs>
                <w:tab w:val="clear" w:pos="2146"/>
              </w:tabs>
              <w:spacing w:before="120" w:after="120"/>
              <w:ind w:left="557" w:hanging="540"/>
              <w:rPr>
                <w:rFonts w:cs="Arial"/>
                <w:b/>
                <w:lang w:val="id-ID"/>
              </w:rPr>
            </w:pPr>
            <w:r w:rsidRPr="00A67277">
              <w:rPr>
                <w:rFonts w:cs="Arial"/>
                <w:b/>
              </w:rPr>
              <w:t>Jangka Waktu Perjanjian</w:t>
            </w:r>
          </w:p>
        </w:tc>
      </w:tr>
      <w:tr w:rsidR="00923319" w:rsidRPr="00A67277" w14:paraId="526EFE02" w14:textId="77777777" w:rsidTr="00923319">
        <w:tc>
          <w:tcPr>
            <w:tcW w:w="4949" w:type="dxa"/>
          </w:tcPr>
          <w:p w14:paraId="197DA148" w14:textId="77777777" w:rsidR="00923319" w:rsidRPr="00A67277" w:rsidRDefault="00923319" w:rsidP="00923319">
            <w:pPr>
              <w:pStyle w:val="Body2"/>
              <w:spacing w:before="120" w:after="120"/>
              <w:rPr>
                <w:rFonts w:cs="Arial"/>
              </w:rPr>
            </w:pPr>
            <w:r w:rsidRPr="00A67277">
              <w:rPr>
                <w:rFonts w:cs="Arial"/>
              </w:rPr>
              <w:t>The Parties agree that this Agreement shall be effective and binding since the date of signing of the Agreement up to the Commercial Operation Date.</w:t>
            </w:r>
          </w:p>
        </w:tc>
        <w:tc>
          <w:tcPr>
            <w:tcW w:w="236" w:type="dxa"/>
          </w:tcPr>
          <w:p w14:paraId="03A10188" w14:textId="77777777" w:rsidR="00923319" w:rsidRPr="00A67277" w:rsidRDefault="00923319" w:rsidP="00923319">
            <w:pPr>
              <w:spacing w:before="120" w:after="120"/>
              <w:rPr>
                <w:rFonts w:ascii="Arial" w:hAnsi="Arial" w:cs="Arial"/>
                <w:sz w:val="21"/>
                <w:szCs w:val="21"/>
              </w:rPr>
            </w:pPr>
          </w:p>
        </w:tc>
        <w:tc>
          <w:tcPr>
            <w:tcW w:w="4526" w:type="dxa"/>
          </w:tcPr>
          <w:p w14:paraId="52C45EA0" w14:textId="77777777" w:rsidR="00923319" w:rsidRPr="00A67277" w:rsidRDefault="00923319" w:rsidP="00923319">
            <w:pPr>
              <w:pStyle w:val="SchNumber3"/>
              <w:numPr>
                <w:ilvl w:val="0"/>
                <w:numId w:val="0"/>
              </w:numPr>
              <w:spacing w:before="120" w:after="120"/>
              <w:ind w:left="557"/>
              <w:rPr>
                <w:rFonts w:cs="Arial"/>
                <w:lang w:val="id-ID"/>
              </w:rPr>
            </w:pPr>
            <w:r w:rsidRPr="00A67277">
              <w:rPr>
                <w:rFonts w:cs="Arial"/>
              </w:rPr>
              <w:t>Para Pihak sepakat bahwa Perjanjian ini berlaku dan mengikat sejak tanggal penandatanganan Perjanjian sampai dengan Tanggal Operasi Komersial.</w:t>
            </w:r>
          </w:p>
        </w:tc>
      </w:tr>
      <w:tr w:rsidR="00923319" w:rsidRPr="00A67277" w14:paraId="5BCE3046" w14:textId="77777777" w:rsidTr="00923319">
        <w:tc>
          <w:tcPr>
            <w:tcW w:w="4949" w:type="dxa"/>
          </w:tcPr>
          <w:p w14:paraId="0713836C" w14:textId="77777777" w:rsidR="00923319" w:rsidRPr="00A67277" w:rsidRDefault="00923319" w:rsidP="00923319">
            <w:pPr>
              <w:pStyle w:val="Heading3"/>
              <w:spacing w:before="120" w:after="120"/>
              <w:rPr>
                <w:rFonts w:cs="Arial"/>
              </w:rPr>
            </w:pPr>
            <w:r w:rsidRPr="00A67277">
              <w:rPr>
                <w:rFonts w:cs="Arial"/>
              </w:rPr>
              <w:t>Termination</w:t>
            </w:r>
          </w:p>
        </w:tc>
        <w:tc>
          <w:tcPr>
            <w:tcW w:w="236" w:type="dxa"/>
          </w:tcPr>
          <w:p w14:paraId="12A580E8" w14:textId="77777777" w:rsidR="00923319" w:rsidRPr="00A67277" w:rsidRDefault="00923319" w:rsidP="00923319">
            <w:pPr>
              <w:spacing w:before="120" w:after="120"/>
              <w:rPr>
                <w:rFonts w:ascii="Arial" w:hAnsi="Arial" w:cs="Arial"/>
                <w:sz w:val="21"/>
                <w:szCs w:val="21"/>
              </w:rPr>
            </w:pPr>
          </w:p>
        </w:tc>
        <w:tc>
          <w:tcPr>
            <w:tcW w:w="4526" w:type="dxa"/>
          </w:tcPr>
          <w:p w14:paraId="724F005F" w14:textId="77777777" w:rsidR="00923319" w:rsidRPr="00A67277" w:rsidRDefault="00923319" w:rsidP="00923319">
            <w:pPr>
              <w:pStyle w:val="SchNumber3"/>
              <w:numPr>
                <w:ilvl w:val="0"/>
                <w:numId w:val="633"/>
              </w:numPr>
              <w:tabs>
                <w:tab w:val="clear" w:pos="2146"/>
              </w:tabs>
              <w:spacing w:before="120" w:after="120"/>
              <w:ind w:left="557" w:hanging="540"/>
              <w:rPr>
                <w:rFonts w:cs="Arial"/>
                <w:lang w:val="id-ID"/>
              </w:rPr>
            </w:pPr>
            <w:r w:rsidRPr="00A67277">
              <w:rPr>
                <w:rFonts w:cs="Arial"/>
                <w:b/>
              </w:rPr>
              <w:t>Pengakhiran</w:t>
            </w:r>
          </w:p>
        </w:tc>
      </w:tr>
      <w:tr w:rsidR="00923319" w:rsidRPr="00A67277" w14:paraId="5F822A0C" w14:textId="77777777" w:rsidTr="00923319">
        <w:tc>
          <w:tcPr>
            <w:tcW w:w="4949" w:type="dxa"/>
          </w:tcPr>
          <w:p w14:paraId="101EDFB3" w14:textId="77777777" w:rsidR="00923319" w:rsidRPr="00A67277" w:rsidRDefault="00923319" w:rsidP="00923319">
            <w:pPr>
              <w:pStyle w:val="SchNumber2"/>
              <w:numPr>
                <w:ilvl w:val="1"/>
                <w:numId w:val="635"/>
              </w:numPr>
              <w:tabs>
                <w:tab w:val="left" w:pos="702"/>
              </w:tabs>
              <w:spacing w:before="120" w:after="120"/>
              <w:ind w:left="702" w:hanging="630"/>
              <w:rPr>
                <w:rFonts w:cs="Arial"/>
              </w:rPr>
            </w:pPr>
            <w:r w:rsidRPr="00A67277">
              <w:rPr>
                <w:rFonts w:cs="Arial"/>
              </w:rPr>
              <w:t>IBE, with the approval of GCA, may terminate this Agreement without any cause. IBE shall pay the results of work accomplished by the Independent Supervisor Consultant under this Agreement with an assessment of the achievement of the Supervisor Service.</w:t>
            </w:r>
          </w:p>
        </w:tc>
        <w:tc>
          <w:tcPr>
            <w:tcW w:w="236" w:type="dxa"/>
          </w:tcPr>
          <w:p w14:paraId="0B788995" w14:textId="77777777" w:rsidR="00923319" w:rsidRPr="00A67277" w:rsidRDefault="00923319" w:rsidP="00923319">
            <w:pPr>
              <w:spacing w:before="120" w:after="120"/>
              <w:rPr>
                <w:rFonts w:ascii="Arial" w:hAnsi="Arial" w:cs="Arial"/>
                <w:sz w:val="21"/>
                <w:szCs w:val="21"/>
              </w:rPr>
            </w:pPr>
          </w:p>
        </w:tc>
        <w:tc>
          <w:tcPr>
            <w:tcW w:w="4526" w:type="dxa"/>
          </w:tcPr>
          <w:p w14:paraId="2A42CB68" w14:textId="77777777" w:rsidR="00923319" w:rsidRPr="00A67277" w:rsidRDefault="00923319" w:rsidP="00923319">
            <w:pPr>
              <w:pStyle w:val="SchNumber3"/>
              <w:numPr>
                <w:ilvl w:val="1"/>
                <w:numId w:val="636"/>
              </w:numPr>
              <w:spacing w:before="120" w:after="120"/>
              <w:ind w:left="647" w:hanging="630"/>
              <w:rPr>
                <w:rFonts w:cs="Arial"/>
                <w:lang w:val="id-ID"/>
              </w:rPr>
            </w:pPr>
            <w:r w:rsidRPr="00A67277">
              <w:rPr>
                <w:rFonts w:cs="Arial"/>
              </w:rPr>
              <w:t>BUP, dengan persetujuan PJPK, dapat melakukan pengakhiran Perjanjian ini tanpa sebab apapun juga. BUP wajib membayarkan hasil pekerjaan yang telah dicapai oleh Konsultan Pengawas Independen berdasarkan Perjanjian ini dengan penilaian atas pencapaian Jasa Pengawasan.</w:t>
            </w:r>
          </w:p>
        </w:tc>
      </w:tr>
      <w:tr w:rsidR="00923319" w:rsidRPr="00A67277" w14:paraId="716B05FF" w14:textId="77777777" w:rsidTr="00923319">
        <w:tc>
          <w:tcPr>
            <w:tcW w:w="4949" w:type="dxa"/>
          </w:tcPr>
          <w:p w14:paraId="1F940353" w14:textId="77777777" w:rsidR="00923319" w:rsidRPr="00A67277" w:rsidRDefault="00923319" w:rsidP="00923319">
            <w:pPr>
              <w:pStyle w:val="SchNumber2"/>
              <w:numPr>
                <w:ilvl w:val="1"/>
                <w:numId w:val="635"/>
              </w:numPr>
              <w:tabs>
                <w:tab w:val="left" w:pos="702"/>
              </w:tabs>
              <w:spacing w:before="120" w:after="120"/>
              <w:ind w:left="702" w:hanging="630"/>
              <w:rPr>
                <w:rFonts w:cs="Arial"/>
              </w:rPr>
            </w:pPr>
            <w:r w:rsidRPr="00A67277">
              <w:rPr>
                <w:rFonts w:cs="Arial"/>
              </w:rPr>
              <w:t>IBE shall terminate this Agreement and replace the Independent Supervisor Consultant if there is a request from GCA by taking into account the provisions of Article 8.2 (</w:t>
            </w:r>
            <w:r w:rsidRPr="00A67277">
              <w:rPr>
                <w:rFonts w:cs="Arial"/>
                <w:i/>
              </w:rPr>
              <w:t>Independent Supervisor Consultant</w:t>
            </w:r>
            <w:r w:rsidRPr="00A67277">
              <w:rPr>
                <w:rFonts w:cs="Arial"/>
              </w:rPr>
              <w:t>) of the Cooperation Agreement.</w:t>
            </w:r>
          </w:p>
        </w:tc>
        <w:tc>
          <w:tcPr>
            <w:tcW w:w="236" w:type="dxa"/>
          </w:tcPr>
          <w:p w14:paraId="0C504F63" w14:textId="77777777" w:rsidR="00923319" w:rsidRPr="00A67277" w:rsidRDefault="00923319" w:rsidP="00923319">
            <w:pPr>
              <w:spacing w:before="120" w:after="120"/>
              <w:rPr>
                <w:rFonts w:ascii="Arial" w:hAnsi="Arial" w:cs="Arial"/>
                <w:sz w:val="21"/>
                <w:szCs w:val="21"/>
              </w:rPr>
            </w:pPr>
          </w:p>
        </w:tc>
        <w:tc>
          <w:tcPr>
            <w:tcW w:w="4526" w:type="dxa"/>
          </w:tcPr>
          <w:p w14:paraId="00024057" w14:textId="77777777" w:rsidR="00923319" w:rsidRPr="00A67277" w:rsidRDefault="00923319" w:rsidP="00923319">
            <w:pPr>
              <w:pStyle w:val="SchNumber3"/>
              <w:numPr>
                <w:ilvl w:val="1"/>
                <w:numId w:val="636"/>
              </w:numPr>
              <w:spacing w:before="120" w:after="120"/>
              <w:ind w:left="647" w:hanging="630"/>
              <w:rPr>
                <w:rFonts w:cs="Arial"/>
                <w:lang w:val="id-ID"/>
              </w:rPr>
            </w:pPr>
            <w:r w:rsidRPr="00A67277">
              <w:rPr>
                <w:rFonts w:cs="Arial"/>
              </w:rPr>
              <w:t>BUP harus mengakhiri Perjanjian ini dan mengganti Konsultan Pengawas Independen jika terdapat permintaan dari PJPK dengan mempertimbangkan ketentuan Pasal 8.2 (</w:t>
            </w:r>
            <w:r w:rsidRPr="00A67277">
              <w:rPr>
                <w:rFonts w:cs="Arial"/>
                <w:i/>
              </w:rPr>
              <w:t>Konsultan Pengawas Independen</w:t>
            </w:r>
            <w:r w:rsidRPr="00A67277">
              <w:rPr>
                <w:rFonts w:cs="Arial"/>
              </w:rPr>
              <w:t>) dari Perjanjian Kerjasama.</w:t>
            </w:r>
          </w:p>
        </w:tc>
      </w:tr>
      <w:tr w:rsidR="00923319" w:rsidRPr="00A67277" w14:paraId="2F470287" w14:textId="77777777" w:rsidTr="00923319">
        <w:tc>
          <w:tcPr>
            <w:tcW w:w="4949" w:type="dxa"/>
          </w:tcPr>
          <w:p w14:paraId="31D1F0EA" w14:textId="77777777" w:rsidR="00923319" w:rsidRPr="00A67277" w:rsidRDefault="00923319" w:rsidP="00923319">
            <w:pPr>
              <w:pStyle w:val="Heading3"/>
              <w:spacing w:before="120" w:after="120"/>
              <w:rPr>
                <w:rFonts w:cs="Arial"/>
              </w:rPr>
            </w:pPr>
            <w:r w:rsidRPr="00A67277">
              <w:rPr>
                <w:rFonts w:cs="Arial"/>
              </w:rPr>
              <w:t>Confidential Information and Copyright</w:t>
            </w:r>
          </w:p>
        </w:tc>
        <w:tc>
          <w:tcPr>
            <w:tcW w:w="236" w:type="dxa"/>
          </w:tcPr>
          <w:p w14:paraId="5E140A36" w14:textId="77777777" w:rsidR="00923319" w:rsidRPr="00A67277" w:rsidRDefault="00923319" w:rsidP="00923319">
            <w:pPr>
              <w:spacing w:before="120" w:after="120"/>
              <w:rPr>
                <w:rFonts w:ascii="Arial" w:hAnsi="Arial" w:cs="Arial"/>
                <w:sz w:val="21"/>
                <w:szCs w:val="21"/>
              </w:rPr>
            </w:pPr>
          </w:p>
        </w:tc>
        <w:tc>
          <w:tcPr>
            <w:tcW w:w="4526" w:type="dxa"/>
          </w:tcPr>
          <w:p w14:paraId="41D8A537" w14:textId="77777777" w:rsidR="00923319" w:rsidRPr="00A67277" w:rsidRDefault="00923319" w:rsidP="00923319">
            <w:pPr>
              <w:pStyle w:val="SchNumber3"/>
              <w:numPr>
                <w:ilvl w:val="0"/>
                <w:numId w:val="633"/>
              </w:numPr>
              <w:tabs>
                <w:tab w:val="clear" w:pos="2146"/>
              </w:tabs>
              <w:spacing w:before="120" w:after="120"/>
              <w:ind w:left="557" w:hanging="540"/>
              <w:rPr>
                <w:rFonts w:cs="Arial"/>
                <w:b/>
              </w:rPr>
            </w:pPr>
            <w:r w:rsidRPr="00A67277">
              <w:rPr>
                <w:rFonts w:cs="Arial"/>
                <w:b/>
              </w:rPr>
              <w:t>Informasi Rahasia dan Hak Cipta</w:t>
            </w:r>
          </w:p>
        </w:tc>
      </w:tr>
      <w:tr w:rsidR="00923319" w:rsidRPr="00A67277" w14:paraId="54585526" w14:textId="77777777" w:rsidTr="00923319">
        <w:tc>
          <w:tcPr>
            <w:tcW w:w="4949" w:type="dxa"/>
          </w:tcPr>
          <w:p w14:paraId="5238BCD3" w14:textId="77777777" w:rsidR="00923319" w:rsidRPr="00A67277" w:rsidRDefault="00923319" w:rsidP="00923319">
            <w:pPr>
              <w:pStyle w:val="SchNumber2"/>
              <w:numPr>
                <w:ilvl w:val="1"/>
                <w:numId w:val="637"/>
              </w:numPr>
              <w:spacing w:before="120" w:after="120"/>
              <w:ind w:left="702" w:hanging="702"/>
              <w:rPr>
                <w:rFonts w:cs="Arial"/>
              </w:rPr>
            </w:pPr>
            <w:r w:rsidRPr="00A67277">
              <w:rPr>
                <w:rFonts w:cs="Arial"/>
              </w:rPr>
              <w:t xml:space="preserve">The Independent Supervisor Consultant shall treat any unannounced information in respect of GCA and IBE technology or know-how of any business or financial plan or any such information in respect of any subsidiary, supplier, customer or client of GCA or IBE or Contractor (as appropriate) wherein information received during the term of this Agreement is protected and confidential information and may not at any time for any reason be disclosed or permitted to be disclosed to any person or otherwise used or permitted to </w:t>
            </w:r>
            <w:r w:rsidRPr="00A67277">
              <w:rPr>
                <w:rFonts w:cs="Arial"/>
                <w:lang w:val="id-ID"/>
              </w:rPr>
              <w:t>be used</w:t>
            </w:r>
            <w:r w:rsidRPr="00A67277">
              <w:rPr>
                <w:rFonts w:cs="Arial"/>
              </w:rPr>
              <w:t>. Upon termination of this Agreement for any reason an Independent Supervisor Consultant shall furnish to GCA or IBE (as appropriate) all working papers, computer disks and recordings or other materials and copies provided to or prepared by it either under this Agreement or prior obligations to GCA or IBE.</w:t>
            </w:r>
          </w:p>
        </w:tc>
        <w:tc>
          <w:tcPr>
            <w:tcW w:w="236" w:type="dxa"/>
          </w:tcPr>
          <w:p w14:paraId="65B0C4F0" w14:textId="77777777" w:rsidR="00923319" w:rsidRPr="00A67277" w:rsidRDefault="00923319" w:rsidP="00923319">
            <w:pPr>
              <w:spacing w:before="120" w:after="120"/>
              <w:rPr>
                <w:rFonts w:ascii="Arial" w:hAnsi="Arial" w:cs="Arial"/>
                <w:sz w:val="21"/>
                <w:szCs w:val="21"/>
              </w:rPr>
            </w:pPr>
          </w:p>
        </w:tc>
        <w:tc>
          <w:tcPr>
            <w:tcW w:w="4526" w:type="dxa"/>
          </w:tcPr>
          <w:p w14:paraId="498026AB" w14:textId="77777777" w:rsidR="00923319" w:rsidRPr="00A67277" w:rsidRDefault="00923319" w:rsidP="00923319">
            <w:pPr>
              <w:pStyle w:val="SchNumber2"/>
              <w:numPr>
                <w:ilvl w:val="1"/>
                <w:numId w:val="638"/>
              </w:numPr>
              <w:tabs>
                <w:tab w:val="left" w:pos="557"/>
              </w:tabs>
              <w:spacing w:before="120" w:after="120"/>
              <w:ind w:left="557" w:hanging="540"/>
              <w:rPr>
                <w:rFonts w:cs="Arial"/>
                <w:lang w:val="id-ID"/>
              </w:rPr>
            </w:pPr>
            <w:r w:rsidRPr="00A67277">
              <w:rPr>
                <w:rFonts w:cs="Arial"/>
              </w:rPr>
              <w:t>Konsultan Pengawas Independen harus memperlakukan setiap informasi yang tidak diumumkan sehubungan dengan teknologi atau metode (</w:t>
            </w:r>
            <w:r w:rsidRPr="00A67277">
              <w:rPr>
                <w:rFonts w:cs="Arial"/>
                <w:i/>
              </w:rPr>
              <w:t>know-how</w:t>
            </w:r>
            <w:r w:rsidRPr="00A67277">
              <w:rPr>
                <w:rFonts w:cs="Arial"/>
              </w:rPr>
              <w:t xml:space="preserve">) rencana bisnis atau keuangan milik PJPK dan BUP atau setiap informasi tersebut sehubungan dengan anak perusahaan, pemasok, pelanggan atau klien dari PJPK atau BUP atau Kontraktor (sebagaimana sesuai) dimana informasi yang diterima selama jangka waktu Perjanjian ini sebagai informasi yang terlindungi dan rahasia dan tidak dapat pada setiap waktu karena alasan apapun diungkapkan atau diizinkan untuk diungkapkan kepada setiap orang atau secara lain digunakan atau diizinkan untuk digunakan. Setelah pengakhiran Perjanjian ini atas alasan apapun Konsultan Pengawas Independen harus memberikan kepada PJPK atau BUP (sebagaimana sesuai) seluruh kertas pekerjaan, </w:t>
            </w:r>
            <w:r w:rsidRPr="00A67277">
              <w:rPr>
                <w:rFonts w:cs="Arial"/>
                <w:i/>
              </w:rPr>
              <w:t>disk</w:t>
            </w:r>
            <w:r w:rsidRPr="00A67277">
              <w:rPr>
                <w:rFonts w:cs="Arial"/>
              </w:rPr>
              <w:t xml:space="preserve"> komputer dan rekaman atau bahan lainnya dan salinan yang diberikan kepada atau disiapkan olehnya baik berdasarkan Perjanjian ini atau kewajiban sebelumnya terhadap PJPK atau BUP.</w:t>
            </w:r>
          </w:p>
        </w:tc>
      </w:tr>
      <w:tr w:rsidR="00923319" w:rsidRPr="00A67277" w14:paraId="19AF197B" w14:textId="77777777" w:rsidTr="00923319">
        <w:tc>
          <w:tcPr>
            <w:tcW w:w="4949" w:type="dxa"/>
          </w:tcPr>
          <w:p w14:paraId="5BC76347" w14:textId="77777777" w:rsidR="00923319" w:rsidRPr="00A67277" w:rsidRDefault="00923319" w:rsidP="00923319">
            <w:pPr>
              <w:pStyle w:val="SchNumber2"/>
              <w:numPr>
                <w:ilvl w:val="1"/>
                <w:numId w:val="637"/>
              </w:numPr>
              <w:spacing w:before="120" w:after="120"/>
              <w:ind w:left="702" w:hanging="702"/>
              <w:rPr>
                <w:rFonts w:cs="Arial"/>
              </w:rPr>
            </w:pPr>
            <w:r w:rsidRPr="00A67277">
              <w:rPr>
                <w:rFonts w:cs="Arial"/>
              </w:rPr>
              <w:t>The copyright in all reports, calculations and similar documents provided by the Independent Supervisor Consultant in connection with the Project shall remain with the Independent Supervisor Consultant but the Independent Supervisor Consultant shall provide GCA and IBE and its assigns a non-exclusive license without fees or royalty under the full guarantee rights and irrevocable to copy and use such drawings and other documents and to reproduce the designs contained therein for purposes related to the Project including (but not limited to) construction, completion, maintenance, leasing, promotions, advertising, returns, renewals and improvements of the Project. The said license includes a license to sub-license and assign similar things to third parties.</w:t>
            </w:r>
          </w:p>
        </w:tc>
        <w:tc>
          <w:tcPr>
            <w:tcW w:w="236" w:type="dxa"/>
          </w:tcPr>
          <w:p w14:paraId="0B3877C8" w14:textId="77777777" w:rsidR="00923319" w:rsidRPr="00A67277" w:rsidRDefault="00923319" w:rsidP="00923319">
            <w:pPr>
              <w:spacing w:before="120" w:after="120"/>
              <w:rPr>
                <w:rFonts w:ascii="Arial" w:hAnsi="Arial" w:cs="Arial"/>
                <w:sz w:val="21"/>
                <w:szCs w:val="21"/>
              </w:rPr>
            </w:pPr>
          </w:p>
        </w:tc>
        <w:tc>
          <w:tcPr>
            <w:tcW w:w="4526" w:type="dxa"/>
          </w:tcPr>
          <w:p w14:paraId="1057F718" w14:textId="77777777" w:rsidR="00923319" w:rsidRPr="00A67277" w:rsidRDefault="00923319" w:rsidP="00923319">
            <w:pPr>
              <w:pStyle w:val="SchNumber2"/>
              <w:numPr>
                <w:ilvl w:val="1"/>
                <w:numId w:val="638"/>
              </w:numPr>
              <w:tabs>
                <w:tab w:val="left" w:pos="557"/>
              </w:tabs>
              <w:spacing w:before="120" w:after="120"/>
              <w:ind w:left="557" w:hanging="540"/>
              <w:rPr>
                <w:rFonts w:cs="Arial"/>
                <w:lang w:val="id-ID"/>
              </w:rPr>
            </w:pPr>
            <w:r w:rsidRPr="00A67277">
              <w:rPr>
                <w:rFonts w:cs="Arial"/>
              </w:rPr>
              <w:t>Hak cipta dalam seluruh laporan, perhitungan dan dokumen sejenis yang diberikan oleh Konsultan Pengawas Independen sehubungan dengan Proyek harus tetap berada pada Konsultan Pengawas Independen namun Konsultan Pengawas Independen memberikan kepada PJPK dan BUP dan penerima penunjukkannya suatu lisensi non eksklusif tanpa biaya atau royalti,  dengan jaminan hak penuh, dan tidak dapat ditarik kembali untuk menyalin dan menggunakan gambar tersebut dan dokumen lain dan untuk memproduksi ulang desain yang tertuang didalamnya untuk tujuan sehubungan dengan Proyek termasuk (namun tidak terbatas) pada konstruksi, penyelesaian, pemeliharaan, penyewaan kembali, promosi, periklanan, pernyataan kembali, perpanjangan dan perbaikan dari Proyek. Lisensi tersebut termasuk lisensi untuk memberikan sub-lisensi dan mengalihkan hal serupa kepada pihak ketiga.</w:t>
            </w:r>
          </w:p>
        </w:tc>
      </w:tr>
      <w:tr w:rsidR="00923319" w:rsidRPr="00A67277" w14:paraId="04AE726D" w14:textId="77777777" w:rsidTr="00923319">
        <w:tc>
          <w:tcPr>
            <w:tcW w:w="4949" w:type="dxa"/>
          </w:tcPr>
          <w:p w14:paraId="6D713B47" w14:textId="77777777" w:rsidR="00923319" w:rsidRPr="00A67277" w:rsidRDefault="00923319" w:rsidP="00923319">
            <w:pPr>
              <w:pStyle w:val="Heading3"/>
              <w:spacing w:before="120" w:after="120"/>
              <w:rPr>
                <w:rFonts w:cs="Arial"/>
              </w:rPr>
            </w:pPr>
            <w:r w:rsidRPr="00A67277">
              <w:rPr>
                <w:rFonts w:cs="Arial"/>
              </w:rPr>
              <w:t>Professional Indemnity Insurance</w:t>
            </w:r>
          </w:p>
        </w:tc>
        <w:tc>
          <w:tcPr>
            <w:tcW w:w="236" w:type="dxa"/>
          </w:tcPr>
          <w:p w14:paraId="2BFC0A74" w14:textId="77777777" w:rsidR="00923319" w:rsidRPr="00A67277" w:rsidRDefault="00923319" w:rsidP="00923319">
            <w:pPr>
              <w:spacing w:before="120" w:after="120"/>
              <w:rPr>
                <w:rFonts w:ascii="Arial" w:hAnsi="Arial" w:cs="Arial"/>
                <w:sz w:val="21"/>
                <w:szCs w:val="21"/>
              </w:rPr>
            </w:pPr>
          </w:p>
        </w:tc>
        <w:tc>
          <w:tcPr>
            <w:tcW w:w="4526" w:type="dxa"/>
          </w:tcPr>
          <w:p w14:paraId="7F29E120" w14:textId="77777777" w:rsidR="00923319" w:rsidRPr="00A67277" w:rsidRDefault="00923319" w:rsidP="00923319">
            <w:pPr>
              <w:pStyle w:val="SchNumber3"/>
              <w:numPr>
                <w:ilvl w:val="0"/>
                <w:numId w:val="633"/>
              </w:numPr>
              <w:tabs>
                <w:tab w:val="clear" w:pos="2146"/>
              </w:tabs>
              <w:spacing w:before="120" w:after="120"/>
              <w:ind w:left="557" w:hanging="540"/>
              <w:rPr>
                <w:rFonts w:cs="Arial"/>
                <w:lang w:val="id-ID"/>
              </w:rPr>
            </w:pPr>
            <w:r w:rsidRPr="00A67277">
              <w:rPr>
                <w:rFonts w:cs="Arial"/>
                <w:b/>
              </w:rPr>
              <w:t>Asuransi Ganti Rugi Profesional</w:t>
            </w:r>
          </w:p>
        </w:tc>
      </w:tr>
      <w:tr w:rsidR="00923319" w:rsidRPr="00A67277" w14:paraId="5283C472" w14:textId="77777777" w:rsidTr="00923319">
        <w:tc>
          <w:tcPr>
            <w:tcW w:w="4949" w:type="dxa"/>
          </w:tcPr>
          <w:p w14:paraId="3368855B"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Without reducing its obligations under this Agreement, or otherwise provided by law, the Independent Supervisor Consultant shall maintain Professional Indemnity Insurance with a limit of indemnity of not less than [</w:t>
            </w:r>
            <w:r w:rsidRPr="00A67277">
              <w:rPr>
                <w:rFonts w:cs="Arial"/>
                <w:b/>
              </w:rPr>
              <w:t>***</w:t>
            </w:r>
            <w:r w:rsidRPr="00A67277">
              <w:rPr>
                <w:rFonts w:cs="Arial"/>
              </w:rPr>
              <w:t xml:space="preserve"> </w:t>
            </w:r>
            <w:r w:rsidRPr="00A67277">
              <w:rPr>
                <w:rFonts w:cs="Arial"/>
                <w:b/>
              </w:rPr>
              <w:t>input of *** amount</w:t>
            </w:r>
            <w:r w:rsidRPr="00A67277">
              <w:rPr>
                <w:rFonts w:cs="Arial"/>
              </w:rPr>
              <w:t>] on any one claim or a series of claims arising from the same occurrence of any negligence, error or omission on the part of the performance of the obligations of the Independent Supervisor Consultant under this Agreement for the period at the date of this Agreement and expiring [one (1) Year] after:</w:t>
            </w:r>
          </w:p>
        </w:tc>
        <w:tc>
          <w:tcPr>
            <w:tcW w:w="236" w:type="dxa"/>
          </w:tcPr>
          <w:p w14:paraId="4BD0D205" w14:textId="77777777" w:rsidR="00923319" w:rsidRPr="00A67277" w:rsidRDefault="00923319" w:rsidP="00923319">
            <w:pPr>
              <w:spacing w:before="120" w:after="120"/>
              <w:rPr>
                <w:rFonts w:ascii="Arial" w:hAnsi="Arial" w:cs="Arial"/>
                <w:sz w:val="21"/>
                <w:szCs w:val="21"/>
              </w:rPr>
            </w:pPr>
          </w:p>
        </w:tc>
        <w:tc>
          <w:tcPr>
            <w:tcW w:w="4526" w:type="dxa"/>
          </w:tcPr>
          <w:p w14:paraId="2515DB1E"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Tanpa mengurangi kewajibannya berdasarkan Perjanjian ini, atau ditentukan lain oleh hukum, Konsultan Pengawas Independen harus memelihara asuransi ganti rugi profesional (</w:t>
            </w:r>
            <w:r w:rsidRPr="00A67277">
              <w:rPr>
                <w:rFonts w:cs="Arial"/>
                <w:i/>
              </w:rPr>
              <w:t>professional indemnity insurance</w:t>
            </w:r>
            <w:r w:rsidRPr="00A67277">
              <w:rPr>
                <w:rFonts w:cs="Arial"/>
              </w:rPr>
              <w:t>) dengan batas ganti rugi tidak kurang dari [***</w:t>
            </w:r>
            <w:r w:rsidRPr="00A67277">
              <w:rPr>
                <w:rFonts w:cs="Arial"/>
                <w:b/>
              </w:rPr>
              <w:t>masukan jumlah</w:t>
            </w:r>
            <w:r w:rsidRPr="00A67277">
              <w:rPr>
                <w:rFonts w:cs="Arial"/>
              </w:rPr>
              <w:t>***] pada setiap satu klaim atau serangkaian klaim yang timbul dari kejadian yang sama atas setiap keteledoran, kesalahan atau kelalaian pada bagian pelaksanaan kewajiban Konsultan Pengawas Independen berdasarkan Perjanjian ini untuk jangka waktu pada saat tanggal Perjanjian ini dan berakhir [satu (1) Tahun] setelah:</w:t>
            </w:r>
          </w:p>
        </w:tc>
      </w:tr>
      <w:tr w:rsidR="00923319" w:rsidRPr="00A67277" w14:paraId="6C754C33" w14:textId="77777777" w:rsidTr="00923319">
        <w:tc>
          <w:tcPr>
            <w:tcW w:w="4949" w:type="dxa"/>
          </w:tcPr>
          <w:p w14:paraId="24142C3F" w14:textId="77777777" w:rsidR="00923319" w:rsidRPr="00A67277" w:rsidRDefault="00923319" w:rsidP="00923319">
            <w:pPr>
              <w:pStyle w:val="SchNumber3"/>
              <w:numPr>
                <w:ilvl w:val="0"/>
                <w:numId w:val="640"/>
              </w:numPr>
              <w:tabs>
                <w:tab w:val="left" w:pos="1242"/>
              </w:tabs>
              <w:spacing w:before="120" w:after="120"/>
              <w:ind w:left="1242" w:hanging="540"/>
              <w:rPr>
                <w:rFonts w:cs="Arial"/>
              </w:rPr>
            </w:pPr>
            <w:r w:rsidRPr="00A67277">
              <w:rPr>
                <w:rFonts w:cs="Arial"/>
              </w:rPr>
              <w:t>Commercial Operation Date (unless extended at the request of GCA pursuant to Article 2.3(b) (</w:t>
            </w:r>
            <w:r w:rsidRPr="00A67277">
              <w:rPr>
                <w:rFonts w:cs="Arial"/>
                <w:i/>
              </w:rPr>
              <w:t>Term of The Agreement</w:t>
            </w:r>
            <w:r w:rsidRPr="00A67277">
              <w:rPr>
                <w:rFonts w:cs="Arial"/>
              </w:rPr>
              <w:t>) of this Agreement; or</w:t>
            </w:r>
          </w:p>
        </w:tc>
        <w:tc>
          <w:tcPr>
            <w:tcW w:w="236" w:type="dxa"/>
          </w:tcPr>
          <w:p w14:paraId="34F236C4" w14:textId="77777777" w:rsidR="00923319" w:rsidRPr="00A67277" w:rsidRDefault="00923319" w:rsidP="00923319">
            <w:pPr>
              <w:spacing w:before="120" w:after="120"/>
              <w:rPr>
                <w:rFonts w:ascii="Arial" w:hAnsi="Arial" w:cs="Arial"/>
                <w:sz w:val="21"/>
                <w:szCs w:val="21"/>
              </w:rPr>
            </w:pPr>
          </w:p>
        </w:tc>
        <w:tc>
          <w:tcPr>
            <w:tcW w:w="4526" w:type="dxa"/>
          </w:tcPr>
          <w:p w14:paraId="4B2BDACA" w14:textId="77777777" w:rsidR="00923319" w:rsidRPr="00A67277" w:rsidRDefault="00923319" w:rsidP="00923319">
            <w:pPr>
              <w:pStyle w:val="SchNumber3"/>
              <w:numPr>
                <w:ilvl w:val="0"/>
                <w:numId w:val="641"/>
              </w:numPr>
              <w:spacing w:before="120" w:after="120"/>
              <w:ind w:left="1097" w:hanging="540"/>
              <w:rPr>
                <w:rFonts w:cs="Arial"/>
                <w:lang w:val="id-ID"/>
              </w:rPr>
            </w:pPr>
            <w:r w:rsidRPr="00A67277">
              <w:rPr>
                <w:rFonts w:cs="Arial"/>
              </w:rPr>
              <w:t>Tanggal Operasi Komersial (kecuali jika diperpanjang atas permintaan PJPK sesuai dengan Pasal 2.3(b) (</w:t>
            </w:r>
            <w:r w:rsidRPr="00A67277">
              <w:rPr>
                <w:rFonts w:cs="Arial"/>
                <w:i/>
              </w:rPr>
              <w:t>Jangka Waktu Perjanjian</w:t>
            </w:r>
            <w:r w:rsidRPr="00A67277">
              <w:rPr>
                <w:rFonts w:cs="Arial"/>
              </w:rPr>
              <w:t>) Perjanjian ini; atau</w:t>
            </w:r>
          </w:p>
        </w:tc>
      </w:tr>
      <w:tr w:rsidR="00923319" w:rsidRPr="00A67277" w14:paraId="2D9A7959" w14:textId="77777777" w:rsidTr="00923319">
        <w:tc>
          <w:tcPr>
            <w:tcW w:w="4949" w:type="dxa"/>
          </w:tcPr>
          <w:p w14:paraId="6AF9320B" w14:textId="77777777" w:rsidR="00923319" w:rsidRPr="00A67277" w:rsidRDefault="00923319" w:rsidP="00923319">
            <w:pPr>
              <w:pStyle w:val="SchNumber3"/>
              <w:numPr>
                <w:ilvl w:val="0"/>
                <w:numId w:val="640"/>
              </w:numPr>
              <w:tabs>
                <w:tab w:val="left" w:pos="1242"/>
              </w:tabs>
              <w:spacing w:before="120" w:after="120"/>
              <w:ind w:left="1242" w:hanging="540"/>
              <w:rPr>
                <w:rFonts w:cs="Arial"/>
              </w:rPr>
            </w:pPr>
            <w:r w:rsidRPr="00A67277">
              <w:rPr>
                <w:rFonts w:cs="Arial"/>
              </w:rPr>
              <w:t>Termination of this Agreement,</w:t>
            </w:r>
          </w:p>
        </w:tc>
        <w:tc>
          <w:tcPr>
            <w:tcW w:w="236" w:type="dxa"/>
          </w:tcPr>
          <w:p w14:paraId="7501B106" w14:textId="77777777" w:rsidR="00923319" w:rsidRPr="00A67277" w:rsidRDefault="00923319" w:rsidP="00923319">
            <w:pPr>
              <w:spacing w:before="120" w:after="120"/>
              <w:rPr>
                <w:rFonts w:ascii="Arial" w:hAnsi="Arial" w:cs="Arial"/>
                <w:sz w:val="21"/>
                <w:szCs w:val="21"/>
              </w:rPr>
            </w:pPr>
          </w:p>
        </w:tc>
        <w:tc>
          <w:tcPr>
            <w:tcW w:w="4526" w:type="dxa"/>
          </w:tcPr>
          <w:p w14:paraId="5CF13C12" w14:textId="77777777" w:rsidR="00923319" w:rsidRPr="00A67277" w:rsidRDefault="00923319" w:rsidP="00923319">
            <w:pPr>
              <w:pStyle w:val="SchNumber3"/>
              <w:numPr>
                <w:ilvl w:val="0"/>
                <w:numId w:val="641"/>
              </w:numPr>
              <w:spacing w:before="120" w:after="120"/>
              <w:ind w:left="1097" w:hanging="540"/>
              <w:rPr>
                <w:rFonts w:cs="Arial"/>
                <w:lang w:val="id-ID"/>
              </w:rPr>
            </w:pPr>
            <w:r w:rsidRPr="00A67277">
              <w:rPr>
                <w:rFonts w:cs="Arial"/>
              </w:rPr>
              <w:t>pengakhiran Perjanjian ini,</w:t>
            </w:r>
          </w:p>
        </w:tc>
      </w:tr>
      <w:tr w:rsidR="00923319" w:rsidRPr="00A67277" w14:paraId="2DF7A740" w14:textId="77777777" w:rsidTr="00923319">
        <w:tc>
          <w:tcPr>
            <w:tcW w:w="4949" w:type="dxa"/>
          </w:tcPr>
          <w:p w14:paraId="1A2E1A02" w14:textId="68C3815D" w:rsidR="00923319" w:rsidRPr="00A67277" w:rsidRDefault="00923319" w:rsidP="00923319">
            <w:pPr>
              <w:pStyle w:val="Body2"/>
              <w:spacing w:before="120" w:after="120"/>
              <w:ind w:left="702"/>
              <w:rPr>
                <w:rFonts w:cs="Arial"/>
              </w:rPr>
            </w:pPr>
            <w:bookmarkStart w:id="454" w:name="_Toc501179176"/>
            <w:r w:rsidRPr="00A67277">
              <w:rPr>
                <w:rFonts w:cs="Arial"/>
                <w:shd w:val="clear" w:color="auto" w:fill="FFFFFF"/>
                <w:lang w:val="id-ID"/>
              </w:rPr>
              <w:t>w</w:t>
            </w:r>
            <w:r w:rsidRPr="00A67277">
              <w:rPr>
                <w:rFonts w:cs="Arial"/>
                <w:shd w:val="clear" w:color="auto" w:fill="FFFFFF"/>
              </w:rPr>
              <w:t xml:space="preserve">hichever </w:t>
            </w:r>
            <w:r w:rsidRPr="00A67277">
              <w:rPr>
                <w:rFonts w:cs="Arial"/>
                <w:shd w:val="clear" w:color="auto" w:fill="FFFFFF"/>
                <w:lang w:val="id-ID"/>
              </w:rPr>
              <w:t>the earlier</w:t>
            </w:r>
            <w:r w:rsidRPr="00A67277">
              <w:rPr>
                <w:rFonts w:cs="Arial"/>
                <w:shd w:val="clear" w:color="auto" w:fill="FFFFFF"/>
              </w:rPr>
              <w:t>, provided that such insurance is available on the market at a reasonable commercial level.</w:t>
            </w:r>
            <w:bookmarkEnd w:id="454"/>
          </w:p>
        </w:tc>
        <w:tc>
          <w:tcPr>
            <w:tcW w:w="236" w:type="dxa"/>
          </w:tcPr>
          <w:p w14:paraId="75A88DEC" w14:textId="77777777" w:rsidR="00923319" w:rsidRPr="00A67277" w:rsidRDefault="00923319" w:rsidP="00923319">
            <w:pPr>
              <w:spacing w:before="120" w:after="120"/>
              <w:rPr>
                <w:rFonts w:ascii="Arial" w:hAnsi="Arial" w:cs="Arial"/>
                <w:sz w:val="21"/>
                <w:szCs w:val="21"/>
              </w:rPr>
            </w:pPr>
          </w:p>
        </w:tc>
        <w:tc>
          <w:tcPr>
            <w:tcW w:w="4526" w:type="dxa"/>
          </w:tcPr>
          <w:p w14:paraId="5E5996B6" w14:textId="77777777" w:rsidR="00923319" w:rsidRPr="00A67277" w:rsidRDefault="00923319" w:rsidP="00923319">
            <w:pPr>
              <w:pStyle w:val="SchNumber3"/>
              <w:numPr>
                <w:ilvl w:val="0"/>
                <w:numId w:val="0"/>
              </w:numPr>
              <w:spacing w:before="120" w:after="120"/>
              <w:ind w:left="557"/>
              <w:rPr>
                <w:rFonts w:cs="Arial"/>
              </w:rPr>
            </w:pPr>
            <w:r w:rsidRPr="00A67277">
              <w:rPr>
                <w:rFonts w:cs="Arial"/>
              </w:rPr>
              <w:t>yang mana yang lebih dulu terjadi, dengan ketentuan bahwa asuransi tersebut tersedia di pasaran pada tingkat komersial yang wajar.</w:t>
            </w:r>
          </w:p>
        </w:tc>
      </w:tr>
      <w:tr w:rsidR="00923319" w:rsidRPr="00A67277" w14:paraId="2F122879" w14:textId="77777777" w:rsidTr="00923319">
        <w:tc>
          <w:tcPr>
            <w:tcW w:w="4949" w:type="dxa"/>
          </w:tcPr>
          <w:p w14:paraId="10D801A4"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The Independent Supervisor Consultant shall maintain the insurance with a reputable insurance insurer conducting business in Indonesia agreed by GCA and IBE, such consent shall not be unreasonably witheld or delayed.</w:t>
            </w:r>
          </w:p>
        </w:tc>
        <w:tc>
          <w:tcPr>
            <w:tcW w:w="236" w:type="dxa"/>
          </w:tcPr>
          <w:p w14:paraId="49C3BDAE" w14:textId="77777777" w:rsidR="00923319" w:rsidRPr="00A67277" w:rsidRDefault="00923319" w:rsidP="00923319">
            <w:pPr>
              <w:spacing w:before="120" w:after="120"/>
              <w:rPr>
                <w:rFonts w:ascii="Arial" w:hAnsi="Arial" w:cs="Arial"/>
                <w:sz w:val="21"/>
                <w:szCs w:val="21"/>
              </w:rPr>
            </w:pPr>
          </w:p>
        </w:tc>
        <w:tc>
          <w:tcPr>
            <w:tcW w:w="4526" w:type="dxa"/>
          </w:tcPr>
          <w:p w14:paraId="75509287"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lang w:val="id-ID"/>
              </w:rPr>
            </w:pPr>
            <w:r w:rsidRPr="00A67277">
              <w:rPr>
                <w:rFonts w:cs="Arial"/>
              </w:rPr>
              <w:t>Konsultan Pengawas Independen harus memelihara asuransi tersebut dengan penanggung asuransi yang memiliki reputasi yang melaksanakan usaha di Indonesia yang dapat disetujui oleh PJPK dan BUP, persetujuan tersebut tidak boleh ditahan atau ditunda secara tidak wajar</w:t>
            </w:r>
            <w:r w:rsidRPr="00A67277">
              <w:rPr>
                <w:rFonts w:cs="Arial"/>
                <w:lang w:val="id-ID"/>
              </w:rPr>
              <w:t>.</w:t>
            </w:r>
          </w:p>
        </w:tc>
      </w:tr>
      <w:tr w:rsidR="00923319" w:rsidRPr="00A67277" w14:paraId="298472A4" w14:textId="77777777" w:rsidTr="00923319">
        <w:tc>
          <w:tcPr>
            <w:tcW w:w="4949" w:type="dxa"/>
          </w:tcPr>
          <w:p w14:paraId="66A7854B"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Any incremental or additional premiums required by the insurer due to records of claim of the Independent Supervisor Consultant or other actions, omissions, problems or special matters of the Independent Supervisor Consultant shall be deemed to remain within reasonable commercial level.</w:t>
            </w:r>
          </w:p>
        </w:tc>
        <w:tc>
          <w:tcPr>
            <w:tcW w:w="236" w:type="dxa"/>
          </w:tcPr>
          <w:p w14:paraId="43B17832" w14:textId="77777777" w:rsidR="00923319" w:rsidRPr="00A67277" w:rsidRDefault="00923319" w:rsidP="00923319">
            <w:pPr>
              <w:spacing w:before="120" w:after="120"/>
              <w:rPr>
                <w:rFonts w:ascii="Arial" w:hAnsi="Arial" w:cs="Arial"/>
                <w:sz w:val="21"/>
                <w:szCs w:val="21"/>
              </w:rPr>
            </w:pPr>
          </w:p>
        </w:tc>
        <w:tc>
          <w:tcPr>
            <w:tcW w:w="4526" w:type="dxa"/>
          </w:tcPr>
          <w:p w14:paraId="0A5CE9DD"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Setiap peningkatan atau tambahan premi yang dipersyaratkan oleh penanggung asuransi karena catatan klaim Konsultan Pengawas Independen atau tindakan lain, kelalaian, masalah atau hal-hal khusus dari Konsultan Pengawas Independen wajib dianggap masih berada dalam tingkat komersial yang wajar.</w:t>
            </w:r>
          </w:p>
        </w:tc>
      </w:tr>
      <w:tr w:rsidR="00923319" w:rsidRPr="00A67277" w14:paraId="669373AD" w14:textId="77777777" w:rsidTr="00923319">
        <w:tc>
          <w:tcPr>
            <w:tcW w:w="4949" w:type="dxa"/>
          </w:tcPr>
          <w:p w14:paraId="592ECFA0"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The Independent Supervisor Consultant shall promptly notify GCA and IBE if such insurance is no longer available at a commercially reasonable level so that the Independent Supervisor Consultant and GCA and the IBE may discuss the best way to protect the position of GCA and IBE and the Independent Supervisor Consultant in connection with the Project due to the absence of the insurance.</w:t>
            </w:r>
          </w:p>
        </w:tc>
        <w:tc>
          <w:tcPr>
            <w:tcW w:w="236" w:type="dxa"/>
          </w:tcPr>
          <w:p w14:paraId="73E002FD" w14:textId="77777777" w:rsidR="00923319" w:rsidRPr="00A67277" w:rsidRDefault="00923319" w:rsidP="00923319">
            <w:pPr>
              <w:spacing w:before="120" w:after="120"/>
              <w:rPr>
                <w:rFonts w:ascii="Arial" w:hAnsi="Arial" w:cs="Arial"/>
                <w:sz w:val="21"/>
                <w:szCs w:val="21"/>
              </w:rPr>
            </w:pPr>
          </w:p>
        </w:tc>
        <w:tc>
          <w:tcPr>
            <w:tcW w:w="4526" w:type="dxa"/>
          </w:tcPr>
          <w:p w14:paraId="73DFAA41"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Konsultan Pengawas Independen harus secepatnya memberitahukan PJPK dan BUP jika asuransi tersebut tidak lagi tersedia pada tingkat komersial yang wajar agar Konsultan Pengawas Independen dan PJPK dan BUP dapat mendiskusikan cara terbaik untuk melindungi posisi dari PJPK dan BUP dan Konsultan Pengawas Independen sehubungan dengan Proyek akibat tidak adanya asuransi tersebut.</w:t>
            </w:r>
          </w:p>
        </w:tc>
      </w:tr>
      <w:tr w:rsidR="00923319" w:rsidRPr="00A67277" w14:paraId="0350C5D5" w14:textId="77777777" w:rsidTr="00923319">
        <w:tc>
          <w:tcPr>
            <w:tcW w:w="4949" w:type="dxa"/>
          </w:tcPr>
          <w:p w14:paraId="41C99BA0"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The Independent Supervisor Consultant shall fully cooperate with every action required by GCA and IBE including (but not limited to) the settlement of any proposal on insurance and related documents, maintaining insurance at a level above a reasonable commercial level if GCA and IBE in writing replace the Independent Supervisor Consultant in respect of the net cost of such insurance to an Independent Supervisor Consultant above a reasonable commercial level or if GCA and IBE result in such insurance at an equivalent or above a reasonable commercial level, replace GCA and IBE in respect of how much the net cost from insurance to GCA and IBE that will occur at a reasonable commercial level.</w:t>
            </w:r>
          </w:p>
        </w:tc>
        <w:tc>
          <w:tcPr>
            <w:tcW w:w="236" w:type="dxa"/>
          </w:tcPr>
          <w:p w14:paraId="6E64128D" w14:textId="77777777" w:rsidR="00923319" w:rsidRPr="00A67277" w:rsidRDefault="00923319" w:rsidP="00923319">
            <w:pPr>
              <w:spacing w:before="120" w:after="120"/>
              <w:rPr>
                <w:rFonts w:ascii="Arial" w:hAnsi="Arial" w:cs="Arial"/>
                <w:sz w:val="21"/>
                <w:szCs w:val="21"/>
              </w:rPr>
            </w:pPr>
          </w:p>
        </w:tc>
        <w:tc>
          <w:tcPr>
            <w:tcW w:w="4526" w:type="dxa"/>
          </w:tcPr>
          <w:p w14:paraId="1028ABBA"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Konsultan Pengawas Independen harus bekerja sama sepenuhnya dengan setiap tindakan yang dipersyaratkan secara wajar oleh PJPK dan BUP termasuk (namun tidak terbatas) pada penyelesaian setiap proposal atas asuransi dan dokumen terkait, memelihara asuransi pada tingkat di atas tingkat komersial yang wajar jika PJPK dan BUP secara tertulis mengganti Konsultan Pengawas Independen sehubungan dengan biaya bersih dari asuransi tersebut kepada Konsultan Pengawas Independen di atas tingkat komersial yang wajar atau jika PJPK dan BUP menyebabkan asuransi tersebut pada tingkat setara atau di atas tingkat komersial yang wajar, mengganti PJPK dan BUP sehubungan dengan berapa biaya bersih dari asuransi kepada PJPK dan BUP yang akan terjadi pada tingkat komersial yang wajar.</w:t>
            </w:r>
          </w:p>
        </w:tc>
      </w:tr>
      <w:tr w:rsidR="00923319" w:rsidRPr="00A67277" w14:paraId="0DA91036" w14:textId="77777777" w:rsidTr="00923319">
        <w:tc>
          <w:tcPr>
            <w:tcW w:w="4949" w:type="dxa"/>
          </w:tcPr>
          <w:p w14:paraId="4CC225E4"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The Independent Supervisor Consultant shall, prior to the commencement of services under this Agreement and not less than one (1) Months prior to the date of renewal, submit evidence, for inspection by GCA and IBE, that such insurance is being properly managed.</w:t>
            </w:r>
          </w:p>
        </w:tc>
        <w:tc>
          <w:tcPr>
            <w:tcW w:w="236" w:type="dxa"/>
          </w:tcPr>
          <w:p w14:paraId="4F34676F" w14:textId="77777777" w:rsidR="00923319" w:rsidRPr="00A67277" w:rsidRDefault="00923319" w:rsidP="00923319">
            <w:pPr>
              <w:spacing w:before="120" w:after="120"/>
              <w:rPr>
                <w:rFonts w:ascii="Arial" w:hAnsi="Arial" w:cs="Arial"/>
                <w:sz w:val="21"/>
                <w:szCs w:val="21"/>
              </w:rPr>
            </w:pPr>
          </w:p>
        </w:tc>
        <w:tc>
          <w:tcPr>
            <w:tcW w:w="4526" w:type="dxa"/>
          </w:tcPr>
          <w:p w14:paraId="2870E25F"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Konsultan Pengawas Independen harus, sebelum memulai penyediaan jasa berdasarkan Perjanjian ini dan tidak kurang dari satu (1) Bulan sebelum tanggal pembaruan, menyerahkan bukti, untuk inspeksi oleh PJPK dan BUP, bahwa asuransi tersebut sedang dikelola dengan baik.</w:t>
            </w:r>
          </w:p>
        </w:tc>
      </w:tr>
      <w:tr w:rsidR="00923319" w:rsidRPr="00A67277" w14:paraId="66A014E0" w14:textId="77777777" w:rsidTr="00923319">
        <w:tc>
          <w:tcPr>
            <w:tcW w:w="4949" w:type="dxa"/>
          </w:tcPr>
          <w:p w14:paraId="29DF95DA"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The above obligations in respect of professional indemnity insurance shall survive without prejudice to termination of the Agreement for any reason, including (but not limited to) breach by GCA and IBE.</w:t>
            </w:r>
          </w:p>
        </w:tc>
        <w:tc>
          <w:tcPr>
            <w:tcW w:w="236" w:type="dxa"/>
          </w:tcPr>
          <w:p w14:paraId="01848273" w14:textId="77777777" w:rsidR="00923319" w:rsidRPr="00A67277" w:rsidRDefault="00923319" w:rsidP="00923319">
            <w:pPr>
              <w:spacing w:before="120" w:after="120"/>
              <w:rPr>
                <w:rFonts w:ascii="Arial" w:hAnsi="Arial" w:cs="Arial"/>
                <w:sz w:val="21"/>
                <w:szCs w:val="21"/>
              </w:rPr>
            </w:pPr>
          </w:p>
        </w:tc>
        <w:tc>
          <w:tcPr>
            <w:tcW w:w="4526" w:type="dxa"/>
          </w:tcPr>
          <w:p w14:paraId="538D165F"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bookmarkStart w:id="455" w:name="_Hlk500949441"/>
            <w:r w:rsidRPr="00A67277">
              <w:rPr>
                <w:rFonts w:cs="Arial"/>
              </w:rPr>
              <w:t>Kewajiban-kewajiban di atas sehubungan dengan asuransi ganti rugi profesional tetap berlanjut tanpa mengenyampingkan pengakhiran Perjanjian dengan alasan apapun, termasuk (namun tidak terbatas) pada pelanggaran oleh PJPK dan BUP</w:t>
            </w:r>
            <w:bookmarkEnd w:id="455"/>
            <w:r w:rsidRPr="00A67277">
              <w:rPr>
                <w:rFonts w:cs="Arial"/>
              </w:rPr>
              <w:t>.</w:t>
            </w:r>
          </w:p>
        </w:tc>
      </w:tr>
      <w:tr w:rsidR="00923319" w:rsidRPr="00A67277" w14:paraId="2076F4C8" w14:textId="77777777" w:rsidTr="00923319">
        <w:tc>
          <w:tcPr>
            <w:tcW w:w="4949" w:type="dxa"/>
          </w:tcPr>
          <w:p w14:paraId="264DBCEE" w14:textId="77777777" w:rsidR="00923319" w:rsidRPr="00A67277" w:rsidRDefault="00923319" w:rsidP="00923319">
            <w:pPr>
              <w:pStyle w:val="SchNumber2"/>
              <w:numPr>
                <w:ilvl w:val="1"/>
                <w:numId w:val="639"/>
              </w:numPr>
              <w:tabs>
                <w:tab w:val="left" w:pos="702"/>
              </w:tabs>
              <w:spacing w:before="120" w:after="120"/>
              <w:ind w:left="702" w:hanging="702"/>
              <w:rPr>
                <w:rFonts w:cs="Arial"/>
              </w:rPr>
            </w:pPr>
            <w:r w:rsidRPr="00A67277">
              <w:rPr>
                <w:rFonts w:cs="Arial"/>
              </w:rPr>
              <w:t xml:space="preserve">Notwithstanding to the contrary provisions of this Agreement the entire responsibility of the Independent Supervisor Consultant under or in connection with this Agreement whether in contract or error, negligence or breach of legal obligations (other than in respect of personnel injury or death) shall not exceed the amount </w:t>
            </w:r>
            <w:r w:rsidRPr="00A67277">
              <w:rPr>
                <w:rFonts w:cs="Arial"/>
                <w:b/>
              </w:rPr>
              <w:t>[*** input limit of responsibility ***].</w:t>
            </w:r>
          </w:p>
        </w:tc>
        <w:tc>
          <w:tcPr>
            <w:tcW w:w="236" w:type="dxa"/>
          </w:tcPr>
          <w:p w14:paraId="0F55AAFD" w14:textId="77777777" w:rsidR="00923319" w:rsidRPr="00A67277" w:rsidRDefault="00923319" w:rsidP="00923319">
            <w:pPr>
              <w:spacing w:before="120" w:after="120"/>
              <w:rPr>
                <w:rFonts w:ascii="Arial" w:hAnsi="Arial" w:cs="Arial"/>
                <w:sz w:val="21"/>
                <w:szCs w:val="21"/>
              </w:rPr>
            </w:pPr>
          </w:p>
        </w:tc>
        <w:tc>
          <w:tcPr>
            <w:tcW w:w="4526" w:type="dxa"/>
          </w:tcPr>
          <w:p w14:paraId="648D6C0C" w14:textId="77777777" w:rsidR="00923319" w:rsidRPr="00A67277" w:rsidRDefault="00923319" w:rsidP="00923319">
            <w:pPr>
              <w:pStyle w:val="SchNumber2"/>
              <w:numPr>
                <w:ilvl w:val="3"/>
                <w:numId w:val="614"/>
              </w:numPr>
              <w:tabs>
                <w:tab w:val="clear" w:pos="709"/>
                <w:tab w:val="num" w:pos="557"/>
              </w:tabs>
              <w:spacing w:before="120" w:after="120"/>
              <w:ind w:left="557" w:hanging="540"/>
              <w:rPr>
                <w:rFonts w:cs="Arial"/>
              </w:rPr>
            </w:pPr>
            <w:r w:rsidRPr="00A67277">
              <w:rPr>
                <w:rFonts w:cs="Arial"/>
              </w:rPr>
              <w:t xml:space="preserve">Tanpa mengurangi ketentuan yang bertentangan yang tercantum dalam Perjanjian ini seluruh tanggung jawab Konsultan Pengawas Independen berdasarkan atau sehubungan dengan Perjanjian ini baik dalam kontrak atau kesalahan, kelalaian atau pelanggaran terhadap kewajiban hukum (selain sehubungan dengan cidera personil atau kematian) tidak akan melebihi jumlah </w:t>
            </w:r>
            <w:r w:rsidRPr="00A67277">
              <w:rPr>
                <w:rFonts w:cs="Arial"/>
                <w:b/>
              </w:rPr>
              <w:t>[***masukan batasan tanggung jawab***].</w:t>
            </w:r>
          </w:p>
        </w:tc>
      </w:tr>
      <w:tr w:rsidR="00923319" w:rsidRPr="00A67277" w14:paraId="0A1622D9" w14:textId="77777777" w:rsidTr="00923319">
        <w:tc>
          <w:tcPr>
            <w:tcW w:w="4949" w:type="dxa"/>
          </w:tcPr>
          <w:p w14:paraId="0E997021" w14:textId="77777777" w:rsidR="00923319" w:rsidRPr="00A67277" w:rsidRDefault="00923319" w:rsidP="00923319">
            <w:pPr>
              <w:pStyle w:val="Heading3"/>
              <w:spacing w:before="120" w:after="120"/>
              <w:rPr>
                <w:rFonts w:cs="Arial"/>
              </w:rPr>
            </w:pPr>
            <w:r w:rsidRPr="00A67277">
              <w:rPr>
                <w:rFonts w:cs="Arial"/>
              </w:rPr>
              <w:t>Assignment</w:t>
            </w:r>
          </w:p>
        </w:tc>
        <w:tc>
          <w:tcPr>
            <w:tcW w:w="236" w:type="dxa"/>
          </w:tcPr>
          <w:p w14:paraId="2F6F62CD" w14:textId="77777777" w:rsidR="00923319" w:rsidRPr="00A67277" w:rsidRDefault="00923319" w:rsidP="00923319">
            <w:pPr>
              <w:spacing w:before="120" w:after="120"/>
              <w:rPr>
                <w:rFonts w:ascii="Arial" w:hAnsi="Arial" w:cs="Arial"/>
                <w:sz w:val="21"/>
                <w:szCs w:val="21"/>
              </w:rPr>
            </w:pPr>
          </w:p>
        </w:tc>
        <w:tc>
          <w:tcPr>
            <w:tcW w:w="4526" w:type="dxa"/>
          </w:tcPr>
          <w:p w14:paraId="5F2E30E1" w14:textId="77777777" w:rsidR="00923319" w:rsidRPr="00A67277" w:rsidRDefault="00923319" w:rsidP="00923319">
            <w:pPr>
              <w:pStyle w:val="SchNumber3"/>
              <w:numPr>
                <w:ilvl w:val="0"/>
                <w:numId w:val="633"/>
              </w:numPr>
              <w:tabs>
                <w:tab w:val="clear" w:pos="2146"/>
              </w:tabs>
              <w:spacing w:before="120" w:after="120"/>
              <w:ind w:left="557" w:hanging="532"/>
              <w:rPr>
                <w:rFonts w:cs="Arial"/>
              </w:rPr>
            </w:pPr>
            <w:r w:rsidRPr="00A67277">
              <w:rPr>
                <w:rFonts w:cs="Arial"/>
                <w:b/>
              </w:rPr>
              <w:t>Pengalihan</w:t>
            </w:r>
          </w:p>
        </w:tc>
      </w:tr>
      <w:tr w:rsidR="00923319" w:rsidRPr="00A67277" w14:paraId="1263AC5D" w14:textId="77777777" w:rsidTr="00923319">
        <w:tc>
          <w:tcPr>
            <w:tcW w:w="4949" w:type="dxa"/>
          </w:tcPr>
          <w:p w14:paraId="0E43A305" w14:textId="77777777" w:rsidR="00923319" w:rsidRPr="00A67277" w:rsidRDefault="00923319" w:rsidP="00923319">
            <w:pPr>
              <w:pStyle w:val="SchNumber2"/>
              <w:numPr>
                <w:ilvl w:val="1"/>
                <w:numId w:val="642"/>
              </w:numPr>
              <w:spacing w:before="120" w:after="120"/>
              <w:ind w:left="702" w:hanging="702"/>
              <w:rPr>
                <w:rFonts w:cs="Arial"/>
              </w:rPr>
            </w:pPr>
            <w:r w:rsidRPr="00A67277">
              <w:rPr>
                <w:rFonts w:cs="Arial"/>
              </w:rPr>
              <w:t xml:space="preserve">The Independent Supervisor Consultant may not assign or transfer any of its rights or obligations under this Agreement or subcontract all or any part of the </w:t>
            </w:r>
            <w:r w:rsidRPr="00A67277">
              <w:rPr>
                <w:rFonts w:cs="Arial"/>
                <w:lang w:val="id-ID"/>
              </w:rPr>
              <w:t>Supervision</w:t>
            </w:r>
            <w:r w:rsidRPr="00A67277">
              <w:rPr>
                <w:rFonts w:cs="Arial"/>
              </w:rPr>
              <w:t xml:space="preserve"> Service without prior written approval of GCA and IBE.</w:t>
            </w:r>
          </w:p>
        </w:tc>
        <w:tc>
          <w:tcPr>
            <w:tcW w:w="236" w:type="dxa"/>
          </w:tcPr>
          <w:p w14:paraId="53D1B588" w14:textId="77777777" w:rsidR="00923319" w:rsidRPr="00A67277" w:rsidRDefault="00923319" w:rsidP="00923319">
            <w:pPr>
              <w:spacing w:before="120" w:after="120"/>
              <w:rPr>
                <w:rFonts w:ascii="Arial" w:hAnsi="Arial" w:cs="Arial"/>
                <w:sz w:val="21"/>
                <w:szCs w:val="21"/>
              </w:rPr>
            </w:pPr>
          </w:p>
        </w:tc>
        <w:tc>
          <w:tcPr>
            <w:tcW w:w="4526" w:type="dxa"/>
          </w:tcPr>
          <w:p w14:paraId="2F2DFD85" w14:textId="77777777" w:rsidR="00923319" w:rsidRPr="00A67277" w:rsidRDefault="00923319" w:rsidP="00923319">
            <w:pPr>
              <w:pStyle w:val="SchNumber2"/>
              <w:numPr>
                <w:ilvl w:val="1"/>
                <w:numId w:val="645"/>
              </w:numPr>
              <w:tabs>
                <w:tab w:val="left" w:pos="557"/>
              </w:tabs>
              <w:spacing w:before="120" w:after="120"/>
              <w:ind w:left="557" w:hanging="540"/>
              <w:rPr>
                <w:rFonts w:cs="Arial"/>
                <w:lang w:val="id-ID"/>
              </w:rPr>
            </w:pPr>
            <w:r w:rsidRPr="00A67277">
              <w:rPr>
                <w:rFonts w:cs="Arial"/>
              </w:rPr>
              <w:t>Konsultan Pengawas Independen tidak dapat mengalihkan atau mentransfer setiap hak atau kewajibannya berdasarkan Perjanjian ini atau melakukan sub-kontrak atas seluruh atau setiap bagian dari Jasa Pengawasan tanpa persetujuan tertulis terlebih dahulu dari PJPK dan BUP.</w:t>
            </w:r>
          </w:p>
        </w:tc>
      </w:tr>
      <w:tr w:rsidR="00923319" w:rsidRPr="00A67277" w14:paraId="10C930BE" w14:textId="77777777" w:rsidTr="00923319">
        <w:tc>
          <w:tcPr>
            <w:tcW w:w="4949" w:type="dxa"/>
          </w:tcPr>
          <w:p w14:paraId="14D8257C" w14:textId="77777777" w:rsidR="00923319" w:rsidRPr="00A67277" w:rsidRDefault="00923319" w:rsidP="00923319">
            <w:pPr>
              <w:pStyle w:val="SchNumber2"/>
              <w:numPr>
                <w:ilvl w:val="1"/>
                <w:numId w:val="642"/>
              </w:numPr>
              <w:spacing w:before="120" w:after="120"/>
              <w:ind w:left="702" w:hanging="702"/>
              <w:rPr>
                <w:rFonts w:cs="Arial"/>
              </w:rPr>
            </w:pPr>
            <w:r w:rsidRPr="00A67277">
              <w:rPr>
                <w:rFonts w:cs="Arial"/>
              </w:rPr>
              <w:t>Neither GCA or IBE may assign or transfer any of its rights and obligations under this Agreement without the prior written approval of the Independent Supervisor Consultant (such consent shall not be withheld or delayed) provided that the parties hereby agree to any assignment or transfers in accordance with the assignment or transfer made in accordance with the Cooperation Agreement and made to the assignee for the purpose of security to the Financing Party under the Senior Financing Document.</w:t>
            </w:r>
          </w:p>
        </w:tc>
        <w:tc>
          <w:tcPr>
            <w:tcW w:w="236" w:type="dxa"/>
          </w:tcPr>
          <w:p w14:paraId="4322B447" w14:textId="77777777" w:rsidR="00923319" w:rsidRPr="00A67277" w:rsidRDefault="00923319" w:rsidP="00923319">
            <w:pPr>
              <w:spacing w:before="120" w:after="120"/>
              <w:rPr>
                <w:rFonts w:ascii="Arial" w:hAnsi="Arial" w:cs="Arial"/>
                <w:sz w:val="21"/>
                <w:szCs w:val="21"/>
              </w:rPr>
            </w:pPr>
          </w:p>
        </w:tc>
        <w:tc>
          <w:tcPr>
            <w:tcW w:w="4526" w:type="dxa"/>
          </w:tcPr>
          <w:p w14:paraId="256AE468" w14:textId="77777777" w:rsidR="00923319" w:rsidRPr="00A67277" w:rsidRDefault="00923319" w:rsidP="00923319">
            <w:pPr>
              <w:pStyle w:val="SchNumber2"/>
              <w:numPr>
                <w:ilvl w:val="1"/>
                <w:numId w:val="645"/>
              </w:numPr>
              <w:tabs>
                <w:tab w:val="left" w:pos="557"/>
              </w:tabs>
              <w:spacing w:before="120" w:after="120"/>
              <w:ind w:left="557" w:hanging="540"/>
              <w:rPr>
                <w:rFonts w:cs="Arial"/>
              </w:rPr>
            </w:pPr>
            <w:bookmarkStart w:id="456" w:name="_Hlk500950162"/>
            <w:r w:rsidRPr="00A67277">
              <w:rPr>
                <w:rFonts w:cs="Arial"/>
              </w:rPr>
              <w:t>Baik PJPK ataupun BUP tidak dapat mengalihkan atau mentransfer setiap hak dan kewajibannya berdasarkan Perjanjian ini tanpa persetujuan tertulis terlebih dahulu dari Konsultan Pengawas Independen (persetujuan tersebut tidak boleh ditahan atau ditunda secara tidak wajar) dengan ketentuan bahwa para pihak dengan ini setuju kepada setiap pengalihan atau transfer yang sejalan dengan pengalihan atau transfer berdasarkan Perjanjian Kerjasama dan dibuat kepada penerima pengalihan untuk kepentingan jaminan kepada Pihak Pembiaya berdasarkan Dokumen Pembiayaan Senior</w:t>
            </w:r>
            <w:bookmarkEnd w:id="456"/>
            <w:r w:rsidRPr="00A67277">
              <w:rPr>
                <w:rFonts w:cs="Arial"/>
              </w:rPr>
              <w:t>.</w:t>
            </w:r>
          </w:p>
        </w:tc>
      </w:tr>
      <w:tr w:rsidR="00923319" w:rsidRPr="00A67277" w14:paraId="73E57B84" w14:textId="77777777" w:rsidTr="00923319">
        <w:tc>
          <w:tcPr>
            <w:tcW w:w="4949" w:type="dxa"/>
          </w:tcPr>
          <w:p w14:paraId="115F9D07" w14:textId="77777777" w:rsidR="00923319" w:rsidRPr="00A67277" w:rsidRDefault="00923319" w:rsidP="00923319">
            <w:pPr>
              <w:pStyle w:val="SchNumber2"/>
              <w:numPr>
                <w:ilvl w:val="1"/>
                <w:numId w:val="642"/>
              </w:numPr>
              <w:spacing w:before="120" w:after="120"/>
              <w:ind w:left="702" w:hanging="702"/>
              <w:rPr>
                <w:rFonts w:cs="Arial"/>
              </w:rPr>
            </w:pPr>
            <w:r w:rsidRPr="00A67277">
              <w:rPr>
                <w:rFonts w:cs="Arial"/>
              </w:rPr>
              <w:t>The Independent Supervisor Consultant shall not be entitled to deny or reject any claim or lawsuit by any person to whom this Agreement is transferred in accordance with Article 30 (Assignment) upon the remedy under this Agreement for any loss suffered by the assignee as a result from any breach of this Agreement (whenever it happens) with basis that the person is a transfer recipient and is not the main beneficiary or the itial party who are contracted under this Agreement.</w:t>
            </w:r>
          </w:p>
        </w:tc>
        <w:tc>
          <w:tcPr>
            <w:tcW w:w="236" w:type="dxa"/>
          </w:tcPr>
          <w:p w14:paraId="1C17CB45" w14:textId="77777777" w:rsidR="00923319" w:rsidRPr="00A67277" w:rsidRDefault="00923319" w:rsidP="00923319">
            <w:pPr>
              <w:spacing w:before="120" w:after="120"/>
              <w:rPr>
                <w:rFonts w:ascii="Arial" w:hAnsi="Arial" w:cs="Arial"/>
                <w:sz w:val="21"/>
                <w:szCs w:val="21"/>
              </w:rPr>
            </w:pPr>
          </w:p>
        </w:tc>
        <w:tc>
          <w:tcPr>
            <w:tcW w:w="4526" w:type="dxa"/>
          </w:tcPr>
          <w:p w14:paraId="57DDD29B" w14:textId="77777777" w:rsidR="00923319" w:rsidRPr="00A67277" w:rsidRDefault="00923319" w:rsidP="00923319">
            <w:pPr>
              <w:pStyle w:val="SchNumber2"/>
              <w:numPr>
                <w:ilvl w:val="1"/>
                <w:numId w:val="645"/>
              </w:numPr>
              <w:tabs>
                <w:tab w:val="left" w:pos="557"/>
              </w:tabs>
              <w:spacing w:before="120" w:after="120"/>
              <w:ind w:left="557" w:hanging="540"/>
              <w:rPr>
                <w:rFonts w:cs="Arial"/>
              </w:rPr>
            </w:pPr>
            <w:r w:rsidRPr="00A67277">
              <w:rPr>
                <w:rFonts w:cs="Arial"/>
              </w:rPr>
              <w:t>Konsultan Pengawas Independen tidak berhak untuk membantah atau menolak klaim atau gugatan dari setiap orang kepada siapa Perjanjian ini dialihkan sesuai dengan Pasal 30 (Pengalihan) atas upaya pemulihan berdasarkan Perjanjian ini terhadap setiap kerugian yang diderita oleh penerima pengalihan yang diakibatkan dari setiap pelanggaran terhadap Perjanjian ini (kapan pun terjadinya) dengan dasar bahwa orang tersebut merupakan penerima pengalihan dan bukan merupakan penerima manfaat utama atau pihak awal yang berkontrak berdasarkan Perjanjian ini.</w:t>
            </w:r>
          </w:p>
        </w:tc>
      </w:tr>
      <w:tr w:rsidR="00923319" w:rsidRPr="00A67277" w14:paraId="720E1225" w14:textId="77777777" w:rsidTr="00923319">
        <w:tc>
          <w:tcPr>
            <w:tcW w:w="4949" w:type="dxa"/>
          </w:tcPr>
          <w:p w14:paraId="45C076C8" w14:textId="4DB9953C" w:rsidR="00923319" w:rsidRPr="00A67277" w:rsidRDefault="00923319" w:rsidP="003B75B9">
            <w:pPr>
              <w:pStyle w:val="Heading3"/>
              <w:spacing w:before="120" w:after="120"/>
              <w:rPr>
                <w:rFonts w:cs="Arial"/>
              </w:rPr>
            </w:pPr>
            <w:r w:rsidRPr="00A67277">
              <w:rPr>
                <w:rFonts w:cs="Arial"/>
              </w:rPr>
              <w:t xml:space="preserve">Cumulative Rights </w:t>
            </w:r>
            <w:r w:rsidR="003B75B9">
              <w:rPr>
                <w:rFonts w:cs="Arial"/>
              </w:rPr>
              <w:t xml:space="preserve">and </w:t>
            </w:r>
            <w:r w:rsidRPr="00A67277">
              <w:rPr>
                <w:rFonts w:cs="Arial"/>
              </w:rPr>
              <w:t>Enforcement</w:t>
            </w:r>
          </w:p>
        </w:tc>
        <w:tc>
          <w:tcPr>
            <w:tcW w:w="236" w:type="dxa"/>
          </w:tcPr>
          <w:p w14:paraId="0399AC01" w14:textId="77777777" w:rsidR="00923319" w:rsidRPr="00A67277" w:rsidRDefault="00923319" w:rsidP="00923319">
            <w:pPr>
              <w:spacing w:before="120" w:after="120"/>
              <w:rPr>
                <w:rFonts w:ascii="Arial" w:hAnsi="Arial" w:cs="Arial"/>
                <w:sz w:val="21"/>
                <w:szCs w:val="21"/>
              </w:rPr>
            </w:pPr>
          </w:p>
        </w:tc>
        <w:tc>
          <w:tcPr>
            <w:tcW w:w="4526" w:type="dxa"/>
          </w:tcPr>
          <w:p w14:paraId="39685192" w14:textId="77777777" w:rsidR="00923319" w:rsidRPr="00A67277" w:rsidRDefault="00923319" w:rsidP="00923319">
            <w:pPr>
              <w:pStyle w:val="SchNumber3"/>
              <w:numPr>
                <w:ilvl w:val="0"/>
                <w:numId w:val="633"/>
              </w:numPr>
              <w:tabs>
                <w:tab w:val="clear" w:pos="2146"/>
              </w:tabs>
              <w:spacing w:before="120" w:after="120"/>
              <w:ind w:left="557" w:hanging="532"/>
              <w:rPr>
                <w:rFonts w:cs="Arial"/>
                <w:b/>
              </w:rPr>
            </w:pPr>
            <w:r w:rsidRPr="00A67277">
              <w:rPr>
                <w:rFonts w:cs="Arial"/>
                <w:b/>
              </w:rPr>
              <w:t>Hak Kumulatif dan Penegakkan</w:t>
            </w:r>
          </w:p>
        </w:tc>
      </w:tr>
      <w:tr w:rsidR="00923319" w:rsidRPr="00A67277" w14:paraId="725A6B61" w14:textId="77777777" w:rsidTr="00923319">
        <w:tc>
          <w:tcPr>
            <w:tcW w:w="4949" w:type="dxa"/>
          </w:tcPr>
          <w:p w14:paraId="20DB19EB" w14:textId="77777777" w:rsidR="00923319" w:rsidRPr="00A67277" w:rsidRDefault="00923319" w:rsidP="00923319">
            <w:pPr>
              <w:pStyle w:val="SchNumber2"/>
              <w:numPr>
                <w:ilvl w:val="1"/>
                <w:numId w:val="643"/>
              </w:numPr>
              <w:spacing w:before="120" w:after="120"/>
              <w:ind w:left="702" w:hanging="702"/>
              <w:rPr>
                <w:rFonts w:cs="Arial"/>
              </w:rPr>
            </w:pPr>
            <w:r w:rsidRPr="00A67277">
              <w:rPr>
                <w:rFonts w:cs="Arial"/>
              </w:rPr>
              <w:t>Any right and remedy given in this Agreement either for the benefit of GCA or IBE or Independent Supervisor Consultant is cumulative and separate from any other right or remedy that may be available to GCA and IBE.</w:t>
            </w:r>
          </w:p>
        </w:tc>
        <w:tc>
          <w:tcPr>
            <w:tcW w:w="236" w:type="dxa"/>
          </w:tcPr>
          <w:p w14:paraId="107E053F" w14:textId="77777777" w:rsidR="00923319" w:rsidRPr="00A67277" w:rsidRDefault="00923319" w:rsidP="00923319">
            <w:pPr>
              <w:spacing w:before="120" w:after="120"/>
              <w:rPr>
                <w:rFonts w:ascii="Arial" w:hAnsi="Arial" w:cs="Arial"/>
                <w:sz w:val="21"/>
                <w:szCs w:val="21"/>
              </w:rPr>
            </w:pPr>
          </w:p>
        </w:tc>
        <w:tc>
          <w:tcPr>
            <w:tcW w:w="4526" w:type="dxa"/>
          </w:tcPr>
          <w:p w14:paraId="4D9BF031" w14:textId="77777777" w:rsidR="00923319" w:rsidRPr="00A67277" w:rsidRDefault="00923319" w:rsidP="00923319">
            <w:pPr>
              <w:pStyle w:val="SchNumber2"/>
              <w:numPr>
                <w:ilvl w:val="1"/>
                <w:numId w:val="646"/>
              </w:numPr>
              <w:tabs>
                <w:tab w:val="left" w:pos="557"/>
              </w:tabs>
              <w:spacing w:before="120" w:after="120"/>
              <w:ind w:left="557" w:hanging="540"/>
              <w:rPr>
                <w:rFonts w:cs="Arial"/>
                <w:lang w:val="id-ID"/>
              </w:rPr>
            </w:pPr>
            <w:r w:rsidRPr="00A67277">
              <w:rPr>
                <w:rFonts w:cs="Arial"/>
              </w:rPr>
              <w:t>Setiap hak dan perbaikan yang diberikan dalam Perjanjian ini baik untuk kepentingan PJPK atau BUP atau Konsultan Pengawas Independen adalah kumulatif dan terpisah dari hak atau perbaikan lebih lanjut lainnya yang mungkin tersedia bagi PJPK dan BUP.</w:t>
            </w:r>
          </w:p>
        </w:tc>
      </w:tr>
      <w:tr w:rsidR="00923319" w:rsidRPr="00A67277" w14:paraId="1D945F8F" w14:textId="77777777" w:rsidTr="00923319">
        <w:tc>
          <w:tcPr>
            <w:tcW w:w="4949" w:type="dxa"/>
          </w:tcPr>
          <w:p w14:paraId="11D65171" w14:textId="77777777" w:rsidR="00923319" w:rsidRPr="00A67277" w:rsidRDefault="00923319" w:rsidP="00923319">
            <w:pPr>
              <w:pStyle w:val="SchNumber2"/>
              <w:numPr>
                <w:ilvl w:val="1"/>
                <w:numId w:val="643"/>
              </w:numPr>
              <w:spacing w:before="120" w:after="120"/>
              <w:ind w:left="702" w:hanging="702"/>
              <w:rPr>
                <w:rFonts w:cs="Arial"/>
              </w:rPr>
            </w:pPr>
            <w:r w:rsidRPr="00A67277">
              <w:rPr>
                <w:rFonts w:cs="Arial"/>
              </w:rPr>
              <w:t>The duties and obligations of GCA and IBE under this Agreement are separate. None of the provisions of this Agreement may be interpreted to mean that GCA guarantees or is obliged to execute any obligations of IBE (including to make any payment) to the Independent Supervisor Consultant.</w:t>
            </w:r>
          </w:p>
        </w:tc>
        <w:tc>
          <w:tcPr>
            <w:tcW w:w="236" w:type="dxa"/>
          </w:tcPr>
          <w:p w14:paraId="65FF106C" w14:textId="77777777" w:rsidR="00923319" w:rsidRPr="00A67277" w:rsidRDefault="00923319" w:rsidP="00923319">
            <w:pPr>
              <w:spacing w:before="120" w:after="120"/>
              <w:rPr>
                <w:rFonts w:ascii="Arial" w:hAnsi="Arial" w:cs="Arial"/>
                <w:sz w:val="21"/>
                <w:szCs w:val="21"/>
              </w:rPr>
            </w:pPr>
          </w:p>
        </w:tc>
        <w:tc>
          <w:tcPr>
            <w:tcW w:w="4526" w:type="dxa"/>
          </w:tcPr>
          <w:p w14:paraId="0525FE2B" w14:textId="77777777" w:rsidR="00923319" w:rsidRPr="00A67277" w:rsidRDefault="00923319" w:rsidP="00923319">
            <w:pPr>
              <w:pStyle w:val="SchNumber2"/>
              <w:numPr>
                <w:ilvl w:val="1"/>
                <w:numId w:val="646"/>
              </w:numPr>
              <w:tabs>
                <w:tab w:val="left" w:pos="557"/>
              </w:tabs>
              <w:spacing w:before="120" w:after="120"/>
              <w:ind w:left="557" w:hanging="540"/>
              <w:rPr>
                <w:rFonts w:cs="Arial"/>
              </w:rPr>
            </w:pPr>
            <w:r w:rsidRPr="00A67277">
              <w:rPr>
                <w:rFonts w:cs="Arial"/>
              </w:rPr>
              <w:t>Tugas-tugas dan kewajiban-kewajiban yang dimiliki PJPK dan BUP berdasarkan Perjanjian ini adalah terpisah. Tidak satupun ketentuan dalam Perjanjian ini dapat diartikan bahwa PJPK menjamin atau bernaji untuk melaksankaan setiap kewajiban dari BUP (termasuk untuk melakukan setiap pembayaran) kepada Konsultan Pengawas Independen.</w:t>
            </w:r>
          </w:p>
        </w:tc>
      </w:tr>
      <w:tr w:rsidR="00923319" w:rsidRPr="00A67277" w14:paraId="48753E48" w14:textId="77777777" w:rsidTr="00923319">
        <w:tc>
          <w:tcPr>
            <w:tcW w:w="4949" w:type="dxa"/>
          </w:tcPr>
          <w:p w14:paraId="6022C3AB" w14:textId="77777777" w:rsidR="00923319" w:rsidRPr="00A67277" w:rsidRDefault="00923319" w:rsidP="00923319">
            <w:pPr>
              <w:pStyle w:val="SchNumber2"/>
              <w:numPr>
                <w:ilvl w:val="1"/>
                <w:numId w:val="643"/>
              </w:numPr>
              <w:spacing w:before="120" w:after="120"/>
              <w:ind w:left="702" w:hanging="702"/>
              <w:rPr>
                <w:rFonts w:cs="Arial"/>
              </w:rPr>
            </w:pPr>
            <w:r w:rsidRPr="00A67277">
              <w:rPr>
                <w:rFonts w:cs="Arial"/>
              </w:rPr>
              <w:t>GCA and IBE make a promise to each other that they shall not exclude any right, remedy or grant of rights or take action under this Agreement which will or may reasonably be expected to affect the right, remedy or grant of any other right without each other’s consent, such consent shall not be unreasonably withheld or delayed.</w:t>
            </w:r>
          </w:p>
        </w:tc>
        <w:tc>
          <w:tcPr>
            <w:tcW w:w="236" w:type="dxa"/>
          </w:tcPr>
          <w:p w14:paraId="30B96558" w14:textId="77777777" w:rsidR="00923319" w:rsidRPr="00A67277" w:rsidRDefault="00923319" w:rsidP="00923319">
            <w:pPr>
              <w:spacing w:before="120" w:after="120"/>
              <w:rPr>
                <w:rFonts w:ascii="Arial" w:hAnsi="Arial" w:cs="Arial"/>
                <w:sz w:val="21"/>
                <w:szCs w:val="21"/>
              </w:rPr>
            </w:pPr>
          </w:p>
        </w:tc>
        <w:tc>
          <w:tcPr>
            <w:tcW w:w="4526" w:type="dxa"/>
          </w:tcPr>
          <w:p w14:paraId="53719BDD" w14:textId="77777777" w:rsidR="00923319" w:rsidRPr="00A67277" w:rsidRDefault="00923319" w:rsidP="00923319">
            <w:pPr>
              <w:pStyle w:val="SchNumber2"/>
              <w:numPr>
                <w:ilvl w:val="1"/>
                <w:numId w:val="646"/>
              </w:numPr>
              <w:tabs>
                <w:tab w:val="left" w:pos="557"/>
              </w:tabs>
              <w:spacing w:before="120" w:after="120"/>
              <w:ind w:left="557" w:hanging="540"/>
              <w:rPr>
                <w:rFonts w:cs="Arial"/>
              </w:rPr>
            </w:pPr>
            <w:r w:rsidRPr="00A67277">
              <w:rPr>
                <w:rFonts w:cs="Arial"/>
              </w:rPr>
              <w:t>PJPK dan BUP berjanji satu sama lain bahwa mereka tidak akan mengesampingkan setiap hak, perbaikan atau pemberian hak atau pengambilan tindakan berdasarkan Perjanjian ini yang akan atau dapat secara wajar diperkirakan mungkin mempengaruhi hak, perbaikan atau pemberian hak lainnya tanpa persetujuan tertulis lainnya, persetujuan tersebut tidak dapat secara tidak wajar untuk ditahan atau ditunda.</w:t>
            </w:r>
          </w:p>
        </w:tc>
      </w:tr>
      <w:tr w:rsidR="00923319" w:rsidRPr="00A67277" w14:paraId="5D8DFA48" w14:textId="77777777" w:rsidTr="00923319">
        <w:tc>
          <w:tcPr>
            <w:tcW w:w="4949" w:type="dxa"/>
          </w:tcPr>
          <w:p w14:paraId="54E3378E" w14:textId="77777777" w:rsidR="00923319" w:rsidRPr="00A67277" w:rsidRDefault="00923319" w:rsidP="00923319">
            <w:pPr>
              <w:pStyle w:val="Heading3"/>
              <w:spacing w:before="120" w:after="120"/>
              <w:rPr>
                <w:rFonts w:cs="Arial"/>
              </w:rPr>
            </w:pPr>
            <w:r w:rsidRPr="00A67277">
              <w:rPr>
                <w:rFonts w:cs="Arial"/>
              </w:rPr>
              <w:t>Notifications</w:t>
            </w:r>
          </w:p>
        </w:tc>
        <w:tc>
          <w:tcPr>
            <w:tcW w:w="236" w:type="dxa"/>
          </w:tcPr>
          <w:p w14:paraId="2BD735E7" w14:textId="77777777" w:rsidR="00923319" w:rsidRPr="00A67277" w:rsidRDefault="00923319" w:rsidP="00923319">
            <w:pPr>
              <w:spacing w:before="120" w:after="120"/>
              <w:rPr>
                <w:rFonts w:ascii="Arial" w:hAnsi="Arial" w:cs="Arial"/>
                <w:sz w:val="21"/>
                <w:szCs w:val="21"/>
              </w:rPr>
            </w:pPr>
          </w:p>
        </w:tc>
        <w:tc>
          <w:tcPr>
            <w:tcW w:w="4526" w:type="dxa"/>
          </w:tcPr>
          <w:p w14:paraId="7A3BA74C" w14:textId="77777777" w:rsidR="00923319" w:rsidRPr="00A67277" w:rsidRDefault="00923319" w:rsidP="00923319">
            <w:pPr>
              <w:pStyle w:val="SchNumber3"/>
              <w:numPr>
                <w:ilvl w:val="0"/>
                <w:numId w:val="633"/>
              </w:numPr>
              <w:tabs>
                <w:tab w:val="clear" w:pos="2146"/>
              </w:tabs>
              <w:spacing w:before="120" w:after="120"/>
              <w:ind w:left="557" w:hanging="540"/>
              <w:rPr>
                <w:rFonts w:cs="Arial"/>
                <w:b/>
              </w:rPr>
            </w:pPr>
            <w:r w:rsidRPr="00A67277">
              <w:rPr>
                <w:rFonts w:cs="Arial"/>
                <w:b/>
              </w:rPr>
              <w:t>Pemberitahuan</w:t>
            </w:r>
          </w:p>
        </w:tc>
      </w:tr>
      <w:tr w:rsidR="00923319" w:rsidRPr="00A67277" w14:paraId="5669E39B" w14:textId="77777777" w:rsidTr="00923319">
        <w:tc>
          <w:tcPr>
            <w:tcW w:w="4949" w:type="dxa"/>
          </w:tcPr>
          <w:p w14:paraId="2AC776BF" w14:textId="77777777" w:rsidR="00923319" w:rsidRPr="00A67277" w:rsidRDefault="00923319" w:rsidP="00923319">
            <w:pPr>
              <w:pStyle w:val="SchNumber2"/>
              <w:numPr>
                <w:ilvl w:val="1"/>
                <w:numId w:val="644"/>
              </w:numPr>
              <w:tabs>
                <w:tab w:val="left" w:pos="702"/>
              </w:tabs>
              <w:spacing w:before="120" w:after="120"/>
              <w:ind w:left="702" w:hanging="702"/>
              <w:rPr>
                <w:rFonts w:cs="Arial"/>
              </w:rPr>
            </w:pPr>
            <w:r w:rsidRPr="00A67277">
              <w:rPr>
                <w:rFonts w:cs="Arial"/>
              </w:rPr>
              <w:t>Any notice relating to this Agreement shall be in writing and transmitted by registered mail, courier or facsimile by the Parties to the address below:</w:t>
            </w:r>
          </w:p>
        </w:tc>
        <w:tc>
          <w:tcPr>
            <w:tcW w:w="236" w:type="dxa"/>
          </w:tcPr>
          <w:p w14:paraId="41234804" w14:textId="77777777" w:rsidR="00923319" w:rsidRPr="00A67277" w:rsidRDefault="00923319" w:rsidP="00923319">
            <w:pPr>
              <w:spacing w:before="120" w:after="120"/>
              <w:rPr>
                <w:rFonts w:ascii="Arial" w:hAnsi="Arial" w:cs="Arial"/>
                <w:sz w:val="21"/>
                <w:szCs w:val="21"/>
              </w:rPr>
            </w:pPr>
          </w:p>
        </w:tc>
        <w:tc>
          <w:tcPr>
            <w:tcW w:w="4526" w:type="dxa"/>
          </w:tcPr>
          <w:p w14:paraId="018E9800" w14:textId="77777777" w:rsidR="00923319" w:rsidRPr="00A67277" w:rsidRDefault="00923319" w:rsidP="00923319">
            <w:pPr>
              <w:pStyle w:val="SchNumber2"/>
              <w:numPr>
                <w:ilvl w:val="1"/>
                <w:numId w:val="647"/>
              </w:numPr>
              <w:tabs>
                <w:tab w:val="left" w:pos="557"/>
              </w:tabs>
              <w:spacing w:before="120" w:after="120"/>
              <w:ind w:left="557" w:hanging="540"/>
              <w:rPr>
                <w:rFonts w:cs="Arial"/>
              </w:rPr>
            </w:pPr>
            <w:r w:rsidRPr="00A67277">
              <w:rPr>
                <w:rFonts w:cs="Arial"/>
              </w:rPr>
              <w:t>Segala pemberitahuan yang terkait dengan Perjanjian ini wajib dilakukan secara tertulis dan dikirimkan melalui surat tercatat, kurir atau faksimile oleh Para Pihak ke alamat dibawah ini</w:t>
            </w:r>
          </w:p>
        </w:tc>
      </w:tr>
      <w:tr w:rsidR="00923319" w:rsidRPr="00A67277" w14:paraId="42281CFB" w14:textId="77777777" w:rsidTr="00923319">
        <w:tc>
          <w:tcPr>
            <w:tcW w:w="4949" w:type="dxa"/>
          </w:tcPr>
          <w:p w14:paraId="374DA693" w14:textId="77777777" w:rsidR="00923319" w:rsidRPr="00A67277" w:rsidRDefault="00923319" w:rsidP="00923319">
            <w:pPr>
              <w:pStyle w:val="SchNumber3"/>
              <w:numPr>
                <w:ilvl w:val="0"/>
                <w:numId w:val="648"/>
              </w:numPr>
              <w:spacing w:before="120" w:after="120"/>
              <w:ind w:left="1242" w:hanging="540"/>
              <w:rPr>
                <w:rFonts w:cs="Arial"/>
                <w:b/>
              </w:rPr>
            </w:pPr>
            <w:r w:rsidRPr="00A67277">
              <w:rPr>
                <w:rFonts w:cs="Arial"/>
                <w:b/>
              </w:rPr>
              <w:t>GCA</w:t>
            </w:r>
          </w:p>
          <w:p w14:paraId="38FC1E9C" w14:textId="77777777" w:rsidR="00923319" w:rsidRPr="00A67277" w:rsidRDefault="00923319" w:rsidP="00923319">
            <w:pPr>
              <w:pStyle w:val="SchNumber3"/>
              <w:numPr>
                <w:ilvl w:val="0"/>
                <w:numId w:val="0"/>
              </w:numPr>
              <w:tabs>
                <w:tab w:val="left" w:pos="1242"/>
              </w:tabs>
              <w:spacing w:before="120" w:after="120"/>
              <w:ind w:left="1242"/>
              <w:rPr>
                <w:rFonts w:cs="Arial"/>
              </w:rPr>
            </w:pPr>
            <w:r w:rsidRPr="00A67277">
              <w:rPr>
                <w:rFonts w:cs="Arial"/>
              </w:rPr>
              <w:t>[insert name of GCA]</w:t>
            </w:r>
          </w:p>
          <w:p w14:paraId="3B2F0BE8" w14:textId="77777777" w:rsidR="00923319" w:rsidRPr="00A67277" w:rsidRDefault="00923319" w:rsidP="00923319">
            <w:pPr>
              <w:pStyle w:val="SchNumber3"/>
              <w:numPr>
                <w:ilvl w:val="0"/>
                <w:numId w:val="0"/>
              </w:numPr>
              <w:tabs>
                <w:tab w:val="left" w:pos="1242"/>
              </w:tabs>
              <w:spacing w:before="120" w:after="120"/>
              <w:ind w:left="1242"/>
              <w:rPr>
                <w:rFonts w:cs="Arial"/>
              </w:rPr>
            </w:pPr>
            <w:r w:rsidRPr="00A67277">
              <w:rPr>
                <w:rFonts w:cs="Arial"/>
              </w:rPr>
              <w:t>[Address]</w:t>
            </w:r>
          </w:p>
          <w:p w14:paraId="16E896D4" w14:textId="77777777" w:rsidR="00923319" w:rsidRPr="00A67277" w:rsidRDefault="00923319" w:rsidP="00923319">
            <w:pPr>
              <w:pStyle w:val="SchNumber3"/>
              <w:numPr>
                <w:ilvl w:val="0"/>
                <w:numId w:val="0"/>
              </w:numPr>
              <w:tabs>
                <w:tab w:val="left" w:pos="1242"/>
              </w:tabs>
              <w:spacing w:before="120" w:after="120"/>
              <w:ind w:left="1242"/>
              <w:rPr>
                <w:rFonts w:cs="Arial"/>
              </w:rPr>
            </w:pPr>
            <w:r w:rsidRPr="00A67277">
              <w:rPr>
                <w:rFonts w:cs="Arial"/>
              </w:rPr>
              <w:t>[Telephone]</w:t>
            </w:r>
          </w:p>
          <w:p w14:paraId="73EF0ACB" w14:textId="77777777" w:rsidR="00923319" w:rsidRPr="00A67277" w:rsidRDefault="00923319" w:rsidP="00923319">
            <w:pPr>
              <w:pStyle w:val="SchNumber3"/>
              <w:numPr>
                <w:ilvl w:val="0"/>
                <w:numId w:val="0"/>
              </w:numPr>
              <w:tabs>
                <w:tab w:val="left" w:pos="1242"/>
              </w:tabs>
              <w:spacing w:before="120" w:after="120"/>
              <w:ind w:left="1242"/>
              <w:rPr>
                <w:rFonts w:cs="Arial"/>
              </w:rPr>
            </w:pPr>
            <w:r w:rsidRPr="00A67277">
              <w:rPr>
                <w:rFonts w:cs="Arial"/>
              </w:rPr>
              <w:t>[Facsimile]</w:t>
            </w:r>
          </w:p>
          <w:p w14:paraId="347E0E66" w14:textId="77777777" w:rsidR="00923319" w:rsidRPr="00A67277" w:rsidRDefault="00923319" w:rsidP="00923319">
            <w:pPr>
              <w:pStyle w:val="SchNumber3"/>
              <w:numPr>
                <w:ilvl w:val="0"/>
                <w:numId w:val="0"/>
              </w:numPr>
              <w:tabs>
                <w:tab w:val="left" w:pos="1242"/>
              </w:tabs>
              <w:spacing w:before="120" w:after="120"/>
              <w:ind w:left="1242"/>
              <w:rPr>
                <w:rFonts w:cs="Arial"/>
              </w:rPr>
            </w:pPr>
            <w:r w:rsidRPr="00A67277">
              <w:rPr>
                <w:rFonts w:cs="Arial"/>
              </w:rPr>
              <w:t>[E-Mail]</w:t>
            </w:r>
          </w:p>
          <w:p w14:paraId="62FB343F" w14:textId="77777777" w:rsidR="00923319" w:rsidRPr="00A67277" w:rsidRDefault="00923319" w:rsidP="00923319">
            <w:pPr>
              <w:pStyle w:val="SchNumber3"/>
              <w:numPr>
                <w:ilvl w:val="0"/>
                <w:numId w:val="0"/>
              </w:numPr>
              <w:tabs>
                <w:tab w:val="left" w:pos="1242"/>
              </w:tabs>
              <w:spacing w:before="120" w:after="120"/>
              <w:ind w:left="1242"/>
              <w:rPr>
                <w:rFonts w:cs="Arial"/>
                <w:b/>
              </w:rPr>
            </w:pPr>
            <w:r w:rsidRPr="00A67277">
              <w:rPr>
                <w:rFonts w:cs="Arial"/>
              </w:rPr>
              <w:t>Attn : [***]</w:t>
            </w:r>
          </w:p>
        </w:tc>
        <w:tc>
          <w:tcPr>
            <w:tcW w:w="236" w:type="dxa"/>
          </w:tcPr>
          <w:p w14:paraId="5A1042E1" w14:textId="77777777" w:rsidR="00923319" w:rsidRPr="00A67277" w:rsidRDefault="00923319" w:rsidP="00923319">
            <w:pPr>
              <w:spacing w:before="120" w:after="120"/>
              <w:rPr>
                <w:rFonts w:ascii="Arial" w:hAnsi="Arial" w:cs="Arial"/>
                <w:sz w:val="21"/>
                <w:szCs w:val="21"/>
              </w:rPr>
            </w:pPr>
          </w:p>
        </w:tc>
        <w:tc>
          <w:tcPr>
            <w:tcW w:w="4526" w:type="dxa"/>
          </w:tcPr>
          <w:p w14:paraId="3CE2A474" w14:textId="77777777" w:rsidR="00923319" w:rsidRPr="00A67277" w:rsidRDefault="00923319" w:rsidP="00923319">
            <w:pPr>
              <w:pStyle w:val="SchNumber3"/>
              <w:numPr>
                <w:ilvl w:val="0"/>
                <w:numId w:val="649"/>
              </w:numPr>
              <w:spacing w:before="120" w:after="120"/>
              <w:ind w:left="1097" w:hanging="540"/>
              <w:rPr>
                <w:rFonts w:cs="Arial"/>
                <w:b/>
              </w:rPr>
            </w:pPr>
            <w:r w:rsidRPr="00A67277">
              <w:rPr>
                <w:rFonts w:cs="Arial"/>
                <w:b/>
              </w:rPr>
              <w:t>PJPK</w:t>
            </w:r>
          </w:p>
          <w:p w14:paraId="5DCBD380" w14:textId="77777777" w:rsidR="00923319" w:rsidRPr="00A67277" w:rsidRDefault="00923319" w:rsidP="00923319">
            <w:pPr>
              <w:pStyle w:val="Body3"/>
              <w:spacing w:before="120" w:after="120"/>
              <w:ind w:left="1097"/>
              <w:rPr>
                <w:rFonts w:cs="Arial"/>
              </w:rPr>
            </w:pPr>
            <w:r w:rsidRPr="00A67277">
              <w:rPr>
                <w:rFonts w:cs="Arial"/>
              </w:rPr>
              <w:t>[***]</w:t>
            </w:r>
          </w:p>
          <w:p w14:paraId="6F7DBBC6" w14:textId="77777777" w:rsidR="00923319" w:rsidRPr="00A67277" w:rsidRDefault="00923319" w:rsidP="00923319">
            <w:pPr>
              <w:pStyle w:val="Body3"/>
              <w:spacing w:before="120" w:after="120"/>
              <w:ind w:left="1097"/>
              <w:rPr>
                <w:rFonts w:cs="Arial"/>
              </w:rPr>
            </w:pPr>
            <w:r w:rsidRPr="00A67277">
              <w:rPr>
                <w:rFonts w:cs="Arial"/>
              </w:rPr>
              <w:t>[Alamat]</w:t>
            </w:r>
          </w:p>
          <w:p w14:paraId="459998CF" w14:textId="77777777" w:rsidR="00923319" w:rsidRPr="00A67277" w:rsidRDefault="00923319" w:rsidP="00923319">
            <w:pPr>
              <w:pStyle w:val="Body3"/>
              <w:spacing w:before="120" w:after="120"/>
              <w:ind w:left="1097"/>
              <w:rPr>
                <w:rFonts w:cs="Arial"/>
              </w:rPr>
            </w:pPr>
            <w:r w:rsidRPr="00A67277">
              <w:rPr>
                <w:rFonts w:cs="Arial"/>
              </w:rPr>
              <w:t>[Telp]</w:t>
            </w:r>
          </w:p>
          <w:p w14:paraId="30881D09" w14:textId="10C61D0F" w:rsidR="00923319" w:rsidRDefault="00923319" w:rsidP="00923319">
            <w:pPr>
              <w:pStyle w:val="Body3"/>
              <w:spacing w:before="120" w:after="120"/>
              <w:ind w:left="1097"/>
              <w:rPr>
                <w:rFonts w:cs="Arial"/>
              </w:rPr>
            </w:pPr>
            <w:r w:rsidRPr="00A67277">
              <w:rPr>
                <w:rFonts w:cs="Arial"/>
              </w:rPr>
              <w:t>[Fax]</w:t>
            </w:r>
          </w:p>
          <w:p w14:paraId="1B55885E" w14:textId="08597F85" w:rsidR="00221255" w:rsidRPr="00A67277" w:rsidRDefault="00221255" w:rsidP="00221255">
            <w:pPr>
              <w:pStyle w:val="Body3"/>
              <w:spacing w:before="120" w:after="120"/>
              <w:ind w:left="1097"/>
              <w:rPr>
                <w:rFonts w:cs="Arial"/>
              </w:rPr>
            </w:pPr>
            <w:r w:rsidRPr="00A67277">
              <w:rPr>
                <w:rFonts w:cs="Arial"/>
              </w:rPr>
              <w:t>[</w:t>
            </w:r>
            <w:r>
              <w:rPr>
                <w:rFonts w:cs="Arial"/>
              </w:rPr>
              <w:t>Surel</w:t>
            </w:r>
            <w:r w:rsidRPr="00A67277">
              <w:rPr>
                <w:rFonts w:cs="Arial"/>
              </w:rPr>
              <w:t>]</w:t>
            </w:r>
          </w:p>
          <w:p w14:paraId="70CEA1F5" w14:textId="77777777" w:rsidR="00923319" w:rsidRPr="00A67277" w:rsidRDefault="00923319" w:rsidP="00923319">
            <w:pPr>
              <w:pStyle w:val="Body3"/>
              <w:spacing w:before="120" w:after="120"/>
              <w:ind w:left="1097"/>
              <w:rPr>
                <w:rFonts w:cs="Arial"/>
              </w:rPr>
            </w:pPr>
            <w:r w:rsidRPr="00A67277">
              <w:rPr>
                <w:rFonts w:cs="Arial"/>
              </w:rPr>
              <w:t>U.P : [***]</w:t>
            </w:r>
          </w:p>
        </w:tc>
      </w:tr>
      <w:tr w:rsidR="00923319" w:rsidRPr="00A67277" w14:paraId="541509B1" w14:textId="77777777" w:rsidTr="00923319">
        <w:tc>
          <w:tcPr>
            <w:tcW w:w="4949" w:type="dxa"/>
          </w:tcPr>
          <w:p w14:paraId="17EC8F18" w14:textId="77777777" w:rsidR="00923319" w:rsidRPr="00A67277" w:rsidRDefault="00923319" w:rsidP="00923319">
            <w:pPr>
              <w:pStyle w:val="SchNumber3"/>
              <w:numPr>
                <w:ilvl w:val="0"/>
                <w:numId w:val="648"/>
              </w:numPr>
              <w:spacing w:before="120" w:after="120"/>
              <w:ind w:left="1242" w:hanging="540"/>
              <w:rPr>
                <w:rFonts w:cs="Arial"/>
                <w:b/>
              </w:rPr>
            </w:pPr>
            <w:r w:rsidRPr="00A67277">
              <w:rPr>
                <w:rFonts w:cs="Arial"/>
                <w:b/>
              </w:rPr>
              <w:t>IBE</w:t>
            </w:r>
          </w:p>
          <w:p w14:paraId="693A5140"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[insert name of IBE]</w:t>
            </w:r>
          </w:p>
          <w:p w14:paraId="7D4BF3AA"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[address]</w:t>
            </w:r>
          </w:p>
          <w:p w14:paraId="65CFC4C8"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[Telephone]</w:t>
            </w:r>
          </w:p>
          <w:p w14:paraId="6EBD0897"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[Facsimile]</w:t>
            </w:r>
          </w:p>
          <w:p w14:paraId="64FF842F"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[E-Mail]</w:t>
            </w:r>
          </w:p>
          <w:p w14:paraId="397EFEAE" w14:textId="77777777" w:rsidR="00923319" w:rsidRPr="00A67277" w:rsidRDefault="00923319" w:rsidP="00923319">
            <w:pPr>
              <w:pStyle w:val="SchNumber3"/>
              <w:numPr>
                <w:ilvl w:val="0"/>
                <w:numId w:val="0"/>
              </w:numPr>
              <w:spacing w:before="120" w:after="120"/>
              <w:ind w:left="1242"/>
              <w:rPr>
                <w:rFonts w:cs="Arial"/>
                <w:b/>
              </w:rPr>
            </w:pPr>
            <w:r w:rsidRPr="00A67277">
              <w:rPr>
                <w:rFonts w:cs="Arial"/>
              </w:rPr>
              <w:t>Attn : [***]</w:t>
            </w:r>
          </w:p>
        </w:tc>
        <w:tc>
          <w:tcPr>
            <w:tcW w:w="236" w:type="dxa"/>
          </w:tcPr>
          <w:p w14:paraId="57FD1980" w14:textId="77777777" w:rsidR="00923319" w:rsidRPr="00A67277" w:rsidRDefault="00923319" w:rsidP="00923319">
            <w:pPr>
              <w:spacing w:before="120" w:after="120"/>
              <w:rPr>
                <w:rFonts w:ascii="Arial" w:hAnsi="Arial" w:cs="Arial"/>
                <w:sz w:val="21"/>
                <w:szCs w:val="21"/>
              </w:rPr>
            </w:pPr>
          </w:p>
        </w:tc>
        <w:tc>
          <w:tcPr>
            <w:tcW w:w="4526" w:type="dxa"/>
          </w:tcPr>
          <w:p w14:paraId="23C8177F" w14:textId="77777777" w:rsidR="00923319" w:rsidRPr="00A67277" w:rsidRDefault="00923319" w:rsidP="00923319">
            <w:pPr>
              <w:pStyle w:val="SchNumber3"/>
              <w:numPr>
                <w:ilvl w:val="0"/>
                <w:numId w:val="649"/>
              </w:numPr>
              <w:spacing w:before="120" w:after="120"/>
              <w:ind w:left="1097" w:hanging="540"/>
              <w:rPr>
                <w:rFonts w:cs="Arial"/>
                <w:b/>
              </w:rPr>
            </w:pPr>
            <w:r w:rsidRPr="00A67277">
              <w:rPr>
                <w:rFonts w:cs="Arial"/>
                <w:b/>
              </w:rPr>
              <w:t>BUP</w:t>
            </w:r>
          </w:p>
          <w:p w14:paraId="4E3A2E5D" w14:textId="77777777" w:rsidR="00923319" w:rsidRPr="00A67277" w:rsidRDefault="00923319" w:rsidP="00923319">
            <w:pPr>
              <w:pStyle w:val="Body3"/>
              <w:spacing w:before="120" w:after="120"/>
              <w:ind w:left="1097"/>
              <w:rPr>
                <w:rFonts w:cs="Arial"/>
              </w:rPr>
            </w:pPr>
            <w:r w:rsidRPr="00A67277">
              <w:rPr>
                <w:rFonts w:cs="Arial"/>
              </w:rPr>
              <w:t>[***]</w:t>
            </w:r>
          </w:p>
          <w:p w14:paraId="29118DB6" w14:textId="77777777" w:rsidR="00923319" w:rsidRPr="00A67277" w:rsidRDefault="00923319" w:rsidP="00923319">
            <w:pPr>
              <w:pStyle w:val="Body3"/>
              <w:spacing w:before="120" w:after="120"/>
              <w:ind w:left="1097"/>
              <w:rPr>
                <w:rFonts w:cs="Arial"/>
              </w:rPr>
            </w:pPr>
            <w:r w:rsidRPr="00A67277">
              <w:rPr>
                <w:rFonts w:cs="Arial"/>
              </w:rPr>
              <w:t>[Alamat]</w:t>
            </w:r>
          </w:p>
          <w:p w14:paraId="2176567C" w14:textId="77777777" w:rsidR="00923319" w:rsidRPr="00A67277" w:rsidRDefault="00923319" w:rsidP="00923319">
            <w:pPr>
              <w:pStyle w:val="Body3"/>
              <w:spacing w:before="120" w:after="120"/>
              <w:ind w:left="1097"/>
              <w:rPr>
                <w:rFonts w:cs="Arial"/>
              </w:rPr>
            </w:pPr>
            <w:r w:rsidRPr="00A67277">
              <w:rPr>
                <w:rFonts w:cs="Arial"/>
              </w:rPr>
              <w:t>[Telp]</w:t>
            </w:r>
          </w:p>
          <w:p w14:paraId="53E0A4F1" w14:textId="324F1643" w:rsidR="00923319" w:rsidRDefault="00923319" w:rsidP="00923319">
            <w:pPr>
              <w:pStyle w:val="Body3"/>
              <w:spacing w:before="120" w:after="120"/>
              <w:ind w:left="1097"/>
              <w:rPr>
                <w:rFonts w:cs="Arial"/>
              </w:rPr>
            </w:pPr>
            <w:r w:rsidRPr="00A67277">
              <w:rPr>
                <w:rFonts w:cs="Arial"/>
              </w:rPr>
              <w:t>[Fax]</w:t>
            </w:r>
          </w:p>
          <w:p w14:paraId="1F15CC4D" w14:textId="12767ACD" w:rsidR="00221255" w:rsidRPr="00A67277" w:rsidRDefault="00221255" w:rsidP="00221255">
            <w:pPr>
              <w:pStyle w:val="Body3"/>
              <w:spacing w:before="120" w:after="120"/>
              <w:ind w:left="1097"/>
              <w:rPr>
                <w:rFonts w:cs="Arial"/>
              </w:rPr>
            </w:pPr>
            <w:r w:rsidRPr="00A67277">
              <w:rPr>
                <w:rFonts w:cs="Arial"/>
              </w:rPr>
              <w:t>[</w:t>
            </w:r>
            <w:r>
              <w:rPr>
                <w:rFonts w:cs="Arial"/>
              </w:rPr>
              <w:t>Surel</w:t>
            </w:r>
            <w:r w:rsidRPr="00A67277">
              <w:rPr>
                <w:rFonts w:cs="Arial"/>
              </w:rPr>
              <w:t>]</w:t>
            </w:r>
          </w:p>
          <w:p w14:paraId="6C249FD8" w14:textId="77777777" w:rsidR="00923319" w:rsidRPr="00A67277" w:rsidRDefault="00923319" w:rsidP="00923319">
            <w:pPr>
              <w:pStyle w:val="Body3"/>
              <w:spacing w:before="120" w:after="120"/>
              <w:ind w:left="1097"/>
              <w:rPr>
                <w:rFonts w:cs="Arial"/>
                <w:b/>
              </w:rPr>
            </w:pPr>
            <w:r w:rsidRPr="00A67277">
              <w:rPr>
                <w:rFonts w:cs="Arial"/>
              </w:rPr>
              <w:t>U.P : [***]</w:t>
            </w:r>
          </w:p>
        </w:tc>
      </w:tr>
      <w:tr w:rsidR="00923319" w:rsidRPr="00A67277" w14:paraId="31C5A783" w14:textId="77777777" w:rsidTr="00923319">
        <w:tc>
          <w:tcPr>
            <w:tcW w:w="4949" w:type="dxa"/>
          </w:tcPr>
          <w:p w14:paraId="4621BE9E" w14:textId="77777777" w:rsidR="00923319" w:rsidRPr="00A67277" w:rsidRDefault="00923319" w:rsidP="00923319">
            <w:pPr>
              <w:pStyle w:val="SchNumber3"/>
              <w:numPr>
                <w:ilvl w:val="0"/>
                <w:numId w:val="648"/>
              </w:numPr>
              <w:spacing w:before="120" w:after="120"/>
              <w:ind w:left="1242" w:hanging="540"/>
              <w:rPr>
                <w:rFonts w:cs="Arial"/>
                <w:b/>
              </w:rPr>
            </w:pPr>
            <w:r w:rsidRPr="00A67277">
              <w:rPr>
                <w:rFonts w:cs="Arial"/>
                <w:b/>
              </w:rPr>
              <w:t>Independent Supervisor Consultant</w:t>
            </w:r>
          </w:p>
          <w:p w14:paraId="179A7BC8"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[insert name of Independent Supervisor Consultant]</w:t>
            </w:r>
          </w:p>
          <w:p w14:paraId="1C8B6CF8"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[Address]</w:t>
            </w:r>
          </w:p>
          <w:p w14:paraId="2BE01A3F"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[Telephone]</w:t>
            </w:r>
          </w:p>
          <w:p w14:paraId="4F5BA68C"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[Facsimile]</w:t>
            </w:r>
          </w:p>
          <w:p w14:paraId="0A112387" w14:textId="77777777" w:rsidR="00923319" w:rsidRPr="00A67277" w:rsidRDefault="00923319" w:rsidP="00923319">
            <w:pPr>
              <w:pStyle w:val="SchNumber3"/>
              <w:numPr>
                <w:ilvl w:val="0"/>
                <w:numId w:val="0"/>
              </w:numPr>
              <w:spacing w:before="120" w:after="120"/>
              <w:ind w:left="1242"/>
              <w:rPr>
                <w:rFonts w:cs="Arial"/>
              </w:rPr>
            </w:pPr>
            <w:r w:rsidRPr="00A67277">
              <w:rPr>
                <w:rFonts w:cs="Arial"/>
              </w:rPr>
              <w:t>[E-Mail]</w:t>
            </w:r>
          </w:p>
          <w:p w14:paraId="4E8C9D47" w14:textId="77777777" w:rsidR="00923319" w:rsidRPr="00A67277" w:rsidRDefault="00923319" w:rsidP="00923319">
            <w:pPr>
              <w:pStyle w:val="SchNumber3"/>
              <w:numPr>
                <w:ilvl w:val="0"/>
                <w:numId w:val="0"/>
              </w:numPr>
              <w:spacing w:before="120" w:after="120"/>
              <w:ind w:left="1242"/>
              <w:rPr>
                <w:rFonts w:cs="Arial"/>
                <w:b/>
              </w:rPr>
            </w:pPr>
            <w:r w:rsidRPr="00A67277">
              <w:rPr>
                <w:rFonts w:cs="Arial"/>
              </w:rPr>
              <w:t>Attn : [***]</w:t>
            </w:r>
          </w:p>
        </w:tc>
        <w:tc>
          <w:tcPr>
            <w:tcW w:w="236" w:type="dxa"/>
          </w:tcPr>
          <w:p w14:paraId="037A7F38" w14:textId="77777777" w:rsidR="00923319" w:rsidRPr="00A67277" w:rsidRDefault="00923319" w:rsidP="00923319">
            <w:pPr>
              <w:spacing w:before="120" w:after="120"/>
              <w:rPr>
                <w:rFonts w:ascii="Arial" w:hAnsi="Arial" w:cs="Arial"/>
                <w:sz w:val="21"/>
                <w:szCs w:val="21"/>
              </w:rPr>
            </w:pPr>
          </w:p>
        </w:tc>
        <w:tc>
          <w:tcPr>
            <w:tcW w:w="4526" w:type="dxa"/>
          </w:tcPr>
          <w:p w14:paraId="0D6F3354" w14:textId="77777777" w:rsidR="00923319" w:rsidRPr="00A67277" w:rsidRDefault="00923319" w:rsidP="00923319">
            <w:pPr>
              <w:pStyle w:val="SchNumber3"/>
              <w:numPr>
                <w:ilvl w:val="0"/>
                <w:numId w:val="649"/>
              </w:numPr>
              <w:spacing w:before="120" w:after="120"/>
              <w:ind w:left="1097" w:hanging="540"/>
              <w:rPr>
                <w:rFonts w:cs="Arial"/>
                <w:b/>
              </w:rPr>
            </w:pPr>
            <w:r w:rsidRPr="00A67277">
              <w:rPr>
                <w:rFonts w:cs="Arial"/>
                <w:b/>
              </w:rPr>
              <w:t>Konsultan Pengawas Independen</w:t>
            </w:r>
          </w:p>
          <w:p w14:paraId="7E10E8E4" w14:textId="77777777" w:rsidR="00923319" w:rsidRPr="00A67277" w:rsidRDefault="00923319" w:rsidP="00923319">
            <w:pPr>
              <w:pStyle w:val="Body3"/>
              <w:spacing w:before="120" w:after="120"/>
              <w:ind w:left="1097"/>
              <w:rPr>
                <w:rFonts w:cs="Arial"/>
              </w:rPr>
            </w:pPr>
            <w:r w:rsidRPr="00A67277">
              <w:rPr>
                <w:rFonts w:cs="Arial"/>
              </w:rPr>
              <w:t>[***]</w:t>
            </w:r>
          </w:p>
          <w:p w14:paraId="69C368B0" w14:textId="77777777" w:rsidR="00923319" w:rsidRPr="00A67277" w:rsidRDefault="00923319" w:rsidP="00923319">
            <w:pPr>
              <w:pStyle w:val="Body3"/>
              <w:spacing w:before="120" w:after="120"/>
              <w:ind w:left="1097"/>
              <w:rPr>
                <w:rFonts w:cs="Arial"/>
              </w:rPr>
            </w:pPr>
            <w:r w:rsidRPr="00A67277">
              <w:rPr>
                <w:rFonts w:cs="Arial"/>
              </w:rPr>
              <w:t>[Alamat]</w:t>
            </w:r>
          </w:p>
          <w:p w14:paraId="08941D81" w14:textId="77777777" w:rsidR="00923319" w:rsidRPr="00A67277" w:rsidRDefault="00923319" w:rsidP="00923319">
            <w:pPr>
              <w:pStyle w:val="Body3"/>
              <w:spacing w:before="120" w:after="120"/>
              <w:ind w:left="1097"/>
              <w:rPr>
                <w:rFonts w:cs="Arial"/>
              </w:rPr>
            </w:pPr>
            <w:r w:rsidRPr="00A67277">
              <w:rPr>
                <w:rFonts w:cs="Arial"/>
              </w:rPr>
              <w:t>[Telp]</w:t>
            </w:r>
          </w:p>
          <w:p w14:paraId="353C911D" w14:textId="6651C284" w:rsidR="00923319" w:rsidRDefault="00923319" w:rsidP="00923319">
            <w:pPr>
              <w:pStyle w:val="Body3"/>
              <w:spacing w:before="120" w:after="120"/>
              <w:ind w:left="1097"/>
              <w:rPr>
                <w:rFonts w:cs="Arial"/>
              </w:rPr>
            </w:pPr>
            <w:r w:rsidRPr="00A67277">
              <w:rPr>
                <w:rFonts w:cs="Arial"/>
              </w:rPr>
              <w:t>[Fax]</w:t>
            </w:r>
          </w:p>
          <w:p w14:paraId="69A03D0F" w14:textId="6EA3E5B6" w:rsidR="00221255" w:rsidRPr="00A67277" w:rsidRDefault="00221255" w:rsidP="00221255">
            <w:pPr>
              <w:pStyle w:val="Body3"/>
              <w:spacing w:before="120" w:after="120"/>
              <w:ind w:left="1097"/>
              <w:rPr>
                <w:rFonts w:cs="Arial"/>
              </w:rPr>
            </w:pPr>
            <w:r w:rsidRPr="00A67277">
              <w:rPr>
                <w:rFonts w:cs="Arial"/>
              </w:rPr>
              <w:t>[</w:t>
            </w:r>
            <w:r>
              <w:rPr>
                <w:rFonts w:cs="Arial"/>
              </w:rPr>
              <w:t>Surel</w:t>
            </w:r>
            <w:r w:rsidRPr="00A67277">
              <w:rPr>
                <w:rFonts w:cs="Arial"/>
              </w:rPr>
              <w:t>]</w:t>
            </w:r>
          </w:p>
          <w:p w14:paraId="6F97E8AA" w14:textId="77777777" w:rsidR="00923319" w:rsidRPr="00A67277" w:rsidRDefault="00923319" w:rsidP="00923319">
            <w:pPr>
              <w:pStyle w:val="Body3"/>
              <w:spacing w:before="120" w:after="120"/>
              <w:ind w:left="1097"/>
              <w:rPr>
                <w:rFonts w:cs="Arial"/>
                <w:b/>
              </w:rPr>
            </w:pPr>
            <w:r w:rsidRPr="00A67277">
              <w:rPr>
                <w:rFonts w:cs="Arial"/>
              </w:rPr>
              <w:t>U.P : [***]</w:t>
            </w:r>
          </w:p>
        </w:tc>
      </w:tr>
      <w:tr w:rsidR="00923319" w:rsidRPr="00A67277" w14:paraId="006149B0" w14:textId="77777777" w:rsidTr="00923319">
        <w:tc>
          <w:tcPr>
            <w:tcW w:w="4949" w:type="dxa"/>
          </w:tcPr>
          <w:p w14:paraId="06B819D8" w14:textId="77777777" w:rsidR="00923319" w:rsidRPr="00A67277" w:rsidRDefault="00923319" w:rsidP="00923319">
            <w:pPr>
              <w:pStyle w:val="SchNumber2"/>
              <w:numPr>
                <w:ilvl w:val="1"/>
                <w:numId w:val="644"/>
              </w:numPr>
              <w:tabs>
                <w:tab w:val="left" w:pos="702"/>
              </w:tabs>
              <w:spacing w:before="120" w:after="120"/>
              <w:ind w:left="702" w:hanging="702"/>
              <w:rPr>
                <w:rFonts w:cs="Arial"/>
              </w:rPr>
            </w:pPr>
            <w:r w:rsidRPr="00A67277">
              <w:rPr>
                <w:rFonts w:cs="Arial"/>
              </w:rPr>
              <w:t>If the above address has changed, each Party shall notify each other within no later than two (2) Business Days effective from the date the address is changed.</w:t>
            </w:r>
          </w:p>
        </w:tc>
        <w:tc>
          <w:tcPr>
            <w:tcW w:w="236" w:type="dxa"/>
          </w:tcPr>
          <w:p w14:paraId="5FC4315C" w14:textId="77777777" w:rsidR="00923319" w:rsidRPr="00A67277" w:rsidRDefault="00923319" w:rsidP="00923319">
            <w:pPr>
              <w:spacing w:before="120" w:after="120"/>
              <w:rPr>
                <w:rFonts w:ascii="Arial" w:hAnsi="Arial" w:cs="Arial"/>
                <w:sz w:val="21"/>
                <w:szCs w:val="21"/>
              </w:rPr>
            </w:pPr>
          </w:p>
        </w:tc>
        <w:tc>
          <w:tcPr>
            <w:tcW w:w="4526" w:type="dxa"/>
          </w:tcPr>
          <w:p w14:paraId="04A6719D" w14:textId="77777777" w:rsidR="00923319" w:rsidRPr="00A67277" w:rsidRDefault="00923319" w:rsidP="00923319">
            <w:pPr>
              <w:pStyle w:val="SchNumber2"/>
              <w:numPr>
                <w:ilvl w:val="1"/>
                <w:numId w:val="647"/>
              </w:numPr>
              <w:tabs>
                <w:tab w:val="left" w:pos="557"/>
              </w:tabs>
              <w:spacing w:before="120" w:after="120"/>
              <w:ind w:left="557" w:hanging="540"/>
              <w:rPr>
                <w:rFonts w:cs="Arial"/>
              </w:rPr>
            </w:pPr>
            <w:r w:rsidRPr="00A67277">
              <w:rPr>
                <w:rFonts w:cs="Arial"/>
              </w:rPr>
              <w:t>Apabila alamat tersebut diatas mengalami perubahan maka masing-masing Pihak wajib untuk saling memberitahukan dalam waktu selambat-lambatnya dua (2) Hari Kerja terhitung sejak efektif alamat tersebut berubah.</w:t>
            </w:r>
          </w:p>
        </w:tc>
      </w:tr>
      <w:tr w:rsidR="00923319" w:rsidRPr="00A67277" w14:paraId="4FC5B284" w14:textId="77777777" w:rsidTr="00923319">
        <w:tc>
          <w:tcPr>
            <w:tcW w:w="4949" w:type="dxa"/>
          </w:tcPr>
          <w:p w14:paraId="2F549A83" w14:textId="77777777" w:rsidR="00923319" w:rsidRPr="00A67277" w:rsidRDefault="00923319" w:rsidP="00923319">
            <w:pPr>
              <w:pStyle w:val="Heading3"/>
              <w:spacing w:before="120" w:after="120"/>
              <w:rPr>
                <w:rFonts w:cs="Arial"/>
              </w:rPr>
            </w:pPr>
            <w:r w:rsidRPr="00A67277">
              <w:rPr>
                <w:rFonts w:cs="Arial"/>
              </w:rPr>
              <w:t>Payment and Taxes</w:t>
            </w:r>
          </w:p>
        </w:tc>
        <w:tc>
          <w:tcPr>
            <w:tcW w:w="236" w:type="dxa"/>
          </w:tcPr>
          <w:p w14:paraId="5BB8688F" w14:textId="77777777" w:rsidR="00923319" w:rsidRPr="00A67277" w:rsidRDefault="00923319" w:rsidP="00923319">
            <w:pPr>
              <w:spacing w:before="120" w:after="120"/>
              <w:rPr>
                <w:rFonts w:ascii="Arial" w:hAnsi="Arial" w:cs="Arial"/>
                <w:sz w:val="21"/>
                <w:szCs w:val="21"/>
              </w:rPr>
            </w:pPr>
          </w:p>
        </w:tc>
        <w:tc>
          <w:tcPr>
            <w:tcW w:w="4526" w:type="dxa"/>
          </w:tcPr>
          <w:p w14:paraId="4C901D6D" w14:textId="77777777" w:rsidR="00923319" w:rsidRPr="00A67277" w:rsidRDefault="00923319" w:rsidP="00923319">
            <w:pPr>
              <w:pStyle w:val="SchNumber3"/>
              <w:numPr>
                <w:ilvl w:val="0"/>
                <w:numId w:val="633"/>
              </w:numPr>
              <w:tabs>
                <w:tab w:val="clear" w:pos="2146"/>
              </w:tabs>
              <w:spacing w:before="120" w:after="120"/>
              <w:ind w:left="557" w:hanging="532"/>
              <w:rPr>
                <w:rFonts w:cs="Arial"/>
                <w:b/>
              </w:rPr>
            </w:pPr>
            <w:r w:rsidRPr="00A67277">
              <w:rPr>
                <w:rFonts w:cs="Arial"/>
                <w:b/>
              </w:rPr>
              <w:t>Pembayaran dan Perpajakan</w:t>
            </w:r>
          </w:p>
        </w:tc>
      </w:tr>
      <w:tr w:rsidR="00923319" w:rsidRPr="00A67277" w14:paraId="08583BBB" w14:textId="77777777" w:rsidTr="00923319">
        <w:tc>
          <w:tcPr>
            <w:tcW w:w="4949" w:type="dxa"/>
          </w:tcPr>
          <w:p w14:paraId="6E5E5C93" w14:textId="77777777" w:rsidR="00923319" w:rsidRPr="00A67277" w:rsidRDefault="00923319" w:rsidP="00923319">
            <w:pPr>
              <w:pStyle w:val="SchNumber2"/>
              <w:spacing w:before="120" w:after="120"/>
              <w:rPr>
                <w:rFonts w:cs="Arial"/>
              </w:rPr>
            </w:pPr>
            <w:r w:rsidRPr="00A67277">
              <w:rPr>
                <w:rFonts w:cs="Arial"/>
              </w:rPr>
              <w:t>Payment</w:t>
            </w:r>
          </w:p>
        </w:tc>
        <w:tc>
          <w:tcPr>
            <w:tcW w:w="236" w:type="dxa"/>
          </w:tcPr>
          <w:p w14:paraId="35125F73" w14:textId="77777777" w:rsidR="00923319" w:rsidRPr="00A67277" w:rsidRDefault="00923319" w:rsidP="00923319">
            <w:pPr>
              <w:spacing w:before="120" w:after="120"/>
              <w:rPr>
                <w:rFonts w:ascii="Arial" w:hAnsi="Arial" w:cs="Arial"/>
                <w:sz w:val="21"/>
                <w:szCs w:val="21"/>
              </w:rPr>
            </w:pPr>
          </w:p>
        </w:tc>
        <w:tc>
          <w:tcPr>
            <w:tcW w:w="4526" w:type="dxa"/>
          </w:tcPr>
          <w:p w14:paraId="1CE495EC" w14:textId="77777777" w:rsidR="00923319" w:rsidRPr="00A67277" w:rsidRDefault="00923319" w:rsidP="00923319">
            <w:pPr>
              <w:pStyle w:val="SchNumber2"/>
              <w:numPr>
                <w:ilvl w:val="1"/>
                <w:numId w:val="650"/>
              </w:numPr>
              <w:spacing w:before="120" w:after="120"/>
              <w:ind w:left="557" w:hanging="540"/>
              <w:rPr>
                <w:rFonts w:cs="Arial"/>
              </w:rPr>
            </w:pPr>
            <w:r w:rsidRPr="00A67277">
              <w:rPr>
                <w:rFonts w:cs="Arial"/>
              </w:rPr>
              <w:t>Pembayaran</w:t>
            </w:r>
          </w:p>
        </w:tc>
      </w:tr>
      <w:tr w:rsidR="00923319" w:rsidRPr="00A67277" w14:paraId="2813DEA6" w14:textId="77777777" w:rsidTr="00923319">
        <w:tc>
          <w:tcPr>
            <w:tcW w:w="4949" w:type="dxa"/>
          </w:tcPr>
          <w:p w14:paraId="3BF822DD" w14:textId="1432A6D6" w:rsidR="00923319" w:rsidRPr="00A67277" w:rsidRDefault="00923319" w:rsidP="00923319">
            <w:pPr>
              <w:pStyle w:val="Body2"/>
              <w:spacing w:before="120" w:after="120"/>
              <w:rPr>
                <w:rFonts w:cs="Arial"/>
              </w:rPr>
            </w:pPr>
            <w:r w:rsidRPr="00A67277">
              <w:rPr>
                <w:rFonts w:cs="Arial"/>
              </w:rPr>
              <w:t xml:space="preserve">All the payments under this Agreement to each party shall be made in Indonesian Rupiah by way of funds transfer for value on the concerned day to the account of the </w:t>
            </w:r>
            <w:r w:rsidRPr="00A67277">
              <w:rPr>
                <w:rFonts w:cs="Arial"/>
                <w:lang w:val="id-ID"/>
              </w:rPr>
              <w:t>recipient’s</w:t>
            </w:r>
            <w:r w:rsidRPr="00A67277">
              <w:rPr>
                <w:rFonts w:cs="Arial"/>
              </w:rPr>
              <w:t xml:space="preserve"> bank (located in Indonesia) described to other parties from time to time.</w:t>
            </w:r>
          </w:p>
        </w:tc>
        <w:tc>
          <w:tcPr>
            <w:tcW w:w="236" w:type="dxa"/>
          </w:tcPr>
          <w:p w14:paraId="395E5F63" w14:textId="77777777" w:rsidR="00923319" w:rsidRPr="00A67277" w:rsidRDefault="00923319" w:rsidP="00923319">
            <w:pPr>
              <w:spacing w:before="120" w:after="120"/>
              <w:rPr>
                <w:rFonts w:ascii="Arial" w:hAnsi="Arial" w:cs="Arial"/>
                <w:sz w:val="21"/>
                <w:szCs w:val="21"/>
              </w:rPr>
            </w:pPr>
          </w:p>
        </w:tc>
        <w:tc>
          <w:tcPr>
            <w:tcW w:w="4526" w:type="dxa"/>
          </w:tcPr>
          <w:p w14:paraId="747E3067"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Seluruh pembayaran berdasarkan Perjanjian ini kepada setiap pihak dibuat dalam Rupiah Indonesia melalui transfer dana untuk nilai pada hari yang bersangkutan ke rekening bank penerima (yang berlokasi di Indonesia) yang dijelaskan kepada pihak lain dari waktu ke waktu.</w:t>
            </w:r>
          </w:p>
        </w:tc>
      </w:tr>
      <w:tr w:rsidR="00923319" w:rsidRPr="00A67277" w14:paraId="3354891E" w14:textId="77777777" w:rsidTr="00923319">
        <w:tc>
          <w:tcPr>
            <w:tcW w:w="4949" w:type="dxa"/>
          </w:tcPr>
          <w:p w14:paraId="1D514A44" w14:textId="77777777" w:rsidR="00923319" w:rsidRPr="00A67277" w:rsidRDefault="00923319" w:rsidP="00923319">
            <w:pPr>
              <w:pStyle w:val="SchNumber2"/>
              <w:spacing w:before="120" w:after="120"/>
              <w:rPr>
                <w:rFonts w:cs="Arial"/>
              </w:rPr>
            </w:pPr>
            <w:r w:rsidRPr="00A67277">
              <w:rPr>
                <w:rFonts w:cs="Arial"/>
              </w:rPr>
              <w:t>Value-added Tax</w:t>
            </w:r>
          </w:p>
        </w:tc>
        <w:tc>
          <w:tcPr>
            <w:tcW w:w="236" w:type="dxa"/>
          </w:tcPr>
          <w:p w14:paraId="529AE2E0" w14:textId="77777777" w:rsidR="00923319" w:rsidRPr="00A67277" w:rsidRDefault="00923319" w:rsidP="00923319">
            <w:pPr>
              <w:spacing w:before="120" w:after="120"/>
              <w:rPr>
                <w:rFonts w:ascii="Arial" w:hAnsi="Arial" w:cs="Arial"/>
                <w:sz w:val="21"/>
                <w:szCs w:val="21"/>
              </w:rPr>
            </w:pPr>
          </w:p>
        </w:tc>
        <w:tc>
          <w:tcPr>
            <w:tcW w:w="4526" w:type="dxa"/>
          </w:tcPr>
          <w:p w14:paraId="1AFE92DB" w14:textId="77777777" w:rsidR="00923319" w:rsidRPr="00A67277" w:rsidRDefault="00923319" w:rsidP="00923319">
            <w:pPr>
              <w:pStyle w:val="SchNumber2"/>
              <w:numPr>
                <w:ilvl w:val="1"/>
                <w:numId w:val="650"/>
              </w:numPr>
              <w:spacing w:before="120" w:after="120"/>
              <w:ind w:left="592" w:hanging="592"/>
              <w:rPr>
                <w:rFonts w:cs="Arial"/>
                <w:lang w:val="id-ID"/>
              </w:rPr>
            </w:pPr>
            <w:r w:rsidRPr="00A67277">
              <w:rPr>
                <w:rFonts w:cs="Arial"/>
              </w:rPr>
              <w:t>Pajak Pertambahan Nilai</w:t>
            </w:r>
          </w:p>
        </w:tc>
      </w:tr>
      <w:tr w:rsidR="00923319" w:rsidRPr="00A67277" w14:paraId="3FE73DF8" w14:textId="77777777" w:rsidTr="00923319">
        <w:tc>
          <w:tcPr>
            <w:tcW w:w="4949" w:type="dxa"/>
          </w:tcPr>
          <w:p w14:paraId="4D1D0828" w14:textId="77777777" w:rsidR="00923319" w:rsidRPr="00A67277" w:rsidRDefault="00923319" w:rsidP="00923319">
            <w:pPr>
              <w:pStyle w:val="SchNumber3"/>
              <w:numPr>
                <w:ilvl w:val="0"/>
                <w:numId w:val="651"/>
              </w:numPr>
              <w:tabs>
                <w:tab w:val="left" w:pos="1306"/>
              </w:tabs>
              <w:spacing w:before="120" w:after="120"/>
              <w:ind w:left="1306" w:hanging="567"/>
              <w:rPr>
                <w:rFonts w:cs="Arial"/>
              </w:rPr>
            </w:pPr>
            <w:r w:rsidRPr="00A67277">
              <w:rPr>
                <w:rFonts w:cs="Arial"/>
              </w:rPr>
              <w:t>Any value-added tax in respect of the cost of the Independent Supervisor Consultant services to be paid by IBE shall be stipulated in accordance with an agreement between IBE and Independent Supervisor Consultant.</w:t>
            </w:r>
          </w:p>
        </w:tc>
        <w:tc>
          <w:tcPr>
            <w:tcW w:w="236" w:type="dxa"/>
          </w:tcPr>
          <w:p w14:paraId="6DCED293" w14:textId="77777777" w:rsidR="00923319" w:rsidRPr="00A67277" w:rsidRDefault="00923319" w:rsidP="00923319">
            <w:pPr>
              <w:spacing w:before="120" w:after="120"/>
              <w:rPr>
                <w:rFonts w:ascii="Arial" w:hAnsi="Arial" w:cs="Arial"/>
                <w:sz w:val="21"/>
                <w:szCs w:val="21"/>
              </w:rPr>
            </w:pPr>
          </w:p>
        </w:tc>
        <w:tc>
          <w:tcPr>
            <w:tcW w:w="4526" w:type="dxa"/>
          </w:tcPr>
          <w:p w14:paraId="32714EC2" w14:textId="77777777" w:rsidR="00923319" w:rsidRPr="00A67277" w:rsidRDefault="00923319" w:rsidP="00923319">
            <w:pPr>
              <w:pStyle w:val="SchNumber3"/>
              <w:numPr>
                <w:ilvl w:val="0"/>
                <w:numId w:val="652"/>
              </w:numPr>
              <w:spacing w:before="120" w:after="120"/>
              <w:ind w:left="1097" w:hanging="505"/>
              <w:rPr>
                <w:rFonts w:cs="Arial"/>
                <w:lang w:val="id-ID"/>
              </w:rPr>
            </w:pPr>
            <w:r w:rsidRPr="00A67277">
              <w:rPr>
                <w:rFonts w:cs="Arial"/>
              </w:rPr>
              <w:t>Setiap pajak pertambahan nilai sehubungan biaya jasa Konsultan Pengawas Independen yang harus dibayar oleh BUP diatur sesuai dengan kesepakatan diantara BUP dan Konsultan Pengawas Independen.</w:t>
            </w:r>
          </w:p>
        </w:tc>
      </w:tr>
      <w:tr w:rsidR="00923319" w:rsidRPr="00A67277" w14:paraId="61FF3E6C" w14:textId="77777777" w:rsidTr="00923319">
        <w:tc>
          <w:tcPr>
            <w:tcW w:w="4949" w:type="dxa"/>
          </w:tcPr>
          <w:p w14:paraId="2541369A" w14:textId="77777777" w:rsidR="00923319" w:rsidRPr="00A67277" w:rsidRDefault="00923319" w:rsidP="00923319">
            <w:pPr>
              <w:pStyle w:val="SchNumber3"/>
              <w:numPr>
                <w:ilvl w:val="0"/>
                <w:numId w:val="651"/>
              </w:numPr>
              <w:tabs>
                <w:tab w:val="left" w:pos="1306"/>
              </w:tabs>
              <w:spacing w:before="120" w:after="120"/>
              <w:ind w:left="1306" w:hanging="567"/>
              <w:rPr>
                <w:rFonts w:cs="Arial"/>
              </w:rPr>
            </w:pPr>
            <w:r w:rsidRPr="00A67277">
              <w:rPr>
                <w:rFonts w:cs="Arial"/>
              </w:rPr>
              <w:t>Where applicable, IBE shall pay any value-added tax in respect of the cost of the Independent Consultant services, provided that IBE must have received a valid tax invoice in advance in respect of the service fee in accordance with the requirements of Law Number 42 of 2009 regarding Income Tax Value of Goods and Services and Sales Tax on Luxury Goods.</w:t>
            </w:r>
          </w:p>
        </w:tc>
        <w:tc>
          <w:tcPr>
            <w:tcW w:w="236" w:type="dxa"/>
          </w:tcPr>
          <w:p w14:paraId="51D86DD0" w14:textId="77777777" w:rsidR="00923319" w:rsidRPr="00A67277" w:rsidRDefault="00923319" w:rsidP="00923319">
            <w:pPr>
              <w:spacing w:before="120" w:after="120"/>
              <w:rPr>
                <w:rFonts w:ascii="Arial" w:hAnsi="Arial" w:cs="Arial"/>
                <w:sz w:val="21"/>
                <w:szCs w:val="21"/>
              </w:rPr>
            </w:pPr>
          </w:p>
        </w:tc>
        <w:tc>
          <w:tcPr>
            <w:tcW w:w="4526" w:type="dxa"/>
          </w:tcPr>
          <w:p w14:paraId="76F9A36B" w14:textId="77777777" w:rsidR="00923319" w:rsidRPr="00A67277" w:rsidRDefault="00923319" w:rsidP="00923319">
            <w:pPr>
              <w:pStyle w:val="SchNumber3"/>
              <w:numPr>
                <w:ilvl w:val="0"/>
                <w:numId w:val="652"/>
              </w:numPr>
              <w:spacing w:before="120" w:after="120"/>
              <w:ind w:left="1097" w:hanging="505"/>
              <w:rPr>
                <w:rFonts w:cs="Arial"/>
                <w:lang w:val="id-ID"/>
              </w:rPr>
            </w:pPr>
            <w:r w:rsidRPr="00A67277">
              <w:rPr>
                <w:rFonts w:cs="Arial"/>
              </w:rPr>
              <w:t xml:space="preserve">Sepanjang berlaku, BUP harus membayar setiap pajak pertambahan nilai sehubungan biaya jasa Konsultan Pengawas Independen, dengan ketentuan bahwa BUP harus telah menerima faktur pajak yang sah terlebih dahulu sehubungan dengan biaya jasa tersebut tersebut sesuai dengan persyaratan dalam Undang-Undang Nomor 42 Tahun 2009 tentang Pajak Pertambahan Nilai Barang dan Jasa dan Pajak Penjualan atas Barang Mewah. </w:t>
            </w:r>
          </w:p>
        </w:tc>
      </w:tr>
      <w:tr w:rsidR="00923319" w:rsidRPr="00A67277" w14:paraId="19D9115F" w14:textId="77777777" w:rsidTr="00923319">
        <w:tc>
          <w:tcPr>
            <w:tcW w:w="4949" w:type="dxa"/>
          </w:tcPr>
          <w:p w14:paraId="180AAD7F" w14:textId="716C3838" w:rsidR="00923319" w:rsidRPr="00A67277" w:rsidRDefault="00320C50" w:rsidP="00923319">
            <w:pPr>
              <w:pStyle w:val="SchNumber2"/>
              <w:spacing w:before="120" w:after="120"/>
              <w:rPr>
                <w:rFonts w:cs="Arial"/>
              </w:rPr>
            </w:pPr>
            <w:r w:rsidRPr="00A67277">
              <w:rPr>
                <w:rFonts w:cs="Arial"/>
              </w:rPr>
              <w:t>IBE</w:t>
            </w:r>
            <w:r w:rsidR="00923319" w:rsidRPr="00A67277">
              <w:rPr>
                <w:rFonts w:cs="Arial"/>
              </w:rPr>
              <w:t xml:space="preserve"> shall indemnify and hold harmless GCA from any Claim in respect of the payment of value added tax in respect of the cost of the Independent Supervisor Consultant.</w:t>
            </w:r>
          </w:p>
        </w:tc>
        <w:tc>
          <w:tcPr>
            <w:tcW w:w="236" w:type="dxa"/>
          </w:tcPr>
          <w:p w14:paraId="6CAEA911" w14:textId="77777777" w:rsidR="00923319" w:rsidRPr="00A67277" w:rsidRDefault="00923319" w:rsidP="00923319">
            <w:pPr>
              <w:spacing w:before="120" w:after="120"/>
              <w:rPr>
                <w:rFonts w:ascii="Arial" w:hAnsi="Arial" w:cs="Arial"/>
                <w:sz w:val="21"/>
                <w:szCs w:val="21"/>
              </w:rPr>
            </w:pPr>
          </w:p>
        </w:tc>
        <w:tc>
          <w:tcPr>
            <w:tcW w:w="4526" w:type="dxa"/>
          </w:tcPr>
          <w:p w14:paraId="0398D968" w14:textId="77777777" w:rsidR="00923319" w:rsidRPr="00A67277" w:rsidRDefault="00923319" w:rsidP="00923319">
            <w:pPr>
              <w:pStyle w:val="SchNumber2"/>
              <w:numPr>
                <w:ilvl w:val="1"/>
                <w:numId w:val="650"/>
              </w:numPr>
              <w:spacing w:before="120" w:after="120"/>
              <w:ind w:left="592" w:hanging="592"/>
              <w:rPr>
                <w:rFonts w:cs="Arial"/>
                <w:lang w:val="id-ID"/>
              </w:rPr>
            </w:pPr>
            <w:r w:rsidRPr="00A67277">
              <w:rPr>
                <w:rFonts w:cs="Arial"/>
              </w:rPr>
              <w:t>BUP melindungi dan membebaskan PJPK dari setiap Klaim sehubungan dengan pembayaran pajak pertambahan nilai terkait biaya jasa Konsultan Pengawas Independen.</w:t>
            </w:r>
          </w:p>
        </w:tc>
      </w:tr>
      <w:tr w:rsidR="00923319" w:rsidRPr="00A67277" w14:paraId="3AF1DD1D" w14:textId="77777777" w:rsidTr="00923319">
        <w:tc>
          <w:tcPr>
            <w:tcW w:w="4949" w:type="dxa"/>
          </w:tcPr>
          <w:p w14:paraId="377C31E5" w14:textId="77777777" w:rsidR="00923319" w:rsidRPr="00A67277" w:rsidRDefault="00923319" w:rsidP="00923319">
            <w:pPr>
              <w:pStyle w:val="Heading3"/>
              <w:spacing w:before="120" w:after="120"/>
              <w:rPr>
                <w:rFonts w:cs="Arial"/>
              </w:rPr>
            </w:pPr>
            <w:r w:rsidRPr="00A67277">
              <w:rPr>
                <w:rFonts w:cs="Arial"/>
              </w:rPr>
              <w:t>Agency</w:t>
            </w:r>
          </w:p>
        </w:tc>
        <w:tc>
          <w:tcPr>
            <w:tcW w:w="236" w:type="dxa"/>
          </w:tcPr>
          <w:p w14:paraId="3292E380" w14:textId="77777777" w:rsidR="00923319" w:rsidRPr="00A67277" w:rsidRDefault="00923319" w:rsidP="00923319">
            <w:pPr>
              <w:spacing w:before="120" w:after="120"/>
              <w:rPr>
                <w:rFonts w:ascii="Arial" w:hAnsi="Arial" w:cs="Arial"/>
                <w:sz w:val="21"/>
                <w:szCs w:val="21"/>
              </w:rPr>
            </w:pPr>
          </w:p>
        </w:tc>
        <w:tc>
          <w:tcPr>
            <w:tcW w:w="4526" w:type="dxa"/>
          </w:tcPr>
          <w:p w14:paraId="482E8003" w14:textId="77777777" w:rsidR="00923319" w:rsidRPr="00A67277" w:rsidRDefault="00923319" w:rsidP="00923319">
            <w:pPr>
              <w:pStyle w:val="SchNumber3"/>
              <w:numPr>
                <w:ilvl w:val="0"/>
                <w:numId w:val="633"/>
              </w:numPr>
              <w:tabs>
                <w:tab w:val="clear" w:pos="2146"/>
              </w:tabs>
              <w:spacing w:before="120" w:after="120"/>
              <w:ind w:left="557" w:hanging="532"/>
              <w:rPr>
                <w:rFonts w:cs="Arial"/>
                <w:b/>
              </w:rPr>
            </w:pPr>
            <w:r w:rsidRPr="00A67277">
              <w:rPr>
                <w:rFonts w:cs="Arial"/>
                <w:b/>
              </w:rPr>
              <w:t>Keagenan</w:t>
            </w:r>
          </w:p>
        </w:tc>
      </w:tr>
      <w:tr w:rsidR="00923319" w:rsidRPr="00A67277" w14:paraId="05A8F695" w14:textId="77777777" w:rsidTr="00923319">
        <w:tc>
          <w:tcPr>
            <w:tcW w:w="4949" w:type="dxa"/>
          </w:tcPr>
          <w:p w14:paraId="6BBC7C32" w14:textId="77777777" w:rsidR="00923319" w:rsidRPr="00A67277" w:rsidRDefault="00923319" w:rsidP="00923319">
            <w:pPr>
              <w:pStyle w:val="SchNumber2"/>
              <w:spacing w:before="120" w:after="120"/>
              <w:rPr>
                <w:rFonts w:cs="Arial"/>
              </w:rPr>
            </w:pPr>
            <w:r w:rsidRPr="00A67277">
              <w:rPr>
                <w:rFonts w:cs="Arial"/>
              </w:rPr>
              <w:t>No Delegation</w:t>
            </w:r>
          </w:p>
        </w:tc>
        <w:tc>
          <w:tcPr>
            <w:tcW w:w="236" w:type="dxa"/>
          </w:tcPr>
          <w:p w14:paraId="38F58220" w14:textId="77777777" w:rsidR="00923319" w:rsidRPr="00A67277" w:rsidRDefault="00923319" w:rsidP="00923319">
            <w:pPr>
              <w:spacing w:before="120" w:after="120"/>
              <w:rPr>
                <w:rFonts w:ascii="Arial" w:hAnsi="Arial" w:cs="Arial"/>
                <w:sz w:val="21"/>
                <w:szCs w:val="21"/>
              </w:rPr>
            </w:pPr>
          </w:p>
        </w:tc>
        <w:tc>
          <w:tcPr>
            <w:tcW w:w="4526" w:type="dxa"/>
          </w:tcPr>
          <w:p w14:paraId="3D8DD81F" w14:textId="77777777" w:rsidR="00923319" w:rsidRPr="00A67277" w:rsidRDefault="00923319" w:rsidP="00923319">
            <w:pPr>
              <w:pStyle w:val="SchNumber2"/>
              <w:numPr>
                <w:ilvl w:val="1"/>
                <w:numId w:val="653"/>
              </w:numPr>
              <w:spacing w:before="120" w:after="120"/>
              <w:ind w:left="592" w:hanging="592"/>
              <w:rPr>
                <w:rFonts w:cs="Arial"/>
                <w:lang w:val="id-ID"/>
              </w:rPr>
            </w:pPr>
            <w:r w:rsidRPr="00A67277">
              <w:rPr>
                <w:rFonts w:cs="Arial"/>
              </w:rPr>
              <w:t>Tidak Ada Pendelegasian</w:t>
            </w:r>
          </w:p>
        </w:tc>
      </w:tr>
      <w:tr w:rsidR="00923319" w:rsidRPr="00A67277" w14:paraId="6C8B9D57" w14:textId="77777777" w:rsidTr="00923319">
        <w:tc>
          <w:tcPr>
            <w:tcW w:w="4949" w:type="dxa"/>
          </w:tcPr>
          <w:p w14:paraId="3E085306" w14:textId="77777777" w:rsidR="00923319" w:rsidRPr="00A67277" w:rsidRDefault="00923319" w:rsidP="00923319">
            <w:pPr>
              <w:pStyle w:val="Body2"/>
              <w:spacing w:before="120" w:after="120"/>
              <w:rPr>
                <w:rFonts w:cs="Arial"/>
              </w:rPr>
            </w:pPr>
            <w:r w:rsidRPr="00A67277">
              <w:rPr>
                <w:rFonts w:cs="Arial"/>
              </w:rPr>
              <w:t xml:space="preserve">No provision of this Agreement shall be construed as </w:t>
            </w:r>
            <w:r w:rsidRPr="00A67277">
              <w:rPr>
                <w:rFonts w:cs="Arial"/>
                <w:lang w:val="id-ID"/>
              </w:rPr>
              <w:t xml:space="preserve">a delegation of </w:t>
            </w:r>
            <w:r w:rsidRPr="00A67277">
              <w:rPr>
                <w:rFonts w:cs="Arial"/>
              </w:rPr>
              <w:t>GCA's legal authority to any other party.</w:t>
            </w:r>
          </w:p>
        </w:tc>
        <w:tc>
          <w:tcPr>
            <w:tcW w:w="236" w:type="dxa"/>
          </w:tcPr>
          <w:p w14:paraId="6065DD0D" w14:textId="77777777" w:rsidR="00923319" w:rsidRPr="00A67277" w:rsidRDefault="00923319" w:rsidP="00923319">
            <w:pPr>
              <w:spacing w:before="120" w:after="120"/>
              <w:rPr>
                <w:rFonts w:ascii="Arial" w:hAnsi="Arial" w:cs="Arial"/>
                <w:sz w:val="21"/>
                <w:szCs w:val="21"/>
              </w:rPr>
            </w:pPr>
          </w:p>
        </w:tc>
        <w:tc>
          <w:tcPr>
            <w:tcW w:w="4526" w:type="dxa"/>
          </w:tcPr>
          <w:p w14:paraId="3EDE2DB0"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Tidak ada ketentuan dalam Perjanjian ini diartikan sebagai pendelegasian oleh kewenangan hukum PJPK miliknya kepada pihak lain.</w:t>
            </w:r>
          </w:p>
        </w:tc>
      </w:tr>
      <w:tr w:rsidR="00923319" w:rsidRPr="00A67277" w14:paraId="5F923D15" w14:textId="77777777" w:rsidTr="00923319">
        <w:tc>
          <w:tcPr>
            <w:tcW w:w="4949" w:type="dxa"/>
          </w:tcPr>
          <w:p w14:paraId="431FFBBB" w14:textId="77777777" w:rsidR="00923319" w:rsidRPr="00A67277" w:rsidRDefault="00923319" w:rsidP="00923319">
            <w:pPr>
              <w:pStyle w:val="SchNumber2"/>
              <w:spacing w:before="120" w:after="120"/>
              <w:rPr>
                <w:rFonts w:cs="Arial"/>
              </w:rPr>
            </w:pPr>
            <w:r w:rsidRPr="00A67277">
              <w:rPr>
                <w:rFonts w:cs="Arial"/>
              </w:rPr>
              <w:t>No Agency</w:t>
            </w:r>
          </w:p>
        </w:tc>
        <w:tc>
          <w:tcPr>
            <w:tcW w:w="236" w:type="dxa"/>
          </w:tcPr>
          <w:p w14:paraId="3D0908C7" w14:textId="77777777" w:rsidR="00923319" w:rsidRPr="00A67277" w:rsidRDefault="00923319" w:rsidP="00923319">
            <w:pPr>
              <w:spacing w:before="120" w:after="120"/>
              <w:rPr>
                <w:rFonts w:ascii="Arial" w:hAnsi="Arial" w:cs="Arial"/>
                <w:sz w:val="21"/>
                <w:szCs w:val="21"/>
              </w:rPr>
            </w:pPr>
          </w:p>
        </w:tc>
        <w:tc>
          <w:tcPr>
            <w:tcW w:w="4526" w:type="dxa"/>
          </w:tcPr>
          <w:p w14:paraId="1EA29DF3" w14:textId="77777777" w:rsidR="00923319" w:rsidRPr="00A67277" w:rsidRDefault="00923319" w:rsidP="00923319">
            <w:pPr>
              <w:pStyle w:val="SchNumber2"/>
              <w:numPr>
                <w:ilvl w:val="1"/>
                <w:numId w:val="653"/>
              </w:numPr>
              <w:spacing w:before="120" w:after="120"/>
              <w:ind w:left="592" w:hanging="592"/>
              <w:rPr>
                <w:rFonts w:cs="Arial"/>
                <w:lang w:val="id-ID"/>
              </w:rPr>
            </w:pPr>
            <w:r w:rsidRPr="00A67277">
              <w:rPr>
                <w:rFonts w:cs="Arial"/>
              </w:rPr>
              <w:t>Tidak Ada Keagenan</w:t>
            </w:r>
          </w:p>
        </w:tc>
      </w:tr>
      <w:tr w:rsidR="00923319" w:rsidRPr="00A67277" w14:paraId="7C184D39" w14:textId="77777777" w:rsidTr="00923319">
        <w:tc>
          <w:tcPr>
            <w:tcW w:w="4949" w:type="dxa"/>
          </w:tcPr>
          <w:p w14:paraId="083E2540" w14:textId="77777777" w:rsidR="00923319" w:rsidRPr="00A67277" w:rsidRDefault="00923319" w:rsidP="00923319">
            <w:pPr>
              <w:pStyle w:val="Body2"/>
              <w:spacing w:before="120" w:after="120"/>
              <w:rPr>
                <w:rFonts w:cs="Arial"/>
              </w:rPr>
            </w:pPr>
            <w:r w:rsidRPr="00A67277">
              <w:rPr>
                <w:rFonts w:cs="Arial"/>
              </w:rPr>
              <w:t xml:space="preserve">Neither parties shall be or </w:t>
            </w:r>
            <w:r w:rsidRPr="00A67277">
              <w:rPr>
                <w:rFonts w:cs="Arial"/>
                <w:lang w:val="id-ID"/>
              </w:rPr>
              <w:t xml:space="preserve">construed or </w:t>
            </w:r>
            <w:r w:rsidRPr="00A67277">
              <w:rPr>
                <w:rFonts w:cs="Arial"/>
              </w:rPr>
              <w:t xml:space="preserve">deemed to be an agent of any other party and any party shall have no authority or power of GCA to bind </w:t>
            </w:r>
            <w:r w:rsidRPr="00A67277">
              <w:rPr>
                <w:rFonts w:cs="Arial"/>
                <w:lang w:val="id-ID"/>
              </w:rPr>
              <w:t>with any</w:t>
            </w:r>
            <w:r w:rsidRPr="00A67277">
              <w:rPr>
                <w:rFonts w:cs="Arial"/>
              </w:rPr>
              <w:t xml:space="preserve"> other party on behalf of GCA in any way.</w:t>
            </w:r>
          </w:p>
        </w:tc>
        <w:tc>
          <w:tcPr>
            <w:tcW w:w="236" w:type="dxa"/>
          </w:tcPr>
          <w:p w14:paraId="5327BAD3" w14:textId="77777777" w:rsidR="00923319" w:rsidRPr="00A67277" w:rsidRDefault="00923319" w:rsidP="00923319">
            <w:pPr>
              <w:spacing w:before="120" w:after="120"/>
              <w:rPr>
                <w:rFonts w:ascii="Arial" w:hAnsi="Arial" w:cs="Arial"/>
                <w:sz w:val="21"/>
                <w:szCs w:val="21"/>
              </w:rPr>
            </w:pPr>
          </w:p>
        </w:tc>
        <w:tc>
          <w:tcPr>
            <w:tcW w:w="4526" w:type="dxa"/>
          </w:tcPr>
          <w:p w14:paraId="363721CC" w14:textId="77777777" w:rsidR="00923319" w:rsidRPr="00A67277" w:rsidRDefault="00923319" w:rsidP="00923319">
            <w:pPr>
              <w:pStyle w:val="SchNumber3"/>
              <w:numPr>
                <w:ilvl w:val="0"/>
                <w:numId w:val="0"/>
              </w:numPr>
              <w:spacing w:before="120" w:after="120"/>
              <w:ind w:left="592"/>
              <w:rPr>
                <w:rFonts w:cs="Arial"/>
              </w:rPr>
            </w:pPr>
            <w:r w:rsidRPr="00A67277">
              <w:rPr>
                <w:rFonts w:cs="Arial"/>
              </w:rPr>
              <w:t>Tidak satu pihak pun yang akan atau dianggap sebagai agen pihak lainnya dan pihak manapun tidak memiliki kewenangan atau kekuasaan PJPK untuk mengikat pihak lain atas nama PJPK dengan cara apapun.</w:t>
            </w:r>
          </w:p>
        </w:tc>
      </w:tr>
      <w:tr w:rsidR="00923319" w:rsidRPr="00A67277" w14:paraId="0DE47BB6" w14:textId="77777777" w:rsidTr="00923319">
        <w:tc>
          <w:tcPr>
            <w:tcW w:w="4949" w:type="dxa"/>
          </w:tcPr>
          <w:p w14:paraId="4B5773CD" w14:textId="77777777" w:rsidR="00923319" w:rsidRPr="00A67277" w:rsidRDefault="00923319" w:rsidP="00923319">
            <w:pPr>
              <w:pStyle w:val="SchNumber2"/>
              <w:spacing w:before="120" w:after="120"/>
              <w:rPr>
                <w:rFonts w:cs="Arial"/>
              </w:rPr>
            </w:pPr>
            <w:r w:rsidRPr="00A67277">
              <w:rPr>
                <w:rFonts w:cs="Arial"/>
              </w:rPr>
              <w:t>Independent Contractor</w:t>
            </w:r>
          </w:p>
        </w:tc>
        <w:tc>
          <w:tcPr>
            <w:tcW w:w="236" w:type="dxa"/>
          </w:tcPr>
          <w:p w14:paraId="75024F1E" w14:textId="77777777" w:rsidR="00923319" w:rsidRPr="00A67277" w:rsidRDefault="00923319" w:rsidP="00923319">
            <w:pPr>
              <w:spacing w:before="120" w:after="120"/>
              <w:rPr>
                <w:rFonts w:ascii="Arial" w:hAnsi="Arial" w:cs="Arial"/>
                <w:sz w:val="21"/>
                <w:szCs w:val="21"/>
              </w:rPr>
            </w:pPr>
          </w:p>
        </w:tc>
        <w:tc>
          <w:tcPr>
            <w:tcW w:w="4526" w:type="dxa"/>
          </w:tcPr>
          <w:p w14:paraId="74A23552" w14:textId="77777777" w:rsidR="00923319" w:rsidRPr="00A67277" w:rsidRDefault="00923319" w:rsidP="00923319">
            <w:pPr>
              <w:pStyle w:val="SchNumber2"/>
              <w:numPr>
                <w:ilvl w:val="1"/>
                <w:numId w:val="653"/>
              </w:numPr>
              <w:spacing w:before="120" w:after="120"/>
              <w:ind w:left="592" w:hanging="592"/>
              <w:rPr>
                <w:rFonts w:cs="Arial"/>
              </w:rPr>
            </w:pPr>
            <w:r w:rsidRPr="00A67277">
              <w:rPr>
                <w:rFonts w:cs="Arial"/>
              </w:rPr>
              <w:t>Kontraktor Independen</w:t>
            </w:r>
          </w:p>
        </w:tc>
      </w:tr>
      <w:tr w:rsidR="00923319" w:rsidRPr="00A67277" w14:paraId="55B6AAFE" w14:textId="77777777" w:rsidTr="00923319">
        <w:tc>
          <w:tcPr>
            <w:tcW w:w="4949" w:type="dxa"/>
          </w:tcPr>
          <w:p w14:paraId="116A9E68" w14:textId="77777777" w:rsidR="00923319" w:rsidRPr="00A67277" w:rsidRDefault="00923319" w:rsidP="00923319">
            <w:pPr>
              <w:pStyle w:val="Body2"/>
              <w:spacing w:before="120" w:after="120"/>
              <w:rPr>
                <w:rFonts w:cs="Arial"/>
              </w:rPr>
            </w:pPr>
            <w:r w:rsidRPr="00A67277">
              <w:rPr>
                <w:rFonts w:cs="Arial"/>
              </w:rPr>
              <w:t>The parties will always be an independent contractors and nothing in this Agreement shall be construed as forming a partnership between the Parties or a relationship between employers and workers between the Parties.</w:t>
            </w:r>
          </w:p>
        </w:tc>
        <w:tc>
          <w:tcPr>
            <w:tcW w:w="236" w:type="dxa"/>
          </w:tcPr>
          <w:p w14:paraId="424BB27B" w14:textId="77777777" w:rsidR="00923319" w:rsidRPr="00A67277" w:rsidRDefault="00923319" w:rsidP="00923319">
            <w:pPr>
              <w:spacing w:before="120" w:after="120"/>
              <w:rPr>
                <w:rFonts w:ascii="Arial" w:hAnsi="Arial" w:cs="Arial"/>
                <w:sz w:val="21"/>
                <w:szCs w:val="21"/>
              </w:rPr>
            </w:pPr>
          </w:p>
        </w:tc>
        <w:tc>
          <w:tcPr>
            <w:tcW w:w="4526" w:type="dxa"/>
          </w:tcPr>
          <w:p w14:paraId="6D0AE316" w14:textId="77777777" w:rsidR="00923319" w:rsidRPr="00A67277" w:rsidRDefault="00923319" w:rsidP="00923319">
            <w:pPr>
              <w:pStyle w:val="SchNumber3"/>
              <w:numPr>
                <w:ilvl w:val="0"/>
                <w:numId w:val="0"/>
              </w:numPr>
              <w:spacing w:before="120" w:after="120"/>
              <w:ind w:left="592"/>
              <w:rPr>
                <w:rFonts w:cs="Arial"/>
              </w:rPr>
            </w:pPr>
            <w:r w:rsidRPr="00A67277">
              <w:rPr>
                <w:rFonts w:cs="Arial"/>
              </w:rPr>
              <w:t>Para pihak akan senantiasa merupakan kontraktor independen dan tidak ada dalam Perjanjian ini akan diartikan sebagai membentuk hubungan persekutuan atau kemitraan antara Para Pihak atau suatu hubungan antara pemberi kerja dan pekerja antara Para Pihak.</w:t>
            </w:r>
          </w:p>
        </w:tc>
      </w:tr>
      <w:tr w:rsidR="00923319" w:rsidRPr="00A67277" w14:paraId="75630C54" w14:textId="77777777" w:rsidTr="00923319">
        <w:tc>
          <w:tcPr>
            <w:tcW w:w="4949" w:type="dxa"/>
          </w:tcPr>
          <w:p w14:paraId="5BCAB09B" w14:textId="77777777" w:rsidR="00923319" w:rsidRPr="00A67277" w:rsidRDefault="00923319" w:rsidP="00923319">
            <w:pPr>
              <w:pStyle w:val="Heading3"/>
              <w:spacing w:before="120" w:after="120"/>
              <w:rPr>
                <w:rFonts w:cs="Arial"/>
              </w:rPr>
            </w:pPr>
            <w:r w:rsidRPr="00A67277">
              <w:rPr>
                <w:rFonts w:cs="Arial"/>
              </w:rPr>
              <w:t>Force Majeure</w:t>
            </w:r>
          </w:p>
        </w:tc>
        <w:tc>
          <w:tcPr>
            <w:tcW w:w="236" w:type="dxa"/>
          </w:tcPr>
          <w:p w14:paraId="09E61E73" w14:textId="77777777" w:rsidR="00923319" w:rsidRPr="00A67277" w:rsidRDefault="00923319" w:rsidP="00923319">
            <w:pPr>
              <w:spacing w:before="120" w:after="120"/>
              <w:rPr>
                <w:rFonts w:ascii="Arial" w:hAnsi="Arial" w:cs="Arial"/>
                <w:sz w:val="21"/>
                <w:szCs w:val="21"/>
              </w:rPr>
            </w:pPr>
          </w:p>
        </w:tc>
        <w:tc>
          <w:tcPr>
            <w:tcW w:w="4526" w:type="dxa"/>
          </w:tcPr>
          <w:p w14:paraId="5C2AEA15" w14:textId="77777777" w:rsidR="00923319" w:rsidRPr="00A67277" w:rsidRDefault="00923319" w:rsidP="00923319">
            <w:pPr>
              <w:pStyle w:val="SchNumber3"/>
              <w:numPr>
                <w:ilvl w:val="0"/>
                <w:numId w:val="633"/>
              </w:numPr>
              <w:tabs>
                <w:tab w:val="clear" w:pos="2146"/>
              </w:tabs>
              <w:spacing w:before="120" w:after="120"/>
              <w:ind w:left="557" w:hanging="532"/>
              <w:rPr>
                <w:rFonts w:cs="Arial"/>
                <w:b/>
                <w:lang w:val="id-ID"/>
              </w:rPr>
            </w:pPr>
            <w:r w:rsidRPr="00A67277">
              <w:rPr>
                <w:rFonts w:cs="Arial"/>
                <w:b/>
              </w:rPr>
              <w:t>Keadaan Kahar</w:t>
            </w:r>
          </w:p>
        </w:tc>
      </w:tr>
      <w:tr w:rsidR="00923319" w:rsidRPr="00A67277" w14:paraId="26231002" w14:textId="77777777" w:rsidTr="00923319">
        <w:tc>
          <w:tcPr>
            <w:tcW w:w="4949" w:type="dxa"/>
          </w:tcPr>
          <w:p w14:paraId="73DCF783" w14:textId="77777777" w:rsidR="00923319" w:rsidRPr="00A67277" w:rsidRDefault="00923319" w:rsidP="00923319">
            <w:pPr>
              <w:pStyle w:val="SchNumber2"/>
              <w:numPr>
                <w:ilvl w:val="1"/>
                <w:numId w:val="654"/>
              </w:numPr>
              <w:spacing w:before="120" w:after="120"/>
              <w:ind w:left="702" w:hanging="630"/>
              <w:rPr>
                <w:rFonts w:cs="Arial"/>
              </w:rPr>
            </w:pPr>
            <w:r w:rsidRPr="00A67277">
              <w:rPr>
                <w:rFonts w:cs="Arial"/>
                <w:lang w:val="id-ID"/>
              </w:rPr>
              <w:t>Upon occurance of</w:t>
            </w:r>
            <w:r w:rsidRPr="00A67277">
              <w:rPr>
                <w:rFonts w:cs="Arial"/>
              </w:rPr>
              <w:t xml:space="preserve"> Force Majeure Event, the affected Party of the Force Majeure</w:t>
            </w:r>
            <w:r w:rsidRPr="00A67277">
              <w:rPr>
                <w:rFonts w:cs="Arial"/>
                <w:i/>
              </w:rPr>
              <w:t xml:space="preserve"> </w:t>
            </w:r>
            <w:r w:rsidRPr="00A67277">
              <w:rPr>
                <w:rFonts w:cs="Arial"/>
              </w:rPr>
              <w:t>Event within [ten (10) Business Days] period from the occurrence of the Force Majeure event must provide written notice to the other Party and specify:</w:t>
            </w:r>
          </w:p>
        </w:tc>
        <w:tc>
          <w:tcPr>
            <w:tcW w:w="236" w:type="dxa"/>
          </w:tcPr>
          <w:p w14:paraId="7F10464F" w14:textId="77777777" w:rsidR="00923319" w:rsidRPr="00A67277" w:rsidRDefault="00923319" w:rsidP="00923319">
            <w:pPr>
              <w:spacing w:before="120" w:after="120"/>
              <w:rPr>
                <w:rFonts w:ascii="Arial" w:hAnsi="Arial" w:cs="Arial"/>
                <w:sz w:val="21"/>
                <w:szCs w:val="21"/>
              </w:rPr>
            </w:pPr>
          </w:p>
        </w:tc>
        <w:tc>
          <w:tcPr>
            <w:tcW w:w="4526" w:type="dxa"/>
          </w:tcPr>
          <w:p w14:paraId="2E66504B" w14:textId="77777777" w:rsidR="00923319" w:rsidRPr="00A67277" w:rsidRDefault="00923319" w:rsidP="00923319">
            <w:pPr>
              <w:pStyle w:val="SchNumber2"/>
              <w:numPr>
                <w:ilvl w:val="1"/>
                <w:numId w:val="655"/>
              </w:numPr>
              <w:tabs>
                <w:tab w:val="left" w:pos="557"/>
              </w:tabs>
              <w:spacing w:before="120" w:after="120"/>
              <w:ind w:left="557" w:hanging="540"/>
              <w:rPr>
                <w:rFonts w:cs="Arial"/>
                <w:lang w:val="id-ID"/>
              </w:rPr>
            </w:pPr>
            <w:r w:rsidRPr="00A67277">
              <w:rPr>
                <w:rFonts w:cs="Arial"/>
              </w:rPr>
              <w:t>Jika terjadi suatu Peristiwa Keadaan Kahar, Pihak yang terkena dampak dari Peristiwa Keadaan Kahar dalam jangka waktu [sepuluh (10) Hari Kerja] sejak terjadi Peristiwa Keadaan Kahar tersebut harus memberikan pemberitahuan tertulis pada Pihak lainnya dan menguraikan:</w:t>
            </w:r>
          </w:p>
        </w:tc>
      </w:tr>
      <w:tr w:rsidR="00923319" w:rsidRPr="00A67277" w14:paraId="6BFDF401" w14:textId="77777777" w:rsidTr="00923319">
        <w:tc>
          <w:tcPr>
            <w:tcW w:w="4949" w:type="dxa"/>
          </w:tcPr>
          <w:p w14:paraId="2A29F080" w14:textId="77777777" w:rsidR="00923319" w:rsidRPr="00A67277" w:rsidRDefault="00923319" w:rsidP="00923319">
            <w:pPr>
              <w:pStyle w:val="Body2"/>
              <w:numPr>
                <w:ilvl w:val="0"/>
                <w:numId w:val="570"/>
              </w:numPr>
              <w:spacing w:before="120" w:after="120"/>
              <w:ind w:left="1242" w:hanging="540"/>
              <w:rPr>
                <w:rFonts w:cs="Arial"/>
              </w:rPr>
            </w:pPr>
            <w:r w:rsidRPr="00A67277">
              <w:rPr>
                <w:rFonts w:cs="Arial"/>
              </w:rPr>
              <w:t>the date of commencement of the Force Majeure Event;</w:t>
            </w:r>
          </w:p>
        </w:tc>
        <w:tc>
          <w:tcPr>
            <w:tcW w:w="236" w:type="dxa"/>
          </w:tcPr>
          <w:p w14:paraId="25FC14D3" w14:textId="77777777" w:rsidR="00923319" w:rsidRPr="00A67277" w:rsidRDefault="00923319" w:rsidP="00923319">
            <w:pPr>
              <w:spacing w:before="120" w:after="120"/>
              <w:rPr>
                <w:rFonts w:ascii="Arial" w:hAnsi="Arial" w:cs="Arial"/>
                <w:sz w:val="21"/>
                <w:szCs w:val="21"/>
              </w:rPr>
            </w:pPr>
          </w:p>
        </w:tc>
        <w:tc>
          <w:tcPr>
            <w:tcW w:w="4526" w:type="dxa"/>
          </w:tcPr>
          <w:p w14:paraId="52B7B094" w14:textId="77777777" w:rsidR="00923319" w:rsidRPr="00A67277" w:rsidRDefault="00923319" w:rsidP="00923319">
            <w:pPr>
              <w:pStyle w:val="SchNumber3"/>
              <w:numPr>
                <w:ilvl w:val="0"/>
                <w:numId w:val="656"/>
              </w:numPr>
              <w:spacing w:before="120" w:after="120"/>
              <w:ind w:left="1097" w:hanging="540"/>
              <w:rPr>
                <w:rFonts w:cs="Arial"/>
                <w:lang w:val="id-ID"/>
              </w:rPr>
            </w:pPr>
            <w:r w:rsidRPr="00A67277">
              <w:rPr>
                <w:rFonts w:cs="Arial"/>
              </w:rPr>
              <w:t>tanggal dimulainya Peristiwa Keadaan Kahar;</w:t>
            </w:r>
          </w:p>
        </w:tc>
      </w:tr>
      <w:tr w:rsidR="00923319" w:rsidRPr="00A67277" w14:paraId="608F434F" w14:textId="77777777" w:rsidTr="00923319">
        <w:tc>
          <w:tcPr>
            <w:tcW w:w="4949" w:type="dxa"/>
          </w:tcPr>
          <w:p w14:paraId="0886CD31" w14:textId="77777777" w:rsidR="00923319" w:rsidRPr="00A67277" w:rsidRDefault="00923319" w:rsidP="00923319">
            <w:pPr>
              <w:pStyle w:val="Body2"/>
              <w:numPr>
                <w:ilvl w:val="0"/>
                <w:numId w:val="570"/>
              </w:numPr>
              <w:spacing w:before="120" w:after="120"/>
              <w:ind w:left="1242" w:hanging="540"/>
              <w:rPr>
                <w:rFonts w:cs="Arial"/>
              </w:rPr>
            </w:pPr>
            <w:r w:rsidRPr="00A67277">
              <w:rPr>
                <w:rFonts w:cs="Arial"/>
              </w:rPr>
              <w:t>the nature and expected duration of the Force Majeure Event;</w:t>
            </w:r>
          </w:p>
        </w:tc>
        <w:tc>
          <w:tcPr>
            <w:tcW w:w="236" w:type="dxa"/>
          </w:tcPr>
          <w:p w14:paraId="367A89F9" w14:textId="77777777" w:rsidR="00923319" w:rsidRPr="00A67277" w:rsidRDefault="00923319" w:rsidP="00923319">
            <w:pPr>
              <w:spacing w:before="120" w:after="120"/>
              <w:rPr>
                <w:rFonts w:ascii="Arial" w:hAnsi="Arial" w:cs="Arial"/>
                <w:sz w:val="21"/>
                <w:szCs w:val="21"/>
              </w:rPr>
            </w:pPr>
          </w:p>
        </w:tc>
        <w:tc>
          <w:tcPr>
            <w:tcW w:w="4526" w:type="dxa"/>
          </w:tcPr>
          <w:p w14:paraId="160BDFA4" w14:textId="77777777" w:rsidR="00923319" w:rsidRPr="00A67277" w:rsidRDefault="00923319" w:rsidP="00923319">
            <w:pPr>
              <w:pStyle w:val="SchNumber3"/>
              <w:numPr>
                <w:ilvl w:val="0"/>
                <w:numId w:val="656"/>
              </w:numPr>
              <w:spacing w:before="120" w:after="120"/>
              <w:ind w:left="1097" w:hanging="540"/>
              <w:rPr>
                <w:rFonts w:cs="Arial"/>
              </w:rPr>
            </w:pPr>
            <w:r w:rsidRPr="00A67277">
              <w:rPr>
                <w:rFonts w:cs="Arial"/>
              </w:rPr>
              <w:t>sifat dan perkiraan jangka waktu dari Peristiwa Keadaan Kahar;</w:t>
            </w:r>
          </w:p>
        </w:tc>
      </w:tr>
      <w:tr w:rsidR="00923319" w:rsidRPr="00A67277" w14:paraId="60528EC9" w14:textId="77777777" w:rsidTr="00923319">
        <w:tc>
          <w:tcPr>
            <w:tcW w:w="4949" w:type="dxa"/>
          </w:tcPr>
          <w:p w14:paraId="73161865" w14:textId="77777777" w:rsidR="00923319" w:rsidRPr="00A67277" w:rsidRDefault="00923319" w:rsidP="00923319">
            <w:pPr>
              <w:pStyle w:val="Body2"/>
              <w:numPr>
                <w:ilvl w:val="0"/>
                <w:numId w:val="570"/>
              </w:numPr>
              <w:spacing w:before="120" w:after="120"/>
              <w:ind w:left="1242" w:hanging="540"/>
              <w:rPr>
                <w:rFonts w:cs="Arial"/>
              </w:rPr>
            </w:pPr>
            <w:r w:rsidRPr="00A67277">
              <w:rPr>
                <w:rFonts w:cs="Arial"/>
              </w:rPr>
              <w:t>the anticipated effect of the Force Majeure Event on the performance of the obligations by the Affected Party; and</w:t>
            </w:r>
          </w:p>
        </w:tc>
        <w:tc>
          <w:tcPr>
            <w:tcW w:w="236" w:type="dxa"/>
          </w:tcPr>
          <w:p w14:paraId="31B2CDB5" w14:textId="77777777" w:rsidR="00923319" w:rsidRPr="00A67277" w:rsidRDefault="00923319" w:rsidP="00923319">
            <w:pPr>
              <w:spacing w:before="120" w:after="120"/>
              <w:rPr>
                <w:rFonts w:ascii="Arial" w:hAnsi="Arial" w:cs="Arial"/>
                <w:sz w:val="21"/>
                <w:szCs w:val="21"/>
              </w:rPr>
            </w:pPr>
          </w:p>
        </w:tc>
        <w:tc>
          <w:tcPr>
            <w:tcW w:w="4526" w:type="dxa"/>
          </w:tcPr>
          <w:p w14:paraId="338A6BB3" w14:textId="77777777" w:rsidR="00923319" w:rsidRPr="00A67277" w:rsidRDefault="00923319" w:rsidP="00923319">
            <w:pPr>
              <w:pStyle w:val="SchNumber3"/>
              <w:numPr>
                <w:ilvl w:val="0"/>
                <w:numId w:val="656"/>
              </w:numPr>
              <w:spacing w:before="120" w:after="120"/>
              <w:ind w:left="1097" w:hanging="540"/>
              <w:rPr>
                <w:rFonts w:cs="Arial"/>
              </w:rPr>
            </w:pPr>
            <w:r w:rsidRPr="00A67277">
              <w:rPr>
                <w:rFonts w:cs="Arial"/>
              </w:rPr>
              <w:t>akibat yang diantisipasi dari Peristiwa Keadaan Kahar atas pelaksanaan kewajiban dari Pihak Terkena Dampak; dan;</w:t>
            </w:r>
          </w:p>
        </w:tc>
      </w:tr>
      <w:tr w:rsidR="00923319" w:rsidRPr="00A67277" w14:paraId="373FA055" w14:textId="77777777" w:rsidTr="00923319">
        <w:tc>
          <w:tcPr>
            <w:tcW w:w="4949" w:type="dxa"/>
          </w:tcPr>
          <w:p w14:paraId="5A3CB046" w14:textId="77777777" w:rsidR="00923319" w:rsidRPr="00A67277" w:rsidRDefault="00923319" w:rsidP="00923319">
            <w:pPr>
              <w:pStyle w:val="Body2"/>
              <w:numPr>
                <w:ilvl w:val="0"/>
                <w:numId w:val="570"/>
              </w:numPr>
              <w:spacing w:before="120" w:after="120"/>
              <w:ind w:left="1242" w:hanging="540"/>
              <w:rPr>
                <w:rFonts w:cs="Arial"/>
              </w:rPr>
            </w:pPr>
            <w:r w:rsidRPr="00A67277">
              <w:rPr>
                <w:rFonts w:cs="Arial"/>
              </w:rPr>
              <w:t>the actions to be taken in order to avoid or resolve the Force Majeure Event or to reduce the impact and effect including other actions to comply with requirements of this Article.</w:t>
            </w:r>
          </w:p>
        </w:tc>
        <w:tc>
          <w:tcPr>
            <w:tcW w:w="236" w:type="dxa"/>
          </w:tcPr>
          <w:p w14:paraId="654365EA" w14:textId="77777777" w:rsidR="00923319" w:rsidRPr="00A67277" w:rsidRDefault="00923319" w:rsidP="00923319">
            <w:pPr>
              <w:spacing w:before="120" w:after="120"/>
              <w:rPr>
                <w:rFonts w:ascii="Arial" w:hAnsi="Arial" w:cs="Arial"/>
                <w:sz w:val="21"/>
                <w:szCs w:val="21"/>
              </w:rPr>
            </w:pPr>
          </w:p>
        </w:tc>
        <w:tc>
          <w:tcPr>
            <w:tcW w:w="4526" w:type="dxa"/>
          </w:tcPr>
          <w:p w14:paraId="65A99ED8" w14:textId="77777777" w:rsidR="00923319" w:rsidRPr="00A67277" w:rsidRDefault="00923319" w:rsidP="00923319">
            <w:pPr>
              <w:pStyle w:val="SchNumber3"/>
              <w:numPr>
                <w:ilvl w:val="0"/>
                <w:numId w:val="656"/>
              </w:numPr>
              <w:spacing w:before="120" w:after="120"/>
              <w:ind w:left="1097" w:hanging="540"/>
              <w:rPr>
                <w:rFonts w:cs="Arial"/>
              </w:rPr>
            </w:pPr>
            <w:r w:rsidRPr="00A67277">
              <w:rPr>
                <w:rFonts w:cs="Arial"/>
              </w:rPr>
              <w:t>tindakan yang akan diambil untuk menghindari atau mengatasi Peristiwa Keadaan Kahar atau untuk mengurangi dampak dan pengaruh termasuk tindakan-tindakan lainnya yang akan dilakukannya untuk memenuhi persyaratan Pasal ini.</w:t>
            </w:r>
          </w:p>
        </w:tc>
      </w:tr>
      <w:tr w:rsidR="00923319" w:rsidRPr="00A67277" w14:paraId="604D0D3B" w14:textId="77777777" w:rsidTr="00923319">
        <w:tc>
          <w:tcPr>
            <w:tcW w:w="4949" w:type="dxa"/>
          </w:tcPr>
          <w:p w14:paraId="1EF6AAE2" w14:textId="77777777" w:rsidR="00923319" w:rsidRPr="00A67277" w:rsidRDefault="00923319" w:rsidP="00923319">
            <w:pPr>
              <w:pStyle w:val="SchNumber2"/>
              <w:numPr>
                <w:ilvl w:val="1"/>
                <w:numId w:val="654"/>
              </w:numPr>
              <w:spacing w:before="120" w:after="120"/>
              <w:ind w:left="702" w:hanging="630"/>
              <w:rPr>
                <w:rFonts w:cs="Arial"/>
                <w:lang w:val="id-ID"/>
              </w:rPr>
            </w:pPr>
            <w:r w:rsidRPr="00A67277">
              <w:rPr>
                <w:rFonts w:cs="Arial"/>
                <w:lang w:val="id-ID"/>
              </w:rPr>
              <w:t>If the affected Party fails to send the Force majeure Notice referred in paragraph (a) above, then the Party shall not have the right to enforce this Article to justify the delay in execution or not performing its obligations pursuant to this Agreement until the submission of written notice referred to in this Article to the other Party.</w:t>
            </w:r>
          </w:p>
        </w:tc>
        <w:tc>
          <w:tcPr>
            <w:tcW w:w="236" w:type="dxa"/>
          </w:tcPr>
          <w:p w14:paraId="780656F2" w14:textId="77777777" w:rsidR="00923319" w:rsidRPr="00A67277" w:rsidRDefault="00923319" w:rsidP="00923319">
            <w:pPr>
              <w:spacing w:before="120" w:after="120"/>
              <w:rPr>
                <w:rFonts w:ascii="Arial" w:hAnsi="Arial" w:cs="Arial"/>
                <w:sz w:val="21"/>
                <w:szCs w:val="21"/>
              </w:rPr>
            </w:pPr>
          </w:p>
        </w:tc>
        <w:tc>
          <w:tcPr>
            <w:tcW w:w="4526" w:type="dxa"/>
          </w:tcPr>
          <w:p w14:paraId="2642809F" w14:textId="77777777" w:rsidR="00923319" w:rsidRPr="00A67277" w:rsidRDefault="00923319" w:rsidP="00923319">
            <w:pPr>
              <w:pStyle w:val="SchNumber2"/>
              <w:numPr>
                <w:ilvl w:val="1"/>
                <w:numId w:val="655"/>
              </w:numPr>
              <w:tabs>
                <w:tab w:val="left" w:pos="557"/>
              </w:tabs>
              <w:spacing w:before="120" w:after="120"/>
              <w:ind w:left="557" w:hanging="540"/>
              <w:rPr>
                <w:rFonts w:cs="Arial"/>
                <w:lang w:val="id-ID"/>
              </w:rPr>
            </w:pPr>
            <w:r w:rsidRPr="00A67277">
              <w:rPr>
                <w:rFonts w:cs="Arial"/>
              </w:rPr>
              <w:t>Jika Pihak yang terkena dampak tidak mengirimkan pemberitahuan yang dimaksud pada huruf (a) di atas, maka Pihak tersebut tidak berhak memberlakukan Pasal ini untuk menjustifikasi keterlambatan pelaksanaan atau tidak dilaksanakan kewajibannya berdasarkan Perjanjian ini hingga disampaikannya pemberitahuan tertulis sebagaimana dimaksud pada Pasal ini kepada Pihak lainnya</w:t>
            </w:r>
            <w:r w:rsidRPr="00A67277">
              <w:rPr>
                <w:rFonts w:cs="Arial"/>
                <w:lang w:val="id-ID"/>
              </w:rPr>
              <w:t>.</w:t>
            </w:r>
          </w:p>
        </w:tc>
      </w:tr>
      <w:tr w:rsidR="00923319" w:rsidRPr="00A67277" w14:paraId="0D841006" w14:textId="77777777" w:rsidTr="00923319">
        <w:tc>
          <w:tcPr>
            <w:tcW w:w="4949" w:type="dxa"/>
          </w:tcPr>
          <w:p w14:paraId="0701767D" w14:textId="77777777" w:rsidR="00923319" w:rsidRPr="00A67277" w:rsidRDefault="00923319" w:rsidP="00923319">
            <w:pPr>
              <w:pStyle w:val="SchNumber2"/>
              <w:numPr>
                <w:ilvl w:val="1"/>
                <w:numId w:val="654"/>
              </w:numPr>
              <w:spacing w:before="120" w:after="120"/>
              <w:ind w:left="702" w:hanging="630"/>
              <w:rPr>
                <w:rFonts w:cs="Arial"/>
                <w:lang w:val="id-ID"/>
              </w:rPr>
            </w:pPr>
            <w:r w:rsidRPr="00A67277">
              <w:rPr>
                <w:rFonts w:cs="Arial"/>
                <w:lang w:val="id-ID"/>
              </w:rPr>
              <w:t>If the unaffected Party of force majeure does not recognize the occurrence of a Force Majeure Event as submitted by a Party affected by a Force Majeure Event then this shall be submitted to the Expert for completion within thirty (30) Days after the submission of a written request for the submission to the Expert by any Party to the Dispute.</w:t>
            </w:r>
          </w:p>
        </w:tc>
        <w:tc>
          <w:tcPr>
            <w:tcW w:w="236" w:type="dxa"/>
          </w:tcPr>
          <w:p w14:paraId="5E2B5C05" w14:textId="77777777" w:rsidR="00923319" w:rsidRPr="00A67277" w:rsidRDefault="00923319" w:rsidP="00923319">
            <w:pPr>
              <w:spacing w:before="120" w:after="120"/>
              <w:rPr>
                <w:rFonts w:ascii="Arial" w:hAnsi="Arial" w:cs="Arial"/>
                <w:sz w:val="21"/>
                <w:szCs w:val="21"/>
              </w:rPr>
            </w:pPr>
          </w:p>
        </w:tc>
        <w:tc>
          <w:tcPr>
            <w:tcW w:w="4526" w:type="dxa"/>
          </w:tcPr>
          <w:p w14:paraId="40761803" w14:textId="77777777" w:rsidR="00923319" w:rsidRPr="00A67277" w:rsidRDefault="00923319" w:rsidP="00923319">
            <w:pPr>
              <w:pStyle w:val="SchNumber2"/>
              <w:numPr>
                <w:ilvl w:val="1"/>
                <w:numId w:val="655"/>
              </w:numPr>
              <w:tabs>
                <w:tab w:val="left" w:pos="557"/>
              </w:tabs>
              <w:spacing w:before="120" w:after="120"/>
              <w:ind w:left="557" w:hanging="540"/>
              <w:rPr>
                <w:rFonts w:cs="Arial"/>
              </w:rPr>
            </w:pPr>
            <w:r w:rsidRPr="00A67277">
              <w:rPr>
                <w:rFonts w:cs="Arial"/>
              </w:rPr>
              <w:t>Jika Pihak yang tidak terkena keadaan kahar tidak mengakui telah terjadinya Peristiwa Keadaan Kahar sebagaimana diajukan oleh Pihak yang terkena Peristiwa Keadaan Kahar maka hal ini harus diajukan kepada Ahli untuk diselesaikan dalam waktu tiga puluh (30) Hari setelah penyerahan permintaan tertulis untuk pengajuan kepada Ahli tersebut oleh Pihak manapun dalam Sengketa.</w:t>
            </w:r>
          </w:p>
        </w:tc>
      </w:tr>
      <w:tr w:rsidR="00923319" w:rsidRPr="00A67277" w14:paraId="00D4999E" w14:textId="77777777" w:rsidTr="00923319">
        <w:tc>
          <w:tcPr>
            <w:tcW w:w="4949" w:type="dxa"/>
          </w:tcPr>
          <w:p w14:paraId="1E675CFF" w14:textId="77777777" w:rsidR="00923319" w:rsidRPr="00A67277" w:rsidRDefault="00923319" w:rsidP="00923319">
            <w:pPr>
              <w:pStyle w:val="SchNumber2"/>
              <w:numPr>
                <w:ilvl w:val="1"/>
                <w:numId w:val="654"/>
              </w:numPr>
              <w:spacing w:before="120" w:after="120"/>
              <w:ind w:left="702" w:hanging="630"/>
              <w:rPr>
                <w:rFonts w:cs="Arial"/>
                <w:lang w:val="id-ID"/>
              </w:rPr>
            </w:pPr>
            <w:r w:rsidRPr="00A67277">
              <w:rPr>
                <w:rFonts w:cs="Arial"/>
                <w:lang w:val="id-ID"/>
              </w:rPr>
              <w:t>If the Parties agree that the Notice referred to in Article 17.2 is Force Majeure Event, then the Person affected by the Force Majeure Event shall be relieved from execution and shall not be considered to be in default to the extent, and as long as, the failure to perform the obligations isdue to Force Majeure Event. The Party shall, however, continue to perform the obligations under this Agreement which are not affected by the Force Majeure Event pursuant to this Agreement.</w:t>
            </w:r>
          </w:p>
        </w:tc>
        <w:tc>
          <w:tcPr>
            <w:tcW w:w="236" w:type="dxa"/>
          </w:tcPr>
          <w:p w14:paraId="7E67598E" w14:textId="77777777" w:rsidR="00923319" w:rsidRPr="00A67277" w:rsidRDefault="00923319" w:rsidP="00923319">
            <w:pPr>
              <w:spacing w:before="120" w:after="120"/>
              <w:rPr>
                <w:rFonts w:ascii="Arial" w:hAnsi="Arial" w:cs="Arial"/>
                <w:sz w:val="21"/>
                <w:szCs w:val="21"/>
              </w:rPr>
            </w:pPr>
          </w:p>
        </w:tc>
        <w:tc>
          <w:tcPr>
            <w:tcW w:w="4526" w:type="dxa"/>
          </w:tcPr>
          <w:p w14:paraId="5DE3A242" w14:textId="77777777" w:rsidR="00923319" w:rsidRPr="00A67277" w:rsidRDefault="00923319" w:rsidP="00923319">
            <w:pPr>
              <w:pStyle w:val="SchNumber2"/>
              <w:numPr>
                <w:ilvl w:val="1"/>
                <w:numId w:val="655"/>
              </w:numPr>
              <w:tabs>
                <w:tab w:val="left" w:pos="557"/>
              </w:tabs>
              <w:spacing w:before="120" w:after="120"/>
              <w:ind w:left="557" w:hanging="540"/>
              <w:rPr>
                <w:rFonts w:cs="Arial"/>
              </w:rPr>
            </w:pPr>
            <w:r w:rsidRPr="00A67277">
              <w:rPr>
                <w:rFonts w:cs="Arial"/>
              </w:rPr>
              <w:t>Jika Para Pihak sepakat bahwa pemberitahuan sebagaimana dimaksud pada Pasal 17.2 di atas adalah Peristiwa Keadaan Kahar, maka Pihak yang terdampak atas Peristiwa Keadaan Kahar tersebut dibebaskan dari pelaksanaan dan tidak akan dianggap cidera janji untuk selama, dan sepanjang, kegagalan untuk melaksanakan kewajiban dikarenakan Peristiwa Keadaan Kahar tersebut. Pihak tersebut harus, bagaimanapun, meneruskan melaksanakan kewajiban berdasarkan Perjanjian ini yang tidak terkena dampak dari Peristiwa Keadaan Kahar sesuai dengan Perjanjian ini.</w:t>
            </w:r>
          </w:p>
        </w:tc>
      </w:tr>
      <w:tr w:rsidR="00923319" w:rsidRPr="00A67277" w14:paraId="726B1422" w14:textId="77777777" w:rsidTr="00923319">
        <w:tc>
          <w:tcPr>
            <w:tcW w:w="4949" w:type="dxa"/>
          </w:tcPr>
          <w:p w14:paraId="7715FB7E" w14:textId="77777777" w:rsidR="00923319" w:rsidRPr="00A67277" w:rsidRDefault="00923319" w:rsidP="00923319">
            <w:pPr>
              <w:pStyle w:val="SchNumber2"/>
              <w:numPr>
                <w:ilvl w:val="1"/>
                <w:numId w:val="654"/>
              </w:numPr>
              <w:spacing w:before="120" w:after="120"/>
              <w:ind w:left="702" w:hanging="630"/>
              <w:rPr>
                <w:rFonts w:cs="Arial"/>
                <w:lang w:val="id-ID"/>
              </w:rPr>
            </w:pPr>
            <w:r w:rsidRPr="00A67277">
              <w:rPr>
                <w:rFonts w:cs="Arial"/>
                <w:lang w:val="id-ID"/>
              </w:rPr>
              <w:t>In [ten] (10) working days after the Event of Force Majeure, the Affected Party shall submit to the other Party reasonable proof of such delay and its effect on the performance of that Party's obligations under this Agreement.</w:t>
            </w:r>
          </w:p>
        </w:tc>
        <w:tc>
          <w:tcPr>
            <w:tcW w:w="236" w:type="dxa"/>
          </w:tcPr>
          <w:p w14:paraId="215DFA5A" w14:textId="77777777" w:rsidR="00923319" w:rsidRPr="00A67277" w:rsidRDefault="00923319" w:rsidP="00923319">
            <w:pPr>
              <w:spacing w:before="120" w:after="120"/>
              <w:rPr>
                <w:rFonts w:ascii="Arial" w:hAnsi="Arial" w:cs="Arial"/>
                <w:sz w:val="21"/>
                <w:szCs w:val="21"/>
              </w:rPr>
            </w:pPr>
          </w:p>
        </w:tc>
        <w:tc>
          <w:tcPr>
            <w:tcW w:w="4526" w:type="dxa"/>
          </w:tcPr>
          <w:p w14:paraId="2D5A0B2A" w14:textId="77777777" w:rsidR="00923319" w:rsidRPr="00A67277" w:rsidRDefault="00923319" w:rsidP="00923319">
            <w:pPr>
              <w:pStyle w:val="SchNumber2"/>
              <w:numPr>
                <w:ilvl w:val="1"/>
                <w:numId w:val="655"/>
              </w:numPr>
              <w:tabs>
                <w:tab w:val="left" w:pos="557"/>
              </w:tabs>
              <w:spacing w:before="120" w:after="120"/>
              <w:ind w:left="557" w:hanging="540"/>
              <w:rPr>
                <w:rFonts w:cs="Arial"/>
              </w:rPr>
            </w:pPr>
            <w:r w:rsidRPr="00A67277">
              <w:rPr>
                <w:rFonts w:cs="Arial"/>
              </w:rPr>
              <w:t>Dalam [sepuluh] (10) Hari kerja setelah berakhirnya setiap Peristiwa Keadaan Kahar, Pihak yang terpengaruh atas Peristiwa Keadaan Kahar tersebut harus mengajukan kepada Pihak lainnya bukti wajar dari keterlambatan tersebut dan akibatnya terhadap pelaksanaan kewajiban Pihak tersebut berdasarkan Perjanjian ini.</w:t>
            </w:r>
          </w:p>
        </w:tc>
      </w:tr>
      <w:tr w:rsidR="00923319" w:rsidRPr="00A67277" w14:paraId="77660E66" w14:textId="77777777" w:rsidTr="00923319">
        <w:tc>
          <w:tcPr>
            <w:tcW w:w="4949" w:type="dxa"/>
          </w:tcPr>
          <w:p w14:paraId="10F0604E" w14:textId="77777777" w:rsidR="00923319" w:rsidRPr="00A67277" w:rsidRDefault="00923319" w:rsidP="00923319">
            <w:pPr>
              <w:pStyle w:val="SchNumber2"/>
              <w:numPr>
                <w:ilvl w:val="1"/>
                <w:numId w:val="654"/>
              </w:numPr>
              <w:spacing w:before="120" w:after="120"/>
              <w:ind w:left="702" w:hanging="630"/>
              <w:rPr>
                <w:rFonts w:cs="Arial"/>
                <w:lang w:val="id-ID"/>
              </w:rPr>
            </w:pPr>
            <w:r w:rsidRPr="00A67277">
              <w:rPr>
                <w:rFonts w:cs="Arial"/>
                <w:lang w:val="id-ID"/>
              </w:rPr>
              <w:t>The Parties recognize and promise to perform the obligations referred to in Article 20.3 (b) (Force Majeure Event Impact prior to the Commercial Operation Date) and (if applicable) Article 20.3 (c), (d) and (e) (Force Majeure Impact after to the Commercial Operation Date) of the Cooperation Agreement.</w:t>
            </w:r>
          </w:p>
        </w:tc>
        <w:tc>
          <w:tcPr>
            <w:tcW w:w="236" w:type="dxa"/>
          </w:tcPr>
          <w:p w14:paraId="70AB3EDD" w14:textId="77777777" w:rsidR="00923319" w:rsidRPr="00A67277" w:rsidRDefault="00923319" w:rsidP="00923319">
            <w:pPr>
              <w:spacing w:before="120" w:after="120"/>
              <w:rPr>
                <w:rFonts w:ascii="Arial" w:hAnsi="Arial" w:cs="Arial"/>
                <w:sz w:val="21"/>
                <w:szCs w:val="21"/>
              </w:rPr>
            </w:pPr>
          </w:p>
        </w:tc>
        <w:tc>
          <w:tcPr>
            <w:tcW w:w="4526" w:type="dxa"/>
          </w:tcPr>
          <w:p w14:paraId="74979CC4" w14:textId="77777777" w:rsidR="00923319" w:rsidRPr="00A67277" w:rsidRDefault="00923319" w:rsidP="00923319">
            <w:pPr>
              <w:pStyle w:val="SchNumber2"/>
              <w:numPr>
                <w:ilvl w:val="1"/>
                <w:numId w:val="655"/>
              </w:numPr>
              <w:tabs>
                <w:tab w:val="left" w:pos="557"/>
              </w:tabs>
              <w:spacing w:before="120" w:after="120"/>
              <w:ind w:left="557" w:hanging="540"/>
              <w:rPr>
                <w:rFonts w:cs="Arial"/>
              </w:rPr>
            </w:pPr>
            <w:r w:rsidRPr="00A67277">
              <w:rPr>
                <w:rFonts w:cs="Arial"/>
              </w:rPr>
              <w:t xml:space="preserve">Para Pihak mengakui dan berjanji untuk melaksanakan kewajiban dimaksud dalam Pasal </w:t>
            </w:r>
            <w:bookmarkStart w:id="457" w:name="_Hlk500954328"/>
            <w:r w:rsidRPr="00A67277">
              <w:rPr>
                <w:rFonts w:cs="Arial"/>
              </w:rPr>
              <w:t xml:space="preserve">20.3 </w:t>
            </w:r>
            <w:bookmarkEnd w:id="457"/>
            <w:r w:rsidRPr="00A67277">
              <w:rPr>
                <w:rFonts w:cs="Arial"/>
              </w:rPr>
              <w:t>(b) (Dampak Peristiwa Keadaan Kahar sebelum Tanggal Operasi Komersial) dan (jika berlaku) Pasal 20.3 (c), (d) and (e) (Dampak Peristiwa Keadaan Kahar setelah Tanggal Operasi Komersial) dari Perjanjian Kerjasama.</w:t>
            </w:r>
          </w:p>
        </w:tc>
      </w:tr>
      <w:tr w:rsidR="00923319" w:rsidRPr="00A67277" w14:paraId="04EED776" w14:textId="77777777" w:rsidTr="00923319">
        <w:tc>
          <w:tcPr>
            <w:tcW w:w="4949" w:type="dxa"/>
          </w:tcPr>
          <w:p w14:paraId="2143615B" w14:textId="77777777" w:rsidR="00923319" w:rsidRPr="00A67277" w:rsidRDefault="00923319" w:rsidP="00923319">
            <w:pPr>
              <w:pStyle w:val="Heading3"/>
              <w:spacing w:before="120" w:after="120"/>
              <w:rPr>
                <w:rFonts w:cs="Arial"/>
              </w:rPr>
            </w:pPr>
            <w:r w:rsidRPr="00A67277">
              <w:rPr>
                <w:rFonts w:cs="Arial"/>
              </w:rPr>
              <w:t>Miscellaneous</w:t>
            </w:r>
          </w:p>
        </w:tc>
        <w:tc>
          <w:tcPr>
            <w:tcW w:w="236" w:type="dxa"/>
          </w:tcPr>
          <w:p w14:paraId="30FAB51A" w14:textId="77777777" w:rsidR="00923319" w:rsidRPr="00A67277" w:rsidRDefault="00923319" w:rsidP="00923319">
            <w:pPr>
              <w:spacing w:before="120" w:after="120"/>
              <w:rPr>
                <w:rFonts w:ascii="Arial" w:hAnsi="Arial" w:cs="Arial"/>
                <w:sz w:val="21"/>
                <w:szCs w:val="21"/>
              </w:rPr>
            </w:pPr>
          </w:p>
        </w:tc>
        <w:tc>
          <w:tcPr>
            <w:tcW w:w="4526" w:type="dxa"/>
          </w:tcPr>
          <w:p w14:paraId="1D028681" w14:textId="77777777" w:rsidR="00923319" w:rsidRPr="00A67277" w:rsidRDefault="00923319" w:rsidP="00923319">
            <w:pPr>
              <w:pStyle w:val="SchNumber3"/>
              <w:numPr>
                <w:ilvl w:val="0"/>
                <w:numId w:val="633"/>
              </w:numPr>
              <w:tabs>
                <w:tab w:val="clear" w:pos="2146"/>
              </w:tabs>
              <w:spacing w:before="120" w:after="120"/>
              <w:ind w:left="557" w:hanging="540"/>
              <w:rPr>
                <w:rFonts w:cs="Arial"/>
                <w:b/>
              </w:rPr>
            </w:pPr>
            <w:r w:rsidRPr="00A67277">
              <w:rPr>
                <w:rFonts w:cs="Arial"/>
                <w:b/>
              </w:rPr>
              <w:t>Ketentuan Lain-Lain</w:t>
            </w:r>
          </w:p>
        </w:tc>
      </w:tr>
      <w:tr w:rsidR="00923319" w:rsidRPr="00A67277" w14:paraId="42A805D2" w14:textId="77777777" w:rsidTr="00923319">
        <w:tc>
          <w:tcPr>
            <w:tcW w:w="4949" w:type="dxa"/>
          </w:tcPr>
          <w:p w14:paraId="59CC801D" w14:textId="77777777" w:rsidR="00923319" w:rsidRPr="00A67277" w:rsidRDefault="00923319" w:rsidP="00923319">
            <w:pPr>
              <w:pStyle w:val="SchNumber2"/>
              <w:spacing w:before="120" w:after="120"/>
              <w:rPr>
                <w:rFonts w:cs="Arial"/>
              </w:rPr>
            </w:pPr>
            <w:r w:rsidRPr="00A67277">
              <w:rPr>
                <w:rFonts w:cs="Arial"/>
              </w:rPr>
              <w:t xml:space="preserve">Entire Agreement </w:t>
            </w:r>
          </w:p>
        </w:tc>
        <w:tc>
          <w:tcPr>
            <w:tcW w:w="236" w:type="dxa"/>
          </w:tcPr>
          <w:p w14:paraId="155BC5DC" w14:textId="77777777" w:rsidR="00923319" w:rsidRPr="00A67277" w:rsidRDefault="00923319" w:rsidP="00923319">
            <w:pPr>
              <w:spacing w:before="120" w:after="120"/>
              <w:rPr>
                <w:rFonts w:ascii="Arial" w:hAnsi="Arial" w:cs="Arial"/>
                <w:sz w:val="21"/>
                <w:szCs w:val="21"/>
              </w:rPr>
            </w:pPr>
          </w:p>
        </w:tc>
        <w:tc>
          <w:tcPr>
            <w:tcW w:w="4526" w:type="dxa"/>
          </w:tcPr>
          <w:p w14:paraId="7CC23CEB"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Keseluruhan Perjanjian</w:t>
            </w:r>
          </w:p>
        </w:tc>
      </w:tr>
      <w:tr w:rsidR="00923319" w:rsidRPr="00A67277" w14:paraId="72F4EBFB" w14:textId="77777777" w:rsidTr="00923319">
        <w:tc>
          <w:tcPr>
            <w:tcW w:w="4949" w:type="dxa"/>
          </w:tcPr>
          <w:p w14:paraId="42F42C45" w14:textId="77777777" w:rsidR="00923319" w:rsidRPr="00A67277" w:rsidRDefault="00923319" w:rsidP="00923319">
            <w:pPr>
              <w:pStyle w:val="Body2"/>
              <w:numPr>
                <w:ilvl w:val="0"/>
                <w:numId w:val="658"/>
              </w:numPr>
              <w:spacing w:before="120" w:after="120"/>
              <w:ind w:left="1164" w:hanging="425"/>
              <w:rPr>
                <w:rFonts w:cs="Arial"/>
              </w:rPr>
            </w:pPr>
            <w:r w:rsidRPr="00A67277">
              <w:rPr>
                <w:rFonts w:cs="Arial"/>
              </w:rPr>
              <w:t>This Agreement (when read together with the Cooperation Agreement) contains or expressly is the entire agreement between the parties with respect to certain subjects of this Agreement and expressly excludes any warranties, conditions or other promises implied by the Law and supersedes all prior agreements and understanding between the parties in connection therewith and each party acknowledges and affirms that the party does not sign this Agreement relying upon any statement, warranty or other business which are not expressly reflected in the terms of this Agreement.</w:t>
            </w:r>
          </w:p>
        </w:tc>
        <w:tc>
          <w:tcPr>
            <w:tcW w:w="236" w:type="dxa"/>
          </w:tcPr>
          <w:p w14:paraId="2C532AE2" w14:textId="77777777" w:rsidR="00923319" w:rsidRPr="00A67277" w:rsidRDefault="00923319" w:rsidP="00923319">
            <w:pPr>
              <w:spacing w:before="120" w:after="120"/>
              <w:rPr>
                <w:rFonts w:ascii="Arial" w:hAnsi="Arial" w:cs="Arial"/>
                <w:sz w:val="21"/>
                <w:szCs w:val="21"/>
              </w:rPr>
            </w:pPr>
          </w:p>
        </w:tc>
        <w:tc>
          <w:tcPr>
            <w:tcW w:w="4526" w:type="dxa"/>
          </w:tcPr>
          <w:p w14:paraId="0DA0F573" w14:textId="77777777" w:rsidR="00923319" w:rsidRPr="00A67277" w:rsidRDefault="00923319" w:rsidP="00923319">
            <w:pPr>
              <w:pStyle w:val="SchNumber3"/>
              <w:numPr>
                <w:ilvl w:val="0"/>
                <w:numId w:val="659"/>
              </w:numPr>
              <w:spacing w:before="120" w:after="120"/>
              <w:ind w:left="1017" w:hanging="425"/>
              <w:rPr>
                <w:rFonts w:cs="Arial"/>
                <w:lang w:val="id-ID"/>
              </w:rPr>
            </w:pPr>
            <w:r w:rsidRPr="00A67277">
              <w:rPr>
                <w:rFonts w:cs="Arial"/>
              </w:rPr>
              <w:t xml:space="preserve">Perjanjian ini (ketika dibaca bersama-sama dengan Perjanjian Kerjasama) berisi atau tegas </w:t>
            </w:r>
            <w:r w:rsidRPr="00A67277">
              <w:rPr>
                <w:rFonts w:cs="Arial"/>
                <w:lang w:val="id-ID"/>
              </w:rPr>
              <w:t>merupakan</w:t>
            </w:r>
            <w:r w:rsidRPr="00A67277">
              <w:rPr>
                <w:rFonts w:cs="Arial"/>
              </w:rPr>
              <w:t xml:space="preserve"> keseluruhan perjanjian antara para pihak sehubungan dengan materi tertentu Perjanjian ini dan secara tegas mengecualikan setiap jaminan, kondisi atau janji  lain yang tersirat dari Hukum dan menggantikan semua perjanjian sebelumnya dan pemahaman antara para pihak sehubungan dengan hal tersebut dan masing-masing pihak mengakui dan menegaskan bahwa pihak tersebut tidak menandatangani Perjanjian ini dengan bergantung pada setiap pernyataan, jaminan atau usaha lainnya yang tidak sepenuhnya tercermin dalam ketentuan Perjanjian ini.</w:t>
            </w:r>
          </w:p>
        </w:tc>
      </w:tr>
      <w:tr w:rsidR="00923319" w:rsidRPr="00A67277" w14:paraId="3C0D109F" w14:textId="77777777" w:rsidTr="00923319">
        <w:tc>
          <w:tcPr>
            <w:tcW w:w="4949" w:type="dxa"/>
          </w:tcPr>
          <w:p w14:paraId="390DE6A8" w14:textId="77777777" w:rsidR="00923319" w:rsidRPr="00A67277" w:rsidRDefault="00923319" w:rsidP="00923319">
            <w:pPr>
              <w:pStyle w:val="Body2"/>
              <w:numPr>
                <w:ilvl w:val="0"/>
                <w:numId w:val="658"/>
              </w:numPr>
              <w:spacing w:before="120" w:after="120"/>
              <w:ind w:left="1164" w:hanging="425"/>
              <w:rPr>
                <w:rFonts w:cs="Arial"/>
              </w:rPr>
            </w:pPr>
            <w:r w:rsidRPr="00A67277">
              <w:rPr>
                <w:rFonts w:cs="Arial"/>
              </w:rPr>
              <w:t>Nothing in this Agreement is intended to or should be implemented to exclude or limit liability for fraud or missrepresentation.</w:t>
            </w:r>
          </w:p>
        </w:tc>
        <w:tc>
          <w:tcPr>
            <w:tcW w:w="236" w:type="dxa"/>
          </w:tcPr>
          <w:p w14:paraId="65569937" w14:textId="77777777" w:rsidR="00923319" w:rsidRPr="00A67277" w:rsidRDefault="00923319" w:rsidP="00923319">
            <w:pPr>
              <w:spacing w:before="120" w:after="120"/>
              <w:rPr>
                <w:rFonts w:ascii="Arial" w:hAnsi="Arial" w:cs="Arial"/>
                <w:sz w:val="21"/>
                <w:szCs w:val="21"/>
              </w:rPr>
            </w:pPr>
          </w:p>
        </w:tc>
        <w:tc>
          <w:tcPr>
            <w:tcW w:w="4526" w:type="dxa"/>
          </w:tcPr>
          <w:p w14:paraId="4640B92F" w14:textId="77777777" w:rsidR="00923319" w:rsidRPr="00A67277" w:rsidRDefault="00923319" w:rsidP="00923319">
            <w:pPr>
              <w:pStyle w:val="SchNumber3"/>
              <w:numPr>
                <w:ilvl w:val="0"/>
                <w:numId w:val="659"/>
              </w:numPr>
              <w:spacing w:before="120" w:after="120"/>
              <w:ind w:left="1017" w:hanging="425"/>
              <w:rPr>
                <w:rFonts w:cs="Arial"/>
                <w:lang w:val="id-ID"/>
              </w:rPr>
            </w:pPr>
            <w:r w:rsidRPr="00A67277">
              <w:rPr>
                <w:rFonts w:cs="Arial"/>
              </w:rPr>
              <w:t>Tidak ada dalam Perjanjian ini dimaksudkan untuk atau harus dilaksanakan untuk mengecualikan atau membatasi tanggung jawab atas penipuan atau pemberian informasi yang keliru.</w:t>
            </w:r>
          </w:p>
        </w:tc>
      </w:tr>
      <w:tr w:rsidR="00923319" w:rsidRPr="00A67277" w14:paraId="58CB4AFB" w14:textId="77777777" w:rsidTr="00923319">
        <w:tc>
          <w:tcPr>
            <w:tcW w:w="4949" w:type="dxa"/>
          </w:tcPr>
          <w:p w14:paraId="5C4387B7" w14:textId="77777777" w:rsidR="00923319" w:rsidRPr="00A67277" w:rsidRDefault="00923319" w:rsidP="00923319">
            <w:pPr>
              <w:pStyle w:val="SchNumber2"/>
              <w:spacing w:before="120" w:after="120"/>
              <w:rPr>
                <w:rFonts w:cs="Arial"/>
              </w:rPr>
            </w:pPr>
            <w:r w:rsidRPr="00A67277">
              <w:rPr>
                <w:rFonts w:cs="Arial"/>
              </w:rPr>
              <w:t>Modification and Waiver</w:t>
            </w:r>
          </w:p>
        </w:tc>
        <w:tc>
          <w:tcPr>
            <w:tcW w:w="236" w:type="dxa"/>
          </w:tcPr>
          <w:p w14:paraId="25BA5D29" w14:textId="77777777" w:rsidR="00923319" w:rsidRPr="00A67277" w:rsidRDefault="00923319" w:rsidP="00923319">
            <w:pPr>
              <w:spacing w:before="120" w:after="120"/>
              <w:rPr>
                <w:rFonts w:ascii="Arial" w:hAnsi="Arial" w:cs="Arial"/>
                <w:sz w:val="21"/>
                <w:szCs w:val="21"/>
              </w:rPr>
            </w:pPr>
          </w:p>
        </w:tc>
        <w:tc>
          <w:tcPr>
            <w:tcW w:w="4526" w:type="dxa"/>
          </w:tcPr>
          <w:p w14:paraId="7994B406"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Modifikasi dan Pengesampingan</w:t>
            </w:r>
          </w:p>
        </w:tc>
      </w:tr>
      <w:tr w:rsidR="00923319" w:rsidRPr="00A67277" w14:paraId="4ECC81EF" w14:textId="77777777" w:rsidTr="00923319">
        <w:tc>
          <w:tcPr>
            <w:tcW w:w="4949" w:type="dxa"/>
          </w:tcPr>
          <w:p w14:paraId="0A086251" w14:textId="77777777" w:rsidR="00923319" w:rsidRPr="00A67277" w:rsidRDefault="00923319" w:rsidP="00923319">
            <w:pPr>
              <w:pStyle w:val="Body2"/>
              <w:numPr>
                <w:ilvl w:val="0"/>
                <w:numId w:val="660"/>
              </w:numPr>
              <w:spacing w:before="120" w:after="120"/>
              <w:ind w:left="1164" w:hanging="425"/>
              <w:rPr>
                <w:rFonts w:cs="Arial"/>
              </w:rPr>
            </w:pPr>
            <w:r w:rsidRPr="00A67277">
              <w:rPr>
                <w:rFonts w:cs="Arial"/>
              </w:rPr>
              <w:t>Failure by any Party at any time to enforce any provision of this Agreement or the performance of any other Party in any provision of this Agreement shall not be construed as a waiver of such provision and shall not affect the validity of this Agreement or any part of or the rights of the parties to enforce any provision in accordance with its provisions</w:t>
            </w:r>
          </w:p>
        </w:tc>
        <w:tc>
          <w:tcPr>
            <w:tcW w:w="236" w:type="dxa"/>
          </w:tcPr>
          <w:p w14:paraId="7EB07CD0" w14:textId="77777777" w:rsidR="00923319" w:rsidRPr="00A67277" w:rsidRDefault="00923319" w:rsidP="00923319">
            <w:pPr>
              <w:spacing w:before="120" w:after="120"/>
              <w:rPr>
                <w:rFonts w:ascii="Arial" w:hAnsi="Arial" w:cs="Arial"/>
                <w:sz w:val="21"/>
                <w:szCs w:val="21"/>
              </w:rPr>
            </w:pPr>
          </w:p>
        </w:tc>
        <w:tc>
          <w:tcPr>
            <w:tcW w:w="4526" w:type="dxa"/>
          </w:tcPr>
          <w:p w14:paraId="53B12B07" w14:textId="77777777" w:rsidR="00923319" w:rsidRPr="00A67277" w:rsidRDefault="00923319" w:rsidP="00923319">
            <w:pPr>
              <w:pStyle w:val="SchNumber3"/>
              <w:numPr>
                <w:ilvl w:val="0"/>
                <w:numId w:val="661"/>
              </w:numPr>
              <w:spacing w:before="120" w:after="120"/>
              <w:ind w:left="1017" w:hanging="425"/>
              <w:rPr>
                <w:rFonts w:cs="Arial"/>
                <w:lang w:val="id-ID"/>
              </w:rPr>
            </w:pPr>
            <w:r w:rsidRPr="00A67277">
              <w:rPr>
                <w:rFonts w:cs="Arial"/>
              </w:rPr>
              <w:t>Kegagalan oleh Pihak manapun setiap saat dalam menegakkan setiap ketentuan dalam Perjanjian ini atau pelaksanaan oleh Pihak lain atas setiap ketentuan dalam Perjanjian ini tidak akan ditafsirkan sebagai pengesampingan ketentuan tersebut dan tidak akan mempengaruhi keabsahan Perjanjian ini atau setiap bagian dari atau hak pihak terkait untuk menegakkan setiap ketentuan sesuai dengan ketentuan-ketentuannya.</w:t>
            </w:r>
          </w:p>
        </w:tc>
      </w:tr>
      <w:tr w:rsidR="00923319" w:rsidRPr="00A67277" w14:paraId="1B50EEBC" w14:textId="77777777" w:rsidTr="00923319">
        <w:tc>
          <w:tcPr>
            <w:tcW w:w="4949" w:type="dxa"/>
          </w:tcPr>
          <w:p w14:paraId="16A1983A" w14:textId="77777777" w:rsidR="00923319" w:rsidRPr="00A67277" w:rsidRDefault="00923319" w:rsidP="00923319">
            <w:pPr>
              <w:pStyle w:val="Body2"/>
              <w:numPr>
                <w:ilvl w:val="0"/>
                <w:numId w:val="660"/>
              </w:numPr>
              <w:spacing w:before="120" w:after="120"/>
              <w:ind w:left="1164" w:hanging="425"/>
              <w:rPr>
                <w:rFonts w:cs="Arial"/>
              </w:rPr>
            </w:pPr>
            <w:r w:rsidRPr="00A67277">
              <w:rPr>
                <w:rFonts w:cs="Arial"/>
              </w:rPr>
              <w:t>either GCA nor IBE without the prior written consent of the other Party (which shall not be unreasonably withheld or delayed) may not:</w:t>
            </w:r>
          </w:p>
        </w:tc>
        <w:tc>
          <w:tcPr>
            <w:tcW w:w="236" w:type="dxa"/>
          </w:tcPr>
          <w:p w14:paraId="505999D9" w14:textId="77777777" w:rsidR="00923319" w:rsidRPr="00A67277" w:rsidRDefault="00923319" w:rsidP="00923319">
            <w:pPr>
              <w:spacing w:before="120" w:after="120"/>
              <w:rPr>
                <w:rFonts w:ascii="Arial" w:hAnsi="Arial" w:cs="Arial"/>
                <w:sz w:val="21"/>
                <w:szCs w:val="21"/>
              </w:rPr>
            </w:pPr>
          </w:p>
        </w:tc>
        <w:tc>
          <w:tcPr>
            <w:tcW w:w="4526" w:type="dxa"/>
          </w:tcPr>
          <w:p w14:paraId="186FFD31" w14:textId="77777777" w:rsidR="00923319" w:rsidRPr="00A67277" w:rsidRDefault="00923319" w:rsidP="00923319">
            <w:pPr>
              <w:pStyle w:val="SchNumber3"/>
              <w:numPr>
                <w:ilvl w:val="0"/>
                <w:numId w:val="661"/>
              </w:numPr>
              <w:spacing w:before="120" w:after="120"/>
              <w:ind w:left="1017" w:hanging="425"/>
              <w:rPr>
                <w:rFonts w:cs="Arial"/>
                <w:lang w:val="id-ID"/>
              </w:rPr>
            </w:pPr>
            <w:bookmarkStart w:id="458" w:name="_Hlk500954493"/>
            <w:r w:rsidRPr="00A67277">
              <w:rPr>
                <w:rFonts w:cs="Arial"/>
              </w:rPr>
              <w:t>Baik PJPK maupun BUP tanpa persetujuan tertulis Pihak lainnya terlebih dahulu (yang secara tidak wajar ditahan atau ditunda) tidak dapat:</w:t>
            </w:r>
            <w:bookmarkEnd w:id="458"/>
          </w:p>
        </w:tc>
      </w:tr>
      <w:tr w:rsidR="00923319" w:rsidRPr="00A67277" w14:paraId="69960C5B" w14:textId="77777777" w:rsidTr="00923319">
        <w:tc>
          <w:tcPr>
            <w:tcW w:w="4949" w:type="dxa"/>
          </w:tcPr>
          <w:p w14:paraId="0AE3630A" w14:textId="77777777" w:rsidR="00923319" w:rsidRPr="00A67277" w:rsidRDefault="00923319" w:rsidP="00923319">
            <w:pPr>
              <w:pStyle w:val="Body2"/>
              <w:numPr>
                <w:ilvl w:val="0"/>
                <w:numId w:val="662"/>
              </w:numPr>
              <w:spacing w:before="120" w:after="120"/>
              <w:ind w:left="1590" w:hanging="426"/>
              <w:rPr>
                <w:rFonts w:cs="Arial"/>
              </w:rPr>
            </w:pPr>
            <w:r w:rsidRPr="00A67277">
              <w:rPr>
                <w:rFonts w:cs="Arial"/>
              </w:rPr>
              <w:t>exclude, establish, compromise or otherwise discontinue any right or other claim from time to time to the Independent Supervisor Consultant; or</w:t>
            </w:r>
          </w:p>
        </w:tc>
        <w:tc>
          <w:tcPr>
            <w:tcW w:w="236" w:type="dxa"/>
          </w:tcPr>
          <w:p w14:paraId="505B27B6" w14:textId="77777777" w:rsidR="00923319" w:rsidRPr="00A67277" w:rsidRDefault="00923319" w:rsidP="00923319">
            <w:pPr>
              <w:spacing w:before="120" w:after="120"/>
              <w:rPr>
                <w:rFonts w:ascii="Arial" w:hAnsi="Arial" w:cs="Arial"/>
                <w:sz w:val="21"/>
                <w:szCs w:val="21"/>
              </w:rPr>
            </w:pPr>
          </w:p>
        </w:tc>
        <w:tc>
          <w:tcPr>
            <w:tcW w:w="4526" w:type="dxa"/>
          </w:tcPr>
          <w:p w14:paraId="540F49FB" w14:textId="77777777" w:rsidR="00923319" w:rsidRPr="00A67277" w:rsidRDefault="00923319" w:rsidP="00923319">
            <w:pPr>
              <w:pStyle w:val="SchNumber3"/>
              <w:numPr>
                <w:ilvl w:val="0"/>
                <w:numId w:val="663"/>
              </w:numPr>
              <w:spacing w:before="120" w:after="120"/>
              <w:ind w:left="1443" w:hanging="426"/>
              <w:rPr>
                <w:rFonts w:cs="Arial"/>
                <w:lang w:val="id-ID"/>
              </w:rPr>
            </w:pPr>
            <w:r w:rsidRPr="00A67277">
              <w:rPr>
                <w:rFonts w:cs="Arial"/>
              </w:rPr>
              <w:t>mengesampingkan, menetapkan, melakukan kompromi atau sebaliknya mengurangi setiap hak atau Klaim yang lain dari waktu ke waktu terhadap Konsultan Pengawas Independen; atau</w:t>
            </w:r>
          </w:p>
        </w:tc>
      </w:tr>
      <w:tr w:rsidR="00923319" w:rsidRPr="00A67277" w14:paraId="64E4E009" w14:textId="77777777" w:rsidTr="00923319">
        <w:tc>
          <w:tcPr>
            <w:tcW w:w="4949" w:type="dxa"/>
          </w:tcPr>
          <w:p w14:paraId="3C64E7A9" w14:textId="77777777" w:rsidR="00923319" w:rsidRPr="00A67277" w:rsidRDefault="00923319" w:rsidP="00923319">
            <w:pPr>
              <w:pStyle w:val="Body2"/>
              <w:numPr>
                <w:ilvl w:val="0"/>
                <w:numId w:val="662"/>
              </w:numPr>
              <w:spacing w:before="120" w:after="120"/>
              <w:ind w:left="1590" w:hanging="426"/>
              <w:rPr>
                <w:rFonts w:cs="Arial"/>
              </w:rPr>
            </w:pPr>
            <w:r w:rsidRPr="00A67277">
              <w:rPr>
                <w:rFonts w:cs="Arial"/>
              </w:rPr>
              <w:t>make Modification of the provisions of this Agreement or the scope of the Supervision Services.</w:t>
            </w:r>
          </w:p>
        </w:tc>
        <w:tc>
          <w:tcPr>
            <w:tcW w:w="236" w:type="dxa"/>
          </w:tcPr>
          <w:p w14:paraId="061807C1" w14:textId="77777777" w:rsidR="00923319" w:rsidRPr="00A67277" w:rsidRDefault="00923319" w:rsidP="00923319">
            <w:pPr>
              <w:spacing w:before="120" w:after="120"/>
              <w:rPr>
                <w:rFonts w:ascii="Arial" w:hAnsi="Arial" w:cs="Arial"/>
                <w:sz w:val="21"/>
                <w:szCs w:val="21"/>
              </w:rPr>
            </w:pPr>
          </w:p>
        </w:tc>
        <w:tc>
          <w:tcPr>
            <w:tcW w:w="4526" w:type="dxa"/>
          </w:tcPr>
          <w:p w14:paraId="62EE23EB" w14:textId="77777777" w:rsidR="00923319" w:rsidRPr="00A67277" w:rsidRDefault="00923319" w:rsidP="00923319">
            <w:pPr>
              <w:pStyle w:val="SchNumber3"/>
              <w:numPr>
                <w:ilvl w:val="0"/>
                <w:numId w:val="663"/>
              </w:numPr>
              <w:spacing w:before="120" w:after="120"/>
              <w:ind w:left="1443" w:hanging="426"/>
              <w:rPr>
                <w:rFonts w:cs="Arial"/>
                <w:lang w:val="id-ID"/>
              </w:rPr>
            </w:pPr>
            <w:r w:rsidRPr="00A67277">
              <w:rPr>
                <w:rFonts w:cs="Arial"/>
              </w:rPr>
              <w:t>melakukan modifikasi ketentuan Perjanjian ini atau lingkup Jasa Pengawasan.</w:t>
            </w:r>
          </w:p>
        </w:tc>
      </w:tr>
      <w:tr w:rsidR="00923319" w:rsidRPr="00A67277" w14:paraId="7935041F" w14:textId="77777777" w:rsidTr="00923319">
        <w:tc>
          <w:tcPr>
            <w:tcW w:w="4949" w:type="dxa"/>
          </w:tcPr>
          <w:p w14:paraId="3B73A82A" w14:textId="77777777" w:rsidR="00923319" w:rsidRPr="00A67277" w:rsidRDefault="00923319" w:rsidP="00923319">
            <w:pPr>
              <w:pStyle w:val="SchNumber2"/>
              <w:spacing w:before="120" w:after="120"/>
              <w:rPr>
                <w:rFonts w:cs="Arial"/>
              </w:rPr>
            </w:pPr>
            <w:r w:rsidRPr="00A67277">
              <w:rPr>
                <w:rFonts w:cs="Arial"/>
              </w:rPr>
              <w:t>Amendment of the Agreement</w:t>
            </w:r>
          </w:p>
        </w:tc>
        <w:tc>
          <w:tcPr>
            <w:tcW w:w="236" w:type="dxa"/>
          </w:tcPr>
          <w:p w14:paraId="5F072680" w14:textId="77777777" w:rsidR="00923319" w:rsidRPr="00A67277" w:rsidRDefault="00923319" w:rsidP="00923319">
            <w:pPr>
              <w:spacing w:before="120" w:after="120"/>
              <w:rPr>
                <w:rFonts w:ascii="Arial" w:hAnsi="Arial" w:cs="Arial"/>
                <w:sz w:val="21"/>
                <w:szCs w:val="21"/>
              </w:rPr>
            </w:pPr>
          </w:p>
        </w:tc>
        <w:tc>
          <w:tcPr>
            <w:tcW w:w="4526" w:type="dxa"/>
          </w:tcPr>
          <w:p w14:paraId="305CF523"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Perubahan Perjanjian</w:t>
            </w:r>
          </w:p>
        </w:tc>
      </w:tr>
      <w:tr w:rsidR="00923319" w:rsidRPr="00A67277" w14:paraId="5305C919" w14:textId="77777777" w:rsidTr="00923319">
        <w:tc>
          <w:tcPr>
            <w:tcW w:w="4949" w:type="dxa"/>
          </w:tcPr>
          <w:p w14:paraId="01EC1340" w14:textId="77777777" w:rsidR="00923319" w:rsidRPr="00A67277" w:rsidRDefault="00923319" w:rsidP="00923319">
            <w:pPr>
              <w:pStyle w:val="Body2"/>
              <w:spacing w:before="120" w:after="120"/>
              <w:rPr>
                <w:rFonts w:cs="Arial"/>
              </w:rPr>
            </w:pPr>
            <w:r w:rsidRPr="00A67277">
              <w:rPr>
                <w:rFonts w:cs="Arial"/>
              </w:rPr>
              <w:t>If under consideration by GCA the provisions of this Agreement are contradictory, incomplete, need to be amended or terminated pursuant to the Cooperation Agreement, the Independent Supervisor Consultant and IBE shall be in full compliance with such consideration and make any necessary change, addendum or action.</w:t>
            </w:r>
          </w:p>
        </w:tc>
        <w:tc>
          <w:tcPr>
            <w:tcW w:w="236" w:type="dxa"/>
          </w:tcPr>
          <w:p w14:paraId="58AB26A3" w14:textId="77777777" w:rsidR="00923319" w:rsidRPr="00A67277" w:rsidRDefault="00923319" w:rsidP="00923319">
            <w:pPr>
              <w:spacing w:before="120" w:after="120"/>
              <w:rPr>
                <w:rFonts w:ascii="Arial" w:hAnsi="Arial" w:cs="Arial"/>
                <w:sz w:val="21"/>
                <w:szCs w:val="21"/>
              </w:rPr>
            </w:pPr>
          </w:p>
        </w:tc>
        <w:tc>
          <w:tcPr>
            <w:tcW w:w="4526" w:type="dxa"/>
          </w:tcPr>
          <w:p w14:paraId="38F61163"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Apabila menurut pertimbangan PJPK ketentuan dalam Perjanjian ini bertentangan, kurang lengkap, perlu dirubah atau diakhiri berdasarkan Perjanjian Kerjasama, maka Konsultan Pengawas Independen dan BUP akan tunduk secara penuh atas pertimbangan tersebut dan melakukan perubahan, addendum atau tindakan yang diperlukan.</w:t>
            </w:r>
          </w:p>
        </w:tc>
      </w:tr>
      <w:tr w:rsidR="00923319" w:rsidRPr="00A67277" w14:paraId="457732D5" w14:textId="77777777" w:rsidTr="00923319">
        <w:tc>
          <w:tcPr>
            <w:tcW w:w="4949" w:type="dxa"/>
          </w:tcPr>
          <w:p w14:paraId="20009E86" w14:textId="77777777" w:rsidR="00923319" w:rsidRPr="00A67277" w:rsidRDefault="00923319" w:rsidP="00923319">
            <w:pPr>
              <w:pStyle w:val="SchNumber2"/>
              <w:spacing w:before="120" w:after="120"/>
              <w:rPr>
                <w:rFonts w:cs="Arial"/>
              </w:rPr>
            </w:pPr>
            <w:r w:rsidRPr="00A67277">
              <w:rPr>
                <w:rFonts w:cs="Arial"/>
                <w:lang w:val="id-ID"/>
              </w:rPr>
              <w:t>Counterparts</w:t>
            </w:r>
          </w:p>
        </w:tc>
        <w:tc>
          <w:tcPr>
            <w:tcW w:w="236" w:type="dxa"/>
          </w:tcPr>
          <w:p w14:paraId="52CE375F" w14:textId="77777777" w:rsidR="00923319" w:rsidRPr="00A67277" w:rsidRDefault="00923319" w:rsidP="00923319">
            <w:pPr>
              <w:spacing w:before="120" w:after="120"/>
              <w:rPr>
                <w:rFonts w:ascii="Arial" w:hAnsi="Arial" w:cs="Arial"/>
                <w:sz w:val="21"/>
                <w:szCs w:val="21"/>
              </w:rPr>
            </w:pPr>
          </w:p>
        </w:tc>
        <w:tc>
          <w:tcPr>
            <w:tcW w:w="4526" w:type="dxa"/>
          </w:tcPr>
          <w:p w14:paraId="4C2F164C"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Salinan</w:t>
            </w:r>
          </w:p>
        </w:tc>
      </w:tr>
      <w:tr w:rsidR="00923319" w:rsidRPr="00A67277" w14:paraId="45365D3A" w14:textId="77777777" w:rsidTr="00923319">
        <w:tc>
          <w:tcPr>
            <w:tcW w:w="4949" w:type="dxa"/>
          </w:tcPr>
          <w:p w14:paraId="08E5EB53" w14:textId="77777777" w:rsidR="00923319" w:rsidRPr="00A67277" w:rsidRDefault="00923319" w:rsidP="00923319">
            <w:pPr>
              <w:pStyle w:val="Body2"/>
              <w:spacing w:before="120" w:after="120"/>
              <w:rPr>
                <w:rFonts w:cs="Arial"/>
              </w:rPr>
            </w:pPr>
            <w:r w:rsidRPr="00A67277">
              <w:rPr>
                <w:rFonts w:cs="Arial"/>
                <w:lang w:val="id-ID"/>
              </w:rPr>
              <w:t>Each counterparts, which has been signed, delivered, and exchanges by the parties shall constitute a complete instrument and for all purposes</w:t>
            </w:r>
            <w:r w:rsidRPr="00A67277">
              <w:rPr>
                <w:rFonts w:cs="Arial"/>
              </w:rPr>
              <w:t xml:space="preserve">. </w:t>
            </w:r>
          </w:p>
        </w:tc>
        <w:tc>
          <w:tcPr>
            <w:tcW w:w="236" w:type="dxa"/>
          </w:tcPr>
          <w:p w14:paraId="77818FBD" w14:textId="77777777" w:rsidR="00923319" w:rsidRPr="00A67277" w:rsidRDefault="00923319" w:rsidP="00923319">
            <w:pPr>
              <w:spacing w:before="120" w:after="120"/>
              <w:rPr>
                <w:rFonts w:ascii="Arial" w:hAnsi="Arial" w:cs="Arial"/>
                <w:sz w:val="21"/>
                <w:szCs w:val="21"/>
              </w:rPr>
            </w:pPr>
          </w:p>
        </w:tc>
        <w:tc>
          <w:tcPr>
            <w:tcW w:w="4526" w:type="dxa"/>
          </w:tcPr>
          <w:p w14:paraId="40743587"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lang w:val="id-ID"/>
              </w:rPr>
              <w:t xml:space="preserve">Setiap salinan yang telah ditandangani, diserahkan dan saling diberikan oleh Para Pihak harus memuat </w:t>
            </w:r>
            <w:r w:rsidRPr="00A67277">
              <w:rPr>
                <w:rFonts w:cs="Arial"/>
              </w:rPr>
              <w:t xml:space="preserve">instrumen </w:t>
            </w:r>
            <w:r w:rsidRPr="00A67277">
              <w:rPr>
                <w:rFonts w:cs="Arial"/>
                <w:lang w:val="id-ID"/>
              </w:rPr>
              <w:t xml:space="preserve">yang lengkap dan </w:t>
            </w:r>
            <w:r w:rsidRPr="00A67277">
              <w:rPr>
                <w:rFonts w:cs="Arial"/>
              </w:rPr>
              <w:t xml:space="preserve">untuk seluruh tujuan. </w:t>
            </w:r>
          </w:p>
        </w:tc>
      </w:tr>
      <w:tr w:rsidR="00923319" w:rsidRPr="00A67277" w14:paraId="6510CC84" w14:textId="77777777" w:rsidTr="00923319">
        <w:tc>
          <w:tcPr>
            <w:tcW w:w="4949" w:type="dxa"/>
          </w:tcPr>
          <w:p w14:paraId="51A34419" w14:textId="77777777" w:rsidR="00923319" w:rsidRPr="00A67277" w:rsidRDefault="00923319" w:rsidP="00923319">
            <w:pPr>
              <w:pStyle w:val="SchNumber2"/>
              <w:spacing w:before="120" w:after="120"/>
              <w:rPr>
                <w:rFonts w:eastAsia="Times New Roman" w:cs="Arial"/>
                <w:bCs/>
                <w:lang w:eastAsia="zh-CN"/>
              </w:rPr>
            </w:pPr>
            <w:r w:rsidRPr="00A67277">
              <w:rPr>
                <w:rFonts w:cs="Arial"/>
              </w:rPr>
              <w:t>Severability</w:t>
            </w:r>
            <w:r w:rsidRPr="00A67277">
              <w:rPr>
                <w:rFonts w:eastAsia="Times New Roman" w:cs="Arial"/>
                <w:bCs/>
                <w:lang w:eastAsia="zh-CN"/>
              </w:rPr>
              <w:t xml:space="preserve"> of Provision</w:t>
            </w:r>
          </w:p>
        </w:tc>
        <w:tc>
          <w:tcPr>
            <w:tcW w:w="236" w:type="dxa"/>
          </w:tcPr>
          <w:p w14:paraId="7F785E9A" w14:textId="77777777" w:rsidR="00923319" w:rsidRPr="00A67277" w:rsidRDefault="00923319" w:rsidP="00923319">
            <w:pPr>
              <w:spacing w:before="120" w:after="120"/>
              <w:rPr>
                <w:rFonts w:ascii="Arial" w:hAnsi="Arial" w:cs="Arial"/>
                <w:sz w:val="21"/>
                <w:szCs w:val="21"/>
              </w:rPr>
            </w:pPr>
          </w:p>
        </w:tc>
        <w:tc>
          <w:tcPr>
            <w:tcW w:w="4526" w:type="dxa"/>
          </w:tcPr>
          <w:p w14:paraId="47D22CE3"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Keterpisahan</w:t>
            </w:r>
          </w:p>
        </w:tc>
      </w:tr>
      <w:tr w:rsidR="00923319" w:rsidRPr="00A67277" w14:paraId="68111E7B" w14:textId="77777777" w:rsidTr="00923319">
        <w:tc>
          <w:tcPr>
            <w:tcW w:w="4949" w:type="dxa"/>
          </w:tcPr>
          <w:p w14:paraId="5082CBCE" w14:textId="77777777" w:rsidR="00923319" w:rsidRPr="00A67277" w:rsidRDefault="00923319" w:rsidP="00923319">
            <w:pPr>
              <w:pStyle w:val="Body2"/>
              <w:spacing w:before="120" w:after="120"/>
              <w:rPr>
                <w:rFonts w:cs="Arial"/>
              </w:rPr>
            </w:pPr>
            <w:r w:rsidRPr="00A67277">
              <w:rPr>
                <w:rFonts w:cs="Arial"/>
              </w:rPr>
              <w:t>If any condition, Article or provision of this Agreement is not fundamental, is considered illegal or unenforceable, the validity or enforceability of any other provision of this Agreement shall not be affected by it</w:t>
            </w:r>
          </w:p>
        </w:tc>
        <w:tc>
          <w:tcPr>
            <w:tcW w:w="236" w:type="dxa"/>
          </w:tcPr>
          <w:p w14:paraId="44D16E3C" w14:textId="77777777" w:rsidR="00923319" w:rsidRPr="00A67277" w:rsidRDefault="00923319" w:rsidP="00923319">
            <w:pPr>
              <w:spacing w:before="120" w:after="120"/>
              <w:rPr>
                <w:rFonts w:ascii="Arial" w:hAnsi="Arial" w:cs="Arial"/>
                <w:sz w:val="21"/>
                <w:szCs w:val="21"/>
              </w:rPr>
            </w:pPr>
          </w:p>
        </w:tc>
        <w:tc>
          <w:tcPr>
            <w:tcW w:w="4526" w:type="dxa"/>
          </w:tcPr>
          <w:p w14:paraId="317EC9D1"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Jika setiap kondisi, pasal atau ketentuan dalam Perjanjian ini tidak bersifat fundamental, yang dianggap ilegal atau tidak dapat diberlakukan, keabsahan atau keberlakukan ketentuan lain dari Perjanjian ini tidak akan dipengaruhi hal tersebut.</w:t>
            </w:r>
          </w:p>
        </w:tc>
      </w:tr>
      <w:tr w:rsidR="00923319" w:rsidRPr="00A67277" w14:paraId="0A31948E" w14:textId="77777777" w:rsidTr="00923319">
        <w:tc>
          <w:tcPr>
            <w:tcW w:w="4949" w:type="dxa"/>
          </w:tcPr>
          <w:p w14:paraId="73CB406D" w14:textId="77777777" w:rsidR="00923319" w:rsidRPr="00A67277" w:rsidRDefault="00923319" w:rsidP="00923319">
            <w:pPr>
              <w:pStyle w:val="SchNumber2"/>
              <w:spacing w:before="120" w:after="120"/>
              <w:rPr>
                <w:rFonts w:cs="Arial"/>
              </w:rPr>
            </w:pPr>
            <w:r w:rsidRPr="00A67277">
              <w:rPr>
                <w:rFonts w:cs="Arial"/>
              </w:rPr>
              <w:t>Costs and Expenses</w:t>
            </w:r>
          </w:p>
        </w:tc>
        <w:tc>
          <w:tcPr>
            <w:tcW w:w="236" w:type="dxa"/>
          </w:tcPr>
          <w:p w14:paraId="57739D71" w14:textId="77777777" w:rsidR="00923319" w:rsidRPr="00A67277" w:rsidRDefault="00923319" w:rsidP="00923319">
            <w:pPr>
              <w:spacing w:before="120" w:after="120"/>
              <w:rPr>
                <w:rFonts w:ascii="Arial" w:hAnsi="Arial" w:cs="Arial"/>
                <w:sz w:val="21"/>
                <w:szCs w:val="21"/>
              </w:rPr>
            </w:pPr>
          </w:p>
        </w:tc>
        <w:tc>
          <w:tcPr>
            <w:tcW w:w="4526" w:type="dxa"/>
          </w:tcPr>
          <w:p w14:paraId="096BDE08"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Biaya dan Pengeluaran</w:t>
            </w:r>
          </w:p>
        </w:tc>
      </w:tr>
      <w:tr w:rsidR="00923319" w:rsidRPr="00A67277" w14:paraId="21FF0BEE" w14:textId="77777777" w:rsidTr="00923319">
        <w:tc>
          <w:tcPr>
            <w:tcW w:w="4949" w:type="dxa"/>
          </w:tcPr>
          <w:p w14:paraId="2B1CAF2E" w14:textId="77777777" w:rsidR="00923319" w:rsidRPr="00A67277" w:rsidRDefault="00923319" w:rsidP="00923319">
            <w:pPr>
              <w:pStyle w:val="Body2"/>
              <w:spacing w:before="120" w:after="120"/>
              <w:rPr>
                <w:rFonts w:cs="Arial"/>
              </w:rPr>
            </w:pPr>
            <w:r w:rsidRPr="00A67277">
              <w:rPr>
                <w:rFonts w:cs="Arial"/>
              </w:rPr>
              <w:t xml:space="preserve">Except otherwise provided in this Agreement, each Party shall be responsible for paying its </w:t>
            </w:r>
            <w:r w:rsidRPr="00A67277">
              <w:rPr>
                <w:rFonts w:cs="Arial"/>
                <w:lang w:val="id-ID"/>
              </w:rPr>
              <w:t>costs</w:t>
            </w:r>
            <w:r w:rsidRPr="00A67277">
              <w:rPr>
                <w:rFonts w:cs="Arial"/>
              </w:rPr>
              <w:t xml:space="preserve"> and expenses in connection with the negotiation, preparation and execution of this Agreement.</w:t>
            </w:r>
          </w:p>
        </w:tc>
        <w:tc>
          <w:tcPr>
            <w:tcW w:w="236" w:type="dxa"/>
          </w:tcPr>
          <w:p w14:paraId="067935E8" w14:textId="77777777" w:rsidR="00923319" w:rsidRPr="00A67277" w:rsidRDefault="00923319" w:rsidP="00923319">
            <w:pPr>
              <w:spacing w:before="120" w:after="120"/>
              <w:rPr>
                <w:rFonts w:ascii="Arial" w:hAnsi="Arial" w:cs="Arial"/>
                <w:sz w:val="21"/>
                <w:szCs w:val="21"/>
              </w:rPr>
            </w:pPr>
          </w:p>
        </w:tc>
        <w:tc>
          <w:tcPr>
            <w:tcW w:w="4526" w:type="dxa"/>
          </w:tcPr>
          <w:p w14:paraId="7315AF9D"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Kecuali diatur secara rinci berdasarkan Perjanjian ini, setiap Pihak harus bertanggung jawab untuk membayar biaya dan pengeluaran miliknya sehubungan dengan negosiasi, persiapan dan pelaksanaan Perjanjian ini.</w:t>
            </w:r>
          </w:p>
        </w:tc>
      </w:tr>
      <w:tr w:rsidR="00923319" w:rsidRPr="00A67277" w14:paraId="31469606" w14:textId="77777777" w:rsidTr="00923319">
        <w:tc>
          <w:tcPr>
            <w:tcW w:w="4949" w:type="dxa"/>
          </w:tcPr>
          <w:p w14:paraId="50796088" w14:textId="77777777" w:rsidR="00923319" w:rsidRPr="00A67277" w:rsidRDefault="00923319" w:rsidP="00923319">
            <w:pPr>
              <w:pStyle w:val="SchNumber2"/>
              <w:spacing w:before="120" w:after="120"/>
              <w:rPr>
                <w:rFonts w:cs="Arial"/>
              </w:rPr>
            </w:pPr>
            <w:r w:rsidRPr="00A67277">
              <w:rPr>
                <w:rFonts w:cs="Arial"/>
                <w:lang w:val="id-ID"/>
              </w:rPr>
              <w:t>Amendments</w:t>
            </w:r>
          </w:p>
        </w:tc>
        <w:tc>
          <w:tcPr>
            <w:tcW w:w="236" w:type="dxa"/>
          </w:tcPr>
          <w:p w14:paraId="5B792EA6" w14:textId="77777777" w:rsidR="00923319" w:rsidRPr="00A67277" w:rsidRDefault="00923319" w:rsidP="00923319">
            <w:pPr>
              <w:spacing w:before="120" w:after="120"/>
              <w:rPr>
                <w:rFonts w:ascii="Arial" w:hAnsi="Arial" w:cs="Arial"/>
                <w:sz w:val="21"/>
                <w:szCs w:val="21"/>
              </w:rPr>
            </w:pPr>
          </w:p>
        </w:tc>
        <w:tc>
          <w:tcPr>
            <w:tcW w:w="4526" w:type="dxa"/>
          </w:tcPr>
          <w:p w14:paraId="52FF9010"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Perubahan</w:t>
            </w:r>
          </w:p>
        </w:tc>
      </w:tr>
      <w:tr w:rsidR="00923319" w:rsidRPr="00A67277" w14:paraId="62890924" w14:textId="77777777" w:rsidTr="00923319">
        <w:tc>
          <w:tcPr>
            <w:tcW w:w="4949" w:type="dxa"/>
          </w:tcPr>
          <w:p w14:paraId="7BF62058" w14:textId="77777777" w:rsidR="00923319" w:rsidRPr="00A67277" w:rsidRDefault="00923319" w:rsidP="00923319">
            <w:pPr>
              <w:pStyle w:val="Body2"/>
              <w:spacing w:before="120" w:after="120"/>
              <w:rPr>
                <w:rFonts w:cs="Arial"/>
              </w:rPr>
            </w:pPr>
            <w:r w:rsidRPr="00A67277">
              <w:rPr>
                <w:rFonts w:cs="Arial"/>
                <w:shd w:val="clear" w:color="auto" w:fill="FFFFFF"/>
              </w:rPr>
              <w:t xml:space="preserve">No amendment </w:t>
            </w:r>
            <w:r w:rsidRPr="00A67277">
              <w:rPr>
                <w:rFonts w:cs="Arial"/>
                <w:shd w:val="clear" w:color="auto" w:fill="FFFFFF"/>
                <w:lang w:val="id-ID"/>
              </w:rPr>
              <w:t xml:space="preserve">to </w:t>
            </w:r>
            <w:r w:rsidRPr="00A67277">
              <w:rPr>
                <w:rFonts w:cs="Arial"/>
                <w:shd w:val="clear" w:color="auto" w:fill="FFFFFF"/>
              </w:rPr>
              <w:t xml:space="preserve">this Agreement shall become binding unless </w:t>
            </w:r>
            <w:r w:rsidRPr="00A67277">
              <w:rPr>
                <w:rFonts w:cs="Arial"/>
                <w:shd w:val="clear" w:color="auto" w:fill="FFFFFF"/>
                <w:lang w:val="id-ID"/>
              </w:rPr>
              <w:t xml:space="preserve">made </w:t>
            </w:r>
            <w:r w:rsidRPr="00A67277">
              <w:rPr>
                <w:rFonts w:cs="Arial"/>
                <w:shd w:val="clear" w:color="auto" w:fill="FFFFFF"/>
              </w:rPr>
              <w:t>in writing and signed by authorized representative of the Parties.</w:t>
            </w:r>
          </w:p>
        </w:tc>
        <w:tc>
          <w:tcPr>
            <w:tcW w:w="236" w:type="dxa"/>
          </w:tcPr>
          <w:p w14:paraId="2C43CAB4" w14:textId="77777777" w:rsidR="00923319" w:rsidRPr="00A67277" w:rsidRDefault="00923319" w:rsidP="00923319">
            <w:pPr>
              <w:spacing w:before="120" w:after="120"/>
              <w:rPr>
                <w:rFonts w:ascii="Arial" w:hAnsi="Arial" w:cs="Arial"/>
                <w:sz w:val="21"/>
                <w:szCs w:val="21"/>
              </w:rPr>
            </w:pPr>
          </w:p>
        </w:tc>
        <w:tc>
          <w:tcPr>
            <w:tcW w:w="4526" w:type="dxa"/>
          </w:tcPr>
          <w:p w14:paraId="3FC4233F"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cs="Arial"/>
              </w:rPr>
              <w:t>Tidak ada perubahan Perjanjian ini menjadi mengikat kecuali secara tertulis dan ditandatangani oleh wakil Para Pihak yang memiliki kewenangan</w:t>
            </w:r>
            <w:r w:rsidRPr="00A67277">
              <w:rPr>
                <w:rFonts w:cs="Arial"/>
                <w:shd w:val="clear" w:color="auto" w:fill="FFFFFF"/>
              </w:rPr>
              <w:t>.</w:t>
            </w:r>
          </w:p>
        </w:tc>
      </w:tr>
      <w:tr w:rsidR="00923319" w:rsidRPr="00A67277" w14:paraId="4653D714" w14:textId="77777777" w:rsidTr="00923319">
        <w:tc>
          <w:tcPr>
            <w:tcW w:w="4949" w:type="dxa"/>
          </w:tcPr>
          <w:p w14:paraId="3E30A170" w14:textId="77777777" w:rsidR="00923319" w:rsidRPr="00A67277" w:rsidRDefault="00923319" w:rsidP="00923319">
            <w:pPr>
              <w:pStyle w:val="SchNumber2"/>
              <w:spacing w:before="120" w:after="120"/>
              <w:rPr>
                <w:rFonts w:cs="Arial"/>
              </w:rPr>
            </w:pPr>
            <w:r w:rsidRPr="00A67277">
              <w:rPr>
                <w:rFonts w:cs="Arial"/>
              </w:rPr>
              <w:t>Governing Law and Settlement of Disputes</w:t>
            </w:r>
          </w:p>
        </w:tc>
        <w:tc>
          <w:tcPr>
            <w:tcW w:w="236" w:type="dxa"/>
          </w:tcPr>
          <w:p w14:paraId="6AAE2D16" w14:textId="77777777" w:rsidR="00923319" w:rsidRPr="00A67277" w:rsidRDefault="00923319" w:rsidP="00923319">
            <w:pPr>
              <w:spacing w:before="120" w:after="120"/>
              <w:rPr>
                <w:rFonts w:ascii="Arial" w:hAnsi="Arial" w:cs="Arial"/>
                <w:sz w:val="21"/>
                <w:szCs w:val="21"/>
              </w:rPr>
            </w:pPr>
          </w:p>
        </w:tc>
        <w:tc>
          <w:tcPr>
            <w:tcW w:w="4526" w:type="dxa"/>
          </w:tcPr>
          <w:p w14:paraId="3704984F" w14:textId="77777777" w:rsidR="00923319" w:rsidRPr="00A67277" w:rsidRDefault="00923319" w:rsidP="00923319">
            <w:pPr>
              <w:pStyle w:val="SchNumber2"/>
              <w:numPr>
                <w:ilvl w:val="1"/>
                <w:numId w:val="657"/>
              </w:numPr>
              <w:spacing w:before="120" w:after="120"/>
              <w:ind w:left="592" w:hanging="592"/>
              <w:rPr>
                <w:rFonts w:cs="Arial"/>
                <w:lang w:val="de-DE"/>
              </w:rPr>
            </w:pPr>
            <w:r w:rsidRPr="00A67277">
              <w:rPr>
                <w:rFonts w:cs="Arial"/>
                <w:lang w:val="de-DE"/>
              </w:rPr>
              <w:t>Hukum Yang Berlaku dan Penyelesaian Sengketa</w:t>
            </w:r>
          </w:p>
        </w:tc>
      </w:tr>
      <w:tr w:rsidR="00923319" w:rsidRPr="00A67277" w14:paraId="0B40A864" w14:textId="77777777" w:rsidTr="00923319">
        <w:tc>
          <w:tcPr>
            <w:tcW w:w="4949" w:type="dxa"/>
          </w:tcPr>
          <w:p w14:paraId="196F05F1" w14:textId="77777777" w:rsidR="00923319" w:rsidRPr="00A67277" w:rsidRDefault="00923319" w:rsidP="00923319">
            <w:pPr>
              <w:pStyle w:val="Body2"/>
              <w:numPr>
                <w:ilvl w:val="0"/>
                <w:numId w:val="664"/>
              </w:numPr>
              <w:spacing w:before="120" w:after="120"/>
              <w:ind w:left="1164" w:hanging="425"/>
              <w:rPr>
                <w:rFonts w:cs="Arial"/>
              </w:rPr>
            </w:pPr>
            <w:r w:rsidRPr="00A67277">
              <w:rPr>
                <w:rFonts w:cs="Arial"/>
              </w:rPr>
              <w:t>This Agreement shall be governed by, and construed in accordance with, the laws of the Republic of Indonesia.</w:t>
            </w:r>
          </w:p>
        </w:tc>
        <w:tc>
          <w:tcPr>
            <w:tcW w:w="236" w:type="dxa"/>
          </w:tcPr>
          <w:p w14:paraId="5343A2B3" w14:textId="77777777" w:rsidR="00923319" w:rsidRPr="00A67277" w:rsidRDefault="00923319" w:rsidP="00923319">
            <w:pPr>
              <w:spacing w:before="120" w:after="120"/>
              <w:rPr>
                <w:rFonts w:ascii="Arial" w:hAnsi="Arial" w:cs="Arial"/>
                <w:sz w:val="21"/>
                <w:szCs w:val="21"/>
              </w:rPr>
            </w:pPr>
          </w:p>
        </w:tc>
        <w:tc>
          <w:tcPr>
            <w:tcW w:w="4526" w:type="dxa"/>
          </w:tcPr>
          <w:p w14:paraId="64C5970D" w14:textId="77777777" w:rsidR="00923319" w:rsidRPr="00A67277" w:rsidRDefault="00923319" w:rsidP="00923319">
            <w:pPr>
              <w:pStyle w:val="SchNumber3"/>
              <w:numPr>
                <w:ilvl w:val="0"/>
                <w:numId w:val="665"/>
              </w:numPr>
              <w:spacing w:before="120" w:after="120"/>
              <w:ind w:left="1017" w:hanging="425"/>
              <w:rPr>
                <w:rFonts w:cs="Arial"/>
                <w:lang w:val="id-ID"/>
              </w:rPr>
            </w:pPr>
            <w:r w:rsidRPr="00A67277">
              <w:rPr>
                <w:rFonts w:cs="Arial"/>
              </w:rPr>
              <w:t>Perjanjian ini diatur oleh dan ditafsirkan dalam segala hal sesuai dengan Hukum Indonesia.</w:t>
            </w:r>
          </w:p>
        </w:tc>
      </w:tr>
      <w:tr w:rsidR="00923319" w:rsidRPr="00A67277" w14:paraId="56714C65" w14:textId="77777777" w:rsidTr="00923319">
        <w:tc>
          <w:tcPr>
            <w:tcW w:w="4949" w:type="dxa"/>
          </w:tcPr>
          <w:p w14:paraId="4A88AF90" w14:textId="77777777" w:rsidR="00923319" w:rsidRPr="00A67277" w:rsidRDefault="00923319" w:rsidP="00923319">
            <w:pPr>
              <w:pStyle w:val="Body2"/>
              <w:numPr>
                <w:ilvl w:val="0"/>
                <w:numId w:val="664"/>
              </w:numPr>
              <w:spacing w:before="120" w:after="120"/>
              <w:ind w:left="1164" w:hanging="425"/>
              <w:rPr>
                <w:rFonts w:cs="Arial"/>
              </w:rPr>
            </w:pPr>
            <w:r w:rsidRPr="00A67277">
              <w:rPr>
                <w:rFonts w:cs="Arial"/>
              </w:rPr>
              <w:t>All disputes shall be settled in accordance with the equivalent terms (</w:t>
            </w:r>
            <w:r w:rsidRPr="00A67277">
              <w:rPr>
                <w:rFonts w:cs="Arial"/>
                <w:i/>
              </w:rPr>
              <w:t>mutatis mutandis</w:t>
            </w:r>
            <w:r w:rsidRPr="00A67277">
              <w:rPr>
                <w:rFonts w:cs="Arial"/>
              </w:rPr>
              <w:t>) with the procedure of dispute resolution as provided in Article 28 (</w:t>
            </w:r>
            <w:r w:rsidRPr="00A67277">
              <w:rPr>
                <w:rFonts w:cs="Arial"/>
                <w:i/>
              </w:rPr>
              <w:t>Settlement of Dispute</w:t>
            </w:r>
            <w:r w:rsidRPr="00A67277">
              <w:rPr>
                <w:rFonts w:cs="Arial"/>
              </w:rPr>
              <w:t>) of the Cooperation Agreement. The Parties shall cooperate to facilitate precisely, fairly, prompt and economic resolution of any and all such disputes arising under this Agreement.</w:t>
            </w:r>
          </w:p>
        </w:tc>
        <w:tc>
          <w:tcPr>
            <w:tcW w:w="236" w:type="dxa"/>
          </w:tcPr>
          <w:p w14:paraId="78C3F9BB" w14:textId="77777777" w:rsidR="00923319" w:rsidRPr="00A67277" w:rsidRDefault="00923319" w:rsidP="00923319">
            <w:pPr>
              <w:spacing w:before="120" w:after="120"/>
              <w:rPr>
                <w:rFonts w:ascii="Arial" w:hAnsi="Arial" w:cs="Arial"/>
                <w:sz w:val="21"/>
                <w:szCs w:val="21"/>
              </w:rPr>
            </w:pPr>
          </w:p>
        </w:tc>
        <w:tc>
          <w:tcPr>
            <w:tcW w:w="4526" w:type="dxa"/>
          </w:tcPr>
          <w:p w14:paraId="115073A5" w14:textId="77777777" w:rsidR="00923319" w:rsidRPr="00A67277" w:rsidRDefault="00923319" w:rsidP="00923319">
            <w:pPr>
              <w:pStyle w:val="SchNumber3"/>
              <w:numPr>
                <w:ilvl w:val="0"/>
                <w:numId w:val="665"/>
              </w:numPr>
              <w:spacing w:before="120" w:after="120"/>
              <w:ind w:left="1017" w:hanging="425"/>
              <w:rPr>
                <w:rFonts w:cs="Arial"/>
                <w:lang w:val="id-ID"/>
              </w:rPr>
            </w:pPr>
            <w:r w:rsidRPr="00A67277">
              <w:rPr>
                <w:rFonts w:cs="Arial"/>
              </w:rPr>
              <w:t>Semua sengketa harus diselesaikan sesuai dengan syarat yang setara (</w:t>
            </w:r>
            <w:r w:rsidRPr="00A67277">
              <w:rPr>
                <w:rFonts w:cs="Arial"/>
                <w:i/>
              </w:rPr>
              <w:t>mutatis mutandis</w:t>
            </w:r>
            <w:r w:rsidRPr="00A67277">
              <w:rPr>
                <w:rFonts w:cs="Arial"/>
              </w:rPr>
              <w:t>) dengan prosedur penyelesaian sengketa sebagaimana diatur dalam Pasal 28 (</w:t>
            </w:r>
            <w:r w:rsidRPr="00A67277">
              <w:rPr>
                <w:rFonts w:cs="Arial"/>
                <w:i/>
              </w:rPr>
              <w:t>Penyelesaian Sengketa</w:t>
            </w:r>
            <w:r w:rsidRPr="00A67277">
              <w:rPr>
                <w:rFonts w:cs="Arial"/>
              </w:rPr>
              <w:t>) dari Perjanjian Kerjasama. Para Pihak harus bekerjasama untuk memfasilitasi secara tepat, adil, resolusi ekonomis dan cepat dari setiap dan semua sengketa tersebut yang timbul berdasarkan Perjanjian ini.</w:t>
            </w:r>
          </w:p>
        </w:tc>
      </w:tr>
      <w:tr w:rsidR="00923319" w:rsidRPr="00A67277" w14:paraId="52C45D22" w14:textId="77777777" w:rsidTr="00923319">
        <w:tc>
          <w:tcPr>
            <w:tcW w:w="4949" w:type="dxa"/>
          </w:tcPr>
          <w:p w14:paraId="538C9528" w14:textId="77777777" w:rsidR="00923319" w:rsidRPr="00A67277" w:rsidRDefault="00923319" w:rsidP="00923319">
            <w:pPr>
              <w:pStyle w:val="Body2"/>
              <w:numPr>
                <w:ilvl w:val="0"/>
                <w:numId w:val="664"/>
              </w:numPr>
              <w:spacing w:before="120" w:after="120"/>
              <w:ind w:left="1164" w:hanging="425"/>
              <w:rPr>
                <w:rFonts w:cs="Arial"/>
              </w:rPr>
            </w:pPr>
            <w:r w:rsidRPr="00A67277">
              <w:rPr>
                <w:rFonts w:cs="Arial"/>
              </w:rPr>
              <w:t>The Parties hereby waive the provisions of Article 1266 and 1267 of the Indonesia Civil Code with respect to this Agreement to the extent that such waiver is necessary to enable the termination on this Agreement in accordance with its provisions without the need of any court approvals.</w:t>
            </w:r>
          </w:p>
        </w:tc>
        <w:tc>
          <w:tcPr>
            <w:tcW w:w="236" w:type="dxa"/>
          </w:tcPr>
          <w:p w14:paraId="534310E6" w14:textId="77777777" w:rsidR="00923319" w:rsidRPr="00A67277" w:rsidRDefault="00923319" w:rsidP="00923319">
            <w:pPr>
              <w:spacing w:before="120" w:after="120"/>
              <w:rPr>
                <w:rFonts w:ascii="Arial" w:hAnsi="Arial" w:cs="Arial"/>
                <w:sz w:val="21"/>
                <w:szCs w:val="21"/>
              </w:rPr>
            </w:pPr>
          </w:p>
        </w:tc>
        <w:tc>
          <w:tcPr>
            <w:tcW w:w="4526" w:type="dxa"/>
          </w:tcPr>
          <w:p w14:paraId="4EEC1A93" w14:textId="47324B50" w:rsidR="00923319" w:rsidRPr="00A67277" w:rsidRDefault="00923319" w:rsidP="00923319">
            <w:pPr>
              <w:pStyle w:val="SchNumber3"/>
              <w:numPr>
                <w:ilvl w:val="0"/>
                <w:numId w:val="665"/>
              </w:numPr>
              <w:spacing w:before="120" w:after="120"/>
              <w:ind w:left="1017" w:hanging="425"/>
              <w:rPr>
                <w:rFonts w:cs="Arial"/>
                <w:lang w:val="id-ID"/>
              </w:rPr>
            </w:pPr>
            <w:r w:rsidRPr="00A67277">
              <w:rPr>
                <w:rFonts w:cs="Arial"/>
              </w:rPr>
              <w:t xml:space="preserve">Para Pihak dengan ini mengenyampingkan ketentuan Pasal 1266 dan 1267 dari Kitab Undang-Undang Hukum Perdata </w:t>
            </w:r>
            <w:r w:rsidR="002372FD" w:rsidRPr="00A67277">
              <w:rPr>
                <w:rFonts w:cs="Arial"/>
              </w:rPr>
              <w:t xml:space="preserve">Indonesia </w:t>
            </w:r>
            <w:r w:rsidRPr="00A67277">
              <w:rPr>
                <w:rFonts w:cs="Arial"/>
              </w:rPr>
              <w:t>sehubungan dengan pengakhiran Perjanjian ini sepanjang pengenyampingan tersebut diperlukan untuk memungkinkan pengakhiran Perjanjian ini sesuai dengan ketentuannya tanpa diperlukannya persetujuan pengadilan.</w:t>
            </w:r>
          </w:p>
        </w:tc>
      </w:tr>
      <w:tr w:rsidR="00923319" w:rsidRPr="00A67277" w14:paraId="71C94305" w14:textId="77777777" w:rsidTr="00923319">
        <w:tc>
          <w:tcPr>
            <w:tcW w:w="4949" w:type="dxa"/>
          </w:tcPr>
          <w:p w14:paraId="5235B220" w14:textId="77777777" w:rsidR="00923319" w:rsidRPr="00A67277" w:rsidRDefault="00923319" w:rsidP="00923319">
            <w:pPr>
              <w:pStyle w:val="SchNumber2"/>
              <w:spacing w:before="120" w:after="120"/>
              <w:rPr>
                <w:rFonts w:cs="Arial"/>
              </w:rPr>
            </w:pPr>
            <w:r w:rsidRPr="00A67277">
              <w:rPr>
                <w:rFonts w:cs="Arial"/>
              </w:rPr>
              <w:t>Language</w:t>
            </w:r>
          </w:p>
        </w:tc>
        <w:tc>
          <w:tcPr>
            <w:tcW w:w="236" w:type="dxa"/>
          </w:tcPr>
          <w:p w14:paraId="70FF481E" w14:textId="77777777" w:rsidR="00923319" w:rsidRPr="00A67277" w:rsidRDefault="00923319" w:rsidP="00923319">
            <w:pPr>
              <w:spacing w:before="120" w:after="120"/>
              <w:rPr>
                <w:rFonts w:ascii="Arial" w:hAnsi="Arial" w:cs="Arial"/>
                <w:sz w:val="21"/>
                <w:szCs w:val="21"/>
              </w:rPr>
            </w:pPr>
          </w:p>
        </w:tc>
        <w:tc>
          <w:tcPr>
            <w:tcW w:w="4526" w:type="dxa"/>
          </w:tcPr>
          <w:p w14:paraId="0C7EA694" w14:textId="77777777" w:rsidR="00923319" w:rsidRPr="00A67277" w:rsidRDefault="00923319" w:rsidP="00923319">
            <w:pPr>
              <w:pStyle w:val="SchNumber2"/>
              <w:numPr>
                <w:ilvl w:val="1"/>
                <w:numId w:val="657"/>
              </w:numPr>
              <w:spacing w:before="120" w:after="120"/>
              <w:ind w:left="592" w:hanging="592"/>
              <w:rPr>
                <w:rFonts w:cs="Arial"/>
                <w:lang w:val="id-ID"/>
              </w:rPr>
            </w:pPr>
            <w:r w:rsidRPr="00A67277">
              <w:rPr>
                <w:rFonts w:cs="Arial"/>
              </w:rPr>
              <w:t>Bahasa</w:t>
            </w:r>
          </w:p>
        </w:tc>
      </w:tr>
      <w:tr w:rsidR="00923319" w:rsidRPr="00A67277" w14:paraId="00C0BF84" w14:textId="77777777" w:rsidTr="00923319">
        <w:tc>
          <w:tcPr>
            <w:tcW w:w="4949" w:type="dxa"/>
          </w:tcPr>
          <w:p w14:paraId="511D0D0D" w14:textId="77777777" w:rsidR="00923319" w:rsidRPr="00A67277" w:rsidRDefault="00923319" w:rsidP="00923319">
            <w:pPr>
              <w:pStyle w:val="Body2"/>
              <w:spacing w:before="120" w:after="120"/>
              <w:rPr>
                <w:rFonts w:cs="Arial"/>
              </w:rPr>
            </w:pPr>
            <w:r w:rsidRPr="00A67277">
              <w:rPr>
                <w:rFonts w:cs="Arial"/>
              </w:rPr>
              <w:t xml:space="preserve">This Agreement </w:t>
            </w:r>
            <w:r w:rsidRPr="00A67277">
              <w:rPr>
                <w:rFonts w:cs="Arial"/>
                <w:lang w:val="id-ID"/>
              </w:rPr>
              <w:t>is</w:t>
            </w:r>
            <w:r w:rsidRPr="00A67277">
              <w:rPr>
                <w:rFonts w:cs="Arial"/>
              </w:rPr>
              <w:t xml:space="preserve"> executed in Bahasa Indonesia and English versions. </w:t>
            </w:r>
            <w:r w:rsidRPr="00A67277">
              <w:rPr>
                <w:rFonts w:eastAsia="Times New Roman" w:cs="Arial"/>
                <w:lang w:eastAsia="zh-CN"/>
              </w:rPr>
              <w:t>In the event of any conflict or inconsistency between the English language version and Bahasa Indonesia version of this Agreement, the [Bahasa Indonesia] version shall prevail.</w:t>
            </w:r>
          </w:p>
        </w:tc>
        <w:tc>
          <w:tcPr>
            <w:tcW w:w="236" w:type="dxa"/>
          </w:tcPr>
          <w:p w14:paraId="628A9DD6" w14:textId="77777777" w:rsidR="00923319" w:rsidRPr="00A67277" w:rsidRDefault="00923319" w:rsidP="00923319">
            <w:pPr>
              <w:spacing w:before="120" w:after="120"/>
              <w:rPr>
                <w:rFonts w:ascii="Arial" w:hAnsi="Arial" w:cs="Arial"/>
                <w:sz w:val="21"/>
                <w:szCs w:val="21"/>
              </w:rPr>
            </w:pPr>
          </w:p>
        </w:tc>
        <w:tc>
          <w:tcPr>
            <w:tcW w:w="4526" w:type="dxa"/>
          </w:tcPr>
          <w:p w14:paraId="7AD60D14" w14:textId="77777777" w:rsidR="00923319" w:rsidRPr="00A67277" w:rsidRDefault="00923319" w:rsidP="00923319">
            <w:pPr>
              <w:pStyle w:val="SchNumber3"/>
              <w:numPr>
                <w:ilvl w:val="0"/>
                <w:numId w:val="0"/>
              </w:numPr>
              <w:spacing w:before="120" w:after="120"/>
              <w:ind w:left="592"/>
              <w:rPr>
                <w:rFonts w:cs="Arial"/>
                <w:lang w:val="id-ID"/>
              </w:rPr>
            </w:pPr>
            <w:r w:rsidRPr="00A67277">
              <w:rPr>
                <w:rFonts w:cs="Arial"/>
              </w:rPr>
              <w:t>Perjanjian ini dibuat dalam Bahasa Indonesia. Para Pihak dapat menyepakati atau menandatangani suatu terjemahan resmi Bahasa Inggris dari Perjanjian ini. Dalam hal terjadi konflik atau perbedaan antara versi Bahasa Inggris dan Bahasa Indonesia Perjanjian ini, versi [Bahasa Indonesia] yang berlaku.</w:t>
            </w:r>
          </w:p>
        </w:tc>
      </w:tr>
      <w:tr w:rsidR="00923319" w:rsidRPr="00A67277" w14:paraId="46F941A3" w14:textId="77777777" w:rsidTr="00923319">
        <w:tc>
          <w:tcPr>
            <w:tcW w:w="4949" w:type="dxa"/>
          </w:tcPr>
          <w:p w14:paraId="7D7FD92E" w14:textId="77777777" w:rsidR="00923319" w:rsidRPr="00A67277" w:rsidRDefault="00923319" w:rsidP="00923319">
            <w:pPr>
              <w:spacing w:before="120" w:after="120"/>
              <w:rPr>
                <w:rFonts w:ascii="Arial" w:hAnsi="Arial" w:cs="Arial"/>
                <w:sz w:val="21"/>
                <w:szCs w:val="21"/>
              </w:rPr>
            </w:pPr>
            <w:r w:rsidRPr="00A67277">
              <w:rPr>
                <w:rFonts w:ascii="Arial" w:hAnsi="Arial" w:cs="Arial"/>
                <w:sz w:val="21"/>
                <w:szCs w:val="21"/>
              </w:rPr>
              <w:t>(Execution sheet is in the next page)</w:t>
            </w:r>
            <w:r w:rsidRPr="00A67277">
              <w:rPr>
                <w:rFonts w:ascii="Arial" w:hAnsi="Arial" w:cs="Arial"/>
                <w:b/>
                <w:smallCaps/>
                <w:sz w:val="21"/>
                <w:szCs w:val="21"/>
              </w:rPr>
              <w:t xml:space="preserve"> </w:t>
            </w:r>
          </w:p>
        </w:tc>
        <w:tc>
          <w:tcPr>
            <w:tcW w:w="236" w:type="dxa"/>
          </w:tcPr>
          <w:p w14:paraId="2CBBBCB0" w14:textId="77777777" w:rsidR="00923319" w:rsidRPr="00A67277" w:rsidRDefault="00923319" w:rsidP="00923319">
            <w:pPr>
              <w:spacing w:before="120" w:after="120"/>
              <w:rPr>
                <w:rFonts w:ascii="Arial" w:hAnsi="Arial" w:cs="Arial"/>
                <w:sz w:val="21"/>
                <w:szCs w:val="21"/>
              </w:rPr>
            </w:pPr>
          </w:p>
        </w:tc>
        <w:tc>
          <w:tcPr>
            <w:tcW w:w="4526" w:type="dxa"/>
          </w:tcPr>
          <w:p w14:paraId="39427E6F"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cs="Arial"/>
                <w:i/>
                <w:lang w:val="de-DE"/>
              </w:rPr>
              <w:t>(Lembar penandantangan di halaman berikutnya)</w:t>
            </w:r>
            <w:r w:rsidRPr="00A67277">
              <w:rPr>
                <w:rFonts w:cs="Arial"/>
                <w:b/>
                <w:i/>
                <w:smallCaps/>
                <w:lang w:val="de-DE"/>
              </w:rPr>
              <w:t xml:space="preserve"> </w:t>
            </w:r>
          </w:p>
        </w:tc>
      </w:tr>
      <w:tr w:rsidR="00923319" w:rsidRPr="00A67277" w14:paraId="774C5567" w14:textId="77777777" w:rsidTr="00923319">
        <w:tc>
          <w:tcPr>
            <w:tcW w:w="4949" w:type="dxa"/>
          </w:tcPr>
          <w:p w14:paraId="6357F7D5" w14:textId="77777777" w:rsidR="00923319" w:rsidRPr="00A67277" w:rsidRDefault="00923319" w:rsidP="00923319">
            <w:pPr>
              <w:pStyle w:val="Body1"/>
              <w:spacing w:before="120" w:after="120"/>
              <w:jc w:val="center"/>
              <w:rPr>
                <w:rFonts w:cs="Arial"/>
                <w:b/>
                <w:smallCaps/>
              </w:rPr>
            </w:pPr>
            <w:r w:rsidRPr="00A67277">
              <w:rPr>
                <w:rFonts w:cs="Arial"/>
                <w:b/>
                <w:smallCaps/>
                <w:lang w:val="id-ID"/>
              </w:rPr>
              <w:t>Execution</w:t>
            </w:r>
            <w:r w:rsidRPr="00A67277">
              <w:rPr>
                <w:rFonts w:cs="Arial"/>
                <w:b/>
                <w:smallCaps/>
              </w:rPr>
              <w:t xml:space="preserve"> Sheet</w:t>
            </w:r>
          </w:p>
        </w:tc>
        <w:tc>
          <w:tcPr>
            <w:tcW w:w="236" w:type="dxa"/>
          </w:tcPr>
          <w:p w14:paraId="40CB9C9E" w14:textId="77777777" w:rsidR="00923319" w:rsidRPr="00A67277" w:rsidRDefault="00923319" w:rsidP="00923319">
            <w:pPr>
              <w:spacing w:before="120" w:after="120"/>
              <w:rPr>
                <w:rFonts w:ascii="Arial" w:hAnsi="Arial" w:cs="Arial"/>
                <w:sz w:val="21"/>
                <w:szCs w:val="21"/>
              </w:rPr>
            </w:pPr>
          </w:p>
        </w:tc>
        <w:tc>
          <w:tcPr>
            <w:tcW w:w="4526" w:type="dxa"/>
          </w:tcPr>
          <w:p w14:paraId="5E442500" w14:textId="77777777" w:rsidR="00923319" w:rsidRPr="00A67277" w:rsidRDefault="00923319" w:rsidP="00923319">
            <w:pPr>
              <w:pStyle w:val="SchNumber3"/>
              <w:numPr>
                <w:ilvl w:val="0"/>
                <w:numId w:val="0"/>
              </w:numPr>
              <w:spacing w:before="120" w:after="120"/>
              <w:ind w:left="432"/>
              <w:jc w:val="center"/>
              <w:rPr>
                <w:rFonts w:cs="Arial"/>
                <w:lang w:val="id-ID"/>
              </w:rPr>
            </w:pPr>
            <w:r w:rsidRPr="00A67277">
              <w:rPr>
                <w:rFonts w:cs="Arial"/>
                <w:b/>
                <w:smallCaps/>
              </w:rPr>
              <w:t>Lembar Penandatanganan</w:t>
            </w:r>
          </w:p>
        </w:tc>
      </w:tr>
      <w:tr w:rsidR="00923319" w:rsidRPr="00A67277" w14:paraId="3AF6F225" w14:textId="77777777" w:rsidTr="00923319">
        <w:tc>
          <w:tcPr>
            <w:tcW w:w="4949" w:type="dxa"/>
          </w:tcPr>
          <w:p w14:paraId="4675398B" w14:textId="77777777" w:rsidR="00923319" w:rsidRPr="00A67277" w:rsidRDefault="00923319" w:rsidP="00923319">
            <w:pPr>
              <w:pStyle w:val="Body1"/>
              <w:spacing w:before="120" w:after="120"/>
              <w:rPr>
                <w:rFonts w:cs="Arial"/>
              </w:rPr>
            </w:pPr>
            <w:r w:rsidRPr="00A67277">
              <w:rPr>
                <w:rFonts w:cs="Arial"/>
                <w:b/>
                <w:smallCaps/>
              </w:rPr>
              <w:t>Therefore</w:t>
            </w:r>
            <w:r w:rsidRPr="00A67277">
              <w:rPr>
                <w:rFonts w:cs="Arial"/>
              </w:rPr>
              <w:t xml:space="preserve">, the Parties have signed the </w:t>
            </w:r>
            <w:r w:rsidRPr="00A67277">
              <w:rPr>
                <w:rFonts w:cs="Arial"/>
                <w:lang w:val="id-ID"/>
              </w:rPr>
              <w:t>t</w:t>
            </w:r>
            <w:r w:rsidRPr="00A67277">
              <w:rPr>
                <w:rFonts w:cs="Arial"/>
              </w:rPr>
              <w:t>he Independent Supervisor Consultant Agreement by their respective duly authorized representatives as of the date first written above.</w:t>
            </w:r>
          </w:p>
        </w:tc>
        <w:tc>
          <w:tcPr>
            <w:tcW w:w="236" w:type="dxa"/>
          </w:tcPr>
          <w:p w14:paraId="1A2D5D58" w14:textId="77777777" w:rsidR="00923319" w:rsidRPr="00A67277" w:rsidRDefault="00923319" w:rsidP="00923319">
            <w:pPr>
              <w:spacing w:before="120" w:after="120"/>
              <w:rPr>
                <w:rFonts w:ascii="Arial" w:hAnsi="Arial" w:cs="Arial"/>
                <w:sz w:val="21"/>
                <w:szCs w:val="21"/>
              </w:rPr>
            </w:pPr>
          </w:p>
        </w:tc>
        <w:tc>
          <w:tcPr>
            <w:tcW w:w="4526" w:type="dxa"/>
          </w:tcPr>
          <w:p w14:paraId="5962B642" w14:textId="77777777" w:rsidR="00923319" w:rsidRPr="00A67277" w:rsidRDefault="00923319" w:rsidP="00923319">
            <w:pPr>
              <w:pStyle w:val="SchNumber3"/>
              <w:numPr>
                <w:ilvl w:val="0"/>
                <w:numId w:val="0"/>
              </w:numPr>
              <w:spacing w:before="120" w:after="120"/>
              <w:ind w:left="432"/>
              <w:rPr>
                <w:rFonts w:cs="Arial"/>
                <w:lang w:val="id-ID"/>
              </w:rPr>
            </w:pPr>
            <w:r w:rsidRPr="00A67277">
              <w:rPr>
                <w:rFonts w:cs="Arial"/>
                <w:b/>
                <w:smallCaps/>
              </w:rPr>
              <w:t>Dengan Demikian</w:t>
            </w:r>
            <w:r w:rsidRPr="00A67277">
              <w:rPr>
                <w:rFonts w:cs="Arial"/>
              </w:rPr>
              <w:t>, Para Pihak dengan ini menandatangani Perjanjian Penunjukkan Konsultan Pengawas Independen ini oleh para wakil sahnya pada tanggal yang dinyatakan pada permulaan Perjanjian ini.</w:t>
            </w:r>
          </w:p>
        </w:tc>
      </w:tr>
      <w:tr w:rsidR="00923319" w:rsidRPr="00A67277" w14:paraId="3FDF0455" w14:textId="77777777" w:rsidTr="00923319">
        <w:tc>
          <w:tcPr>
            <w:tcW w:w="9711" w:type="dxa"/>
            <w:gridSpan w:val="3"/>
          </w:tcPr>
          <w:p w14:paraId="2EB44C0F" w14:textId="77777777" w:rsidR="00923319" w:rsidRPr="00A67277" w:rsidRDefault="00923319" w:rsidP="00923319">
            <w:pPr>
              <w:pStyle w:val="Body1"/>
              <w:spacing w:before="120" w:after="120"/>
              <w:rPr>
                <w:rStyle w:val="Heading1Text"/>
                <w:rFonts w:cs="Arial"/>
              </w:rPr>
            </w:pPr>
            <w:r w:rsidRPr="00A67277">
              <w:rPr>
                <w:rStyle w:val="Heading1Text"/>
                <w:rFonts w:cs="Arial"/>
              </w:rPr>
              <w:t>GCA/PJPK</w:t>
            </w:r>
          </w:p>
          <w:p w14:paraId="55D6B463" w14:textId="77777777" w:rsidR="00923319" w:rsidRPr="00A67277" w:rsidRDefault="00923319" w:rsidP="00923319">
            <w:pPr>
              <w:pStyle w:val="Body1"/>
              <w:spacing w:before="120" w:after="120"/>
              <w:rPr>
                <w:rFonts w:cs="Arial"/>
              </w:rPr>
            </w:pPr>
          </w:p>
          <w:p w14:paraId="28D32B1C" w14:textId="77777777" w:rsidR="00923319" w:rsidRPr="00A67277" w:rsidRDefault="00923319" w:rsidP="00923319">
            <w:pPr>
              <w:pStyle w:val="Body1"/>
              <w:spacing w:before="120" w:after="120"/>
              <w:rPr>
                <w:rFonts w:cs="Arial"/>
              </w:rPr>
            </w:pPr>
          </w:p>
          <w:p w14:paraId="48298F4A" w14:textId="77777777" w:rsidR="00923319" w:rsidRPr="00A67277" w:rsidRDefault="00923319" w:rsidP="00923319">
            <w:pPr>
              <w:pStyle w:val="Body1"/>
              <w:spacing w:before="120" w:after="120"/>
              <w:rPr>
                <w:rFonts w:cs="Arial"/>
              </w:rPr>
            </w:pPr>
            <w:r w:rsidRPr="00A67277">
              <w:rPr>
                <w:rFonts w:cs="Arial"/>
              </w:rPr>
              <w:t>____________________________________</w:t>
            </w:r>
          </w:p>
          <w:p w14:paraId="7D6AD39C" w14:textId="77777777" w:rsidR="00923319" w:rsidRPr="00A67277" w:rsidRDefault="00923319" w:rsidP="00923319">
            <w:pPr>
              <w:pStyle w:val="Body1"/>
              <w:spacing w:before="120" w:after="120"/>
              <w:rPr>
                <w:rStyle w:val="Heading1Text"/>
                <w:rFonts w:cs="Arial"/>
                <w:b w:val="0"/>
                <w:smallCaps w:val="0"/>
              </w:rPr>
            </w:pPr>
            <w:r w:rsidRPr="00A67277">
              <w:rPr>
                <w:rStyle w:val="Heading1Text"/>
                <w:rFonts w:cs="Arial"/>
              </w:rPr>
              <w:t>[Name of Signatory/Nama Penandatangan]</w:t>
            </w:r>
          </w:p>
          <w:p w14:paraId="0644FDB0" w14:textId="77777777" w:rsidR="00923319" w:rsidRPr="00A67277" w:rsidRDefault="00923319" w:rsidP="00923319">
            <w:pPr>
              <w:pStyle w:val="Body1"/>
              <w:spacing w:before="120" w:after="120"/>
              <w:rPr>
                <w:rStyle w:val="Heading1Text"/>
                <w:rFonts w:cs="Arial"/>
                <w:b w:val="0"/>
                <w:smallCaps w:val="0"/>
              </w:rPr>
            </w:pPr>
            <w:r w:rsidRPr="00A67277">
              <w:rPr>
                <w:rStyle w:val="Heading1Text"/>
                <w:rFonts w:cs="Arial"/>
              </w:rPr>
              <w:t>[Position/Jabatan]</w:t>
            </w:r>
          </w:p>
          <w:p w14:paraId="1FC4FFB6" w14:textId="77777777" w:rsidR="00923319" w:rsidRPr="00A67277" w:rsidRDefault="00923319" w:rsidP="00923319">
            <w:pPr>
              <w:pStyle w:val="Body1"/>
              <w:spacing w:before="120" w:after="120"/>
              <w:rPr>
                <w:rFonts w:cs="Arial"/>
              </w:rPr>
            </w:pPr>
          </w:p>
          <w:p w14:paraId="6392BA7D" w14:textId="77777777" w:rsidR="00923319" w:rsidRPr="00A67277" w:rsidRDefault="00923319" w:rsidP="00923319">
            <w:pPr>
              <w:pStyle w:val="Body1"/>
              <w:spacing w:before="120" w:after="120"/>
              <w:rPr>
                <w:rFonts w:cs="Arial"/>
              </w:rPr>
            </w:pPr>
            <w:r w:rsidRPr="00A67277">
              <w:rPr>
                <w:rStyle w:val="Heading1Text"/>
                <w:rFonts w:cs="Arial"/>
              </w:rPr>
              <w:t>[***IBE***]</w:t>
            </w:r>
          </w:p>
          <w:p w14:paraId="0F09314B" w14:textId="77777777" w:rsidR="00923319" w:rsidRPr="00A67277" w:rsidRDefault="00923319" w:rsidP="00923319">
            <w:pPr>
              <w:pStyle w:val="Body1"/>
              <w:spacing w:before="120" w:after="120"/>
              <w:rPr>
                <w:rFonts w:cs="Arial"/>
              </w:rPr>
            </w:pPr>
          </w:p>
          <w:p w14:paraId="6EB4C297" w14:textId="77777777" w:rsidR="00923319" w:rsidRPr="00A67277" w:rsidRDefault="00923319" w:rsidP="00923319">
            <w:pPr>
              <w:pStyle w:val="Body1"/>
              <w:spacing w:before="120" w:after="120"/>
              <w:rPr>
                <w:rFonts w:cs="Arial"/>
              </w:rPr>
            </w:pPr>
          </w:p>
          <w:p w14:paraId="279A0B79" w14:textId="77777777" w:rsidR="00923319" w:rsidRPr="00A67277" w:rsidRDefault="00923319" w:rsidP="00923319">
            <w:pPr>
              <w:pStyle w:val="Body1"/>
              <w:spacing w:before="120" w:after="120"/>
              <w:rPr>
                <w:rFonts w:cs="Arial"/>
              </w:rPr>
            </w:pPr>
          </w:p>
          <w:p w14:paraId="5BB6FB18" w14:textId="77777777" w:rsidR="00923319" w:rsidRPr="00A67277" w:rsidRDefault="00923319" w:rsidP="00923319">
            <w:pPr>
              <w:pStyle w:val="Body1"/>
              <w:spacing w:before="120" w:after="120"/>
              <w:rPr>
                <w:rFonts w:cs="Arial"/>
              </w:rPr>
            </w:pPr>
            <w:r w:rsidRPr="00A67277">
              <w:rPr>
                <w:rFonts w:cs="Arial"/>
              </w:rPr>
              <w:t>____________________________________</w:t>
            </w:r>
          </w:p>
          <w:p w14:paraId="15CBB544" w14:textId="77777777" w:rsidR="00923319" w:rsidRPr="00A67277" w:rsidRDefault="00923319" w:rsidP="00923319">
            <w:pPr>
              <w:pStyle w:val="Body1"/>
              <w:spacing w:before="120" w:after="120"/>
              <w:rPr>
                <w:rStyle w:val="Heading1Text"/>
                <w:rFonts w:cs="Arial"/>
                <w:b w:val="0"/>
                <w:smallCaps w:val="0"/>
              </w:rPr>
            </w:pPr>
            <w:r w:rsidRPr="00A67277">
              <w:rPr>
                <w:rStyle w:val="Heading1Text"/>
                <w:rFonts w:cs="Arial"/>
              </w:rPr>
              <w:t>[Name of Signatory/Nama Penandatangan]</w:t>
            </w:r>
          </w:p>
          <w:p w14:paraId="42F5BA9C" w14:textId="77777777" w:rsidR="00923319" w:rsidRPr="00A67277" w:rsidRDefault="00923319" w:rsidP="00923319">
            <w:pPr>
              <w:pStyle w:val="Body1"/>
              <w:spacing w:before="120" w:after="120"/>
              <w:rPr>
                <w:rStyle w:val="Heading1Text"/>
                <w:rFonts w:cs="Arial"/>
              </w:rPr>
            </w:pPr>
            <w:r w:rsidRPr="00A67277">
              <w:rPr>
                <w:rStyle w:val="Heading1Text"/>
                <w:rFonts w:cs="Arial"/>
              </w:rPr>
              <w:t>[Position/Jabatan]</w:t>
            </w:r>
          </w:p>
          <w:p w14:paraId="6804C265" w14:textId="77777777" w:rsidR="00923319" w:rsidRPr="00A67277" w:rsidRDefault="00923319" w:rsidP="00923319">
            <w:pPr>
              <w:pStyle w:val="Body1"/>
              <w:spacing w:before="120" w:after="120"/>
              <w:rPr>
                <w:rStyle w:val="Heading1Text"/>
                <w:rFonts w:cs="Arial"/>
              </w:rPr>
            </w:pPr>
          </w:p>
          <w:p w14:paraId="19A280B9" w14:textId="77777777" w:rsidR="00923319" w:rsidRPr="00A67277" w:rsidRDefault="00923319" w:rsidP="00923319">
            <w:pPr>
              <w:pStyle w:val="Body1"/>
              <w:spacing w:before="120" w:after="120"/>
              <w:rPr>
                <w:rFonts w:cs="Arial"/>
              </w:rPr>
            </w:pPr>
            <w:r w:rsidRPr="00A67277">
              <w:rPr>
                <w:rStyle w:val="Heading1Text"/>
                <w:rFonts w:cs="Arial"/>
              </w:rPr>
              <w:t>[***</w:t>
            </w:r>
            <w:r w:rsidRPr="00A67277">
              <w:rPr>
                <w:rFonts w:cs="Arial"/>
                <w:b/>
              </w:rPr>
              <w:t>Independent Supervisor Consultant</w:t>
            </w:r>
            <w:r w:rsidRPr="00A67277">
              <w:rPr>
                <w:rStyle w:val="Heading1Text"/>
                <w:rFonts w:cs="Arial"/>
              </w:rPr>
              <w:t>***]</w:t>
            </w:r>
          </w:p>
          <w:p w14:paraId="0A30FF7E" w14:textId="77777777" w:rsidR="00923319" w:rsidRPr="00A67277" w:rsidRDefault="00923319" w:rsidP="00923319">
            <w:pPr>
              <w:pStyle w:val="Body1"/>
              <w:spacing w:before="120" w:after="120"/>
              <w:rPr>
                <w:rFonts w:cs="Arial"/>
              </w:rPr>
            </w:pPr>
          </w:p>
          <w:p w14:paraId="14C646CA" w14:textId="77777777" w:rsidR="00923319" w:rsidRPr="00A67277" w:rsidRDefault="00923319" w:rsidP="00923319">
            <w:pPr>
              <w:pStyle w:val="Body1"/>
              <w:spacing w:before="120" w:after="120"/>
              <w:rPr>
                <w:rFonts w:cs="Arial"/>
              </w:rPr>
            </w:pPr>
          </w:p>
          <w:p w14:paraId="159667D6" w14:textId="77777777" w:rsidR="00923319" w:rsidRPr="00A67277" w:rsidRDefault="00923319" w:rsidP="00923319">
            <w:pPr>
              <w:pStyle w:val="Body1"/>
              <w:spacing w:before="120" w:after="120"/>
              <w:rPr>
                <w:rFonts w:cs="Arial"/>
              </w:rPr>
            </w:pPr>
          </w:p>
          <w:p w14:paraId="461A35EA" w14:textId="77777777" w:rsidR="00923319" w:rsidRPr="00A67277" w:rsidRDefault="00923319" w:rsidP="00923319">
            <w:pPr>
              <w:pStyle w:val="Body1"/>
              <w:spacing w:before="120" w:after="120"/>
              <w:rPr>
                <w:rFonts w:cs="Arial"/>
              </w:rPr>
            </w:pPr>
            <w:r w:rsidRPr="00A67277">
              <w:rPr>
                <w:rFonts w:cs="Arial"/>
              </w:rPr>
              <w:t>____________________________________</w:t>
            </w:r>
          </w:p>
          <w:p w14:paraId="76931C2F" w14:textId="77777777" w:rsidR="00923319" w:rsidRPr="00A67277" w:rsidRDefault="00923319" w:rsidP="00923319">
            <w:pPr>
              <w:pStyle w:val="Body1"/>
              <w:spacing w:before="120" w:after="120"/>
              <w:rPr>
                <w:rStyle w:val="Heading1Text"/>
                <w:rFonts w:cs="Arial"/>
                <w:b w:val="0"/>
                <w:smallCaps w:val="0"/>
              </w:rPr>
            </w:pPr>
            <w:r w:rsidRPr="00A67277">
              <w:rPr>
                <w:rStyle w:val="Heading1Text"/>
                <w:rFonts w:cs="Arial"/>
              </w:rPr>
              <w:t>[Name of Signatory/Nama Penandatangan]</w:t>
            </w:r>
          </w:p>
          <w:p w14:paraId="04AD3089" w14:textId="77777777" w:rsidR="00923319" w:rsidRPr="00A67277" w:rsidRDefault="00923319" w:rsidP="00923319">
            <w:pPr>
              <w:pStyle w:val="Body1"/>
              <w:spacing w:before="120" w:after="120"/>
              <w:rPr>
                <w:rStyle w:val="Heading1Text"/>
                <w:rFonts w:cs="Arial"/>
                <w:b w:val="0"/>
                <w:smallCaps w:val="0"/>
              </w:rPr>
            </w:pPr>
            <w:r w:rsidRPr="00A67277">
              <w:rPr>
                <w:rStyle w:val="Heading1Text"/>
                <w:rFonts w:cs="Arial"/>
              </w:rPr>
              <w:t>[Position/Jabatan]</w:t>
            </w:r>
          </w:p>
          <w:p w14:paraId="032BBC2F" w14:textId="77777777" w:rsidR="00923319" w:rsidRPr="00A67277" w:rsidRDefault="00923319" w:rsidP="00923319">
            <w:pPr>
              <w:pStyle w:val="Body1"/>
              <w:spacing w:before="120" w:after="120"/>
              <w:rPr>
                <w:rFonts w:cs="Arial"/>
              </w:rPr>
            </w:pPr>
          </w:p>
        </w:tc>
      </w:tr>
    </w:tbl>
    <w:p w14:paraId="69B5FFA1" w14:textId="77777777" w:rsidR="00923319" w:rsidRPr="00A67277" w:rsidRDefault="00923319" w:rsidP="00923319">
      <w:pPr>
        <w:spacing w:before="120" w:after="120"/>
        <w:rPr>
          <w:rFonts w:ascii="Arial" w:hAnsi="Arial" w:cs="Arial"/>
          <w:sz w:val="21"/>
          <w:szCs w:val="21"/>
        </w:rPr>
      </w:pPr>
    </w:p>
    <w:p w14:paraId="061CB0AA" w14:textId="77777777" w:rsidR="00923319" w:rsidRPr="00A67277" w:rsidRDefault="00923319" w:rsidP="00923319">
      <w:pPr>
        <w:spacing w:before="120" w:after="120"/>
        <w:rPr>
          <w:rFonts w:ascii="Arial" w:hAnsi="Arial" w:cs="Arial"/>
          <w:sz w:val="21"/>
          <w:szCs w:val="21"/>
        </w:rPr>
      </w:pPr>
      <w:r w:rsidRPr="00A67277">
        <w:rPr>
          <w:rFonts w:ascii="Arial" w:hAnsi="Arial" w:cs="Arial"/>
          <w:sz w:val="21"/>
          <w:szCs w:val="21"/>
        </w:rPr>
        <w:br w:type="page"/>
      </w:r>
    </w:p>
    <w:tbl>
      <w:tblPr>
        <w:tblW w:w="4991" w:type="pct"/>
        <w:tblInd w:w="17" w:type="dxa"/>
        <w:tblLayout w:type="fixed"/>
        <w:tblLook w:val="04A0" w:firstRow="1" w:lastRow="0" w:firstColumn="1" w:lastColumn="0" w:noHBand="0" w:noVBand="1"/>
      </w:tblPr>
      <w:tblGrid>
        <w:gridCol w:w="4607"/>
        <w:gridCol w:w="260"/>
        <w:gridCol w:w="4361"/>
      </w:tblGrid>
      <w:tr w:rsidR="00923319" w:rsidRPr="00A67277" w14:paraId="039699A1" w14:textId="77777777" w:rsidTr="00923319">
        <w:tc>
          <w:tcPr>
            <w:tcW w:w="2496" w:type="pct"/>
            <w:shd w:val="clear" w:color="auto" w:fill="auto"/>
          </w:tcPr>
          <w:p w14:paraId="15B20FD3" w14:textId="5FB5AAC9" w:rsidR="00923319" w:rsidRPr="00A67277" w:rsidRDefault="00923319" w:rsidP="00F93200">
            <w:pPr>
              <w:pStyle w:val="SchTitle"/>
              <w:ind w:left="360"/>
              <w:rPr>
                <w:rFonts w:cs="Arial"/>
                <w:b w:val="0"/>
                <w:sz w:val="21"/>
                <w:lang w:val="id-ID"/>
              </w:rPr>
            </w:pPr>
            <w:r w:rsidRPr="00A67277">
              <w:rPr>
                <w:rFonts w:cs="Arial"/>
                <w:sz w:val="21"/>
              </w:rPr>
              <w:t xml:space="preserve">Appendix </w:t>
            </w:r>
            <w:r w:rsidR="00F93200" w:rsidRPr="00A67277">
              <w:rPr>
                <w:rFonts w:cs="Arial"/>
                <w:sz w:val="21"/>
              </w:rPr>
              <w:t xml:space="preserve">22 </w:t>
            </w:r>
            <w:r w:rsidRPr="00A67277">
              <w:rPr>
                <w:rFonts w:cs="Arial"/>
                <w:sz w:val="21"/>
              </w:rPr>
              <w:t>– Format of Sponsor’s Agreement</w:t>
            </w:r>
          </w:p>
        </w:tc>
        <w:tc>
          <w:tcPr>
            <w:tcW w:w="141" w:type="pct"/>
            <w:shd w:val="clear" w:color="auto" w:fill="auto"/>
          </w:tcPr>
          <w:p w14:paraId="6B15CF9E" w14:textId="77777777" w:rsidR="00923319" w:rsidRPr="00A67277" w:rsidRDefault="00923319" w:rsidP="00923319">
            <w:pPr>
              <w:spacing w:before="120" w:after="120"/>
              <w:jc w:val="center"/>
              <w:rPr>
                <w:rFonts w:ascii="Arial" w:hAnsi="Arial" w:cs="Arial"/>
                <w:sz w:val="21"/>
                <w:szCs w:val="21"/>
              </w:rPr>
            </w:pPr>
          </w:p>
        </w:tc>
        <w:tc>
          <w:tcPr>
            <w:tcW w:w="2363" w:type="pct"/>
            <w:shd w:val="clear" w:color="auto" w:fill="auto"/>
          </w:tcPr>
          <w:p w14:paraId="3ECAC28E" w14:textId="5765D72E" w:rsidR="00923319" w:rsidRPr="00A67277" w:rsidRDefault="00923319" w:rsidP="00F93200">
            <w:pPr>
              <w:pStyle w:val="SchTitle"/>
              <w:rPr>
                <w:rFonts w:cs="Arial"/>
                <w:sz w:val="21"/>
              </w:rPr>
            </w:pPr>
            <w:r w:rsidRPr="00A67277">
              <w:rPr>
                <w:rFonts w:cs="Arial"/>
                <w:sz w:val="21"/>
              </w:rPr>
              <w:t xml:space="preserve">Lampiran </w:t>
            </w:r>
            <w:r w:rsidR="00F93200" w:rsidRPr="00A67277">
              <w:rPr>
                <w:rFonts w:cs="Arial"/>
                <w:sz w:val="21"/>
              </w:rPr>
              <w:t xml:space="preserve">22  </w:t>
            </w:r>
            <w:r w:rsidRPr="00A67277">
              <w:rPr>
                <w:rFonts w:cs="Arial"/>
                <w:sz w:val="21"/>
              </w:rPr>
              <w:t>– Bentuk Perjanjian Sponsor</w:t>
            </w:r>
          </w:p>
        </w:tc>
      </w:tr>
      <w:tr w:rsidR="00923319" w:rsidRPr="00A67277" w14:paraId="63DDDCD4" w14:textId="77777777" w:rsidTr="00923319">
        <w:tc>
          <w:tcPr>
            <w:tcW w:w="2496" w:type="pct"/>
            <w:shd w:val="clear" w:color="auto" w:fill="auto"/>
          </w:tcPr>
          <w:p w14:paraId="43907960" w14:textId="77777777" w:rsidR="00923319" w:rsidRPr="00A67277" w:rsidRDefault="00923319" w:rsidP="00923319">
            <w:pPr>
              <w:pStyle w:val="SchTitle"/>
              <w:jc w:val="both"/>
              <w:rPr>
                <w:rFonts w:cs="Arial"/>
                <w:b w:val="0"/>
                <w:sz w:val="21"/>
                <w:lang w:val="id-ID"/>
              </w:rPr>
            </w:pPr>
          </w:p>
        </w:tc>
        <w:tc>
          <w:tcPr>
            <w:tcW w:w="141" w:type="pct"/>
            <w:shd w:val="clear" w:color="auto" w:fill="auto"/>
          </w:tcPr>
          <w:p w14:paraId="188D211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93AE7DC" w14:textId="77777777" w:rsidR="00923319" w:rsidRPr="00A67277" w:rsidRDefault="00923319" w:rsidP="00923319">
            <w:pPr>
              <w:pStyle w:val="Body1"/>
              <w:spacing w:before="120" w:after="120"/>
              <w:rPr>
                <w:rFonts w:cs="Arial"/>
              </w:rPr>
            </w:pPr>
          </w:p>
        </w:tc>
      </w:tr>
      <w:tr w:rsidR="00923319" w:rsidRPr="00A67277" w14:paraId="3962411B" w14:textId="77777777" w:rsidTr="00923319">
        <w:tc>
          <w:tcPr>
            <w:tcW w:w="2496" w:type="pct"/>
            <w:shd w:val="clear" w:color="auto" w:fill="auto"/>
          </w:tcPr>
          <w:p w14:paraId="516D9F3C" w14:textId="77777777" w:rsidR="00923319" w:rsidRPr="00A67277" w:rsidRDefault="00923319" w:rsidP="00923319">
            <w:pPr>
              <w:pStyle w:val="Body1"/>
              <w:spacing w:before="120" w:after="120"/>
              <w:rPr>
                <w:rFonts w:cs="Arial"/>
                <w:b/>
                <w:lang w:val="id-ID"/>
              </w:rPr>
            </w:pPr>
            <w:r w:rsidRPr="00A67277">
              <w:rPr>
                <w:rFonts w:cs="Arial"/>
              </w:rPr>
              <w:t>[</w:t>
            </w:r>
            <w:r w:rsidRPr="00A67277">
              <w:rPr>
                <w:rFonts w:cs="Arial"/>
                <w:b/>
              </w:rPr>
              <w:t>Note:</w:t>
            </w:r>
            <w:r w:rsidRPr="00A67277">
              <w:rPr>
                <w:rFonts w:cs="Arial"/>
              </w:rPr>
              <w:t xml:space="preserve"> This Form of Sponsors’ Agreement will be adjusted if one Sponsor receives support from its Shareholder to fulfill the Equity obligation for the Project, in which its Shareholder must become a Party to this Sponsors’ Agreement by clearly detailing the obligations of the Shareholder. This is to ensure that the Sponsor who receives such support has sufficient ability to perform its obligations under this Agreement].</w:t>
            </w:r>
          </w:p>
        </w:tc>
        <w:tc>
          <w:tcPr>
            <w:tcW w:w="141" w:type="pct"/>
            <w:shd w:val="clear" w:color="auto" w:fill="auto"/>
          </w:tcPr>
          <w:p w14:paraId="7582A20D"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F8FC416" w14:textId="77777777" w:rsidR="00923319" w:rsidRPr="00A67277" w:rsidRDefault="00923319" w:rsidP="00923319">
            <w:pPr>
              <w:pStyle w:val="Body1"/>
              <w:spacing w:before="120" w:after="120"/>
              <w:rPr>
                <w:rFonts w:cs="Arial"/>
                <w:lang w:val="id-ID"/>
              </w:rPr>
            </w:pPr>
            <w:r w:rsidRPr="00A67277">
              <w:rPr>
                <w:rFonts w:cs="Arial"/>
              </w:rPr>
              <w:t>[</w:t>
            </w:r>
            <w:r w:rsidRPr="00A67277">
              <w:rPr>
                <w:rFonts w:cs="Arial"/>
                <w:b/>
                <w:i/>
              </w:rPr>
              <w:t>Catatan:</w:t>
            </w:r>
            <w:r w:rsidRPr="00A67277">
              <w:rPr>
                <w:rFonts w:cs="Arial"/>
                <w:i/>
              </w:rPr>
              <w:t xml:space="preserve"> Bentuk Perjanjian Sponsor ini akan disesuaikan jika salah satu Sponsor mendapatkan dukungan dari Pemegang Sahamnya untuk memenuhi kewajiban Ekuitas untuk Proyek, dimana Pemegang Sahamnya tersebut harus menjadi Pihak dari Perjanjian Sponsor ini dengan merinci secara jelas kewajiban dari Pemegang Saham. Hal ini untuk memastikan bahwa Sponsor yang mendapatkan dukungan tersebut memiliki kemampuan yang cukup untuk melaksanakan kewajibannya berdasarkan Perjanjian ini.</w:t>
            </w:r>
            <w:r w:rsidRPr="00A67277">
              <w:rPr>
                <w:rFonts w:cs="Arial"/>
              </w:rPr>
              <w:t>]</w:t>
            </w:r>
          </w:p>
        </w:tc>
      </w:tr>
      <w:tr w:rsidR="00923319" w:rsidRPr="00A67277" w14:paraId="1D8EB8D4" w14:textId="77777777" w:rsidTr="00923319">
        <w:tc>
          <w:tcPr>
            <w:tcW w:w="2496" w:type="pct"/>
            <w:shd w:val="clear" w:color="auto" w:fill="auto"/>
          </w:tcPr>
          <w:p w14:paraId="09687CBB" w14:textId="77777777" w:rsidR="00923319" w:rsidRPr="00A67277" w:rsidRDefault="00923319" w:rsidP="00923319">
            <w:pPr>
              <w:pStyle w:val="Body1"/>
              <w:spacing w:before="120" w:after="120"/>
              <w:rPr>
                <w:rFonts w:cs="Arial"/>
              </w:rPr>
            </w:pPr>
            <w:r w:rsidRPr="00A67277">
              <w:rPr>
                <w:rFonts w:cs="Arial"/>
              </w:rPr>
              <w:t>This</w:t>
            </w:r>
            <w:r w:rsidRPr="00A67277">
              <w:rPr>
                <w:rFonts w:cs="Arial"/>
                <w:b/>
                <w:smallCaps/>
              </w:rPr>
              <w:t xml:space="preserve"> </w:t>
            </w:r>
            <w:r w:rsidRPr="00A67277">
              <w:rPr>
                <w:rFonts w:cs="Arial"/>
              </w:rPr>
              <w:t>Sponsors’ Agreement</w:t>
            </w:r>
            <w:r w:rsidRPr="00A67277">
              <w:rPr>
                <w:rFonts w:cs="Arial"/>
                <w:b/>
                <w:smallCaps/>
              </w:rPr>
              <w:t xml:space="preserve"> </w:t>
            </w:r>
            <w:r w:rsidRPr="00A67277">
              <w:rPr>
                <w:rFonts w:cs="Arial"/>
              </w:rPr>
              <w:t>(This "</w:t>
            </w:r>
            <w:r w:rsidRPr="00A67277">
              <w:rPr>
                <w:rFonts w:cs="Arial"/>
                <w:b/>
              </w:rPr>
              <w:t>Agreement</w:t>
            </w:r>
            <w:r w:rsidRPr="00A67277">
              <w:rPr>
                <w:rFonts w:cs="Arial"/>
              </w:rPr>
              <w:t xml:space="preserve">") is made and signed on, </w:t>
            </w:r>
            <w:r w:rsidRPr="00A67277">
              <w:rPr>
                <w:rFonts w:cs="Arial"/>
                <w:lang w:val="en-US"/>
              </w:rPr>
              <w:t>_______________</w:t>
            </w:r>
            <w:r w:rsidRPr="00A67277">
              <w:rPr>
                <w:rFonts w:cs="Arial"/>
              </w:rPr>
              <w:t xml:space="preserve">, dated </w:t>
            </w:r>
            <w:r w:rsidRPr="00A67277">
              <w:rPr>
                <w:rFonts w:cs="Arial"/>
                <w:lang w:val="en-US"/>
              </w:rPr>
              <w:t>_______________</w:t>
            </w:r>
            <w:r w:rsidRPr="00A67277">
              <w:rPr>
                <w:rFonts w:cs="Arial"/>
              </w:rPr>
              <w:t>, by and between:</w:t>
            </w:r>
          </w:p>
        </w:tc>
        <w:tc>
          <w:tcPr>
            <w:tcW w:w="141" w:type="pct"/>
            <w:shd w:val="clear" w:color="auto" w:fill="auto"/>
          </w:tcPr>
          <w:p w14:paraId="0885D63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17701DA" w14:textId="77777777" w:rsidR="00923319" w:rsidRPr="00A67277" w:rsidRDefault="00923319" w:rsidP="00923319">
            <w:pPr>
              <w:pStyle w:val="Body1"/>
              <w:spacing w:before="120" w:after="120"/>
              <w:rPr>
                <w:rFonts w:cs="Arial"/>
                <w:lang w:val="fr-FR"/>
              </w:rPr>
            </w:pPr>
            <w:r w:rsidRPr="00A67277">
              <w:rPr>
                <w:rFonts w:cs="Arial"/>
                <w:b/>
                <w:smallCaps/>
                <w:lang w:val="fr-FR"/>
              </w:rPr>
              <w:t xml:space="preserve">Perjanjian Sponsor </w:t>
            </w:r>
            <w:r w:rsidRPr="00A67277">
              <w:rPr>
                <w:rFonts w:cs="Arial"/>
                <w:lang w:val="fr-FR"/>
              </w:rPr>
              <w:t>ini ("</w:t>
            </w:r>
            <w:r w:rsidRPr="00A67277">
              <w:rPr>
                <w:rFonts w:cs="Arial"/>
                <w:b/>
                <w:lang w:val="fr-FR"/>
              </w:rPr>
              <w:t>Perjanjian</w:t>
            </w:r>
            <w:r w:rsidRPr="00A67277">
              <w:rPr>
                <w:rFonts w:cs="Arial"/>
                <w:lang w:val="fr-FR"/>
              </w:rPr>
              <w:t>" ini) dibuat dan ditandatangani pada hari ini, _______________, tanggal _______________, oleh dan antara:</w:t>
            </w:r>
          </w:p>
        </w:tc>
      </w:tr>
      <w:tr w:rsidR="00923319" w:rsidRPr="00A67277" w14:paraId="1EFDC240" w14:textId="77777777" w:rsidTr="00923319">
        <w:tc>
          <w:tcPr>
            <w:tcW w:w="2496" w:type="pct"/>
            <w:shd w:val="clear" w:color="auto" w:fill="auto"/>
          </w:tcPr>
          <w:p w14:paraId="07554C13" w14:textId="77777777" w:rsidR="00923319" w:rsidRPr="00A67277" w:rsidRDefault="00923319" w:rsidP="00923319">
            <w:pPr>
              <w:pStyle w:val="Parties"/>
              <w:numPr>
                <w:ilvl w:val="0"/>
                <w:numId w:val="617"/>
              </w:numPr>
              <w:tabs>
                <w:tab w:val="clear" w:pos="2146"/>
                <w:tab w:val="num" w:pos="462"/>
              </w:tabs>
              <w:spacing w:before="120" w:after="120"/>
              <w:ind w:left="462" w:hanging="462"/>
              <w:rPr>
                <w:rFonts w:cs="Arial"/>
              </w:rPr>
            </w:pPr>
            <w:r w:rsidRPr="00A67277">
              <w:rPr>
                <w:rFonts w:cs="Arial"/>
                <w:b/>
                <w:smallCaps/>
              </w:rPr>
              <w:t>[***]</w:t>
            </w:r>
            <w:r w:rsidRPr="00A67277">
              <w:rPr>
                <w:rFonts w:cs="Arial"/>
              </w:rPr>
              <w:t xml:space="preserve">, a company established under the laws of [***] domiciled in </w:t>
            </w:r>
            <w:r w:rsidRPr="00A67277">
              <w:rPr>
                <w:rFonts w:cs="Arial"/>
                <w:smallCaps/>
              </w:rPr>
              <w:t xml:space="preserve">[***], </w:t>
            </w:r>
            <w:r w:rsidRPr="00A67277">
              <w:rPr>
                <w:rFonts w:cs="Arial"/>
              </w:rPr>
              <w:t xml:space="preserve">in this matter is represented by </w:t>
            </w:r>
            <w:r w:rsidRPr="00A67277">
              <w:rPr>
                <w:rFonts w:cs="Arial"/>
                <w:smallCaps/>
              </w:rPr>
              <w:t>[***]</w:t>
            </w:r>
            <w:r w:rsidRPr="00A67277">
              <w:rPr>
                <w:rFonts w:cs="Arial"/>
                <w:b/>
                <w:smallCaps/>
              </w:rPr>
              <w:t xml:space="preserve"> </w:t>
            </w:r>
            <w:r w:rsidRPr="00A67277">
              <w:rPr>
                <w:rFonts w:cs="Arial"/>
              </w:rPr>
              <w:t xml:space="preserve">acting as </w:t>
            </w:r>
            <w:r w:rsidRPr="00A67277">
              <w:rPr>
                <w:rFonts w:cs="Arial"/>
                <w:smallCaps/>
              </w:rPr>
              <w:t>[***]</w:t>
            </w:r>
            <w:r w:rsidRPr="00A67277">
              <w:rPr>
                <w:rFonts w:cs="Arial"/>
                <w:b/>
                <w:smallCaps/>
              </w:rPr>
              <w:t xml:space="preserve"> </w:t>
            </w:r>
            <w:r w:rsidRPr="00A67277">
              <w:rPr>
                <w:rFonts w:cs="Arial"/>
              </w:rPr>
              <w:t xml:space="preserve">therefore acting for and on behalf of  </w:t>
            </w:r>
            <w:r w:rsidRPr="00A67277">
              <w:rPr>
                <w:rFonts w:cs="Arial"/>
                <w:smallCaps/>
              </w:rPr>
              <w:t>[***]</w:t>
            </w:r>
            <w:r w:rsidRPr="00A67277">
              <w:rPr>
                <w:rFonts w:cs="Arial"/>
                <w:b/>
                <w:smallCaps/>
              </w:rPr>
              <w:t xml:space="preserve"> </w:t>
            </w:r>
            <w:r w:rsidRPr="00A67277">
              <w:rPr>
                <w:rFonts w:cs="Arial"/>
              </w:rPr>
              <w:t>(hereinafter referred to as "</w:t>
            </w:r>
            <w:r w:rsidRPr="00A67277">
              <w:rPr>
                <w:rFonts w:cs="Arial"/>
                <w:b/>
              </w:rPr>
              <w:t>Sponsor 1</w:t>
            </w:r>
            <w:r w:rsidRPr="00A67277">
              <w:rPr>
                <w:rFonts w:cs="Arial"/>
              </w:rPr>
              <w:t>");</w:t>
            </w:r>
          </w:p>
        </w:tc>
        <w:tc>
          <w:tcPr>
            <w:tcW w:w="141" w:type="pct"/>
            <w:shd w:val="clear" w:color="auto" w:fill="auto"/>
          </w:tcPr>
          <w:p w14:paraId="6E542B1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E055E41" w14:textId="77777777" w:rsidR="00923319" w:rsidRPr="00A67277" w:rsidRDefault="00923319" w:rsidP="00923319">
            <w:pPr>
              <w:pStyle w:val="ListParagraph"/>
              <w:numPr>
                <w:ilvl w:val="0"/>
                <w:numId w:val="666"/>
              </w:numPr>
              <w:spacing w:before="120" w:after="120"/>
              <w:ind w:left="452" w:hanging="452"/>
              <w:rPr>
                <w:rFonts w:cs="Arial"/>
              </w:rPr>
            </w:pPr>
            <w:r w:rsidRPr="00A67277">
              <w:rPr>
                <w:rFonts w:cs="Arial"/>
                <w:b/>
                <w:smallCaps/>
              </w:rPr>
              <w:t>[***]</w:t>
            </w:r>
            <w:r w:rsidRPr="00A67277">
              <w:rPr>
                <w:rFonts w:cs="Arial"/>
              </w:rPr>
              <w:t xml:space="preserve">, suatu perusahaan yang didirikan berdasarkan hukum negara [***] berkedudukan di </w:t>
            </w:r>
            <w:r w:rsidRPr="00A67277">
              <w:rPr>
                <w:rFonts w:cs="Arial"/>
                <w:smallCaps/>
              </w:rPr>
              <w:t xml:space="preserve">[***], </w:t>
            </w:r>
            <w:r w:rsidRPr="00A67277">
              <w:rPr>
                <w:rFonts w:cs="Arial"/>
              </w:rPr>
              <w:t xml:space="preserve">dalam hal ini diwakili oleh </w:t>
            </w:r>
            <w:r w:rsidRPr="00A67277">
              <w:rPr>
                <w:rFonts w:cs="Arial"/>
                <w:smallCaps/>
              </w:rPr>
              <w:t>[***]</w:t>
            </w:r>
            <w:r w:rsidRPr="00A67277">
              <w:rPr>
                <w:rFonts w:cs="Arial"/>
                <w:b/>
                <w:smallCaps/>
              </w:rPr>
              <w:t xml:space="preserve"> </w:t>
            </w:r>
            <w:r w:rsidRPr="00A67277">
              <w:rPr>
                <w:rFonts w:cs="Arial"/>
              </w:rPr>
              <w:t xml:space="preserve">selaku </w:t>
            </w:r>
            <w:r w:rsidRPr="00A67277">
              <w:rPr>
                <w:rFonts w:cs="Arial"/>
                <w:smallCaps/>
              </w:rPr>
              <w:t>[***]</w:t>
            </w:r>
            <w:r w:rsidRPr="00A67277">
              <w:rPr>
                <w:rFonts w:cs="Arial"/>
                <w:b/>
                <w:smallCaps/>
              </w:rPr>
              <w:t xml:space="preserve"> </w:t>
            </w:r>
            <w:r w:rsidRPr="00A67277">
              <w:rPr>
                <w:rFonts w:cs="Arial"/>
              </w:rPr>
              <w:t xml:space="preserve">dari dan oleh karenanya berhak bertindak untuk dan atas nama </w:t>
            </w:r>
            <w:r w:rsidRPr="00A67277">
              <w:rPr>
                <w:rFonts w:cs="Arial"/>
                <w:smallCaps/>
              </w:rPr>
              <w:t>[***]</w:t>
            </w:r>
            <w:r w:rsidRPr="00A67277">
              <w:rPr>
                <w:rFonts w:cs="Arial"/>
                <w:b/>
                <w:smallCaps/>
              </w:rPr>
              <w:t xml:space="preserve"> </w:t>
            </w:r>
            <w:r w:rsidRPr="00A67277">
              <w:rPr>
                <w:rFonts w:cs="Arial"/>
              </w:rPr>
              <w:t>(selanjutnya disebut sebagai "</w:t>
            </w:r>
            <w:r w:rsidRPr="00A67277">
              <w:rPr>
                <w:rFonts w:cs="Arial"/>
                <w:b/>
              </w:rPr>
              <w:t>Sponsor 1</w:t>
            </w:r>
            <w:r w:rsidRPr="00A67277">
              <w:rPr>
                <w:rFonts w:cs="Arial"/>
              </w:rPr>
              <w:t>");</w:t>
            </w:r>
          </w:p>
        </w:tc>
      </w:tr>
      <w:tr w:rsidR="00923319" w:rsidRPr="00A67277" w14:paraId="756B7E04" w14:textId="77777777" w:rsidTr="00923319">
        <w:tc>
          <w:tcPr>
            <w:tcW w:w="2496" w:type="pct"/>
            <w:shd w:val="clear" w:color="auto" w:fill="auto"/>
          </w:tcPr>
          <w:p w14:paraId="0811D48A" w14:textId="77777777" w:rsidR="00923319" w:rsidRPr="00A67277" w:rsidRDefault="00923319" w:rsidP="00923319">
            <w:pPr>
              <w:pStyle w:val="Parties"/>
              <w:numPr>
                <w:ilvl w:val="0"/>
                <w:numId w:val="617"/>
              </w:numPr>
              <w:spacing w:before="120" w:after="120"/>
              <w:ind w:left="447" w:hanging="425"/>
              <w:rPr>
                <w:rFonts w:cs="Arial"/>
              </w:rPr>
            </w:pPr>
            <w:r w:rsidRPr="00A67277">
              <w:rPr>
                <w:rFonts w:cs="Arial"/>
                <w:b/>
                <w:smallCaps/>
              </w:rPr>
              <w:t>[***]</w:t>
            </w:r>
            <w:r w:rsidRPr="00A67277">
              <w:rPr>
                <w:rFonts w:cs="Arial"/>
              </w:rPr>
              <w:t xml:space="preserve">, a company established under the laws of [***] domiciled in </w:t>
            </w:r>
            <w:r w:rsidRPr="00A67277">
              <w:rPr>
                <w:rFonts w:cs="Arial"/>
                <w:smallCaps/>
              </w:rPr>
              <w:t xml:space="preserve">[***], </w:t>
            </w:r>
            <w:r w:rsidRPr="00A67277">
              <w:rPr>
                <w:rFonts w:cs="Arial"/>
              </w:rPr>
              <w:t xml:space="preserve">in this matter is represented by </w:t>
            </w:r>
            <w:r w:rsidRPr="00A67277">
              <w:rPr>
                <w:rFonts w:cs="Arial"/>
                <w:smallCaps/>
              </w:rPr>
              <w:t>[***]</w:t>
            </w:r>
            <w:r w:rsidRPr="00A67277">
              <w:rPr>
                <w:rFonts w:cs="Arial"/>
                <w:b/>
                <w:smallCaps/>
              </w:rPr>
              <w:t xml:space="preserve"> </w:t>
            </w:r>
            <w:r w:rsidRPr="00A67277">
              <w:rPr>
                <w:rFonts w:cs="Arial"/>
              </w:rPr>
              <w:t xml:space="preserve">acting as </w:t>
            </w:r>
            <w:r w:rsidRPr="00A67277">
              <w:rPr>
                <w:rFonts w:cs="Arial"/>
                <w:smallCaps/>
              </w:rPr>
              <w:t>[***]</w:t>
            </w:r>
            <w:r w:rsidRPr="00A67277">
              <w:rPr>
                <w:rFonts w:cs="Arial"/>
                <w:b/>
                <w:smallCaps/>
              </w:rPr>
              <w:t xml:space="preserve"> </w:t>
            </w:r>
            <w:r w:rsidRPr="00A67277">
              <w:rPr>
                <w:rFonts w:cs="Arial"/>
              </w:rPr>
              <w:t xml:space="preserve">therefore acting for and on behalf of  </w:t>
            </w:r>
            <w:r w:rsidRPr="00A67277">
              <w:rPr>
                <w:rFonts w:cs="Arial"/>
                <w:smallCaps/>
              </w:rPr>
              <w:t>[***]</w:t>
            </w:r>
            <w:r w:rsidRPr="00A67277">
              <w:rPr>
                <w:rFonts w:cs="Arial"/>
                <w:b/>
                <w:smallCaps/>
              </w:rPr>
              <w:t xml:space="preserve"> </w:t>
            </w:r>
            <w:r w:rsidRPr="00A67277">
              <w:rPr>
                <w:rFonts w:cs="Arial"/>
              </w:rPr>
              <w:t>(hereinafter referred to as "</w:t>
            </w:r>
            <w:r w:rsidRPr="00A67277">
              <w:rPr>
                <w:rFonts w:cs="Arial"/>
                <w:b/>
              </w:rPr>
              <w:t>Sponsor 2”</w:t>
            </w:r>
            <w:r w:rsidRPr="00A67277">
              <w:rPr>
                <w:rFonts w:cs="Arial"/>
              </w:rPr>
              <w:t>);</w:t>
            </w:r>
            <w:r w:rsidRPr="00A67277">
              <w:rPr>
                <w:rFonts w:cs="Arial"/>
                <w:b/>
                <w:smallCaps/>
              </w:rPr>
              <w:t xml:space="preserve"> </w:t>
            </w:r>
          </w:p>
        </w:tc>
        <w:tc>
          <w:tcPr>
            <w:tcW w:w="141" w:type="pct"/>
            <w:shd w:val="clear" w:color="auto" w:fill="auto"/>
          </w:tcPr>
          <w:p w14:paraId="2F1369F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6D49BD8" w14:textId="77777777" w:rsidR="00923319" w:rsidRPr="00A67277" w:rsidRDefault="00923319" w:rsidP="00923319">
            <w:pPr>
              <w:pStyle w:val="ListParagraph"/>
              <w:numPr>
                <w:ilvl w:val="0"/>
                <w:numId w:val="666"/>
              </w:numPr>
              <w:spacing w:before="120" w:after="120"/>
              <w:ind w:left="452" w:hanging="452"/>
              <w:rPr>
                <w:rFonts w:cs="Arial"/>
              </w:rPr>
            </w:pPr>
            <w:r w:rsidRPr="00A67277">
              <w:rPr>
                <w:rFonts w:cs="Arial"/>
                <w:b/>
                <w:smallCaps/>
              </w:rPr>
              <w:t>[***]</w:t>
            </w:r>
            <w:r w:rsidRPr="00A67277">
              <w:rPr>
                <w:rFonts w:cs="Arial"/>
              </w:rPr>
              <w:t xml:space="preserve">, suatu perusahaan yang didirikan berdasarkan hukum negara [***] berkedudukan di </w:t>
            </w:r>
            <w:r w:rsidRPr="00A67277">
              <w:rPr>
                <w:rFonts w:cs="Arial"/>
                <w:smallCaps/>
              </w:rPr>
              <w:t xml:space="preserve">[***], </w:t>
            </w:r>
            <w:r w:rsidRPr="00A67277">
              <w:rPr>
                <w:rFonts w:cs="Arial"/>
              </w:rPr>
              <w:t xml:space="preserve">dalam hal ini diwakili oleh </w:t>
            </w:r>
            <w:r w:rsidRPr="00A67277">
              <w:rPr>
                <w:rFonts w:cs="Arial"/>
                <w:smallCaps/>
              </w:rPr>
              <w:t>[***]</w:t>
            </w:r>
            <w:r w:rsidRPr="00A67277">
              <w:rPr>
                <w:rFonts w:cs="Arial"/>
                <w:b/>
                <w:smallCaps/>
              </w:rPr>
              <w:t xml:space="preserve"> </w:t>
            </w:r>
            <w:r w:rsidRPr="00A67277">
              <w:rPr>
                <w:rFonts w:cs="Arial"/>
              </w:rPr>
              <w:t xml:space="preserve">selaku </w:t>
            </w:r>
            <w:r w:rsidRPr="00A67277">
              <w:rPr>
                <w:rFonts w:cs="Arial"/>
                <w:smallCaps/>
              </w:rPr>
              <w:t>[***]</w:t>
            </w:r>
            <w:r w:rsidRPr="00A67277">
              <w:rPr>
                <w:rFonts w:cs="Arial"/>
                <w:b/>
                <w:smallCaps/>
              </w:rPr>
              <w:t xml:space="preserve"> </w:t>
            </w:r>
            <w:r w:rsidRPr="00A67277">
              <w:rPr>
                <w:rFonts w:cs="Arial"/>
              </w:rPr>
              <w:t xml:space="preserve">dari dan oleh karenanya berhak bertindak untuk dan atas nama </w:t>
            </w:r>
            <w:r w:rsidRPr="00A67277">
              <w:rPr>
                <w:rFonts w:cs="Arial"/>
                <w:smallCaps/>
              </w:rPr>
              <w:t>[***]</w:t>
            </w:r>
            <w:r w:rsidRPr="00A67277">
              <w:rPr>
                <w:rFonts w:cs="Arial"/>
                <w:b/>
                <w:smallCaps/>
              </w:rPr>
              <w:t xml:space="preserve"> </w:t>
            </w:r>
            <w:r w:rsidRPr="00A67277">
              <w:rPr>
                <w:rFonts w:cs="Arial"/>
              </w:rPr>
              <w:t>(selanjutnya disebut sebagai "</w:t>
            </w:r>
            <w:r w:rsidRPr="00A67277">
              <w:rPr>
                <w:rFonts w:cs="Arial"/>
                <w:b/>
              </w:rPr>
              <w:t>Sponsor 2</w:t>
            </w:r>
            <w:r w:rsidRPr="00A67277">
              <w:rPr>
                <w:rFonts w:cs="Arial"/>
              </w:rPr>
              <w:t>");</w:t>
            </w:r>
            <w:r w:rsidRPr="00A67277">
              <w:rPr>
                <w:rFonts w:cs="Arial"/>
                <w:b/>
                <w:smallCaps/>
              </w:rPr>
              <w:t xml:space="preserve"> </w:t>
            </w:r>
          </w:p>
        </w:tc>
      </w:tr>
      <w:tr w:rsidR="00923319" w:rsidRPr="00A67277" w14:paraId="6093115E" w14:textId="77777777" w:rsidTr="00923319">
        <w:tc>
          <w:tcPr>
            <w:tcW w:w="2496" w:type="pct"/>
            <w:shd w:val="clear" w:color="auto" w:fill="auto"/>
          </w:tcPr>
          <w:p w14:paraId="37CE4369" w14:textId="77777777" w:rsidR="00923319" w:rsidRPr="00A67277" w:rsidRDefault="00923319" w:rsidP="00923319">
            <w:pPr>
              <w:pStyle w:val="Parties"/>
              <w:numPr>
                <w:ilvl w:val="0"/>
                <w:numId w:val="617"/>
              </w:numPr>
              <w:spacing w:before="120" w:after="120"/>
              <w:ind w:left="447" w:hanging="425"/>
              <w:rPr>
                <w:rFonts w:cs="Arial"/>
              </w:rPr>
            </w:pPr>
            <w:r w:rsidRPr="00A67277">
              <w:rPr>
                <w:rFonts w:cs="Arial"/>
                <w:b/>
                <w:smallCaps/>
              </w:rPr>
              <w:t>[***]</w:t>
            </w:r>
            <w:r w:rsidRPr="00A67277">
              <w:rPr>
                <w:rFonts w:cs="Arial"/>
              </w:rPr>
              <w:t xml:space="preserve">, a company established under the laws of Republic of Indonesia on the basis of </w:t>
            </w:r>
            <w:r w:rsidRPr="00A67277">
              <w:rPr>
                <w:rFonts w:cs="Arial"/>
                <w:smallCaps/>
              </w:rPr>
              <w:t>[***]</w:t>
            </w:r>
            <w:r w:rsidRPr="00A67277">
              <w:rPr>
                <w:rFonts w:cs="Arial"/>
              </w:rPr>
              <w:t xml:space="preserve">, made before </w:t>
            </w:r>
            <w:r w:rsidRPr="00A67277">
              <w:rPr>
                <w:rFonts w:cs="Arial"/>
                <w:smallCaps/>
              </w:rPr>
              <w:t>[***]</w:t>
            </w:r>
            <w:r w:rsidRPr="00A67277">
              <w:rPr>
                <w:rFonts w:cs="Arial"/>
              </w:rPr>
              <w:t xml:space="preserve">, Notary in </w:t>
            </w:r>
            <w:r w:rsidRPr="00A67277">
              <w:rPr>
                <w:rFonts w:cs="Arial"/>
                <w:smallCaps/>
              </w:rPr>
              <w:t xml:space="preserve">[***] </w:t>
            </w:r>
            <w:r w:rsidRPr="00A67277">
              <w:rPr>
                <w:rFonts w:cs="Arial"/>
              </w:rPr>
              <w:t xml:space="preserve">that has obtained ratification from Minister of Law and Human Rights on the basis of </w:t>
            </w:r>
            <w:r w:rsidRPr="00A67277">
              <w:rPr>
                <w:rFonts w:cs="Arial"/>
                <w:smallCaps/>
              </w:rPr>
              <w:t>[***]</w:t>
            </w:r>
            <w:r w:rsidRPr="00A67277">
              <w:rPr>
                <w:rFonts w:cs="Arial"/>
              </w:rPr>
              <w:t xml:space="preserve">, domiciled in </w:t>
            </w:r>
            <w:r w:rsidRPr="00A67277">
              <w:rPr>
                <w:rFonts w:cs="Arial"/>
                <w:smallCaps/>
              </w:rPr>
              <w:t xml:space="preserve">[***], </w:t>
            </w:r>
            <w:r w:rsidRPr="00A67277">
              <w:rPr>
                <w:rFonts w:cs="Arial"/>
              </w:rPr>
              <w:t xml:space="preserve">in this matter is represented by </w:t>
            </w:r>
            <w:r w:rsidRPr="00A67277">
              <w:rPr>
                <w:rFonts w:cs="Arial"/>
                <w:smallCaps/>
              </w:rPr>
              <w:t>[***]</w:t>
            </w:r>
            <w:r w:rsidRPr="00A67277">
              <w:rPr>
                <w:rFonts w:cs="Arial"/>
                <w:b/>
                <w:smallCaps/>
              </w:rPr>
              <w:t xml:space="preserve"> </w:t>
            </w:r>
            <w:r w:rsidRPr="00A67277">
              <w:rPr>
                <w:rFonts w:cs="Arial"/>
              </w:rPr>
              <w:t xml:space="preserve">acting as </w:t>
            </w:r>
            <w:r w:rsidRPr="00A67277">
              <w:rPr>
                <w:rFonts w:cs="Arial"/>
                <w:smallCaps/>
              </w:rPr>
              <w:t>[***]</w:t>
            </w:r>
            <w:r w:rsidRPr="00A67277">
              <w:rPr>
                <w:rFonts w:cs="Arial"/>
                <w:b/>
                <w:smallCaps/>
              </w:rPr>
              <w:t xml:space="preserve"> </w:t>
            </w:r>
            <w:r w:rsidRPr="00A67277">
              <w:rPr>
                <w:rFonts w:cs="Arial"/>
              </w:rPr>
              <w:t xml:space="preserve">therefore is entitled to act for and on behalf of </w:t>
            </w:r>
            <w:r w:rsidRPr="00A67277">
              <w:rPr>
                <w:rFonts w:cs="Arial"/>
                <w:smallCaps/>
              </w:rPr>
              <w:t>[***]</w:t>
            </w:r>
            <w:r w:rsidRPr="00A67277" w:rsidDel="00D43CBC">
              <w:rPr>
                <w:rFonts w:cs="Arial"/>
                <w:b/>
                <w:smallCaps/>
              </w:rPr>
              <w:t xml:space="preserve"> </w:t>
            </w:r>
            <w:r w:rsidRPr="00A67277">
              <w:rPr>
                <w:rFonts w:cs="Arial"/>
              </w:rPr>
              <w:t>(hereinafter referred to as "</w:t>
            </w:r>
            <w:r w:rsidRPr="00A67277">
              <w:rPr>
                <w:rFonts w:cs="Arial"/>
                <w:b/>
              </w:rPr>
              <w:t>IBE</w:t>
            </w:r>
            <w:r w:rsidRPr="00A67277">
              <w:rPr>
                <w:rFonts w:cs="Arial"/>
              </w:rPr>
              <w:t>"); and</w:t>
            </w:r>
          </w:p>
        </w:tc>
        <w:tc>
          <w:tcPr>
            <w:tcW w:w="141" w:type="pct"/>
            <w:shd w:val="clear" w:color="auto" w:fill="auto"/>
          </w:tcPr>
          <w:p w14:paraId="7EFCD29B"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4287EBE" w14:textId="77777777" w:rsidR="00923319" w:rsidRPr="00A67277" w:rsidRDefault="00923319" w:rsidP="00923319">
            <w:pPr>
              <w:pStyle w:val="ListParagraph"/>
              <w:numPr>
                <w:ilvl w:val="0"/>
                <w:numId w:val="666"/>
              </w:numPr>
              <w:spacing w:before="120" w:after="120"/>
              <w:ind w:left="452" w:hanging="452"/>
              <w:rPr>
                <w:rFonts w:cs="Arial"/>
              </w:rPr>
            </w:pPr>
            <w:r w:rsidRPr="00A67277">
              <w:rPr>
                <w:rFonts w:cs="Arial"/>
                <w:b/>
                <w:smallCaps/>
              </w:rPr>
              <w:t>[***]</w:t>
            </w:r>
            <w:r w:rsidRPr="00A67277">
              <w:rPr>
                <w:rFonts w:cs="Arial"/>
              </w:rPr>
              <w:t xml:space="preserve">, suatu perusahaan yang didirikan berdasarkan hukum negara Republik Indonesia berdasarkan </w:t>
            </w:r>
            <w:r w:rsidRPr="00A67277">
              <w:rPr>
                <w:rFonts w:cs="Arial"/>
                <w:smallCaps/>
              </w:rPr>
              <w:t>[***]</w:t>
            </w:r>
            <w:r w:rsidRPr="00A67277">
              <w:rPr>
                <w:rFonts w:cs="Arial"/>
              </w:rPr>
              <w:t xml:space="preserve">, dibuat di hadapan </w:t>
            </w:r>
            <w:r w:rsidRPr="00A67277">
              <w:rPr>
                <w:rFonts w:cs="Arial"/>
                <w:smallCaps/>
              </w:rPr>
              <w:t>[***]</w:t>
            </w:r>
            <w:r w:rsidRPr="00A67277">
              <w:rPr>
                <w:rFonts w:cs="Arial"/>
              </w:rPr>
              <w:t xml:space="preserve">, Notaris di </w:t>
            </w:r>
            <w:r w:rsidRPr="00A67277">
              <w:rPr>
                <w:rFonts w:cs="Arial"/>
                <w:smallCaps/>
              </w:rPr>
              <w:t>[***]</w:t>
            </w:r>
            <w:r w:rsidRPr="00A67277">
              <w:rPr>
                <w:rFonts w:cs="Arial"/>
                <w:b/>
                <w:smallCaps/>
              </w:rPr>
              <w:t xml:space="preserve"> </w:t>
            </w:r>
            <w:r w:rsidRPr="00A67277">
              <w:rPr>
                <w:rFonts w:cs="Arial"/>
              </w:rPr>
              <w:t xml:space="preserve">yang telah mendapatkan pengesahan dari Menteri Hukum dan Hak Asasi Manusia berdasarkan </w:t>
            </w:r>
            <w:r w:rsidRPr="00A67277">
              <w:rPr>
                <w:rFonts w:cs="Arial"/>
                <w:smallCaps/>
              </w:rPr>
              <w:t>[***]</w:t>
            </w:r>
            <w:r w:rsidRPr="00A67277">
              <w:rPr>
                <w:rFonts w:cs="Arial"/>
              </w:rPr>
              <w:t xml:space="preserve">, berkedudukan di </w:t>
            </w:r>
            <w:r w:rsidRPr="00A67277">
              <w:rPr>
                <w:rFonts w:cs="Arial"/>
                <w:smallCaps/>
              </w:rPr>
              <w:t xml:space="preserve">[***], </w:t>
            </w:r>
            <w:r w:rsidRPr="00A67277">
              <w:rPr>
                <w:rFonts w:cs="Arial"/>
              </w:rPr>
              <w:t xml:space="preserve">dalam hal ini diwakili oleh </w:t>
            </w:r>
            <w:r w:rsidRPr="00A67277">
              <w:rPr>
                <w:rFonts w:cs="Arial"/>
                <w:smallCaps/>
              </w:rPr>
              <w:t>[***]</w:t>
            </w:r>
            <w:r w:rsidRPr="00A67277">
              <w:rPr>
                <w:rFonts w:cs="Arial"/>
                <w:b/>
                <w:smallCaps/>
              </w:rPr>
              <w:t xml:space="preserve"> </w:t>
            </w:r>
            <w:r w:rsidRPr="00A67277">
              <w:rPr>
                <w:rFonts w:cs="Arial"/>
              </w:rPr>
              <w:t xml:space="preserve">selaku </w:t>
            </w:r>
            <w:r w:rsidRPr="00A67277">
              <w:rPr>
                <w:rFonts w:cs="Arial"/>
                <w:smallCaps/>
              </w:rPr>
              <w:t>[***]</w:t>
            </w:r>
            <w:r w:rsidRPr="00A67277">
              <w:rPr>
                <w:rFonts w:cs="Arial"/>
                <w:b/>
                <w:smallCaps/>
              </w:rPr>
              <w:t xml:space="preserve"> </w:t>
            </w:r>
            <w:r w:rsidRPr="00A67277">
              <w:rPr>
                <w:rFonts w:cs="Arial"/>
              </w:rPr>
              <w:t xml:space="preserve">dari dan oleh karenanya berhak bertindak untuk dan atas nama </w:t>
            </w:r>
            <w:r w:rsidRPr="00A67277">
              <w:rPr>
                <w:rFonts w:cs="Arial"/>
                <w:smallCaps/>
              </w:rPr>
              <w:t>[***]</w:t>
            </w:r>
            <w:r w:rsidRPr="00A67277">
              <w:rPr>
                <w:rFonts w:cs="Arial"/>
                <w:b/>
                <w:smallCaps/>
              </w:rPr>
              <w:t xml:space="preserve"> </w:t>
            </w:r>
            <w:r w:rsidRPr="00A67277">
              <w:rPr>
                <w:rFonts w:cs="Arial"/>
              </w:rPr>
              <w:t>(selanjutnya disebut sebagai "</w:t>
            </w:r>
            <w:r w:rsidRPr="00A67277">
              <w:rPr>
                <w:rFonts w:cs="Arial"/>
                <w:b/>
              </w:rPr>
              <w:t>BUP</w:t>
            </w:r>
            <w:r w:rsidRPr="00A67277">
              <w:rPr>
                <w:rFonts w:cs="Arial"/>
              </w:rPr>
              <w:t>"); dan</w:t>
            </w:r>
          </w:p>
        </w:tc>
      </w:tr>
      <w:tr w:rsidR="00923319" w:rsidRPr="00A67277" w14:paraId="52B86539" w14:textId="77777777" w:rsidTr="00923319">
        <w:tc>
          <w:tcPr>
            <w:tcW w:w="2496" w:type="pct"/>
            <w:shd w:val="clear" w:color="auto" w:fill="auto"/>
          </w:tcPr>
          <w:p w14:paraId="050E34E5" w14:textId="77777777" w:rsidR="00923319" w:rsidRPr="00A67277" w:rsidRDefault="00923319" w:rsidP="00923319">
            <w:pPr>
              <w:pStyle w:val="Parties"/>
              <w:numPr>
                <w:ilvl w:val="0"/>
                <w:numId w:val="617"/>
              </w:numPr>
              <w:spacing w:before="120" w:after="120"/>
              <w:ind w:left="447" w:hanging="425"/>
              <w:rPr>
                <w:rFonts w:cs="Arial"/>
              </w:rPr>
            </w:pPr>
            <w:r w:rsidRPr="00A67277">
              <w:rPr>
                <w:rFonts w:cs="Arial"/>
                <w:b/>
              </w:rPr>
              <w:t>[***]</w:t>
            </w:r>
            <w:r w:rsidRPr="00A67277">
              <w:rPr>
                <w:rFonts w:cs="Arial"/>
              </w:rPr>
              <w:t xml:space="preserve">, that is established based on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w:t>
            </w:r>
            <w:r w:rsidRPr="00A67277">
              <w:rPr>
                <w:rFonts w:cs="Arial"/>
                <w:b/>
                <w:smallCaps/>
              </w:rPr>
              <w:t xml:space="preserve"> </w:t>
            </w:r>
            <w:r w:rsidRPr="00A67277">
              <w:rPr>
                <w:rFonts w:cs="Arial"/>
              </w:rPr>
              <w:t xml:space="preserve">is having principal office in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 xml:space="preserve"> </w:t>
            </w:r>
            <w:r w:rsidRPr="00A67277">
              <w:rPr>
                <w:rFonts w:cs="Arial"/>
              </w:rPr>
              <w:t xml:space="preserve">in this matter is represented by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 xml:space="preserve"> </w:t>
            </w:r>
            <w:r w:rsidRPr="00A67277">
              <w:rPr>
                <w:rFonts w:cs="Arial"/>
              </w:rPr>
              <w:t xml:space="preserve">as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that is appointed on the basis of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 xml:space="preserve"> </w:t>
            </w:r>
            <w:r w:rsidRPr="00A67277">
              <w:rPr>
                <w:rFonts w:cs="Arial"/>
              </w:rPr>
              <w:t xml:space="preserve">and therefore acting for and on behalf of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(hereinafter referred to as "</w:t>
            </w:r>
            <w:r w:rsidRPr="00A67277">
              <w:rPr>
                <w:rFonts w:cs="Arial"/>
                <w:b/>
              </w:rPr>
              <w:t>GCA</w:t>
            </w:r>
            <w:r w:rsidRPr="00A67277">
              <w:rPr>
                <w:rFonts w:cs="Arial"/>
              </w:rPr>
              <w:t>").</w:t>
            </w:r>
          </w:p>
        </w:tc>
        <w:tc>
          <w:tcPr>
            <w:tcW w:w="141" w:type="pct"/>
            <w:shd w:val="clear" w:color="auto" w:fill="auto"/>
          </w:tcPr>
          <w:p w14:paraId="0D0FDE5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4D10BA4" w14:textId="77777777" w:rsidR="00923319" w:rsidRPr="00A67277" w:rsidRDefault="00923319" w:rsidP="00923319">
            <w:pPr>
              <w:pStyle w:val="ListParagraph"/>
              <w:numPr>
                <w:ilvl w:val="0"/>
                <w:numId w:val="666"/>
              </w:numPr>
              <w:spacing w:before="120" w:after="120"/>
              <w:ind w:left="452" w:hanging="452"/>
              <w:rPr>
                <w:rFonts w:cs="Arial"/>
              </w:rPr>
            </w:pPr>
            <w:r w:rsidRPr="00A67277">
              <w:rPr>
                <w:rFonts w:cs="Arial"/>
                <w:b/>
              </w:rPr>
              <w:t xml:space="preserve">[***] </w:t>
            </w:r>
            <w:r w:rsidRPr="00A67277">
              <w:rPr>
                <w:rFonts w:cs="Arial"/>
              </w:rPr>
              <w:t xml:space="preserve">, yang dibentuk berdasarkan </w:t>
            </w:r>
            <w:r w:rsidRPr="00A67277">
              <w:rPr>
                <w:rFonts w:cs="Arial"/>
                <w:smallCaps/>
                <w:lang w:val="id-ID"/>
              </w:rPr>
              <w:t>[</w:t>
            </w:r>
            <w:r w:rsidRPr="00A67277">
              <w:rPr>
                <w:rFonts w:cs="Arial"/>
                <w:smallCaps/>
              </w:rPr>
              <w:t>***</w:t>
            </w:r>
            <w:r w:rsidRPr="00A67277">
              <w:rPr>
                <w:rFonts w:cs="Arial"/>
                <w:smallCaps/>
                <w:lang w:val="id-ID"/>
              </w:rPr>
              <w:t>]</w:t>
            </w:r>
            <w:r w:rsidRPr="00A67277">
              <w:rPr>
                <w:rFonts w:cs="Arial"/>
                <w:smallCaps/>
              </w:rPr>
              <w:t>,</w:t>
            </w:r>
            <w:r w:rsidRPr="00A67277">
              <w:rPr>
                <w:rFonts w:cs="Arial"/>
                <w:b/>
                <w:smallCaps/>
              </w:rPr>
              <w:t xml:space="preserve"> </w:t>
            </w:r>
            <w:r w:rsidRPr="00A67277">
              <w:rPr>
                <w:rFonts w:cs="Arial"/>
              </w:rPr>
              <w:t xml:space="preserve">yang mempunyai kantor pusat di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dalam hal ini diwakili oleh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selaku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yang diangkat berdasarkan </w:t>
            </w:r>
            <w:r w:rsidRPr="00A67277">
              <w:rPr>
                <w:rFonts w:cs="Arial"/>
                <w:smallCaps/>
                <w:lang w:val="id-ID"/>
              </w:rPr>
              <w:t>[</w:t>
            </w:r>
            <w:r w:rsidRPr="00A67277">
              <w:rPr>
                <w:rFonts w:cs="Arial"/>
                <w:smallCaps/>
              </w:rPr>
              <w:t>***</w:t>
            </w:r>
            <w:r w:rsidRPr="00A67277">
              <w:rPr>
                <w:rFonts w:cs="Arial"/>
                <w:smallCaps/>
                <w:lang w:val="id-ID"/>
              </w:rPr>
              <w:t xml:space="preserve">] </w:t>
            </w:r>
            <w:r w:rsidRPr="00A67277">
              <w:rPr>
                <w:rFonts w:cs="Arial"/>
              </w:rPr>
              <w:t xml:space="preserve">dan oleh karenanya bertindak untuk dan atas nama </w:t>
            </w:r>
            <w:r w:rsidRPr="00A67277">
              <w:rPr>
                <w:rFonts w:cs="Arial"/>
                <w:smallCaps/>
                <w:lang w:val="id-ID"/>
              </w:rPr>
              <w:t>[</w:t>
            </w:r>
            <w:r w:rsidRPr="00A67277">
              <w:rPr>
                <w:rFonts w:cs="Arial"/>
                <w:smallCaps/>
              </w:rPr>
              <w:t>***</w:t>
            </w:r>
            <w:r w:rsidRPr="00A67277">
              <w:rPr>
                <w:rFonts w:cs="Arial"/>
                <w:smallCaps/>
                <w:lang w:val="id-ID"/>
              </w:rPr>
              <w:t>]</w:t>
            </w:r>
            <w:r w:rsidRPr="00A67277">
              <w:rPr>
                <w:rFonts w:cs="Arial"/>
              </w:rPr>
              <w:t xml:space="preserve"> (selanjutnya disebut sebagai "</w:t>
            </w:r>
            <w:r w:rsidRPr="00A67277">
              <w:rPr>
                <w:rFonts w:cs="Arial"/>
                <w:b/>
              </w:rPr>
              <w:t>PJPK</w:t>
            </w:r>
            <w:r w:rsidRPr="00A67277">
              <w:rPr>
                <w:rFonts w:cs="Arial"/>
              </w:rPr>
              <w:t>").</w:t>
            </w:r>
          </w:p>
        </w:tc>
      </w:tr>
      <w:tr w:rsidR="00923319" w:rsidRPr="00A67277" w14:paraId="2B131BA2" w14:textId="77777777" w:rsidTr="00923319">
        <w:tc>
          <w:tcPr>
            <w:tcW w:w="2496" w:type="pct"/>
            <w:shd w:val="clear" w:color="auto" w:fill="auto"/>
          </w:tcPr>
          <w:p w14:paraId="071022F6" w14:textId="77777777" w:rsidR="00923319" w:rsidRPr="00A67277" w:rsidRDefault="00923319" w:rsidP="00923319">
            <w:pPr>
              <w:pStyle w:val="Body1"/>
              <w:spacing w:before="120" w:after="120"/>
              <w:rPr>
                <w:rFonts w:cs="Arial"/>
              </w:rPr>
            </w:pPr>
            <w:r w:rsidRPr="00A67277">
              <w:rPr>
                <w:rFonts w:cs="Arial"/>
              </w:rPr>
              <w:t xml:space="preserve">(hereinafter </w:t>
            </w:r>
            <w:r w:rsidRPr="00A67277">
              <w:rPr>
                <w:rFonts w:cs="Arial"/>
                <w:b/>
              </w:rPr>
              <w:t>Sponsor 1</w:t>
            </w:r>
            <w:r w:rsidRPr="00A67277">
              <w:rPr>
                <w:rFonts w:cs="Arial"/>
              </w:rPr>
              <w:t xml:space="preserve"> and</w:t>
            </w:r>
            <w:r w:rsidRPr="00A67277">
              <w:rPr>
                <w:rFonts w:cs="Arial"/>
                <w:b/>
              </w:rPr>
              <w:t xml:space="preserve"> Sponsor 2</w:t>
            </w:r>
            <w:r w:rsidRPr="00A67277">
              <w:rPr>
                <w:rFonts w:cs="Arial"/>
              </w:rPr>
              <w:t xml:space="preserve"> collectively referred to as "</w:t>
            </w:r>
            <w:r w:rsidRPr="00A67277">
              <w:rPr>
                <w:rFonts w:cs="Arial"/>
                <w:b/>
              </w:rPr>
              <w:t>Sponsors</w:t>
            </w:r>
            <w:r w:rsidRPr="00A67277">
              <w:rPr>
                <w:rFonts w:cs="Arial"/>
              </w:rPr>
              <w:t>", and individually referred to as "</w:t>
            </w:r>
            <w:r w:rsidRPr="00A67277">
              <w:rPr>
                <w:rFonts w:cs="Arial"/>
                <w:b/>
              </w:rPr>
              <w:t>Sponsor</w:t>
            </w:r>
            <w:r w:rsidRPr="00A67277">
              <w:rPr>
                <w:rFonts w:cs="Arial"/>
              </w:rPr>
              <w:t xml:space="preserve">". Further, </w:t>
            </w:r>
            <w:r w:rsidRPr="00A67277">
              <w:rPr>
                <w:rFonts w:cs="Arial"/>
                <w:b/>
              </w:rPr>
              <w:t>Sponsors</w:t>
            </w:r>
            <w:r w:rsidRPr="00A67277">
              <w:rPr>
                <w:rFonts w:cs="Arial"/>
              </w:rPr>
              <w:t xml:space="preserve">, </w:t>
            </w:r>
            <w:r w:rsidRPr="00A67277">
              <w:rPr>
                <w:rFonts w:cs="Arial"/>
                <w:b/>
              </w:rPr>
              <w:t xml:space="preserve">IBE </w:t>
            </w:r>
            <w:r w:rsidRPr="00A67277">
              <w:rPr>
                <w:rFonts w:cs="Arial"/>
              </w:rPr>
              <w:t xml:space="preserve">and </w:t>
            </w:r>
            <w:r w:rsidRPr="00A67277">
              <w:rPr>
                <w:rFonts w:cs="Arial"/>
                <w:b/>
              </w:rPr>
              <w:t xml:space="preserve">GCA </w:t>
            </w:r>
            <w:r w:rsidRPr="00A67277">
              <w:rPr>
                <w:rFonts w:cs="Arial"/>
              </w:rPr>
              <w:t>collectively referred to as "</w:t>
            </w:r>
            <w:r w:rsidRPr="00A67277">
              <w:rPr>
                <w:rFonts w:cs="Arial"/>
                <w:b/>
              </w:rPr>
              <w:t>Parties</w:t>
            </w:r>
            <w:r w:rsidRPr="00A67277">
              <w:rPr>
                <w:rFonts w:cs="Arial"/>
              </w:rPr>
              <w:t>" and individually referred to as "</w:t>
            </w:r>
            <w:r w:rsidRPr="00A67277">
              <w:rPr>
                <w:rFonts w:cs="Arial"/>
                <w:b/>
              </w:rPr>
              <w:t>Party</w:t>
            </w:r>
            <w:r w:rsidRPr="00A67277">
              <w:rPr>
                <w:rFonts w:cs="Arial"/>
              </w:rPr>
              <w:t>").</w:t>
            </w:r>
          </w:p>
        </w:tc>
        <w:tc>
          <w:tcPr>
            <w:tcW w:w="141" w:type="pct"/>
            <w:shd w:val="clear" w:color="auto" w:fill="auto"/>
          </w:tcPr>
          <w:p w14:paraId="1119F66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C0DDE3A" w14:textId="77777777" w:rsidR="00923319" w:rsidRPr="00A67277" w:rsidRDefault="00923319" w:rsidP="00923319">
            <w:pPr>
              <w:pStyle w:val="Body1"/>
              <w:spacing w:before="120" w:after="120"/>
              <w:rPr>
                <w:rFonts w:cs="Arial"/>
              </w:rPr>
            </w:pPr>
            <w:r w:rsidRPr="00A67277">
              <w:rPr>
                <w:rFonts w:cs="Arial"/>
              </w:rPr>
              <w:t xml:space="preserve">(Selanjutnya </w:t>
            </w:r>
            <w:r w:rsidRPr="00A67277">
              <w:rPr>
                <w:rFonts w:cs="Arial"/>
                <w:b/>
              </w:rPr>
              <w:t>Sponsor 1</w:t>
            </w:r>
            <w:r w:rsidRPr="00A67277">
              <w:rPr>
                <w:rFonts w:cs="Arial"/>
              </w:rPr>
              <w:t>,</w:t>
            </w:r>
            <w:r w:rsidRPr="00A67277">
              <w:rPr>
                <w:rFonts w:cs="Arial"/>
                <w:b/>
              </w:rPr>
              <w:t xml:space="preserve"> Sponsor 2</w:t>
            </w:r>
            <w:r w:rsidRPr="00A67277">
              <w:rPr>
                <w:rFonts w:cs="Arial"/>
              </w:rPr>
              <w:t>, secara bersama-sama disebut sebagai "</w:t>
            </w:r>
            <w:r w:rsidRPr="00A67277">
              <w:rPr>
                <w:rFonts w:cs="Arial"/>
                <w:b/>
              </w:rPr>
              <w:t>Para Sponsor</w:t>
            </w:r>
            <w:r w:rsidRPr="00A67277">
              <w:rPr>
                <w:rFonts w:cs="Arial"/>
              </w:rPr>
              <w:t>", dan masing-masing sebagai "</w:t>
            </w:r>
            <w:r w:rsidRPr="00A67277">
              <w:rPr>
                <w:rFonts w:cs="Arial"/>
                <w:b/>
              </w:rPr>
              <w:t>Sponsor</w:t>
            </w:r>
            <w:r w:rsidRPr="00A67277">
              <w:rPr>
                <w:rFonts w:cs="Arial"/>
              </w:rPr>
              <w:t xml:space="preserve">". Lebih lanjut, </w:t>
            </w:r>
            <w:r w:rsidRPr="00A67277">
              <w:rPr>
                <w:rFonts w:cs="Arial"/>
                <w:b/>
              </w:rPr>
              <w:t>Para Sponsor</w:t>
            </w:r>
            <w:r w:rsidRPr="00A67277">
              <w:rPr>
                <w:rFonts w:cs="Arial"/>
              </w:rPr>
              <w:t xml:space="preserve">, </w:t>
            </w:r>
            <w:r w:rsidRPr="00A67277">
              <w:rPr>
                <w:rFonts w:cs="Arial"/>
                <w:b/>
              </w:rPr>
              <w:t>BUP</w:t>
            </w:r>
            <w:r w:rsidRPr="00A67277">
              <w:rPr>
                <w:rFonts w:cs="Arial"/>
              </w:rPr>
              <w:t xml:space="preserve"> dan </w:t>
            </w:r>
            <w:r w:rsidRPr="00A67277">
              <w:rPr>
                <w:rFonts w:cs="Arial"/>
                <w:b/>
              </w:rPr>
              <w:t>PJPK</w:t>
            </w:r>
            <w:r w:rsidRPr="00A67277">
              <w:rPr>
                <w:rFonts w:cs="Arial"/>
              </w:rPr>
              <w:t xml:space="preserve"> secara bersama-sama disebut sebagai "</w:t>
            </w:r>
            <w:r w:rsidRPr="00A67277">
              <w:rPr>
                <w:rFonts w:cs="Arial"/>
                <w:b/>
              </w:rPr>
              <w:t>Para Pihak</w:t>
            </w:r>
            <w:r w:rsidRPr="00A67277">
              <w:rPr>
                <w:rFonts w:cs="Arial"/>
              </w:rPr>
              <w:t>" dan masing-masing disebut "</w:t>
            </w:r>
            <w:r w:rsidRPr="00A67277">
              <w:rPr>
                <w:rFonts w:cs="Arial"/>
                <w:b/>
              </w:rPr>
              <w:t>Pihak</w:t>
            </w:r>
            <w:r w:rsidRPr="00A67277">
              <w:rPr>
                <w:rFonts w:cs="Arial"/>
              </w:rPr>
              <w:t>".)</w:t>
            </w:r>
          </w:p>
        </w:tc>
      </w:tr>
      <w:tr w:rsidR="00923319" w:rsidRPr="00A67277" w14:paraId="12DE0F21" w14:textId="77777777" w:rsidTr="00923319">
        <w:tc>
          <w:tcPr>
            <w:tcW w:w="2496" w:type="pct"/>
            <w:shd w:val="clear" w:color="auto" w:fill="auto"/>
          </w:tcPr>
          <w:p w14:paraId="1717D10C" w14:textId="77777777" w:rsidR="00923319" w:rsidRPr="00A67277" w:rsidRDefault="00923319" w:rsidP="00923319">
            <w:pPr>
              <w:pStyle w:val="Body1"/>
              <w:spacing w:before="120" w:after="120"/>
              <w:rPr>
                <w:rFonts w:cs="Arial"/>
              </w:rPr>
            </w:pPr>
            <w:r w:rsidRPr="00A67277">
              <w:rPr>
                <w:rStyle w:val="Heading1Text"/>
                <w:rFonts w:cs="Arial"/>
              </w:rPr>
              <w:t>Preamble</w:t>
            </w:r>
          </w:p>
        </w:tc>
        <w:tc>
          <w:tcPr>
            <w:tcW w:w="141" w:type="pct"/>
            <w:shd w:val="clear" w:color="auto" w:fill="auto"/>
          </w:tcPr>
          <w:p w14:paraId="07BB7FDF"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F253E91" w14:textId="77777777" w:rsidR="00923319" w:rsidRPr="00A67277" w:rsidRDefault="00923319" w:rsidP="00923319">
            <w:pPr>
              <w:pStyle w:val="Body1"/>
              <w:spacing w:before="120" w:after="120"/>
              <w:rPr>
                <w:rFonts w:cs="Arial"/>
              </w:rPr>
            </w:pPr>
            <w:r w:rsidRPr="00A67277">
              <w:rPr>
                <w:rStyle w:val="Heading1Text"/>
                <w:rFonts w:cs="Arial"/>
              </w:rPr>
              <w:t>Pembukaan</w:t>
            </w:r>
          </w:p>
        </w:tc>
      </w:tr>
      <w:tr w:rsidR="00923319" w:rsidRPr="00A67277" w14:paraId="6756103F" w14:textId="77777777" w:rsidTr="00923319">
        <w:tc>
          <w:tcPr>
            <w:tcW w:w="2496" w:type="pct"/>
            <w:shd w:val="clear" w:color="auto" w:fill="auto"/>
          </w:tcPr>
          <w:p w14:paraId="6BF71F48" w14:textId="77777777" w:rsidR="00923319" w:rsidRPr="00A67277" w:rsidRDefault="00923319" w:rsidP="00923319">
            <w:pPr>
              <w:pStyle w:val="Recitals"/>
              <w:numPr>
                <w:ilvl w:val="0"/>
                <w:numId w:val="206"/>
              </w:numPr>
              <w:tabs>
                <w:tab w:val="clear" w:pos="709"/>
                <w:tab w:val="num" w:pos="447"/>
              </w:tabs>
              <w:spacing w:before="120" w:after="120"/>
              <w:ind w:left="447" w:hanging="447"/>
              <w:rPr>
                <w:rFonts w:cs="Arial"/>
              </w:rPr>
            </w:pPr>
            <w:r w:rsidRPr="00A67277">
              <w:rPr>
                <w:rFonts w:cs="Arial"/>
              </w:rPr>
              <w:t xml:space="preserve">GCA and IBE have signed a </w:t>
            </w:r>
            <w:r w:rsidRPr="00A67277">
              <w:rPr>
                <w:rFonts w:cs="Arial"/>
                <w:lang w:val="id-ID"/>
              </w:rPr>
              <w:t xml:space="preserve">Cooperation Agreement </w:t>
            </w:r>
            <w:r w:rsidRPr="00A67277">
              <w:rPr>
                <w:rFonts w:cs="Arial"/>
                <w:lang w:val="en-US"/>
              </w:rPr>
              <w:t xml:space="preserve">on </w:t>
            </w:r>
            <w:r w:rsidRPr="00A67277">
              <w:rPr>
                <w:rFonts w:cs="Arial"/>
                <w:lang w:val="id-ID"/>
              </w:rPr>
              <w:t xml:space="preserve">Development, </w:t>
            </w:r>
            <w:r w:rsidRPr="00A67277">
              <w:rPr>
                <w:rFonts w:cs="Arial"/>
              </w:rPr>
              <w:t xml:space="preserve">Operation and Maintenance of </w:t>
            </w:r>
            <w:r w:rsidRPr="00A67277">
              <w:rPr>
                <w:rFonts w:cs="Arial"/>
                <w:lang w:val="en-US"/>
              </w:rPr>
              <w:t>[name of the</w:t>
            </w:r>
            <w:r w:rsidRPr="00A67277">
              <w:rPr>
                <w:rFonts w:cs="Arial"/>
              </w:rPr>
              <w:t xml:space="preserve"> Project] dated _______________ (“</w:t>
            </w:r>
            <w:r w:rsidRPr="00A67277">
              <w:rPr>
                <w:rFonts w:cs="Arial"/>
                <w:b/>
              </w:rPr>
              <w:t>Cooperation Agreement</w:t>
            </w:r>
            <w:r w:rsidRPr="00A67277">
              <w:rPr>
                <w:rFonts w:cs="Arial"/>
              </w:rPr>
              <w:t>”) where the IBE agreed to implement the Project pursuant to the condition stipulated in Cooperation Agreement.</w:t>
            </w:r>
          </w:p>
        </w:tc>
        <w:tc>
          <w:tcPr>
            <w:tcW w:w="141" w:type="pct"/>
            <w:shd w:val="clear" w:color="auto" w:fill="auto"/>
          </w:tcPr>
          <w:p w14:paraId="0277F32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EB7416F" w14:textId="77777777" w:rsidR="00923319" w:rsidRPr="00A67277" w:rsidRDefault="00923319" w:rsidP="00923319">
            <w:pPr>
              <w:pStyle w:val="ListParagraph"/>
              <w:numPr>
                <w:ilvl w:val="0"/>
                <w:numId w:val="667"/>
              </w:numPr>
              <w:spacing w:before="120" w:after="120"/>
              <w:rPr>
                <w:rFonts w:cs="Arial"/>
              </w:rPr>
            </w:pPr>
            <w:r w:rsidRPr="00A67277">
              <w:rPr>
                <w:rFonts w:cs="Arial"/>
              </w:rPr>
              <w:t>PJPK dan BUP telah menandatangani suatu Pembangunan, Pengoperasian Dan Pemeliharaan Proyek Sistem Penyediaan Air Curah Karian-Serpong tertanggal _______________ (“</w:t>
            </w:r>
            <w:r w:rsidRPr="00A67277">
              <w:rPr>
                <w:rFonts w:cs="Arial"/>
                <w:b/>
              </w:rPr>
              <w:t>Perjanjian Kerjasama</w:t>
            </w:r>
            <w:r w:rsidRPr="00A67277">
              <w:rPr>
                <w:rFonts w:cs="Arial"/>
              </w:rPr>
              <w:t xml:space="preserve">”) dimana BUP setuju untuk melaksanakan Proyek sesuai ketentuan dalam Perjanjian Kerjasama. </w:t>
            </w:r>
          </w:p>
        </w:tc>
      </w:tr>
      <w:tr w:rsidR="00923319" w:rsidRPr="00A67277" w14:paraId="2BC1B133" w14:textId="77777777" w:rsidTr="00923319">
        <w:tc>
          <w:tcPr>
            <w:tcW w:w="2496" w:type="pct"/>
            <w:shd w:val="clear" w:color="auto" w:fill="auto"/>
          </w:tcPr>
          <w:p w14:paraId="6BBA3852" w14:textId="77777777" w:rsidR="00923319" w:rsidRPr="00A67277" w:rsidRDefault="00923319" w:rsidP="00923319">
            <w:pPr>
              <w:pStyle w:val="Recitals"/>
              <w:numPr>
                <w:ilvl w:val="0"/>
                <w:numId w:val="206"/>
              </w:numPr>
              <w:tabs>
                <w:tab w:val="clear" w:pos="709"/>
                <w:tab w:val="num" w:pos="447"/>
              </w:tabs>
              <w:spacing w:before="120" w:after="120"/>
              <w:ind w:left="447" w:hanging="447"/>
              <w:rPr>
                <w:rFonts w:cs="Arial"/>
              </w:rPr>
            </w:pPr>
            <w:r w:rsidRPr="00A67277">
              <w:rPr>
                <w:rFonts w:cs="Arial"/>
              </w:rPr>
              <w:t>Each Sponsor is obliged to sign a Sponsorship Agreement under the Cooperation Agreement to bind necessary support from each said Sponsor for the Project Implementation by IBE.</w:t>
            </w:r>
          </w:p>
        </w:tc>
        <w:tc>
          <w:tcPr>
            <w:tcW w:w="141" w:type="pct"/>
            <w:shd w:val="clear" w:color="auto" w:fill="auto"/>
          </w:tcPr>
          <w:p w14:paraId="620F9028"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A1A3DCE" w14:textId="77777777" w:rsidR="00923319" w:rsidRPr="00A67277" w:rsidRDefault="00923319" w:rsidP="00923319">
            <w:pPr>
              <w:pStyle w:val="ListParagraph"/>
              <w:numPr>
                <w:ilvl w:val="0"/>
                <w:numId w:val="667"/>
              </w:numPr>
              <w:spacing w:before="120" w:after="120"/>
              <w:rPr>
                <w:rFonts w:cs="Arial"/>
              </w:rPr>
            </w:pPr>
            <w:r w:rsidRPr="00A67277">
              <w:rPr>
                <w:rFonts w:cs="Arial"/>
              </w:rPr>
              <w:t>Masing-masing Sponsor diwajibkan untuk menandatangani suatu Perjanjian Sponsor untuk mengikat dukungan-dukungan yang diperlukan dari masing-masing Sponsor tersebut untuk Penyelenggaraan Proyek oleh BUP.</w:t>
            </w:r>
          </w:p>
        </w:tc>
      </w:tr>
      <w:tr w:rsidR="00923319" w:rsidRPr="00A67277" w14:paraId="5F09D832" w14:textId="77777777" w:rsidTr="00923319">
        <w:tc>
          <w:tcPr>
            <w:tcW w:w="2496" w:type="pct"/>
            <w:shd w:val="clear" w:color="auto" w:fill="auto"/>
          </w:tcPr>
          <w:p w14:paraId="40B7AF32" w14:textId="77777777" w:rsidR="00923319" w:rsidRPr="00A67277" w:rsidRDefault="00923319" w:rsidP="00923319">
            <w:pPr>
              <w:pStyle w:val="Recitals"/>
              <w:numPr>
                <w:ilvl w:val="0"/>
                <w:numId w:val="206"/>
              </w:numPr>
              <w:tabs>
                <w:tab w:val="clear" w:pos="709"/>
                <w:tab w:val="num" w:pos="447"/>
              </w:tabs>
              <w:spacing w:before="120" w:after="120"/>
              <w:ind w:left="447" w:hanging="447"/>
              <w:rPr>
                <w:rFonts w:cs="Arial"/>
              </w:rPr>
            </w:pPr>
            <w:r w:rsidRPr="00A67277">
              <w:rPr>
                <w:rFonts w:cs="Arial"/>
              </w:rPr>
              <w:t>In relation to the above, each Sponsor agree</w:t>
            </w:r>
            <w:r w:rsidRPr="00A67277">
              <w:rPr>
                <w:rFonts w:cs="Arial"/>
                <w:lang w:val="id-ID"/>
              </w:rPr>
              <w:t>s</w:t>
            </w:r>
            <w:r w:rsidRPr="00A67277">
              <w:rPr>
                <w:rFonts w:cs="Arial"/>
              </w:rPr>
              <w:t xml:space="preserve"> to </w:t>
            </w:r>
            <w:r w:rsidRPr="00A67277">
              <w:rPr>
                <w:rFonts w:cs="Arial"/>
                <w:lang w:val="id-ID"/>
              </w:rPr>
              <w:t>provide</w:t>
            </w:r>
            <w:r w:rsidRPr="00A67277">
              <w:rPr>
                <w:rFonts w:cs="Arial"/>
              </w:rPr>
              <w:t xml:space="preserve"> support in regards with the Project Implementation pursuant to the conditions stipulated in this Agreement.</w:t>
            </w:r>
          </w:p>
        </w:tc>
        <w:tc>
          <w:tcPr>
            <w:tcW w:w="141" w:type="pct"/>
            <w:shd w:val="clear" w:color="auto" w:fill="auto"/>
          </w:tcPr>
          <w:p w14:paraId="61C8D77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0FE18C9" w14:textId="77777777" w:rsidR="00923319" w:rsidRPr="00A67277" w:rsidRDefault="00923319" w:rsidP="00923319">
            <w:pPr>
              <w:pStyle w:val="ListParagraph"/>
              <w:numPr>
                <w:ilvl w:val="0"/>
                <w:numId w:val="667"/>
              </w:numPr>
              <w:spacing w:before="120" w:after="120"/>
              <w:rPr>
                <w:rFonts w:cs="Arial"/>
              </w:rPr>
            </w:pPr>
            <w:r w:rsidRPr="00A67277">
              <w:rPr>
                <w:rFonts w:cs="Arial"/>
              </w:rPr>
              <w:t xml:space="preserve">Sehubungan dengan maksud tersebut, masing-masing Sponsor sepakat untuk memberikan dukungannya sehubungan dengan Penyelenggaraan Proyek sesuai dengan ketentuan diatur dalam Perjanjian ini. </w:t>
            </w:r>
          </w:p>
        </w:tc>
      </w:tr>
      <w:tr w:rsidR="00923319" w:rsidRPr="00A67277" w14:paraId="5EBFE308" w14:textId="77777777" w:rsidTr="00923319">
        <w:tc>
          <w:tcPr>
            <w:tcW w:w="2496" w:type="pct"/>
            <w:shd w:val="clear" w:color="auto" w:fill="auto"/>
          </w:tcPr>
          <w:p w14:paraId="17B7D5B3" w14:textId="77777777" w:rsidR="00923319" w:rsidRPr="00A67277" w:rsidRDefault="00923319" w:rsidP="00923319">
            <w:pPr>
              <w:pStyle w:val="Body1"/>
              <w:spacing w:before="120" w:after="120"/>
              <w:rPr>
                <w:rFonts w:cs="Arial"/>
              </w:rPr>
            </w:pPr>
            <w:r w:rsidRPr="00A67277">
              <w:rPr>
                <w:rFonts w:cs="Arial"/>
                <w:b/>
                <w:smallCaps/>
              </w:rPr>
              <w:t>In Witness Whereof</w:t>
            </w:r>
            <w:r w:rsidRPr="00A67277">
              <w:rPr>
                <w:rFonts w:cs="Arial"/>
              </w:rPr>
              <w:t>, based on the above considerations, The Parties agree to mutually bind themselves to the following terms and conditions:</w:t>
            </w:r>
          </w:p>
        </w:tc>
        <w:tc>
          <w:tcPr>
            <w:tcW w:w="141" w:type="pct"/>
            <w:shd w:val="clear" w:color="auto" w:fill="auto"/>
          </w:tcPr>
          <w:p w14:paraId="028DFE36"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C5E0A5A" w14:textId="77777777" w:rsidR="00923319" w:rsidRPr="00A67277" w:rsidRDefault="00923319" w:rsidP="00923319">
            <w:pPr>
              <w:pStyle w:val="Body1"/>
              <w:spacing w:before="120" w:after="120"/>
              <w:rPr>
                <w:rFonts w:cs="Arial"/>
              </w:rPr>
            </w:pPr>
            <w:r w:rsidRPr="00A67277">
              <w:rPr>
                <w:rFonts w:cs="Arial"/>
                <w:b/>
                <w:smallCaps/>
              </w:rPr>
              <w:t>Maka</w:t>
            </w:r>
            <w:r w:rsidRPr="00A67277">
              <w:rPr>
                <w:rFonts w:cs="Arial"/>
              </w:rPr>
              <w:t xml:space="preserve">, </w:t>
            </w:r>
            <w:r w:rsidRPr="00A67277">
              <w:rPr>
                <w:rFonts w:cs="Arial"/>
                <w:b/>
                <w:smallCaps/>
              </w:rPr>
              <w:t>Dengan Demikian</w:t>
            </w:r>
            <w:r w:rsidRPr="00A67277">
              <w:rPr>
                <w:rFonts w:cs="Arial"/>
              </w:rPr>
              <w:t>, berdasarkan pertimbangan-pertimbangan sebagaimana disebutkan di atas, Para Pihak sepakat untuk saling mengikatkan diri terhadap syarat-syarat dan ketentuan-ketentuan sebagaimana berikut:</w:t>
            </w:r>
          </w:p>
        </w:tc>
      </w:tr>
      <w:tr w:rsidR="00923319" w:rsidRPr="00A67277" w14:paraId="6BE027F8" w14:textId="77777777" w:rsidTr="00923319">
        <w:tc>
          <w:tcPr>
            <w:tcW w:w="2496" w:type="pct"/>
            <w:shd w:val="clear" w:color="auto" w:fill="auto"/>
          </w:tcPr>
          <w:p w14:paraId="02758D91" w14:textId="639F0BAA" w:rsidR="00923319" w:rsidRPr="00A67277" w:rsidRDefault="00923319" w:rsidP="00923319">
            <w:pPr>
              <w:pStyle w:val="Heading3"/>
              <w:numPr>
                <w:ilvl w:val="2"/>
                <w:numId w:val="668"/>
              </w:numPr>
              <w:spacing w:before="120" w:after="120"/>
              <w:rPr>
                <w:rFonts w:cs="Arial"/>
              </w:rPr>
            </w:pPr>
            <w:r w:rsidRPr="00A67277">
              <w:rPr>
                <w:rFonts w:cs="Arial"/>
              </w:rPr>
              <w:t xml:space="preserve">Definition and </w:t>
            </w:r>
            <w:r w:rsidR="00966C20">
              <w:rPr>
                <w:rFonts w:cs="Arial"/>
              </w:rPr>
              <w:t>Interpretation</w:t>
            </w:r>
          </w:p>
        </w:tc>
        <w:tc>
          <w:tcPr>
            <w:tcW w:w="141" w:type="pct"/>
            <w:shd w:val="clear" w:color="auto" w:fill="auto"/>
          </w:tcPr>
          <w:p w14:paraId="72C4971D"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AE63084" w14:textId="77777777" w:rsidR="00923319" w:rsidRPr="00A67277" w:rsidRDefault="00923319" w:rsidP="00923319">
            <w:pPr>
              <w:pStyle w:val="SchHeading1"/>
              <w:numPr>
                <w:ilvl w:val="0"/>
                <w:numId w:val="669"/>
              </w:numPr>
              <w:spacing w:before="120" w:after="120"/>
              <w:ind w:left="702" w:hanging="540"/>
              <w:rPr>
                <w:rFonts w:cs="Arial"/>
              </w:rPr>
            </w:pPr>
            <w:r w:rsidRPr="00A67277">
              <w:rPr>
                <w:rFonts w:cs="Arial"/>
              </w:rPr>
              <w:t>Definisi dan Interpretasi</w:t>
            </w:r>
          </w:p>
        </w:tc>
      </w:tr>
      <w:tr w:rsidR="00923319" w:rsidRPr="00A67277" w14:paraId="1BD741BF" w14:textId="77777777" w:rsidTr="00923319">
        <w:tc>
          <w:tcPr>
            <w:tcW w:w="2496" w:type="pct"/>
            <w:shd w:val="clear" w:color="auto" w:fill="auto"/>
          </w:tcPr>
          <w:p w14:paraId="116A4437" w14:textId="77777777" w:rsidR="00923319" w:rsidRPr="00A67277" w:rsidRDefault="00923319" w:rsidP="00923319">
            <w:pPr>
              <w:pStyle w:val="SchNumber2"/>
              <w:numPr>
                <w:ilvl w:val="3"/>
                <w:numId w:val="613"/>
              </w:numPr>
              <w:tabs>
                <w:tab w:val="clear" w:pos="709"/>
              </w:tabs>
              <w:spacing w:before="120" w:after="120"/>
              <w:ind w:left="703" w:hanging="703"/>
              <w:rPr>
                <w:rFonts w:cs="Arial"/>
              </w:rPr>
            </w:pPr>
            <w:r w:rsidRPr="00A67277">
              <w:rPr>
                <w:rFonts w:cs="Arial"/>
              </w:rPr>
              <w:t>Unless the context requires otherwise or expressly provided otherwise in this Agreement, the capitalized terms used in this Agreement shall have similar meaning as those contained in Article 1.1 (</w:t>
            </w:r>
            <w:r w:rsidRPr="00A67277">
              <w:rPr>
                <w:rFonts w:cs="Arial"/>
                <w:i/>
              </w:rPr>
              <w:t>Definitions</w:t>
            </w:r>
            <w:r w:rsidRPr="00A67277">
              <w:rPr>
                <w:rFonts w:cs="Arial"/>
              </w:rPr>
              <w:t>) of the Cooperation Agreement and this Agreement shall be interpreted in accordance with the provisions of Article 1.2 (</w:t>
            </w:r>
            <w:r w:rsidRPr="00A67277">
              <w:rPr>
                <w:rFonts w:cs="Arial"/>
                <w:i/>
              </w:rPr>
              <w:t>Interpretations</w:t>
            </w:r>
            <w:r w:rsidRPr="00A67277">
              <w:rPr>
                <w:rFonts w:cs="Arial"/>
              </w:rPr>
              <w:t xml:space="preserve">) of the Cooperation Agreement, </w:t>
            </w:r>
            <w:r w:rsidRPr="00A67277">
              <w:rPr>
                <w:rFonts w:cs="Arial"/>
                <w:i/>
              </w:rPr>
              <w:t>mutatis mutandis</w:t>
            </w:r>
            <w:r w:rsidRPr="00A67277">
              <w:rPr>
                <w:rFonts w:cs="Arial"/>
              </w:rPr>
              <w:t>.</w:t>
            </w:r>
          </w:p>
        </w:tc>
        <w:tc>
          <w:tcPr>
            <w:tcW w:w="141" w:type="pct"/>
            <w:shd w:val="clear" w:color="auto" w:fill="auto"/>
          </w:tcPr>
          <w:p w14:paraId="34C7B3D8"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C4B3258" w14:textId="77777777" w:rsidR="00923319" w:rsidRPr="00A67277" w:rsidRDefault="00923319" w:rsidP="00923319">
            <w:pPr>
              <w:pStyle w:val="ListParagraph"/>
              <w:numPr>
                <w:ilvl w:val="1"/>
                <w:numId w:val="669"/>
              </w:numPr>
              <w:spacing w:before="120" w:after="120"/>
              <w:ind w:hanging="558"/>
              <w:rPr>
                <w:rFonts w:cs="Arial"/>
              </w:rPr>
            </w:pPr>
            <w:r w:rsidRPr="00A67277">
              <w:rPr>
                <w:rFonts w:cs="Arial"/>
              </w:rPr>
              <w:t xml:space="preserve">Kecuali konteksnya mensyaratkan lain atau secara tegas diatur lain dalam Perjanjian ini, istilah dengan huruf besar yang digunakan dalam Perjanjian ini memiliki arti yang sama dengan istilah yang terdapat dalam Pasal 1.1 (Definisi) dari Perjanjian Kerjasama dan Perjanjian ini harus diinterpretasikan sesuai dengan ketentuan Pasal 1.2 (Interpretasi) dari Perjanjian Kerjasama, secara </w:t>
            </w:r>
            <w:r w:rsidRPr="00A67277">
              <w:rPr>
                <w:rFonts w:cs="Arial"/>
                <w:i/>
              </w:rPr>
              <w:t>mutatis mutandis</w:t>
            </w:r>
            <w:r w:rsidRPr="00A67277">
              <w:rPr>
                <w:rFonts w:cs="Arial"/>
              </w:rPr>
              <w:t>.</w:t>
            </w:r>
          </w:p>
        </w:tc>
      </w:tr>
      <w:tr w:rsidR="00923319" w:rsidRPr="00A67277" w14:paraId="0E66AE89" w14:textId="77777777" w:rsidTr="00923319">
        <w:tc>
          <w:tcPr>
            <w:tcW w:w="2496" w:type="pct"/>
            <w:shd w:val="clear" w:color="auto" w:fill="auto"/>
          </w:tcPr>
          <w:p w14:paraId="2C0205E5" w14:textId="77777777" w:rsidR="00923319" w:rsidRPr="00A67277" w:rsidRDefault="00923319" w:rsidP="00923319">
            <w:pPr>
              <w:pStyle w:val="SchNumber2"/>
              <w:numPr>
                <w:ilvl w:val="3"/>
                <w:numId w:val="613"/>
              </w:numPr>
              <w:tabs>
                <w:tab w:val="clear" w:pos="709"/>
              </w:tabs>
              <w:spacing w:before="120" w:after="120"/>
              <w:ind w:left="703" w:hanging="703"/>
              <w:rPr>
                <w:rFonts w:cs="Arial"/>
              </w:rPr>
            </w:pPr>
            <w:r w:rsidRPr="00A67277">
              <w:rPr>
                <w:rFonts w:cs="Arial"/>
              </w:rPr>
              <w:t xml:space="preserve">With taking into account the provision in above Article 1.1. of this agreement: </w:t>
            </w:r>
          </w:p>
        </w:tc>
        <w:tc>
          <w:tcPr>
            <w:tcW w:w="141" w:type="pct"/>
            <w:shd w:val="clear" w:color="auto" w:fill="auto"/>
          </w:tcPr>
          <w:p w14:paraId="64A8DCEF"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D30A640" w14:textId="77777777" w:rsidR="00923319" w:rsidRPr="00A67277" w:rsidRDefault="00923319" w:rsidP="00923319">
            <w:pPr>
              <w:pStyle w:val="ListParagraph"/>
              <w:numPr>
                <w:ilvl w:val="1"/>
                <w:numId w:val="669"/>
              </w:numPr>
              <w:spacing w:before="120" w:after="120"/>
              <w:ind w:hanging="558"/>
              <w:rPr>
                <w:rFonts w:cs="Arial"/>
              </w:rPr>
            </w:pPr>
            <w:r w:rsidRPr="00A67277">
              <w:rPr>
                <w:rFonts w:cs="Arial"/>
              </w:rPr>
              <w:t xml:space="preserve">Dengan tetap memperhatikan ketentuan dalam Pasal 1.1 di atas, dalam Perjanjian ini: </w:t>
            </w:r>
          </w:p>
        </w:tc>
      </w:tr>
      <w:tr w:rsidR="00923319" w:rsidRPr="00A67277" w14:paraId="169EA4EE" w14:textId="77777777" w:rsidTr="00923319">
        <w:tc>
          <w:tcPr>
            <w:tcW w:w="2496" w:type="pct"/>
            <w:shd w:val="clear" w:color="auto" w:fill="auto"/>
          </w:tcPr>
          <w:p w14:paraId="1442639C" w14:textId="77777777" w:rsidR="00923319" w:rsidRPr="00A67277" w:rsidRDefault="00923319" w:rsidP="00923319">
            <w:pPr>
              <w:pStyle w:val="Body2"/>
              <w:spacing w:before="120" w:after="120"/>
              <w:ind w:left="703"/>
              <w:rPr>
                <w:rFonts w:cs="Arial"/>
              </w:rPr>
            </w:pPr>
            <w:r w:rsidRPr="00A67277">
              <w:rPr>
                <w:rFonts w:cs="Arial"/>
                <w:b/>
              </w:rPr>
              <w:t xml:space="preserve">Sponsor Affiliate </w:t>
            </w:r>
            <w:r w:rsidRPr="00A67277">
              <w:rPr>
                <w:rFonts w:cs="Arial"/>
              </w:rPr>
              <w:t>means every Affiliate of Sponsor that provides Equity financing, either in the form of Shares or Non-Shares Equity;</w:t>
            </w:r>
          </w:p>
        </w:tc>
        <w:tc>
          <w:tcPr>
            <w:tcW w:w="141" w:type="pct"/>
            <w:shd w:val="clear" w:color="auto" w:fill="auto"/>
          </w:tcPr>
          <w:p w14:paraId="51F42718"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E8CB23E" w14:textId="77777777" w:rsidR="00923319" w:rsidRPr="00A67277" w:rsidRDefault="00923319" w:rsidP="00923319">
            <w:pPr>
              <w:spacing w:before="120" w:after="120"/>
              <w:ind w:left="735"/>
              <w:jc w:val="both"/>
              <w:rPr>
                <w:rFonts w:ascii="Arial" w:hAnsi="Arial" w:cs="Arial"/>
                <w:sz w:val="21"/>
                <w:szCs w:val="21"/>
              </w:rPr>
            </w:pPr>
            <w:r w:rsidRPr="00A67277">
              <w:rPr>
                <w:rFonts w:ascii="Arial" w:hAnsi="Arial" w:cs="Arial"/>
                <w:b/>
                <w:sz w:val="21"/>
                <w:szCs w:val="21"/>
              </w:rPr>
              <w:t xml:space="preserve">Afiliasi Sponsor </w:t>
            </w:r>
            <w:r w:rsidRPr="00A67277">
              <w:rPr>
                <w:rFonts w:ascii="Arial" w:hAnsi="Arial" w:cs="Arial"/>
                <w:sz w:val="21"/>
                <w:szCs w:val="21"/>
              </w:rPr>
              <w:t>berarti setiap</w:t>
            </w:r>
            <w:r w:rsidRPr="00A67277">
              <w:rPr>
                <w:rFonts w:ascii="Arial" w:hAnsi="Arial" w:cs="Arial"/>
                <w:b/>
                <w:sz w:val="21"/>
                <w:szCs w:val="21"/>
              </w:rPr>
              <w:t xml:space="preserve"> </w:t>
            </w:r>
            <w:r w:rsidRPr="00A67277">
              <w:rPr>
                <w:rFonts w:ascii="Arial" w:hAnsi="Arial" w:cs="Arial"/>
                <w:sz w:val="21"/>
                <w:szCs w:val="21"/>
              </w:rPr>
              <w:t>Afiliasi dari Sponsor yang menyediakan pembiayaan Ekuitas, baik dalam bentuk Saham maupun Ekuitas Non-Saham;</w:t>
            </w:r>
          </w:p>
        </w:tc>
      </w:tr>
      <w:tr w:rsidR="00923319" w:rsidRPr="00A67277" w14:paraId="5DB0F891" w14:textId="77777777" w:rsidTr="00923319">
        <w:tc>
          <w:tcPr>
            <w:tcW w:w="2496" w:type="pct"/>
            <w:shd w:val="clear" w:color="auto" w:fill="auto"/>
          </w:tcPr>
          <w:p w14:paraId="5F29FEF9" w14:textId="77777777" w:rsidR="00923319" w:rsidRPr="00A67277" w:rsidRDefault="00923319" w:rsidP="00923319">
            <w:pPr>
              <w:pStyle w:val="Body2"/>
              <w:spacing w:before="120" w:after="120"/>
              <w:ind w:left="703"/>
              <w:rPr>
                <w:rFonts w:cs="Arial"/>
              </w:rPr>
            </w:pPr>
            <w:r w:rsidRPr="00A67277">
              <w:rPr>
                <w:rFonts w:cs="Arial"/>
                <w:b/>
              </w:rPr>
              <w:t xml:space="preserve">Investment Cost </w:t>
            </w:r>
            <w:r w:rsidRPr="00A67277">
              <w:rPr>
                <w:rFonts w:cs="Arial"/>
              </w:rPr>
              <w:t>means investment cost of the Project as provided in Financial Model;</w:t>
            </w:r>
          </w:p>
        </w:tc>
        <w:tc>
          <w:tcPr>
            <w:tcW w:w="141" w:type="pct"/>
            <w:shd w:val="clear" w:color="auto" w:fill="auto"/>
          </w:tcPr>
          <w:p w14:paraId="69277F5B"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B4DAB4A" w14:textId="77777777" w:rsidR="00923319" w:rsidRPr="00A67277" w:rsidRDefault="00923319" w:rsidP="00923319">
            <w:pPr>
              <w:spacing w:before="120" w:after="120"/>
              <w:ind w:left="735"/>
              <w:jc w:val="both"/>
              <w:rPr>
                <w:rFonts w:ascii="Arial" w:hAnsi="Arial" w:cs="Arial"/>
                <w:b/>
                <w:sz w:val="21"/>
                <w:szCs w:val="21"/>
              </w:rPr>
            </w:pPr>
            <w:r w:rsidRPr="00A67277">
              <w:rPr>
                <w:rFonts w:ascii="Arial" w:hAnsi="Arial" w:cs="Arial"/>
                <w:b/>
                <w:sz w:val="21"/>
                <w:szCs w:val="21"/>
              </w:rPr>
              <w:t xml:space="preserve">Biaya Investasi </w:t>
            </w:r>
            <w:r w:rsidRPr="00A67277">
              <w:rPr>
                <w:rFonts w:ascii="Arial" w:hAnsi="Arial" w:cs="Arial"/>
                <w:sz w:val="21"/>
                <w:szCs w:val="21"/>
              </w:rPr>
              <w:t>berarti biaya investasi Proyek sebagaimana tercantum dalam Model Keuangan;</w:t>
            </w:r>
            <w:r w:rsidRPr="00A67277">
              <w:rPr>
                <w:rFonts w:ascii="Arial" w:hAnsi="Arial" w:cs="Arial"/>
                <w:b/>
                <w:sz w:val="21"/>
                <w:szCs w:val="21"/>
              </w:rPr>
              <w:t xml:space="preserve"> </w:t>
            </w:r>
          </w:p>
        </w:tc>
      </w:tr>
      <w:tr w:rsidR="00923319" w:rsidRPr="00A67277" w14:paraId="06B19EB8" w14:textId="77777777" w:rsidTr="00923319">
        <w:tc>
          <w:tcPr>
            <w:tcW w:w="2496" w:type="pct"/>
            <w:shd w:val="clear" w:color="auto" w:fill="auto"/>
          </w:tcPr>
          <w:p w14:paraId="693CC5D7" w14:textId="77777777" w:rsidR="00923319" w:rsidRPr="00A67277" w:rsidRDefault="00923319" w:rsidP="00923319">
            <w:pPr>
              <w:pStyle w:val="Body2"/>
              <w:spacing w:before="120" w:after="120"/>
              <w:ind w:left="703"/>
              <w:rPr>
                <w:rFonts w:cs="Arial"/>
              </w:rPr>
            </w:pPr>
            <w:r w:rsidRPr="00A67277">
              <w:rPr>
                <w:rFonts w:cs="Arial"/>
                <w:b/>
              </w:rPr>
              <w:t xml:space="preserve">Non-Share Equity </w:t>
            </w:r>
            <w:r w:rsidRPr="00A67277">
              <w:rPr>
                <w:rFonts w:cs="Arial"/>
              </w:rPr>
              <w:t>means every Equity financing other than Shares, including but not limited to limited loan of shareholders, semi-Equity financing, or other form of debt which is subordinated to each of Senior Debt; and</w:t>
            </w:r>
          </w:p>
        </w:tc>
        <w:tc>
          <w:tcPr>
            <w:tcW w:w="141" w:type="pct"/>
            <w:shd w:val="clear" w:color="auto" w:fill="auto"/>
          </w:tcPr>
          <w:p w14:paraId="5B7EA9E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5494390" w14:textId="77777777" w:rsidR="00923319" w:rsidRPr="00A67277" w:rsidRDefault="00923319" w:rsidP="00923319">
            <w:pPr>
              <w:spacing w:before="120" w:after="120"/>
              <w:ind w:left="735"/>
              <w:jc w:val="both"/>
              <w:rPr>
                <w:rFonts w:ascii="Arial" w:hAnsi="Arial" w:cs="Arial"/>
                <w:b/>
                <w:sz w:val="21"/>
                <w:szCs w:val="21"/>
              </w:rPr>
            </w:pPr>
            <w:r w:rsidRPr="00A67277">
              <w:rPr>
                <w:rFonts w:ascii="Arial" w:hAnsi="Arial" w:cs="Arial"/>
                <w:b/>
                <w:sz w:val="21"/>
                <w:szCs w:val="21"/>
              </w:rPr>
              <w:t xml:space="preserve">Ekuitas Non-Saham </w:t>
            </w:r>
            <w:r w:rsidRPr="00A67277">
              <w:rPr>
                <w:rFonts w:ascii="Arial" w:hAnsi="Arial" w:cs="Arial"/>
                <w:sz w:val="21"/>
                <w:szCs w:val="21"/>
              </w:rPr>
              <w:t>berarti setiap pembiayaan Ekuitas lain selain yang berbentuk Saham, termasuk namun tidak terbatas pinjaman pemegang saham, pembiayaan semi-Ekuitas, atau utang dalam bentuk lain yang sifatnya terubordinasi dari setiap Hutang Senior; dan</w:t>
            </w:r>
          </w:p>
        </w:tc>
      </w:tr>
      <w:tr w:rsidR="00923319" w:rsidRPr="00A67277" w14:paraId="35D9603E" w14:textId="77777777" w:rsidTr="00923319">
        <w:tc>
          <w:tcPr>
            <w:tcW w:w="2496" w:type="pct"/>
            <w:shd w:val="clear" w:color="auto" w:fill="auto"/>
          </w:tcPr>
          <w:p w14:paraId="67229D2F" w14:textId="77777777" w:rsidR="00923319" w:rsidRPr="00A67277" w:rsidRDefault="00923319" w:rsidP="00923319">
            <w:pPr>
              <w:pStyle w:val="Body2"/>
              <w:spacing w:before="120" w:after="120"/>
              <w:ind w:left="703"/>
              <w:rPr>
                <w:rFonts w:cs="Arial"/>
              </w:rPr>
            </w:pPr>
            <w:r w:rsidRPr="00A67277">
              <w:rPr>
                <w:rFonts w:cs="Arial"/>
                <w:b/>
              </w:rPr>
              <w:t>Shares</w:t>
            </w:r>
            <w:r w:rsidRPr="00A67277">
              <w:rPr>
                <w:rFonts w:cs="Arial"/>
              </w:rPr>
              <w:t xml:space="preserve"> means every ordinary share issued by IBE.</w:t>
            </w:r>
          </w:p>
        </w:tc>
        <w:tc>
          <w:tcPr>
            <w:tcW w:w="141" w:type="pct"/>
            <w:shd w:val="clear" w:color="auto" w:fill="auto"/>
          </w:tcPr>
          <w:p w14:paraId="35F4F196"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0E4D559" w14:textId="77777777" w:rsidR="00923319" w:rsidRPr="00A67277" w:rsidRDefault="00923319" w:rsidP="00923319">
            <w:pPr>
              <w:spacing w:before="120" w:after="120"/>
              <w:ind w:left="735"/>
              <w:jc w:val="both"/>
              <w:rPr>
                <w:rFonts w:ascii="Arial" w:hAnsi="Arial" w:cs="Arial"/>
                <w:b/>
                <w:sz w:val="21"/>
                <w:szCs w:val="21"/>
                <w:lang w:val="de-DE"/>
              </w:rPr>
            </w:pPr>
            <w:r w:rsidRPr="00A67277">
              <w:rPr>
                <w:rFonts w:ascii="Arial" w:hAnsi="Arial" w:cs="Arial"/>
                <w:b/>
                <w:sz w:val="21"/>
                <w:szCs w:val="21"/>
                <w:lang w:val="de-DE"/>
              </w:rPr>
              <w:t xml:space="preserve">Saham berarti </w:t>
            </w:r>
            <w:r w:rsidRPr="00A67277">
              <w:rPr>
                <w:rFonts w:ascii="Arial" w:hAnsi="Arial" w:cs="Arial"/>
                <w:sz w:val="21"/>
                <w:szCs w:val="21"/>
                <w:lang w:val="de-DE"/>
              </w:rPr>
              <w:t>setiap saham biasa yang diterbitkan oleh BUP.</w:t>
            </w:r>
            <w:r w:rsidRPr="00A67277">
              <w:rPr>
                <w:rFonts w:ascii="Arial" w:hAnsi="Arial" w:cs="Arial"/>
                <w:b/>
                <w:sz w:val="21"/>
                <w:szCs w:val="21"/>
                <w:lang w:val="de-DE"/>
              </w:rPr>
              <w:t xml:space="preserve"> </w:t>
            </w:r>
          </w:p>
        </w:tc>
      </w:tr>
      <w:tr w:rsidR="00923319" w:rsidRPr="00A67277" w14:paraId="13972BAB" w14:textId="77777777" w:rsidTr="00923319">
        <w:tc>
          <w:tcPr>
            <w:tcW w:w="2496" w:type="pct"/>
            <w:shd w:val="clear" w:color="auto" w:fill="auto"/>
          </w:tcPr>
          <w:p w14:paraId="6F4E0B1A" w14:textId="77777777" w:rsidR="00923319" w:rsidRPr="00A67277" w:rsidRDefault="00923319" w:rsidP="00923319">
            <w:pPr>
              <w:pStyle w:val="SchHeading1"/>
              <w:numPr>
                <w:ilvl w:val="2"/>
                <w:numId w:val="613"/>
              </w:numPr>
              <w:spacing w:before="120" w:after="120"/>
              <w:ind w:left="703" w:hanging="630"/>
              <w:rPr>
                <w:rFonts w:cs="Arial"/>
              </w:rPr>
            </w:pPr>
            <w:r w:rsidRPr="00A67277">
              <w:rPr>
                <w:rFonts w:cs="Arial"/>
              </w:rPr>
              <w:t>obligation of sponsor</w:t>
            </w:r>
          </w:p>
        </w:tc>
        <w:tc>
          <w:tcPr>
            <w:tcW w:w="141" w:type="pct"/>
            <w:shd w:val="clear" w:color="auto" w:fill="auto"/>
          </w:tcPr>
          <w:p w14:paraId="200CE9D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A72DD0E" w14:textId="77777777" w:rsidR="00923319" w:rsidRPr="00A67277" w:rsidRDefault="00923319" w:rsidP="00923319">
            <w:pPr>
              <w:pStyle w:val="SchHeading1"/>
              <w:numPr>
                <w:ilvl w:val="0"/>
                <w:numId w:val="669"/>
              </w:numPr>
              <w:spacing w:before="120" w:after="120"/>
              <w:ind w:left="702" w:hanging="540"/>
              <w:rPr>
                <w:rFonts w:cs="Arial"/>
              </w:rPr>
            </w:pPr>
            <w:r w:rsidRPr="00A67277">
              <w:rPr>
                <w:rFonts w:cs="Arial"/>
              </w:rPr>
              <w:t>Kewajiban Sponsor</w:t>
            </w:r>
          </w:p>
        </w:tc>
      </w:tr>
      <w:tr w:rsidR="00923319" w:rsidRPr="00A67277" w14:paraId="05B2071E" w14:textId="77777777" w:rsidTr="00923319">
        <w:tc>
          <w:tcPr>
            <w:tcW w:w="2496" w:type="pct"/>
            <w:shd w:val="clear" w:color="auto" w:fill="auto"/>
          </w:tcPr>
          <w:p w14:paraId="297300D6" w14:textId="77777777" w:rsidR="00923319" w:rsidRPr="00A67277" w:rsidRDefault="00923319" w:rsidP="00923319">
            <w:pPr>
              <w:pStyle w:val="SchNumber2"/>
              <w:numPr>
                <w:ilvl w:val="3"/>
                <w:numId w:val="613"/>
              </w:numPr>
              <w:spacing w:before="120" w:after="120"/>
              <w:ind w:left="703" w:hanging="630"/>
              <w:rPr>
                <w:rFonts w:cs="Arial"/>
                <w:b/>
              </w:rPr>
            </w:pPr>
            <w:r w:rsidRPr="00A67277">
              <w:rPr>
                <w:rStyle w:val="SchHeading2Char"/>
                <w:rFonts w:cs="Arial"/>
              </w:rPr>
              <w:t>Equity Contribution</w:t>
            </w:r>
          </w:p>
        </w:tc>
        <w:tc>
          <w:tcPr>
            <w:tcW w:w="141" w:type="pct"/>
            <w:shd w:val="clear" w:color="auto" w:fill="auto"/>
          </w:tcPr>
          <w:p w14:paraId="3BF3D0AF"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399933B" w14:textId="77777777" w:rsidR="00923319" w:rsidRPr="00A67277" w:rsidRDefault="00923319" w:rsidP="00923319">
            <w:pPr>
              <w:pStyle w:val="ListParagraph"/>
              <w:numPr>
                <w:ilvl w:val="1"/>
                <w:numId w:val="669"/>
              </w:numPr>
              <w:spacing w:before="120" w:after="120"/>
              <w:ind w:left="702" w:hanging="540"/>
              <w:rPr>
                <w:rFonts w:cs="Arial"/>
                <w:b/>
              </w:rPr>
            </w:pPr>
            <w:r w:rsidRPr="00A67277">
              <w:rPr>
                <w:rStyle w:val="SchHeading2Char"/>
                <w:rFonts w:cs="Arial"/>
              </w:rPr>
              <w:t>Kontribusi Ekuitas</w:t>
            </w:r>
          </w:p>
        </w:tc>
      </w:tr>
      <w:tr w:rsidR="00923319" w:rsidRPr="00A67277" w14:paraId="3C5DA259" w14:textId="77777777" w:rsidTr="00923319">
        <w:tc>
          <w:tcPr>
            <w:tcW w:w="2496" w:type="pct"/>
            <w:shd w:val="clear" w:color="auto" w:fill="auto"/>
          </w:tcPr>
          <w:p w14:paraId="19C7C4B8"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 xml:space="preserve">Subject to the occurrence of Effective Date, </w:t>
            </w:r>
            <w:r w:rsidRPr="00A67277">
              <w:rPr>
                <w:rFonts w:cs="Arial"/>
                <w:lang w:val="id-ID"/>
              </w:rPr>
              <w:t>each</w:t>
            </w:r>
            <w:r w:rsidRPr="00A67277">
              <w:rPr>
                <w:rFonts w:cs="Arial"/>
              </w:rPr>
              <w:t xml:space="preserve"> Sponsor hereby, unconditionally and irrevocably </w:t>
            </w:r>
            <w:r w:rsidRPr="00A67277">
              <w:rPr>
                <w:rFonts w:cs="Arial"/>
                <w:lang w:val="id-ID"/>
              </w:rPr>
              <w:t>undertakes</w:t>
            </w:r>
            <w:r w:rsidRPr="00A67277">
              <w:rPr>
                <w:rFonts w:cs="Arial"/>
              </w:rPr>
              <w:t xml:space="preserve"> to IBE and GCA that:</w:t>
            </w:r>
          </w:p>
        </w:tc>
        <w:tc>
          <w:tcPr>
            <w:tcW w:w="141" w:type="pct"/>
            <w:shd w:val="clear" w:color="auto" w:fill="auto"/>
          </w:tcPr>
          <w:p w14:paraId="1FD290E0"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C0CA688" w14:textId="77777777" w:rsidR="00923319" w:rsidRPr="00A67277" w:rsidRDefault="00923319" w:rsidP="00923319">
            <w:pPr>
              <w:pStyle w:val="ListParagraph"/>
              <w:numPr>
                <w:ilvl w:val="0"/>
                <w:numId w:val="670"/>
              </w:numPr>
              <w:spacing w:before="120" w:after="120"/>
              <w:ind w:left="1242" w:hanging="540"/>
              <w:rPr>
                <w:rFonts w:cs="Arial"/>
              </w:rPr>
            </w:pPr>
            <w:r w:rsidRPr="00A67277">
              <w:rPr>
                <w:rFonts w:cs="Arial"/>
              </w:rPr>
              <w:t>Tunduk pada terjadinya Tanggal Efektif, setiap Sponsor dengan ini, tanpa syarat dan tidak dapat ditarik kembali berjanji kepada BUP dan PJPK bahwa:</w:t>
            </w:r>
          </w:p>
        </w:tc>
      </w:tr>
      <w:tr w:rsidR="00923319" w:rsidRPr="00A67277" w14:paraId="6D61E8E4" w14:textId="77777777" w:rsidTr="00923319">
        <w:tc>
          <w:tcPr>
            <w:tcW w:w="2496" w:type="pct"/>
            <w:shd w:val="clear" w:color="auto" w:fill="auto"/>
          </w:tcPr>
          <w:p w14:paraId="6F29FC62" w14:textId="77777777" w:rsidR="00923319" w:rsidRPr="00A67277" w:rsidRDefault="00923319" w:rsidP="00923319">
            <w:pPr>
              <w:pStyle w:val="SchNumber4"/>
              <w:numPr>
                <w:ilvl w:val="5"/>
                <w:numId w:val="613"/>
              </w:numPr>
              <w:tabs>
                <w:tab w:val="clear" w:pos="2126"/>
              </w:tabs>
              <w:spacing w:before="120" w:after="120"/>
              <w:ind w:left="1783" w:hanging="540"/>
              <w:rPr>
                <w:rFonts w:cs="Arial"/>
              </w:rPr>
            </w:pPr>
            <w:r w:rsidRPr="00A67277">
              <w:rPr>
                <w:rFonts w:cs="Arial"/>
              </w:rPr>
              <w:t xml:space="preserve">Each Sponsor will, or based on GCA’s prior approval will cause its Affiliate to </w:t>
            </w:r>
            <w:r w:rsidRPr="00A67277">
              <w:rPr>
                <w:rFonts w:cs="Arial"/>
                <w:lang w:val="id-ID"/>
              </w:rPr>
              <w:t>subscribe for</w:t>
            </w:r>
            <w:r w:rsidRPr="00A67277">
              <w:rPr>
                <w:rFonts w:cs="Arial"/>
              </w:rPr>
              <w:t xml:space="preserve"> shares and </w:t>
            </w:r>
            <w:r w:rsidRPr="00A67277">
              <w:rPr>
                <w:rFonts w:cs="Arial"/>
                <w:lang w:val="id-ID"/>
              </w:rPr>
              <w:t>pay for such shares</w:t>
            </w:r>
            <w:r w:rsidRPr="00A67277">
              <w:rPr>
                <w:rFonts w:cs="Arial"/>
              </w:rPr>
              <w:t xml:space="preserve"> to IBE at the latest at the Scheduled Commercial Operation Date amount of cash not less than the shares subscription commitment as set forth in Appendix A (</w:t>
            </w:r>
            <w:r w:rsidRPr="00A67277">
              <w:rPr>
                <w:rFonts w:cs="Arial"/>
                <w:i/>
              </w:rPr>
              <w:t>Equity Commitment of Sponsors</w:t>
            </w:r>
            <w:r w:rsidRPr="00A67277">
              <w:rPr>
                <w:rFonts w:cs="Arial"/>
              </w:rPr>
              <w:t>);</w:t>
            </w:r>
          </w:p>
        </w:tc>
        <w:tc>
          <w:tcPr>
            <w:tcW w:w="141" w:type="pct"/>
            <w:shd w:val="clear" w:color="auto" w:fill="auto"/>
          </w:tcPr>
          <w:p w14:paraId="38C42374"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790E9B0" w14:textId="77777777" w:rsidR="00923319" w:rsidRPr="00A67277" w:rsidRDefault="00923319" w:rsidP="00923319">
            <w:pPr>
              <w:pStyle w:val="ListParagraph"/>
              <w:numPr>
                <w:ilvl w:val="0"/>
                <w:numId w:val="671"/>
              </w:numPr>
              <w:spacing w:before="120" w:after="120"/>
              <w:ind w:left="1782" w:hanging="540"/>
              <w:rPr>
                <w:rFonts w:cs="Arial"/>
              </w:rPr>
            </w:pPr>
            <w:r w:rsidRPr="00A67277">
              <w:rPr>
                <w:rFonts w:cs="Arial"/>
              </w:rPr>
              <w:t>masing-masing Sponsor akan, atau dengan persetujuan PJPK sebelumnya akan menyebabkan Afiliasinya untuk, mengambil bagian saham dan menyetorkan kepada BUP selambat-lambatnya pada Tanggal Operasi Komersial Terjadwal sejumlah uang tunai tidak kurang dari komitmen setoran saham diatur dalam Lampiran A (</w:t>
            </w:r>
            <w:r w:rsidRPr="00A67277">
              <w:rPr>
                <w:rFonts w:cs="Arial"/>
                <w:i/>
              </w:rPr>
              <w:t>Komitmen Ekuitas Para Sponsor</w:t>
            </w:r>
            <w:r w:rsidRPr="00A67277">
              <w:rPr>
                <w:rFonts w:cs="Arial"/>
              </w:rPr>
              <w:t>);</w:t>
            </w:r>
          </w:p>
        </w:tc>
      </w:tr>
      <w:tr w:rsidR="00923319" w:rsidRPr="00A67277" w14:paraId="1F553CDF" w14:textId="77777777" w:rsidTr="00923319">
        <w:tc>
          <w:tcPr>
            <w:tcW w:w="2496" w:type="pct"/>
            <w:shd w:val="clear" w:color="auto" w:fill="auto"/>
          </w:tcPr>
          <w:p w14:paraId="60305881" w14:textId="77777777" w:rsidR="00923319" w:rsidRPr="00A67277" w:rsidRDefault="00923319" w:rsidP="00923319">
            <w:pPr>
              <w:pStyle w:val="SchNumber4"/>
              <w:numPr>
                <w:ilvl w:val="5"/>
                <w:numId w:val="613"/>
              </w:numPr>
              <w:tabs>
                <w:tab w:val="clear" w:pos="2126"/>
              </w:tabs>
              <w:spacing w:before="120" w:after="120"/>
              <w:ind w:left="1783" w:hanging="540"/>
              <w:rPr>
                <w:rFonts w:cs="Arial"/>
              </w:rPr>
            </w:pPr>
            <w:r w:rsidRPr="00A67277">
              <w:rPr>
                <w:rFonts w:cs="Arial"/>
              </w:rPr>
              <w:t>Each Sponsor will, or based on GCA’s prior approval will cause its Affiliate to, provide Non-Share Equity to IBE at the latest at the Scheduled Commercial Operation Date in the form of cash with commitment not less than the amount stipulated in Appendix A (</w:t>
            </w:r>
            <w:r w:rsidRPr="00A67277">
              <w:rPr>
                <w:rFonts w:cs="Arial"/>
                <w:i/>
              </w:rPr>
              <w:t>Equity Commitment of Sponsors</w:t>
            </w:r>
            <w:r w:rsidRPr="00A67277">
              <w:rPr>
                <w:rFonts w:cs="Arial"/>
              </w:rPr>
              <w:t>),</w:t>
            </w:r>
          </w:p>
        </w:tc>
        <w:tc>
          <w:tcPr>
            <w:tcW w:w="141" w:type="pct"/>
            <w:shd w:val="clear" w:color="auto" w:fill="auto"/>
          </w:tcPr>
          <w:p w14:paraId="39C0396F"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E6838BC" w14:textId="77777777" w:rsidR="00923319" w:rsidRPr="00A67277" w:rsidRDefault="00923319" w:rsidP="00923319">
            <w:pPr>
              <w:pStyle w:val="ListParagraph"/>
              <w:numPr>
                <w:ilvl w:val="0"/>
                <w:numId w:val="671"/>
              </w:numPr>
              <w:spacing w:before="120" w:after="120"/>
              <w:ind w:left="1782" w:hanging="540"/>
              <w:rPr>
                <w:rFonts w:cs="Arial"/>
              </w:rPr>
            </w:pPr>
            <w:r w:rsidRPr="00A67277">
              <w:rPr>
                <w:rFonts w:cs="Arial"/>
              </w:rPr>
              <w:t>masing-masing Sponsor akan, atau dengan persetujuan PJPK sebelumnya akan menyebabkan Afiliasinya untuk, menyediakan Ekuitas Non-Saham kepada BUP selambat-lambatnya pada Tanggal Operasi Komersial Terjadwal dalam bentuk tunai dengan komitmen tidak kurang dari jumlah diatur dalam Lampiran A (</w:t>
            </w:r>
            <w:r w:rsidRPr="00A67277">
              <w:rPr>
                <w:rFonts w:cs="Arial"/>
                <w:i/>
              </w:rPr>
              <w:t>Komitmen Ekuitas Para Sponsor</w:t>
            </w:r>
            <w:r w:rsidRPr="00A67277">
              <w:rPr>
                <w:rFonts w:cs="Arial"/>
              </w:rPr>
              <w:t xml:space="preserve">), </w:t>
            </w:r>
          </w:p>
        </w:tc>
      </w:tr>
      <w:tr w:rsidR="00923319" w:rsidRPr="00A67277" w14:paraId="2CD0B671" w14:textId="77777777" w:rsidTr="00923319">
        <w:tc>
          <w:tcPr>
            <w:tcW w:w="2496" w:type="pct"/>
            <w:shd w:val="clear" w:color="auto" w:fill="auto"/>
          </w:tcPr>
          <w:p w14:paraId="240CEFCF"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Obligation referred to in point (a) is no longer applicable in the event that the Cooperation Agreement terminates.</w:t>
            </w:r>
          </w:p>
        </w:tc>
        <w:tc>
          <w:tcPr>
            <w:tcW w:w="141" w:type="pct"/>
            <w:shd w:val="clear" w:color="auto" w:fill="auto"/>
          </w:tcPr>
          <w:p w14:paraId="1F58A5E7"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6E15042" w14:textId="77777777" w:rsidR="00923319" w:rsidRPr="00A67277" w:rsidRDefault="00923319" w:rsidP="00923319">
            <w:pPr>
              <w:pStyle w:val="ListParagraph"/>
              <w:numPr>
                <w:ilvl w:val="0"/>
                <w:numId w:val="670"/>
              </w:numPr>
              <w:spacing w:before="120" w:after="120"/>
              <w:ind w:left="1242" w:hanging="540"/>
              <w:rPr>
                <w:rFonts w:cs="Arial"/>
              </w:rPr>
            </w:pPr>
            <w:r w:rsidRPr="00A67277">
              <w:rPr>
                <w:rFonts w:cs="Arial"/>
              </w:rPr>
              <w:t>Kewajiban dimaksud dalam huruf (a) tidak lagi berlaku dalam hal Perjanjian Kerjasama berakhir.</w:t>
            </w:r>
          </w:p>
        </w:tc>
      </w:tr>
      <w:tr w:rsidR="00923319" w:rsidRPr="00A67277" w14:paraId="6034F233" w14:textId="77777777" w:rsidTr="00923319">
        <w:tc>
          <w:tcPr>
            <w:tcW w:w="2496" w:type="pct"/>
            <w:shd w:val="clear" w:color="auto" w:fill="auto"/>
          </w:tcPr>
          <w:p w14:paraId="5DF3C4F2"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Each Sponsor hereby agrees that the said Sponsor shall perform its obligations in all material respect properly and timely and comply with all the terms, conditions and promisis to be complied with and executed under this Agreement and Financing Document.</w:t>
            </w:r>
          </w:p>
        </w:tc>
        <w:tc>
          <w:tcPr>
            <w:tcW w:w="141" w:type="pct"/>
            <w:shd w:val="clear" w:color="auto" w:fill="auto"/>
          </w:tcPr>
          <w:p w14:paraId="6BD7651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14DC96B" w14:textId="77777777" w:rsidR="00923319" w:rsidRPr="00A67277" w:rsidRDefault="00923319" w:rsidP="00923319">
            <w:pPr>
              <w:pStyle w:val="ListParagraph"/>
              <w:numPr>
                <w:ilvl w:val="0"/>
                <w:numId w:val="670"/>
              </w:numPr>
              <w:spacing w:before="120" w:after="120"/>
              <w:ind w:left="1242" w:hanging="540"/>
              <w:rPr>
                <w:rFonts w:cs="Arial"/>
              </w:rPr>
            </w:pPr>
            <w:r w:rsidRPr="00A67277">
              <w:rPr>
                <w:rFonts w:cs="Arial"/>
              </w:rPr>
              <w:t>Setiap Sponsor dengan ini sepakat bahwa Sponsor tersebut akan menjalankan kewajibannya dalam semua hal yang material secara patut dan tepat waktu dan mematuhi seluruh ketentuan, persyaratan dan janji untuk dipatuhi dan dijalankan berdasarkan Perjanjian ini dan Dokumen Pembiayaan.</w:t>
            </w:r>
          </w:p>
        </w:tc>
      </w:tr>
      <w:tr w:rsidR="00923319" w:rsidRPr="00A67277" w14:paraId="76757BF1" w14:textId="77777777" w:rsidTr="00923319">
        <w:tc>
          <w:tcPr>
            <w:tcW w:w="2496" w:type="pct"/>
            <w:shd w:val="clear" w:color="auto" w:fill="auto"/>
          </w:tcPr>
          <w:p w14:paraId="6A3C70AE"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Any Sponsor’s obligations under Article 2.1 (</w:t>
            </w:r>
            <w:r w:rsidRPr="00A67277">
              <w:rPr>
                <w:rFonts w:cs="Arial"/>
                <w:i/>
              </w:rPr>
              <w:t>Equity Contribution</w:t>
            </w:r>
            <w:r w:rsidRPr="00A67277">
              <w:rPr>
                <w:rFonts w:cs="Arial"/>
              </w:rPr>
              <w:t>) shall be fully met through the payment of the Sponsor or each Sponsor Affiliate thereof of the amounts required by Article 2.1 (</w:t>
            </w:r>
            <w:r w:rsidRPr="00A67277">
              <w:rPr>
                <w:rFonts w:cs="Arial"/>
                <w:i/>
              </w:rPr>
              <w:t>Equity Contribution</w:t>
            </w:r>
            <w:r w:rsidRPr="00A67277">
              <w:rPr>
                <w:rFonts w:cs="Arial"/>
              </w:rPr>
              <w:t>) and under the Financing Document.</w:t>
            </w:r>
          </w:p>
        </w:tc>
        <w:tc>
          <w:tcPr>
            <w:tcW w:w="141" w:type="pct"/>
            <w:shd w:val="clear" w:color="auto" w:fill="auto"/>
          </w:tcPr>
          <w:p w14:paraId="2BBBC177"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CF9CE8A" w14:textId="77777777" w:rsidR="00923319" w:rsidRPr="00A67277" w:rsidRDefault="00923319" w:rsidP="00923319">
            <w:pPr>
              <w:pStyle w:val="ListParagraph"/>
              <w:numPr>
                <w:ilvl w:val="0"/>
                <w:numId w:val="670"/>
              </w:numPr>
              <w:spacing w:before="120" w:after="120"/>
              <w:ind w:left="1242" w:hanging="540"/>
              <w:rPr>
                <w:rFonts w:cs="Arial"/>
              </w:rPr>
            </w:pPr>
            <w:r w:rsidRPr="00A67277">
              <w:rPr>
                <w:rFonts w:cs="Arial"/>
              </w:rPr>
              <w:t>Setiap kewajiban Sponsor berdasarkan Pasal 2.1 (</w:t>
            </w:r>
            <w:r w:rsidRPr="00A67277">
              <w:rPr>
                <w:rFonts w:cs="Arial"/>
                <w:i/>
              </w:rPr>
              <w:t>Kontribusi Ekuitas</w:t>
            </w:r>
            <w:r w:rsidRPr="00A67277">
              <w:rPr>
                <w:rFonts w:cs="Arial"/>
              </w:rPr>
              <w:t>) wajib sepenuhnya dipenuhi melalui pembayaran dari Sponsor tersebut atau masing-masing Afiliasi Sponsor daripadanya sejumlah yang disyaratkan oleh Pasal 2.1 (</w:t>
            </w:r>
            <w:r w:rsidRPr="00A67277">
              <w:rPr>
                <w:rFonts w:cs="Arial"/>
                <w:i/>
              </w:rPr>
              <w:t>Kontribusi Ekuitas</w:t>
            </w:r>
            <w:r w:rsidRPr="00A67277">
              <w:rPr>
                <w:rFonts w:cs="Arial"/>
              </w:rPr>
              <w:t>) dan berdasarkan Dokumen Pembiayaan.</w:t>
            </w:r>
          </w:p>
        </w:tc>
      </w:tr>
      <w:tr w:rsidR="00923319" w:rsidRPr="00A67277" w14:paraId="5A728D5C" w14:textId="77777777" w:rsidTr="00923319">
        <w:tc>
          <w:tcPr>
            <w:tcW w:w="2496" w:type="pct"/>
            <w:shd w:val="clear" w:color="auto" w:fill="auto"/>
          </w:tcPr>
          <w:p w14:paraId="1420B767" w14:textId="77777777" w:rsidR="00923319" w:rsidRPr="00A67277" w:rsidRDefault="00923319" w:rsidP="00923319">
            <w:pPr>
              <w:pStyle w:val="SchNumber2"/>
              <w:numPr>
                <w:ilvl w:val="3"/>
                <w:numId w:val="613"/>
              </w:numPr>
              <w:spacing w:before="120" w:after="120"/>
              <w:ind w:left="703" w:hanging="630"/>
              <w:rPr>
                <w:rFonts w:cs="Arial"/>
              </w:rPr>
            </w:pPr>
            <w:r w:rsidRPr="00A67277">
              <w:rPr>
                <w:rFonts w:cs="Arial"/>
              </w:rPr>
              <w:t>Transfer of Shares</w:t>
            </w:r>
          </w:p>
        </w:tc>
        <w:tc>
          <w:tcPr>
            <w:tcW w:w="141" w:type="pct"/>
            <w:shd w:val="clear" w:color="auto" w:fill="auto"/>
          </w:tcPr>
          <w:p w14:paraId="46289ECB"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F60AA50"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Pengalihan Saham</w:t>
            </w:r>
          </w:p>
        </w:tc>
      </w:tr>
      <w:tr w:rsidR="00923319" w:rsidRPr="00A67277" w14:paraId="4F096555" w14:textId="77777777" w:rsidTr="00923319">
        <w:tc>
          <w:tcPr>
            <w:tcW w:w="2496" w:type="pct"/>
            <w:shd w:val="clear" w:color="auto" w:fill="auto"/>
          </w:tcPr>
          <w:p w14:paraId="77A5FB81" w14:textId="763709A0"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 xml:space="preserve">Until the Commercial Operation Date, Each Sponsor agrees that except for the purpose of </w:t>
            </w:r>
            <w:r w:rsidRPr="00A67277">
              <w:rPr>
                <w:rFonts w:cs="Arial"/>
                <w:lang w:val="id-ID"/>
              </w:rPr>
              <w:t>Encumbrance</w:t>
            </w:r>
            <w:r w:rsidRPr="00A67277">
              <w:rPr>
                <w:rFonts w:cs="Arial"/>
              </w:rPr>
              <w:t xml:space="preserve"> for the interest of the Financing Party in relation to Financing Document, the Sponsor shall not assign or impose any interest in any part of the Shares in the IBE without prior GCA approval.</w:t>
            </w:r>
          </w:p>
        </w:tc>
        <w:tc>
          <w:tcPr>
            <w:tcW w:w="141" w:type="pct"/>
            <w:shd w:val="clear" w:color="auto" w:fill="auto"/>
          </w:tcPr>
          <w:p w14:paraId="35AE721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05B70F7"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Hingga Tanggal Operasi Komersial BUP, setiap Sponsor sepakat bahwa kecuali untuk tujuan Pembebanan untuk kepentingan Pihak Pembiaya sehubungan dengan Dokumen Pembiayaan, Sponsor tersebut tidak akan mengalihkan atau memberikan suatu Pembebanan terhadap setiap kepentingan dalam setiap bagian Saham di dalam BUP tanpa persetujuan PJPK sebelumnya.</w:t>
            </w:r>
          </w:p>
        </w:tc>
      </w:tr>
      <w:tr w:rsidR="00923319" w:rsidRPr="00A67277" w14:paraId="77C246BF" w14:textId="77777777" w:rsidTr="00923319">
        <w:tc>
          <w:tcPr>
            <w:tcW w:w="2496" w:type="pct"/>
            <w:shd w:val="clear" w:color="auto" w:fill="auto"/>
          </w:tcPr>
          <w:p w14:paraId="36815129"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 xml:space="preserve">For the purposes of point (a), if </w:t>
            </w:r>
            <w:r w:rsidRPr="00A67277">
              <w:rPr>
                <w:rFonts w:cs="Arial"/>
                <w:lang w:val="id-ID"/>
              </w:rPr>
              <w:t>any</w:t>
            </w:r>
            <w:r w:rsidRPr="00A67277">
              <w:rPr>
                <w:rFonts w:cs="Arial"/>
              </w:rPr>
              <w:t xml:space="preserve"> Sponsor intends to assign any interest in any part of the Shares or to encumber any interest in any part of the Shares, </w:t>
            </w:r>
            <w:r w:rsidRPr="00A67277">
              <w:rPr>
                <w:rFonts w:cs="Arial"/>
                <w:lang w:val="id-ID"/>
              </w:rPr>
              <w:t xml:space="preserve">such </w:t>
            </w:r>
            <w:r w:rsidRPr="00A67277">
              <w:rPr>
                <w:rFonts w:cs="Arial"/>
              </w:rPr>
              <w:t>Sponsor shall submit a written approval request to GCA. The request must include explanation of:</w:t>
            </w:r>
          </w:p>
        </w:tc>
        <w:tc>
          <w:tcPr>
            <w:tcW w:w="141" w:type="pct"/>
            <w:shd w:val="clear" w:color="auto" w:fill="auto"/>
          </w:tcPr>
          <w:p w14:paraId="1A136D9C"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660B9BC"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Untuk maksud pada huruf (a), jika Sponsor atau setiap Afiliasi Sponsor berniat untuk mengalihkan setiap kepentingan dalam setiap bagian Sahamnya atau memberikan Pembebanan terhadap kepentingan dalam setiap bagian Sahamnya, Sponsor wajib mengajukan permintaan persetujuan secara tertulis kepada PJPK. Permintaan harus mengikutsertakan suatu penjelasan atas:</w:t>
            </w:r>
          </w:p>
        </w:tc>
      </w:tr>
      <w:tr w:rsidR="00923319" w:rsidRPr="00A67277" w14:paraId="41D5FBA2" w14:textId="77777777" w:rsidTr="00923319">
        <w:tc>
          <w:tcPr>
            <w:tcW w:w="2496" w:type="pct"/>
            <w:shd w:val="clear" w:color="auto" w:fill="auto"/>
          </w:tcPr>
          <w:p w14:paraId="73210B7D" w14:textId="77777777" w:rsidR="00923319" w:rsidRPr="00A67277" w:rsidRDefault="00923319" w:rsidP="00923319">
            <w:pPr>
              <w:pStyle w:val="SchNumber4"/>
              <w:numPr>
                <w:ilvl w:val="5"/>
                <w:numId w:val="613"/>
              </w:numPr>
              <w:tabs>
                <w:tab w:val="clear" w:pos="2126"/>
              </w:tabs>
              <w:spacing w:before="120" w:after="120"/>
              <w:ind w:left="1783" w:hanging="540"/>
              <w:rPr>
                <w:rFonts w:cs="Arial"/>
              </w:rPr>
            </w:pPr>
            <w:r w:rsidRPr="00A67277">
              <w:rPr>
                <w:rFonts w:cs="Arial"/>
                <w:lang w:val="id-ID"/>
              </w:rPr>
              <w:t>proposed a</w:t>
            </w:r>
            <w:r w:rsidRPr="00A67277">
              <w:rPr>
                <w:rFonts w:cs="Arial"/>
              </w:rPr>
              <w:t xml:space="preserve">ssignment of </w:t>
            </w:r>
            <w:r w:rsidRPr="00A67277">
              <w:rPr>
                <w:rFonts w:cs="Arial"/>
                <w:lang w:val="en-US"/>
              </w:rPr>
              <w:t xml:space="preserve">Shares </w:t>
            </w:r>
            <w:r w:rsidRPr="00A67277">
              <w:rPr>
                <w:rFonts w:cs="Arial"/>
              </w:rPr>
              <w:t xml:space="preserve">or </w:t>
            </w:r>
            <w:r w:rsidRPr="00A67277">
              <w:rPr>
                <w:rFonts w:cs="Arial"/>
                <w:lang w:val="id-ID"/>
              </w:rPr>
              <w:t>e</w:t>
            </w:r>
            <w:r w:rsidRPr="00A67277">
              <w:rPr>
                <w:rFonts w:cs="Arial"/>
              </w:rPr>
              <w:t>ncumbrance;</w:t>
            </w:r>
          </w:p>
        </w:tc>
        <w:tc>
          <w:tcPr>
            <w:tcW w:w="141" w:type="pct"/>
            <w:shd w:val="clear" w:color="auto" w:fill="auto"/>
          </w:tcPr>
          <w:p w14:paraId="55C2AF3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8C8FE71" w14:textId="77777777" w:rsidR="00923319" w:rsidRPr="00A67277" w:rsidRDefault="00923319" w:rsidP="00923319">
            <w:pPr>
              <w:pStyle w:val="ListParagraph"/>
              <w:numPr>
                <w:ilvl w:val="0"/>
                <w:numId w:val="673"/>
              </w:numPr>
              <w:spacing w:before="120" w:after="120"/>
              <w:ind w:left="1782" w:hanging="540"/>
              <w:rPr>
                <w:rFonts w:cs="Arial"/>
              </w:rPr>
            </w:pPr>
            <w:r w:rsidRPr="00A67277">
              <w:rPr>
                <w:rFonts w:cs="Arial"/>
              </w:rPr>
              <w:t>pengalihan Saham atau Pembebanan yang diusulkan;</w:t>
            </w:r>
          </w:p>
        </w:tc>
      </w:tr>
      <w:tr w:rsidR="00923319" w:rsidRPr="00A67277" w14:paraId="071BFD16" w14:textId="77777777" w:rsidTr="00923319">
        <w:tc>
          <w:tcPr>
            <w:tcW w:w="2496" w:type="pct"/>
            <w:shd w:val="clear" w:color="auto" w:fill="auto"/>
          </w:tcPr>
          <w:p w14:paraId="492353BD" w14:textId="77777777" w:rsidR="00923319" w:rsidRPr="00A67277" w:rsidRDefault="00923319" w:rsidP="00923319">
            <w:pPr>
              <w:pStyle w:val="SchNumber4"/>
              <w:numPr>
                <w:ilvl w:val="5"/>
                <w:numId w:val="613"/>
              </w:numPr>
              <w:tabs>
                <w:tab w:val="clear" w:pos="2126"/>
              </w:tabs>
              <w:spacing w:before="120" w:after="120"/>
              <w:ind w:left="1783" w:hanging="540"/>
              <w:rPr>
                <w:rFonts w:cs="Arial"/>
                <w:lang w:val="id-ID"/>
              </w:rPr>
            </w:pPr>
            <w:r w:rsidRPr="00A67277">
              <w:rPr>
                <w:rFonts w:cs="Arial"/>
                <w:lang w:val="id-ID"/>
              </w:rPr>
              <w:t>assignee; and</w:t>
            </w:r>
          </w:p>
        </w:tc>
        <w:tc>
          <w:tcPr>
            <w:tcW w:w="141" w:type="pct"/>
            <w:shd w:val="clear" w:color="auto" w:fill="auto"/>
          </w:tcPr>
          <w:p w14:paraId="6B5043FD"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14D21F2" w14:textId="77777777" w:rsidR="00923319" w:rsidRPr="00A67277" w:rsidRDefault="00923319" w:rsidP="00923319">
            <w:pPr>
              <w:pStyle w:val="ListParagraph"/>
              <w:numPr>
                <w:ilvl w:val="0"/>
                <w:numId w:val="673"/>
              </w:numPr>
              <w:spacing w:before="120" w:after="120"/>
              <w:ind w:left="1782" w:hanging="540"/>
              <w:rPr>
                <w:rFonts w:cs="Arial"/>
              </w:rPr>
            </w:pPr>
            <w:r w:rsidRPr="00A67277">
              <w:rPr>
                <w:rFonts w:cs="Arial"/>
              </w:rPr>
              <w:t xml:space="preserve">penerima pengalihan; dan </w:t>
            </w:r>
          </w:p>
        </w:tc>
      </w:tr>
      <w:tr w:rsidR="00923319" w:rsidRPr="00A67277" w14:paraId="6C16954B" w14:textId="77777777" w:rsidTr="00923319">
        <w:tc>
          <w:tcPr>
            <w:tcW w:w="2496" w:type="pct"/>
            <w:shd w:val="clear" w:color="auto" w:fill="auto"/>
          </w:tcPr>
          <w:p w14:paraId="57C8E300" w14:textId="77777777" w:rsidR="00923319" w:rsidRPr="00A67277" w:rsidRDefault="00923319" w:rsidP="00923319">
            <w:pPr>
              <w:pStyle w:val="SchNumber4"/>
              <w:numPr>
                <w:ilvl w:val="5"/>
                <w:numId w:val="613"/>
              </w:numPr>
              <w:tabs>
                <w:tab w:val="clear" w:pos="2126"/>
              </w:tabs>
              <w:spacing w:before="120" w:after="120"/>
              <w:ind w:left="1783" w:hanging="540"/>
              <w:rPr>
                <w:rFonts w:cs="Arial"/>
                <w:lang w:val="id-ID"/>
              </w:rPr>
            </w:pPr>
            <w:r w:rsidRPr="00A67277">
              <w:rPr>
                <w:rFonts w:cs="Arial"/>
                <w:lang w:val="en-US"/>
              </w:rPr>
              <w:t xml:space="preserve">if </w:t>
            </w:r>
            <w:r w:rsidRPr="00A67277">
              <w:rPr>
                <w:rFonts w:cs="Arial"/>
                <w:lang w:val="id-ID"/>
              </w:rPr>
              <w:t>applicable, any proposed amendment to this Agreement.</w:t>
            </w:r>
          </w:p>
        </w:tc>
        <w:tc>
          <w:tcPr>
            <w:tcW w:w="141" w:type="pct"/>
            <w:shd w:val="clear" w:color="auto" w:fill="auto"/>
          </w:tcPr>
          <w:p w14:paraId="50B94A3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F60B542" w14:textId="77777777" w:rsidR="00923319" w:rsidRPr="00A67277" w:rsidRDefault="00923319" w:rsidP="00923319">
            <w:pPr>
              <w:pStyle w:val="ListParagraph"/>
              <w:numPr>
                <w:ilvl w:val="0"/>
                <w:numId w:val="673"/>
              </w:numPr>
              <w:spacing w:before="120" w:after="120"/>
              <w:ind w:left="1782" w:hanging="540"/>
              <w:rPr>
                <w:rFonts w:cs="Arial"/>
              </w:rPr>
            </w:pPr>
            <w:r w:rsidRPr="00A67277">
              <w:rPr>
                <w:rFonts w:cs="Arial"/>
              </w:rPr>
              <w:t>jika ada, setiap usulan perubahan terhadap Perjanjian ini.</w:t>
            </w:r>
          </w:p>
        </w:tc>
      </w:tr>
      <w:tr w:rsidR="00923319" w:rsidRPr="00A67277" w14:paraId="7C670B1E" w14:textId="77777777" w:rsidTr="00923319">
        <w:tc>
          <w:tcPr>
            <w:tcW w:w="2496" w:type="pct"/>
            <w:shd w:val="clear" w:color="auto" w:fill="auto"/>
          </w:tcPr>
          <w:p w14:paraId="396A42E0"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GCA may request the Sponsor for, and the Sponsor shall provide to GCA, within ten (10) Days as of the receipt of the request, any additional information that GCA considers necessary for its evaluation of the assignment of Shares or Encumbrance of the Shares by Sponsors.</w:t>
            </w:r>
          </w:p>
        </w:tc>
        <w:tc>
          <w:tcPr>
            <w:tcW w:w="141" w:type="pct"/>
            <w:shd w:val="clear" w:color="auto" w:fill="auto"/>
          </w:tcPr>
          <w:p w14:paraId="3C94631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3AB4447"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 xml:space="preserve">PJPK dapat meminta Sponsor untuk, dan Sponsor wajib memberikan kepada PJPK, dalam jangka waktu sepuluh (10) Hari sejak diterimanya permintaan, setiap tambahan informasi yang PJPK anggap perlu untuk evaluasinya terhadap pengalihan Saham atau pemberian Pembebanan atas Saham oleh para Sponsor. </w:t>
            </w:r>
          </w:p>
        </w:tc>
      </w:tr>
      <w:tr w:rsidR="00923319" w:rsidRPr="00A67277" w14:paraId="1BDB9672" w14:textId="77777777" w:rsidTr="00923319">
        <w:tc>
          <w:tcPr>
            <w:tcW w:w="2496" w:type="pct"/>
            <w:shd w:val="clear" w:color="auto" w:fill="auto"/>
          </w:tcPr>
          <w:p w14:paraId="18226800"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 xml:space="preserve">GCA shall review </w:t>
            </w:r>
            <w:r w:rsidRPr="00A67277">
              <w:rPr>
                <w:rFonts w:cs="Arial"/>
                <w:lang w:val="id-ID"/>
              </w:rPr>
              <w:t>the</w:t>
            </w:r>
            <w:r w:rsidRPr="00A67277">
              <w:rPr>
                <w:rFonts w:cs="Arial"/>
              </w:rPr>
              <w:t xml:space="preserve"> request by Sponsor under point (b) (Transfer of Shares) and, subject to point (e) and (f) below, whether t</w:t>
            </w:r>
            <w:r w:rsidRPr="00A67277">
              <w:rPr>
                <w:rFonts w:cs="Arial"/>
                <w:lang w:val="id-ID"/>
              </w:rPr>
              <w:t>o</w:t>
            </w:r>
            <w:r w:rsidRPr="00A67277">
              <w:rPr>
                <w:rFonts w:cs="Arial"/>
              </w:rPr>
              <w:t xml:space="preserve"> accept or reject </w:t>
            </w:r>
            <w:r w:rsidRPr="00A67277">
              <w:rPr>
                <w:rFonts w:cs="Arial"/>
                <w:lang w:val="id-ID"/>
              </w:rPr>
              <w:t xml:space="preserve">such </w:t>
            </w:r>
            <w:r w:rsidRPr="00A67277">
              <w:rPr>
                <w:rFonts w:cs="Arial"/>
              </w:rPr>
              <w:t>request in writing within one (1) Month from the receipt of request</w:t>
            </w:r>
            <w:r w:rsidRPr="00A67277">
              <w:rPr>
                <w:rFonts w:cs="Arial"/>
                <w:lang w:val="id-ID"/>
              </w:rPr>
              <w:t xml:space="preserve"> or such additional</w:t>
            </w:r>
            <w:r w:rsidRPr="00A67277">
              <w:rPr>
                <w:rFonts w:cs="Arial"/>
              </w:rPr>
              <w:t xml:space="preserve"> information, which</w:t>
            </w:r>
            <w:r w:rsidRPr="00A67277">
              <w:rPr>
                <w:rFonts w:cs="Arial"/>
                <w:lang w:val="id-ID"/>
              </w:rPr>
              <w:t>ever the latest</w:t>
            </w:r>
            <w:r w:rsidRPr="00A67277">
              <w:rPr>
                <w:rFonts w:cs="Arial"/>
              </w:rPr>
              <w:t>.</w:t>
            </w:r>
          </w:p>
        </w:tc>
        <w:tc>
          <w:tcPr>
            <w:tcW w:w="141" w:type="pct"/>
            <w:shd w:val="clear" w:color="auto" w:fill="auto"/>
          </w:tcPr>
          <w:p w14:paraId="7AFC8344"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444BB8B"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PJPK wajib meninjau suatu permintaan dari Sponsor berdasarkan huruf (b) (</w:t>
            </w:r>
            <w:r w:rsidRPr="00A67277">
              <w:rPr>
                <w:rFonts w:cs="Arial"/>
                <w:i/>
              </w:rPr>
              <w:t>Pengalihan Saham</w:t>
            </w:r>
            <w:r w:rsidRPr="00A67277">
              <w:rPr>
                <w:rFonts w:cs="Arial"/>
              </w:rPr>
              <w:t xml:space="preserve">) dan, tunduk pada huruf (e) dan (f) di bawah ini, baik diterimanya atau ditolaknya permintaan tersebut secara tertulis dalam jangka waktu satu (1) Bulan sejak penerimaan permintaan tersebut atau penerimaan tambahan informasi yang diminta, yang mana terjadi terakhir. </w:t>
            </w:r>
          </w:p>
        </w:tc>
      </w:tr>
      <w:tr w:rsidR="00923319" w:rsidRPr="00A67277" w14:paraId="3EDFF5F6" w14:textId="77777777" w:rsidTr="00923319">
        <w:tc>
          <w:tcPr>
            <w:tcW w:w="2496" w:type="pct"/>
            <w:shd w:val="clear" w:color="auto" w:fill="auto"/>
          </w:tcPr>
          <w:p w14:paraId="522749D0"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GCA may, in its sole discretion, deny any request for the transfer of Shares under point (b) (</w:t>
            </w:r>
            <w:r w:rsidRPr="00A67277">
              <w:rPr>
                <w:rFonts w:cs="Arial"/>
                <w:i/>
              </w:rPr>
              <w:t>Transfer of Shares</w:t>
            </w:r>
            <w:r w:rsidRPr="00A67277">
              <w:rPr>
                <w:rFonts w:cs="Arial"/>
              </w:rPr>
              <w:t>) if as a result of the transfer of such Shares the IBE violates the provision of Article 5.2 (</w:t>
            </w:r>
            <w:r w:rsidRPr="00A67277">
              <w:rPr>
                <w:rFonts w:cs="Arial"/>
                <w:i/>
              </w:rPr>
              <w:t>Restriction on Transfer of Equity</w:t>
            </w:r>
            <w:r w:rsidRPr="00A67277">
              <w:rPr>
                <w:rFonts w:cs="Arial"/>
              </w:rPr>
              <w:t>) of the Cooperation Agreement.</w:t>
            </w:r>
          </w:p>
        </w:tc>
        <w:tc>
          <w:tcPr>
            <w:tcW w:w="141" w:type="pct"/>
            <w:shd w:val="clear" w:color="auto" w:fill="auto"/>
          </w:tcPr>
          <w:p w14:paraId="4847857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AD7AB9F"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PJPK dapat, menurut kewenangannya sendiri, menolak setiap permintaan pengalihan Saham berdasarkan huruf (b) (</w:t>
            </w:r>
            <w:r w:rsidRPr="00A67277">
              <w:rPr>
                <w:rFonts w:cs="Arial"/>
                <w:i/>
              </w:rPr>
              <w:t>Pengalihan Saham</w:t>
            </w:r>
            <w:r w:rsidRPr="00A67277">
              <w:rPr>
                <w:rFonts w:cs="Arial"/>
              </w:rPr>
              <w:t>) jika sebagai hasil dari pengalihan Saham tersebut BUP menjadi melanggar ketentuan Pasal 5.2 (</w:t>
            </w:r>
            <w:r w:rsidRPr="00A67277">
              <w:rPr>
                <w:rFonts w:cs="Arial"/>
                <w:i/>
              </w:rPr>
              <w:t>Batasan Pengalihan Ekuitas</w:t>
            </w:r>
            <w:r w:rsidRPr="00A67277">
              <w:rPr>
                <w:rFonts w:cs="Arial"/>
              </w:rPr>
              <w:t>) dari Perjanjian Kerjasama.</w:t>
            </w:r>
          </w:p>
        </w:tc>
      </w:tr>
      <w:tr w:rsidR="00923319" w:rsidRPr="00A67277" w14:paraId="1EB90251" w14:textId="77777777" w:rsidTr="00923319">
        <w:tc>
          <w:tcPr>
            <w:tcW w:w="2496" w:type="pct"/>
            <w:shd w:val="clear" w:color="auto" w:fill="auto"/>
          </w:tcPr>
          <w:p w14:paraId="30EBBA4E"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lang w:val="id-ID"/>
              </w:rPr>
              <w:t>Other than for the purpose of point</w:t>
            </w:r>
            <w:r w:rsidRPr="00A67277">
              <w:rPr>
                <w:rFonts w:cs="Arial"/>
              </w:rPr>
              <w:t xml:space="preserve"> (e), GCA shall not unreasonably refuse to give consent for any assignment of Shares or any imposition of any </w:t>
            </w:r>
            <w:r w:rsidRPr="00A67277">
              <w:rPr>
                <w:rFonts w:cs="Arial"/>
                <w:lang w:val="id-ID"/>
              </w:rPr>
              <w:t>Encumbrance</w:t>
            </w:r>
            <w:r w:rsidRPr="00A67277">
              <w:rPr>
                <w:rFonts w:cs="Arial"/>
              </w:rPr>
              <w:t xml:space="preserve"> in any part of the Shares.</w:t>
            </w:r>
          </w:p>
        </w:tc>
        <w:tc>
          <w:tcPr>
            <w:tcW w:w="141" w:type="pct"/>
            <w:shd w:val="clear" w:color="auto" w:fill="auto"/>
          </w:tcPr>
          <w:p w14:paraId="5E57174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E25E46D" w14:textId="77777777" w:rsidR="00923319" w:rsidRPr="00A67277" w:rsidRDefault="00923319" w:rsidP="00923319">
            <w:pPr>
              <w:pStyle w:val="ListParagraph"/>
              <w:numPr>
                <w:ilvl w:val="0"/>
                <w:numId w:val="672"/>
              </w:numPr>
              <w:spacing w:before="120" w:after="120"/>
              <w:ind w:left="1242" w:hanging="540"/>
              <w:rPr>
                <w:rFonts w:cs="Arial"/>
              </w:rPr>
            </w:pPr>
            <w:r w:rsidRPr="00A67277">
              <w:rPr>
                <w:rFonts w:cs="Arial"/>
              </w:rPr>
              <w:t>Selain untuk maksud dalam huruf (e), PJPK tidak akan menolak secara tidak wajar untuk memberikan persetujuan untuk setiap pengalihan Saham atau pemberian setiap Pembebanan terhadap setiap kepentingan dalam setiap bagian Saham.</w:t>
            </w:r>
          </w:p>
        </w:tc>
      </w:tr>
      <w:tr w:rsidR="00923319" w:rsidRPr="00A67277" w14:paraId="68558E99" w14:textId="77777777" w:rsidTr="00923319">
        <w:tc>
          <w:tcPr>
            <w:tcW w:w="2496" w:type="pct"/>
            <w:shd w:val="clear" w:color="auto" w:fill="auto"/>
          </w:tcPr>
          <w:p w14:paraId="3A9A934D" w14:textId="77777777" w:rsidR="00923319" w:rsidRPr="00A67277" w:rsidRDefault="00923319" w:rsidP="00923319">
            <w:pPr>
              <w:pStyle w:val="SchNumber2"/>
              <w:numPr>
                <w:ilvl w:val="3"/>
                <w:numId w:val="613"/>
              </w:numPr>
              <w:spacing w:before="120" w:after="120"/>
              <w:ind w:left="703" w:hanging="630"/>
              <w:rPr>
                <w:rFonts w:cs="Arial"/>
              </w:rPr>
            </w:pPr>
            <w:r w:rsidRPr="00A67277">
              <w:rPr>
                <w:rFonts w:cs="Arial"/>
              </w:rPr>
              <w:t>Obtaining of Financing</w:t>
            </w:r>
          </w:p>
        </w:tc>
        <w:tc>
          <w:tcPr>
            <w:tcW w:w="141" w:type="pct"/>
            <w:shd w:val="clear" w:color="auto" w:fill="auto"/>
          </w:tcPr>
          <w:p w14:paraId="5711BB7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E5119BF"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Perolehan Pembiayaan</w:t>
            </w:r>
          </w:p>
        </w:tc>
      </w:tr>
      <w:tr w:rsidR="00923319" w:rsidRPr="00A67277" w14:paraId="2FCAF6E5" w14:textId="77777777" w:rsidTr="00923319">
        <w:tc>
          <w:tcPr>
            <w:tcW w:w="2496" w:type="pct"/>
            <w:shd w:val="clear" w:color="auto" w:fill="auto"/>
          </w:tcPr>
          <w:p w14:paraId="354C7819" w14:textId="77777777" w:rsidR="00923319" w:rsidRPr="00A67277" w:rsidRDefault="00923319" w:rsidP="00923319">
            <w:pPr>
              <w:pStyle w:val="Body2"/>
              <w:spacing w:before="120" w:after="120"/>
              <w:ind w:left="703"/>
              <w:rPr>
                <w:rFonts w:cs="Arial"/>
                <w:lang w:val="id-ID"/>
              </w:rPr>
            </w:pPr>
            <w:r w:rsidRPr="00A67277">
              <w:rPr>
                <w:rFonts w:cs="Arial"/>
              </w:rPr>
              <w:t xml:space="preserve">Sponsors are required to make reasonable effort to cause the Effective Date to occur on or before the Scheduled Effective Date, in particular to ensure the signing of the Financing Document and the fulfilment of the </w:t>
            </w:r>
            <w:r w:rsidRPr="00A67277">
              <w:rPr>
                <w:rFonts w:cs="Arial"/>
                <w:lang w:val="id-ID"/>
              </w:rPr>
              <w:t xml:space="preserve">conditions precedent </w:t>
            </w:r>
            <w:r w:rsidRPr="00A67277">
              <w:rPr>
                <w:rFonts w:cs="Arial"/>
              </w:rPr>
              <w:t>in the Financing Documents.</w:t>
            </w:r>
          </w:p>
        </w:tc>
        <w:tc>
          <w:tcPr>
            <w:tcW w:w="141" w:type="pct"/>
            <w:shd w:val="clear" w:color="auto" w:fill="auto"/>
          </w:tcPr>
          <w:p w14:paraId="51A81BD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941E3BF"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Para Sponsor wajib melakukan upaya wajar untuk menyebabkan Tanggal Efektif terjadi pada saat atau sebelum Tanggal Efektif, khususnya untuk memastikan dapat ditandatanganinya Dokumen Pembiayaan dan dipenuhinya persyaratan pendahuluan dimaksud dalam Dokumen Pembiayaan.</w:t>
            </w:r>
          </w:p>
        </w:tc>
      </w:tr>
      <w:tr w:rsidR="00923319" w:rsidRPr="00A67277" w14:paraId="2DD4A3E4" w14:textId="77777777" w:rsidTr="00923319">
        <w:tc>
          <w:tcPr>
            <w:tcW w:w="2496" w:type="pct"/>
            <w:shd w:val="clear" w:color="auto" w:fill="auto"/>
          </w:tcPr>
          <w:p w14:paraId="186E873C" w14:textId="77777777" w:rsidR="00923319" w:rsidRPr="00A67277" w:rsidRDefault="00923319" w:rsidP="00923319">
            <w:pPr>
              <w:pStyle w:val="SchHeading1"/>
              <w:numPr>
                <w:ilvl w:val="2"/>
                <w:numId w:val="613"/>
              </w:numPr>
              <w:spacing w:before="120" w:after="120"/>
              <w:ind w:left="703" w:hanging="703"/>
              <w:rPr>
                <w:rFonts w:cs="Arial"/>
              </w:rPr>
            </w:pPr>
            <w:r w:rsidRPr="00A67277">
              <w:rPr>
                <w:rFonts w:cs="Arial"/>
              </w:rPr>
              <w:t xml:space="preserve">Representation and </w:t>
            </w:r>
            <w:r w:rsidRPr="00A67277">
              <w:rPr>
                <w:rFonts w:cs="Arial"/>
                <w:lang w:val="id-ID"/>
              </w:rPr>
              <w:t>Warranty</w:t>
            </w:r>
            <w:r w:rsidRPr="00A67277">
              <w:rPr>
                <w:rFonts w:cs="Arial"/>
              </w:rPr>
              <w:t xml:space="preserve"> of The Sponsor</w:t>
            </w:r>
          </w:p>
        </w:tc>
        <w:tc>
          <w:tcPr>
            <w:tcW w:w="141" w:type="pct"/>
            <w:shd w:val="clear" w:color="auto" w:fill="auto"/>
          </w:tcPr>
          <w:p w14:paraId="6346CCA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E271EC8" w14:textId="77777777" w:rsidR="00923319" w:rsidRPr="00A67277" w:rsidRDefault="00923319" w:rsidP="00923319">
            <w:pPr>
              <w:pStyle w:val="SchHeading1"/>
              <w:numPr>
                <w:ilvl w:val="0"/>
                <w:numId w:val="669"/>
              </w:numPr>
              <w:spacing w:before="120" w:after="120"/>
              <w:ind w:left="702" w:hanging="540"/>
              <w:rPr>
                <w:rFonts w:cs="Arial"/>
              </w:rPr>
            </w:pPr>
            <w:r w:rsidRPr="00A67277">
              <w:rPr>
                <w:rFonts w:cs="Arial"/>
              </w:rPr>
              <w:t>Pernyataan dan Jaminan Sponsor</w:t>
            </w:r>
          </w:p>
        </w:tc>
      </w:tr>
      <w:tr w:rsidR="00923319" w:rsidRPr="00A67277" w14:paraId="39D2ACE9" w14:textId="77777777" w:rsidTr="00923319">
        <w:tc>
          <w:tcPr>
            <w:tcW w:w="2496" w:type="pct"/>
            <w:shd w:val="clear" w:color="auto" w:fill="auto"/>
          </w:tcPr>
          <w:p w14:paraId="51A0355F" w14:textId="77777777" w:rsidR="00923319" w:rsidRPr="00A67277" w:rsidRDefault="00923319" w:rsidP="00923319">
            <w:pPr>
              <w:pStyle w:val="Body2"/>
              <w:spacing w:before="120" w:after="120"/>
              <w:ind w:left="703"/>
              <w:rPr>
                <w:rFonts w:cs="Arial"/>
              </w:rPr>
            </w:pPr>
            <w:r w:rsidRPr="00A67277">
              <w:rPr>
                <w:rFonts w:cs="Arial"/>
              </w:rPr>
              <w:t>Each Sponsor represents and warrants that:</w:t>
            </w:r>
          </w:p>
        </w:tc>
        <w:tc>
          <w:tcPr>
            <w:tcW w:w="141" w:type="pct"/>
            <w:shd w:val="clear" w:color="auto" w:fill="auto"/>
          </w:tcPr>
          <w:p w14:paraId="0A2C6BA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52AE651" w14:textId="77777777" w:rsidR="00923319" w:rsidRPr="00A67277" w:rsidRDefault="00923319" w:rsidP="00923319">
            <w:pPr>
              <w:pStyle w:val="Body3"/>
              <w:spacing w:before="120" w:after="120"/>
              <w:ind w:left="702"/>
              <w:rPr>
                <w:rFonts w:cs="Arial"/>
              </w:rPr>
            </w:pPr>
            <w:r w:rsidRPr="00A67277">
              <w:rPr>
                <w:rFonts w:cs="Arial"/>
              </w:rPr>
              <w:t>Masing-masing Sponsor menyatakan dan menjamin bahwa:</w:t>
            </w:r>
          </w:p>
        </w:tc>
      </w:tr>
      <w:tr w:rsidR="00923319" w:rsidRPr="00A67277" w14:paraId="15DA19E5" w14:textId="77777777" w:rsidTr="00923319">
        <w:tc>
          <w:tcPr>
            <w:tcW w:w="2496" w:type="pct"/>
            <w:shd w:val="clear" w:color="auto" w:fill="auto"/>
          </w:tcPr>
          <w:p w14:paraId="6240274E"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Each Sponsor is a limited liability company organized and established under the laws of the country in which the company is domiciled and has obtained valid authority to sign this Agreement and to execute the terms, conditions and provisions therein.</w:t>
            </w:r>
          </w:p>
        </w:tc>
        <w:tc>
          <w:tcPr>
            <w:tcW w:w="141" w:type="pct"/>
            <w:shd w:val="clear" w:color="auto" w:fill="auto"/>
          </w:tcPr>
          <w:p w14:paraId="5230D22C"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5FBBEF9" w14:textId="77777777" w:rsidR="00923319" w:rsidRPr="00A67277" w:rsidRDefault="00923319" w:rsidP="00923319">
            <w:pPr>
              <w:pStyle w:val="ListParagraph"/>
              <w:numPr>
                <w:ilvl w:val="0"/>
                <w:numId w:val="674"/>
              </w:numPr>
              <w:spacing w:before="120" w:after="120"/>
              <w:ind w:left="1242" w:hanging="540"/>
              <w:rPr>
                <w:rFonts w:cs="Arial"/>
              </w:rPr>
            </w:pPr>
            <w:r w:rsidRPr="00A67277">
              <w:rPr>
                <w:rFonts w:cs="Arial"/>
              </w:rPr>
              <w:t>Masing-masing Sponsor adalah suatu perusahaan perseroan terbatas yang dibentuk dan berdiri berdasarkan hukum negara dimana perusahaan tersebut berdomisili dan telah memperoleh kewenangan yang sah untuk menandatangani Perjanjian ini dan untuk melakukan syarat, kondisi dan ketentuan di dalamnya.</w:t>
            </w:r>
          </w:p>
        </w:tc>
      </w:tr>
      <w:tr w:rsidR="00923319" w:rsidRPr="00A67277" w14:paraId="528E8528" w14:textId="77777777" w:rsidTr="00923319">
        <w:tc>
          <w:tcPr>
            <w:tcW w:w="2496" w:type="pct"/>
            <w:shd w:val="clear" w:color="auto" w:fill="auto"/>
          </w:tcPr>
          <w:p w14:paraId="6B202BF3"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 xml:space="preserve">All other legalization, administrative, and other governmental action that are required to authorize the signing and submission, and, all acts to the best of Sponsor’s knowledge and confidence after reviewing, all legalization, administration and other governments, </w:t>
            </w:r>
            <w:r w:rsidRPr="00A67277">
              <w:rPr>
                <w:rFonts w:cs="Arial"/>
                <w:lang w:val="id-ID"/>
              </w:rPr>
              <w:t xml:space="preserve">in </w:t>
            </w:r>
            <w:r w:rsidRPr="00A67277">
              <w:rPr>
                <w:rFonts w:cs="Arial"/>
              </w:rPr>
              <w:t xml:space="preserve">Indonesia and non-Indonesia </w:t>
            </w:r>
            <w:r w:rsidRPr="00A67277">
              <w:rPr>
                <w:rFonts w:cs="Arial"/>
                <w:lang w:val="id-ID"/>
              </w:rPr>
              <w:t xml:space="preserve">which are </w:t>
            </w:r>
            <w:r w:rsidRPr="00A67277">
              <w:rPr>
                <w:rFonts w:cs="Arial"/>
              </w:rPr>
              <w:t xml:space="preserve">required to ratify the implementation of Sponsor’s obligation based on this Agreement and the said transaction have been made and </w:t>
            </w:r>
            <w:r w:rsidRPr="00A67277">
              <w:rPr>
                <w:rFonts w:cs="Arial"/>
                <w:lang w:val="id-ID"/>
              </w:rPr>
              <w:t xml:space="preserve">are </w:t>
            </w:r>
            <w:r w:rsidRPr="00A67277">
              <w:rPr>
                <w:rFonts w:cs="Arial"/>
              </w:rPr>
              <w:t>in full force</w:t>
            </w:r>
            <w:r w:rsidRPr="00A67277">
              <w:rPr>
                <w:rFonts w:cs="Arial"/>
                <w:lang w:val="id-ID"/>
              </w:rPr>
              <w:t>.</w:t>
            </w:r>
          </w:p>
        </w:tc>
        <w:tc>
          <w:tcPr>
            <w:tcW w:w="141" w:type="pct"/>
            <w:shd w:val="clear" w:color="auto" w:fill="auto"/>
          </w:tcPr>
          <w:p w14:paraId="4C42E73D"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DADE09C" w14:textId="77777777" w:rsidR="00923319" w:rsidRPr="00A67277" w:rsidRDefault="00923319" w:rsidP="00923319">
            <w:pPr>
              <w:pStyle w:val="ListParagraph"/>
              <w:numPr>
                <w:ilvl w:val="0"/>
                <w:numId w:val="674"/>
              </w:numPr>
              <w:spacing w:before="120" w:after="120"/>
              <w:ind w:left="1242" w:hanging="540"/>
              <w:rPr>
                <w:rFonts w:cs="Arial"/>
              </w:rPr>
            </w:pPr>
            <w:r w:rsidRPr="00A67277">
              <w:rPr>
                <w:rFonts w:cs="Arial"/>
              </w:rPr>
              <w:t>Seluruh legalisasi, administrasi dan tindakan pemerintahan lainnya yang dibutuhkan untuk mengesahkan penandatanganan dan penyerahan, dan, seluruh tindakan sepanjang pengetahuan dan keyakinan terbaik Sponsor setelah melakukan penelaahan, seluruh legalisasi, administrasi dan pemerintah lainnya, Indonesia dan non-Indonesia yang dibutuhkan untuk mengesahkan pelaksanaan kewajiban Sponsor berdasarkan Perjanjian ini dan transaksi dimaksud telah dilakukan dan berlaku penuh.</w:t>
            </w:r>
          </w:p>
        </w:tc>
      </w:tr>
      <w:tr w:rsidR="00923319" w:rsidRPr="00A67277" w14:paraId="5FBB647C" w14:textId="77777777" w:rsidTr="00923319">
        <w:tc>
          <w:tcPr>
            <w:tcW w:w="2496" w:type="pct"/>
            <w:shd w:val="clear" w:color="auto" w:fill="auto"/>
          </w:tcPr>
          <w:p w14:paraId="40972A1F"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This Agreement is applicable, valid and binding on the Sponsor’s obligations, applicable in accordance with the terms therein.</w:t>
            </w:r>
          </w:p>
        </w:tc>
        <w:tc>
          <w:tcPr>
            <w:tcW w:w="141" w:type="pct"/>
            <w:shd w:val="clear" w:color="auto" w:fill="auto"/>
          </w:tcPr>
          <w:p w14:paraId="0237B1E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DB04E5F" w14:textId="77777777" w:rsidR="00923319" w:rsidRPr="00A67277" w:rsidRDefault="00923319" w:rsidP="00923319">
            <w:pPr>
              <w:pStyle w:val="ListParagraph"/>
              <w:numPr>
                <w:ilvl w:val="0"/>
                <w:numId w:val="674"/>
              </w:numPr>
              <w:spacing w:before="120" w:after="120"/>
              <w:ind w:left="1242" w:hanging="540"/>
              <w:rPr>
                <w:rFonts w:cs="Arial"/>
              </w:rPr>
            </w:pPr>
            <w:r w:rsidRPr="00A67277">
              <w:rPr>
                <w:rFonts w:cs="Arial"/>
              </w:rPr>
              <w:t>Perjanjian ini adalah berlaku, sah dan mengikat kewajiban Sponsor tersebut, dapat diterapkan sesuai dengan ketentuan didalamnya.</w:t>
            </w:r>
          </w:p>
        </w:tc>
      </w:tr>
      <w:tr w:rsidR="00923319" w:rsidRPr="00A67277" w14:paraId="15BBD2AF" w14:textId="77777777" w:rsidTr="00923319">
        <w:tc>
          <w:tcPr>
            <w:tcW w:w="2496" w:type="pct"/>
            <w:shd w:val="clear" w:color="auto" w:fill="auto"/>
          </w:tcPr>
          <w:p w14:paraId="330ACEF3" w14:textId="77777777" w:rsidR="00923319" w:rsidRPr="00A67277" w:rsidRDefault="00923319" w:rsidP="00923319">
            <w:pPr>
              <w:pStyle w:val="SchNumber3"/>
              <w:numPr>
                <w:ilvl w:val="4"/>
                <w:numId w:val="613"/>
              </w:numPr>
              <w:tabs>
                <w:tab w:val="clear" w:pos="1418"/>
                <w:tab w:val="num" w:pos="1243"/>
              </w:tabs>
              <w:spacing w:before="120" w:after="120"/>
              <w:ind w:left="1243" w:hanging="540"/>
              <w:rPr>
                <w:rFonts w:cs="Arial"/>
              </w:rPr>
            </w:pPr>
            <w:r w:rsidRPr="00A67277">
              <w:rPr>
                <w:rFonts w:cs="Arial"/>
              </w:rPr>
              <w:t>The signing, delivery and execution of this Agreement by the Sponsor has been validated by all corporate actions acquired, and shall not be contradictory with any provision or constitute a default based on every agreement or other instruments to which it is a party or may bind its assets.</w:t>
            </w:r>
          </w:p>
        </w:tc>
        <w:tc>
          <w:tcPr>
            <w:tcW w:w="141" w:type="pct"/>
            <w:shd w:val="clear" w:color="auto" w:fill="auto"/>
          </w:tcPr>
          <w:p w14:paraId="40B21B51"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BCEC081" w14:textId="77777777" w:rsidR="00923319" w:rsidRPr="00A67277" w:rsidRDefault="00923319" w:rsidP="00923319">
            <w:pPr>
              <w:pStyle w:val="ListParagraph"/>
              <w:numPr>
                <w:ilvl w:val="0"/>
                <w:numId w:val="674"/>
              </w:numPr>
              <w:spacing w:before="120" w:after="120"/>
              <w:ind w:left="1242" w:hanging="540"/>
              <w:rPr>
                <w:rFonts w:cs="Arial"/>
              </w:rPr>
            </w:pPr>
            <w:r w:rsidRPr="00A67277">
              <w:rPr>
                <w:rFonts w:cs="Arial"/>
              </w:rPr>
              <w:t>Penandatanganan, penyerahan dan pelaksanaan Perjanjian ini oleh Sponsor tersebut telah disahkan oleh seluruh tindakan korporasi yang diperoleh, dan tidak akan bertentangan dengan setiap ketentuan atau membentuk suatu cidera janji berdasarkan setiap perjanjian atau instrumen lainnya yang mana dirinya merupakan pihak atau dapat mengikat asetnya.</w:t>
            </w:r>
          </w:p>
        </w:tc>
      </w:tr>
      <w:tr w:rsidR="00923319" w:rsidRPr="00A67277" w14:paraId="5D51F7A5" w14:textId="77777777" w:rsidTr="00923319">
        <w:tc>
          <w:tcPr>
            <w:tcW w:w="2496" w:type="pct"/>
            <w:shd w:val="clear" w:color="auto" w:fill="auto"/>
          </w:tcPr>
          <w:p w14:paraId="618E316E" w14:textId="77777777" w:rsidR="00923319" w:rsidRPr="00A67277" w:rsidRDefault="00923319" w:rsidP="00923319">
            <w:pPr>
              <w:pStyle w:val="SchHeading1"/>
              <w:numPr>
                <w:ilvl w:val="2"/>
                <w:numId w:val="613"/>
              </w:numPr>
              <w:spacing w:before="120" w:after="120"/>
              <w:ind w:left="703" w:hanging="703"/>
              <w:rPr>
                <w:rFonts w:cs="Arial"/>
              </w:rPr>
            </w:pPr>
            <w:r w:rsidRPr="00A67277">
              <w:rPr>
                <w:rFonts w:cs="Arial"/>
              </w:rPr>
              <w:t>Notification</w:t>
            </w:r>
          </w:p>
        </w:tc>
        <w:tc>
          <w:tcPr>
            <w:tcW w:w="141" w:type="pct"/>
            <w:shd w:val="clear" w:color="auto" w:fill="auto"/>
          </w:tcPr>
          <w:p w14:paraId="270B291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2345947" w14:textId="77777777" w:rsidR="00923319" w:rsidRPr="00A67277" w:rsidRDefault="00923319" w:rsidP="00923319">
            <w:pPr>
              <w:pStyle w:val="SchHeading1"/>
              <w:numPr>
                <w:ilvl w:val="0"/>
                <w:numId w:val="669"/>
              </w:numPr>
              <w:spacing w:before="120" w:after="120"/>
              <w:ind w:left="702" w:hanging="540"/>
              <w:rPr>
                <w:rFonts w:cs="Arial"/>
              </w:rPr>
            </w:pPr>
            <w:r w:rsidRPr="00A67277">
              <w:rPr>
                <w:rFonts w:cs="Arial"/>
              </w:rPr>
              <w:t>Pemberitahuan</w:t>
            </w:r>
          </w:p>
        </w:tc>
      </w:tr>
      <w:tr w:rsidR="00923319" w:rsidRPr="00A67277" w14:paraId="5ECC5B71" w14:textId="77777777" w:rsidTr="00923319">
        <w:tc>
          <w:tcPr>
            <w:tcW w:w="2496" w:type="pct"/>
            <w:shd w:val="clear" w:color="auto" w:fill="auto"/>
          </w:tcPr>
          <w:p w14:paraId="2C9662B6"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Any notice relating to this Agreement shall be in writing in Bahasa Indonesia or Bahasa Indonesia and English (bilingual) and sent by registered mail, courier or faximile by the Parties to the below address:</w:t>
            </w:r>
          </w:p>
        </w:tc>
        <w:tc>
          <w:tcPr>
            <w:tcW w:w="141" w:type="pct"/>
            <w:shd w:val="clear" w:color="auto" w:fill="auto"/>
          </w:tcPr>
          <w:p w14:paraId="2055BDE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46416D3"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Segala pemberitahuan yang terkait dengan Perjanjian ini wajib dilakukan secara tertulis dalam Bahasa Indonesia atau Bahasa Indonesia dan Bahasa Inggris (dua bahasa) dan dikirimkan melalui surat tercatat, kurir atau faksimile oleh Para Pihak ke alamat di bawah ini:</w:t>
            </w:r>
          </w:p>
        </w:tc>
      </w:tr>
      <w:tr w:rsidR="00923319" w:rsidRPr="00A67277" w14:paraId="33DBD499" w14:textId="77777777" w:rsidTr="00923319">
        <w:tc>
          <w:tcPr>
            <w:tcW w:w="2496" w:type="pct"/>
            <w:shd w:val="clear" w:color="auto" w:fill="auto"/>
          </w:tcPr>
          <w:p w14:paraId="60DCE021" w14:textId="77777777" w:rsidR="00923319" w:rsidRPr="00A67277" w:rsidRDefault="00923319" w:rsidP="00923319">
            <w:pPr>
              <w:pStyle w:val="SchNumber3"/>
              <w:numPr>
                <w:ilvl w:val="4"/>
                <w:numId w:val="613"/>
              </w:numPr>
              <w:tabs>
                <w:tab w:val="num" w:pos="3600"/>
              </w:tabs>
              <w:spacing w:before="120" w:after="120"/>
              <w:ind w:hanging="715"/>
              <w:rPr>
                <w:rFonts w:cs="Arial"/>
                <w:b/>
              </w:rPr>
            </w:pPr>
            <w:r w:rsidRPr="00A67277">
              <w:rPr>
                <w:rFonts w:cs="Arial"/>
                <w:b/>
              </w:rPr>
              <w:t>Sponsor 1</w:t>
            </w:r>
          </w:p>
          <w:p w14:paraId="148F4947" w14:textId="77777777" w:rsidR="00923319" w:rsidRPr="00A67277" w:rsidRDefault="00923319" w:rsidP="00923319">
            <w:pPr>
              <w:pStyle w:val="Body3"/>
              <w:spacing w:before="120" w:after="120"/>
              <w:rPr>
                <w:rFonts w:cs="Arial"/>
              </w:rPr>
            </w:pPr>
            <w:r w:rsidRPr="00A67277">
              <w:rPr>
                <w:rFonts w:cs="Arial"/>
              </w:rPr>
              <w:t>[***]</w:t>
            </w:r>
          </w:p>
          <w:p w14:paraId="57FAE2DC" w14:textId="77777777" w:rsidR="00923319" w:rsidRPr="00A67277" w:rsidRDefault="00923319" w:rsidP="00923319">
            <w:pPr>
              <w:pStyle w:val="Body3"/>
              <w:spacing w:before="120" w:after="120"/>
              <w:rPr>
                <w:rFonts w:cs="Arial"/>
              </w:rPr>
            </w:pPr>
            <w:r w:rsidRPr="00A67277">
              <w:rPr>
                <w:rFonts w:cs="Arial"/>
              </w:rPr>
              <w:t>[Address]</w:t>
            </w:r>
          </w:p>
          <w:p w14:paraId="4EDE095B" w14:textId="77777777" w:rsidR="00923319" w:rsidRPr="00A67277" w:rsidRDefault="00923319" w:rsidP="00923319">
            <w:pPr>
              <w:pStyle w:val="Body3"/>
              <w:spacing w:before="120" w:after="120"/>
              <w:rPr>
                <w:rFonts w:cs="Arial"/>
              </w:rPr>
            </w:pPr>
            <w:r w:rsidRPr="00A67277">
              <w:rPr>
                <w:rFonts w:cs="Arial"/>
              </w:rPr>
              <w:t>[Telephone]</w:t>
            </w:r>
          </w:p>
          <w:p w14:paraId="3719D66E" w14:textId="77777777" w:rsidR="00923319" w:rsidRPr="00A67277" w:rsidRDefault="00923319" w:rsidP="00923319">
            <w:pPr>
              <w:pStyle w:val="Body3"/>
              <w:spacing w:before="120" w:after="120"/>
              <w:rPr>
                <w:rFonts w:cs="Arial"/>
              </w:rPr>
            </w:pPr>
            <w:r w:rsidRPr="00A67277">
              <w:rPr>
                <w:rFonts w:cs="Arial"/>
              </w:rPr>
              <w:t>[Fax]</w:t>
            </w:r>
          </w:p>
          <w:p w14:paraId="754402CA" w14:textId="77777777" w:rsidR="00923319" w:rsidRPr="00A67277" w:rsidRDefault="00923319" w:rsidP="00923319">
            <w:pPr>
              <w:pStyle w:val="Body3"/>
              <w:spacing w:before="120" w:after="120"/>
              <w:rPr>
                <w:rFonts w:cs="Arial"/>
              </w:rPr>
            </w:pPr>
            <w:r w:rsidRPr="00A67277">
              <w:rPr>
                <w:rFonts w:cs="Arial"/>
              </w:rPr>
              <w:t>[E-Mail]</w:t>
            </w:r>
          </w:p>
          <w:p w14:paraId="4D2BEE80" w14:textId="77777777" w:rsidR="00923319" w:rsidRPr="00A67277" w:rsidRDefault="00923319" w:rsidP="00923319">
            <w:pPr>
              <w:pStyle w:val="Body3"/>
              <w:spacing w:before="120" w:after="120"/>
              <w:rPr>
                <w:rFonts w:cs="Arial"/>
              </w:rPr>
            </w:pPr>
            <w:r w:rsidRPr="00A67277">
              <w:rPr>
                <w:rFonts w:cs="Arial"/>
              </w:rPr>
              <w:t>Attn.: [***]</w:t>
            </w:r>
          </w:p>
        </w:tc>
        <w:tc>
          <w:tcPr>
            <w:tcW w:w="141" w:type="pct"/>
            <w:shd w:val="clear" w:color="auto" w:fill="auto"/>
          </w:tcPr>
          <w:p w14:paraId="29698CBA"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1488872" w14:textId="77777777" w:rsidR="00923319" w:rsidRPr="00A67277" w:rsidRDefault="00923319" w:rsidP="00923319">
            <w:pPr>
              <w:pStyle w:val="SchNumber3"/>
              <w:numPr>
                <w:ilvl w:val="0"/>
                <w:numId w:val="675"/>
              </w:numPr>
              <w:spacing w:before="120" w:after="120"/>
              <w:ind w:left="1444" w:hanging="742"/>
              <w:rPr>
                <w:rFonts w:cs="Arial"/>
                <w:b/>
              </w:rPr>
            </w:pPr>
            <w:r w:rsidRPr="00A67277">
              <w:rPr>
                <w:rFonts w:cs="Arial"/>
                <w:b/>
              </w:rPr>
              <w:t>Sponsor 1</w:t>
            </w:r>
          </w:p>
          <w:p w14:paraId="66A76530" w14:textId="77777777" w:rsidR="00923319" w:rsidRPr="00A67277" w:rsidRDefault="00923319" w:rsidP="00923319">
            <w:pPr>
              <w:pStyle w:val="Body3"/>
              <w:spacing w:before="120" w:after="120"/>
              <w:ind w:left="1444"/>
              <w:rPr>
                <w:rFonts w:cs="Arial"/>
              </w:rPr>
            </w:pPr>
            <w:r w:rsidRPr="00A67277">
              <w:rPr>
                <w:rFonts w:cs="Arial"/>
              </w:rPr>
              <w:t>[***]</w:t>
            </w:r>
          </w:p>
          <w:p w14:paraId="3EE1D23B" w14:textId="77777777" w:rsidR="00923319" w:rsidRPr="00A67277" w:rsidRDefault="00923319" w:rsidP="00923319">
            <w:pPr>
              <w:pStyle w:val="Body3"/>
              <w:spacing w:before="120" w:after="120"/>
              <w:ind w:left="1444"/>
              <w:rPr>
                <w:rFonts w:cs="Arial"/>
              </w:rPr>
            </w:pPr>
            <w:r w:rsidRPr="00A67277">
              <w:rPr>
                <w:rFonts w:cs="Arial"/>
              </w:rPr>
              <w:t>[Alamat]</w:t>
            </w:r>
          </w:p>
          <w:p w14:paraId="784AFB92" w14:textId="77777777" w:rsidR="00923319" w:rsidRPr="00A67277" w:rsidRDefault="00923319" w:rsidP="00923319">
            <w:pPr>
              <w:pStyle w:val="Body3"/>
              <w:spacing w:before="120" w:after="120"/>
              <w:ind w:left="1444"/>
              <w:rPr>
                <w:rFonts w:cs="Arial"/>
              </w:rPr>
            </w:pPr>
            <w:r w:rsidRPr="00A67277">
              <w:rPr>
                <w:rFonts w:cs="Arial"/>
              </w:rPr>
              <w:t>[Telp]</w:t>
            </w:r>
          </w:p>
          <w:p w14:paraId="6FA1FD95" w14:textId="77777777" w:rsidR="00923319" w:rsidRPr="00A67277" w:rsidRDefault="00923319" w:rsidP="00923319">
            <w:pPr>
              <w:pStyle w:val="Body3"/>
              <w:spacing w:before="120" w:after="120"/>
              <w:ind w:left="1444"/>
              <w:rPr>
                <w:rFonts w:cs="Arial"/>
              </w:rPr>
            </w:pPr>
            <w:r w:rsidRPr="00A67277">
              <w:rPr>
                <w:rFonts w:cs="Arial"/>
              </w:rPr>
              <w:t>[Fax]</w:t>
            </w:r>
          </w:p>
          <w:p w14:paraId="348A2C8C" w14:textId="77777777" w:rsidR="00923319" w:rsidRPr="00A67277" w:rsidRDefault="00923319" w:rsidP="00923319">
            <w:pPr>
              <w:pStyle w:val="Body3"/>
              <w:spacing w:before="120" w:after="120"/>
              <w:ind w:left="1444"/>
              <w:rPr>
                <w:rFonts w:cs="Arial"/>
              </w:rPr>
            </w:pPr>
            <w:r w:rsidRPr="00A67277">
              <w:rPr>
                <w:rFonts w:cs="Arial"/>
              </w:rPr>
              <w:t>U.P : [***]</w:t>
            </w:r>
          </w:p>
        </w:tc>
      </w:tr>
      <w:tr w:rsidR="00923319" w:rsidRPr="00A67277" w14:paraId="232FE9D1" w14:textId="77777777" w:rsidTr="00923319">
        <w:tc>
          <w:tcPr>
            <w:tcW w:w="2496" w:type="pct"/>
            <w:shd w:val="clear" w:color="auto" w:fill="auto"/>
          </w:tcPr>
          <w:p w14:paraId="1377ADFA" w14:textId="77777777" w:rsidR="00923319" w:rsidRPr="00A67277" w:rsidRDefault="00923319" w:rsidP="00923319">
            <w:pPr>
              <w:pStyle w:val="SchNumber3"/>
              <w:numPr>
                <w:ilvl w:val="4"/>
                <w:numId w:val="613"/>
              </w:numPr>
              <w:spacing w:before="120" w:after="120"/>
              <w:ind w:hanging="715"/>
              <w:rPr>
                <w:rFonts w:cs="Arial"/>
                <w:b/>
              </w:rPr>
            </w:pPr>
            <w:r w:rsidRPr="00A67277">
              <w:rPr>
                <w:rFonts w:cs="Arial"/>
                <w:b/>
              </w:rPr>
              <w:t>Sponsor 2</w:t>
            </w:r>
          </w:p>
          <w:p w14:paraId="715A12BB" w14:textId="77777777" w:rsidR="00923319" w:rsidRPr="00A67277" w:rsidRDefault="00923319" w:rsidP="00923319">
            <w:pPr>
              <w:pStyle w:val="Body3"/>
              <w:spacing w:before="120" w:after="120"/>
              <w:rPr>
                <w:rFonts w:cs="Arial"/>
              </w:rPr>
            </w:pPr>
            <w:r w:rsidRPr="00A67277">
              <w:rPr>
                <w:rFonts w:cs="Arial"/>
              </w:rPr>
              <w:t>[***]</w:t>
            </w:r>
          </w:p>
          <w:p w14:paraId="278D71A4" w14:textId="77777777" w:rsidR="00923319" w:rsidRPr="00A67277" w:rsidRDefault="00923319" w:rsidP="00923319">
            <w:pPr>
              <w:pStyle w:val="Body3"/>
              <w:spacing w:before="120" w:after="120"/>
              <w:rPr>
                <w:rFonts w:cs="Arial"/>
              </w:rPr>
            </w:pPr>
            <w:r w:rsidRPr="00A67277">
              <w:rPr>
                <w:rFonts w:cs="Arial"/>
              </w:rPr>
              <w:t>[Address]</w:t>
            </w:r>
          </w:p>
          <w:p w14:paraId="784D7505" w14:textId="77777777" w:rsidR="00923319" w:rsidRPr="00A67277" w:rsidRDefault="00923319" w:rsidP="00923319">
            <w:pPr>
              <w:pStyle w:val="Body3"/>
              <w:spacing w:before="120" w:after="120"/>
              <w:rPr>
                <w:rFonts w:cs="Arial"/>
              </w:rPr>
            </w:pPr>
            <w:r w:rsidRPr="00A67277">
              <w:rPr>
                <w:rFonts w:cs="Arial"/>
              </w:rPr>
              <w:t>[Telephone]</w:t>
            </w:r>
          </w:p>
          <w:p w14:paraId="4E8F35DB" w14:textId="77777777" w:rsidR="00923319" w:rsidRPr="00A67277" w:rsidRDefault="00923319" w:rsidP="00923319">
            <w:pPr>
              <w:pStyle w:val="Body3"/>
              <w:spacing w:before="120" w:after="120"/>
              <w:rPr>
                <w:rFonts w:cs="Arial"/>
              </w:rPr>
            </w:pPr>
            <w:r w:rsidRPr="00A67277">
              <w:rPr>
                <w:rFonts w:cs="Arial"/>
              </w:rPr>
              <w:t>[Fax]</w:t>
            </w:r>
          </w:p>
          <w:p w14:paraId="6711E1E8" w14:textId="77777777" w:rsidR="00923319" w:rsidRPr="00A67277" w:rsidRDefault="00923319" w:rsidP="00923319">
            <w:pPr>
              <w:pStyle w:val="Body3"/>
              <w:spacing w:before="120" w:after="120"/>
              <w:rPr>
                <w:rFonts w:cs="Arial"/>
              </w:rPr>
            </w:pPr>
            <w:r w:rsidRPr="00A67277">
              <w:rPr>
                <w:rFonts w:cs="Arial"/>
              </w:rPr>
              <w:t>[E-Mail]</w:t>
            </w:r>
          </w:p>
          <w:p w14:paraId="341468D5" w14:textId="77777777" w:rsidR="00923319" w:rsidRPr="00A67277" w:rsidRDefault="00923319" w:rsidP="00923319">
            <w:pPr>
              <w:pStyle w:val="Body3"/>
              <w:spacing w:before="120" w:after="120"/>
              <w:rPr>
                <w:rFonts w:cs="Arial"/>
              </w:rPr>
            </w:pPr>
            <w:r w:rsidRPr="00A67277">
              <w:rPr>
                <w:rFonts w:cs="Arial"/>
              </w:rPr>
              <w:t>Attn.: [***]</w:t>
            </w:r>
          </w:p>
        </w:tc>
        <w:tc>
          <w:tcPr>
            <w:tcW w:w="141" w:type="pct"/>
            <w:shd w:val="clear" w:color="auto" w:fill="auto"/>
          </w:tcPr>
          <w:p w14:paraId="0E068E4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C8CAD35" w14:textId="77777777" w:rsidR="00923319" w:rsidRPr="00A67277" w:rsidRDefault="00923319" w:rsidP="00923319">
            <w:pPr>
              <w:pStyle w:val="SchNumber3"/>
              <w:numPr>
                <w:ilvl w:val="0"/>
                <w:numId w:val="675"/>
              </w:numPr>
              <w:spacing w:before="120" w:after="120"/>
              <w:ind w:left="1444" w:hanging="742"/>
              <w:rPr>
                <w:rFonts w:cs="Arial"/>
                <w:b/>
              </w:rPr>
            </w:pPr>
            <w:r w:rsidRPr="00A67277">
              <w:rPr>
                <w:rFonts w:cs="Arial"/>
                <w:b/>
              </w:rPr>
              <w:t>Sponsor 2</w:t>
            </w:r>
          </w:p>
          <w:p w14:paraId="2BDD9050" w14:textId="77777777" w:rsidR="00923319" w:rsidRPr="00A67277" w:rsidRDefault="00923319" w:rsidP="00923319">
            <w:pPr>
              <w:pStyle w:val="Body3"/>
              <w:spacing w:before="120" w:after="120"/>
              <w:ind w:left="1444"/>
              <w:rPr>
                <w:rFonts w:cs="Arial"/>
              </w:rPr>
            </w:pPr>
            <w:r w:rsidRPr="00A67277">
              <w:rPr>
                <w:rFonts w:cs="Arial"/>
              </w:rPr>
              <w:t>[***]</w:t>
            </w:r>
          </w:p>
          <w:p w14:paraId="6DF62088" w14:textId="77777777" w:rsidR="00923319" w:rsidRPr="00A67277" w:rsidRDefault="00923319" w:rsidP="00923319">
            <w:pPr>
              <w:pStyle w:val="Body3"/>
              <w:spacing w:before="120" w:after="120"/>
              <w:ind w:left="1444"/>
              <w:rPr>
                <w:rFonts w:cs="Arial"/>
              </w:rPr>
            </w:pPr>
            <w:r w:rsidRPr="00A67277">
              <w:rPr>
                <w:rFonts w:cs="Arial"/>
              </w:rPr>
              <w:t>[Alamat]</w:t>
            </w:r>
          </w:p>
          <w:p w14:paraId="164AE896" w14:textId="77777777" w:rsidR="00923319" w:rsidRPr="00A67277" w:rsidRDefault="00923319" w:rsidP="00923319">
            <w:pPr>
              <w:pStyle w:val="Body3"/>
              <w:spacing w:before="120" w:after="120"/>
              <w:ind w:left="1444"/>
              <w:rPr>
                <w:rFonts w:cs="Arial"/>
              </w:rPr>
            </w:pPr>
            <w:r w:rsidRPr="00A67277">
              <w:rPr>
                <w:rFonts w:cs="Arial"/>
              </w:rPr>
              <w:t>[Telp]</w:t>
            </w:r>
          </w:p>
          <w:p w14:paraId="52C97A9D" w14:textId="77777777" w:rsidR="00923319" w:rsidRPr="00A67277" w:rsidRDefault="00923319" w:rsidP="00923319">
            <w:pPr>
              <w:pStyle w:val="Body3"/>
              <w:spacing w:before="120" w:after="120"/>
              <w:ind w:left="1444"/>
              <w:rPr>
                <w:rFonts w:cs="Arial"/>
              </w:rPr>
            </w:pPr>
            <w:r w:rsidRPr="00A67277">
              <w:rPr>
                <w:rFonts w:cs="Arial"/>
              </w:rPr>
              <w:t>[Fax]</w:t>
            </w:r>
          </w:p>
          <w:p w14:paraId="1671B4C0" w14:textId="77777777" w:rsidR="00923319" w:rsidRPr="00A67277" w:rsidRDefault="00923319" w:rsidP="00923319">
            <w:pPr>
              <w:pStyle w:val="Body3"/>
              <w:spacing w:before="120" w:after="120"/>
              <w:ind w:left="1444"/>
              <w:rPr>
                <w:rFonts w:cs="Arial"/>
                <w:b/>
              </w:rPr>
            </w:pPr>
            <w:r w:rsidRPr="00A67277">
              <w:rPr>
                <w:rFonts w:cs="Arial"/>
              </w:rPr>
              <w:t>U.P : [***]</w:t>
            </w:r>
          </w:p>
        </w:tc>
      </w:tr>
      <w:tr w:rsidR="00923319" w:rsidRPr="00A67277" w14:paraId="516C7805" w14:textId="77777777" w:rsidTr="00923319">
        <w:tc>
          <w:tcPr>
            <w:tcW w:w="2496" w:type="pct"/>
            <w:shd w:val="clear" w:color="auto" w:fill="auto"/>
          </w:tcPr>
          <w:p w14:paraId="0029B605" w14:textId="77777777" w:rsidR="00923319" w:rsidRPr="00A67277" w:rsidRDefault="00923319" w:rsidP="00923319">
            <w:pPr>
              <w:pStyle w:val="SchNumber3"/>
              <w:numPr>
                <w:ilvl w:val="4"/>
                <w:numId w:val="613"/>
              </w:numPr>
              <w:spacing w:before="120" w:after="120"/>
              <w:ind w:hanging="715"/>
              <w:rPr>
                <w:rFonts w:cs="Arial"/>
                <w:b/>
              </w:rPr>
            </w:pPr>
            <w:r w:rsidRPr="00A67277">
              <w:rPr>
                <w:rFonts w:cs="Arial"/>
                <w:b/>
              </w:rPr>
              <w:t>IBE</w:t>
            </w:r>
          </w:p>
          <w:p w14:paraId="5B388F0B" w14:textId="77777777" w:rsidR="00923319" w:rsidRPr="00A67277" w:rsidRDefault="00923319" w:rsidP="00923319">
            <w:pPr>
              <w:pStyle w:val="Body3"/>
              <w:spacing w:before="120" w:after="120"/>
              <w:rPr>
                <w:rFonts w:cs="Arial"/>
              </w:rPr>
            </w:pPr>
            <w:r w:rsidRPr="00A67277">
              <w:rPr>
                <w:rFonts w:cs="Arial"/>
              </w:rPr>
              <w:t>[***]</w:t>
            </w:r>
          </w:p>
          <w:p w14:paraId="23D47FCD" w14:textId="77777777" w:rsidR="00923319" w:rsidRPr="00A67277" w:rsidRDefault="00923319" w:rsidP="00923319">
            <w:pPr>
              <w:pStyle w:val="Body3"/>
              <w:spacing w:before="120" w:after="120"/>
              <w:rPr>
                <w:rFonts w:cs="Arial"/>
              </w:rPr>
            </w:pPr>
            <w:r w:rsidRPr="00A67277">
              <w:rPr>
                <w:rFonts w:cs="Arial"/>
              </w:rPr>
              <w:t>[Address]</w:t>
            </w:r>
          </w:p>
          <w:p w14:paraId="2A37A56E" w14:textId="77777777" w:rsidR="00923319" w:rsidRPr="00A67277" w:rsidRDefault="00923319" w:rsidP="00923319">
            <w:pPr>
              <w:pStyle w:val="Body3"/>
              <w:spacing w:before="120" w:after="120"/>
              <w:rPr>
                <w:rFonts w:cs="Arial"/>
              </w:rPr>
            </w:pPr>
            <w:r w:rsidRPr="00A67277">
              <w:rPr>
                <w:rFonts w:cs="Arial"/>
              </w:rPr>
              <w:t>[Telephone]</w:t>
            </w:r>
          </w:p>
          <w:p w14:paraId="33D22B27" w14:textId="77777777" w:rsidR="00923319" w:rsidRPr="00A67277" w:rsidRDefault="00923319" w:rsidP="00923319">
            <w:pPr>
              <w:pStyle w:val="Body3"/>
              <w:spacing w:before="120" w:after="120"/>
              <w:rPr>
                <w:rFonts w:cs="Arial"/>
              </w:rPr>
            </w:pPr>
            <w:r w:rsidRPr="00A67277">
              <w:rPr>
                <w:rFonts w:cs="Arial"/>
              </w:rPr>
              <w:t>[Fax]</w:t>
            </w:r>
          </w:p>
          <w:p w14:paraId="20CE47DE" w14:textId="77777777" w:rsidR="00923319" w:rsidRPr="00A67277" w:rsidRDefault="00923319" w:rsidP="00923319">
            <w:pPr>
              <w:pStyle w:val="Body3"/>
              <w:spacing w:before="120" w:after="120"/>
              <w:rPr>
                <w:rFonts w:cs="Arial"/>
              </w:rPr>
            </w:pPr>
            <w:r w:rsidRPr="00A67277">
              <w:rPr>
                <w:rFonts w:cs="Arial"/>
              </w:rPr>
              <w:t>[E-Mail]</w:t>
            </w:r>
          </w:p>
          <w:p w14:paraId="24A7DB2E" w14:textId="77777777" w:rsidR="00923319" w:rsidRPr="00A67277" w:rsidRDefault="00923319" w:rsidP="00923319">
            <w:pPr>
              <w:pStyle w:val="Body3"/>
              <w:spacing w:before="120" w:after="120"/>
              <w:rPr>
                <w:rFonts w:cs="Arial"/>
              </w:rPr>
            </w:pPr>
            <w:r w:rsidRPr="00A67277">
              <w:rPr>
                <w:rFonts w:cs="Arial"/>
              </w:rPr>
              <w:t>Attn.: [***]</w:t>
            </w:r>
          </w:p>
        </w:tc>
        <w:tc>
          <w:tcPr>
            <w:tcW w:w="141" w:type="pct"/>
            <w:shd w:val="clear" w:color="auto" w:fill="auto"/>
          </w:tcPr>
          <w:p w14:paraId="56902AC8"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3C627E6" w14:textId="77777777" w:rsidR="00923319" w:rsidRPr="00A67277" w:rsidRDefault="00923319" w:rsidP="00923319">
            <w:pPr>
              <w:pStyle w:val="SchNumber3"/>
              <w:numPr>
                <w:ilvl w:val="0"/>
                <w:numId w:val="675"/>
              </w:numPr>
              <w:spacing w:before="120" w:after="120"/>
              <w:ind w:left="1444" w:hanging="742"/>
              <w:rPr>
                <w:rFonts w:cs="Arial"/>
                <w:b/>
              </w:rPr>
            </w:pPr>
            <w:r w:rsidRPr="00A67277">
              <w:rPr>
                <w:rFonts w:cs="Arial"/>
                <w:b/>
              </w:rPr>
              <w:t>BUP</w:t>
            </w:r>
          </w:p>
          <w:p w14:paraId="13F59C51" w14:textId="77777777" w:rsidR="00923319" w:rsidRPr="00A67277" w:rsidRDefault="00923319" w:rsidP="00923319">
            <w:pPr>
              <w:pStyle w:val="Body3"/>
              <w:spacing w:before="120" w:after="120"/>
              <w:ind w:left="1444"/>
              <w:rPr>
                <w:rFonts w:cs="Arial"/>
              </w:rPr>
            </w:pPr>
            <w:r w:rsidRPr="00A67277">
              <w:rPr>
                <w:rFonts w:cs="Arial"/>
              </w:rPr>
              <w:t>[***]</w:t>
            </w:r>
          </w:p>
          <w:p w14:paraId="507A8958" w14:textId="77777777" w:rsidR="00923319" w:rsidRPr="00A67277" w:rsidRDefault="00923319" w:rsidP="00923319">
            <w:pPr>
              <w:pStyle w:val="Body3"/>
              <w:spacing w:before="120" w:after="120"/>
              <w:ind w:left="1444"/>
              <w:rPr>
                <w:rFonts w:cs="Arial"/>
              </w:rPr>
            </w:pPr>
            <w:r w:rsidRPr="00A67277">
              <w:rPr>
                <w:rFonts w:cs="Arial"/>
              </w:rPr>
              <w:t>[Alamat]</w:t>
            </w:r>
          </w:p>
          <w:p w14:paraId="07F3DE79" w14:textId="77777777" w:rsidR="00923319" w:rsidRPr="00A67277" w:rsidRDefault="00923319" w:rsidP="00923319">
            <w:pPr>
              <w:pStyle w:val="Body3"/>
              <w:spacing w:before="120" w:after="120"/>
              <w:ind w:left="1444"/>
              <w:rPr>
                <w:rFonts w:cs="Arial"/>
              </w:rPr>
            </w:pPr>
            <w:r w:rsidRPr="00A67277">
              <w:rPr>
                <w:rFonts w:cs="Arial"/>
              </w:rPr>
              <w:t>[Telp]</w:t>
            </w:r>
          </w:p>
          <w:p w14:paraId="31AA71D8" w14:textId="77777777" w:rsidR="00923319" w:rsidRPr="00A67277" w:rsidRDefault="00923319" w:rsidP="00923319">
            <w:pPr>
              <w:pStyle w:val="Body3"/>
              <w:spacing w:before="120" w:after="120"/>
              <w:ind w:left="1444"/>
              <w:rPr>
                <w:rFonts w:cs="Arial"/>
              </w:rPr>
            </w:pPr>
            <w:r w:rsidRPr="00A67277">
              <w:rPr>
                <w:rFonts w:cs="Arial"/>
              </w:rPr>
              <w:t>[Fax]</w:t>
            </w:r>
          </w:p>
          <w:p w14:paraId="72DE338C" w14:textId="77777777" w:rsidR="00923319" w:rsidRPr="00A67277" w:rsidRDefault="00923319" w:rsidP="00923319">
            <w:pPr>
              <w:pStyle w:val="Body3"/>
              <w:spacing w:before="120" w:after="120"/>
              <w:ind w:left="1444"/>
              <w:rPr>
                <w:rFonts w:cs="Arial"/>
                <w:b/>
              </w:rPr>
            </w:pPr>
            <w:r w:rsidRPr="00A67277">
              <w:rPr>
                <w:rFonts w:cs="Arial"/>
              </w:rPr>
              <w:t>U.P : [***]</w:t>
            </w:r>
          </w:p>
        </w:tc>
      </w:tr>
      <w:tr w:rsidR="00923319" w:rsidRPr="00A67277" w14:paraId="0F0D39B7" w14:textId="77777777" w:rsidTr="00923319">
        <w:tc>
          <w:tcPr>
            <w:tcW w:w="2496" w:type="pct"/>
            <w:shd w:val="clear" w:color="auto" w:fill="auto"/>
          </w:tcPr>
          <w:p w14:paraId="494542E4" w14:textId="77777777" w:rsidR="00923319" w:rsidRPr="00A67277" w:rsidRDefault="00923319" w:rsidP="00923319">
            <w:pPr>
              <w:pStyle w:val="SchNumber3"/>
              <w:numPr>
                <w:ilvl w:val="4"/>
                <w:numId w:val="613"/>
              </w:numPr>
              <w:spacing w:before="120" w:after="120"/>
              <w:ind w:hanging="715"/>
              <w:rPr>
                <w:rFonts w:cs="Arial"/>
                <w:b/>
              </w:rPr>
            </w:pPr>
            <w:r w:rsidRPr="00A67277">
              <w:rPr>
                <w:rFonts w:cs="Arial"/>
                <w:b/>
              </w:rPr>
              <w:t>GCA</w:t>
            </w:r>
          </w:p>
          <w:p w14:paraId="0123EDF6" w14:textId="77777777" w:rsidR="00923319" w:rsidRPr="00A67277" w:rsidRDefault="00923319" w:rsidP="00923319">
            <w:pPr>
              <w:pStyle w:val="Body3"/>
              <w:spacing w:before="120" w:after="120"/>
              <w:rPr>
                <w:rFonts w:cs="Arial"/>
              </w:rPr>
            </w:pPr>
            <w:r w:rsidRPr="00A67277">
              <w:rPr>
                <w:rFonts w:cs="Arial"/>
              </w:rPr>
              <w:t>[name of the GCA]</w:t>
            </w:r>
          </w:p>
          <w:p w14:paraId="5A6CB4A2" w14:textId="77777777" w:rsidR="00923319" w:rsidRPr="00A67277" w:rsidRDefault="00923319" w:rsidP="00923319">
            <w:pPr>
              <w:pStyle w:val="Body3"/>
              <w:spacing w:before="120" w:after="120"/>
              <w:rPr>
                <w:rFonts w:cs="Arial"/>
              </w:rPr>
            </w:pPr>
            <w:r w:rsidRPr="00A67277">
              <w:rPr>
                <w:rFonts w:cs="Arial"/>
              </w:rPr>
              <w:t>[Address]</w:t>
            </w:r>
          </w:p>
          <w:p w14:paraId="175A8286" w14:textId="77777777" w:rsidR="00923319" w:rsidRPr="00A67277" w:rsidRDefault="00923319" w:rsidP="00923319">
            <w:pPr>
              <w:pStyle w:val="Body3"/>
              <w:spacing w:before="120" w:after="120"/>
              <w:rPr>
                <w:rFonts w:cs="Arial"/>
              </w:rPr>
            </w:pPr>
            <w:r w:rsidRPr="00A67277">
              <w:rPr>
                <w:rFonts w:cs="Arial"/>
              </w:rPr>
              <w:t>[Telephone]</w:t>
            </w:r>
          </w:p>
          <w:p w14:paraId="064DFB31" w14:textId="77777777" w:rsidR="00923319" w:rsidRPr="00A67277" w:rsidRDefault="00923319" w:rsidP="00923319">
            <w:pPr>
              <w:pStyle w:val="Body3"/>
              <w:spacing w:before="120" w:after="120"/>
              <w:rPr>
                <w:rFonts w:cs="Arial"/>
              </w:rPr>
            </w:pPr>
            <w:r w:rsidRPr="00A67277">
              <w:rPr>
                <w:rFonts w:cs="Arial"/>
              </w:rPr>
              <w:t>[Fax]</w:t>
            </w:r>
          </w:p>
          <w:p w14:paraId="78AA363A" w14:textId="77777777" w:rsidR="00923319" w:rsidRPr="00A67277" w:rsidRDefault="00923319" w:rsidP="00923319">
            <w:pPr>
              <w:pStyle w:val="Body3"/>
              <w:spacing w:before="120" w:after="120"/>
              <w:rPr>
                <w:rFonts w:cs="Arial"/>
              </w:rPr>
            </w:pPr>
            <w:r w:rsidRPr="00A67277">
              <w:rPr>
                <w:rFonts w:cs="Arial"/>
              </w:rPr>
              <w:t>[E-Mail]</w:t>
            </w:r>
          </w:p>
          <w:p w14:paraId="34EF4E73" w14:textId="77777777" w:rsidR="00923319" w:rsidRPr="00A67277" w:rsidRDefault="00923319" w:rsidP="00923319">
            <w:pPr>
              <w:pStyle w:val="Body3"/>
              <w:spacing w:before="120" w:after="120"/>
              <w:rPr>
                <w:rFonts w:cs="Arial"/>
              </w:rPr>
            </w:pPr>
            <w:r w:rsidRPr="00A67277">
              <w:rPr>
                <w:rFonts w:cs="Arial"/>
              </w:rPr>
              <w:t>Attn.: [***]</w:t>
            </w:r>
          </w:p>
        </w:tc>
        <w:tc>
          <w:tcPr>
            <w:tcW w:w="141" w:type="pct"/>
            <w:shd w:val="clear" w:color="auto" w:fill="auto"/>
          </w:tcPr>
          <w:p w14:paraId="5BA16386"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973EC09" w14:textId="77777777" w:rsidR="00923319" w:rsidRPr="00A67277" w:rsidRDefault="00923319" w:rsidP="00923319">
            <w:pPr>
              <w:pStyle w:val="SchNumber3"/>
              <w:numPr>
                <w:ilvl w:val="0"/>
                <w:numId w:val="675"/>
              </w:numPr>
              <w:spacing w:before="120" w:after="120"/>
              <w:ind w:left="1444" w:hanging="742"/>
              <w:rPr>
                <w:rFonts w:cs="Arial"/>
                <w:b/>
              </w:rPr>
            </w:pPr>
            <w:r w:rsidRPr="00A67277">
              <w:rPr>
                <w:rFonts w:cs="Arial"/>
                <w:b/>
              </w:rPr>
              <w:t>PJPK</w:t>
            </w:r>
          </w:p>
          <w:p w14:paraId="4F3305BC" w14:textId="77777777" w:rsidR="00923319" w:rsidRPr="00A67277" w:rsidRDefault="00923319" w:rsidP="00923319">
            <w:pPr>
              <w:pStyle w:val="Body3"/>
              <w:spacing w:before="120" w:after="120"/>
              <w:ind w:left="1444"/>
              <w:rPr>
                <w:rFonts w:cs="Arial"/>
              </w:rPr>
            </w:pPr>
            <w:r w:rsidRPr="00A67277">
              <w:rPr>
                <w:rFonts w:cs="Arial"/>
              </w:rPr>
              <w:t>[***]</w:t>
            </w:r>
          </w:p>
          <w:p w14:paraId="736FEFC9" w14:textId="77777777" w:rsidR="00923319" w:rsidRPr="00A67277" w:rsidRDefault="00923319" w:rsidP="00923319">
            <w:pPr>
              <w:pStyle w:val="Body3"/>
              <w:spacing w:before="120" w:after="120"/>
              <w:ind w:left="1444"/>
              <w:rPr>
                <w:rFonts w:cs="Arial"/>
              </w:rPr>
            </w:pPr>
            <w:r w:rsidRPr="00A67277">
              <w:rPr>
                <w:rFonts w:cs="Arial"/>
              </w:rPr>
              <w:t>[Alamat]</w:t>
            </w:r>
          </w:p>
          <w:p w14:paraId="284EE0D7" w14:textId="77777777" w:rsidR="00923319" w:rsidRPr="00A67277" w:rsidRDefault="00923319" w:rsidP="00923319">
            <w:pPr>
              <w:pStyle w:val="Body3"/>
              <w:spacing w:before="120" w:after="120"/>
              <w:ind w:left="1444"/>
              <w:rPr>
                <w:rFonts w:cs="Arial"/>
              </w:rPr>
            </w:pPr>
            <w:r w:rsidRPr="00A67277">
              <w:rPr>
                <w:rFonts w:cs="Arial"/>
              </w:rPr>
              <w:t>[Telp]</w:t>
            </w:r>
          </w:p>
          <w:p w14:paraId="75146474" w14:textId="77777777" w:rsidR="00923319" w:rsidRPr="00A67277" w:rsidRDefault="00923319" w:rsidP="00923319">
            <w:pPr>
              <w:pStyle w:val="Body3"/>
              <w:spacing w:before="120" w:after="120"/>
              <w:ind w:left="1444"/>
              <w:rPr>
                <w:rFonts w:cs="Arial"/>
              </w:rPr>
            </w:pPr>
            <w:r w:rsidRPr="00A67277">
              <w:rPr>
                <w:rFonts w:cs="Arial"/>
              </w:rPr>
              <w:t>[Fax]</w:t>
            </w:r>
          </w:p>
          <w:p w14:paraId="2A5EB9DE" w14:textId="77777777" w:rsidR="00923319" w:rsidRPr="00A67277" w:rsidRDefault="00923319" w:rsidP="00923319">
            <w:pPr>
              <w:pStyle w:val="Body3"/>
              <w:spacing w:before="120" w:after="120"/>
              <w:ind w:left="1444"/>
              <w:rPr>
                <w:rFonts w:cs="Arial"/>
                <w:b/>
              </w:rPr>
            </w:pPr>
            <w:r w:rsidRPr="00A67277">
              <w:rPr>
                <w:rFonts w:cs="Arial"/>
              </w:rPr>
              <w:t>U.P : [***]</w:t>
            </w:r>
          </w:p>
        </w:tc>
      </w:tr>
      <w:tr w:rsidR="00923319" w:rsidRPr="00A67277" w14:paraId="44CB5BD0" w14:textId="77777777" w:rsidTr="00923319">
        <w:tc>
          <w:tcPr>
            <w:tcW w:w="2496" w:type="pct"/>
            <w:shd w:val="clear" w:color="auto" w:fill="auto"/>
          </w:tcPr>
          <w:p w14:paraId="096BE093"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If the above address is changed, each Party shall notify each other within no later than two (2) Business Days effective from the date when the address is changed.</w:t>
            </w:r>
          </w:p>
        </w:tc>
        <w:tc>
          <w:tcPr>
            <w:tcW w:w="141" w:type="pct"/>
            <w:shd w:val="clear" w:color="auto" w:fill="auto"/>
          </w:tcPr>
          <w:p w14:paraId="0A9318A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824BF4A"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Apabila alamat tersebut diatas mengalami perubahan maka masing-masing Pihak wajib untuk saling memberitahukan dalam waktu selambat-lambatnya dua (2) Hari Kerja terhitung sejak efektif alamat tersebut berubah</w:t>
            </w:r>
          </w:p>
        </w:tc>
      </w:tr>
      <w:tr w:rsidR="00923319" w:rsidRPr="00A67277" w14:paraId="107DF396" w14:textId="77777777" w:rsidTr="00923319">
        <w:tc>
          <w:tcPr>
            <w:tcW w:w="2496" w:type="pct"/>
            <w:shd w:val="clear" w:color="auto" w:fill="auto"/>
          </w:tcPr>
          <w:p w14:paraId="488E23E9" w14:textId="77777777" w:rsidR="00923319" w:rsidRPr="00A67277" w:rsidRDefault="00923319" w:rsidP="00923319">
            <w:pPr>
              <w:pStyle w:val="SchHeading1"/>
              <w:numPr>
                <w:ilvl w:val="2"/>
                <w:numId w:val="613"/>
              </w:numPr>
              <w:spacing w:before="120" w:after="120"/>
              <w:ind w:left="703" w:hanging="703"/>
              <w:rPr>
                <w:rFonts w:cs="Arial"/>
              </w:rPr>
            </w:pPr>
            <w:r w:rsidRPr="00A67277">
              <w:rPr>
                <w:rFonts w:cs="Arial"/>
              </w:rPr>
              <w:t>Miscellaneous</w:t>
            </w:r>
          </w:p>
        </w:tc>
        <w:tc>
          <w:tcPr>
            <w:tcW w:w="141" w:type="pct"/>
            <w:shd w:val="clear" w:color="auto" w:fill="auto"/>
          </w:tcPr>
          <w:p w14:paraId="10048A5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93B3C1D" w14:textId="77777777" w:rsidR="00923319" w:rsidRPr="00A67277" w:rsidRDefault="00923319" w:rsidP="00923319">
            <w:pPr>
              <w:pStyle w:val="SchHeading1"/>
              <w:numPr>
                <w:ilvl w:val="0"/>
                <w:numId w:val="669"/>
              </w:numPr>
              <w:spacing w:before="120" w:after="120"/>
              <w:ind w:left="702" w:hanging="534"/>
              <w:rPr>
                <w:rFonts w:cs="Arial"/>
              </w:rPr>
            </w:pPr>
            <w:r w:rsidRPr="00A67277">
              <w:rPr>
                <w:rFonts w:cs="Arial"/>
              </w:rPr>
              <w:t>Ketentuan Lain-Lain</w:t>
            </w:r>
          </w:p>
        </w:tc>
      </w:tr>
      <w:tr w:rsidR="00923319" w:rsidRPr="00A67277" w14:paraId="0A1075F1" w14:textId="77777777" w:rsidTr="00923319">
        <w:tc>
          <w:tcPr>
            <w:tcW w:w="2496" w:type="pct"/>
            <w:shd w:val="clear" w:color="auto" w:fill="auto"/>
          </w:tcPr>
          <w:p w14:paraId="4AF68D2B"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Heading</w:t>
            </w:r>
          </w:p>
        </w:tc>
        <w:tc>
          <w:tcPr>
            <w:tcW w:w="141" w:type="pct"/>
            <w:shd w:val="clear" w:color="auto" w:fill="auto"/>
          </w:tcPr>
          <w:p w14:paraId="6F9295F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5911646"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Judul</w:t>
            </w:r>
          </w:p>
        </w:tc>
      </w:tr>
      <w:tr w:rsidR="00923319" w:rsidRPr="00A67277" w14:paraId="77077BE9" w14:textId="77777777" w:rsidTr="00923319">
        <w:tc>
          <w:tcPr>
            <w:tcW w:w="2496" w:type="pct"/>
            <w:shd w:val="clear" w:color="auto" w:fill="auto"/>
          </w:tcPr>
          <w:p w14:paraId="3489515A" w14:textId="77777777" w:rsidR="00923319" w:rsidRPr="00A67277" w:rsidRDefault="00923319" w:rsidP="00923319">
            <w:pPr>
              <w:pStyle w:val="Body2"/>
              <w:spacing w:before="120" w:after="120"/>
              <w:ind w:left="703"/>
              <w:rPr>
                <w:rFonts w:cs="Arial"/>
              </w:rPr>
            </w:pPr>
            <w:r w:rsidRPr="00A67277">
              <w:rPr>
                <w:rFonts w:cs="Arial"/>
              </w:rPr>
              <w:t>The heading in this Agreement is for convenience only and does not affect the IBE thereof.</w:t>
            </w:r>
          </w:p>
        </w:tc>
        <w:tc>
          <w:tcPr>
            <w:tcW w:w="141" w:type="pct"/>
            <w:shd w:val="clear" w:color="auto" w:fill="auto"/>
          </w:tcPr>
          <w:p w14:paraId="1302C96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CF4665A"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Judul dalam Perjanjian ini hanya untuk kenyamanan dan tidak berpengaruh terhadap interpretasi didalamnya.</w:t>
            </w:r>
          </w:p>
        </w:tc>
      </w:tr>
      <w:tr w:rsidR="00923319" w:rsidRPr="00A67277" w14:paraId="7A0C96A2" w14:textId="77777777" w:rsidTr="00923319">
        <w:tc>
          <w:tcPr>
            <w:tcW w:w="2496" w:type="pct"/>
            <w:shd w:val="clear" w:color="auto" w:fill="auto"/>
          </w:tcPr>
          <w:p w14:paraId="7529852A"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Assignment</w:t>
            </w:r>
          </w:p>
        </w:tc>
        <w:tc>
          <w:tcPr>
            <w:tcW w:w="141" w:type="pct"/>
            <w:shd w:val="clear" w:color="auto" w:fill="auto"/>
          </w:tcPr>
          <w:p w14:paraId="54E68F46"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C134360"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Pengalihan</w:t>
            </w:r>
          </w:p>
        </w:tc>
      </w:tr>
      <w:tr w:rsidR="00923319" w:rsidRPr="00A67277" w14:paraId="3F2EC162" w14:textId="77777777" w:rsidTr="00923319">
        <w:tc>
          <w:tcPr>
            <w:tcW w:w="2496" w:type="pct"/>
            <w:shd w:val="clear" w:color="auto" w:fill="auto"/>
          </w:tcPr>
          <w:p w14:paraId="4FFBC01C" w14:textId="77777777" w:rsidR="00923319" w:rsidRPr="00A67277" w:rsidRDefault="00923319" w:rsidP="00923319">
            <w:pPr>
              <w:pStyle w:val="Body2"/>
              <w:spacing w:before="120" w:after="120"/>
              <w:ind w:left="703"/>
              <w:rPr>
                <w:rFonts w:cs="Arial"/>
              </w:rPr>
            </w:pPr>
            <w:r w:rsidRPr="00A67277">
              <w:rPr>
                <w:rFonts w:cs="Arial"/>
              </w:rPr>
              <w:t>This Agreement shall be binding on and applicable to the benefits and may be exercised by each successor and assignee of the Parties, provided that, unless otherwise provided, no Sponsor or IBE may transfer or assign any rights and obligations under this Agreement without prior written approval from GCA.</w:t>
            </w:r>
          </w:p>
        </w:tc>
        <w:tc>
          <w:tcPr>
            <w:tcW w:w="141" w:type="pct"/>
            <w:shd w:val="clear" w:color="auto" w:fill="auto"/>
          </w:tcPr>
          <w:p w14:paraId="0805C45F"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04B2DF4"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Perjanjian ini mengikat terhadap dan berlaku terhadap manfaat dan dapat diterapkan oleh masing-masing penerus dan penerima pengalihan dari Para Pihak, dengan ketentuan, kecuali ditentukan lain tidak ada Sponsor atau BUP yang dapat mengalihkan atau mentransfer setiap hak dan kewajibannya berdasarkan Perjanjian ini tanpa persetujuan tertulis PJPK sebelumnya.</w:t>
            </w:r>
          </w:p>
        </w:tc>
      </w:tr>
      <w:tr w:rsidR="00923319" w:rsidRPr="00A67277" w14:paraId="0173B4A9" w14:textId="77777777" w:rsidTr="00923319">
        <w:tc>
          <w:tcPr>
            <w:tcW w:w="2496" w:type="pct"/>
            <w:shd w:val="clear" w:color="auto" w:fill="auto"/>
          </w:tcPr>
          <w:p w14:paraId="7FBD9AF9"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Severability of Obligation</w:t>
            </w:r>
          </w:p>
        </w:tc>
        <w:tc>
          <w:tcPr>
            <w:tcW w:w="141" w:type="pct"/>
            <w:shd w:val="clear" w:color="auto" w:fill="auto"/>
          </w:tcPr>
          <w:p w14:paraId="27EF428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0D75F67"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Keterpisahan Kewajiban</w:t>
            </w:r>
          </w:p>
        </w:tc>
      </w:tr>
      <w:tr w:rsidR="00923319" w:rsidRPr="00A67277" w14:paraId="1A1B69B6" w14:textId="77777777" w:rsidTr="00923319">
        <w:tc>
          <w:tcPr>
            <w:tcW w:w="2496" w:type="pct"/>
            <w:shd w:val="clear" w:color="auto" w:fill="auto"/>
          </w:tcPr>
          <w:p w14:paraId="4EE65A63" w14:textId="77777777" w:rsidR="00923319" w:rsidRPr="00A67277" w:rsidRDefault="00923319" w:rsidP="00923319">
            <w:pPr>
              <w:pStyle w:val="Body2"/>
              <w:spacing w:before="120" w:after="120"/>
              <w:ind w:left="703"/>
              <w:rPr>
                <w:rFonts w:cs="Arial"/>
              </w:rPr>
            </w:pPr>
            <w:r w:rsidRPr="00A67277">
              <w:rPr>
                <w:rFonts w:cs="Arial"/>
              </w:rPr>
              <w:t>The obligations of each Sponsor under this Agreement are separate and not merged or together.</w:t>
            </w:r>
          </w:p>
        </w:tc>
        <w:tc>
          <w:tcPr>
            <w:tcW w:w="141" w:type="pct"/>
            <w:shd w:val="clear" w:color="auto" w:fill="auto"/>
          </w:tcPr>
          <w:p w14:paraId="76265B2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883247C"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Kewajiban masing-masing Sponsor berdasarkan Perjanjian ini adalah terpisah dan tidak tergabung atau bersama-sama.</w:t>
            </w:r>
          </w:p>
        </w:tc>
      </w:tr>
      <w:tr w:rsidR="00923319" w:rsidRPr="00A67277" w14:paraId="6538D30A" w14:textId="77777777" w:rsidTr="00923319">
        <w:tc>
          <w:tcPr>
            <w:tcW w:w="2496" w:type="pct"/>
            <w:shd w:val="clear" w:color="auto" w:fill="auto"/>
          </w:tcPr>
          <w:p w14:paraId="28B33B98"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Entire Agreement</w:t>
            </w:r>
          </w:p>
        </w:tc>
        <w:tc>
          <w:tcPr>
            <w:tcW w:w="141" w:type="pct"/>
            <w:shd w:val="clear" w:color="auto" w:fill="auto"/>
          </w:tcPr>
          <w:p w14:paraId="7F01ECD7"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7E7DDE8"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Keseluruhan Perjanjian</w:t>
            </w:r>
          </w:p>
        </w:tc>
      </w:tr>
      <w:tr w:rsidR="00923319" w:rsidRPr="00A67277" w14:paraId="13C5011E" w14:textId="77777777" w:rsidTr="00923319">
        <w:tc>
          <w:tcPr>
            <w:tcW w:w="2496" w:type="pct"/>
            <w:shd w:val="clear" w:color="auto" w:fill="auto"/>
          </w:tcPr>
          <w:p w14:paraId="50050498"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 xml:space="preserve">This Agreement (when read in conjunction with the Cooperation Agreement) contains or expressly refers to the entire agreement between the parties with respect to certain </w:t>
            </w:r>
            <w:r w:rsidRPr="00A67277">
              <w:rPr>
                <w:rFonts w:cs="Arial"/>
                <w:lang w:val="id-ID"/>
              </w:rPr>
              <w:t>subjects</w:t>
            </w:r>
            <w:r w:rsidRPr="00A67277">
              <w:rPr>
                <w:rFonts w:cs="Arial"/>
              </w:rPr>
              <w:t xml:space="preserve"> of this Agreement and expressly excludes any warranties, conditions or other promises implied by the Law or by making and substituting all prior agreements and understanding between the parties in connection therewith and each party acknowledges and affirms that the party has not sign this Agreement </w:t>
            </w:r>
            <w:r w:rsidRPr="00A67277">
              <w:rPr>
                <w:rFonts w:cs="Arial"/>
                <w:lang w:val="id-ID"/>
              </w:rPr>
              <w:t>by relying upon</w:t>
            </w:r>
            <w:r w:rsidRPr="00A67277">
              <w:rPr>
                <w:rFonts w:cs="Arial"/>
              </w:rPr>
              <w:t xml:space="preserve"> any representations, warranties or other business</w:t>
            </w:r>
            <w:r w:rsidRPr="00A67277">
              <w:rPr>
                <w:rFonts w:cs="Arial"/>
                <w:lang w:val="id-ID"/>
              </w:rPr>
              <w:t xml:space="preserve"> which are</w:t>
            </w:r>
            <w:r w:rsidRPr="00A67277">
              <w:rPr>
                <w:rFonts w:cs="Arial"/>
              </w:rPr>
              <w:t xml:space="preserve"> not </w:t>
            </w:r>
            <w:r w:rsidRPr="00A67277">
              <w:rPr>
                <w:rFonts w:cs="Arial"/>
                <w:lang w:val="id-ID"/>
              </w:rPr>
              <w:t>expressly</w:t>
            </w:r>
            <w:r w:rsidRPr="00A67277">
              <w:rPr>
                <w:rFonts w:cs="Arial"/>
              </w:rPr>
              <w:t xml:space="preserve"> reflected in the terms of this Agreement.</w:t>
            </w:r>
          </w:p>
        </w:tc>
        <w:tc>
          <w:tcPr>
            <w:tcW w:w="141" w:type="pct"/>
            <w:shd w:val="clear" w:color="auto" w:fill="auto"/>
          </w:tcPr>
          <w:p w14:paraId="6B8E0C83"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438300DD" w14:textId="77777777" w:rsidR="00923319" w:rsidRPr="00A67277" w:rsidRDefault="00923319" w:rsidP="00923319">
            <w:pPr>
              <w:pStyle w:val="ListParagraph"/>
              <w:numPr>
                <w:ilvl w:val="0"/>
                <w:numId w:val="676"/>
              </w:numPr>
              <w:spacing w:before="120" w:after="120"/>
              <w:ind w:left="1242" w:hanging="540"/>
              <w:rPr>
                <w:rFonts w:cs="Arial"/>
              </w:rPr>
            </w:pPr>
            <w:r w:rsidRPr="00A67277">
              <w:rPr>
                <w:rFonts w:cs="Arial"/>
              </w:rPr>
              <w:t>Perjanjian ini (ketika dibaca bersama-sama dengan Perjanjian Kerjasama) berisi atau tegas mengacu pada keseluruhan perjanjian antara para pihak sehubungan dengan materi tertentu Perjanjian ini dan secara tegas mengecualikan setiap jaminan, kondisi atau janji  lain yang tersirat dari Hukum atau dengan membuat dan menggantikan semua perjanjian sebelumnya dan pemahaman antara para pihak sehubungan dengan hal tersebut dan masing-masing pihak mengakui dan menegaskan bahwa pihak tersebut tidak menandatangani Perjanjian ini dengan bergantung pada setiap pernyataan, jaminan atau usaha lainnya yang tidak sepenuhnya tercermin dalam ketentuan Perjanjian ini.</w:t>
            </w:r>
          </w:p>
        </w:tc>
      </w:tr>
      <w:tr w:rsidR="00923319" w:rsidRPr="00A67277" w14:paraId="335CB51A" w14:textId="77777777" w:rsidTr="00923319">
        <w:tc>
          <w:tcPr>
            <w:tcW w:w="2496" w:type="pct"/>
            <w:shd w:val="clear" w:color="auto" w:fill="auto"/>
          </w:tcPr>
          <w:p w14:paraId="07C8A5C8"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Nothing in this Agreement is intended to or should be exercised to exclude or limit liability upon fraud or miss</w:t>
            </w:r>
            <w:r w:rsidRPr="00A67277">
              <w:rPr>
                <w:rFonts w:cs="Arial"/>
                <w:lang w:val="id-ID"/>
              </w:rPr>
              <w:t>representation</w:t>
            </w:r>
            <w:r w:rsidRPr="00A67277">
              <w:rPr>
                <w:rFonts w:cs="Arial"/>
              </w:rPr>
              <w:t>.</w:t>
            </w:r>
          </w:p>
        </w:tc>
        <w:tc>
          <w:tcPr>
            <w:tcW w:w="141" w:type="pct"/>
            <w:shd w:val="clear" w:color="auto" w:fill="auto"/>
          </w:tcPr>
          <w:p w14:paraId="378CA0E1"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904AC8F" w14:textId="77777777" w:rsidR="00923319" w:rsidRPr="00A67277" w:rsidRDefault="00923319" w:rsidP="00923319">
            <w:pPr>
              <w:pStyle w:val="ListParagraph"/>
              <w:numPr>
                <w:ilvl w:val="0"/>
                <w:numId w:val="676"/>
              </w:numPr>
              <w:spacing w:before="120" w:after="120"/>
              <w:ind w:left="1242" w:hanging="540"/>
              <w:rPr>
                <w:rFonts w:cs="Arial"/>
              </w:rPr>
            </w:pPr>
            <w:r w:rsidRPr="00A67277">
              <w:rPr>
                <w:rFonts w:cs="Arial"/>
              </w:rPr>
              <w:t>Tidak ada dalam Perjanjian ini dimaksudkan untuk atau harus dilaksanakan untuk mengecualikan atau membatasi tanggung jawab atas penipuan atau pemberian informasi yang keliru.</w:t>
            </w:r>
          </w:p>
        </w:tc>
      </w:tr>
      <w:tr w:rsidR="00923319" w:rsidRPr="00A67277" w14:paraId="1CF1884B" w14:textId="77777777" w:rsidTr="00923319">
        <w:tc>
          <w:tcPr>
            <w:tcW w:w="2496" w:type="pct"/>
            <w:shd w:val="clear" w:color="auto" w:fill="auto"/>
          </w:tcPr>
          <w:p w14:paraId="069C8768"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Waiver</w:t>
            </w:r>
          </w:p>
        </w:tc>
        <w:tc>
          <w:tcPr>
            <w:tcW w:w="141" w:type="pct"/>
            <w:shd w:val="clear" w:color="auto" w:fill="auto"/>
          </w:tcPr>
          <w:p w14:paraId="3E0355E8"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10376CE"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Pengesampingan</w:t>
            </w:r>
          </w:p>
        </w:tc>
      </w:tr>
      <w:tr w:rsidR="00923319" w:rsidRPr="00A67277" w14:paraId="60B145F6" w14:textId="77777777" w:rsidTr="00923319">
        <w:tc>
          <w:tcPr>
            <w:tcW w:w="2496" w:type="pct"/>
            <w:shd w:val="clear" w:color="auto" w:fill="auto"/>
          </w:tcPr>
          <w:p w14:paraId="79065559" w14:textId="77777777" w:rsidR="00923319" w:rsidRPr="00A67277" w:rsidRDefault="00923319" w:rsidP="00923319">
            <w:pPr>
              <w:pStyle w:val="Body2"/>
              <w:spacing w:before="120" w:after="120"/>
              <w:ind w:left="703"/>
              <w:rPr>
                <w:rFonts w:cs="Arial"/>
              </w:rPr>
            </w:pPr>
            <w:r w:rsidRPr="00A67277">
              <w:rPr>
                <w:rFonts w:cs="Arial"/>
              </w:rPr>
              <w:t xml:space="preserve">No Party shall be deemed to have excluded any right under this Agreement, unless that Party communicates to another Party a written waiver signed by the </w:t>
            </w:r>
            <w:r w:rsidRPr="00A67277">
              <w:rPr>
                <w:rFonts w:cs="Arial"/>
                <w:lang w:val="id-ID"/>
              </w:rPr>
              <w:t>authorized representative</w:t>
            </w:r>
            <w:r w:rsidRPr="00A67277">
              <w:rPr>
                <w:rFonts w:cs="Arial"/>
              </w:rPr>
              <w:t xml:space="preserve"> of the dismissing party. There shall be no delay or omission in conducting any </w:t>
            </w:r>
            <w:r w:rsidRPr="00A67277">
              <w:rPr>
                <w:rFonts w:cs="Arial"/>
                <w:lang w:val="id-ID"/>
              </w:rPr>
              <w:t>power</w:t>
            </w:r>
            <w:r w:rsidRPr="00A67277">
              <w:rPr>
                <w:rFonts w:cs="Arial"/>
              </w:rPr>
              <w:t xml:space="preserve"> or remedy interpreted as a waiver of any breach of appointment or omission therein.</w:t>
            </w:r>
          </w:p>
        </w:tc>
        <w:tc>
          <w:tcPr>
            <w:tcW w:w="141" w:type="pct"/>
            <w:shd w:val="clear" w:color="auto" w:fill="auto"/>
          </w:tcPr>
          <w:p w14:paraId="030528B4"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77F72E1F"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Tidak ada Pihak yang dianggap telah mengenyampingkan setiap hak berdasarkan Perjanjian ini, kecuali Pihak tersebut menyampaikan untuk Pihak lain pengenyampingan tertulis yang ditandatangani oleh pejabat yang berwenang dari Pihak yang mengenyampingkan. Tidak terdapat penundaan atau kelalaian dalam melakukan setiap kewenangan atau perbaikan yang ditafsirkan sebagai suatu pengenyampingan dari setiap cidera janji atau pembiaran didalamnya.</w:t>
            </w:r>
          </w:p>
        </w:tc>
      </w:tr>
      <w:tr w:rsidR="00923319" w:rsidRPr="00A67277" w14:paraId="48CBE766" w14:textId="77777777" w:rsidTr="00923319">
        <w:tc>
          <w:tcPr>
            <w:tcW w:w="2496" w:type="pct"/>
            <w:shd w:val="clear" w:color="auto" w:fill="auto"/>
          </w:tcPr>
          <w:p w14:paraId="0BD5D21A"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Severability</w:t>
            </w:r>
          </w:p>
        </w:tc>
        <w:tc>
          <w:tcPr>
            <w:tcW w:w="141" w:type="pct"/>
            <w:shd w:val="clear" w:color="auto" w:fill="auto"/>
          </w:tcPr>
          <w:p w14:paraId="24E9D9DB"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A57790E"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Keterpisahan</w:t>
            </w:r>
          </w:p>
        </w:tc>
      </w:tr>
      <w:tr w:rsidR="00923319" w:rsidRPr="00A67277" w14:paraId="16D71E9B" w14:textId="77777777" w:rsidTr="00923319">
        <w:tc>
          <w:tcPr>
            <w:tcW w:w="2496" w:type="pct"/>
            <w:shd w:val="clear" w:color="auto" w:fill="auto"/>
          </w:tcPr>
          <w:p w14:paraId="517921AD" w14:textId="77777777" w:rsidR="00923319" w:rsidRPr="00A67277" w:rsidRDefault="00923319" w:rsidP="00923319">
            <w:pPr>
              <w:pStyle w:val="Body2"/>
              <w:spacing w:before="120" w:after="120"/>
              <w:ind w:left="703"/>
              <w:rPr>
                <w:rFonts w:cs="Arial"/>
              </w:rPr>
            </w:pPr>
            <w:r w:rsidRPr="00A67277">
              <w:rPr>
                <w:rFonts w:cs="Arial"/>
              </w:rPr>
              <w:t xml:space="preserve">If any condition, article or provisions in this Agreement </w:t>
            </w:r>
            <w:r w:rsidRPr="00A67277">
              <w:rPr>
                <w:rFonts w:cs="Arial"/>
                <w:lang w:val="id-ID"/>
              </w:rPr>
              <w:t xml:space="preserve">which </w:t>
            </w:r>
            <w:r w:rsidRPr="00A67277">
              <w:rPr>
                <w:rFonts w:cs="Arial"/>
              </w:rPr>
              <w:t xml:space="preserve">is not </w:t>
            </w:r>
            <w:r w:rsidRPr="00A67277">
              <w:rPr>
                <w:rFonts w:cs="Arial"/>
                <w:lang w:val="id-ID"/>
              </w:rPr>
              <w:t>fundamental</w:t>
            </w:r>
            <w:r w:rsidRPr="00A67277">
              <w:rPr>
                <w:rFonts w:cs="Arial"/>
              </w:rPr>
              <w:t xml:space="preserve">, </w:t>
            </w:r>
            <w:r w:rsidRPr="00A67277">
              <w:rPr>
                <w:rFonts w:cs="Arial"/>
                <w:lang w:val="id-ID"/>
              </w:rPr>
              <w:t xml:space="preserve">is </w:t>
            </w:r>
            <w:r w:rsidRPr="00A67277">
              <w:rPr>
                <w:rFonts w:cs="Arial"/>
              </w:rPr>
              <w:t xml:space="preserve">deemed </w:t>
            </w:r>
            <w:r w:rsidRPr="00A67277">
              <w:rPr>
                <w:rFonts w:cs="Arial"/>
                <w:lang w:val="id-ID"/>
              </w:rPr>
              <w:t xml:space="preserve">to be </w:t>
            </w:r>
            <w:r w:rsidRPr="00A67277">
              <w:rPr>
                <w:rFonts w:cs="Arial"/>
              </w:rPr>
              <w:t>illegal or unenforceable, the validity or enforceability of any other provisi</w:t>
            </w:r>
            <w:r w:rsidRPr="00A67277">
              <w:rPr>
                <w:rFonts w:cs="Arial"/>
                <w:lang w:val="id-ID"/>
              </w:rPr>
              <w:t>o</w:t>
            </w:r>
            <w:r w:rsidRPr="00A67277">
              <w:rPr>
                <w:rFonts w:cs="Arial"/>
              </w:rPr>
              <w:t>n of this Agreement shall not be affected.</w:t>
            </w:r>
          </w:p>
        </w:tc>
        <w:tc>
          <w:tcPr>
            <w:tcW w:w="141" w:type="pct"/>
            <w:shd w:val="clear" w:color="auto" w:fill="auto"/>
          </w:tcPr>
          <w:p w14:paraId="2F0DB9B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C9AB9CF"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Jika setiap kondisi, pasal atau ketentuan dalam Perjanjian ini tidak bersifat fundamental, yang dianggap ilegal atau tidak dapat diberlakukan, keabsahan atau keberlakukan ketentuan lain dari Perjanjian ini tidak akan dipengaruhi hal tersebut.</w:t>
            </w:r>
          </w:p>
        </w:tc>
      </w:tr>
      <w:tr w:rsidR="00923319" w:rsidRPr="00A67277" w14:paraId="6BD24FF6" w14:textId="77777777" w:rsidTr="00923319">
        <w:tc>
          <w:tcPr>
            <w:tcW w:w="2496" w:type="pct"/>
            <w:shd w:val="clear" w:color="auto" w:fill="auto"/>
          </w:tcPr>
          <w:p w14:paraId="55BDE312"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Costs and Expenses</w:t>
            </w:r>
          </w:p>
        </w:tc>
        <w:tc>
          <w:tcPr>
            <w:tcW w:w="141" w:type="pct"/>
            <w:shd w:val="clear" w:color="auto" w:fill="auto"/>
          </w:tcPr>
          <w:p w14:paraId="70BCFD4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D4E9C63"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Biaya dan Pengeluaran</w:t>
            </w:r>
          </w:p>
        </w:tc>
      </w:tr>
      <w:tr w:rsidR="00923319" w:rsidRPr="00A67277" w14:paraId="637F1772" w14:textId="77777777" w:rsidTr="00923319">
        <w:tc>
          <w:tcPr>
            <w:tcW w:w="2496" w:type="pct"/>
            <w:shd w:val="clear" w:color="auto" w:fill="auto"/>
          </w:tcPr>
          <w:p w14:paraId="7E5293F0" w14:textId="77777777" w:rsidR="00923319" w:rsidRPr="00A67277" w:rsidRDefault="00923319" w:rsidP="00923319">
            <w:pPr>
              <w:pStyle w:val="Body2"/>
              <w:spacing w:before="120" w:after="120"/>
              <w:ind w:left="703"/>
              <w:rPr>
                <w:rFonts w:cs="Arial"/>
              </w:rPr>
            </w:pPr>
            <w:r w:rsidRPr="00A67277">
              <w:rPr>
                <w:rFonts w:cs="Arial"/>
              </w:rPr>
              <w:t>Except otherwise provided in this Agreement, each party shall be responsible for paying its costs and expenses in connection with the negotiation, preparation and implementation of this Agreement.</w:t>
            </w:r>
          </w:p>
        </w:tc>
        <w:tc>
          <w:tcPr>
            <w:tcW w:w="141" w:type="pct"/>
            <w:shd w:val="clear" w:color="auto" w:fill="auto"/>
          </w:tcPr>
          <w:p w14:paraId="41025CE4"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12B276AA"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Kecuali diatur secara rinci berdasarkan Perjanjian ini, setiap Pihak harus bertanggung jawab untuk membayar biaya dan pengeluaran miliknya sehubungan dengan negosiasi, persiapan dan pelaksanaan Perjanjian ini.</w:t>
            </w:r>
          </w:p>
        </w:tc>
      </w:tr>
      <w:tr w:rsidR="00923319" w:rsidRPr="00A67277" w14:paraId="567ABFD4" w14:textId="77777777" w:rsidTr="00923319">
        <w:tc>
          <w:tcPr>
            <w:tcW w:w="2496" w:type="pct"/>
            <w:shd w:val="clear" w:color="auto" w:fill="auto"/>
          </w:tcPr>
          <w:p w14:paraId="1DB35964"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Amendment</w:t>
            </w:r>
          </w:p>
        </w:tc>
        <w:tc>
          <w:tcPr>
            <w:tcW w:w="141" w:type="pct"/>
            <w:shd w:val="clear" w:color="auto" w:fill="auto"/>
          </w:tcPr>
          <w:p w14:paraId="0479172A"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47A64D3"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Perubahan</w:t>
            </w:r>
          </w:p>
        </w:tc>
      </w:tr>
      <w:tr w:rsidR="00923319" w:rsidRPr="00A67277" w14:paraId="616DC634" w14:textId="77777777" w:rsidTr="00923319">
        <w:tc>
          <w:tcPr>
            <w:tcW w:w="2496" w:type="pct"/>
            <w:shd w:val="clear" w:color="auto" w:fill="auto"/>
          </w:tcPr>
          <w:p w14:paraId="3E1E054D" w14:textId="77777777" w:rsidR="00923319" w:rsidRPr="00A67277" w:rsidRDefault="00923319" w:rsidP="00923319">
            <w:pPr>
              <w:pStyle w:val="Body2"/>
              <w:spacing w:before="120" w:after="120"/>
              <w:ind w:left="703"/>
              <w:rPr>
                <w:rFonts w:cs="Arial"/>
              </w:rPr>
            </w:pPr>
            <w:r w:rsidRPr="00A67277">
              <w:rPr>
                <w:rFonts w:cs="Arial"/>
              </w:rPr>
              <w:t>No amendment of this Agreement shall become binding unless</w:t>
            </w:r>
            <w:r w:rsidRPr="00A67277">
              <w:rPr>
                <w:rFonts w:cs="Arial"/>
                <w:lang w:val="id-ID"/>
              </w:rPr>
              <w:t xml:space="preserve"> made</w:t>
            </w:r>
            <w:r w:rsidRPr="00A67277">
              <w:rPr>
                <w:rFonts w:cs="Arial"/>
              </w:rPr>
              <w:t xml:space="preserve"> in writing and signed by authorized representative of the Parties.</w:t>
            </w:r>
          </w:p>
        </w:tc>
        <w:tc>
          <w:tcPr>
            <w:tcW w:w="141" w:type="pct"/>
            <w:shd w:val="clear" w:color="auto" w:fill="auto"/>
          </w:tcPr>
          <w:p w14:paraId="20BE3A49"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CCEB7CB" w14:textId="77777777" w:rsidR="00923319" w:rsidRPr="00A67277" w:rsidRDefault="00923319" w:rsidP="00923319">
            <w:pPr>
              <w:spacing w:before="120" w:after="120"/>
              <w:ind w:left="702"/>
              <w:jc w:val="both"/>
              <w:rPr>
                <w:rFonts w:ascii="Arial" w:hAnsi="Arial" w:cs="Arial"/>
                <w:sz w:val="21"/>
                <w:szCs w:val="21"/>
              </w:rPr>
            </w:pPr>
            <w:r w:rsidRPr="00A67277">
              <w:rPr>
                <w:rFonts w:ascii="Arial" w:hAnsi="Arial" w:cs="Arial"/>
                <w:sz w:val="21"/>
                <w:szCs w:val="21"/>
              </w:rPr>
              <w:t>Tidak ada perubahan Perjanjian ini menjadi mengikat kecuali secara tertulis dan ditandatangani oleh wakil Para Pihak yang memiliki kewenangan.</w:t>
            </w:r>
          </w:p>
        </w:tc>
      </w:tr>
      <w:tr w:rsidR="00923319" w:rsidRPr="00A67277" w14:paraId="3249FBD6" w14:textId="77777777" w:rsidTr="00923319">
        <w:tc>
          <w:tcPr>
            <w:tcW w:w="2496" w:type="pct"/>
            <w:shd w:val="clear" w:color="auto" w:fill="auto"/>
          </w:tcPr>
          <w:p w14:paraId="4B59A277"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Applicable Law and Dispute Resolution</w:t>
            </w:r>
          </w:p>
        </w:tc>
        <w:tc>
          <w:tcPr>
            <w:tcW w:w="141" w:type="pct"/>
            <w:shd w:val="clear" w:color="auto" w:fill="auto"/>
          </w:tcPr>
          <w:p w14:paraId="48BA8672"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6C4ADBD" w14:textId="77777777" w:rsidR="00923319" w:rsidRPr="00A67277" w:rsidRDefault="00923319" w:rsidP="00923319">
            <w:pPr>
              <w:pStyle w:val="ListParagraph"/>
              <w:numPr>
                <w:ilvl w:val="1"/>
                <w:numId w:val="669"/>
              </w:numPr>
              <w:spacing w:before="120" w:after="120"/>
              <w:ind w:left="702" w:hanging="540"/>
              <w:rPr>
                <w:rFonts w:cs="Arial"/>
                <w:lang w:val="de-DE"/>
              </w:rPr>
            </w:pPr>
            <w:r w:rsidRPr="00A67277">
              <w:rPr>
                <w:rFonts w:cs="Arial"/>
                <w:lang w:val="de-DE"/>
              </w:rPr>
              <w:t>Hukum Yang Berlaku dan Penyelesaian Sengketa</w:t>
            </w:r>
          </w:p>
        </w:tc>
      </w:tr>
      <w:tr w:rsidR="00923319" w:rsidRPr="00A67277" w14:paraId="0FECC59A" w14:textId="77777777" w:rsidTr="00923319">
        <w:tc>
          <w:tcPr>
            <w:tcW w:w="2496" w:type="pct"/>
            <w:shd w:val="clear" w:color="auto" w:fill="auto"/>
          </w:tcPr>
          <w:p w14:paraId="5B4F01DB"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This Agreement shall be governed by and construed in all respects in accordance with Indonesian Law.</w:t>
            </w:r>
          </w:p>
        </w:tc>
        <w:tc>
          <w:tcPr>
            <w:tcW w:w="141" w:type="pct"/>
            <w:shd w:val="clear" w:color="auto" w:fill="auto"/>
          </w:tcPr>
          <w:p w14:paraId="0107027C"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04F6ECF2" w14:textId="77777777" w:rsidR="00923319" w:rsidRPr="00A67277" w:rsidRDefault="00923319" w:rsidP="00923319">
            <w:pPr>
              <w:pStyle w:val="ListParagraph"/>
              <w:numPr>
                <w:ilvl w:val="0"/>
                <w:numId w:val="677"/>
              </w:numPr>
              <w:spacing w:before="120" w:after="120"/>
              <w:ind w:left="1242" w:hanging="507"/>
              <w:rPr>
                <w:rFonts w:cs="Arial"/>
              </w:rPr>
            </w:pPr>
            <w:r w:rsidRPr="00A67277">
              <w:rPr>
                <w:rFonts w:cs="Arial"/>
              </w:rPr>
              <w:t>Perjanjian ini diatur oleh dan ditafsirkan dalam segala hal sesuai dengan Hukum Indonesia.</w:t>
            </w:r>
          </w:p>
        </w:tc>
      </w:tr>
      <w:tr w:rsidR="00923319" w:rsidRPr="00A67277" w14:paraId="7EDE26BB" w14:textId="77777777" w:rsidTr="00923319">
        <w:tc>
          <w:tcPr>
            <w:tcW w:w="2496" w:type="pct"/>
            <w:shd w:val="clear" w:color="auto" w:fill="auto"/>
          </w:tcPr>
          <w:p w14:paraId="09656113"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All disputes shall be settled in accordance with the equivalent terms (</w:t>
            </w:r>
            <w:r w:rsidRPr="00A67277">
              <w:rPr>
                <w:rFonts w:cs="Arial"/>
                <w:i/>
              </w:rPr>
              <w:t>mutatis mutandis</w:t>
            </w:r>
            <w:r w:rsidRPr="00A67277">
              <w:rPr>
                <w:rFonts w:cs="Arial"/>
              </w:rPr>
              <w:t>) with the procedure of dispute resolution as provided in Article 28 (</w:t>
            </w:r>
            <w:r w:rsidRPr="00A67277">
              <w:rPr>
                <w:rFonts w:cs="Arial"/>
                <w:i/>
              </w:rPr>
              <w:t>Settlement of Dispute</w:t>
            </w:r>
            <w:r w:rsidRPr="00A67277">
              <w:rPr>
                <w:rFonts w:cs="Arial"/>
              </w:rPr>
              <w:t>) of Cooperation Agreement. The Parties shall cooperate to facilitate appropriately, fairly, prompt and economic resolution of any and all such disputes arising under this Agreement.</w:t>
            </w:r>
          </w:p>
        </w:tc>
        <w:tc>
          <w:tcPr>
            <w:tcW w:w="141" w:type="pct"/>
            <w:shd w:val="clear" w:color="auto" w:fill="auto"/>
          </w:tcPr>
          <w:p w14:paraId="1149CBFC"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723436A" w14:textId="77777777" w:rsidR="00923319" w:rsidRPr="00A67277" w:rsidRDefault="00923319" w:rsidP="00923319">
            <w:pPr>
              <w:pStyle w:val="ListParagraph"/>
              <w:numPr>
                <w:ilvl w:val="0"/>
                <w:numId w:val="677"/>
              </w:numPr>
              <w:spacing w:before="120" w:after="120"/>
              <w:ind w:left="1242" w:hanging="507"/>
              <w:rPr>
                <w:rFonts w:cs="Arial"/>
              </w:rPr>
            </w:pPr>
            <w:r w:rsidRPr="00A67277">
              <w:rPr>
                <w:rFonts w:cs="Arial"/>
              </w:rPr>
              <w:t>Semua sengketa harus diselesaikan sesuai dengan syarat yang setara (</w:t>
            </w:r>
            <w:r w:rsidRPr="00A67277">
              <w:rPr>
                <w:rFonts w:cs="Arial"/>
                <w:i/>
              </w:rPr>
              <w:t>mutatis mutandis</w:t>
            </w:r>
            <w:r w:rsidRPr="00A67277">
              <w:rPr>
                <w:rFonts w:cs="Arial"/>
              </w:rPr>
              <w:t>) dengan prosedur penyelesaian sengketa sebagaimana diatur dalam Pasal 28 (</w:t>
            </w:r>
            <w:r w:rsidRPr="00A67277">
              <w:rPr>
                <w:rFonts w:cs="Arial"/>
                <w:i/>
              </w:rPr>
              <w:t>Penyelesaian Sengketa</w:t>
            </w:r>
            <w:r w:rsidRPr="00A67277">
              <w:rPr>
                <w:rFonts w:cs="Arial"/>
              </w:rPr>
              <w:t>) dari Perjanjian Kerjasama. Para Pihak harus bekerjasama untuk memfasilitasi secara tepat, adil, resolusi ekonomis dan cepat dari setiap dan semua sengketa tersebut yang timbul berdasarkan Perjanjian ini.</w:t>
            </w:r>
          </w:p>
        </w:tc>
      </w:tr>
      <w:tr w:rsidR="00923319" w:rsidRPr="00A67277" w14:paraId="6D7C7FEA" w14:textId="77777777" w:rsidTr="00923319">
        <w:tc>
          <w:tcPr>
            <w:tcW w:w="2496" w:type="pct"/>
            <w:shd w:val="clear" w:color="auto" w:fill="auto"/>
          </w:tcPr>
          <w:p w14:paraId="2B80D590" w14:textId="77777777" w:rsidR="00923319" w:rsidRPr="00A67277" w:rsidRDefault="00923319" w:rsidP="00923319">
            <w:pPr>
              <w:pStyle w:val="SchNumber3"/>
              <w:numPr>
                <w:ilvl w:val="4"/>
                <w:numId w:val="613"/>
              </w:numPr>
              <w:tabs>
                <w:tab w:val="clear" w:pos="1418"/>
                <w:tab w:val="num" w:pos="1298"/>
              </w:tabs>
              <w:spacing w:before="120" w:after="120"/>
              <w:ind w:left="1298" w:hanging="595"/>
              <w:rPr>
                <w:rFonts w:cs="Arial"/>
              </w:rPr>
            </w:pPr>
            <w:r w:rsidRPr="00A67277">
              <w:rPr>
                <w:rFonts w:cs="Arial"/>
              </w:rPr>
              <w:t>The Parties hereby exclude the provisions of Article 1266 and 1267 of Indonesian Civil Code in connection with the termination of this Agreement provided that such waiver are necessary to enable the termination of this Agreement in accordance with its provisions without the need for court approval.</w:t>
            </w:r>
          </w:p>
        </w:tc>
        <w:tc>
          <w:tcPr>
            <w:tcW w:w="141" w:type="pct"/>
            <w:shd w:val="clear" w:color="auto" w:fill="auto"/>
          </w:tcPr>
          <w:p w14:paraId="088DB21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EF58F05" w14:textId="77777777" w:rsidR="00923319" w:rsidRPr="00A67277" w:rsidRDefault="00923319" w:rsidP="00923319">
            <w:pPr>
              <w:pStyle w:val="ListParagraph"/>
              <w:numPr>
                <w:ilvl w:val="0"/>
                <w:numId w:val="677"/>
              </w:numPr>
              <w:spacing w:before="120" w:after="120"/>
              <w:ind w:left="1242" w:hanging="507"/>
              <w:rPr>
                <w:rFonts w:cs="Arial"/>
              </w:rPr>
            </w:pPr>
            <w:r w:rsidRPr="00A67277">
              <w:rPr>
                <w:rFonts w:cs="Arial"/>
              </w:rPr>
              <w:t>Para Pihak dengan ini mengenyampingkan ketentuan Pasal 1266 dan 1267 dari Kitab Undang-Undang Hukum Perdata sehubungan dengan pengakhiran Perjanjian ini sepanjang pengenyampingan tersebut diperlukan untuk memungkinkan pengakhiran Perjanjian ini sesuai dengan ketentuannya tanpa diperlukannya persetujuan pengadilan.</w:t>
            </w:r>
          </w:p>
        </w:tc>
      </w:tr>
      <w:tr w:rsidR="00923319" w:rsidRPr="00A67277" w14:paraId="61CBB720" w14:textId="77777777" w:rsidTr="00923319">
        <w:tc>
          <w:tcPr>
            <w:tcW w:w="2496" w:type="pct"/>
            <w:shd w:val="clear" w:color="auto" w:fill="auto"/>
          </w:tcPr>
          <w:p w14:paraId="5C4430B0" w14:textId="77777777" w:rsidR="00923319" w:rsidRPr="00A67277" w:rsidRDefault="00923319" w:rsidP="00923319">
            <w:pPr>
              <w:pStyle w:val="SchNumber2"/>
              <w:numPr>
                <w:ilvl w:val="3"/>
                <w:numId w:val="613"/>
              </w:numPr>
              <w:spacing w:before="120" w:after="120"/>
              <w:ind w:left="703" w:hanging="703"/>
              <w:rPr>
                <w:rFonts w:cs="Arial"/>
              </w:rPr>
            </w:pPr>
            <w:r w:rsidRPr="00A67277">
              <w:rPr>
                <w:rFonts w:cs="Arial"/>
              </w:rPr>
              <w:t>Language</w:t>
            </w:r>
          </w:p>
        </w:tc>
        <w:tc>
          <w:tcPr>
            <w:tcW w:w="141" w:type="pct"/>
            <w:shd w:val="clear" w:color="auto" w:fill="auto"/>
          </w:tcPr>
          <w:p w14:paraId="3F0CB35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549F869" w14:textId="77777777" w:rsidR="00923319" w:rsidRPr="00A67277" w:rsidRDefault="00923319" w:rsidP="00923319">
            <w:pPr>
              <w:pStyle w:val="ListParagraph"/>
              <w:numPr>
                <w:ilvl w:val="1"/>
                <w:numId w:val="669"/>
              </w:numPr>
              <w:spacing w:before="120" w:after="120"/>
              <w:ind w:left="702" w:hanging="540"/>
              <w:rPr>
                <w:rFonts w:cs="Arial"/>
              </w:rPr>
            </w:pPr>
            <w:r w:rsidRPr="00A67277">
              <w:rPr>
                <w:rFonts w:cs="Arial"/>
              </w:rPr>
              <w:t>Bahasa</w:t>
            </w:r>
          </w:p>
        </w:tc>
      </w:tr>
      <w:tr w:rsidR="00923319" w:rsidRPr="00A67277" w14:paraId="70C46072" w14:textId="77777777" w:rsidTr="00923319">
        <w:tc>
          <w:tcPr>
            <w:tcW w:w="2496" w:type="pct"/>
            <w:shd w:val="clear" w:color="auto" w:fill="auto"/>
          </w:tcPr>
          <w:p w14:paraId="5F3D1E70" w14:textId="77777777" w:rsidR="00923319" w:rsidRPr="00A67277" w:rsidRDefault="00923319" w:rsidP="00923319">
            <w:pPr>
              <w:pStyle w:val="Body2"/>
              <w:spacing w:before="120" w:after="120"/>
              <w:ind w:left="703"/>
              <w:rPr>
                <w:rFonts w:cs="Arial"/>
              </w:rPr>
            </w:pPr>
            <w:r w:rsidRPr="00A67277">
              <w:rPr>
                <w:rFonts w:cs="Arial"/>
              </w:rPr>
              <w:t>This Agreement is made in Bahasa Indonesia and English versions. In the event of any conflict or discrepancy between the English version and the Bahasa Indonesia version of this Agreement, the Bahasa Indonesia version shall be applicable.</w:t>
            </w:r>
          </w:p>
        </w:tc>
        <w:tc>
          <w:tcPr>
            <w:tcW w:w="141" w:type="pct"/>
            <w:shd w:val="clear" w:color="auto" w:fill="auto"/>
          </w:tcPr>
          <w:p w14:paraId="46C5AA6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826BA43" w14:textId="77777777" w:rsidR="00923319" w:rsidRPr="00A67277" w:rsidRDefault="00923319" w:rsidP="00923319">
            <w:pPr>
              <w:pStyle w:val="ListParagraph"/>
              <w:spacing w:before="120" w:after="120"/>
              <w:ind w:left="735"/>
              <w:rPr>
                <w:rFonts w:cs="Arial"/>
              </w:rPr>
            </w:pPr>
            <w:r w:rsidRPr="00A67277">
              <w:rPr>
                <w:rFonts w:cs="Arial"/>
              </w:rPr>
              <w:t>Perjanjian ini dibuat dalam Bahasa Indonesia. Para Pihak dapat menyepakati atau menandatangani suatu terjemahan resmi Bahasa Inggris dari Perjanjian ini. Dalam hal terjadi konflik atau perbedaan antara versi Bahasa Inggris dan Bahasa Indonesia Perjanjian ini, versi Bahasa Indonesia yang berlaku.</w:t>
            </w:r>
          </w:p>
        </w:tc>
      </w:tr>
      <w:tr w:rsidR="00923319" w:rsidRPr="00A67277" w14:paraId="66D1533E" w14:textId="77777777" w:rsidTr="00923319">
        <w:tc>
          <w:tcPr>
            <w:tcW w:w="2496" w:type="pct"/>
            <w:shd w:val="clear" w:color="auto" w:fill="auto"/>
          </w:tcPr>
          <w:p w14:paraId="38B4F9E3" w14:textId="77777777" w:rsidR="00923319" w:rsidRPr="00A67277" w:rsidRDefault="00923319" w:rsidP="00923319">
            <w:pPr>
              <w:pStyle w:val="Body1"/>
              <w:spacing w:before="120" w:after="120"/>
              <w:jc w:val="center"/>
              <w:rPr>
                <w:rFonts w:cs="Arial"/>
                <w:b/>
                <w:smallCaps/>
              </w:rPr>
            </w:pPr>
            <w:r w:rsidRPr="00A67277">
              <w:rPr>
                <w:rFonts w:cs="Arial"/>
                <w:b/>
                <w:smallCaps/>
                <w:lang w:val="id-ID"/>
              </w:rPr>
              <w:t>Execution</w:t>
            </w:r>
            <w:r w:rsidRPr="00A67277">
              <w:rPr>
                <w:rFonts w:cs="Arial"/>
                <w:b/>
                <w:smallCaps/>
              </w:rPr>
              <w:t xml:space="preserve"> Sheet</w:t>
            </w:r>
          </w:p>
        </w:tc>
        <w:tc>
          <w:tcPr>
            <w:tcW w:w="141" w:type="pct"/>
            <w:shd w:val="clear" w:color="auto" w:fill="auto"/>
          </w:tcPr>
          <w:p w14:paraId="11E358B4"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59CE9FB2" w14:textId="77777777" w:rsidR="00923319" w:rsidRPr="00A67277" w:rsidRDefault="00923319" w:rsidP="00923319">
            <w:pPr>
              <w:spacing w:before="120" w:after="120"/>
              <w:jc w:val="center"/>
              <w:rPr>
                <w:rFonts w:ascii="Arial" w:hAnsi="Arial" w:cs="Arial"/>
                <w:sz w:val="21"/>
                <w:szCs w:val="21"/>
              </w:rPr>
            </w:pPr>
            <w:r w:rsidRPr="00A67277">
              <w:rPr>
                <w:rFonts w:ascii="Arial" w:hAnsi="Arial" w:cs="Arial"/>
                <w:b/>
                <w:smallCaps/>
                <w:sz w:val="21"/>
                <w:szCs w:val="21"/>
              </w:rPr>
              <w:t>Lembar Penandatanganan</w:t>
            </w:r>
          </w:p>
        </w:tc>
      </w:tr>
      <w:tr w:rsidR="00923319" w:rsidRPr="00A67277" w14:paraId="2C119623" w14:textId="77777777" w:rsidTr="00923319">
        <w:tc>
          <w:tcPr>
            <w:tcW w:w="2496" w:type="pct"/>
            <w:shd w:val="clear" w:color="auto" w:fill="auto"/>
          </w:tcPr>
          <w:p w14:paraId="07735ABA" w14:textId="77777777" w:rsidR="00923319" w:rsidRPr="00A67277" w:rsidRDefault="00923319" w:rsidP="00923319">
            <w:pPr>
              <w:pStyle w:val="Body1"/>
              <w:spacing w:before="120" w:after="120"/>
              <w:rPr>
                <w:rFonts w:cs="Arial"/>
              </w:rPr>
            </w:pPr>
            <w:r w:rsidRPr="00A67277">
              <w:rPr>
                <w:rFonts w:cs="Arial"/>
                <w:b/>
                <w:smallCaps/>
                <w:lang w:val="id-ID"/>
              </w:rPr>
              <w:t>Therefore</w:t>
            </w:r>
            <w:r w:rsidRPr="00A67277">
              <w:rPr>
                <w:rFonts w:cs="Arial"/>
              </w:rPr>
              <w:t>, The Parties hereby sign this Sponsor Agreement by its authorized representative on the date specified at the beginning of this Agreement.</w:t>
            </w:r>
          </w:p>
        </w:tc>
        <w:tc>
          <w:tcPr>
            <w:tcW w:w="141" w:type="pct"/>
            <w:shd w:val="clear" w:color="auto" w:fill="auto"/>
          </w:tcPr>
          <w:p w14:paraId="6F6C45F1"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7C42D7B" w14:textId="77777777" w:rsidR="00923319" w:rsidRPr="00A67277" w:rsidRDefault="00923319" w:rsidP="00923319">
            <w:pPr>
              <w:spacing w:before="120" w:after="120"/>
              <w:jc w:val="both"/>
              <w:rPr>
                <w:rFonts w:ascii="Arial" w:hAnsi="Arial" w:cs="Arial"/>
                <w:sz w:val="21"/>
                <w:szCs w:val="21"/>
              </w:rPr>
            </w:pPr>
            <w:r w:rsidRPr="00A67277">
              <w:rPr>
                <w:rFonts w:ascii="Arial" w:hAnsi="Arial" w:cs="Arial"/>
                <w:b/>
                <w:smallCaps/>
                <w:sz w:val="21"/>
                <w:szCs w:val="21"/>
              </w:rPr>
              <w:t>Dengan Demikian</w:t>
            </w:r>
            <w:r w:rsidRPr="00A67277">
              <w:rPr>
                <w:rFonts w:ascii="Arial" w:hAnsi="Arial" w:cs="Arial"/>
                <w:sz w:val="21"/>
                <w:szCs w:val="21"/>
              </w:rPr>
              <w:t>, Para Pihak dengan ini menandatangani Perjanjian Sponsor ini oleh para wakil sahnya pada tanggal yang dinyatakan pada permulaan Perjanjian ini.</w:t>
            </w:r>
          </w:p>
        </w:tc>
      </w:tr>
      <w:tr w:rsidR="00923319" w:rsidRPr="00A67277" w14:paraId="46F63702" w14:textId="77777777" w:rsidTr="00923319">
        <w:tc>
          <w:tcPr>
            <w:tcW w:w="2496" w:type="pct"/>
            <w:shd w:val="clear" w:color="auto" w:fill="auto"/>
          </w:tcPr>
          <w:p w14:paraId="39B97703" w14:textId="77777777" w:rsidR="00923319" w:rsidRPr="00A67277" w:rsidRDefault="00923319" w:rsidP="00923319">
            <w:pPr>
              <w:pStyle w:val="Body1"/>
              <w:spacing w:before="120" w:after="120"/>
              <w:rPr>
                <w:rFonts w:cs="Arial"/>
              </w:rPr>
            </w:pPr>
            <w:r w:rsidRPr="00A67277">
              <w:rPr>
                <w:rFonts w:cs="Arial"/>
              </w:rPr>
              <w:t>___________________________________</w:t>
            </w:r>
          </w:p>
        </w:tc>
        <w:tc>
          <w:tcPr>
            <w:tcW w:w="141" w:type="pct"/>
            <w:shd w:val="clear" w:color="auto" w:fill="auto"/>
          </w:tcPr>
          <w:p w14:paraId="1B176DB5"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6CD87465" w14:textId="77777777" w:rsidR="00923319" w:rsidRPr="00A67277" w:rsidRDefault="00923319" w:rsidP="00923319">
            <w:pPr>
              <w:pStyle w:val="Body1"/>
              <w:spacing w:before="120" w:after="120"/>
              <w:rPr>
                <w:rFonts w:cs="Arial"/>
              </w:rPr>
            </w:pPr>
            <w:r w:rsidRPr="00A67277">
              <w:rPr>
                <w:rFonts w:cs="Arial"/>
              </w:rPr>
              <w:t>___________________________________</w:t>
            </w:r>
          </w:p>
        </w:tc>
      </w:tr>
      <w:tr w:rsidR="00923319" w:rsidRPr="00A67277" w14:paraId="247F5A0A" w14:textId="77777777" w:rsidTr="00923319">
        <w:trPr>
          <w:trHeight w:val="4362"/>
        </w:trPr>
        <w:tc>
          <w:tcPr>
            <w:tcW w:w="2496" w:type="pct"/>
            <w:shd w:val="clear" w:color="auto" w:fill="auto"/>
          </w:tcPr>
          <w:p w14:paraId="6EA92C5A" w14:textId="77777777" w:rsidR="00923319" w:rsidRPr="00A67277" w:rsidRDefault="00923319" w:rsidP="00923319">
            <w:pPr>
              <w:pStyle w:val="Body1"/>
              <w:spacing w:before="120" w:after="120"/>
              <w:rPr>
                <w:rStyle w:val="Heading1Text"/>
                <w:rFonts w:cs="Arial"/>
              </w:rPr>
            </w:pPr>
            <w:r w:rsidRPr="00A67277">
              <w:rPr>
                <w:rStyle w:val="Heading1Text"/>
                <w:rFonts w:cs="Arial"/>
              </w:rPr>
              <w:t>[***Sponsor 1***]</w:t>
            </w:r>
          </w:p>
          <w:p w14:paraId="6B1776B9" w14:textId="77777777" w:rsidR="00923319" w:rsidRPr="00A67277" w:rsidRDefault="00923319" w:rsidP="00923319">
            <w:pPr>
              <w:pStyle w:val="Body1"/>
              <w:spacing w:before="120" w:after="120"/>
              <w:rPr>
                <w:rStyle w:val="Heading1Text"/>
                <w:rFonts w:cs="Arial"/>
              </w:rPr>
            </w:pPr>
          </w:p>
          <w:p w14:paraId="7E328520" w14:textId="77777777" w:rsidR="00923319" w:rsidRPr="00A67277" w:rsidRDefault="00923319" w:rsidP="00923319">
            <w:pPr>
              <w:pStyle w:val="Body1"/>
              <w:spacing w:before="120" w:after="120"/>
              <w:rPr>
                <w:rStyle w:val="Heading1Text"/>
                <w:rFonts w:cs="Arial"/>
              </w:rPr>
            </w:pPr>
          </w:p>
          <w:p w14:paraId="732A0872" w14:textId="77777777" w:rsidR="00923319" w:rsidRPr="00A67277" w:rsidRDefault="00923319" w:rsidP="00923319">
            <w:pPr>
              <w:pStyle w:val="Body1"/>
              <w:spacing w:before="120" w:after="120"/>
              <w:rPr>
                <w:rStyle w:val="Heading1Text"/>
                <w:rFonts w:cs="Arial"/>
              </w:rPr>
            </w:pPr>
          </w:p>
          <w:p w14:paraId="2E92E5F1" w14:textId="77777777" w:rsidR="00923319" w:rsidRPr="00A67277" w:rsidRDefault="00923319" w:rsidP="00923319">
            <w:pPr>
              <w:pStyle w:val="Body1"/>
              <w:spacing w:before="120" w:after="120"/>
              <w:rPr>
                <w:rStyle w:val="Heading1Text"/>
                <w:rFonts w:cs="Arial"/>
              </w:rPr>
            </w:pPr>
          </w:p>
          <w:p w14:paraId="548C1103" w14:textId="77777777" w:rsidR="00923319" w:rsidRPr="00A67277" w:rsidRDefault="00923319" w:rsidP="00923319">
            <w:pPr>
              <w:pStyle w:val="Body1"/>
              <w:spacing w:before="120" w:after="120"/>
              <w:rPr>
                <w:rFonts w:cs="Arial"/>
              </w:rPr>
            </w:pPr>
            <w:r w:rsidRPr="00A67277">
              <w:rPr>
                <w:rStyle w:val="Heading1Text"/>
                <w:rFonts w:cs="Arial"/>
              </w:rPr>
              <w:t>[Name of Signatory/ Nama Penandatangan]</w:t>
            </w:r>
          </w:p>
          <w:p w14:paraId="1C757E5A" w14:textId="77777777" w:rsidR="00923319" w:rsidRPr="00A67277" w:rsidRDefault="00923319" w:rsidP="00923319">
            <w:pPr>
              <w:pStyle w:val="Body1"/>
              <w:spacing w:before="120" w:after="120"/>
              <w:rPr>
                <w:rStyle w:val="Heading1Text"/>
                <w:rFonts w:cs="Arial"/>
              </w:rPr>
            </w:pPr>
            <w:r w:rsidRPr="00A67277">
              <w:rPr>
                <w:rStyle w:val="Heading1Text"/>
                <w:rFonts w:cs="Arial"/>
              </w:rPr>
              <w:t>[Position/Jabatan]</w:t>
            </w:r>
          </w:p>
          <w:p w14:paraId="627D0980" w14:textId="77777777" w:rsidR="00923319" w:rsidRPr="00A67277" w:rsidRDefault="00923319" w:rsidP="00923319">
            <w:pPr>
              <w:pStyle w:val="Body1"/>
              <w:spacing w:before="120" w:after="120"/>
              <w:rPr>
                <w:rStyle w:val="Heading1Text"/>
                <w:rFonts w:cs="Arial"/>
              </w:rPr>
            </w:pPr>
          </w:p>
          <w:p w14:paraId="71E2664A" w14:textId="77777777" w:rsidR="00923319" w:rsidRPr="00A67277" w:rsidRDefault="00923319" w:rsidP="00923319">
            <w:pPr>
              <w:pStyle w:val="Body1"/>
              <w:spacing w:before="120" w:after="120"/>
              <w:rPr>
                <w:rStyle w:val="Heading1Text"/>
                <w:rFonts w:cs="Arial"/>
              </w:rPr>
            </w:pPr>
          </w:p>
          <w:p w14:paraId="157B0937" w14:textId="77777777" w:rsidR="00923319" w:rsidRPr="00A67277" w:rsidRDefault="00923319" w:rsidP="00923319">
            <w:pPr>
              <w:pStyle w:val="Body1"/>
              <w:spacing w:before="120" w:after="120"/>
              <w:rPr>
                <w:rFonts w:cs="Arial"/>
              </w:rPr>
            </w:pPr>
          </w:p>
          <w:p w14:paraId="2C1D3EDA" w14:textId="77777777" w:rsidR="00923319" w:rsidRPr="00A67277" w:rsidRDefault="00923319" w:rsidP="00923319">
            <w:pPr>
              <w:pStyle w:val="Body1"/>
              <w:spacing w:before="120" w:after="120"/>
              <w:rPr>
                <w:rFonts w:cs="Arial"/>
              </w:rPr>
            </w:pPr>
          </w:p>
        </w:tc>
        <w:tc>
          <w:tcPr>
            <w:tcW w:w="141" w:type="pct"/>
            <w:shd w:val="clear" w:color="auto" w:fill="auto"/>
          </w:tcPr>
          <w:p w14:paraId="7900E9B0"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3312037E" w14:textId="678F7609" w:rsidR="00923319" w:rsidRPr="00A67277" w:rsidRDefault="00923319" w:rsidP="00923319">
            <w:pPr>
              <w:pStyle w:val="Body1"/>
              <w:spacing w:before="120" w:after="120"/>
              <w:rPr>
                <w:rStyle w:val="Heading1Text"/>
                <w:rFonts w:cs="Arial"/>
              </w:rPr>
            </w:pPr>
            <w:r w:rsidRPr="00A67277">
              <w:rPr>
                <w:rStyle w:val="Heading1Text"/>
                <w:rFonts w:cs="Arial"/>
              </w:rPr>
              <w:t>[***</w:t>
            </w:r>
            <w:r w:rsidR="00DD51D3">
              <w:rPr>
                <w:rStyle w:val="Heading1Text"/>
                <w:rFonts w:cs="Arial"/>
              </w:rPr>
              <w:t>S</w:t>
            </w:r>
            <w:r w:rsidR="00DD51D3">
              <w:rPr>
                <w:rStyle w:val="Heading1Text"/>
              </w:rPr>
              <w:t>ponsor 1</w:t>
            </w:r>
            <w:r w:rsidRPr="00A67277">
              <w:rPr>
                <w:rStyle w:val="Heading1Text"/>
                <w:rFonts w:cs="Arial"/>
              </w:rPr>
              <w:t>***]</w:t>
            </w:r>
          </w:p>
          <w:p w14:paraId="551CCAAB" w14:textId="77777777" w:rsidR="00923319" w:rsidRPr="00A67277" w:rsidRDefault="00923319" w:rsidP="00923319">
            <w:pPr>
              <w:pStyle w:val="Body1"/>
              <w:spacing w:before="120" w:after="120"/>
              <w:rPr>
                <w:rStyle w:val="Heading1Text"/>
                <w:rFonts w:cs="Arial"/>
              </w:rPr>
            </w:pPr>
          </w:p>
          <w:p w14:paraId="4C97F06A" w14:textId="77777777" w:rsidR="00923319" w:rsidRPr="00A67277" w:rsidRDefault="00923319" w:rsidP="00923319">
            <w:pPr>
              <w:pStyle w:val="Body1"/>
              <w:spacing w:before="120" w:after="120"/>
              <w:rPr>
                <w:rStyle w:val="Heading1Text"/>
                <w:rFonts w:cs="Arial"/>
              </w:rPr>
            </w:pPr>
          </w:p>
          <w:p w14:paraId="7BEEFABB" w14:textId="77777777" w:rsidR="00923319" w:rsidRPr="00A67277" w:rsidRDefault="00923319" w:rsidP="00923319">
            <w:pPr>
              <w:pStyle w:val="Body1"/>
              <w:spacing w:before="120" w:after="120"/>
              <w:rPr>
                <w:rStyle w:val="Heading1Text"/>
                <w:rFonts w:cs="Arial"/>
              </w:rPr>
            </w:pPr>
          </w:p>
          <w:p w14:paraId="1A15CB2D" w14:textId="77777777" w:rsidR="00923319" w:rsidRPr="00A67277" w:rsidRDefault="00923319" w:rsidP="00923319">
            <w:pPr>
              <w:pStyle w:val="Body1"/>
              <w:spacing w:before="120" w:after="120"/>
              <w:rPr>
                <w:rStyle w:val="Heading1Text"/>
                <w:rFonts w:cs="Arial"/>
              </w:rPr>
            </w:pPr>
          </w:p>
          <w:p w14:paraId="51203EE9" w14:textId="77777777" w:rsidR="00923319" w:rsidRPr="00A67277" w:rsidRDefault="00923319" w:rsidP="00923319">
            <w:pPr>
              <w:pStyle w:val="Body1"/>
              <w:spacing w:before="120" w:after="120"/>
              <w:rPr>
                <w:rStyle w:val="Heading1Text"/>
                <w:rFonts w:cs="Arial"/>
              </w:rPr>
            </w:pPr>
            <w:r w:rsidRPr="00A67277">
              <w:rPr>
                <w:rStyle w:val="Heading1Text"/>
                <w:rFonts w:cs="Arial"/>
              </w:rPr>
              <w:t>[Name of Signatory/Nama Penandatangan]</w:t>
            </w:r>
          </w:p>
          <w:p w14:paraId="5D1A4802" w14:textId="77777777" w:rsidR="00923319" w:rsidRPr="00A67277" w:rsidRDefault="00923319" w:rsidP="00923319">
            <w:pPr>
              <w:pStyle w:val="Body1"/>
              <w:spacing w:before="120" w:after="120"/>
              <w:rPr>
                <w:rStyle w:val="Heading1Text"/>
                <w:rFonts w:cs="Arial"/>
              </w:rPr>
            </w:pPr>
            <w:r w:rsidRPr="00A67277">
              <w:rPr>
                <w:rStyle w:val="Heading1Text"/>
                <w:rFonts w:cs="Arial"/>
              </w:rPr>
              <w:t>[Position/Jabatan]</w:t>
            </w:r>
          </w:p>
          <w:p w14:paraId="54496CFC" w14:textId="77777777" w:rsidR="00923319" w:rsidRPr="00A67277" w:rsidRDefault="00923319" w:rsidP="00923319">
            <w:pPr>
              <w:pStyle w:val="Body1"/>
              <w:spacing w:before="120" w:after="120"/>
              <w:rPr>
                <w:rStyle w:val="Heading1Text"/>
                <w:rFonts w:cs="Arial"/>
              </w:rPr>
            </w:pPr>
          </w:p>
          <w:p w14:paraId="1FE6EDD8" w14:textId="77777777" w:rsidR="00923319" w:rsidRPr="00A67277" w:rsidRDefault="00923319" w:rsidP="00923319">
            <w:pPr>
              <w:pStyle w:val="Body1"/>
              <w:spacing w:before="120" w:after="120"/>
              <w:rPr>
                <w:rStyle w:val="Heading1Text"/>
                <w:rFonts w:cs="Arial"/>
              </w:rPr>
            </w:pPr>
          </w:p>
          <w:p w14:paraId="793F3954" w14:textId="77777777" w:rsidR="00923319" w:rsidRPr="00A67277" w:rsidRDefault="00923319" w:rsidP="00923319">
            <w:pPr>
              <w:pStyle w:val="Body1"/>
              <w:spacing w:before="120" w:after="120"/>
              <w:rPr>
                <w:rStyle w:val="Heading1Text"/>
                <w:rFonts w:cs="Arial"/>
              </w:rPr>
            </w:pPr>
          </w:p>
          <w:p w14:paraId="09873EC2" w14:textId="77777777" w:rsidR="00923319" w:rsidRPr="00A67277" w:rsidRDefault="00923319" w:rsidP="00923319">
            <w:pPr>
              <w:pStyle w:val="Body1"/>
              <w:spacing w:before="120" w:after="120"/>
              <w:rPr>
                <w:rStyle w:val="Heading1Text"/>
                <w:rFonts w:cs="Arial"/>
              </w:rPr>
            </w:pPr>
          </w:p>
        </w:tc>
      </w:tr>
      <w:tr w:rsidR="00923319" w:rsidRPr="00A67277" w14:paraId="207B0260" w14:textId="77777777" w:rsidTr="00923319">
        <w:trPr>
          <w:trHeight w:val="4362"/>
        </w:trPr>
        <w:tc>
          <w:tcPr>
            <w:tcW w:w="2496" w:type="pct"/>
            <w:shd w:val="clear" w:color="auto" w:fill="auto"/>
          </w:tcPr>
          <w:p w14:paraId="44AE0900" w14:textId="77777777" w:rsidR="00923319" w:rsidRPr="00A67277" w:rsidRDefault="00923319" w:rsidP="00923319">
            <w:pPr>
              <w:pStyle w:val="Body1"/>
              <w:spacing w:before="120" w:after="120"/>
              <w:rPr>
                <w:rStyle w:val="Heading1Text"/>
                <w:rFonts w:cs="Arial"/>
              </w:rPr>
            </w:pPr>
            <w:r w:rsidRPr="00A67277">
              <w:rPr>
                <w:rStyle w:val="Heading1Text"/>
                <w:rFonts w:cs="Arial"/>
              </w:rPr>
              <w:t>[***Sponsor 2***]</w:t>
            </w:r>
          </w:p>
          <w:p w14:paraId="639C16E5" w14:textId="77777777" w:rsidR="00923319" w:rsidRPr="00A67277" w:rsidRDefault="00923319" w:rsidP="00923319">
            <w:pPr>
              <w:pStyle w:val="Body1"/>
              <w:spacing w:before="120" w:after="120"/>
              <w:rPr>
                <w:rStyle w:val="Heading1Text"/>
                <w:rFonts w:cs="Arial"/>
              </w:rPr>
            </w:pPr>
          </w:p>
          <w:p w14:paraId="76273D7C" w14:textId="77777777" w:rsidR="00923319" w:rsidRPr="00A67277" w:rsidRDefault="00923319" w:rsidP="00923319">
            <w:pPr>
              <w:pStyle w:val="Body1"/>
              <w:spacing w:before="120" w:after="120"/>
              <w:rPr>
                <w:rStyle w:val="Heading1Text"/>
                <w:rFonts w:cs="Arial"/>
              </w:rPr>
            </w:pPr>
          </w:p>
          <w:p w14:paraId="5A6EA645" w14:textId="77777777" w:rsidR="00923319" w:rsidRPr="00A67277" w:rsidRDefault="00923319" w:rsidP="00923319">
            <w:pPr>
              <w:pStyle w:val="Body1"/>
              <w:spacing w:before="120" w:after="120"/>
              <w:rPr>
                <w:rStyle w:val="Heading1Text"/>
                <w:rFonts w:cs="Arial"/>
              </w:rPr>
            </w:pPr>
          </w:p>
          <w:p w14:paraId="61ED9861" w14:textId="77777777" w:rsidR="00923319" w:rsidRPr="00A67277" w:rsidRDefault="00923319" w:rsidP="00923319">
            <w:pPr>
              <w:pStyle w:val="Body1"/>
              <w:spacing w:before="120" w:after="120"/>
              <w:rPr>
                <w:rStyle w:val="Heading1Text"/>
                <w:rFonts w:cs="Arial"/>
              </w:rPr>
            </w:pPr>
          </w:p>
          <w:p w14:paraId="72FBAFFB" w14:textId="77777777" w:rsidR="00923319" w:rsidRPr="00A67277" w:rsidRDefault="00923319" w:rsidP="00923319">
            <w:pPr>
              <w:pStyle w:val="Body1"/>
              <w:spacing w:before="120" w:after="120"/>
              <w:rPr>
                <w:rFonts w:cs="Arial"/>
              </w:rPr>
            </w:pPr>
            <w:r w:rsidRPr="00A67277">
              <w:rPr>
                <w:rStyle w:val="Heading1Text"/>
                <w:rFonts w:cs="Arial"/>
              </w:rPr>
              <w:t>[Name of Signatory/ Nama Penandatangan]</w:t>
            </w:r>
          </w:p>
          <w:p w14:paraId="3C9B1BDB" w14:textId="77777777" w:rsidR="00923319" w:rsidRPr="00A67277" w:rsidRDefault="00923319" w:rsidP="00923319">
            <w:pPr>
              <w:pStyle w:val="Body1"/>
              <w:spacing w:before="120" w:after="120"/>
              <w:rPr>
                <w:rStyle w:val="Heading1Text"/>
                <w:rFonts w:cs="Arial"/>
              </w:rPr>
            </w:pPr>
            <w:r w:rsidRPr="00A67277">
              <w:rPr>
                <w:rStyle w:val="Heading1Text"/>
                <w:rFonts w:cs="Arial"/>
              </w:rPr>
              <w:t>[Position/Jabatan]</w:t>
            </w:r>
          </w:p>
          <w:p w14:paraId="25887B26" w14:textId="77777777" w:rsidR="00923319" w:rsidRPr="00A67277" w:rsidRDefault="00923319" w:rsidP="00923319">
            <w:pPr>
              <w:pStyle w:val="Body1"/>
              <w:spacing w:before="120" w:after="120"/>
              <w:rPr>
                <w:rStyle w:val="Heading1Text"/>
                <w:rFonts w:cs="Arial"/>
              </w:rPr>
            </w:pPr>
          </w:p>
        </w:tc>
        <w:tc>
          <w:tcPr>
            <w:tcW w:w="141" w:type="pct"/>
            <w:shd w:val="clear" w:color="auto" w:fill="auto"/>
          </w:tcPr>
          <w:p w14:paraId="7FE92B6E" w14:textId="77777777" w:rsidR="00923319" w:rsidRPr="00A67277" w:rsidRDefault="00923319" w:rsidP="00923319">
            <w:pPr>
              <w:spacing w:before="120" w:after="120"/>
              <w:jc w:val="both"/>
              <w:rPr>
                <w:rFonts w:ascii="Arial" w:hAnsi="Arial" w:cs="Arial"/>
                <w:sz w:val="21"/>
                <w:szCs w:val="21"/>
              </w:rPr>
            </w:pPr>
          </w:p>
        </w:tc>
        <w:tc>
          <w:tcPr>
            <w:tcW w:w="2363" w:type="pct"/>
            <w:shd w:val="clear" w:color="auto" w:fill="auto"/>
          </w:tcPr>
          <w:p w14:paraId="2F3417DE" w14:textId="05B02C16" w:rsidR="00923319" w:rsidRPr="00A67277" w:rsidRDefault="00923319" w:rsidP="00923319">
            <w:pPr>
              <w:pStyle w:val="Body1"/>
              <w:spacing w:before="120" w:after="120"/>
              <w:rPr>
                <w:rStyle w:val="Heading1Text"/>
                <w:rFonts w:cs="Arial"/>
              </w:rPr>
            </w:pPr>
            <w:r w:rsidRPr="00A67277">
              <w:rPr>
                <w:rStyle w:val="Heading1Text"/>
                <w:rFonts w:cs="Arial"/>
              </w:rPr>
              <w:t>[***</w:t>
            </w:r>
            <w:r w:rsidR="00DD51D3">
              <w:rPr>
                <w:rStyle w:val="Heading1Text"/>
                <w:rFonts w:cs="Arial"/>
              </w:rPr>
              <w:t>S</w:t>
            </w:r>
            <w:r w:rsidR="00DD51D3">
              <w:rPr>
                <w:rStyle w:val="Heading1Text"/>
              </w:rPr>
              <w:t>ponsor 2</w:t>
            </w:r>
            <w:r w:rsidRPr="00A67277">
              <w:rPr>
                <w:rStyle w:val="Heading1Text"/>
                <w:rFonts w:cs="Arial"/>
              </w:rPr>
              <w:t>***]</w:t>
            </w:r>
          </w:p>
          <w:p w14:paraId="7C8471B1" w14:textId="77777777" w:rsidR="00923319" w:rsidRPr="00A67277" w:rsidRDefault="00923319" w:rsidP="00923319">
            <w:pPr>
              <w:pStyle w:val="Body1"/>
              <w:spacing w:before="120" w:after="120"/>
              <w:rPr>
                <w:rStyle w:val="Heading1Text"/>
                <w:rFonts w:cs="Arial"/>
              </w:rPr>
            </w:pPr>
          </w:p>
          <w:p w14:paraId="000A8F89" w14:textId="77777777" w:rsidR="00923319" w:rsidRPr="00A67277" w:rsidRDefault="00923319" w:rsidP="00923319">
            <w:pPr>
              <w:pStyle w:val="Body1"/>
              <w:spacing w:before="120" w:after="120"/>
              <w:rPr>
                <w:rStyle w:val="Heading1Text"/>
                <w:rFonts w:cs="Arial"/>
              </w:rPr>
            </w:pPr>
          </w:p>
          <w:p w14:paraId="3031348A" w14:textId="77777777" w:rsidR="00923319" w:rsidRPr="00A67277" w:rsidRDefault="00923319" w:rsidP="00923319">
            <w:pPr>
              <w:pStyle w:val="Body1"/>
              <w:spacing w:before="120" w:after="120"/>
              <w:rPr>
                <w:rStyle w:val="Heading1Text"/>
                <w:rFonts w:cs="Arial"/>
              </w:rPr>
            </w:pPr>
          </w:p>
          <w:p w14:paraId="6AB96DB2" w14:textId="77777777" w:rsidR="00923319" w:rsidRPr="00A67277" w:rsidRDefault="00923319" w:rsidP="00923319">
            <w:pPr>
              <w:pStyle w:val="Body1"/>
              <w:spacing w:before="120" w:after="120"/>
              <w:rPr>
                <w:rStyle w:val="Heading1Text"/>
                <w:rFonts w:cs="Arial"/>
              </w:rPr>
            </w:pPr>
          </w:p>
          <w:p w14:paraId="66B22BCA" w14:textId="77777777" w:rsidR="00923319" w:rsidRPr="00A67277" w:rsidRDefault="00923319" w:rsidP="00923319">
            <w:pPr>
              <w:pStyle w:val="Body1"/>
              <w:spacing w:before="120" w:after="120"/>
              <w:rPr>
                <w:rStyle w:val="Heading1Text"/>
                <w:rFonts w:cs="Arial"/>
              </w:rPr>
            </w:pPr>
            <w:r w:rsidRPr="00A67277">
              <w:rPr>
                <w:rStyle w:val="Heading1Text"/>
                <w:rFonts w:cs="Arial"/>
              </w:rPr>
              <w:t>[Name of Signatory/Nama Penandatangan]</w:t>
            </w:r>
          </w:p>
          <w:p w14:paraId="5C46D453" w14:textId="77777777" w:rsidR="00923319" w:rsidRPr="00A67277" w:rsidRDefault="00923319" w:rsidP="00923319">
            <w:pPr>
              <w:pStyle w:val="Body1"/>
              <w:spacing w:before="120" w:after="120"/>
              <w:rPr>
                <w:rStyle w:val="Heading1Text"/>
                <w:rFonts w:cs="Arial"/>
              </w:rPr>
            </w:pPr>
            <w:r w:rsidRPr="00A67277">
              <w:rPr>
                <w:rStyle w:val="Heading1Text"/>
                <w:rFonts w:cs="Arial"/>
              </w:rPr>
              <w:t>[Position/Jabatan]</w:t>
            </w:r>
          </w:p>
          <w:p w14:paraId="244C5C3B" w14:textId="77777777" w:rsidR="00923319" w:rsidRPr="00A67277" w:rsidRDefault="00923319" w:rsidP="00923319">
            <w:pPr>
              <w:pStyle w:val="Body1"/>
              <w:spacing w:before="120" w:after="120"/>
              <w:rPr>
                <w:rStyle w:val="Heading1Text"/>
                <w:rFonts w:cs="Arial"/>
              </w:rPr>
            </w:pPr>
          </w:p>
        </w:tc>
      </w:tr>
    </w:tbl>
    <w:p w14:paraId="2A16E688" w14:textId="77777777" w:rsidR="00923319" w:rsidRPr="00A67277" w:rsidRDefault="00923319" w:rsidP="00923319">
      <w:pPr>
        <w:rPr>
          <w:rFonts w:ascii="Arial" w:hAnsi="Arial" w:cs="Arial"/>
          <w:sz w:val="21"/>
          <w:szCs w:val="21"/>
        </w:rPr>
      </w:pPr>
    </w:p>
    <w:p w14:paraId="4B96B816" w14:textId="77777777" w:rsidR="00923319" w:rsidRPr="00A67277" w:rsidRDefault="00923319" w:rsidP="00923319">
      <w:pPr>
        <w:rPr>
          <w:rFonts w:ascii="Arial" w:hAnsi="Arial" w:cs="Arial"/>
          <w:sz w:val="21"/>
          <w:szCs w:val="21"/>
        </w:rPr>
      </w:pPr>
      <w:r w:rsidRPr="00A67277">
        <w:rPr>
          <w:rFonts w:ascii="Arial" w:hAnsi="Arial" w:cs="Arial"/>
          <w:sz w:val="21"/>
          <w:szCs w:val="21"/>
        </w:rPr>
        <w:br w:type="page"/>
      </w:r>
    </w:p>
    <w:tbl>
      <w:tblPr>
        <w:tblW w:w="5000" w:type="pct"/>
        <w:tblLayout w:type="fixed"/>
        <w:tblLook w:val="04A0" w:firstRow="1" w:lastRow="0" w:firstColumn="1" w:lastColumn="0" w:noHBand="0" w:noVBand="1"/>
      </w:tblPr>
      <w:tblGrid>
        <w:gridCol w:w="4622"/>
        <w:gridCol w:w="261"/>
        <w:gridCol w:w="4362"/>
      </w:tblGrid>
      <w:tr w:rsidR="00923319" w:rsidRPr="00A67277" w14:paraId="42E64CA2" w14:textId="3E1614A2" w:rsidTr="00923319">
        <w:tc>
          <w:tcPr>
            <w:tcW w:w="2500" w:type="pct"/>
            <w:shd w:val="clear" w:color="auto" w:fill="auto"/>
          </w:tcPr>
          <w:p w14:paraId="7021052C" w14:textId="78FCEAB5" w:rsidR="00923319" w:rsidRPr="00A67277" w:rsidRDefault="00923319" w:rsidP="00F93200">
            <w:pPr>
              <w:pStyle w:val="Body1"/>
              <w:spacing w:before="120" w:after="120"/>
              <w:jc w:val="center"/>
              <w:rPr>
                <w:rFonts w:cs="Arial"/>
                <w:lang w:val="en-US"/>
              </w:rPr>
            </w:pPr>
            <w:r w:rsidRPr="00A67277">
              <w:rPr>
                <w:rFonts w:cs="Arial"/>
                <w:b/>
                <w:smallCaps/>
                <w:lang w:val="id-ID"/>
              </w:rPr>
              <w:t xml:space="preserve">Appendix </w:t>
            </w:r>
            <w:r w:rsidR="00F93200" w:rsidRPr="00A67277">
              <w:rPr>
                <w:rFonts w:cs="Arial"/>
                <w:b/>
                <w:smallCaps/>
                <w:lang w:val="en-US"/>
              </w:rPr>
              <w:t xml:space="preserve">23 </w:t>
            </w:r>
            <w:r w:rsidRPr="00A67277">
              <w:rPr>
                <w:rFonts w:cs="Arial"/>
                <w:b/>
                <w:smallCaps/>
                <w:lang w:val="en-US"/>
              </w:rPr>
              <w:t>[**</w:t>
            </w:r>
            <w:r w:rsidR="00F93200" w:rsidRPr="00A67277">
              <w:rPr>
                <w:rFonts w:cs="Arial"/>
                <w:b/>
                <w:smallCaps/>
                <w:lang w:val="en-US"/>
              </w:rPr>
              <w:t>Form of COD Certification</w:t>
            </w:r>
            <w:r w:rsidRPr="00A67277">
              <w:rPr>
                <w:rFonts w:cs="Arial"/>
                <w:b/>
                <w:smallCaps/>
                <w:lang w:val="en-US"/>
              </w:rPr>
              <w:t>*]</w:t>
            </w:r>
          </w:p>
        </w:tc>
        <w:tc>
          <w:tcPr>
            <w:tcW w:w="141" w:type="pct"/>
            <w:shd w:val="clear" w:color="auto" w:fill="auto"/>
          </w:tcPr>
          <w:p w14:paraId="3DD05961" w14:textId="007238B8" w:rsidR="00923319" w:rsidRPr="00A67277" w:rsidRDefault="00923319" w:rsidP="00923319">
            <w:pPr>
              <w:pStyle w:val="Body1"/>
              <w:spacing w:before="120" w:after="120"/>
              <w:jc w:val="center"/>
              <w:rPr>
                <w:rFonts w:cs="Arial"/>
                <w:b/>
                <w:smallCaps/>
                <w:lang w:val="id-ID"/>
              </w:rPr>
            </w:pPr>
          </w:p>
        </w:tc>
        <w:tc>
          <w:tcPr>
            <w:tcW w:w="2359" w:type="pct"/>
            <w:shd w:val="clear" w:color="auto" w:fill="auto"/>
          </w:tcPr>
          <w:p w14:paraId="7D01A365" w14:textId="19C50A48" w:rsidR="00923319" w:rsidRPr="00A67277" w:rsidRDefault="00923319" w:rsidP="00F93200">
            <w:pPr>
              <w:pStyle w:val="SchTitle"/>
              <w:rPr>
                <w:rFonts w:cs="Arial"/>
                <w:sz w:val="21"/>
              </w:rPr>
            </w:pPr>
            <w:r w:rsidRPr="00A67277">
              <w:rPr>
                <w:rFonts w:cs="Arial"/>
                <w:sz w:val="21"/>
              </w:rPr>
              <w:t xml:space="preserve">Lampiran </w:t>
            </w:r>
            <w:r w:rsidR="00F93200" w:rsidRPr="00A67277">
              <w:rPr>
                <w:rFonts w:cs="Arial"/>
                <w:sz w:val="21"/>
              </w:rPr>
              <w:t xml:space="preserve">23 </w:t>
            </w:r>
            <w:r w:rsidRPr="00A67277">
              <w:rPr>
                <w:rFonts w:cs="Arial"/>
                <w:sz w:val="21"/>
              </w:rPr>
              <w:t>[*</w:t>
            </w:r>
            <w:r w:rsidR="00F93200" w:rsidRPr="00A67277">
              <w:rPr>
                <w:rFonts w:cs="Arial"/>
                <w:sz w:val="21"/>
              </w:rPr>
              <w:t>Bentuk Sertifikasi Tanggal Operasi Komersial</w:t>
            </w:r>
            <w:r w:rsidRPr="00A67277">
              <w:rPr>
                <w:rFonts w:cs="Arial"/>
                <w:sz w:val="21"/>
              </w:rPr>
              <w:t>**]</w:t>
            </w:r>
          </w:p>
        </w:tc>
      </w:tr>
      <w:tr w:rsidR="00923319" w:rsidRPr="00A67277" w14:paraId="05128DC1" w14:textId="77777777" w:rsidTr="00923319">
        <w:tc>
          <w:tcPr>
            <w:tcW w:w="2500" w:type="pct"/>
            <w:shd w:val="clear" w:color="auto" w:fill="auto"/>
          </w:tcPr>
          <w:p w14:paraId="1816AEE8" w14:textId="05AA8F2E" w:rsidR="00923319" w:rsidRPr="00A67277" w:rsidRDefault="00A67277" w:rsidP="00923319">
            <w:pPr>
              <w:pStyle w:val="Body1"/>
              <w:spacing w:before="120" w:after="120"/>
              <w:rPr>
                <w:rFonts w:cs="Arial"/>
                <w:b/>
                <w:smallCaps/>
                <w:lang w:val="en-US"/>
              </w:rPr>
            </w:pPr>
            <w:r>
              <w:rPr>
                <w:rFonts w:cs="Arial"/>
                <w:b/>
                <w:smallCaps/>
                <w:lang w:val="en-US"/>
              </w:rPr>
              <w:t>[to be inserted]</w:t>
            </w:r>
          </w:p>
        </w:tc>
        <w:tc>
          <w:tcPr>
            <w:tcW w:w="141" w:type="pct"/>
            <w:shd w:val="clear" w:color="auto" w:fill="auto"/>
          </w:tcPr>
          <w:p w14:paraId="3940BBC5" w14:textId="77777777" w:rsidR="00923319" w:rsidRPr="00A67277" w:rsidRDefault="00923319" w:rsidP="00923319">
            <w:pPr>
              <w:pStyle w:val="Body1"/>
              <w:spacing w:before="120" w:after="120"/>
              <w:jc w:val="center"/>
              <w:rPr>
                <w:rFonts w:cs="Arial"/>
                <w:b/>
                <w:smallCaps/>
                <w:lang w:val="id-ID"/>
              </w:rPr>
            </w:pPr>
          </w:p>
        </w:tc>
        <w:tc>
          <w:tcPr>
            <w:tcW w:w="2359" w:type="pct"/>
            <w:shd w:val="clear" w:color="auto" w:fill="auto"/>
          </w:tcPr>
          <w:p w14:paraId="037044F8" w14:textId="77777777" w:rsidR="00923319" w:rsidRPr="00A67277" w:rsidRDefault="00923319" w:rsidP="00923319">
            <w:pPr>
              <w:pStyle w:val="Body2"/>
              <w:spacing w:before="120" w:after="120"/>
              <w:ind w:left="0"/>
              <w:rPr>
                <w:rFonts w:cs="Arial"/>
              </w:rPr>
            </w:pPr>
          </w:p>
        </w:tc>
      </w:tr>
    </w:tbl>
    <w:p w14:paraId="33D4C64F" w14:textId="77777777" w:rsidR="00923319" w:rsidRPr="00A67277" w:rsidRDefault="00923319" w:rsidP="00923319">
      <w:pPr>
        <w:rPr>
          <w:rFonts w:ascii="Arial" w:hAnsi="Arial" w:cs="Arial"/>
          <w:sz w:val="21"/>
          <w:szCs w:val="21"/>
        </w:rPr>
      </w:pPr>
    </w:p>
    <w:p w14:paraId="04C88A16" w14:textId="21C634BD" w:rsidR="00F93200" w:rsidRPr="00A67277" w:rsidRDefault="00F93200">
      <w:pPr>
        <w:rPr>
          <w:rFonts w:ascii="Arial" w:hAnsi="Arial" w:cs="Arial"/>
          <w:sz w:val="21"/>
          <w:szCs w:val="21"/>
        </w:rPr>
      </w:pPr>
      <w:r w:rsidRPr="00A67277">
        <w:rPr>
          <w:rFonts w:ascii="Arial" w:hAnsi="Arial" w:cs="Arial"/>
          <w:sz w:val="21"/>
          <w:szCs w:val="21"/>
        </w:rPr>
        <w:br w:type="page"/>
      </w:r>
    </w:p>
    <w:tbl>
      <w:tblPr>
        <w:tblW w:w="5000" w:type="pct"/>
        <w:tblLayout w:type="fixed"/>
        <w:tblLook w:val="04A0" w:firstRow="1" w:lastRow="0" w:firstColumn="1" w:lastColumn="0" w:noHBand="0" w:noVBand="1"/>
      </w:tblPr>
      <w:tblGrid>
        <w:gridCol w:w="4622"/>
        <w:gridCol w:w="261"/>
        <w:gridCol w:w="4362"/>
      </w:tblGrid>
      <w:tr w:rsidR="00F93200" w:rsidRPr="00A67277" w14:paraId="45154111" w14:textId="77777777" w:rsidTr="00F93200">
        <w:tc>
          <w:tcPr>
            <w:tcW w:w="2500" w:type="pct"/>
            <w:shd w:val="clear" w:color="auto" w:fill="auto"/>
          </w:tcPr>
          <w:p w14:paraId="0E1F2F44" w14:textId="617582E5" w:rsidR="00F93200" w:rsidRPr="00A67277" w:rsidRDefault="00F93200" w:rsidP="00F93200">
            <w:pPr>
              <w:pStyle w:val="Body1"/>
              <w:spacing w:before="120" w:after="120"/>
              <w:jc w:val="center"/>
              <w:rPr>
                <w:rFonts w:cs="Arial"/>
                <w:lang w:val="en-US"/>
              </w:rPr>
            </w:pPr>
            <w:r w:rsidRPr="00A67277">
              <w:rPr>
                <w:rFonts w:cs="Arial"/>
                <w:b/>
                <w:smallCaps/>
                <w:lang w:val="id-ID"/>
              </w:rPr>
              <w:t xml:space="preserve">Appendix </w:t>
            </w:r>
            <w:r w:rsidRPr="00A67277">
              <w:rPr>
                <w:rFonts w:cs="Arial"/>
                <w:b/>
                <w:smallCaps/>
                <w:lang w:val="en-US"/>
              </w:rPr>
              <w:t>24 [**Form of Request of Additional Facility for additional lane*]</w:t>
            </w:r>
          </w:p>
        </w:tc>
        <w:tc>
          <w:tcPr>
            <w:tcW w:w="141" w:type="pct"/>
            <w:shd w:val="clear" w:color="auto" w:fill="auto"/>
          </w:tcPr>
          <w:p w14:paraId="5D64F0F5" w14:textId="77777777" w:rsidR="00F93200" w:rsidRPr="00A67277" w:rsidRDefault="00F93200" w:rsidP="00F93200">
            <w:pPr>
              <w:pStyle w:val="Body1"/>
              <w:spacing w:before="120" w:after="120"/>
              <w:jc w:val="center"/>
              <w:rPr>
                <w:rFonts w:cs="Arial"/>
                <w:b/>
                <w:smallCaps/>
                <w:lang w:val="id-ID"/>
              </w:rPr>
            </w:pPr>
          </w:p>
        </w:tc>
        <w:tc>
          <w:tcPr>
            <w:tcW w:w="2359" w:type="pct"/>
            <w:shd w:val="clear" w:color="auto" w:fill="auto"/>
          </w:tcPr>
          <w:p w14:paraId="047CDC1F" w14:textId="4E0AAC86" w:rsidR="00F93200" w:rsidRPr="00A67277" w:rsidRDefault="00F93200" w:rsidP="00F93200">
            <w:pPr>
              <w:pStyle w:val="SchTitle"/>
              <w:rPr>
                <w:rFonts w:cs="Arial"/>
                <w:sz w:val="21"/>
              </w:rPr>
            </w:pPr>
            <w:r w:rsidRPr="00A67277">
              <w:rPr>
                <w:rFonts w:cs="Arial"/>
                <w:sz w:val="21"/>
              </w:rPr>
              <w:t>Lampiran 24 [*Bentuk permintaan fasilitas tambahan untuk jalur tambahan **]</w:t>
            </w:r>
          </w:p>
        </w:tc>
      </w:tr>
    </w:tbl>
    <w:p w14:paraId="4BE1FF31" w14:textId="77777777" w:rsidR="00923319" w:rsidRPr="00A67277" w:rsidRDefault="00923319" w:rsidP="00923319">
      <w:pPr>
        <w:rPr>
          <w:rFonts w:ascii="Arial" w:hAnsi="Arial" w:cs="Arial"/>
          <w:sz w:val="21"/>
          <w:szCs w:val="21"/>
        </w:rPr>
      </w:pPr>
    </w:p>
    <w:p w14:paraId="1C66291D" w14:textId="6B928756" w:rsidR="00923319" w:rsidRPr="00A67277" w:rsidRDefault="00A67277" w:rsidP="00923319">
      <w:pPr>
        <w:rPr>
          <w:rFonts w:ascii="Arial" w:hAnsi="Arial" w:cs="Arial"/>
          <w:sz w:val="21"/>
          <w:szCs w:val="21"/>
        </w:rPr>
      </w:pPr>
      <w:r>
        <w:rPr>
          <w:rFonts w:cs="Arial"/>
          <w:b/>
          <w:smallCaps/>
        </w:rPr>
        <w:t>[to be inserted]</w:t>
      </w:r>
    </w:p>
    <w:p w14:paraId="1643FD14" w14:textId="77777777" w:rsidR="00923319" w:rsidRPr="00A67277" w:rsidRDefault="00923319" w:rsidP="00923319">
      <w:pPr>
        <w:rPr>
          <w:rFonts w:ascii="Arial" w:hAnsi="Arial" w:cs="Arial"/>
          <w:sz w:val="21"/>
          <w:szCs w:val="21"/>
        </w:rPr>
      </w:pPr>
    </w:p>
    <w:p w14:paraId="49509CF1" w14:textId="178B2B14" w:rsidR="00F93200" w:rsidRPr="00A67277" w:rsidRDefault="00F93200">
      <w:pPr>
        <w:rPr>
          <w:rFonts w:ascii="Arial" w:hAnsi="Arial" w:cs="Arial"/>
          <w:sz w:val="21"/>
          <w:szCs w:val="21"/>
        </w:rPr>
      </w:pPr>
      <w:r w:rsidRPr="00A67277">
        <w:rPr>
          <w:rFonts w:ascii="Arial" w:hAnsi="Arial" w:cs="Arial"/>
          <w:sz w:val="21"/>
          <w:szCs w:val="21"/>
        </w:rPr>
        <w:br w:type="page"/>
      </w:r>
    </w:p>
    <w:tbl>
      <w:tblPr>
        <w:tblW w:w="5000" w:type="pct"/>
        <w:tblLayout w:type="fixed"/>
        <w:tblLook w:val="04A0" w:firstRow="1" w:lastRow="0" w:firstColumn="1" w:lastColumn="0" w:noHBand="0" w:noVBand="1"/>
      </w:tblPr>
      <w:tblGrid>
        <w:gridCol w:w="4622"/>
        <w:gridCol w:w="261"/>
        <w:gridCol w:w="4362"/>
      </w:tblGrid>
      <w:tr w:rsidR="00F93200" w:rsidRPr="00A67277" w14:paraId="05C3A5F1" w14:textId="77777777" w:rsidTr="00F93200">
        <w:tc>
          <w:tcPr>
            <w:tcW w:w="2500" w:type="pct"/>
            <w:shd w:val="clear" w:color="auto" w:fill="auto"/>
          </w:tcPr>
          <w:p w14:paraId="15B40788" w14:textId="38792D92" w:rsidR="00F93200" w:rsidRPr="00A67277" w:rsidRDefault="00F93200" w:rsidP="00F93200">
            <w:pPr>
              <w:pStyle w:val="Body1"/>
              <w:spacing w:before="120" w:after="120"/>
              <w:jc w:val="center"/>
              <w:rPr>
                <w:rFonts w:cs="Arial"/>
                <w:lang w:val="en-US"/>
              </w:rPr>
            </w:pPr>
            <w:r w:rsidRPr="00A67277">
              <w:rPr>
                <w:rFonts w:cs="Arial"/>
                <w:b/>
                <w:smallCaps/>
                <w:lang w:val="id-ID"/>
              </w:rPr>
              <w:t xml:space="preserve">Appendix </w:t>
            </w:r>
            <w:r w:rsidRPr="00A67277">
              <w:rPr>
                <w:rFonts w:cs="Arial"/>
                <w:b/>
                <w:smallCaps/>
                <w:lang w:val="en-US"/>
              </w:rPr>
              <w:t xml:space="preserve">25 [**Form of Agreement on Adjustment to the </w:t>
            </w:r>
            <w:r w:rsidR="00FD6128">
              <w:rPr>
                <w:rFonts w:cs="Arial"/>
                <w:b/>
                <w:smallCaps/>
                <w:lang w:val="en-US"/>
              </w:rPr>
              <w:t>Service Fee</w:t>
            </w:r>
            <w:r w:rsidRPr="00A67277">
              <w:rPr>
                <w:rFonts w:cs="Arial"/>
                <w:b/>
                <w:smallCaps/>
                <w:lang w:val="en-US"/>
              </w:rPr>
              <w:t xml:space="preserve"> due to Additional Lane *]</w:t>
            </w:r>
          </w:p>
        </w:tc>
        <w:tc>
          <w:tcPr>
            <w:tcW w:w="141" w:type="pct"/>
            <w:shd w:val="clear" w:color="auto" w:fill="auto"/>
          </w:tcPr>
          <w:p w14:paraId="3691B563" w14:textId="77777777" w:rsidR="00F93200" w:rsidRPr="00A67277" w:rsidRDefault="00F93200" w:rsidP="00F93200">
            <w:pPr>
              <w:pStyle w:val="Body1"/>
              <w:spacing w:before="120" w:after="120"/>
              <w:jc w:val="center"/>
              <w:rPr>
                <w:rFonts w:cs="Arial"/>
                <w:b/>
                <w:smallCaps/>
                <w:lang w:val="id-ID"/>
              </w:rPr>
            </w:pPr>
          </w:p>
        </w:tc>
        <w:tc>
          <w:tcPr>
            <w:tcW w:w="2359" w:type="pct"/>
            <w:shd w:val="clear" w:color="auto" w:fill="auto"/>
          </w:tcPr>
          <w:p w14:paraId="0EE86DA9" w14:textId="7D4A017A" w:rsidR="00F93200" w:rsidRPr="00A67277" w:rsidRDefault="00F93200" w:rsidP="00F93200">
            <w:pPr>
              <w:pStyle w:val="SchTitle"/>
              <w:rPr>
                <w:rFonts w:cs="Arial"/>
                <w:sz w:val="21"/>
              </w:rPr>
            </w:pPr>
            <w:r w:rsidRPr="00A67277">
              <w:rPr>
                <w:rFonts w:cs="Arial"/>
                <w:sz w:val="21"/>
              </w:rPr>
              <w:t xml:space="preserve">Lampiran </w:t>
            </w:r>
            <w:r w:rsidR="00B1479A" w:rsidRPr="00A67277">
              <w:rPr>
                <w:rFonts w:cs="Arial"/>
                <w:sz w:val="21"/>
              </w:rPr>
              <w:t>25</w:t>
            </w:r>
            <w:r w:rsidRPr="00A67277">
              <w:rPr>
                <w:rFonts w:cs="Arial"/>
                <w:sz w:val="21"/>
              </w:rPr>
              <w:t xml:space="preserve"> [*Bentuk Perjanjian Penyesuaian terhadap </w:t>
            </w:r>
            <w:r w:rsidR="000A127A">
              <w:rPr>
                <w:rFonts w:cs="Arial"/>
                <w:sz w:val="21"/>
              </w:rPr>
              <w:t>BIAYA</w:t>
            </w:r>
            <w:r w:rsidRPr="00A67277">
              <w:rPr>
                <w:rFonts w:cs="Arial"/>
                <w:sz w:val="21"/>
              </w:rPr>
              <w:t xml:space="preserve"> layanan karena jalur tambahan **]</w:t>
            </w:r>
          </w:p>
        </w:tc>
      </w:tr>
    </w:tbl>
    <w:p w14:paraId="51005B1B" w14:textId="77777777" w:rsidR="00923319" w:rsidRPr="00A67277" w:rsidRDefault="00923319" w:rsidP="00923319">
      <w:pPr>
        <w:rPr>
          <w:rFonts w:ascii="Arial" w:hAnsi="Arial" w:cs="Arial"/>
          <w:sz w:val="21"/>
          <w:szCs w:val="21"/>
        </w:rPr>
      </w:pPr>
    </w:p>
    <w:p w14:paraId="34A197A1" w14:textId="6F5EE500" w:rsidR="00923319" w:rsidRPr="00A67277" w:rsidRDefault="00A67277" w:rsidP="00923319">
      <w:pPr>
        <w:rPr>
          <w:rFonts w:ascii="Arial" w:hAnsi="Arial" w:cs="Arial"/>
          <w:sz w:val="21"/>
          <w:szCs w:val="21"/>
        </w:rPr>
      </w:pPr>
      <w:r>
        <w:rPr>
          <w:rFonts w:cs="Arial"/>
          <w:b/>
          <w:smallCaps/>
        </w:rPr>
        <w:t>[to be inserted]</w:t>
      </w:r>
    </w:p>
    <w:p w14:paraId="3642B94E" w14:textId="77777777" w:rsidR="00923319" w:rsidRPr="00A67277" w:rsidRDefault="00923319" w:rsidP="00923319">
      <w:pPr>
        <w:rPr>
          <w:rFonts w:ascii="Arial" w:hAnsi="Arial" w:cs="Arial"/>
          <w:sz w:val="21"/>
          <w:szCs w:val="21"/>
        </w:rPr>
      </w:pPr>
    </w:p>
    <w:p w14:paraId="38CBB98E" w14:textId="77777777" w:rsidR="00923319" w:rsidRPr="00A67277" w:rsidRDefault="00923319" w:rsidP="00923319">
      <w:pPr>
        <w:rPr>
          <w:rFonts w:ascii="Arial" w:hAnsi="Arial" w:cs="Arial"/>
          <w:sz w:val="21"/>
          <w:szCs w:val="21"/>
        </w:rPr>
      </w:pPr>
    </w:p>
    <w:p w14:paraId="7A9A5CB7" w14:textId="77777777" w:rsidR="00923319" w:rsidRPr="00A67277" w:rsidRDefault="00923319" w:rsidP="00923319">
      <w:pPr>
        <w:rPr>
          <w:rFonts w:ascii="Arial" w:hAnsi="Arial" w:cs="Arial"/>
          <w:sz w:val="21"/>
          <w:szCs w:val="21"/>
        </w:rPr>
      </w:pPr>
    </w:p>
    <w:p w14:paraId="0EE3DA69" w14:textId="77777777" w:rsidR="00923319" w:rsidRPr="00A67277" w:rsidRDefault="00923319" w:rsidP="00923319">
      <w:pPr>
        <w:rPr>
          <w:rFonts w:ascii="Arial" w:hAnsi="Arial" w:cs="Arial"/>
          <w:sz w:val="21"/>
          <w:szCs w:val="21"/>
        </w:rPr>
      </w:pPr>
    </w:p>
    <w:p w14:paraId="563EA06C" w14:textId="77777777" w:rsidR="00923319" w:rsidRPr="00A67277" w:rsidRDefault="00923319" w:rsidP="00923319">
      <w:pPr>
        <w:rPr>
          <w:rFonts w:ascii="Arial" w:hAnsi="Arial" w:cs="Arial"/>
          <w:sz w:val="21"/>
          <w:szCs w:val="21"/>
        </w:rPr>
      </w:pPr>
    </w:p>
    <w:p w14:paraId="3B9D2481" w14:textId="77777777" w:rsidR="00923319" w:rsidRPr="00A67277" w:rsidRDefault="00923319" w:rsidP="00923319">
      <w:pPr>
        <w:rPr>
          <w:rFonts w:ascii="Arial" w:hAnsi="Arial" w:cs="Arial"/>
          <w:sz w:val="21"/>
          <w:szCs w:val="21"/>
        </w:rPr>
      </w:pPr>
    </w:p>
    <w:p w14:paraId="1015D9DF" w14:textId="77777777" w:rsidR="00923319" w:rsidRPr="00A67277" w:rsidRDefault="00923319"/>
    <w:sectPr w:rsidR="00923319" w:rsidRPr="00A67277" w:rsidSect="00D23F95">
      <w:footerReference w:type="default" r:id="rId10"/>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92BF9" w14:textId="77777777" w:rsidR="00E2164A" w:rsidRDefault="00E2164A" w:rsidP="00BB1D51">
      <w:pPr>
        <w:spacing w:after="0" w:line="240" w:lineRule="auto"/>
      </w:pPr>
      <w:r>
        <w:separator/>
      </w:r>
    </w:p>
  </w:endnote>
  <w:endnote w:type="continuationSeparator" w:id="0">
    <w:p w14:paraId="6281935E" w14:textId="77777777" w:rsidR="00E2164A" w:rsidRDefault="00E2164A" w:rsidP="00BB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TZhongsong">
    <w:charset w:val="86"/>
    <w:family w:val="auto"/>
    <w:pitch w:val="variable"/>
    <w:sig w:usb0="00000287" w:usb1="080F0000" w:usb2="00000010" w:usb3="00000000" w:csb0="000400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110104"/>
      <w:docPartObj>
        <w:docPartGallery w:val="Page Numbers (Bottom of Page)"/>
        <w:docPartUnique/>
      </w:docPartObj>
    </w:sdtPr>
    <w:sdtEndPr/>
    <w:sdtContent>
      <w:sdt>
        <w:sdtPr>
          <w:id w:val="-1669238322"/>
          <w:docPartObj>
            <w:docPartGallery w:val="Page Numbers (Top of Page)"/>
            <w:docPartUnique/>
          </w:docPartObj>
        </w:sdtPr>
        <w:sdtEndPr/>
        <w:sdtContent>
          <w:p w14:paraId="31FB7ABD" w14:textId="0397A0E0" w:rsidR="00E45C86" w:rsidRDefault="00E45C86">
            <w:pPr>
              <w:pStyle w:val="Footer"/>
              <w:jc w:val="center"/>
            </w:pPr>
            <w:r w:rsidRPr="00A67277">
              <w:rPr>
                <w:rFonts w:ascii="Arial" w:hAnsi="Arial" w:cs="Arial"/>
                <w:sz w:val="18"/>
                <w:szCs w:val="18"/>
              </w:rPr>
              <w:t xml:space="preserve">Page </w:t>
            </w:r>
            <w:r w:rsidRPr="00A67277">
              <w:rPr>
                <w:rFonts w:ascii="Arial" w:hAnsi="Arial" w:cs="Arial"/>
                <w:b/>
                <w:bCs/>
                <w:sz w:val="18"/>
                <w:szCs w:val="18"/>
              </w:rPr>
              <w:fldChar w:fldCharType="begin"/>
            </w:r>
            <w:r w:rsidRPr="00A67277">
              <w:rPr>
                <w:rFonts w:ascii="Arial" w:hAnsi="Arial" w:cs="Arial"/>
                <w:b/>
                <w:bCs/>
                <w:sz w:val="18"/>
                <w:szCs w:val="18"/>
              </w:rPr>
              <w:instrText xml:space="preserve"> PAGE </w:instrText>
            </w:r>
            <w:r w:rsidRPr="00A67277">
              <w:rPr>
                <w:rFonts w:ascii="Arial" w:hAnsi="Arial" w:cs="Arial"/>
                <w:b/>
                <w:bCs/>
                <w:sz w:val="18"/>
                <w:szCs w:val="18"/>
              </w:rPr>
              <w:fldChar w:fldCharType="separate"/>
            </w:r>
            <w:r w:rsidR="0070717D">
              <w:rPr>
                <w:rFonts w:ascii="Arial" w:hAnsi="Arial" w:cs="Arial"/>
                <w:b/>
                <w:bCs/>
                <w:noProof/>
                <w:sz w:val="18"/>
                <w:szCs w:val="18"/>
              </w:rPr>
              <w:t>1</w:t>
            </w:r>
            <w:r w:rsidRPr="00A67277">
              <w:rPr>
                <w:rFonts w:ascii="Arial" w:hAnsi="Arial" w:cs="Arial"/>
                <w:b/>
                <w:bCs/>
                <w:sz w:val="18"/>
                <w:szCs w:val="18"/>
              </w:rPr>
              <w:fldChar w:fldCharType="end"/>
            </w:r>
            <w:r w:rsidRPr="00A67277">
              <w:rPr>
                <w:rFonts w:ascii="Arial" w:hAnsi="Arial" w:cs="Arial"/>
                <w:sz w:val="18"/>
                <w:szCs w:val="18"/>
              </w:rPr>
              <w:t xml:space="preserve"> of </w:t>
            </w:r>
            <w:r w:rsidRPr="00A67277">
              <w:rPr>
                <w:rFonts w:ascii="Arial" w:hAnsi="Arial" w:cs="Arial"/>
                <w:b/>
                <w:bCs/>
                <w:sz w:val="18"/>
                <w:szCs w:val="18"/>
              </w:rPr>
              <w:fldChar w:fldCharType="begin"/>
            </w:r>
            <w:r w:rsidRPr="00A67277">
              <w:rPr>
                <w:rFonts w:ascii="Arial" w:hAnsi="Arial" w:cs="Arial"/>
                <w:b/>
                <w:bCs/>
                <w:sz w:val="18"/>
                <w:szCs w:val="18"/>
              </w:rPr>
              <w:instrText xml:space="preserve"> NUMPAGES  </w:instrText>
            </w:r>
            <w:r w:rsidRPr="00A67277">
              <w:rPr>
                <w:rFonts w:ascii="Arial" w:hAnsi="Arial" w:cs="Arial"/>
                <w:b/>
                <w:bCs/>
                <w:sz w:val="18"/>
                <w:szCs w:val="18"/>
              </w:rPr>
              <w:fldChar w:fldCharType="separate"/>
            </w:r>
            <w:r w:rsidR="0070717D">
              <w:rPr>
                <w:rFonts w:ascii="Arial" w:hAnsi="Arial" w:cs="Arial"/>
                <w:b/>
                <w:bCs/>
                <w:noProof/>
                <w:sz w:val="18"/>
                <w:szCs w:val="18"/>
              </w:rPr>
              <w:t>19</w:t>
            </w:r>
            <w:r w:rsidRPr="00A67277">
              <w:rPr>
                <w:rFonts w:ascii="Arial" w:hAnsi="Arial" w:cs="Arial"/>
                <w:b/>
                <w:bCs/>
                <w:sz w:val="18"/>
                <w:szCs w:val="18"/>
              </w:rPr>
              <w:fldChar w:fldCharType="end"/>
            </w:r>
          </w:p>
        </w:sdtContent>
      </w:sdt>
    </w:sdtContent>
  </w:sdt>
  <w:p w14:paraId="5678B1AE" w14:textId="77777777" w:rsidR="00E45C86" w:rsidRDefault="00E45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143130"/>
      <w:docPartObj>
        <w:docPartGallery w:val="Page Numbers (Bottom of Page)"/>
        <w:docPartUnique/>
      </w:docPartObj>
    </w:sdtPr>
    <w:sdtEndPr>
      <w:rPr>
        <w:noProof/>
      </w:rPr>
    </w:sdtEndPr>
    <w:sdtContent>
      <w:p w14:paraId="26851BFC" w14:textId="77777777" w:rsidR="00E45C86" w:rsidRDefault="00E45C86">
        <w:pPr>
          <w:pStyle w:val="Footer"/>
          <w:jc w:val="right"/>
        </w:pPr>
        <w:r>
          <w:fldChar w:fldCharType="begin"/>
        </w:r>
        <w:r>
          <w:instrText xml:space="preserve"> PAGE   \* MERGEFORMAT </w:instrText>
        </w:r>
        <w:r>
          <w:fldChar w:fldCharType="separate"/>
        </w:r>
        <w:r w:rsidR="00343F7F">
          <w:rPr>
            <w:noProof/>
          </w:rPr>
          <w:t>251</w:t>
        </w:r>
        <w:r>
          <w:rPr>
            <w:noProof/>
          </w:rPr>
          <w:fldChar w:fldCharType="end"/>
        </w:r>
      </w:p>
    </w:sdtContent>
  </w:sdt>
  <w:p w14:paraId="5B8F51DC" w14:textId="77777777" w:rsidR="00E45C86" w:rsidRDefault="00E45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EF179" w14:textId="77777777" w:rsidR="00E2164A" w:rsidRDefault="00E2164A" w:rsidP="00BB1D51">
      <w:pPr>
        <w:spacing w:after="0" w:line="240" w:lineRule="auto"/>
      </w:pPr>
      <w:r>
        <w:separator/>
      </w:r>
    </w:p>
  </w:footnote>
  <w:footnote w:type="continuationSeparator" w:id="0">
    <w:p w14:paraId="1419B1CE" w14:textId="77777777" w:rsidR="00E2164A" w:rsidRDefault="00E2164A" w:rsidP="00BB1D51">
      <w:pPr>
        <w:spacing w:after="0" w:line="240" w:lineRule="auto"/>
      </w:pPr>
      <w:r>
        <w:continuationSeparator/>
      </w:r>
    </w:p>
  </w:footnote>
  <w:footnote w:id="1">
    <w:p w14:paraId="16B9C9C2" w14:textId="77777777" w:rsidR="00E45C86" w:rsidRPr="00683CE5" w:rsidRDefault="00E45C86" w:rsidP="00BA7204">
      <w:pPr>
        <w:pStyle w:val="FootnoteText"/>
      </w:pPr>
      <w:r>
        <w:rPr>
          <w:rStyle w:val="FootnoteReference"/>
        </w:rPr>
        <w:footnoteRef/>
      </w:r>
      <w:r>
        <w:t xml:space="preserve"> </w:t>
      </w:r>
      <w:r>
        <w:tab/>
      </w:r>
      <w:r>
        <w:rPr>
          <w:b/>
          <w:szCs w:val="24"/>
          <w:lang w:eastAsia="zh-TW"/>
        </w:rPr>
        <w:t xml:space="preserve">Note: </w:t>
      </w:r>
      <w:r>
        <w:t>All references to Guarantors is subject to the guarantee structure, e.g. whether or not MOF will act as co-guarantor. If the guarantee is only from IIGF (no co-guarantee from MOF), then reference to ‘Guarantors’ should be made singular.</w:t>
      </w:r>
    </w:p>
  </w:footnote>
  <w:footnote w:id="2">
    <w:p w14:paraId="707DD00B" w14:textId="7EADEB61" w:rsidR="00E45C86" w:rsidRPr="00683CE5" w:rsidRDefault="00E45C86" w:rsidP="00BA7204">
      <w:pPr>
        <w:pStyle w:val="FootnoteText"/>
        <w:tabs>
          <w:tab w:val="clear" w:pos="720"/>
        </w:tabs>
      </w:pPr>
      <w:r>
        <w:rPr>
          <w:rStyle w:val="FootnoteReference"/>
        </w:rPr>
        <w:footnoteRef/>
      </w:r>
      <w:r>
        <w:t xml:space="preserve"> </w:t>
      </w:r>
      <w:r>
        <w:tab/>
      </w:r>
      <w:r>
        <w:rPr>
          <w:b/>
          <w:szCs w:val="24"/>
          <w:lang w:eastAsia="zh-TW"/>
        </w:rPr>
        <w:t xml:space="preserve">Catatan: </w:t>
      </w:r>
      <w:r>
        <w:rPr>
          <w:szCs w:val="24"/>
          <w:lang w:eastAsia="zh-TW"/>
        </w:rPr>
        <w:t>Semua referensi tunduk pada struktur jaminan</w:t>
      </w:r>
      <w:r>
        <w:t>, e.g. apakah Kemenkeu akan bertindak sebagai penjamin bersama. Jika jaminan hanya dari PT PII (tidak ada jaminan bersama dari Kemenkeu), maka referensi ‘Penjamin’ harus dibuat tunggal.</w:t>
      </w:r>
    </w:p>
  </w:footnote>
  <w:footnote w:id="3">
    <w:p w14:paraId="25A33B85" w14:textId="77777777" w:rsidR="00E45C86" w:rsidRDefault="00E45C86" w:rsidP="00BA7204">
      <w:pPr>
        <w:pStyle w:val="FootnoteText"/>
        <w:rPr>
          <w:rFonts w:ascii="Times New Roman" w:eastAsia="Times New Roman" w:hAnsi="Times New Roman"/>
          <w:sz w:val="24"/>
          <w:szCs w:val="24"/>
        </w:rPr>
      </w:pPr>
      <w:bookmarkStart w:id="33" w:name="_cp_text_2_418"/>
      <w:r>
        <w:rPr>
          <w:rStyle w:val="FootnoteReference"/>
          <w:szCs w:val="24"/>
        </w:rPr>
        <w:footnoteRef/>
      </w:r>
      <w:bookmarkStart w:id="34" w:name="_cp_text_1_419"/>
      <w:bookmarkEnd w:id="33"/>
      <w:r>
        <w:rPr>
          <w:kern w:val="28"/>
          <w:szCs w:val="24"/>
          <w:lang w:eastAsia="en-GB"/>
        </w:rPr>
        <w:t xml:space="preserve"> </w:t>
      </w:r>
      <w:bookmarkEnd w:id="34"/>
      <w:r>
        <w:rPr>
          <w:kern w:val="28"/>
          <w:szCs w:val="24"/>
          <w:lang w:eastAsia="en-GB"/>
        </w:rPr>
        <w:tab/>
      </w:r>
      <w:r>
        <w:rPr>
          <w:b/>
          <w:kern w:val="28"/>
          <w:szCs w:val="24"/>
          <w:lang w:eastAsia="en-GB"/>
        </w:rPr>
        <w:t>Note:</w:t>
      </w:r>
      <w:r>
        <w:rPr>
          <w:kern w:val="28"/>
          <w:szCs w:val="24"/>
          <w:lang w:eastAsia="en-GB"/>
        </w:rPr>
        <w:t xml:space="preserve"> Independent Certifier must be a person/ legal entity having the appropriate license/certifications to perform its function pursuant to this Agreement. </w:t>
      </w:r>
    </w:p>
  </w:footnote>
  <w:footnote w:id="4">
    <w:p w14:paraId="022F2B2C" w14:textId="77777777" w:rsidR="00E45C86" w:rsidRPr="00E01BF3" w:rsidRDefault="00E45C86" w:rsidP="00BA7204">
      <w:pPr>
        <w:pStyle w:val="FootnoteText"/>
        <w:tabs>
          <w:tab w:val="clear" w:pos="720"/>
        </w:tabs>
        <w:rPr>
          <w:lang w:val="en-ID"/>
        </w:rPr>
      </w:pPr>
      <w:r>
        <w:rPr>
          <w:rStyle w:val="FootnoteReference"/>
        </w:rPr>
        <w:footnoteRef/>
      </w:r>
      <w:r>
        <w:t xml:space="preserve"> </w:t>
      </w:r>
      <w:r>
        <w:tab/>
      </w:r>
      <w:r>
        <w:rPr>
          <w:b/>
          <w:lang w:val="en-ID"/>
        </w:rPr>
        <w:t xml:space="preserve">Catatan: </w:t>
      </w:r>
      <w:r>
        <w:rPr>
          <w:lang w:val="en-ID"/>
        </w:rPr>
        <w:t>Konsultan Pengawas Independen harus orang/badan hukum yang memiliki izin/sertifikasi untuk melaksanakan fungsinya sesuai dengan Perjanjian ini.</w:t>
      </w:r>
    </w:p>
  </w:footnote>
  <w:footnote w:id="5">
    <w:p w14:paraId="6697DFE5" w14:textId="77777777" w:rsidR="00E45C86" w:rsidRDefault="00E45C86" w:rsidP="00BA7204">
      <w:pPr>
        <w:pStyle w:val="FootnoteText"/>
      </w:pPr>
      <w:r>
        <w:rPr>
          <w:rStyle w:val="FootnoteReference"/>
        </w:rPr>
        <w:footnoteRef/>
      </w:r>
      <w:r>
        <w:t xml:space="preserve"> </w:t>
      </w:r>
      <w:r>
        <w:tab/>
      </w:r>
      <w:r>
        <w:rPr>
          <w:b/>
        </w:rPr>
        <w:t>Note:</w:t>
      </w:r>
      <w:r>
        <w:t xml:space="preserve"> </w:t>
      </w:r>
      <w:r>
        <w:rPr>
          <w:szCs w:val="24"/>
        </w:rPr>
        <w:t>This should normally be the lead members in the Proposal or their parent company, if the bidders receive support from the parent company</w:t>
      </w:r>
    </w:p>
  </w:footnote>
  <w:footnote w:id="6">
    <w:p w14:paraId="6B7534C6" w14:textId="77777777" w:rsidR="00E45C86" w:rsidRDefault="00E45C86" w:rsidP="00BA7204">
      <w:pPr>
        <w:pStyle w:val="FootnoteText"/>
      </w:pPr>
      <w:r>
        <w:rPr>
          <w:rStyle w:val="FootnoteReference"/>
        </w:rPr>
        <w:footnoteRef/>
      </w:r>
      <w:r>
        <w:t xml:space="preserve"> </w:t>
      </w:r>
      <w:r>
        <w:tab/>
      </w:r>
      <w:r>
        <w:rPr>
          <w:b/>
        </w:rPr>
        <w:t>Catatan:</w:t>
      </w:r>
      <w:r>
        <w:t xml:space="preserve"> Hal ini secara normal merupakan pimpinan dalam </w:t>
      </w:r>
      <w:r>
        <w:rPr>
          <w:szCs w:val="24"/>
          <w:lang w:val="en-ID"/>
        </w:rPr>
        <w:t xml:space="preserve">Dokumen Penawaran </w:t>
      </w:r>
      <w:r>
        <w:rPr>
          <w:szCs w:val="24"/>
        </w:rPr>
        <w:t>atau perusahaan induk mereka, jika peserta lelang menerima dukungan dari perusahaan induk.</w:t>
      </w:r>
    </w:p>
  </w:footnote>
  <w:footnote w:id="7">
    <w:p w14:paraId="0A7685F2" w14:textId="77777777" w:rsidR="00E45C86" w:rsidRDefault="00E45C86" w:rsidP="00BA7204">
      <w:pPr>
        <w:pStyle w:val="FootnoteText"/>
      </w:pPr>
      <w:r>
        <w:rPr>
          <w:rStyle w:val="FootnoteReference"/>
        </w:rPr>
        <w:footnoteRef/>
      </w:r>
      <w:r>
        <w:t xml:space="preserve"> </w:t>
      </w:r>
      <w:r>
        <w:tab/>
        <w:t xml:space="preserve">Note: Under Article 37(3) Bappenas Reg. 4/2015, any extension can only be made for every 6 months period. </w:t>
      </w:r>
    </w:p>
  </w:footnote>
  <w:footnote w:id="8">
    <w:p w14:paraId="7FFD4BAF" w14:textId="77777777" w:rsidR="00E45C86" w:rsidRPr="005B1174" w:rsidRDefault="00E45C86" w:rsidP="00BA7204">
      <w:pPr>
        <w:pStyle w:val="FootnoteText"/>
        <w:rPr>
          <w:lang w:val="en-ID"/>
        </w:rPr>
      </w:pPr>
      <w:r>
        <w:rPr>
          <w:rStyle w:val="FootnoteReference"/>
        </w:rPr>
        <w:footnoteRef/>
      </w:r>
      <w:r>
        <w:t xml:space="preserve"> </w:t>
      </w:r>
      <w:r>
        <w:tab/>
      </w:r>
      <w:r>
        <w:rPr>
          <w:b/>
          <w:lang w:val="en-ID"/>
        </w:rPr>
        <w:t xml:space="preserve">Catatan: </w:t>
      </w:r>
      <w:r>
        <w:rPr>
          <w:lang w:val="en-ID"/>
        </w:rPr>
        <w:t>Berdasarkan Pasal 37(3) Peraturan Bappenas 4/2015, setiap perpanjangan hanya dapat dibuat untuk setiap 6 bulan.</w:t>
      </w:r>
    </w:p>
  </w:footnote>
  <w:footnote w:id="9">
    <w:p w14:paraId="334D7050" w14:textId="77777777" w:rsidR="00E45C86" w:rsidRDefault="00E45C86" w:rsidP="00BA7204">
      <w:pPr>
        <w:pStyle w:val="FootnoteText"/>
        <w:rPr>
          <w:rFonts w:ascii="Times New Roman" w:eastAsia="Times New Roman" w:hAnsi="Times New Roman"/>
          <w:sz w:val="24"/>
          <w:szCs w:val="24"/>
        </w:rPr>
      </w:pPr>
      <w:r>
        <w:rPr>
          <w:rStyle w:val="FootnoteReference"/>
          <w:szCs w:val="24"/>
        </w:rPr>
        <w:footnoteRef/>
      </w:r>
      <w:r>
        <w:rPr>
          <w:szCs w:val="24"/>
          <w:lang w:eastAsia="en-GB"/>
        </w:rPr>
        <w:t xml:space="preserve"> </w:t>
      </w:r>
      <w:r>
        <w:rPr>
          <w:szCs w:val="24"/>
          <w:lang w:eastAsia="en-GB"/>
        </w:rPr>
        <w:tab/>
      </w:r>
      <w:r>
        <w:rPr>
          <w:b/>
          <w:szCs w:val="24"/>
          <w:lang w:eastAsia="en-GB"/>
        </w:rPr>
        <w:t>Note</w:t>
      </w:r>
      <w:r>
        <w:rPr>
          <w:szCs w:val="24"/>
          <w:lang w:eastAsia="en-GB"/>
        </w:rPr>
        <w:t xml:space="preserve">:  Reimbursement of certain expenditures between signing and Effective Date to be considered.  </w:t>
      </w:r>
    </w:p>
  </w:footnote>
  <w:footnote w:id="10">
    <w:p w14:paraId="3CDA6ABB" w14:textId="77777777" w:rsidR="00E45C86" w:rsidRPr="005B1174" w:rsidRDefault="00E45C86" w:rsidP="00BA7204">
      <w:pPr>
        <w:pStyle w:val="FootnoteText"/>
        <w:rPr>
          <w:lang w:val="en-ID"/>
        </w:rPr>
      </w:pPr>
      <w:r>
        <w:rPr>
          <w:rStyle w:val="FootnoteReference"/>
        </w:rPr>
        <w:footnoteRef/>
      </w:r>
      <w:r>
        <w:t xml:space="preserve"> </w:t>
      </w:r>
      <w:r>
        <w:rPr>
          <w:lang w:val="en-ID"/>
        </w:rPr>
        <w:tab/>
      </w:r>
      <w:r>
        <w:rPr>
          <w:b/>
          <w:lang w:val="en-ID"/>
        </w:rPr>
        <w:t xml:space="preserve">Catatan: </w:t>
      </w:r>
      <w:r>
        <w:rPr>
          <w:lang w:val="en-ID"/>
        </w:rPr>
        <w:t>Pembayaran kembali atas pengeluaran tertentu antara Tanggal Penandatanganan dan Tanggal Efektif untuk dipertimbangkan.</w:t>
      </w:r>
    </w:p>
  </w:footnote>
  <w:footnote w:id="11">
    <w:p w14:paraId="223D4E38" w14:textId="77777777" w:rsidR="00E45C86" w:rsidRPr="00F24B07" w:rsidRDefault="00E45C86" w:rsidP="00BA7204">
      <w:pPr>
        <w:pStyle w:val="FootnoteText"/>
      </w:pPr>
      <w:r>
        <w:rPr>
          <w:rStyle w:val="FootnoteReference"/>
        </w:rPr>
        <w:footnoteRef/>
      </w:r>
      <w:r>
        <w:t xml:space="preserve"> Roatex to consider</w:t>
      </w:r>
    </w:p>
  </w:footnote>
  <w:footnote w:id="12">
    <w:p w14:paraId="24EE7C5C" w14:textId="77777777" w:rsidR="00E45C86" w:rsidRPr="00F24B07" w:rsidRDefault="00E45C86" w:rsidP="00BA7204">
      <w:pPr>
        <w:pStyle w:val="FootnoteText"/>
      </w:pPr>
      <w:r>
        <w:rPr>
          <w:rStyle w:val="FootnoteReference"/>
        </w:rPr>
        <w:footnoteRef/>
      </w:r>
      <w:r>
        <w:t xml:space="preserve"> Untuk dipertimbangkan oleh Roatex</w:t>
      </w:r>
    </w:p>
  </w:footnote>
  <w:footnote w:id="13">
    <w:p w14:paraId="6C2589DF" w14:textId="77777777" w:rsidR="00E45C86" w:rsidRPr="004D0B7F" w:rsidRDefault="00E45C86" w:rsidP="00BA7204">
      <w:pPr>
        <w:pStyle w:val="FootnoteText"/>
      </w:pPr>
      <w:r>
        <w:rPr>
          <w:rStyle w:val="FootnoteReference"/>
        </w:rPr>
        <w:footnoteRef/>
      </w:r>
      <w:r>
        <w:t xml:space="preserve"> Parties to consider. This may not be applicable or be a longer period where the project is required to have back-up supply</w:t>
      </w:r>
    </w:p>
  </w:footnote>
  <w:footnote w:id="14">
    <w:p w14:paraId="77270F8B" w14:textId="77777777" w:rsidR="00E45C86" w:rsidRPr="00E01BF3" w:rsidRDefault="00E45C86" w:rsidP="00BA7204">
      <w:pPr>
        <w:pStyle w:val="FootnoteText"/>
        <w:tabs>
          <w:tab w:val="clear" w:pos="720"/>
        </w:tabs>
        <w:ind w:left="0" w:firstLine="0"/>
      </w:pPr>
      <w:r>
        <w:rPr>
          <w:rStyle w:val="FootnoteReference"/>
        </w:rPr>
        <w:footnoteRef/>
      </w:r>
      <w:r>
        <w:t xml:space="preserve"> Untuk dipertimbangkan Para Pihak. Pasal ini dapat tidak berlaku atau menjadi jangka waktu lebih lama dimana proyek harus memiliki persediaan cadangan.</w:t>
      </w:r>
    </w:p>
  </w:footnote>
  <w:footnote w:id="15">
    <w:p w14:paraId="308C381D" w14:textId="77777777" w:rsidR="00E45C86" w:rsidRPr="00034844" w:rsidRDefault="00E45C86" w:rsidP="00BA7204">
      <w:pPr>
        <w:pStyle w:val="FootnoteText"/>
        <w:tabs>
          <w:tab w:val="clear" w:pos="720"/>
        </w:tabs>
        <w:ind w:left="0" w:firstLine="0"/>
      </w:pPr>
      <w:r>
        <w:rPr>
          <w:rStyle w:val="FootnoteReference"/>
        </w:rPr>
        <w:footnoteRef/>
      </w:r>
      <w:r>
        <w:t xml:space="preserve"> Parties to consider the threshold. </w:t>
      </w:r>
    </w:p>
  </w:footnote>
  <w:footnote w:id="16">
    <w:p w14:paraId="0E518AAD" w14:textId="77777777" w:rsidR="00E45C86" w:rsidRPr="00034844" w:rsidRDefault="00E45C86" w:rsidP="00BA7204">
      <w:pPr>
        <w:pStyle w:val="FootnoteText"/>
        <w:tabs>
          <w:tab w:val="clear" w:pos="720"/>
        </w:tabs>
        <w:ind w:left="0" w:firstLine="0"/>
      </w:pPr>
      <w:r>
        <w:rPr>
          <w:rStyle w:val="FootnoteReference"/>
        </w:rPr>
        <w:footnoteRef/>
      </w:r>
      <w:r>
        <w:t xml:space="preserve"> </w:t>
      </w:r>
      <w:r>
        <w:rPr>
          <w:rStyle w:val="shorttext"/>
          <w:lang w:val="id-ID"/>
        </w:rPr>
        <w:t>Pihak mempertimbangkan ambang batas</w:t>
      </w:r>
      <w:r>
        <w:t xml:space="preserve">. </w:t>
      </w:r>
    </w:p>
  </w:footnote>
  <w:footnote w:id="17">
    <w:p w14:paraId="6C313049" w14:textId="77777777" w:rsidR="00E45C86" w:rsidRPr="00FC63D3" w:rsidRDefault="00E45C86" w:rsidP="00BA7204">
      <w:pPr>
        <w:pStyle w:val="FootnoteText"/>
        <w:tabs>
          <w:tab w:val="clear" w:pos="720"/>
        </w:tabs>
        <w:ind w:left="0" w:firstLine="0"/>
      </w:pPr>
      <w:r>
        <w:rPr>
          <w:rStyle w:val="FootnoteReference"/>
        </w:rPr>
        <w:footnoteRef/>
      </w:r>
      <w:r>
        <w:t xml:space="preserve"> Parties to consider.</w:t>
      </w:r>
    </w:p>
  </w:footnote>
  <w:footnote w:id="18">
    <w:p w14:paraId="3616448D" w14:textId="77777777" w:rsidR="00E45C86" w:rsidRPr="00E01BF3" w:rsidRDefault="00E45C86" w:rsidP="00BA7204">
      <w:pPr>
        <w:pStyle w:val="FootnoteText"/>
        <w:tabs>
          <w:tab w:val="clear" w:pos="720"/>
        </w:tabs>
        <w:ind w:left="0" w:firstLine="0"/>
        <w:rPr>
          <w:lang w:val="en-ID"/>
        </w:rPr>
      </w:pPr>
      <w:r>
        <w:rPr>
          <w:rStyle w:val="FootnoteReference"/>
        </w:rPr>
        <w:footnoteRef/>
      </w:r>
      <w:r>
        <w:t xml:space="preserve"> Para Pihak untuk mempertimbangkan.</w:t>
      </w:r>
    </w:p>
  </w:footnote>
  <w:footnote w:id="19">
    <w:p w14:paraId="0F509B95" w14:textId="77777777" w:rsidR="00E45C86" w:rsidRPr="00FC63D3" w:rsidRDefault="00E45C86" w:rsidP="00BA7204">
      <w:pPr>
        <w:pStyle w:val="FootnoteText"/>
        <w:tabs>
          <w:tab w:val="clear" w:pos="720"/>
        </w:tabs>
        <w:ind w:left="0" w:firstLine="0"/>
      </w:pPr>
      <w:r>
        <w:rPr>
          <w:rStyle w:val="FootnoteReference"/>
        </w:rPr>
        <w:footnoteRef/>
      </w:r>
      <w:r>
        <w:t xml:space="preserve"> Parties to consider. </w:t>
      </w:r>
    </w:p>
  </w:footnote>
  <w:footnote w:id="20">
    <w:p w14:paraId="226D6C1C" w14:textId="77777777" w:rsidR="00E45C86" w:rsidRPr="00E01BF3" w:rsidRDefault="00E45C86" w:rsidP="00BA7204">
      <w:pPr>
        <w:pStyle w:val="FootnoteText"/>
        <w:tabs>
          <w:tab w:val="clear" w:pos="720"/>
        </w:tabs>
        <w:ind w:left="0" w:firstLine="0"/>
      </w:pPr>
      <w:r>
        <w:rPr>
          <w:rStyle w:val="FootnoteReference"/>
        </w:rPr>
        <w:footnoteRef/>
      </w:r>
      <w:r>
        <w:t xml:space="preserve"> Para Pihak untuk mempertimbangkan.</w:t>
      </w:r>
    </w:p>
  </w:footnote>
  <w:footnote w:id="21">
    <w:p w14:paraId="168E3777" w14:textId="77777777" w:rsidR="00E45C86" w:rsidRPr="00BA4A9F" w:rsidRDefault="00E45C86" w:rsidP="00923319">
      <w:pPr>
        <w:pStyle w:val="FootnoteText"/>
        <w:tabs>
          <w:tab w:val="clear" w:pos="720"/>
        </w:tabs>
        <w:ind w:left="0" w:firstLine="0"/>
      </w:pPr>
      <w:r>
        <w:rPr>
          <w:rStyle w:val="FootnoteReference"/>
        </w:rPr>
        <w:footnoteRef/>
      </w:r>
      <w:r>
        <w:t xml:space="preserve"> </w:t>
      </w:r>
      <w:r w:rsidRPr="00BA4A9F">
        <w:t xml:space="preserve">Note: The current </w:t>
      </w:r>
      <w:r>
        <w:t xml:space="preserve">model agreement </w:t>
      </w:r>
      <w:r w:rsidRPr="00BA4A9F">
        <w:t xml:space="preserve">assumes that the banks must be repaid even in the event that Termination is due to IBE Fault, or otherwise the Agreement is not bankable. Therefore, under all scenarios, the full debt for the </w:t>
      </w:r>
      <w:r>
        <w:t xml:space="preserve">Facility </w:t>
      </w:r>
      <w:r w:rsidRPr="00BA4A9F">
        <w:t>is included]</w:t>
      </w:r>
    </w:p>
  </w:footnote>
  <w:footnote w:id="22">
    <w:p w14:paraId="68F29876" w14:textId="77777777" w:rsidR="00E45C86" w:rsidRPr="00BA4A9F" w:rsidRDefault="00E45C86" w:rsidP="00923319">
      <w:pPr>
        <w:pStyle w:val="FootnoteText"/>
        <w:tabs>
          <w:tab w:val="clear" w:pos="720"/>
        </w:tabs>
        <w:ind w:left="0" w:firstLine="0"/>
      </w:pPr>
      <w:r>
        <w:rPr>
          <w:rStyle w:val="FootnoteReference"/>
        </w:rPr>
        <w:footnoteRef/>
      </w:r>
      <w:r>
        <w:t xml:space="preserve"> Catatan: Model perjanjian saat ini mengasumsikan bahwa bank harus mendapatkan pembayaran meskipun Pengakhiran disebabkan karena Cidera Janji BUP, mengingat tanpa hal ini Perjanjian tidak </w:t>
      </w:r>
      <w:r w:rsidRPr="007571DC">
        <w:rPr>
          <w:i/>
        </w:rPr>
        <w:t>bankable</w:t>
      </w:r>
      <w:r>
        <w:t xml:space="preserve">. Oleh karenanya, pada semua scenario, semua hutang untuk Fasilitas diperhitungkan. </w:t>
      </w:r>
    </w:p>
  </w:footnote>
  <w:footnote w:id="23">
    <w:p w14:paraId="3DCFC49A" w14:textId="77777777" w:rsidR="00E45C86" w:rsidRDefault="00E45C86" w:rsidP="00923319">
      <w:pPr>
        <w:pStyle w:val="FootnoteText"/>
        <w:tabs>
          <w:tab w:val="clear" w:pos="720"/>
        </w:tabs>
        <w:ind w:left="0" w:firstLine="0"/>
      </w:pPr>
      <w:r>
        <w:rPr>
          <w:rStyle w:val="FootnoteReference"/>
        </w:rPr>
        <w:footnoteRef/>
      </w:r>
      <w:r>
        <w:t xml:space="preserve"> Note: The formulae in this section mean that Forex Rate Swap Termination Cost and Interest Rate Swap Termination Cost are not included in the Termination Cost (as the addition of of Forex Rate Swap Termination Cost and Interest Rate Swap Termination Cost through component C/2 is cancelled out by the subtraction of component H/2).</w:t>
      </w:r>
    </w:p>
  </w:footnote>
  <w:footnote w:id="24">
    <w:p w14:paraId="66B62AB3" w14:textId="77777777" w:rsidR="00E45C86" w:rsidRDefault="00E45C86" w:rsidP="00923319">
      <w:pPr>
        <w:pStyle w:val="FootnoteText"/>
        <w:tabs>
          <w:tab w:val="clear" w:pos="720"/>
        </w:tabs>
        <w:ind w:left="0" w:firstLine="0"/>
      </w:pPr>
      <w:r>
        <w:rPr>
          <w:rStyle w:val="FootnoteReference"/>
        </w:rPr>
        <w:footnoteRef/>
      </w:r>
      <w:r>
        <w:t xml:space="preserve"> Catatan: Formula dalam pasal ini berarti bahwa Biaya Pengakhiran </w:t>
      </w:r>
      <w:r w:rsidRPr="00E14C49">
        <w:rPr>
          <w:i/>
        </w:rPr>
        <w:t>Forex Rate Swap</w:t>
      </w:r>
      <w:r>
        <w:rPr>
          <w:i/>
        </w:rPr>
        <w:t xml:space="preserve"> </w:t>
      </w:r>
      <w:r w:rsidRPr="00E14C49">
        <w:t>dan</w:t>
      </w:r>
      <w:r>
        <w:rPr>
          <w:i/>
        </w:rPr>
        <w:t xml:space="preserve"> </w:t>
      </w:r>
      <w:r w:rsidRPr="00E14C49">
        <w:t>Biaya Pengakhiran</w:t>
      </w:r>
      <w:r>
        <w:rPr>
          <w:i/>
        </w:rPr>
        <w:t xml:space="preserve"> Interest Rate Swap </w:t>
      </w:r>
      <w:r w:rsidRPr="00E14C49">
        <w:t>tidak</w:t>
      </w:r>
      <w:r>
        <w:rPr>
          <w:i/>
        </w:rPr>
        <w:t xml:space="preserve"> </w:t>
      </w:r>
      <w:r w:rsidRPr="00E14C49">
        <w:t>termasuk dalam</w:t>
      </w:r>
      <w:r>
        <w:t xml:space="preserve"> Biaya Pengakhiran (karena penambahan dari Biaya Pengakhiran Forex Rate Swap dan Biaya Pengakhiran </w:t>
      </w:r>
      <w:r w:rsidRPr="00E14C49">
        <w:rPr>
          <w:i/>
        </w:rPr>
        <w:t>Interest Rate Swap</w:t>
      </w:r>
      <w:r>
        <w:t xml:space="preserve"> </w:t>
      </w:r>
      <w:r w:rsidRPr="00E14C49">
        <w:t>melalui komponen C/2</w:t>
      </w:r>
      <w:r>
        <w:rPr>
          <w:i/>
        </w:rPr>
        <w:t xml:space="preserve"> </w:t>
      </w:r>
      <w:r w:rsidRPr="00E14C49">
        <w:t>dibatalkan dengan</w:t>
      </w:r>
      <w:r>
        <w:t xml:space="preserve"> perhitungan komponen H/2)</w:t>
      </w:r>
      <w:r>
        <w:rPr>
          <w:i/>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5EF"/>
    <w:multiLevelType w:val="hybridMultilevel"/>
    <w:tmpl w:val="93DE35E6"/>
    <w:lvl w:ilvl="0" w:tplc="82B8720C">
      <w:start w:val="1"/>
      <w:numFmt w:val="lowerRoman"/>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1">
    <w:nsid w:val="003469A8"/>
    <w:multiLevelType w:val="hybridMultilevel"/>
    <w:tmpl w:val="22A09882"/>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2">
    <w:nsid w:val="00E75150"/>
    <w:multiLevelType w:val="hybridMultilevel"/>
    <w:tmpl w:val="81A28224"/>
    <w:name w:val="SchCustomListNum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
    <w:nsid w:val="00EE5EA2"/>
    <w:multiLevelType w:val="multilevel"/>
    <w:tmpl w:val="21BEDC7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0F74220"/>
    <w:multiLevelType w:val="hybridMultilevel"/>
    <w:tmpl w:val="084EFB64"/>
    <w:name w:val="SchCustomListNum2"/>
    <w:lvl w:ilvl="0" w:tplc="5D2027C8">
      <w:start w:val="1"/>
      <w:numFmt w:val="lowerLetter"/>
      <w:lvlText w:val="(%1)"/>
      <w:lvlJc w:val="left"/>
      <w:pPr>
        <w:ind w:left="1782" w:hanging="360"/>
      </w:pPr>
      <w:rPr>
        <w:rFonts w:cs="Times New Roman" w:hint="default"/>
      </w:rPr>
    </w:lvl>
    <w:lvl w:ilvl="1" w:tplc="04090019" w:tentative="1">
      <w:start w:val="1"/>
      <w:numFmt w:val="lowerLetter"/>
      <w:lvlText w:val="%2."/>
      <w:lvlJc w:val="left"/>
      <w:pPr>
        <w:ind w:left="2502" w:hanging="360"/>
      </w:pPr>
    </w:lvl>
    <w:lvl w:ilvl="2" w:tplc="0409001B" w:tentative="1">
      <w:start w:val="1"/>
      <w:numFmt w:val="lowerRoman"/>
      <w:lvlText w:val="%3."/>
      <w:lvlJc w:val="right"/>
      <w:pPr>
        <w:ind w:left="3222" w:hanging="180"/>
      </w:pPr>
    </w:lvl>
    <w:lvl w:ilvl="3" w:tplc="0409000F" w:tentative="1">
      <w:start w:val="1"/>
      <w:numFmt w:val="decimal"/>
      <w:lvlText w:val="%4."/>
      <w:lvlJc w:val="left"/>
      <w:pPr>
        <w:ind w:left="3942" w:hanging="360"/>
      </w:pPr>
    </w:lvl>
    <w:lvl w:ilvl="4" w:tplc="04090019" w:tentative="1">
      <w:start w:val="1"/>
      <w:numFmt w:val="lowerLetter"/>
      <w:lvlText w:val="%5."/>
      <w:lvlJc w:val="left"/>
      <w:pPr>
        <w:ind w:left="4662" w:hanging="360"/>
      </w:pPr>
    </w:lvl>
    <w:lvl w:ilvl="5" w:tplc="0409001B" w:tentative="1">
      <w:start w:val="1"/>
      <w:numFmt w:val="lowerRoman"/>
      <w:lvlText w:val="%6."/>
      <w:lvlJc w:val="right"/>
      <w:pPr>
        <w:ind w:left="5382" w:hanging="180"/>
      </w:pPr>
    </w:lvl>
    <w:lvl w:ilvl="6" w:tplc="0409000F" w:tentative="1">
      <w:start w:val="1"/>
      <w:numFmt w:val="decimal"/>
      <w:lvlText w:val="%7."/>
      <w:lvlJc w:val="left"/>
      <w:pPr>
        <w:ind w:left="6102" w:hanging="360"/>
      </w:pPr>
    </w:lvl>
    <w:lvl w:ilvl="7" w:tplc="04090019" w:tentative="1">
      <w:start w:val="1"/>
      <w:numFmt w:val="lowerLetter"/>
      <w:lvlText w:val="%8."/>
      <w:lvlJc w:val="left"/>
      <w:pPr>
        <w:ind w:left="6822" w:hanging="360"/>
      </w:pPr>
    </w:lvl>
    <w:lvl w:ilvl="8" w:tplc="0409001B" w:tentative="1">
      <w:start w:val="1"/>
      <w:numFmt w:val="lowerRoman"/>
      <w:lvlText w:val="%9."/>
      <w:lvlJc w:val="right"/>
      <w:pPr>
        <w:ind w:left="7542" w:hanging="180"/>
      </w:pPr>
    </w:lvl>
  </w:abstractNum>
  <w:abstractNum w:abstractNumId="5">
    <w:nsid w:val="00FC0086"/>
    <w:multiLevelType w:val="hybridMultilevel"/>
    <w:tmpl w:val="94B0C524"/>
    <w:lvl w:ilvl="0" w:tplc="E9D88B9A">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10257E2"/>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2093AFE"/>
    <w:multiLevelType w:val="hybridMultilevel"/>
    <w:tmpl w:val="C2B4253E"/>
    <w:lvl w:ilvl="0" w:tplc="12F0D678">
      <w:start w:val="1"/>
      <w:numFmt w:val="lowerLetter"/>
      <w:lvlText w:val="(%1)"/>
      <w:lvlJc w:val="left"/>
      <w:pPr>
        <w:ind w:left="2270" w:hanging="360"/>
      </w:pPr>
      <w:rPr>
        <w:rFonts w:hint="default"/>
      </w:r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8">
    <w:nsid w:val="022D386B"/>
    <w:multiLevelType w:val="hybridMultilevel"/>
    <w:tmpl w:val="4CB06BEC"/>
    <w:lvl w:ilvl="0" w:tplc="FA12431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9">
    <w:nsid w:val="024E2306"/>
    <w:multiLevelType w:val="hybridMultilevel"/>
    <w:tmpl w:val="A972F9BC"/>
    <w:lvl w:ilvl="0" w:tplc="12F0D678">
      <w:start w:val="1"/>
      <w:numFmt w:val="lowerLetter"/>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0">
    <w:nsid w:val="02884E81"/>
    <w:multiLevelType w:val="hybridMultilevel"/>
    <w:tmpl w:val="1D7473C0"/>
    <w:lvl w:ilvl="0" w:tplc="677A0F66">
      <w:start w:val="1"/>
      <w:numFmt w:val="lowerRoman"/>
      <w:lvlText w:val="(%1)"/>
      <w:lvlJc w:val="left"/>
      <w:pPr>
        <w:ind w:left="3000" w:hanging="360"/>
      </w:pPr>
      <w:rPr>
        <w:rFonts w:hint="default"/>
        <w:b w:val="0"/>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1">
    <w:nsid w:val="028A05A6"/>
    <w:multiLevelType w:val="hybridMultilevel"/>
    <w:tmpl w:val="C43830B8"/>
    <w:lvl w:ilvl="0" w:tplc="0FA4783C">
      <w:start w:val="2"/>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F75DF4"/>
    <w:multiLevelType w:val="hybridMultilevel"/>
    <w:tmpl w:val="2214B550"/>
    <w:lvl w:ilvl="0" w:tplc="12F0D678">
      <w:start w:val="1"/>
      <w:numFmt w:val="lowerLetter"/>
      <w:lvlText w:val="(%1)"/>
      <w:lvlJc w:val="left"/>
      <w:pPr>
        <w:ind w:left="2276" w:hanging="360"/>
      </w:pPr>
      <w:rPr>
        <w:rFonts w:hint="default"/>
      </w:rPr>
    </w:lvl>
    <w:lvl w:ilvl="1" w:tplc="04090019" w:tentative="1">
      <w:start w:val="1"/>
      <w:numFmt w:val="lowerLetter"/>
      <w:lvlText w:val="%2."/>
      <w:lvlJc w:val="left"/>
      <w:pPr>
        <w:ind w:left="2996" w:hanging="360"/>
      </w:pPr>
    </w:lvl>
    <w:lvl w:ilvl="2" w:tplc="0409001B" w:tentative="1">
      <w:start w:val="1"/>
      <w:numFmt w:val="lowerRoman"/>
      <w:lvlText w:val="%3."/>
      <w:lvlJc w:val="right"/>
      <w:pPr>
        <w:ind w:left="3716" w:hanging="180"/>
      </w:pPr>
    </w:lvl>
    <w:lvl w:ilvl="3" w:tplc="0409000F" w:tentative="1">
      <w:start w:val="1"/>
      <w:numFmt w:val="decimal"/>
      <w:lvlText w:val="%4."/>
      <w:lvlJc w:val="left"/>
      <w:pPr>
        <w:ind w:left="4436" w:hanging="360"/>
      </w:pPr>
    </w:lvl>
    <w:lvl w:ilvl="4" w:tplc="04090019" w:tentative="1">
      <w:start w:val="1"/>
      <w:numFmt w:val="lowerLetter"/>
      <w:lvlText w:val="%5."/>
      <w:lvlJc w:val="left"/>
      <w:pPr>
        <w:ind w:left="5156" w:hanging="360"/>
      </w:pPr>
    </w:lvl>
    <w:lvl w:ilvl="5" w:tplc="0409001B" w:tentative="1">
      <w:start w:val="1"/>
      <w:numFmt w:val="lowerRoman"/>
      <w:lvlText w:val="%6."/>
      <w:lvlJc w:val="right"/>
      <w:pPr>
        <w:ind w:left="5876" w:hanging="180"/>
      </w:pPr>
    </w:lvl>
    <w:lvl w:ilvl="6" w:tplc="0409000F" w:tentative="1">
      <w:start w:val="1"/>
      <w:numFmt w:val="decimal"/>
      <w:lvlText w:val="%7."/>
      <w:lvlJc w:val="left"/>
      <w:pPr>
        <w:ind w:left="6596" w:hanging="360"/>
      </w:pPr>
    </w:lvl>
    <w:lvl w:ilvl="7" w:tplc="04090019" w:tentative="1">
      <w:start w:val="1"/>
      <w:numFmt w:val="lowerLetter"/>
      <w:lvlText w:val="%8."/>
      <w:lvlJc w:val="left"/>
      <w:pPr>
        <w:ind w:left="7316" w:hanging="360"/>
      </w:pPr>
    </w:lvl>
    <w:lvl w:ilvl="8" w:tplc="0409001B" w:tentative="1">
      <w:start w:val="1"/>
      <w:numFmt w:val="lowerRoman"/>
      <w:lvlText w:val="%9."/>
      <w:lvlJc w:val="right"/>
      <w:pPr>
        <w:ind w:left="8036" w:hanging="180"/>
      </w:pPr>
    </w:lvl>
  </w:abstractNum>
  <w:abstractNum w:abstractNumId="13">
    <w:nsid w:val="02FA6BBC"/>
    <w:multiLevelType w:val="hybridMultilevel"/>
    <w:tmpl w:val="883E54D6"/>
    <w:lvl w:ilvl="0" w:tplc="815C309E">
      <w:start w:val="1"/>
      <w:numFmt w:val="decimal"/>
      <w:lvlText w:val="20.%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156843"/>
    <w:multiLevelType w:val="hybridMultilevel"/>
    <w:tmpl w:val="2BC22FC6"/>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36B40B7"/>
    <w:multiLevelType w:val="hybridMultilevel"/>
    <w:tmpl w:val="874253E0"/>
    <w:lvl w:ilvl="0" w:tplc="20001C0E">
      <w:start w:val="1"/>
      <w:numFmt w:val="lowerRoman"/>
      <w:lvlText w:val="(%1)"/>
      <w:lvlJc w:val="right"/>
      <w:pPr>
        <w:ind w:left="1598" w:hanging="360"/>
      </w:pPr>
      <w:rPr>
        <w:rFonts w:hint="default"/>
        <w:b w:val="0"/>
        <w:color w:val="auto"/>
      </w:r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16">
    <w:nsid w:val="03951273"/>
    <w:multiLevelType w:val="hybridMultilevel"/>
    <w:tmpl w:val="E4D0C1EA"/>
    <w:lvl w:ilvl="0" w:tplc="F798427E">
      <w:start w:val="1"/>
      <w:numFmt w:val="lowerRoman"/>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03CB23BE"/>
    <w:multiLevelType w:val="multilevel"/>
    <w:tmpl w:val="162C09DA"/>
    <w:lvl w:ilvl="0">
      <w:start w:val="1"/>
      <w:numFmt w:val="decimal"/>
      <w:lvlText w:val="%1."/>
      <w:lvlJc w:val="left"/>
      <w:pPr>
        <w:ind w:left="2149" w:hanging="360"/>
      </w:pPr>
    </w:lvl>
    <w:lvl w:ilvl="1">
      <w:start w:val="1"/>
      <w:numFmt w:val="decimal"/>
      <w:isLgl/>
      <w:lvlText w:val="%1.%2."/>
      <w:lvlJc w:val="left"/>
      <w:pPr>
        <w:ind w:left="2149" w:hanging="360"/>
      </w:pPr>
      <w:rPr>
        <w:rFonts w:hint="default"/>
      </w:rPr>
    </w:lvl>
    <w:lvl w:ilvl="2">
      <w:start w:val="1"/>
      <w:numFmt w:val="decimal"/>
      <w:isLgl/>
      <w:lvlText w:val="%1.%2.%3."/>
      <w:lvlJc w:val="left"/>
      <w:pPr>
        <w:ind w:left="2509" w:hanging="720"/>
      </w:pPr>
      <w:rPr>
        <w:rFonts w:hint="default"/>
        <w:b w:val="0"/>
      </w:rPr>
    </w:lvl>
    <w:lvl w:ilvl="3">
      <w:start w:val="1"/>
      <w:numFmt w:val="decimal"/>
      <w:isLgl/>
      <w:lvlText w:val="%1.%2.%3.%4."/>
      <w:lvlJc w:val="left"/>
      <w:pPr>
        <w:ind w:left="2509" w:hanging="720"/>
      </w:pPr>
      <w:rPr>
        <w:rFonts w:hint="default"/>
        <w:b w:val="0"/>
      </w:rPr>
    </w:lvl>
    <w:lvl w:ilvl="4">
      <w:start w:val="1"/>
      <w:numFmt w:val="decimal"/>
      <w:isLgl/>
      <w:lvlText w:val="%1.%2.%3.%4.%5."/>
      <w:lvlJc w:val="left"/>
      <w:pPr>
        <w:ind w:left="2869" w:hanging="1080"/>
      </w:pPr>
      <w:rPr>
        <w:rFonts w:hint="default"/>
      </w:rPr>
    </w:lvl>
    <w:lvl w:ilvl="5">
      <w:start w:val="1"/>
      <w:numFmt w:val="decimal"/>
      <w:isLgl/>
      <w:lvlText w:val="%1.%2.%3.%4.%5.%6."/>
      <w:lvlJc w:val="left"/>
      <w:pPr>
        <w:ind w:left="2869" w:hanging="1080"/>
      </w:pPr>
      <w:rPr>
        <w:rFonts w:hint="default"/>
      </w:rPr>
    </w:lvl>
    <w:lvl w:ilvl="6">
      <w:start w:val="1"/>
      <w:numFmt w:val="decimal"/>
      <w:isLgl/>
      <w:lvlText w:val="%1.%2.%3.%4.%5.%6.%7."/>
      <w:lvlJc w:val="left"/>
      <w:pPr>
        <w:ind w:left="3229" w:hanging="1440"/>
      </w:pPr>
      <w:rPr>
        <w:rFonts w:hint="default"/>
      </w:rPr>
    </w:lvl>
    <w:lvl w:ilvl="7">
      <w:start w:val="1"/>
      <w:numFmt w:val="decimal"/>
      <w:isLgl/>
      <w:lvlText w:val="%1.%2.%3.%4.%5.%6.%7.%8."/>
      <w:lvlJc w:val="left"/>
      <w:pPr>
        <w:ind w:left="3229" w:hanging="1440"/>
      </w:pPr>
      <w:rPr>
        <w:rFonts w:hint="default"/>
      </w:rPr>
    </w:lvl>
    <w:lvl w:ilvl="8">
      <w:start w:val="1"/>
      <w:numFmt w:val="decimal"/>
      <w:isLgl/>
      <w:lvlText w:val="%1.%2.%3.%4.%5.%6.%7.%8.%9."/>
      <w:lvlJc w:val="left"/>
      <w:pPr>
        <w:ind w:left="3589" w:hanging="1800"/>
      </w:pPr>
      <w:rPr>
        <w:rFonts w:hint="default"/>
      </w:rPr>
    </w:lvl>
  </w:abstractNum>
  <w:abstractNum w:abstractNumId="18">
    <w:nsid w:val="03F6346B"/>
    <w:multiLevelType w:val="hybridMultilevel"/>
    <w:tmpl w:val="F1F03922"/>
    <w:lvl w:ilvl="0" w:tplc="6EF8BC5E">
      <w:start w:val="1"/>
      <w:numFmt w:val="lowerRoman"/>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9">
    <w:nsid w:val="042E0C04"/>
    <w:multiLevelType w:val="hybridMultilevel"/>
    <w:tmpl w:val="4718BA82"/>
    <w:lvl w:ilvl="0" w:tplc="12F0D67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nsid w:val="04456D7D"/>
    <w:multiLevelType w:val="hybridMultilevel"/>
    <w:tmpl w:val="169253B0"/>
    <w:lvl w:ilvl="0" w:tplc="957C4FC2">
      <w:start w:val="1"/>
      <w:numFmt w:val="decimal"/>
      <w:lvlText w:val="10.%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04473C2C"/>
    <w:multiLevelType w:val="multilevel"/>
    <w:tmpl w:val="7632BED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055A0D12"/>
    <w:multiLevelType w:val="multilevel"/>
    <w:tmpl w:val="1012EE56"/>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056F12FE"/>
    <w:multiLevelType w:val="hybridMultilevel"/>
    <w:tmpl w:val="8682C7A0"/>
    <w:name w:val="SchCustomListNum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4">
    <w:nsid w:val="05BF1508"/>
    <w:multiLevelType w:val="hybridMultilevel"/>
    <w:tmpl w:val="2362CFFA"/>
    <w:name w:val="SchCustomListNum222222222222222222222222222222222222"/>
    <w:lvl w:ilvl="0" w:tplc="51E07514">
      <w:start w:val="1"/>
      <w:numFmt w:val="lowerRoman"/>
      <w:lvlText w:val="(%1)"/>
      <w:lvlJc w:val="right"/>
      <w:pPr>
        <w:ind w:left="2846" w:hanging="360"/>
      </w:pPr>
      <w:rPr>
        <w:rFonts w:ascii="Arial" w:hAnsi="Arial" w:cs="Arial"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5">
    <w:nsid w:val="05C80BC8"/>
    <w:multiLevelType w:val="hybridMultilevel"/>
    <w:tmpl w:val="E132F4CA"/>
    <w:lvl w:ilvl="0" w:tplc="D6E0D4EE">
      <w:start w:val="1"/>
      <w:numFmt w:val="lowerLetter"/>
      <w:lvlText w:val="(%1)"/>
      <w:lvlJc w:val="left"/>
      <w:pPr>
        <w:ind w:left="1152" w:hanging="360"/>
      </w:pPr>
      <w:rPr>
        <w:rFonts w:ascii="Arial" w:hAnsi="Arial"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060111CE"/>
    <w:multiLevelType w:val="hybridMultilevel"/>
    <w:tmpl w:val="64128566"/>
    <w:name w:val="SchCustomListNum2222222222222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7">
    <w:nsid w:val="06580D2E"/>
    <w:multiLevelType w:val="hybridMultilevel"/>
    <w:tmpl w:val="86B8D8B0"/>
    <w:lvl w:ilvl="0" w:tplc="12F0D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67141AA"/>
    <w:multiLevelType w:val="multilevel"/>
    <w:tmpl w:val="F3EC4D00"/>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06896926"/>
    <w:multiLevelType w:val="hybridMultilevel"/>
    <w:tmpl w:val="FC98000C"/>
    <w:lvl w:ilvl="0" w:tplc="07CC72A4">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06B16548"/>
    <w:multiLevelType w:val="hybridMultilevel"/>
    <w:tmpl w:val="6A20CF6E"/>
    <w:lvl w:ilvl="0" w:tplc="97F6301C">
      <w:start w:val="1"/>
      <w:numFmt w:val="lowerLetter"/>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6BB5EF2"/>
    <w:multiLevelType w:val="hybridMultilevel"/>
    <w:tmpl w:val="4BB23BF8"/>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2">
    <w:nsid w:val="06F50A4E"/>
    <w:multiLevelType w:val="hybridMultilevel"/>
    <w:tmpl w:val="E388868A"/>
    <w:lvl w:ilvl="0" w:tplc="04E41F20">
      <w:start w:val="1"/>
      <w:numFmt w:val="lowerLetter"/>
      <w:lvlText w:val="%1."/>
      <w:lvlJc w:val="left"/>
      <w:pPr>
        <w:ind w:left="1080" w:hanging="360"/>
      </w:pPr>
      <w:rPr>
        <w:rFonts w:asciiTheme="minorBidi" w:eastAsia="Arial Unicode MS" w:hAnsiTheme="minorBidi" w:cstheme="minorBidi"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070924F3"/>
    <w:multiLevelType w:val="hybridMultilevel"/>
    <w:tmpl w:val="770A555A"/>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7230015"/>
    <w:multiLevelType w:val="hybridMultilevel"/>
    <w:tmpl w:val="9D7ADB6C"/>
    <w:lvl w:ilvl="0" w:tplc="314ED33E">
      <w:start w:val="1"/>
      <w:numFmt w:val="decimal"/>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5">
    <w:nsid w:val="073646AE"/>
    <w:multiLevelType w:val="hybridMultilevel"/>
    <w:tmpl w:val="2CE4AF98"/>
    <w:lvl w:ilvl="0" w:tplc="5DA274C6">
      <w:start w:val="1"/>
      <w:numFmt w:val="decimal"/>
      <w:lvlText w:val="(%1)"/>
      <w:lvlJc w:val="left"/>
      <w:pPr>
        <w:ind w:left="720" w:hanging="360"/>
      </w:pPr>
      <w:rPr>
        <w:rFonts w:ascii="Arial" w:eastAsia="Arial" w:hAnsi="Arial" w:cs="Arial" w:hint="default"/>
        <w:spacing w:val="-1"/>
        <w:w w:val="100"/>
        <w:sz w:val="21"/>
        <w:szCs w:val="21"/>
        <w:lang w:val="en-US" w:eastAsia="en-US" w:bidi="en-US"/>
      </w:rPr>
    </w:lvl>
    <w:lvl w:ilvl="1" w:tplc="49E2F9C4">
      <w:start w:val="1"/>
      <w:numFmt w:val="lowerLetter"/>
      <w:lvlText w:val="(%2)"/>
      <w:lvlJc w:val="left"/>
      <w:pPr>
        <w:ind w:left="1440" w:hanging="360"/>
      </w:pPr>
      <w:rPr>
        <w:rFonts w:hint="default"/>
        <w:b w:val="0"/>
      </w:rPr>
    </w:lvl>
    <w:lvl w:ilvl="2" w:tplc="3809001B" w:tentative="1">
      <w:start w:val="1"/>
      <w:numFmt w:val="lowerRoman"/>
      <w:lvlText w:val="%3."/>
      <w:lvlJc w:val="right"/>
      <w:pPr>
        <w:ind w:left="2160" w:hanging="180"/>
      </w:pPr>
    </w:lvl>
    <w:lvl w:ilvl="3" w:tplc="F2FE8234">
      <w:start w:val="1"/>
      <w:numFmt w:val="lowerRoman"/>
      <w:lvlText w:val="(%4)"/>
      <w:lvlJc w:val="right"/>
      <w:pPr>
        <w:ind w:left="2880" w:hanging="360"/>
      </w:pPr>
    </w:lvl>
    <w:lvl w:ilvl="4" w:tplc="75A6DF94">
      <w:start w:val="1"/>
      <w:numFmt w:val="decimal"/>
      <w:lvlText w:val="(%5)"/>
      <w:lvlJc w:val="left"/>
      <w:pPr>
        <w:ind w:left="3600" w:hanging="360"/>
      </w:pPr>
      <w:rPr>
        <w:rFonts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07A505E9"/>
    <w:multiLevelType w:val="hybridMultilevel"/>
    <w:tmpl w:val="E7F8C31C"/>
    <w:lvl w:ilvl="0" w:tplc="71F08360">
      <w:start w:val="1"/>
      <w:numFmt w:val="upperLetter"/>
      <w:lvlText w:val="(%1)"/>
      <w:lvlJc w:val="left"/>
      <w:pPr>
        <w:ind w:left="720" w:hanging="360"/>
      </w:pPr>
      <w:rPr>
        <w:rFonts w:hint="default"/>
        <w:spacing w:val="-1"/>
        <w:w w:val="1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7AA3BEC"/>
    <w:multiLevelType w:val="multilevel"/>
    <w:tmpl w:val="D7009672"/>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07D76E28"/>
    <w:multiLevelType w:val="hybridMultilevel"/>
    <w:tmpl w:val="CCEC0FE8"/>
    <w:lvl w:ilvl="0" w:tplc="472CE47A">
      <w:start w:val="3"/>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7F875B4"/>
    <w:multiLevelType w:val="hybridMultilevel"/>
    <w:tmpl w:val="764845C0"/>
    <w:lvl w:ilvl="0" w:tplc="4300C5F8">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0">
    <w:nsid w:val="080558E4"/>
    <w:multiLevelType w:val="hybridMultilevel"/>
    <w:tmpl w:val="BAE67B8E"/>
    <w:lvl w:ilvl="0" w:tplc="12F0D678">
      <w:start w:val="1"/>
      <w:numFmt w:val="lowerLetter"/>
      <w:lvlText w:val="(%1)"/>
      <w:lvlJc w:val="left"/>
      <w:pPr>
        <w:ind w:left="2370"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41">
    <w:nsid w:val="08BE0322"/>
    <w:multiLevelType w:val="hybridMultilevel"/>
    <w:tmpl w:val="013CDCC6"/>
    <w:lvl w:ilvl="0" w:tplc="B164E732">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2">
    <w:nsid w:val="08D73E40"/>
    <w:multiLevelType w:val="multilevel"/>
    <w:tmpl w:val="8B0CC2C8"/>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nsid w:val="09275965"/>
    <w:multiLevelType w:val="hybridMultilevel"/>
    <w:tmpl w:val="47804B9A"/>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nsid w:val="092E5D6B"/>
    <w:multiLevelType w:val="hybridMultilevel"/>
    <w:tmpl w:val="520883B0"/>
    <w:lvl w:ilvl="0" w:tplc="314ED33E">
      <w:start w:val="1"/>
      <w:numFmt w:val="decimal"/>
      <w:lvlText w:val="(%1)"/>
      <w:lvlJc w:val="left"/>
      <w:pPr>
        <w:ind w:left="3180" w:hanging="360"/>
      </w:pPr>
      <w:rPr>
        <w:rFonts w:hint="default"/>
      </w:rPr>
    </w:lvl>
    <w:lvl w:ilvl="1" w:tplc="04090019" w:tentative="1">
      <w:start w:val="1"/>
      <w:numFmt w:val="lowerLetter"/>
      <w:lvlText w:val="%2."/>
      <w:lvlJc w:val="left"/>
      <w:pPr>
        <w:ind w:left="3900" w:hanging="360"/>
      </w:pPr>
    </w:lvl>
    <w:lvl w:ilvl="2" w:tplc="0409001B" w:tentative="1">
      <w:start w:val="1"/>
      <w:numFmt w:val="lowerRoman"/>
      <w:lvlText w:val="%3."/>
      <w:lvlJc w:val="right"/>
      <w:pPr>
        <w:ind w:left="4620" w:hanging="180"/>
      </w:pPr>
    </w:lvl>
    <w:lvl w:ilvl="3" w:tplc="0409000F" w:tentative="1">
      <w:start w:val="1"/>
      <w:numFmt w:val="decimal"/>
      <w:lvlText w:val="%4."/>
      <w:lvlJc w:val="left"/>
      <w:pPr>
        <w:ind w:left="5340" w:hanging="360"/>
      </w:pPr>
    </w:lvl>
    <w:lvl w:ilvl="4" w:tplc="04090019" w:tentative="1">
      <w:start w:val="1"/>
      <w:numFmt w:val="lowerLetter"/>
      <w:lvlText w:val="%5."/>
      <w:lvlJc w:val="left"/>
      <w:pPr>
        <w:ind w:left="6060" w:hanging="360"/>
      </w:pPr>
    </w:lvl>
    <w:lvl w:ilvl="5" w:tplc="0409001B" w:tentative="1">
      <w:start w:val="1"/>
      <w:numFmt w:val="lowerRoman"/>
      <w:lvlText w:val="%6."/>
      <w:lvlJc w:val="right"/>
      <w:pPr>
        <w:ind w:left="6780" w:hanging="180"/>
      </w:pPr>
    </w:lvl>
    <w:lvl w:ilvl="6" w:tplc="0409000F" w:tentative="1">
      <w:start w:val="1"/>
      <w:numFmt w:val="decimal"/>
      <w:lvlText w:val="%7."/>
      <w:lvlJc w:val="left"/>
      <w:pPr>
        <w:ind w:left="7500" w:hanging="360"/>
      </w:pPr>
    </w:lvl>
    <w:lvl w:ilvl="7" w:tplc="04090019" w:tentative="1">
      <w:start w:val="1"/>
      <w:numFmt w:val="lowerLetter"/>
      <w:lvlText w:val="%8."/>
      <w:lvlJc w:val="left"/>
      <w:pPr>
        <w:ind w:left="8220" w:hanging="360"/>
      </w:pPr>
    </w:lvl>
    <w:lvl w:ilvl="8" w:tplc="0409001B" w:tentative="1">
      <w:start w:val="1"/>
      <w:numFmt w:val="lowerRoman"/>
      <w:lvlText w:val="%9."/>
      <w:lvlJc w:val="right"/>
      <w:pPr>
        <w:ind w:left="8940" w:hanging="180"/>
      </w:pPr>
    </w:lvl>
  </w:abstractNum>
  <w:abstractNum w:abstractNumId="45">
    <w:nsid w:val="098A26B2"/>
    <w:multiLevelType w:val="hybridMultilevel"/>
    <w:tmpl w:val="4CBC5DC0"/>
    <w:name w:val="SchCustomListNum422"/>
    <w:lvl w:ilvl="0" w:tplc="3B06C460">
      <w:start w:val="1"/>
      <w:numFmt w:val="lowerRoman"/>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6">
    <w:nsid w:val="09AA639D"/>
    <w:multiLevelType w:val="hybridMultilevel"/>
    <w:tmpl w:val="D7AA3AEA"/>
    <w:lvl w:ilvl="0" w:tplc="8D103BEA">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7">
    <w:nsid w:val="09ED6DCA"/>
    <w:multiLevelType w:val="multilevel"/>
    <w:tmpl w:val="3DC06962"/>
    <w:lvl w:ilvl="0">
      <w:start w:val="9"/>
      <w:numFmt w:val="decimal"/>
      <w:lvlText w:val="%1."/>
      <w:lvlJc w:val="left"/>
      <w:pPr>
        <w:ind w:left="360" w:hanging="360"/>
      </w:pPr>
      <w:rPr>
        <w:rFonts w:hint="default"/>
      </w:rPr>
    </w:lvl>
    <w:lvl w:ilvl="1">
      <w:start w:val="1"/>
      <w:numFmt w:val="decimal"/>
      <w:lvlText w:val="%1.%2."/>
      <w:lvlJc w:val="left"/>
      <w:pPr>
        <w:ind w:left="1797" w:hanging="360"/>
      </w:pPr>
      <w:rPr>
        <w:rFonts w:hint="default"/>
        <w:b w:val="0"/>
      </w:rPr>
    </w:lvl>
    <w:lvl w:ilvl="2">
      <w:start w:val="1"/>
      <w:numFmt w:val="decimal"/>
      <w:lvlText w:val="%1.%2.%3."/>
      <w:lvlJc w:val="left"/>
      <w:pPr>
        <w:ind w:left="3594" w:hanging="720"/>
      </w:pPr>
      <w:rPr>
        <w:rFonts w:hint="default"/>
      </w:rPr>
    </w:lvl>
    <w:lvl w:ilvl="3">
      <w:start w:val="1"/>
      <w:numFmt w:val="decimal"/>
      <w:lvlText w:val="%1.%2.%3.%4."/>
      <w:lvlJc w:val="left"/>
      <w:pPr>
        <w:ind w:left="5031" w:hanging="72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265" w:hanging="108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499" w:hanging="1440"/>
      </w:pPr>
      <w:rPr>
        <w:rFonts w:hint="default"/>
      </w:rPr>
    </w:lvl>
    <w:lvl w:ilvl="8">
      <w:start w:val="1"/>
      <w:numFmt w:val="decimal"/>
      <w:lvlText w:val="%1.%2.%3.%4.%5.%6.%7.%8.%9."/>
      <w:lvlJc w:val="left"/>
      <w:pPr>
        <w:ind w:left="13296" w:hanging="1800"/>
      </w:pPr>
      <w:rPr>
        <w:rFonts w:hint="default"/>
      </w:rPr>
    </w:lvl>
  </w:abstractNum>
  <w:abstractNum w:abstractNumId="48">
    <w:nsid w:val="0A173CB7"/>
    <w:multiLevelType w:val="hybridMultilevel"/>
    <w:tmpl w:val="E440292A"/>
    <w:lvl w:ilvl="0" w:tplc="5DA274C6">
      <w:start w:val="1"/>
      <w:numFmt w:val="decimal"/>
      <w:lvlText w:val="(%1)"/>
      <w:lvlJc w:val="left"/>
      <w:pPr>
        <w:ind w:left="72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A1C178F"/>
    <w:multiLevelType w:val="hybridMultilevel"/>
    <w:tmpl w:val="11820AF2"/>
    <w:lvl w:ilvl="0" w:tplc="12F0D67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0">
    <w:nsid w:val="0A580CF6"/>
    <w:multiLevelType w:val="hybridMultilevel"/>
    <w:tmpl w:val="F29039F2"/>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1">
    <w:nsid w:val="0ACB454D"/>
    <w:multiLevelType w:val="hybridMultilevel"/>
    <w:tmpl w:val="F2F2D000"/>
    <w:lvl w:ilvl="0" w:tplc="04090015">
      <w:start w:val="1"/>
      <w:numFmt w:val="upperLetter"/>
      <w:lvlText w:val="%1."/>
      <w:lvlJc w:val="left"/>
      <w:pPr>
        <w:tabs>
          <w:tab w:val="num" w:pos="2146"/>
        </w:tabs>
        <w:ind w:left="2146" w:hanging="709"/>
      </w:pPr>
      <w:rPr>
        <w:rFonts w:hint="default"/>
        <w:spacing w:val="-1"/>
        <w:w w:val="1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AF47019"/>
    <w:multiLevelType w:val="hybridMultilevel"/>
    <w:tmpl w:val="5ED0C0BE"/>
    <w:lvl w:ilvl="0" w:tplc="12F0D678">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53">
    <w:nsid w:val="0B1E3D5B"/>
    <w:multiLevelType w:val="hybridMultilevel"/>
    <w:tmpl w:val="E69ED89C"/>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start w:val="1"/>
      <w:numFmt w:val="lowerLetter"/>
      <w:lvlText w:val="%5."/>
      <w:lvlJc w:val="left"/>
      <w:pPr>
        <w:ind w:left="5726" w:hanging="360"/>
      </w:pPr>
    </w:lvl>
    <w:lvl w:ilvl="5" w:tplc="0409001B">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54">
    <w:nsid w:val="0B474595"/>
    <w:multiLevelType w:val="multilevel"/>
    <w:tmpl w:val="FE2A177C"/>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0B742435"/>
    <w:multiLevelType w:val="hybridMultilevel"/>
    <w:tmpl w:val="089C8508"/>
    <w:lvl w:ilvl="0" w:tplc="016AA9A8">
      <w:start w:val="1"/>
      <w:numFmt w:val="lowerLetter"/>
      <w:lvlText w:val="(%1)"/>
      <w:lvlJc w:val="left"/>
      <w:pPr>
        <w:ind w:left="1027" w:hanging="360"/>
      </w:pPr>
      <w:rPr>
        <w:rFonts w:hint="default"/>
      </w:rPr>
    </w:lvl>
    <w:lvl w:ilvl="1" w:tplc="04090019" w:tentative="1">
      <w:start w:val="1"/>
      <w:numFmt w:val="lowerLetter"/>
      <w:lvlText w:val="%2."/>
      <w:lvlJc w:val="left"/>
      <w:pPr>
        <w:ind w:left="1747" w:hanging="360"/>
      </w:pPr>
    </w:lvl>
    <w:lvl w:ilvl="2" w:tplc="0409001B" w:tentative="1">
      <w:start w:val="1"/>
      <w:numFmt w:val="lowerRoman"/>
      <w:lvlText w:val="%3."/>
      <w:lvlJc w:val="right"/>
      <w:pPr>
        <w:ind w:left="2467" w:hanging="180"/>
      </w:pPr>
    </w:lvl>
    <w:lvl w:ilvl="3" w:tplc="0409000F" w:tentative="1">
      <w:start w:val="1"/>
      <w:numFmt w:val="decimal"/>
      <w:lvlText w:val="%4."/>
      <w:lvlJc w:val="left"/>
      <w:pPr>
        <w:ind w:left="3187" w:hanging="360"/>
      </w:pPr>
    </w:lvl>
    <w:lvl w:ilvl="4" w:tplc="04090019" w:tentative="1">
      <w:start w:val="1"/>
      <w:numFmt w:val="lowerLetter"/>
      <w:lvlText w:val="%5."/>
      <w:lvlJc w:val="left"/>
      <w:pPr>
        <w:ind w:left="3907" w:hanging="360"/>
      </w:pPr>
    </w:lvl>
    <w:lvl w:ilvl="5" w:tplc="0409001B" w:tentative="1">
      <w:start w:val="1"/>
      <w:numFmt w:val="lowerRoman"/>
      <w:lvlText w:val="%6."/>
      <w:lvlJc w:val="right"/>
      <w:pPr>
        <w:ind w:left="4627" w:hanging="180"/>
      </w:pPr>
    </w:lvl>
    <w:lvl w:ilvl="6" w:tplc="0409000F" w:tentative="1">
      <w:start w:val="1"/>
      <w:numFmt w:val="decimal"/>
      <w:lvlText w:val="%7."/>
      <w:lvlJc w:val="left"/>
      <w:pPr>
        <w:ind w:left="5347" w:hanging="360"/>
      </w:pPr>
    </w:lvl>
    <w:lvl w:ilvl="7" w:tplc="04090019" w:tentative="1">
      <w:start w:val="1"/>
      <w:numFmt w:val="lowerLetter"/>
      <w:lvlText w:val="%8."/>
      <w:lvlJc w:val="left"/>
      <w:pPr>
        <w:ind w:left="6067" w:hanging="360"/>
      </w:pPr>
    </w:lvl>
    <w:lvl w:ilvl="8" w:tplc="0409001B" w:tentative="1">
      <w:start w:val="1"/>
      <w:numFmt w:val="lowerRoman"/>
      <w:lvlText w:val="%9."/>
      <w:lvlJc w:val="right"/>
      <w:pPr>
        <w:ind w:left="6787" w:hanging="180"/>
      </w:pPr>
    </w:lvl>
  </w:abstractNum>
  <w:abstractNum w:abstractNumId="56">
    <w:nsid w:val="0B8D512A"/>
    <w:multiLevelType w:val="hybridMultilevel"/>
    <w:tmpl w:val="1486C19E"/>
    <w:lvl w:ilvl="0" w:tplc="4B708B52">
      <w:start w:val="1"/>
      <w:numFmt w:val="upperLetter"/>
      <w:lvlText w:val="%1."/>
      <w:lvlJc w:val="left"/>
      <w:pPr>
        <w:ind w:left="720" w:hanging="360"/>
      </w:pPr>
      <w:rPr>
        <w:i w:val="0"/>
        <w:color w:val="0D0D0D" w:themeColor="text1" w:themeTint="F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BF151F7"/>
    <w:multiLevelType w:val="hybridMultilevel"/>
    <w:tmpl w:val="3CCCB270"/>
    <w:lvl w:ilvl="0" w:tplc="768A13DC">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8">
    <w:nsid w:val="0C263B87"/>
    <w:multiLevelType w:val="hybridMultilevel"/>
    <w:tmpl w:val="EFC4BEF0"/>
    <w:lvl w:ilvl="0" w:tplc="27AA2FCC">
      <w:start w:val="1"/>
      <w:numFmt w:val="lowerRoman"/>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9">
    <w:nsid w:val="0C276F80"/>
    <w:multiLevelType w:val="hybridMultilevel"/>
    <w:tmpl w:val="B0261602"/>
    <w:lvl w:ilvl="0" w:tplc="A5F08A74">
      <w:start w:val="1"/>
      <w:numFmt w:val="decimal"/>
      <w:lvlText w:val="(%1)"/>
      <w:lvlJc w:val="left"/>
      <w:pPr>
        <w:ind w:left="720" w:hanging="360"/>
      </w:pPr>
      <w:rPr>
        <w:rFonts w:ascii="Arial" w:eastAsia="Arial" w:hAnsi="Arial" w:cs="Arial" w:hint="default"/>
        <w:spacing w:val="-1"/>
        <w:w w:val="1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C29266A"/>
    <w:multiLevelType w:val="hybridMultilevel"/>
    <w:tmpl w:val="42066D96"/>
    <w:lvl w:ilvl="0" w:tplc="12F0D678">
      <w:start w:val="1"/>
      <w:numFmt w:val="lowerLetter"/>
      <w:lvlText w:val="(%1)"/>
      <w:lvlJc w:val="left"/>
      <w:pPr>
        <w:ind w:left="2018" w:hanging="360"/>
      </w:pPr>
      <w:rPr>
        <w:rFonts w:hint="default"/>
      </w:rPr>
    </w:lvl>
    <w:lvl w:ilvl="1" w:tplc="04090019" w:tentative="1">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61">
    <w:nsid w:val="0C346A90"/>
    <w:multiLevelType w:val="multilevel"/>
    <w:tmpl w:val="EEA85C5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2">
    <w:nsid w:val="0C606551"/>
    <w:multiLevelType w:val="hybridMultilevel"/>
    <w:tmpl w:val="3D36D56E"/>
    <w:lvl w:ilvl="0" w:tplc="3809000F">
      <w:start w:val="2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nsid w:val="0C7402C5"/>
    <w:multiLevelType w:val="multilevel"/>
    <w:tmpl w:val="DC0A228E"/>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7"/>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4">
    <w:nsid w:val="0CBE067C"/>
    <w:multiLevelType w:val="hybridMultilevel"/>
    <w:tmpl w:val="016A9D8A"/>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65">
    <w:nsid w:val="0D023DE0"/>
    <w:multiLevelType w:val="hybridMultilevel"/>
    <w:tmpl w:val="3FB680F8"/>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66">
    <w:nsid w:val="0D551E8F"/>
    <w:multiLevelType w:val="hybridMultilevel"/>
    <w:tmpl w:val="2F785520"/>
    <w:lvl w:ilvl="0" w:tplc="5D2027C8">
      <w:start w:val="1"/>
      <w:numFmt w:val="lowerLetter"/>
      <w:lvlText w:val="(%1)"/>
      <w:lvlJc w:val="left"/>
      <w:pPr>
        <w:ind w:left="1571" w:hanging="360"/>
      </w:pPr>
      <w:rPr>
        <w:rFonts w:cs="Times New Roman" w:hint="default"/>
        <w:b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7">
    <w:nsid w:val="0DC86A08"/>
    <w:multiLevelType w:val="hybridMultilevel"/>
    <w:tmpl w:val="028AB8E0"/>
    <w:lvl w:ilvl="0" w:tplc="DA78DF60">
      <w:start w:val="1"/>
      <w:numFmt w:val="lowerRoman"/>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68">
    <w:nsid w:val="0E383B7F"/>
    <w:multiLevelType w:val="hybridMultilevel"/>
    <w:tmpl w:val="EA623916"/>
    <w:lvl w:ilvl="0" w:tplc="66C05890">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69">
    <w:nsid w:val="0EEB7BF1"/>
    <w:multiLevelType w:val="hybridMultilevel"/>
    <w:tmpl w:val="7AEC1A38"/>
    <w:lvl w:ilvl="0" w:tplc="5EAED60E">
      <w:start w:val="1"/>
      <w:numFmt w:val="decimal"/>
      <w:lvlText w:val="19.%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EEC33F6"/>
    <w:multiLevelType w:val="hybridMultilevel"/>
    <w:tmpl w:val="56429930"/>
    <w:lvl w:ilvl="0" w:tplc="5D2027C8">
      <w:start w:val="1"/>
      <w:numFmt w:val="lowerLetter"/>
      <w:lvlText w:val="(%1)"/>
      <w:lvlJc w:val="left"/>
      <w:pPr>
        <w:ind w:left="1868" w:hanging="360"/>
      </w:pPr>
      <w:rPr>
        <w:rFonts w:cs="Times New Roman" w:hint="default"/>
      </w:r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abstractNum w:abstractNumId="71">
    <w:nsid w:val="0F002F7F"/>
    <w:multiLevelType w:val="hybridMultilevel"/>
    <w:tmpl w:val="B5120060"/>
    <w:lvl w:ilvl="0" w:tplc="49E2F9C4">
      <w:start w:val="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F7813E6"/>
    <w:multiLevelType w:val="hybridMultilevel"/>
    <w:tmpl w:val="03FAEA1E"/>
    <w:name w:val="SchCustomListNum222222222222222222222222222222222222222232"/>
    <w:lvl w:ilvl="0" w:tplc="BA90DBBC">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73">
    <w:nsid w:val="0F7D527E"/>
    <w:multiLevelType w:val="hybridMultilevel"/>
    <w:tmpl w:val="C1569AFA"/>
    <w:lvl w:ilvl="0" w:tplc="F6BE87C2">
      <w:start w:val="1"/>
      <w:numFmt w:val="lowerRoman"/>
      <w:lvlText w:val="(%1)"/>
      <w:lvlJc w:val="left"/>
      <w:pPr>
        <w:ind w:left="1770" w:hanging="360"/>
      </w:pPr>
      <w:rPr>
        <w:rFonts w:hint="default"/>
        <w:b w:val="0"/>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74">
    <w:nsid w:val="0FE74F7D"/>
    <w:multiLevelType w:val="multilevel"/>
    <w:tmpl w:val="A45ABB08"/>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5">
    <w:nsid w:val="103562BF"/>
    <w:multiLevelType w:val="hybridMultilevel"/>
    <w:tmpl w:val="9306F916"/>
    <w:lvl w:ilvl="0" w:tplc="DA78DF60">
      <w:start w:val="1"/>
      <w:numFmt w:val="lowerRoman"/>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76">
    <w:nsid w:val="104C791C"/>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77">
    <w:nsid w:val="10AD7B93"/>
    <w:multiLevelType w:val="multilevel"/>
    <w:tmpl w:val="87404BF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8">
    <w:nsid w:val="10F40CA1"/>
    <w:multiLevelType w:val="hybridMultilevel"/>
    <w:tmpl w:val="6C08EDF4"/>
    <w:lvl w:ilvl="0" w:tplc="12F0D678">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9">
    <w:nsid w:val="11593B36"/>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0">
    <w:nsid w:val="117E4A1D"/>
    <w:multiLevelType w:val="hybridMultilevel"/>
    <w:tmpl w:val="17707E3A"/>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81">
    <w:nsid w:val="12266E3A"/>
    <w:multiLevelType w:val="hybridMultilevel"/>
    <w:tmpl w:val="03623612"/>
    <w:lvl w:ilvl="0" w:tplc="12F0D678">
      <w:start w:val="1"/>
      <w:numFmt w:val="lowerLetter"/>
      <w:lvlText w:val="(%1)"/>
      <w:lvlJc w:val="left"/>
      <w:pPr>
        <w:ind w:left="1730" w:hanging="36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82">
    <w:nsid w:val="129D4014"/>
    <w:multiLevelType w:val="hybridMultilevel"/>
    <w:tmpl w:val="576EAC1E"/>
    <w:lvl w:ilvl="0" w:tplc="5A7834B4">
      <w:start w:val="1"/>
      <w:numFmt w:val="lowerRoman"/>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83">
    <w:nsid w:val="12AB596A"/>
    <w:multiLevelType w:val="multilevel"/>
    <w:tmpl w:val="B9988654"/>
    <w:lvl w:ilvl="0">
      <w:start w:val="3"/>
      <w:numFmt w:val="decimal"/>
      <w:lvlText w:val="%1."/>
      <w:lvlJc w:val="left"/>
      <w:pPr>
        <w:tabs>
          <w:tab w:val="num" w:pos="2146"/>
        </w:tabs>
        <w:ind w:left="2146" w:hanging="709"/>
      </w:pPr>
      <w:rPr>
        <w:rFonts w:hint="default"/>
        <w:b/>
        <w:spacing w:val="-1"/>
        <w:w w:val="100"/>
        <w:sz w:val="21"/>
        <w:szCs w:val="21"/>
      </w:rPr>
    </w:lvl>
    <w:lvl w:ilvl="1">
      <w:start w:val="1"/>
      <w:numFmt w:val="decimal"/>
      <w:isLgl/>
      <w:lvlText w:val="%1.%2."/>
      <w:lvlJc w:val="left"/>
      <w:pPr>
        <w:ind w:left="1797" w:hanging="360"/>
      </w:pPr>
      <w:rPr>
        <w:rFonts w:hint="default"/>
        <w:b w:val="0"/>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84">
    <w:nsid w:val="12B30686"/>
    <w:multiLevelType w:val="hybridMultilevel"/>
    <w:tmpl w:val="C2F83B66"/>
    <w:lvl w:ilvl="0" w:tplc="2E5CE262">
      <w:start w:val="1"/>
      <w:numFmt w:val="decimal"/>
      <w:lvlText w:val="1.%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5">
    <w:nsid w:val="13973B00"/>
    <w:multiLevelType w:val="hybridMultilevel"/>
    <w:tmpl w:val="6EB45FD6"/>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86">
    <w:nsid w:val="13C93B12"/>
    <w:multiLevelType w:val="multilevel"/>
    <w:tmpl w:val="82EAB108"/>
    <w:lvl w:ilvl="0">
      <w:start w:val="2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nsid w:val="13F43E95"/>
    <w:multiLevelType w:val="hybridMultilevel"/>
    <w:tmpl w:val="7D582BC0"/>
    <w:lvl w:ilvl="0" w:tplc="8F2AD464">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4605413"/>
    <w:multiLevelType w:val="hybridMultilevel"/>
    <w:tmpl w:val="32CE5EEA"/>
    <w:lvl w:ilvl="0" w:tplc="5DD2DDCA">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89">
    <w:nsid w:val="14873D86"/>
    <w:multiLevelType w:val="multilevel"/>
    <w:tmpl w:val="B4F22C62"/>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0">
    <w:nsid w:val="1519249C"/>
    <w:multiLevelType w:val="hybridMultilevel"/>
    <w:tmpl w:val="57F82912"/>
    <w:lvl w:ilvl="0" w:tplc="E9D88B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52013F6"/>
    <w:multiLevelType w:val="hybridMultilevel"/>
    <w:tmpl w:val="70C6F01E"/>
    <w:lvl w:ilvl="0" w:tplc="C2502882">
      <w:start w:val="1"/>
      <w:numFmt w:val="lowerLetter"/>
      <w:lvlText w:val="(%1)"/>
      <w:lvlJc w:val="left"/>
      <w:pPr>
        <w:ind w:left="1238" w:hanging="360"/>
      </w:pPr>
      <w:rPr>
        <w:rFonts w:hint="default"/>
        <w:b w:val="0"/>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92">
    <w:nsid w:val="156B5B21"/>
    <w:multiLevelType w:val="multilevel"/>
    <w:tmpl w:val="E0E6610E"/>
    <w:lvl w:ilvl="0">
      <w:start w:val="1"/>
      <w:numFmt w:val="decimal"/>
      <w:lvlText w:val="%1."/>
      <w:lvlJc w:val="left"/>
      <w:pPr>
        <w:ind w:left="720" w:hanging="360"/>
      </w:pPr>
      <w:rPr>
        <w:b/>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b w:val="0"/>
      </w:rPr>
    </w:lvl>
    <w:lvl w:ilvl="3">
      <w:start w:val="1"/>
      <w:numFmt w:val="decimal"/>
      <w:isLgl/>
      <w:lvlText w:val="%1.%2.%3.%4."/>
      <w:lvlJc w:val="left"/>
      <w:pPr>
        <w:ind w:left="2127" w:hanging="720"/>
      </w:pPr>
      <w:rPr>
        <w:rFonts w:hint="default"/>
        <w:b w:val="0"/>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3">
    <w:nsid w:val="15941139"/>
    <w:multiLevelType w:val="hybridMultilevel"/>
    <w:tmpl w:val="B832DC5A"/>
    <w:lvl w:ilvl="0" w:tplc="5D2027C8">
      <w:start w:val="1"/>
      <w:numFmt w:val="lowerLetter"/>
      <w:lvlText w:val="(%1)"/>
      <w:lvlJc w:val="left"/>
      <w:pPr>
        <w:ind w:left="1571" w:hanging="360"/>
      </w:pPr>
      <w:rPr>
        <w:rFonts w:cs="Times New Roman" w:hint="default"/>
        <w:b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4">
    <w:nsid w:val="15BB60BB"/>
    <w:multiLevelType w:val="hybridMultilevel"/>
    <w:tmpl w:val="D76CFF64"/>
    <w:lvl w:ilvl="0" w:tplc="12F0D678">
      <w:start w:val="1"/>
      <w:numFmt w:val="lowerLetter"/>
      <w:lvlText w:val="(%1)"/>
      <w:lvlJc w:val="left"/>
      <w:pPr>
        <w:ind w:left="1177" w:hanging="360"/>
      </w:pPr>
      <w:rPr>
        <w:rFonts w:hint="default"/>
      </w:rPr>
    </w:lvl>
    <w:lvl w:ilvl="1" w:tplc="04090019" w:tentative="1">
      <w:start w:val="1"/>
      <w:numFmt w:val="lowerLetter"/>
      <w:lvlText w:val="%2."/>
      <w:lvlJc w:val="left"/>
      <w:pPr>
        <w:ind w:left="1897" w:hanging="360"/>
      </w:pPr>
    </w:lvl>
    <w:lvl w:ilvl="2" w:tplc="0409001B" w:tentative="1">
      <w:start w:val="1"/>
      <w:numFmt w:val="lowerRoman"/>
      <w:lvlText w:val="%3."/>
      <w:lvlJc w:val="right"/>
      <w:pPr>
        <w:ind w:left="2617" w:hanging="180"/>
      </w:pPr>
    </w:lvl>
    <w:lvl w:ilvl="3" w:tplc="0409000F" w:tentative="1">
      <w:start w:val="1"/>
      <w:numFmt w:val="decimal"/>
      <w:lvlText w:val="%4."/>
      <w:lvlJc w:val="left"/>
      <w:pPr>
        <w:ind w:left="3337" w:hanging="360"/>
      </w:pPr>
    </w:lvl>
    <w:lvl w:ilvl="4" w:tplc="04090019" w:tentative="1">
      <w:start w:val="1"/>
      <w:numFmt w:val="lowerLetter"/>
      <w:lvlText w:val="%5."/>
      <w:lvlJc w:val="left"/>
      <w:pPr>
        <w:ind w:left="4057" w:hanging="360"/>
      </w:pPr>
    </w:lvl>
    <w:lvl w:ilvl="5" w:tplc="0409001B" w:tentative="1">
      <w:start w:val="1"/>
      <w:numFmt w:val="lowerRoman"/>
      <w:lvlText w:val="%6."/>
      <w:lvlJc w:val="right"/>
      <w:pPr>
        <w:ind w:left="4777" w:hanging="180"/>
      </w:pPr>
    </w:lvl>
    <w:lvl w:ilvl="6" w:tplc="0409000F" w:tentative="1">
      <w:start w:val="1"/>
      <w:numFmt w:val="decimal"/>
      <w:lvlText w:val="%7."/>
      <w:lvlJc w:val="left"/>
      <w:pPr>
        <w:ind w:left="5497" w:hanging="360"/>
      </w:pPr>
    </w:lvl>
    <w:lvl w:ilvl="7" w:tplc="04090019" w:tentative="1">
      <w:start w:val="1"/>
      <w:numFmt w:val="lowerLetter"/>
      <w:lvlText w:val="%8."/>
      <w:lvlJc w:val="left"/>
      <w:pPr>
        <w:ind w:left="6217" w:hanging="360"/>
      </w:pPr>
    </w:lvl>
    <w:lvl w:ilvl="8" w:tplc="0409001B" w:tentative="1">
      <w:start w:val="1"/>
      <w:numFmt w:val="lowerRoman"/>
      <w:lvlText w:val="%9."/>
      <w:lvlJc w:val="right"/>
      <w:pPr>
        <w:ind w:left="6937" w:hanging="180"/>
      </w:pPr>
    </w:lvl>
  </w:abstractNum>
  <w:abstractNum w:abstractNumId="95">
    <w:nsid w:val="15D95375"/>
    <w:multiLevelType w:val="hybridMultilevel"/>
    <w:tmpl w:val="2C90161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16625209"/>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97">
    <w:nsid w:val="16876DD0"/>
    <w:multiLevelType w:val="multilevel"/>
    <w:tmpl w:val="3E4408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2"/>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8">
    <w:nsid w:val="169A4A2C"/>
    <w:multiLevelType w:val="hybridMultilevel"/>
    <w:tmpl w:val="6336779A"/>
    <w:name w:val="SchCustomListNum2222222222222222222222222222"/>
    <w:lvl w:ilvl="0" w:tplc="5DA274C6">
      <w:start w:val="1"/>
      <w:numFmt w:val="decimal"/>
      <w:lvlText w:val="(%1)"/>
      <w:lvlJc w:val="left"/>
      <w:pPr>
        <w:ind w:left="299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99">
    <w:nsid w:val="16BA22EB"/>
    <w:multiLevelType w:val="hybridMultilevel"/>
    <w:tmpl w:val="AF80483A"/>
    <w:lvl w:ilvl="0" w:tplc="5D2027C8">
      <w:start w:val="1"/>
      <w:numFmt w:val="lowerLetter"/>
      <w:lvlText w:val="(%1)"/>
      <w:lvlJc w:val="left"/>
      <w:pPr>
        <w:ind w:left="2192" w:hanging="360"/>
      </w:pPr>
      <w:rPr>
        <w:rFonts w:cs="Times New Roman"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100">
    <w:nsid w:val="16CA791C"/>
    <w:multiLevelType w:val="hybridMultilevel"/>
    <w:tmpl w:val="E9BC7B68"/>
    <w:lvl w:ilvl="0" w:tplc="12F0D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16DB7BB8"/>
    <w:multiLevelType w:val="hybridMultilevel"/>
    <w:tmpl w:val="72B87E58"/>
    <w:lvl w:ilvl="0" w:tplc="972C1BFC">
      <w:start w:val="1"/>
      <w:numFmt w:val="lowerLetter"/>
      <w:lvlText w:val="(%1)"/>
      <w:lvlJc w:val="left"/>
      <w:pPr>
        <w:ind w:left="1734" w:hanging="360"/>
      </w:pPr>
      <w:rPr>
        <w:rFonts w:hint="default"/>
        <w:b w:val="0"/>
        <w:bCs/>
      </w:r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abstractNum w:abstractNumId="102">
    <w:nsid w:val="16EF0C5F"/>
    <w:multiLevelType w:val="hybridMultilevel"/>
    <w:tmpl w:val="445CD128"/>
    <w:lvl w:ilvl="0" w:tplc="79449A6C">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7055794"/>
    <w:multiLevelType w:val="hybridMultilevel"/>
    <w:tmpl w:val="520E3D64"/>
    <w:lvl w:ilvl="0" w:tplc="B07AE646">
      <w:start w:val="1"/>
      <w:numFmt w:val="decimal"/>
      <w:lvlText w:val="27.%1."/>
      <w:lvlJc w:val="left"/>
      <w:pPr>
        <w:ind w:left="2160" w:hanging="360"/>
      </w:pPr>
      <w:rPr>
        <w:rFonts w:hint="default"/>
        <w:b/>
        <w:i w:val="0"/>
        <w:sz w:val="21"/>
        <w:szCs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4">
    <w:nsid w:val="173B5547"/>
    <w:multiLevelType w:val="hybridMultilevel"/>
    <w:tmpl w:val="B39E36F4"/>
    <w:lvl w:ilvl="0" w:tplc="016AA9A8">
      <w:start w:val="1"/>
      <w:numFmt w:val="lowerLetter"/>
      <w:pStyle w:val="Recitals"/>
      <w:lvlText w:val="(%1)"/>
      <w:lvlJc w:val="left"/>
      <w:pPr>
        <w:tabs>
          <w:tab w:val="num" w:pos="709"/>
        </w:tabs>
        <w:ind w:left="709" w:hanging="70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5">
    <w:nsid w:val="177B049E"/>
    <w:multiLevelType w:val="hybridMultilevel"/>
    <w:tmpl w:val="A544A116"/>
    <w:lvl w:ilvl="0" w:tplc="D0004DB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179272BC"/>
    <w:multiLevelType w:val="hybridMultilevel"/>
    <w:tmpl w:val="E3F26AB6"/>
    <w:lvl w:ilvl="0" w:tplc="87D0DAE6">
      <w:start w:val="1"/>
      <w:numFmt w:val="decimal"/>
      <w:lvlText w:val="(%1)"/>
      <w:lvlJc w:val="left"/>
      <w:pPr>
        <w:ind w:left="1598" w:hanging="360"/>
      </w:pPr>
      <w:rPr>
        <w:rFonts w:hint="default"/>
      </w:r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107">
    <w:nsid w:val="17BA7FE0"/>
    <w:multiLevelType w:val="multilevel"/>
    <w:tmpl w:val="73CE2E6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8">
    <w:nsid w:val="17E25BCC"/>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9">
    <w:nsid w:val="18760D33"/>
    <w:multiLevelType w:val="hybridMultilevel"/>
    <w:tmpl w:val="6A165110"/>
    <w:name w:val="SchCustomListNum22222222222222222222222222222222222222222"/>
    <w:lvl w:ilvl="0" w:tplc="5DA274C6">
      <w:start w:val="1"/>
      <w:numFmt w:val="decimal"/>
      <w:lvlText w:val="(%1)"/>
      <w:lvlJc w:val="left"/>
      <w:pPr>
        <w:ind w:left="327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110">
    <w:nsid w:val="18B462D7"/>
    <w:multiLevelType w:val="multilevel"/>
    <w:tmpl w:val="0DCCB83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1">
    <w:nsid w:val="18D438F3"/>
    <w:multiLevelType w:val="hybridMultilevel"/>
    <w:tmpl w:val="16E223F4"/>
    <w:lvl w:ilvl="0" w:tplc="9C10B8A2">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18D84478"/>
    <w:multiLevelType w:val="hybridMultilevel"/>
    <w:tmpl w:val="471A40D0"/>
    <w:lvl w:ilvl="0" w:tplc="12F0D678">
      <w:start w:val="1"/>
      <w:numFmt w:val="lowerLetter"/>
      <w:lvlText w:val="(%1)"/>
      <w:lvlJc w:val="left"/>
      <w:pPr>
        <w:ind w:left="1738" w:hanging="360"/>
      </w:pPr>
      <w:rPr>
        <w:rFonts w:hint="default"/>
      </w:r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113">
    <w:nsid w:val="18D972E5"/>
    <w:multiLevelType w:val="multilevel"/>
    <w:tmpl w:val="72602DBE"/>
    <w:lvl w:ilvl="0">
      <w:start w:val="2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nsid w:val="18DA19CD"/>
    <w:multiLevelType w:val="multilevel"/>
    <w:tmpl w:val="765AF4CC"/>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5">
    <w:nsid w:val="18EB2BAC"/>
    <w:multiLevelType w:val="multilevel"/>
    <w:tmpl w:val="5B4E4E7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nsid w:val="190E6CB3"/>
    <w:multiLevelType w:val="hybridMultilevel"/>
    <w:tmpl w:val="47B8C022"/>
    <w:lvl w:ilvl="0" w:tplc="486E366E">
      <w:start w:val="1"/>
      <w:numFmt w:val="decimal"/>
      <w:lvlText w:val="15.%1"/>
      <w:lvlJc w:val="right"/>
      <w:pPr>
        <w:ind w:left="1440" w:hanging="360"/>
      </w:pPr>
      <w:rPr>
        <w:rFonts w:ascii="Arial" w:hAnsi="Arial" w:cs="Arial" w:hint="default"/>
        <w:color w:val="auto"/>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193D7D30"/>
    <w:multiLevelType w:val="hybridMultilevel"/>
    <w:tmpl w:val="6E067712"/>
    <w:lvl w:ilvl="0" w:tplc="1638C5F2">
      <w:start w:val="1"/>
      <w:numFmt w:val="lowerRoman"/>
      <w:lvlText w:val="(%1)"/>
      <w:lvlJc w:val="left"/>
      <w:pPr>
        <w:ind w:left="2546" w:hanging="360"/>
      </w:pPr>
      <w:rPr>
        <w:rFonts w:hint="default"/>
      </w:rPr>
    </w:lvl>
    <w:lvl w:ilvl="1" w:tplc="04090019" w:tentative="1">
      <w:start w:val="1"/>
      <w:numFmt w:val="lowerLetter"/>
      <w:lvlText w:val="%2."/>
      <w:lvlJc w:val="left"/>
      <w:pPr>
        <w:ind w:left="3266" w:hanging="360"/>
      </w:pPr>
    </w:lvl>
    <w:lvl w:ilvl="2" w:tplc="0409001B" w:tentative="1">
      <w:start w:val="1"/>
      <w:numFmt w:val="lowerRoman"/>
      <w:lvlText w:val="%3."/>
      <w:lvlJc w:val="right"/>
      <w:pPr>
        <w:ind w:left="3986" w:hanging="180"/>
      </w:pPr>
    </w:lvl>
    <w:lvl w:ilvl="3" w:tplc="0409000F" w:tentative="1">
      <w:start w:val="1"/>
      <w:numFmt w:val="decimal"/>
      <w:lvlText w:val="%4."/>
      <w:lvlJc w:val="left"/>
      <w:pPr>
        <w:ind w:left="4706" w:hanging="360"/>
      </w:pPr>
    </w:lvl>
    <w:lvl w:ilvl="4" w:tplc="04090019" w:tentative="1">
      <w:start w:val="1"/>
      <w:numFmt w:val="lowerLetter"/>
      <w:lvlText w:val="%5."/>
      <w:lvlJc w:val="left"/>
      <w:pPr>
        <w:ind w:left="5426" w:hanging="360"/>
      </w:pPr>
    </w:lvl>
    <w:lvl w:ilvl="5" w:tplc="0409001B" w:tentative="1">
      <w:start w:val="1"/>
      <w:numFmt w:val="lowerRoman"/>
      <w:lvlText w:val="%6."/>
      <w:lvlJc w:val="right"/>
      <w:pPr>
        <w:ind w:left="6146" w:hanging="180"/>
      </w:pPr>
    </w:lvl>
    <w:lvl w:ilvl="6" w:tplc="0409000F" w:tentative="1">
      <w:start w:val="1"/>
      <w:numFmt w:val="decimal"/>
      <w:lvlText w:val="%7."/>
      <w:lvlJc w:val="left"/>
      <w:pPr>
        <w:ind w:left="6866" w:hanging="360"/>
      </w:pPr>
    </w:lvl>
    <w:lvl w:ilvl="7" w:tplc="04090019" w:tentative="1">
      <w:start w:val="1"/>
      <w:numFmt w:val="lowerLetter"/>
      <w:lvlText w:val="%8."/>
      <w:lvlJc w:val="left"/>
      <w:pPr>
        <w:ind w:left="7586" w:hanging="360"/>
      </w:pPr>
    </w:lvl>
    <w:lvl w:ilvl="8" w:tplc="0409001B" w:tentative="1">
      <w:start w:val="1"/>
      <w:numFmt w:val="lowerRoman"/>
      <w:lvlText w:val="%9."/>
      <w:lvlJc w:val="right"/>
      <w:pPr>
        <w:ind w:left="8306" w:hanging="180"/>
      </w:pPr>
    </w:lvl>
  </w:abstractNum>
  <w:abstractNum w:abstractNumId="118">
    <w:nsid w:val="195E593A"/>
    <w:multiLevelType w:val="multilevel"/>
    <w:tmpl w:val="3036F70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9">
    <w:nsid w:val="19883AA2"/>
    <w:multiLevelType w:val="multilevel"/>
    <w:tmpl w:val="29889E88"/>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0">
    <w:nsid w:val="19F6160F"/>
    <w:multiLevelType w:val="hybridMultilevel"/>
    <w:tmpl w:val="35FC5A26"/>
    <w:lvl w:ilvl="0" w:tplc="B912666A">
      <w:start w:val="1"/>
      <w:numFmt w:val="lowerLetter"/>
      <w:lvlText w:val="(%1)"/>
      <w:lvlJc w:val="left"/>
      <w:pPr>
        <w:ind w:left="2138" w:hanging="360"/>
      </w:pPr>
      <w:rPr>
        <w:rFonts w:ascii="Arial" w:hAnsi="Arial" w:cs="Arial" w:hint="default"/>
        <w:b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21">
    <w:nsid w:val="1A5C799C"/>
    <w:multiLevelType w:val="hybridMultilevel"/>
    <w:tmpl w:val="59A45E70"/>
    <w:name w:val="SchCustomListNum2222222222222222"/>
    <w:lvl w:ilvl="0" w:tplc="5DA274C6">
      <w:start w:val="1"/>
      <w:numFmt w:val="decimal"/>
      <w:lvlText w:val="(%1)"/>
      <w:lvlJc w:val="left"/>
      <w:pPr>
        <w:ind w:left="336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22">
    <w:nsid w:val="1A6B3611"/>
    <w:multiLevelType w:val="multilevel"/>
    <w:tmpl w:val="FE2A177C"/>
    <w:lvl w:ilvl="0">
      <w:start w:val="1"/>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nsid w:val="1A8218E9"/>
    <w:multiLevelType w:val="hybridMultilevel"/>
    <w:tmpl w:val="84F66012"/>
    <w:name w:val="SchCustomListNum22222222222222222222222222222222222"/>
    <w:lvl w:ilvl="0" w:tplc="CCB28772">
      <w:start w:val="1"/>
      <w:numFmt w:val="decimal"/>
      <w:lvlText w:val="21.%1."/>
      <w:lvlJc w:val="left"/>
      <w:pPr>
        <w:ind w:left="720" w:hanging="360"/>
      </w:pPr>
      <w:rPr>
        <w:rFonts w:ascii="Arial" w:hAnsi="Arial" w:cs="Arial" w:hint="default"/>
        <w:b/>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1AC53243"/>
    <w:multiLevelType w:val="multilevel"/>
    <w:tmpl w:val="C90C4634"/>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5">
    <w:nsid w:val="1ADF0115"/>
    <w:multiLevelType w:val="hybridMultilevel"/>
    <w:tmpl w:val="72EC3A6C"/>
    <w:name w:val="SchCustomListNum4222"/>
    <w:lvl w:ilvl="0" w:tplc="D6E0D4EE">
      <w:start w:val="1"/>
      <w:numFmt w:val="lowerLetter"/>
      <w:lvlText w:val="(%1)"/>
      <w:lvlJc w:val="left"/>
      <w:pPr>
        <w:ind w:left="1312" w:hanging="360"/>
      </w:pPr>
      <w:rPr>
        <w:rFonts w:ascii="Arial" w:hAnsi="Arial" w:cs="Arial" w:hint="default"/>
      </w:r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126">
    <w:nsid w:val="1B0D7FDC"/>
    <w:multiLevelType w:val="hybridMultilevel"/>
    <w:tmpl w:val="893C531E"/>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27">
    <w:nsid w:val="1B4140A6"/>
    <w:multiLevelType w:val="hybridMultilevel"/>
    <w:tmpl w:val="820C8260"/>
    <w:lvl w:ilvl="0" w:tplc="D6E0D4EE">
      <w:start w:val="1"/>
      <w:numFmt w:val="lowerLetter"/>
      <w:lvlText w:val="(%1)"/>
      <w:lvlJc w:val="left"/>
      <w:pPr>
        <w:ind w:left="1429" w:hanging="360"/>
      </w:pPr>
      <w:rPr>
        <w:rFonts w:ascii="Arial" w:hAnsi="Arial" w:cs="Arial" w:hint="default"/>
      </w:rPr>
    </w:lvl>
    <w:lvl w:ilvl="1" w:tplc="17D0098C">
      <w:start w:val="1"/>
      <w:numFmt w:val="lowerRoman"/>
      <w:lvlText w:val="(%2)"/>
      <w:lvlJc w:val="left"/>
      <w:pPr>
        <w:ind w:left="2149" w:hanging="360"/>
      </w:pPr>
      <w:rPr>
        <w:rFonts w:ascii="Arial" w:eastAsia="Times New Roman" w:hAnsi="Arial" w:cs="Arial" w:hint="default"/>
      </w:rPr>
    </w:lvl>
    <w:lvl w:ilvl="2" w:tplc="3809001B">
      <w:start w:val="1"/>
      <w:numFmt w:val="lowerRoman"/>
      <w:lvlText w:val="%3."/>
      <w:lvlJc w:val="right"/>
      <w:pPr>
        <w:ind w:left="2869" w:hanging="180"/>
      </w:pPr>
    </w:lvl>
    <w:lvl w:ilvl="3" w:tplc="3809000F">
      <w:start w:val="1"/>
      <w:numFmt w:val="decimal"/>
      <w:lvlText w:val="%4."/>
      <w:lvlJc w:val="left"/>
      <w:pPr>
        <w:ind w:left="3589" w:hanging="360"/>
      </w:pPr>
    </w:lvl>
    <w:lvl w:ilvl="4" w:tplc="38090019">
      <w:start w:val="1"/>
      <w:numFmt w:val="lowerLetter"/>
      <w:lvlText w:val="%5."/>
      <w:lvlJc w:val="left"/>
      <w:pPr>
        <w:ind w:left="4309" w:hanging="360"/>
      </w:pPr>
    </w:lvl>
    <w:lvl w:ilvl="5" w:tplc="3809001B">
      <w:start w:val="1"/>
      <w:numFmt w:val="lowerRoman"/>
      <w:lvlText w:val="%6."/>
      <w:lvlJc w:val="right"/>
      <w:pPr>
        <w:ind w:left="5029" w:hanging="180"/>
      </w:pPr>
    </w:lvl>
    <w:lvl w:ilvl="6" w:tplc="3809000F">
      <w:start w:val="1"/>
      <w:numFmt w:val="decimal"/>
      <w:lvlText w:val="%7."/>
      <w:lvlJc w:val="left"/>
      <w:pPr>
        <w:ind w:left="5749" w:hanging="360"/>
      </w:pPr>
    </w:lvl>
    <w:lvl w:ilvl="7" w:tplc="38090019">
      <w:start w:val="1"/>
      <w:numFmt w:val="lowerLetter"/>
      <w:lvlText w:val="%8."/>
      <w:lvlJc w:val="left"/>
      <w:pPr>
        <w:ind w:left="6469" w:hanging="360"/>
      </w:pPr>
    </w:lvl>
    <w:lvl w:ilvl="8" w:tplc="3809001B">
      <w:start w:val="1"/>
      <w:numFmt w:val="lowerRoman"/>
      <w:lvlText w:val="%9."/>
      <w:lvlJc w:val="right"/>
      <w:pPr>
        <w:ind w:left="7189" w:hanging="180"/>
      </w:pPr>
    </w:lvl>
  </w:abstractNum>
  <w:abstractNum w:abstractNumId="128">
    <w:nsid w:val="1BBD5051"/>
    <w:multiLevelType w:val="hybridMultilevel"/>
    <w:tmpl w:val="1BD074CC"/>
    <w:lvl w:ilvl="0" w:tplc="18A0282C">
      <w:start w:val="1"/>
      <w:numFmt w:val="lowerLetter"/>
      <w:lvlText w:val="(%1)"/>
      <w:lvlJc w:val="left"/>
      <w:pPr>
        <w:ind w:left="1598" w:hanging="360"/>
      </w:pPr>
      <w:rPr>
        <w:rFonts w:hint="default"/>
        <w:b w:val="0"/>
        <w:color w:val="auto"/>
      </w:r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129">
    <w:nsid w:val="1C466A58"/>
    <w:multiLevelType w:val="multilevel"/>
    <w:tmpl w:val="752A3C6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0">
    <w:nsid w:val="1C5817D5"/>
    <w:multiLevelType w:val="hybridMultilevel"/>
    <w:tmpl w:val="445CD128"/>
    <w:lvl w:ilvl="0" w:tplc="79449A6C">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C5C1C0C"/>
    <w:multiLevelType w:val="hybridMultilevel"/>
    <w:tmpl w:val="45D8F568"/>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1C5E0528"/>
    <w:multiLevelType w:val="hybridMultilevel"/>
    <w:tmpl w:val="14428378"/>
    <w:lvl w:ilvl="0" w:tplc="D6E0D4EE">
      <w:start w:val="1"/>
      <w:numFmt w:val="lowerLetter"/>
      <w:lvlText w:val="(%1)"/>
      <w:lvlJc w:val="left"/>
      <w:pPr>
        <w:ind w:left="1152" w:hanging="360"/>
      </w:pPr>
      <w:rPr>
        <w:rFonts w:ascii="Arial" w:hAnsi="Arial"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3">
    <w:nsid w:val="1CC61E98"/>
    <w:multiLevelType w:val="hybridMultilevel"/>
    <w:tmpl w:val="D71CC948"/>
    <w:name w:val="SchCustomListNum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34">
    <w:nsid w:val="1D580188"/>
    <w:multiLevelType w:val="hybridMultilevel"/>
    <w:tmpl w:val="D7509F58"/>
    <w:lvl w:ilvl="0" w:tplc="F03EFCA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1D5917FA"/>
    <w:multiLevelType w:val="hybridMultilevel"/>
    <w:tmpl w:val="45D8F568"/>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D835F73"/>
    <w:multiLevelType w:val="hybridMultilevel"/>
    <w:tmpl w:val="F5F2C578"/>
    <w:name w:val="SchCustomListNum22222222222222222222222222222222222222223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37">
    <w:nsid w:val="1DDA6107"/>
    <w:multiLevelType w:val="hybridMultilevel"/>
    <w:tmpl w:val="1384F52A"/>
    <w:lvl w:ilvl="0" w:tplc="87D0DAE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8">
    <w:nsid w:val="1DF3244F"/>
    <w:multiLevelType w:val="hybridMultilevel"/>
    <w:tmpl w:val="5CA4865C"/>
    <w:lvl w:ilvl="0" w:tplc="D6E0D4EE">
      <w:start w:val="1"/>
      <w:numFmt w:val="lowerLetter"/>
      <w:lvlText w:val="(%1)"/>
      <w:lvlJc w:val="left"/>
      <w:pPr>
        <w:ind w:left="1152" w:hanging="360"/>
      </w:pPr>
      <w:rPr>
        <w:rFonts w:ascii="Arial" w:hAnsi="Arial"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9">
    <w:nsid w:val="1DFA2FEE"/>
    <w:multiLevelType w:val="multilevel"/>
    <w:tmpl w:val="76FE70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nsid w:val="1E9D1734"/>
    <w:multiLevelType w:val="multilevel"/>
    <w:tmpl w:val="1966A8F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1">
    <w:nsid w:val="1EC64783"/>
    <w:multiLevelType w:val="hybridMultilevel"/>
    <w:tmpl w:val="3146A9A4"/>
    <w:lvl w:ilvl="0" w:tplc="35C050C0">
      <w:start w:val="1"/>
      <w:numFmt w:val="lowerRoman"/>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142">
    <w:nsid w:val="1EE745C3"/>
    <w:multiLevelType w:val="hybridMultilevel"/>
    <w:tmpl w:val="BBA64DE2"/>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1EEF76A5"/>
    <w:multiLevelType w:val="multilevel"/>
    <w:tmpl w:val="5A943D68"/>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4"/>
      <w:numFmt w:val="lowerLetter"/>
      <w:lvlText w:val="(%3)"/>
      <w:lvlJc w:val="left"/>
      <w:pPr>
        <w:tabs>
          <w:tab w:val="num" w:pos="1417"/>
        </w:tabs>
        <w:ind w:left="1417" w:hanging="708"/>
      </w:pPr>
      <w:rPr>
        <w:rFonts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4">
    <w:nsid w:val="1F2873B4"/>
    <w:multiLevelType w:val="hybridMultilevel"/>
    <w:tmpl w:val="4000D4FE"/>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145">
    <w:nsid w:val="1FA00723"/>
    <w:multiLevelType w:val="multilevel"/>
    <w:tmpl w:val="CBAC0710"/>
    <w:lvl w:ilvl="0">
      <w:start w:val="6"/>
      <w:numFmt w:val="decimal"/>
      <w:lvlText w:val="%1."/>
      <w:lvlJc w:val="left"/>
      <w:pPr>
        <w:ind w:left="720" w:hanging="360"/>
      </w:pPr>
      <w:rPr>
        <w:rFonts w:hint="default"/>
        <w:b/>
        <w:color w:val="auto"/>
      </w:rPr>
    </w:lvl>
    <w:lvl w:ilvl="1">
      <w:start w:val="1"/>
      <w:numFmt w:val="decimal"/>
      <w:lvlText w:val="5.%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nsid w:val="1FED6DC0"/>
    <w:multiLevelType w:val="multilevel"/>
    <w:tmpl w:val="5F107DFC"/>
    <w:lvl w:ilvl="0">
      <w:start w:val="29"/>
      <w:numFmt w:val="decimal"/>
      <w:lvlText w:val="%1"/>
      <w:lvlJc w:val="left"/>
      <w:pPr>
        <w:ind w:left="420" w:hanging="420"/>
      </w:pPr>
      <w:rPr>
        <w:rFonts w:hint="default"/>
      </w:rPr>
    </w:lvl>
    <w:lvl w:ilvl="1">
      <w:start w:val="1"/>
      <w:numFmt w:val="decimal"/>
      <w:lvlText w:val="%1.%2"/>
      <w:lvlJc w:val="left"/>
      <w:pPr>
        <w:ind w:left="1151" w:hanging="420"/>
      </w:pPr>
      <w:rPr>
        <w:rFonts w:hint="default"/>
      </w:rPr>
    </w:lvl>
    <w:lvl w:ilvl="2">
      <w:start w:val="1"/>
      <w:numFmt w:val="decimal"/>
      <w:lvlText w:val="%1.%2.%3"/>
      <w:lvlJc w:val="left"/>
      <w:pPr>
        <w:ind w:left="2182" w:hanging="720"/>
      </w:pPr>
      <w:rPr>
        <w:rFonts w:hint="default"/>
      </w:rPr>
    </w:lvl>
    <w:lvl w:ilvl="3">
      <w:start w:val="1"/>
      <w:numFmt w:val="decimal"/>
      <w:lvlText w:val="%1.%2.%3.%4"/>
      <w:lvlJc w:val="left"/>
      <w:pPr>
        <w:ind w:left="2913" w:hanging="720"/>
      </w:pPr>
      <w:rPr>
        <w:rFonts w:hint="default"/>
      </w:rPr>
    </w:lvl>
    <w:lvl w:ilvl="4">
      <w:start w:val="1"/>
      <w:numFmt w:val="decimal"/>
      <w:lvlText w:val="%1.%2.%3.%4.%5"/>
      <w:lvlJc w:val="left"/>
      <w:pPr>
        <w:ind w:left="4004" w:hanging="1080"/>
      </w:pPr>
      <w:rPr>
        <w:rFonts w:hint="default"/>
      </w:rPr>
    </w:lvl>
    <w:lvl w:ilvl="5">
      <w:start w:val="1"/>
      <w:numFmt w:val="decimal"/>
      <w:lvlText w:val="%1.%2.%3.%4.%5.%6"/>
      <w:lvlJc w:val="left"/>
      <w:pPr>
        <w:ind w:left="4735" w:hanging="1080"/>
      </w:pPr>
      <w:rPr>
        <w:rFonts w:hint="default"/>
      </w:rPr>
    </w:lvl>
    <w:lvl w:ilvl="6">
      <w:start w:val="1"/>
      <w:numFmt w:val="decimal"/>
      <w:lvlText w:val="%1.%2.%3.%4.%5.%6.%7"/>
      <w:lvlJc w:val="left"/>
      <w:pPr>
        <w:ind w:left="5826" w:hanging="1440"/>
      </w:pPr>
      <w:rPr>
        <w:rFonts w:hint="default"/>
      </w:rPr>
    </w:lvl>
    <w:lvl w:ilvl="7">
      <w:start w:val="1"/>
      <w:numFmt w:val="decimal"/>
      <w:lvlText w:val="%1.%2.%3.%4.%5.%6.%7.%8"/>
      <w:lvlJc w:val="left"/>
      <w:pPr>
        <w:ind w:left="6557" w:hanging="1440"/>
      </w:pPr>
      <w:rPr>
        <w:rFonts w:hint="default"/>
      </w:rPr>
    </w:lvl>
    <w:lvl w:ilvl="8">
      <w:start w:val="1"/>
      <w:numFmt w:val="decimal"/>
      <w:lvlText w:val="%1.%2.%3.%4.%5.%6.%7.%8.%9"/>
      <w:lvlJc w:val="left"/>
      <w:pPr>
        <w:ind w:left="7288" w:hanging="1440"/>
      </w:pPr>
      <w:rPr>
        <w:rFonts w:hint="default"/>
      </w:rPr>
    </w:lvl>
  </w:abstractNum>
  <w:abstractNum w:abstractNumId="147">
    <w:nsid w:val="1FF832F5"/>
    <w:multiLevelType w:val="hybridMultilevel"/>
    <w:tmpl w:val="9306F916"/>
    <w:lvl w:ilvl="0" w:tplc="DA78DF60">
      <w:start w:val="1"/>
      <w:numFmt w:val="lowerRoman"/>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48">
    <w:nsid w:val="206D1F43"/>
    <w:multiLevelType w:val="multilevel"/>
    <w:tmpl w:val="E2DA77D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9">
    <w:nsid w:val="20B03201"/>
    <w:multiLevelType w:val="multilevel"/>
    <w:tmpl w:val="B784C1A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0">
    <w:nsid w:val="20B15407"/>
    <w:multiLevelType w:val="multilevel"/>
    <w:tmpl w:val="C90C4634"/>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1">
    <w:nsid w:val="20B15D41"/>
    <w:multiLevelType w:val="hybridMultilevel"/>
    <w:tmpl w:val="85825F80"/>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52">
    <w:nsid w:val="214B6115"/>
    <w:multiLevelType w:val="multilevel"/>
    <w:tmpl w:val="7AE62C8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3">
    <w:nsid w:val="21782BA2"/>
    <w:multiLevelType w:val="hybridMultilevel"/>
    <w:tmpl w:val="3FB680F8"/>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54">
    <w:nsid w:val="218E063F"/>
    <w:multiLevelType w:val="hybridMultilevel"/>
    <w:tmpl w:val="29FAA1E0"/>
    <w:lvl w:ilvl="0" w:tplc="BA5CF95A">
      <w:start w:val="1"/>
      <w:numFmt w:val="decimal"/>
      <w:lvlText w:val="28.%1"/>
      <w:lvlJc w:val="left"/>
      <w:pPr>
        <w:ind w:left="1190" w:hanging="360"/>
      </w:pPr>
      <w:rPr>
        <w:rFonts w:hint="default"/>
        <w:b/>
        <w:i w:val="0"/>
        <w:color w:val="000000" w:themeColor="text1"/>
        <w:sz w:val="21"/>
        <w:szCs w:val="21"/>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55">
    <w:nsid w:val="21916905"/>
    <w:multiLevelType w:val="hybridMultilevel"/>
    <w:tmpl w:val="45E0F784"/>
    <w:lvl w:ilvl="0" w:tplc="5D2027C8">
      <w:start w:val="1"/>
      <w:numFmt w:val="lowerLetter"/>
      <w:lvlText w:val="(%1)"/>
      <w:lvlJc w:val="left"/>
      <w:pPr>
        <w:ind w:left="1688" w:hanging="360"/>
      </w:pPr>
      <w:rPr>
        <w:rFonts w:cs="Times New Roman" w:hint="default"/>
      </w:rPr>
    </w:lvl>
    <w:lvl w:ilvl="1" w:tplc="04090019" w:tentative="1">
      <w:start w:val="1"/>
      <w:numFmt w:val="lowerLetter"/>
      <w:lvlText w:val="%2."/>
      <w:lvlJc w:val="left"/>
      <w:pPr>
        <w:ind w:left="2408" w:hanging="360"/>
      </w:pPr>
    </w:lvl>
    <w:lvl w:ilvl="2" w:tplc="0409001B" w:tentative="1">
      <w:start w:val="1"/>
      <w:numFmt w:val="lowerRoman"/>
      <w:lvlText w:val="%3."/>
      <w:lvlJc w:val="right"/>
      <w:pPr>
        <w:ind w:left="3128" w:hanging="180"/>
      </w:pPr>
    </w:lvl>
    <w:lvl w:ilvl="3" w:tplc="0409000F" w:tentative="1">
      <w:start w:val="1"/>
      <w:numFmt w:val="decimal"/>
      <w:lvlText w:val="%4."/>
      <w:lvlJc w:val="left"/>
      <w:pPr>
        <w:ind w:left="3848" w:hanging="360"/>
      </w:pPr>
    </w:lvl>
    <w:lvl w:ilvl="4" w:tplc="04090019" w:tentative="1">
      <w:start w:val="1"/>
      <w:numFmt w:val="lowerLetter"/>
      <w:lvlText w:val="%5."/>
      <w:lvlJc w:val="left"/>
      <w:pPr>
        <w:ind w:left="4568" w:hanging="360"/>
      </w:pPr>
    </w:lvl>
    <w:lvl w:ilvl="5" w:tplc="0409001B" w:tentative="1">
      <w:start w:val="1"/>
      <w:numFmt w:val="lowerRoman"/>
      <w:lvlText w:val="%6."/>
      <w:lvlJc w:val="right"/>
      <w:pPr>
        <w:ind w:left="5288" w:hanging="180"/>
      </w:pPr>
    </w:lvl>
    <w:lvl w:ilvl="6" w:tplc="0409000F" w:tentative="1">
      <w:start w:val="1"/>
      <w:numFmt w:val="decimal"/>
      <w:lvlText w:val="%7."/>
      <w:lvlJc w:val="left"/>
      <w:pPr>
        <w:ind w:left="6008" w:hanging="360"/>
      </w:pPr>
    </w:lvl>
    <w:lvl w:ilvl="7" w:tplc="04090019" w:tentative="1">
      <w:start w:val="1"/>
      <w:numFmt w:val="lowerLetter"/>
      <w:lvlText w:val="%8."/>
      <w:lvlJc w:val="left"/>
      <w:pPr>
        <w:ind w:left="6728" w:hanging="360"/>
      </w:pPr>
    </w:lvl>
    <w:lvl w:ilvl="8" w:tplc="0409001B" w:tentative="1">
      <w:start w:val="1"/>
      <w:numFmt w:val="lowerRoman"/>
      <w:lvlText w:val="%9."/>
      <w:lvlJc w:val="right"/>
      <w:pPr>
        <w:ind w:left="7448" w:hanging="180"/>
      </w:pPr>
    </w:lvl>
  </w:abstractNum>
  <w:abstractNum w:abstractNumId="156">
    <w:nsid w:val="21C25444"/>
    <w:multiLevelType w:val="multilevel"/>
    <w:tmpl w:val="BC3A7066"/>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0"/>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7">
    <w:nsid w:val="21EA4653"/>
    <w:multiLevelType w:val="hybridMultilevel"/>
    <w:tmpl w:val="4D6CB13A"/>
    <w:lvl w:ilvl="0" w:tplc="3C1A10A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8">
    <w:nsid w:val="22595FDC"/>
    <w:multiLevelType w:val="hybridMultilevel"/>
    <w:tmpl w:val="4288AC82"/>
    <w:lvl w:ilvl="0" w:tplc="733404A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227C189F"/>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160">
    <w:nsid w:val="2287544B"/>
    <w:multiLevelType w:val="multilevel"/>
    <w:tmpl w:val="B380AB96"/>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2"/>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1">
    <w:nsid w:val="228E6028"/>
    <w:multiLevelType w:val="hybridMultilevel"/>
    <w:tmpl w:val="6ADCFF88"/>
    <w:lvl w:ilvl="0" w:tplc="2A4C02A2">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62">
    <w:nsid w:val="22972314"/>
    <w:multiLevelType w:val="hybridMultilevel"/>
    <w:tmpl w:val="BEF8D310"/>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63">
    <w:nsid w:val="22BC2EB2"/>
    <w:multiLevelType w:val="multilevel"/>
    <w:tmpl w:val="2EFA969E"/>
    <w:lvl w:ilvl="0">
      <w:start w:val="4"/>
      <w:numFmt w:val="decimal"/>
      <w:lvlText w:val="%1."/>
      <w:lvlJc w:val="left"/>
      <w:pPr>
        <w:tabs>
          <w:tab w:val="num" w:pos="2146"/>
        </w:tabs>
        <w:ind w:left="2146" w:hanging="709"/>
      </w:pPr>
      <w:rPr>
        <w:rFonts w:hint="default"/>
        <w:b/>
        <w:spacing w:val="-1"/>
        <w:w w:val="100"/>
        <w:sz w:val="21"/>
        <w:szCs w:val="21"/>
      </w:rPr>
    </w:lvl>
    <w:lvl w:ilvl="1">
      <w:start w:val="1"/>
      <w:numFmt w:val="decimal"/>
      <w:isLgl/>
      <w:lvlText w:val="%1.%2."/>
      <w:lvlJc w:val="left"/>
      <w:pPr>
        <w:ind w:left="1797" w:hanging="360"/>
      </w:pPr>
      <w:rPr>
        <w:rFonts w:hint="default"/>
        <w:b w:val="0"/>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164">
    <w:nsid w:val="22F67FD3"/>
    <w:multiLevelType w:val="hybridMultilevel"/>
    <w:tmpl w:val="1E482950"/>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165">
    <w:nsid w:val="235A74F5"/>
    <w:multiLevelType w:val="hybridMultilevel"/>
    <w:tmpl w:val="5C300F68"/>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66">
    <w:nsid w:val="237B6539"/>
    <w:multiLevelType w:val="hybridMultilevel"/>
    <w:tmpl w:val="2DE8A5DA"/>
    <w:lvl w:ilvl="0" w:tplc="CC9C1F68">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67">
    <w:nsid w:val="23F654FB"/>
    <w:multiLevelType w:val="hybridMultilevel"/>
    <w:tmpl w:val="D7509F58"/>
    <w:lvl w:ilvl="0" w:tplc="F03EFCA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24086EFA"/>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169">
    <w:nsid w:val="249E763A"/>
    <w:multiLevelType w:val="hybridMultilevel"/>
    <w:tmpl w:val="ADBA28BA"/>
    <w:lvl w:ilvl="0" w:tplc="12F0D678">
      <w:start w:val="1"/>
      <w:numFmt w:val="lowerLetter"/>
      <w:lvlText w:val="(%1)"/>
      <w:lvlJc w:val="left"/>
      <w:pPr>
        <w:ind w:left="2018" w:hanging="360"/>
      </w:pPr>
      <w:rPr>
        <w:rFonts w:hint="default"/>
      </w:rPr>
    </w:lvl>
    <w:lvl w:ilvl="1" w:tplc="F6BE87C2">
      <w:start w:val="1"/>
      <w:numFmt w:val="lowerRoman"/>
      <w:lvlText w:val="(%2)"/>
      <w:lvlJc w:val="left"/>
      <w:pPr>
        <w:ind w:left="2738" w:hanging="360"/>
      </w:pPr>
      <w:rPr>
        <w:rFonts w:hint="default"/>
        <w:b w:val="0"/>
      </w:r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170">
    <w:nsid w:val="25171861"/>
    <w:multiLevelType w:val="hybridMultilevel"/>
    <w:tmpl w:val="3BAEF4BC"/>
    <w:lvl w:ilvl="0" w:tplc="96C0D9FC">
      <w:start w:val="1"/>
      <w:numFmt w:val="lowerRoman"/>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1">
    <w:nsid w:val="2536325B"/>
    <w:multiLevelType w:val="multilevel"/>
    <w:tmpl w:val="A45ABB08"/>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2">
    <w:nsid w:val="254A2E56"/>
    <w:multiLevelType w:val="hybridMultilevel"/>
    <w:tmpl w:val="8F9827C0"/>
    <w:lvl w:ilvl="0" w:tplc="724C5244">
      <w:start w:val="1"/>
      <w:numFmt w:val="lowerRoman"/>
      <w:lvlText w:val="(%1)"/>
      <w:lvlJc w:val="left"/>
      <w:pPr>
        <w:ind w:left="2717" w:hanging="360"/>
      </w:pPr>
      <w:rPr>
        <w:rFonts w:hint="default"/>
      </w:rPr>
    </w:lvl>
    <w:lvl w:ilvl="1" w:tplc="04090019" w:tentative="1">
      <w:start w:val="1"/>
      <w:numFmt w:val="lowerLetter"/>
      <w:lvlText w:val="%2."/>
      <w:lvlJc w:val="left"/>
      <w:pPr>
        <w:ind w:left="3437" w:hanging="360"/>
      </w:pPr>
    </w:lvl>
    <w:lvl w:ilvl="2" w:tplc="0409001B" w:tentative="1">
      <w:start w:val="1"/>
      <w:numFmt w:val="lowerRoman"/>
      <w:lvlText w:val="%3."/>
      <w:lvlJc w:val="right"/>
      <w:pPr>
        <w:ind w:left="4157" w:hanging="180"/>
      </w:pPr>
    </w:lvl>
    <w:lvl w:ilvl="3" w:tplc="0409000F" w:tentative="1">
      <w:start w:val="1"/>
      <w:numFmt w:val="decimal"/>
      <w:lvlText w:val="%4."/>
      <w:lvlJc w:val="left"/>
      <w:pPr>
        <w:ind w:left="4877" w:hanging="360"/>
      </w:pPr>
    </w:lvl>
    <w:lvl w:ilvl="4" w:tplc="04090019" w:tentative="1">
      <w:start w:val="1"/>
      <w:numFmt w:val="lowerLetter"/>
      <w:lvlText w:val="%5."/>
      <w:lvlJc w:val="left"/>
      <w:pPr>
        <w:ind w:left="5597" w:hanging="360"/>
      </w:pPr>
    </w:lvl>
    <w:lvl w:ilvl="5" w:tplc="0409001B" w:tentative="1">
      <w:start w:val="1"/>
      <w:numFmt w:val="lowerRoman"/>
      <w:lvlText w:val="%6."/>
      <w:lvlJc w:val="right"/>
      <w:pPr>
        <w:ind w:left="6317" w:hanging="180"/>
      </w:pPr>
    </w:lvl>
    <w:lvl w:ilvl="6" w:tplc="0409000F" w:tentative="1">
      <w:start w:val="1"/>
      <w:numFmt w:val="decimal"/>
      <w:lvlText w:val="%7."/>
      <w:lvlJc w:val="left"/>
      <w:pPr>
        <w:ind w:left="7037" w:hanging="360"/>
      </w:pPr>
    </w:lvl>
    <w:lvl w:ilvl="7" w:tplc="04090019" w:tentative="1">
      <w:start w:val="1"/>
      <w:numFmt w:val="lowerLetter"/>
      <w:lvlText w:val="%8."/>
      <w:lvlJc w:val="left"/>
      <w:pPr>
        <w:ind w:left="7757" w:hanging="360"/>
      </w:pPr>
    </w:lvl>
    <w:lvl w:ilvl="8" w:tplc="0409001B" w:tentative="1">
      <w:start w:val="1"/>
      <w:numFmt w:val="lowerRoman"/>
      <w:lvlText w:val="%9."/>
      <w:lvlJc w:val="right"/>
      <w:pPr>
        <w:ind w:left="8477" w:hanging="180"/>
      </w:pPr>
    </w:lvl>
  </w:abstractNum>
  <w:abstractNum w:abstractNumId="173">
    <w:nsid w:val="262B67D4"/>
    <w:multiLevelType w:val="hybridMultilevel"/>
    <w:tmpl w:val="04DCB2E0"/>
    <w:lvl w:ilvl="0" w:tplc="12F0D678">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74">
    <w:nsid w:val="264E272F"/>
    <w:multiLevelType w:val="hybridMultilevel"/>
    <w:tmpl w:val="E61C5F70"/>
    <w:name w:val="SchCustomListNum222222222222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75">
    <w:nsid w:val="265702BA"/>
    <w:multiLevelType w:val="hybridMultilevel"/>
    <w:tmpl w:val="A866F62E"/>
    <w:name w:val="SchCustomListNum22222222222222222222222222222222222222223222222222222"/>
    <w:lvl w:ilvl="0" w:tplc="E9D88B9A">
      <w:start w:val="1"/>
      <w:numFmt w:val="lowerRoman"/>
      <w:lvlText w:val="(%1)"/>
      <w:lvlJc w:val="right"/>
      <w:pPr>
        <w:ind w:left="2730" w:hanging="360"/>
      </w:pPr>
      <w:rPr>
        <w:rFonts w:hint="default"/>
      </w:rPr>
    </w:lvl>
    <w:lvl w:ilvl="1" w:tplc="04090019" w:tentative="1">
      <w:start w:val="1"/>
      <w:numFmt w:val="lowerLetter"/>
      <w:lvlText w:val="%2."/>
      <w:lvlJc w:val="left"/>
      <w:pPr>
        <w:ind w:left="3450" w:hanging="360"/>
      </w:pPr>
    </w:lvl>
    <w:lvl w:ilvl="2" w:tplc="0409001B" w:tentative="1">
      <w:start w:val="1"/>
      <w:numFmt w:val="lowerRoman"/>
      <w:lvlText w:val="%3."/>
      <w:lvlJc w:val="right"/>
      <w:pPr>
        <w:ind w:left="4170" w:hanging="180"/>
      </w:pPr>
    </w:lvl>
    <w:lvl w:ilvl="3" w:tplc="0409000F" w:tentative="1">
      <w:start w:val="1"/>
      <w:numFmt w:val="decimal"/>
      <w:lvlText w:val="%4."/>
      <w:lvlJc w:val="left"/>
      <w:pPr>
        <w:ind w:left="4890" w:hanging="360"/>
      </w:pPr>
    </w:lvl>
    <w:lvl w:ilvl="4" w:tplc="04090019" w:tentative="1">
      <w:start w:val="1"/>
      <w:numFmt w:val="lowerLetter"/>
      <w:lvlText w:val="%5."/>
      <w:lvlJc w:val="left"/>
      <w:pPr>
        <w:ind w:left="5610" w:hanging="360"/>
      </w:pPr>
    </w:lvl>
    <w:lvl w:ilvl="5" w:tplc="0409001B" w:tentative="1">
      <w:start w:val="1"/>
      <w:numFmt w:val="lowerRoman"/>
      <w:lvlText w:val="%6."/>
      <w:lvlJc w:val="right"/>
      <w:pPr>
        <w:ind w:left="6330" w:hanging="180"/>
      </w:pPr>
    </w:lvl>
    <w:lvl w:ilvl="6" w:tplc="0409000F" w:tentative="1">
      <w:start w:val="1"/>
      <w:numFmt w:val="decimal"/>
      <w:lvlText w:val="%7."/>
      <w:lvlJc w:val="left"/>
      <w:pPr>
        <w:ind w:left="7050" w:hanging="360"/>
      </w:pPr>
    </w:lvl>
    <w:lvl w:ilvl="7" w:tplc="04090019" w:tentative="1">
      <w:start w:val="1"/>
      <w:numFmt w:val="lowerLetter"/>
      <w:lvlText w:val="%8."/>
      <w:lvlJc w:val="left"/>
      <w:pPr>
        <w:ind w:left="7770" w:hanging="360"/>
      </w:pPr>
    </w:lvl>
    <w:lvl w:ilvl="8" w:tplc="0409001B" w:tentative="1">
      <w:start w:val="1"/>
      <w:numFmt w:val="lowerRoman"/>
      <w:lvlText w:val="%9."/>
      <w:lvlJc w:val="right"/>
      <w:pPr>
        <w:ind w:left="8490" w:hanging="180"/>
      </w:pPr>
    </w:lvl>
  </w:abstractNum>
  <w:abstractNum w:abstractNumId="176">
    <w:nsid w:val="26973A6D"/>
    <w:multiLevelType w:val="hybridMultilevel"/>
    <w:tmpl w:val="D05CD24A"/>
    <w:lvl w:ilvl="0" w:tplc="99225D04">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272023FA"/>
    <w:multiLevelType w:val="hybridMultilevel"/>
    <w:tmpl w:val="22AEE01C"/>
    <w:lvl w:ilvl="0" w:tplc="13561BEA">
      <w:start w:val="1"/>
      <w:numFmt w:val="lowerRoman"/>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178">
    <w:nsid w:val="27D66F13"/>
    <w:multiLevelType w:val="hybridMultilevel"/>
    <w:tmpl w:val="B5120060"/>
    <w:lvl w:ilvl="0" w:tplc="49E2F9C4">
      <w:start w:val="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27DB2D6E"/>
    <w:multiLevelType w:val="multilevel"/>
    <w:tmpl w:val="E2DA77D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0">
    <w:nsid w:val="281D1CCC"/>
    <w:multiLevelType w:val="multilevel"/>
    <w:tmpl w:val="C85C1106"/>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1">
    <w:nsid w:val="286F5637"/>
    <w:multiLevelType w:val="hybridMultilevel"/>
    <w:tmpl w:val="AACAB3B6"/>
    <w:lvl w:ilvl="0" w:tplc="12F0D678">
      <w:start w:val="1"/>
      <w:numFmt w:val="lowerLetter"/>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82">
    <w:nsid w:val="29596BD1"/>
    <w:multiLevelType w:val="hybridMultilevel"/>
    <w:tmpl w:val="02A84D76"/>
    <w:lvl w:ilvl="0" w:tplc="227A16EC">
      <w:start w:val="1"/>
      <w:numFmt w:val="decimal"/>
      <w:lvlText w:val="11.%1"/>
      <w:lvlJc w:val="left"/>
      <w:pPr>
        <w:ind w:left="2137" w:hanging="360"/>
      </w:pPr>
      <w:rPr>
        <w:rFonts w:hint="default"/>
        <w:b/>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83">
    <w:nsid w:val="298501A3"/>
    <w:multiLevelType w:val="multilevel"/>
    <w:tmpl w:val="B2B8EC6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4">
    <w:nsid w:val="29961B19"/>
    <w:multiLevelType w:val="hybridMultilevel"/>
    <w:tmpl w:val="B0D2FCC8"/>
    <w:lvl w:ilvl="0" w:tplc="7CD8E786">
      <w:start w:val="1"/>
      <w:numFmt w:val="decimal"/>
      <w:lvlText w:val="25.%1."/>
      <w:lvlJc w:val="left"/>
      <w:pPr>
        <w:ind w:left="720" w:hanging="360"/>
      </w:pPr>
      <w:rPr>
        <w:rFonts w:hint="default"/>
        <w:b/>
        <w:i w:val="0"/>
        <w:color w:val="000000" w:themeColor="text1"/>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29C11A38"/>
    <w:multiLevelType w:val="hybridMultilevel"/>
    <w:tmpl w:val="1284CF5A"/>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186">
    <w:nsid w:val="29DA5C8D"/>
    <w:multiLevelType w:val="multilevel"/>
    <w:tmpl w:val="59C66210"/>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2"/>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7">
    <w:nsid w:val="29E97803"/>
    <w:multiLevelType w:val="hybridMultilevel"/>
    <w:tmpl w:val="1F149524"/>
    <w:lvl w:ilvl="0" w:tplc="0AE0ACBC">
      <w:start w:val="1"/>
      <w:numFmt w:val="decimal"/>
      <w:lvlText w:val="17.%1"/>
      <w:lvlJc w:val="left"/>
      <w:pPr>
        <w:ind w:left="720" w:hanging="360"/>
      </w:pPr>
      <w:rPr>
        <w:rFonts w:ascii="Arial" w:hAnsi="Arial" w:cs="Arial" w:hint="default"/>
        <w:b/>
        <w:i w:val="0"/>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2A1A7270"/>
    <w:multiLevelType w:val="hybridMultilevel"/>
    <w:tmpl w:val="7DA6AF8E"/>
    <w:lvl w:ilvl="0" w:tplc="3B06C4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ACA4772"/>
    <w:multiLevelType w:val="multilevel"/>
    <w:tmpl w:val="10782658"/>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0"/>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0">
    <w:nsid w:val="2B022EE2"/>
    <w:multiLevelType w:val="multilevel"/>
    <w:tmpl w:val="E59059E2"/>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1">
    <w:nsid w:val="2B06486F"/>
    <w:multiLevelType w:val="hybridMultilevel"/>
    <w:tmpl w:val="3EA835A6"/>
    <w:lvl w:ilvl="0" w:tplc="60BED9EE">
      <w:start w:val="4"/>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start w:val="1"/>
      <w:numFmt w:val="decimal"/>
      <w:lvlText w:val="%4."/>
      <w:lvlJc w:val="left"/>
      <w:pPr>
        <w:ind w:left="3589" w:hanging="360"/>
      </w:pPr>
    </w:lvl>
    <w:lvl w:ilvl="4" w:tplc="5D2027C8">
      <w:start w:val="1"/>
      <w:numFmt w:val="lowerLetter"/>
      <w:lvlText w:val="(%5)"/>
      <w:lvlJc w:val="left"/>
      <w:pPr>
        <w:ind w:left="4309" w:hanging="360"/>
      </w:pPr>
      <w:rPr>
        <w:rFonts w:cs="Times New Roman" w:hint="default"/>
      </w:rPr>
    </w:lvl>
    <w:lvl w:ilvl="5" w:tplc="0409001B">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2">
    <w:nsid w:val="2B1739C0"/>
    <w:multiLevelType w:val="hybridMultilevel"/>
    <w:tmpl w:val="7918E9C2"/>
    <w:lvl w:ilvl="0" w:tplc="529803D8">
      <w:start w:val="1"/>
      <w:numFmt w:val="lowerRoman"/>
      <w:lvlText w:val="(%1)"/>
      <w:lvlJc w:val="left"/>
      <w:pPr>
        <w:ind w:left="144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2B4D6289"/>
    <w:multiLevelType w:val="multilevel"/>
    <w:tmpl w:val="572A4018"/>
    <w:lvl w:ilvl="0">
      <w:start w:val="1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nsid w:val="2B6F04BC"/>
    <w:multiLevelType w:val="hybridMultilevel"/>
    <w:tmpl w:val="2C90161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2C2427AF"/>
    <w:multiLevelType w:val="hybridMultilevel"/>
    <w:tmpl w:val="89EEECF0"/>
    <w:lvl w:ilvl="0" w:tplc="458ED906">
      <w:start w:val="1"/>
      <w:numFmt w:val="decimal"/>
      <w:lvlText w:val="18.%1."/>
      <w:lvlJc w:val="left"/>
      <w:pPr>
        <w:ind w:left="720" w:hanging="360"/>
      </w:pPr>
      <w:rPr>
        <w:rFonts w:ascii="Arial" w:hAnsi="Arial" w:cs="Arial" w:hint="default"/>
        <w:b/>
        <w:i w:val="0"/>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2C2D0735"/>
    <w:multiLevelType w:val="multilevel"/>
    <w:tmpl w:val="C5002EFE"/>
    <w:lvl w:ilvl="0">
      <w:start w:val="17"/>
      <w:numFmt w:val="decimal"/>
      <w:lvlText w:val="%1."/>
      <w:lvlJc w:val="left"/>
      <w:pPr>
        <w:ind w:left="360" w:hanging="360"/>
      </w:pPr>
      <w:rPr>
        <w:rFonts w:hint="default"/>
      </w:rPr>
    </w:lvl>
    <w:lvl w:ilvl="1">
      <w:start w:val="1"/>
      <w:numFmt w:val="decimal"/>
      <w:lvlText w:val="%1.%2."/>
      <w:lvlJc w:val="left"/>
      <w:pPr>
        <w:ind w:left="4671"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197">
    <w:nsid w:val="2C46465A"/>
    <w:multiLevelType w:val="hybridMultilevel"/>
    <w:tmpl w:val="431C1BAC"/>
    <w:lvl w:ilvl="0" w:tplc="5D2027C8">
      <w:start w:val="1"/>
      <w:numFmt w:val="lowerLetter"/>
      <w:lvlText w:val="(%1)"/>
      <w:lvlJc w:val="left"/>
      <w:pPr>
        <w:ind w:left="276" w:hanging="360"/>
      </w:pPr>
      <w:rPr>
        <w:rFonts w:cs="Times New Roman" w:hint="default"/>
      </w:rPr>
    </w:lvl>
    <w:lvl w:ilvl="1" w:tplc="04090019" w:tentative="1">
      <w:start w:val="1"/>
      <w:numFmt w:val="lowerLetter"/>
      <w:lvlText w:val="%2."/>
      <w:lvlJc w:val="left"/>
      <w:pPr>
        <w:ind w:left="996" w:hanging="360"/>
      </w:pPr>
    </w:lvl>
    <w:lvl w:ilvl="2" w:tplc="0409001B" w:tentative="1">
      <w:start w:val="1"/>
      <w:numFmt w:val="lowerRoman"/>
      <w:lvlText w:val="%3."/>
      <w:lvlJc w:val="right"/>
      <w:pPr>
        <w:ind w:left="1716" w:hanging="180"/>
      </w:pPr>
    </w:lvl>
    <w:lvl w:ilvl="3" w:tplc="0409000F" w:tentative="1">
      <w:start w:val="1"/>
      <w:numFmt w:val="decimal"/>
      <w:lvlText w:val="%4."/>
      <w:lvlJc w:val="left"/>
      <w:pPr>
        <w:ind w:left="2436" w:hanging="360"/>
      </w:pPr>
    </w:lvl>
    <w:lvl w:ilvl="4" w:tplc="04090019" w:tentative="1">
      <w:start w:val="1"/>
      <w:numFmt w:val="lowerLetter"/>
      <w:lvlText w:val="%5."/>
      <w:lvlJc w:val="left"/>
      <w:pPr>
        <w:ind w:left="3156" w:hanging="360"/>
      </w:pPr>
    </w:lvl>
    <w:lvl w:ilvl="5" w:tplc="0409001B" w:tentative="1">
      <w:start w:val="1"/>
      <w:numFmt w:val="lowerRoman"/>
      <w:lvlText w:val="%6."/>
      <w:lvlJc w:val="right"/>
      <w:pPr>
        <w:ind w:left="3876" w:hanging="180"/>
      </w:pPr>
    </w:lvl>
    <w:lvl w:ilvl="6" w:tplc="0409000F" w:tentative="1">
      <w:start w:val="1"/>
      <w:numFmt w:val="decimal"/>
      <w:lvlText w:val="%7."/>
      <w:lvlJc w:val="left"/>
      <w:pPr>
        <w:ind w:left="4596" w:hanging="360"/>
      </w:pPr>
    </w:lvl>
    <w:lvl w:ilvl="7" w:tplc="04090019" w:tentative="1">
      <w:start w:val="1"/>
      <w:numFmt w:val="lowerLetter"/>
      <w:lvlText w:val="%8."/>
      <w:lvlJc w:val="left"/>
      <w:pPr>
        <w:ind w:left="5316" w:hanging="360"/>
      </w:pPr>
    </w:lvl>
    <w:lvl w:ilvl="8" w:tplc="0409001B" w:tentative="1">
      <w:start w:val="1"/>
      <w:numFmt w:val="lowerRoman"/>
      <w:lvlText w:val="%9."/>
      <w:lvlJc w:val="right"/>
      <w:pPr>
        <w:ind w:left="6036" w:hanging="180"/>
      </w:pPr>
    </w:lvl>
  </w:abstractNum>
  <w:abstractNum w:abstractNumId="198">
    <w:nsid w:val="2C561B61"/>
    <w:multiLevelType w:val="hybridMultilevel"/>
    <w:tmpl w:val="128A904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199">
    <w:nsid w:val="2CE15D24"/>
    <w:multiLevelType w:val="multilevel"/>
    <w:tmpl w:val="19F2C99E"/>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0">
    <w:nsid w:val="2D001DA9"/>
    <w:multiLevelType w:val="multilevel"/>
    <w:tmpl w:val="52E6ADBA"/>
    <w:lvl w:ilvl="0">
      <w:start w:val="7"/>
      <w:numFmt w:val="decimal"/>
      <w:lvlText w:val="%1."/>
      <w:lvlJc w:val="left"/>
      <w:pPr>
        <w:ind w:left="720" w:hanging="360"/>
      </w:pPr>
      <w:rPr>
        <w:rFonts w:hint="default"/>
        <w:b/>
        <w:color w:val="auto"/>
      </w:rPr>
    </w:lvl>
    <w:lvl w:ilvl="1">
      <w:start w:val="1"/>
      <w:numFmt w:val="decimal"/>
      <w:lvlText w:val="7.%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1">
    <w:nsid w:val="2D0A027C"/>
    <w:multiLevelType w:val="hybridMultilevel"/>
    <w:tmpl w:val="8A267558"/>
    <w:lvl w:ilvl="0" w:tplc="0A222590">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2D333219"/>
    <w:multiLevelType w:val="hybridMultilevel"/>
    <w:tmpl w:val="B0CAA3BA"/>
    <w:lvl w:ilvl="0" w:tplc="E9D2CF92">
      <w:start w:val="1"/>
      <w:numFmt w:val="lowerRoman"/>
      <w:lvlText w:val="(%1)"/>
      <w:lvlJc w:val="left"/>
      <w:pPr>
        <w:ind w:left="2630" w:hanging="360"/>
      </w:pPr>
      <w:rPr>
        <w:rFonts w:hint="default"/>
      </w:rPr>
    </w:lvl>
    <w:lvl w:ilvl="1" w:tplc="04090019" w:tentative="1">
      <w:start w:val="1"/>
      <w:numFmt w:val="lowerLetter"/>
      <w:lvlText w:val="%2."/>
      <w:lvlJc w:val="left"/>
      <w:pPr>
        <w:ind w:left="3350" w:hanging="360"/>
      </w:pPr>
    </w:lvl>
    <w:lvl w:ilvl="2" w:tplc="0409001B" w:tentative="1">
      <w:start w:val="1"/>
      <w:numFmt w:val="lowerRoman"/>
      <w:lvlText w:val="%3."/>
      <w:lvlJc w:val="right"/>
      <w:pPr>
        <w:ind w:left="4070" w:hanging="180"/>
      </w:pPr>
    </w:lvl>
    <w:lvl w:ilvl="3" w:tplc="0409000F" w:tentative="1">
      <w:start w:val="1"/>
      <w:numFmt w:val="decimal"/>
      <w:lvlText w:val="%4."/>
      <w:lvlJc w:val="left"/>
      <w:pPr>
        <w:ind w:left="4790" w:hanging="360"/>
      </w:pPr>
    </w:lvl>
    <w:lvl w:ilvl="4" w:tplc="04090019" w:tentative="1">
      <w:start w:val="1"/>
      <w:numFmt w:val="lowerLetter"/>
      <w:lvlText w:val="%5."/>
      <w:lvlJc w:val="left"/>
      <w:pPr>
        <w:ind w:left="5510" w:hanging="360"/>
      </w:pPr>
    </w:lvl>
    <w:lvl w:ilvl="5" w:tplc="0409001B" w:tentative="1">
      <w:start w:val="1"/>
      <w:numFmt w:val="lowerRoman"/>
      <w:lvlText w:val="%6."/>
      <w:lvlJc w:val="right"/>
      <w:pPr>
        <w:ind w:left="6230" w:hanging="180"/>
      </w:pPr>
    </w:lvl>
    <w:lvl w:ilvl="6" w:tplc="0409000F" w:tentative="1">
      <w:start w:val="1"/>
      <w:numFmt w:val="decimal"/>
      <w:lvlText w:val="%7."/>
      <w:lvlJc w:val="left"/>
      <w:pPr>
        <w:ind w:left="6950" w:hanging="360"/>
      </w:pPr>
    </w:lvl>
    <w:lvl w:ilvl="7" w:tplc="04090019" w:tentative="1">
      <w:start w:val="1"/>
      <w:numFmt w:val="lowerLetter"/>
      <w:lvlText w:val="%8."/>
      <w:lvlJc w:val="left"/>
      <w:pPr>
        <w:ind w:left="7670" w:hanging="360"/>
      </w:pPr>
    </w:lvl>
    <w:lvl w:ilvl="8" w:tplc="0409001B" w:tentative="1">
      <w:start w:val="1"/>
      <w:numFmt w:val="lowerRoman"/>
      <w:lvlText w:val="%9."/>
      <w:lvlJc w:val="right"/>
      <w:pPr>
        <w:ind w:left="8390" w:hanging="180"/>
      </w:pPr>
    </w:lvl>
  </w:abstractNum>
  <w:abstractNum w:abstractNumId="203">
    <w:nsid w:val="2D4A30CF"/>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04">
    <w:nsid w:val="2D5A0AD2"/>
    <w:multiLevelType w:val="hybridMultilevel"/>
    <w:tmpl w:val="8984F4F2"/>
    <w:name w:val="SchCustomListNum2222222222222222222222222222222222222"/>
    <w:lvl w:ilvl="0" w:tplc="5D2027C8">
      <w:start w:val="1"/>
      <w:numFmt w:val="lowerLetter"/>
      <w:lvlText w:val="(%1)"/>
      <w:lvlJc w:val="left"/>
      <w:pPr>
        <w:ind w:left="2360" w:hanging="360"/>
      </w:pPr>
      <w:rPr>
        <w:rFonts w:cs="Times New Roman"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205">
    <w:nsid w:val="2D5D08FC"/>
    <w:multiLevelType w:val="hybridMultilevel"/>
    <w:tmpl w:val="57FA6D96"/>
    <w:lvl w:ilvl="0" w:tplc="9B1C2AC8">
      <w:start w:val="1"/>
      <w:numFmt w:val="decimal"/>
      <w:lvlText w:val="19.%1"/>
      <w:lvlJc w:val="left"/>
      <w:pPr>
        <w:ind w:left="2160" w:hanging="360"/>
      </w:pPr>
      <w:rPr>
        <w:rFonts w:hint="default"/>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6">
    <w:nsid w:val="2D6833C7"/>
    <w:multiLevelType w:val="hybridMultilevel"/>
    <w:tmpl w:val="D7E63186"/>
    <w:name w:val="SchCustomListNum322"/>
    <w:lvl w:ilvl="0" w:tplc="0409000F">
      <w:start w:val="1"/>
      <w:numFmt w:val="decimal"/>
      <w:lvlText w:val="%1."/>
      <w:lvlJc w:val="left"/>
      <w:pPr>
        <w:tabs>
          <w:tab w:val="num" w:pos="2146"/>
        </w:tabs>
        <w:ind w:left="2146" w:hanging="709"/>
      </w:pPr>
      <w:rPr>
        <w:rFonts w:hint="default"/>
        <w:spacing w:val="-1"/>
        <w:w w:val="1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2D794103"/>
    <w:multiLevelType w:val="hybridMultilevel"/>
    <w:tmpl w:val="89C23B68"/>
    <w:lvl w:ilvl="0" w:tplc="5D2027C8">
      <w:start w:val="1"/>
      <w:numFmt w:val="lowerLetter"/>
      <w:lvlText w:val="(%1)"/>
      <w:lvlJc w:val="left"/>
      <w:pPr>
        <w:ind w:left="2368" w:hanging="360"/>
      </w:pPr>
      <w:rPr>
        <w:rFonts w:cs="Times New Roman" w:hint="default"/>
      </w:rPr>
    </w:lvl>
    <w:lvl w:ilvl="1" w:tplc="04090019" w:tentative="1">
      <w:start w:val="1"/>
      <w:numFmt w:val="lowerLetter"/>
      <w:lvlText w:val="%2."/>
      <w:lvlJc w:val="left"/>
      <w:pPr>
        <w:ind w:left="3088" w:hanging="360"/>
      </w:pPr>
    </w:lvl>
    <w:lvl w:ilvl="2" w:tplc="0409001B" w:tentative="1">
      <w:start w:val="1"/>
      <w:numFmt w:val="lowerRoman"/>
      <w:lvlText w:val="%3."/>
      <w:lvlJc w:val="right"/>
      <w:pPr>
        <w:ind w:left="3808" w:hanging="180"/>
      </w:pPr>
    </w:lvl>
    <w:lvl w:ilvl="3" w:tplc="0409000F" w:tentative="1">
      <w:start w:val="1"/>
      <w:numFmt w:val="decimal"/>
      <w:lvlText w:val="%4."/>
      <w:lvlJc w:val="left"/>
      <w:pPr>
        <w:ind w:left="4528" w:hanging="360"/>
      </w:pPr>
    </w:lvl>
    <w:lvl w:ilvl="4" w:tplc="04090019" w:tentative="1">
      <w:start w:val="1"/>
      <w:numFmt w:val="lowerLetter"/>
      <w:lvlText w:val="%5."/>
      <w:lvlJc w:val="left"/>
      <w:pPr>
        <w:ind w:left="5248" w:hanging="360"/>
      </w:pPr>
    </w:lvl>
    <w:lvl w:ilvl="5" w:tplc="0409001B" w:tentative="1">
      <w:start w:val="1"/>
      <w:numFmt w:val="lowerRoman"/>
      <w:lvlText w:val="%6."/>
      <w:lvlJc w:val="right"/>
      <w:pPr>
        <w:ind w:left="5968" w:hanging="180"/>
      </w:pPr>
    </w:lvl>
    <w:lvl w:ilvl="6" w:tplc="0409000F" w:tentative="1">
      <w:start w:val="1"/>
      <w:numFmt w:val="decimal"/>
      <w:lvlText w:val="%7."/>
      <w:lvlJc w:val="left"/>
      <w:pPr>
        <w:ind w:left="6688" w:hanging="360"/>
      </w:pPr>
    </w:lvl>
    <w:lvl w:ilvl="7" w:tplc="04090019" w:tentative="1">
      <w:start w:val="1"/>
      <w:numFmt w:val="lowerLetter"/>
      <w:lvlText w:val="%8."/>
      <w:lvlJc w:val="left"/>
      <w:pPr>
        <w:ind w:left="7408" w:hanging="360"/>
      </w:pPr>
    </w:lvl>
    <w:lvl w:ilvl="8" w:tplc="0409001B" w:tentative="1">
      <w:start w:val="1"/>
      <w:numFmt w:val="lowerRoman"/>
      <w:lvlText w:val="%9."/>
      <w:lvlJc w:val="right"/>
      <w:pPr>
        <w:ind w:left="8128" w:hanging="180"/>
      </w:pPr>
    </w:lvl>
  </w:abstractNum>
  <w:abstractNum w:abstractNumId="208">
    <w:nsid w:val="2D8207B1"/>
    <w:multiLevelType w:val="multilevel"/>
    <w:tmpl w:val="5B485A2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9">
    <w:nsid w:val="2DED2C34"/>
    <w:multiLevelType w:val="multilevel"/>
    <w:tmpl w:val="BC3A7066"/>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0"/>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0">
    <w:nsid w:val="2E506E7B"/>
    <w:multiLevelType w:val="hybridMultilevel"/>
    <w:tmpl w:val="B832DC5A"/>
    <w:lvl w:ilvl="0" w:tplc="5D2027C8">
      <w:start w:val="1"/>
      <w:numFmt w:val="lowerLetter"/>
      <w:lvlText w:val="(%1)"/>
      <w:lvlJc w:val="left"/>
      <w:pPr>
        <w:ind w:left="1571" w:hanging="360"/>
      </w:pPr>
      <w:rPr>
        <w:rFonts w:cs="Times New Roman" w:hint="default"/>
        <w:b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1">
    <w:nsid w:val="2E53643C"/>
    <w:multiLevelType w:val="hybridMultilevel"/>
    <w:tmpl w:val="2D9C02E4"/>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12">
    <w:nsid w:val="2E9F352A"/>
    <w:multiLevelType w:val="hybridMultilevel"/>
    <w:tmpl w:val="75D0197E"/>
    <w:lvl w:ilvl="0" w:tplc="12F0D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2EB63830"/>
    <w:multiLevelType w:val="multilevel"/>
    <w:tmpl w:val="A844DDA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4">
    <w:nsid w:val="2ECE3E68"/>
    <w:multiLevelType w:val="hybridMultilevel"/>
    <w:tmpl w:val="C8F28494"/>
    <w:lvl w:ilvl="0" w:tplc="12F0D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2ED84130"/>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16">
    <w:nsid w:val="2F1B5A98"/>
    <w:multiLevelType w:val="hybridMultilevel"/>
    <w:tmpl w:val="6EC60D20"/>
    <w:lvl w:ilvl="0" w:tplc="314ED33E">
      <w:start w:val="1"/>
      <w:numFmt w:val="decimal"/>
      <w:lvlText w:val="(%1)"/>
      <w:lvlJc w:val="left"/>
      <w:pPr>
        <w:ind w:left="3181" w:hanging="360"/>
      </w:pPr>
      <w:rPr>
        <w:rFonts w:hint="default"/>
      </w:rPr>
    </w:lvl>
    <w:lvl w:ilvl="1" w:tplc="04090019" w:tentative="1">
      <w:start w:val="1"/>
      <w:numFmt w:val="lowerLetter"/>
      <w:lvlText w:val="%2."/>
      <w:lvlJc w:val="left"/>
      <w:pPr>
        <w:ind w:left="3901" w:hanging="360"/>
      </w:pPr>
    </w:lvl>
    <w:lvl w:ilvl="2" w:tplc="0409001B" w:tentative="1">
      <w:start w:val="1"/>
      <w:numFmt w:val="lowerRoman"/>
      <w:lvlText w:val="%3."/>
      <w:lvlJc w:val="right"/>
      <w:pPr>
        <w:ind w:left="4621" w:hanging="180"/>
      </w:pPr>
    </w:lvl>
    <w:lvl w:ilvl="3" w:tplc="0409000F" w:tentative="1">
      <w:start w:val="1"/>
      <w:numFmt w:val="decimal"/>
      <w:lvlText w:val="%4."/>
      <w:lvlJc w:val="left"/>
      <w:pPr>
        <w:ind w:left="5341" w:hanging="360"/>
      </w:pPr>
    </w:lvl>
    <w:lvl w:ilvl="4" w:tplc="04090019" w:tentative="1">
      <w:start w:val="1"/>
      <w:numFmt w:val="lowerLetter"/>
      <w:lvlText w:val="%5."/>
      <w:lvlJc w:val="left"/>
      <w:pPr>
        <w:ind w:left="6061" w:hanging="360"/>
      </w:pPr>
    </w:lvl>
    <w:lvl w:ilvl="5" w:tplc="0409001B" w:tentative="1">
      <w:start w:val="1"/>
      <w:numFmt w:val="lowerRoman"/>
      <w:lvlText w:val="%6."/>
      <w:lvlJc w:val="right"/>
      <w:pPr>
        <w:ind w:left="6781" w:hanging="180"/>
      </w:pPr>
    </w:lvl>
    <w:lvl w:ilvl="6" w:tplc="0409000F" w:tentative="1">
      <w:start w:val="1"/>
      <w:numFmt w:val="decimal"/>
      <w:lvlText w:val="%7."/>
      <w:lvlJc w:val="left"/>
      <w:pPr>
        <w:ind w:left="7501" w:hanging="360"/>
      </w:pPr>
    </w:lvl>
    <w:lvl w:ilvl="7" w:tplc="04090019" w:tentative="1">
      <w:start w:val="1"/>
      <w:numFmt w:val="lowerLetter"/>
      <w:lvlText w:val="%8."/>
      <w:lvlJc w:val="left"/>
      <w:pPr>
        <w:ind w:left="8221" w:hanging="360"/>
      </w:pPr>
    </w:lvl>
    <w:lvl w:ilvl="8" w:tplc="0409001B" w:tentative="1">
      <w:start w:val="1"/>
      <w:numFmt w:val="lowerRoman"/>
      <w:lvlText w:val="%9."/>
      <w:lvlJc w:val="right"/>
      <w:pPr>
        <w:ind w:left="8941" w:hanging="180"/>
      </w:pPr>
    </w:lvl>
  </w:abstractNum>
  <w:abstractNum w:abstractNumId="217">
    <w:nsid w:val="2F7724E6"/>
    <w:multiLevelType w:val="hybridMultilevel"/>
    <w:tmpl w:val="71AC7336"/>
    <w:lvl w:ilvl="0" w:tplc="E9D88B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2F906111"/>
    <w:multiLevelType w:val="hybridMultilevel"/>
    <w:tmpl w:val="0F800CA4"/>
    <w:lvl w:ilvl="0" w:tplc="E9D88B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2FA9275F"/>
    <w:multiLevelType w:val="hybridMultilevel"/>
    <w:tmpl w:val="2D34A586"/>
    <w:lvl w:ilvl="0" w:tplc="4FF86222">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20">
    <w:nsid w:val="2FAE5281"/>
    <w:multiLevelType w:val="hybridMultilevel"/>
    <w:tmpl w:val="D05CD24A"/>
    <w:lvl w:ilvl="0" w:tplc="99225D04">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2FEC35B8"/>
    <w:multiLevelType w:val="hybridMultilevel"/>
    <w:tmpl w:val="D074A01E"/>
    <w:lvl w:ilvl="0" w:tplc="AA64468C">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22">
    <w:nsid w:val="2FEE6B42"/>
    <w:multiLevelType w:val="hybridMultilevel"/>
    <w:tmpl w:val="11B46974"/>
    <w:lvl w:ilvl="0" w:tplc="05168C26">
      <w:start w:val="1"/>
      <w:numFmt w:val="lowerLetter"/>
      <w:lvlText w:val="(%1)"/>
      <w:lvlJc w:val="left"/>
      <w:pPr>
        <w:ind w:left="1238" w:hanging="360"/>
      </w:pPr>
      <w:rPr>
        <w:rFonts w:eastAsia="Times New Roman"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23">
    <w:nsid w:val="30346C26"/>
    <w:multiLevelType w:val="multilevel"/>
    <w:tmpl w:val="F3F0CA0A"/>
    <w:lvl w:ilvl="0">
      <w:start w:val="2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4">
    <w:nsid w:val="303F199F"/>
    <w:multiLevelType w:val="hybridMultilevel"/>
    <w:tmpl w:val="1702133E"/>
    <w:lvl w:ilvl="0" w:tplc="3D58C00C">
      <w:start w:val="1"/>
      <w:numFmt w:val="lowerRoman"/>
      <w:lvlText w:val="(%1)"/>
      <w:lvlJc w:val="left"/>
      <w:pPr>
        <w:ind w:left="2546" w:hanging="360"/>
      </w:pPr>
      <w:rPr>
        <w:rFonts w:hint="default"/>
      </w:rPr>
    </w:lvl>
    <w:lvl w:ilvl="1" w:tplc="04090019" w:tentative="1">
      <w:start w:val="1"/>
      <w:numFmt w:val="lowerLetter"/>
      <w:lvlText w:val="%2."/>
      <w:lvlJc w:val="left"/>
      <w:pPr>
        <w:ind w:left="3266" w:hanging="360"/>
      </w:pPr>
    </w:lvl>
    <w:lvl w:ilvl="2" w:tplc="0409001B" w:tentative="1">
      <w:start w:val="1"/>
      <w:numFmt w:val="lowerRoman"/>
      <w:lvlText w:val="%3."/>
      <w:lvlJc w:val="right"/>
      <w:pPr>
        <w:ind w:left="3986" w:hanging="180"/>
      </w:pPr>
    </w:lvl>
    <w:lvl w:ilvl="3" w:tplc="0409000F" w:tentative="1">
      <w:start w:val="1"/>
      <w:numFmt w:val="decimal"/>
      <w:lvlText w:val="%4."/>
      <w:lvlJc w:val="left"/>
      <w:pPr>
        <w:ind w:left="4706" w:hanging="360"/>
      </w:pPr>
    </w:lvl>
    <w:lvl w:ilvl="4" w:tplc="04090019" w:tentative="1">
      <w:start w:val="1"/>
      <w:numFmt w:val="lowerLetter"/>
      <w:lvlText w:val="%5."/>
      <w:lvlJc w:val="left"/>
      <w:pPr>
        <w:ind w:left="5426" w:hanging="360"/>
      </w:pPr>
    </w:lvl>
    <w:lvl w:ilvl="5" w:tplc="0409001B" w:tentative="1">
      <w:start w:val="1"/>
      <w:numFmt w:val="lowerRoman"/>
      <w:lvlText w:val="%6."/>
      <w:lvlJc w:val="right"/>
      <w:pPr>
        <w:ind w:left="6146" w:hanging="180"/>
      </w:pPr>
    </w:lvl>
    <w:lvl w:ilvl="6" w:tplc="0409000F" w:tentative="1">
      <w:start w:val="1"/>
      <w:numFmt w:val="decimal"/>
      <w:lvlText w:val="%7."/>
      <w:lvlJc w:val="left"/>
      <w:pPr>
        <w:ind w:left="6866" w:hanging="360"/>
      </w:pPr>
    </w:lvl>
    <w:lvl w:ilvl="7" w:tplc="04090019" w:tentative="1">
      <w:start w:val="1"/>
      <w:numFmt w:val="lowerLetter"/>
      <w:lvlText w:val="%8."/>
      <w:lvlJc w:val="left"/>
      <w:pPr>
        <w:ind w:left="7586" w:hanging="360"/>
      </w:pPr>
    </w:lvl>
    <w:lvl w:ilvl="8" w:tplc="0409001B" w:tentative="1">
      <w:start w:val="1"/>
      <w:numFmt w:val="lowerRoman"/>
      <w:lvlText w:val="%9."/>
      <w:lvlJc w:val="right"/>
      <w:pPr>
        <w:ind w:left="8306" w:hanging="180"/>
      </w:pPr>
    </w:lvl>
  </w:abstractNum>
  <w:abstractNum w:abstractNumId="225">
    <w:nsid w:val="309052F1"/>
    <w:multiLevelType w:val="hybridMultilevel"/>
    <w:tmpl w:val="37565316"/>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226">
    <w:nsid w:val="31277062"/>
    <w:multiLevelType w:val="hybridMultilevel"/>
    <w:tmpl w:val="820EB188"/>
    <w:lvl w:ilvl="0" w:tplc="5980E82C">
      <w:start w:val="1"/>
      <w:numFmt w:val="lowerRoman"/>
      <w:lvlText w:val="(%1)"/>
      <w:lvlJc w:val="left"/>
      <w:pPr>
        <w:ind w:left="2546" w:hanging="360"/>
      </w:pPr>
      <w:rPr>
        <w:rFonts w:hint="default"/>
      </w:rPr>
    </w:lvl>
    <w:lvl w:ilvl="1" w:tplc="04090019" w:tentative="1">
      <w:start w:val="1"/>
      <w:numFmt w:val="lowerLetter"/>
      <w:lvlText w:val="%2."/>
      <w:lvlJc w:val="left"/>
      <w:pPr>
        <w:ind w:left="3266" w:hanging="360"/>
      </w:pPr>
    </w:lvl>
    <w:lvl w:ilvl="2" w:tplc="0409001B" w:tentative="1">
      <w:start w:val="1"/>
      <w:numFmt w:val="lowerRoman"/>
      <w:lvlText w:val="%3."/>
      <w:lvlJc w:val="right"/>
      <w:pPr>
        <w:ind w:left="3986" w:hanging="180"/>
      </w:pPr>
    </w:lvl>
    <w:lvl w:ilvl="3" w:tplc="0409000F" w:tentative="1">
      <w:start w:val="1"/>
      <w:numFmt w:val="decimal"/>
      <w:lvlText w:val="%4."/>
      <w:lvlJc w:val="left"/>
      <w:pPr>
        <w:ind w:left="4706" w:hanging="360"/>
      </w:pPr>
    </w:lvl>
    <w:lvl w:ilvl="4" w:tplc="04090019" w:tentative="1">
      <w:start w:val="1"/>
      <w:numFmt w:val="lowerLetter"/>
      <w:lvlText w:val="%5."/>
      <w:lvlJc w:val="left"/>
      <w:pPr>
        <w:ind w:left="5426" w:hanging="360"/>
      </w:pPr>
    </w:lvl>
    <w:lvl w:ilvl="5" w:tplc="0409001B" w:tentative="1">
      <w:start w:val="1"/>
      <w:numFmt w:val="lowerRoman"/>
      <w:lvlText w:val="%6."/>
      <w:lvlJc w:val="right"/>
      <w:pPr>
        <w:ind w:left="6146" w:hanging="180"/>
      </w:pPr>
    </w:lvl>
    <w:lvl w:ilvl="6" w:tplc="0409000F" w:tentative="1">
      <w:start w:val="1"/>
      <w:numFmt w:val="decimal"/>
      <w:lvlText w:val="%7."/>
      <w:lvlJc w:val="left"/>
      <w:pPr>
        <w:ind w:left="6866" w:hanging="360"/>
      </w:pPr>
    </w:lvl>
    <w:lvl w:ilvl="7" w:tplc="04090019" w:tentative="1">
      <w:start w:val="1"/>
      <w:numFmt w:val="lowerLetter"/>
      <w:lvlText w:val="%8."/>
      <w:lvlJc w:val="left"/>
      <w:pPr>
        <w:ind w:left="7586" w:hanging="360"/>
      </w:pPr>
    </w:lvl>
    <w:lvl w:ilvl="8" w:tplc="0409001B" w:tentative="1">
      <w:start w:val="1"/>
      <w:numFmt w:val="lowerRoman"/>
      <w:lvlText w:val="%9."/>
      <w:lvlJc w:val="right"/>
      <w:pPr>
        <w:ind w:left="8306" w:hanging="180"/>
      </w:pPr>
    </w:lvl>
  </w:abstractNum>
  <w:abstractNum w:abstractNumId="227">
    <w:nsid w:val="313C107C"/>
    <w:multiLevelType w:val="multilevel"/>
    <w:tmpl w:val="13C03380"/>
    <w:lvl w:ilvl="0">
      <w:start w:val="17"/>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228">
    <w:nsid w:val="314A137C"/>
    <w:multiLevelType w:val="multilevel"/>
    <w:tmpl w:val="D160038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lowerRoman"/>
      <w:lvlText w:val="%5."/>
      <w:lvlJc w:val="right"/>
      <w:pPr>
        <w:tabs>
          <w:tab w:val="num" w:pos="2835"/>
        </w:tabs>
        <w:ind w:left="2835" w:hanging="709"/>
      </w:pPr>
      <w:rPr>
        <w:rFonts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9">
    <w:nsid w:val="3170605F"/>
    <w:multiLevelType w:val="multilevel"/>
    <w:tmpl w:val="07EC297A"/>
    <w:name w:val="SchCustomListNum"/>
    <w:styleLink w:val="SchCustomList1"/>
    <w:lvl w:ilvl="0">
      <w:start w:val="1"/>
      <w:numFmt w:val="non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Heading3"/>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230">
    <w:nsid w:val="31886698"/>
    <w:multiLevelType w:val="hybridMultilevel"/>
    <w:tmpl w:val="6736DB2A"/>
    <w:lvl w:ilvl="0" w:tplc="8C980A10">
      <w:start w:val="1"/>
      <w:numFmt w:val="lowerLetter"/>
      <w:lvlText w:val="(%1)"/>
      <w:lvlJc w:val="left"/>
      <w:pPr>
        <w:ind w:left="1069" w:hanging="360"/>
      </w:pPr>
      <w:rPr>
        <w:rFonts w:eastAsia="Times New Roman" w:hint="default"/>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1">
    <w:nsid w:val="31B1011C"/>
    <w:multiLevelType w:val="hybridMultilevel"/>
    <w:tmpl w:val="6A4EC002"/>
    <w:name w:val="SchCustomListNum22222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32">
    <w:nsid w:val="320774C2"/>
    <w:multiLevelType w:val="multilevel"/>
    <w:tmpl w:val="A81A86D8"/>
    <w:lvl w:ilvl="0">
      <w:start w:val="32"/>
      <w:numFmt w:val="decimal"/>
      <w:lvlText w:val="%1."/>
      <w:lvlJc w:val="left"/>
      <w:pPr>
        <w:ind w:left="2371" w:hanging="360"/>
      </w:pPr>
      <w:rPr>
        <w:rFonts w:hint="default"/>
      </w:rPr>
    </w:lvl>
    <w:lvl w:ilvl="1">
      <w:start w:val="1"/>
      <w:numFmt w:val="decimal"/>
      <w:isLgl/>
      <w:lvlText w:val="%1.%2."/>
      <w:lvlJc w:val="left"/>
      <w:pPr>
        <w:ind w:left="2491" w:hanging="480"/>
      </w:pPr>
      <w:rPr>
        <w:rFonts w:hint="default"/>
      </w:rPr>
    </w:lvl>
    <w:lvl w:ilvl="2">
      <w:start w:val="1"/>
      <w:numFmt w:val="decimal"/>
      <w:isLgl/>
      <w:lvlText w:val="%1.%2.%3."/>
      <w:lvlJc w:val="left"/>
      <w:pPr>
        <w:ind w:left="2731" w:hanging="720"/>
      </w:pPr>
      <w:rPr>
        <w:rFonts w:hint="default"/>
      </w:rPr>
    </w:lvl>
    <w:lvl w:ilvl="3">
      <w:start w:val="1"/>
      <w:numFmt w:val="decimal"/>
      <w:isLgl/>
      <w:lvlText w:val="%1.%2.%3.%4."/>
      <w:lvlJc w:val="left"/>
      <w:pPr>
        <w:ind w:left="2731" w:hanging="720"/>
      </w:pPr>
      <w:rPr>
        <w:rFonts w:hint="default"/>
      </w:rPr>
    </w:lvl>
    <w:lvl w:ilvl="4">
      <w:start w:val="1"/>
      <w:numFmt w:val="decimal"/>
      <w:isLgl/>
      <w:lvlText w:val="%1.%2.%3.%4.%5."/>
      <w:lvlJc w:val="left"/>
      <w:pPr>
        <w:ind w:left="3091" w:hanging="1080"/>
      </w:pPr>
      <w:rPr>
        <w:rFonts w:hint="default"/>
      </w:rPr>
    </w:lvl>
    <w:lvl w:ilvl="5">
      <w:start w:val="1"/>
      <w:numFmt w:val="decimal"/>
      <w:isLgl/>
      <w:lvlText w:val="%1.%2.%3.%4.%5.%6."/>
      <w:lvlJc w:val="left"/>
      <w:pPr>
        <w:ind w:left="3091" w:hanging="1080"/>
      </w:pPr>
      <w:rPr>
        <w:rFonts w:hint="default"/>
      </w:rPr>
    </w:lvl>
    <w:lvl w:ilvl="6">
      <w:start w:val="1"/>
      <w:numFmt w:val="decimal"/>
      <w:isLgl/>
      <w:lvlText w:val="%1.%2.%3.%4.%5.%6.%7."/>
      <w:lvlJc w:val="left"/>
      <w:pPr>
        <w:ind w:left="3451" w:hanging="1440"/>
      </w:pPr>
      <w:rPr>
        <w:rFonts w:hint="default"/>
      </w:rPr>
    </w:lvl>
    <w:lvl w:ilvl="7">
      <w:start w:val="1"/>
      <w:numFmt w:val="decimal"/>
      <w:isLgl/>
      <w:lvlText w:val="%1.%2.%3.%4.%5.%6.%7.%8."/>
      <w:lvlJc w:val="left"/>
      <w:pPr>
        <w:ind w:left="3451" w:hanging="1440"/>
      </w:pPr>
      <w:rPr>
        <w:rFonts w:hint="default"/>
      </w:rPr>
    </w:lvl>
    <w:lvl w:ilvl="8">
      <w:start w:val="1"/>
      <w:numFmt w:val="decimal"/>
      <w:isLgl/>
      <w:lvlText w:val="%1.%2.%3.%4.%5.%6.%7.%8.%9."/>
      <w:lvlJc w:val="left"/>
      <w:pPr>
        <w:ind w:left="3811" w:hanging="1800"/>
      </w:pPr>
      <w:rPr>
        <w:rFonts w:hint="default"/>
      </w:rPr>
    </w:lvl>
  </w:abstractNum>
  <w:abstractNum w:abstractNumId="233">
    <w:nsid w:val="32604A2E"/>
    <w:multiLevelType w:val="multilevel"/>
    <w:tmpl w:val="8354BCE2"/>
    <w:lvl w:ilvl="0">
      <w:start w:val="15"/>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nsid w:val="3267594D"/>
    <w:multiLevelType w:val="hybridMultilevel"/>
    <w:tmpl w:val="D05CD24A"/>
    <w:lvl w:ilvl="0" w:tplc="99225D04">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32BE64EB"/>
    <w:multiLevelType w:val="hybridMultilevel"/>
    <w:tmpl w:val="FE687944"/>
    <w:lvl w:ilvl="0" w:tplc="CB74DDE8">
      <w:start w:val="1"/>
      <w:numFmt w:val="decimal"/>
      <w:lvlText w:val="18.%1."/>
      <w:lvlJc w:val="left"/>
      <w:pPr>
        <w:ind w:left="1800" w:hanging="360"/>
      </w:pPr>
      <w:rPr>
        <w:rFonts w:hint="default"/>
        <w:b/>
        <w:i w:val="0"/>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6">
    <w:nsid w:val="32CB5C29"/>
    <w:multiLevelType w:val="hybridMultilevel"/>
    <w:tmpl w:val="C5BEBC38"/>
    <w:lvl w:ilvl="0" w:tplc="96CC8E12">
      <w:start w:val="1"/>
      <w:numFmt w:val="lowerRoman"/>
      <w:lvlText w:val="(%1)"/>
      <w:lvlJc w:val="left"/>
      <w:pPr>
        <w:ind w:left="3038" w:hanging="360"/>
      </w:pPr>
      <w:rPr>
        <w:rFonts w:ascii="Calibri" w:eastAsia="Times New Roman" w:hAnsi="Calibri" w:cs="Calibri" w:hint="default"/>
      </w:rPr>
    </w:lvl>
    <w:lvl w:ilvl="1" w:tplc="04090019" w:tentative="1">
      <w:start w:val="1"/>
      <w:numFmt w:val="lowerLetter"/>
      <w:lvlText w:val="%2."/>
      <w:lvlJc w:val="left"/>
      <w:pPr>
        <w:ind w:left="3758" w:hanging="360"/>
      </w:pPr>
    </w:lvl>
    <w:lvl w:ilvl="2" w:tplc="0409001B" w:tentative="1">
      <w:start w:val="1"/>
      <w:numFmt w:val="lowerRoman"/>
      <w:lvlText w:val="%3."/>
      <w:lvlJc w:val="right"/>
      <w:pPr>
        <w:ind w:left="4478" w:hanging="180"/>
      </w:pPr>
    </w:lvl>
    <w:lvl w:ilvl="3" w:tplc="0409000F" w:tentative="1">
      <w:start w:val="1"/>
      <w:numFmt w:val="decimal"/>
      <w:lvlText w:val="%4."/>
      <w:lvlJc w:val="left"/>
      <w:pPr>
        <w:ind w:left="5198" w:hanging="360"/>
      </w:pPr>
    </w:lvl>
    <w:lvl w:ilvl="4" w:tplc="04090019" w:tentative="1">
      <w:start w:val="1"/>
      <w:numFmt w:val="lowerLetter"/>
      <w:lvlText w:val="%5."/>
      <w:lvlJc w:val="left"/>
      <w:pPr>
        <w:ind w:left="5918" w:hanging="360"/>
      </w:pPr>
    </w:lvl>
    <w:lvl w:ilvl="5" w:tplc="0409001B" w:tentative="1">
      <w:start w:val="1"/>
      <w:numFmt w:val="lowerRoman"/>
      <w:lvlText w:val="%6."/>
      <w:lvlJc w:val="right"/>
      <w:pPr>
        <w:ind w:left="6638" w:hanging="180"/>
      </w:pPr>
    </w:lvl>
    <w:lvl w:ilvl="6" w:tplc="0409000F" w:tentative="1">
      <w:start w:val="1"/>
      <w:numFmt w:val="decimal"/>
      <w:lvlText w:val="%7."/>
      <w:lvlJc w:val="left"/>
      <w:pPr>
        <w:ind w:left="7358" w:hanging="360"/>
      </w:pPr>
    </w:lvl>
    <w:lvl w:ilvl="7" w:tplc="04090019" w:tentative="1">
      <w:start w:val="1"/>
      <w:numFmt w:val="lowerLetter"/>
      <w:lvlText w:val="%8."/>
      <w:lvlJc w:val="left"/>
      <w:pPr>
        <w:ind w:left="8078" w:hanging="360"/>
      </w:pPr>
    </w:lvl>
    <w:lvl w:ilvl="8" w:tplc="0409001B" w:tentative="1">
      <w:start w:val="1"/>
      <w:numFmt w:val="lowerRoman"/>
      <w:lvlText w:val="%9."/>
      <w:lvlJc w:val="right"/>
      <w:pPr>
        <w:ind w:left="8798" w:hanging="180"/>
      </w:pPr>
    </w:lvl>
  </w:abstractNum>
  <w:abstractNum w:abstractNumId="237">
    <w:nsid w:val="33092BD9"/>
    <w:multiLevelType w:val="hybridMultilevel"/>
    <w:tmpl w:val="CBB8D064"/>
    <w:name w:val="SchCustomListNum222222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38">
    <w:nsid w:val="3322655F"/>
    <w:multiLevelType w:val="hybridMultilevel"/>
    <w:tmpl w:val="6FFEFB96"/>
    <w:lvl w:ilvl="0" w:tplc="E9D88B9A">
      <w:start w:val="1"/>
      <w:numFmt w:val="lowerRoman"/>
      <w:lvlText w:val="(%1)"/>
      <w:lvlJc w:val="right"/>
      <w:pPr>
        <w:ind w:left="2731" w:hanging="360"/>
      </w:pPr>
      <w:rPr>
        <w:rFonts w:hint="default"/>
      </w:rPr>
    </w:lvl>
    <w:lvl w:ilvl="1" w:tplc="04090019" w:tentative="1">
      <w:start w:val="1"/>
      <w:numFmt w:val="lowerLetter"/>
      <w:lvlText w:val="%2."/>
      <w:lvlJc w:val="left"/>
      <w:pPr>
        <w:ind w:left="3451" w:hanging="360"/>
      </w:pPr>
    </w:lvl>
    <w:lvl w:ilvl="2" w:tplc="0409001B" w:tentative="1">
      <w:start w:val="1"/>
      <w:numFmt w:val="lowerRoman"/>
      <w:lvlText w:val="%3."/>
      <w:lvlJc w:val="right"/>
      <w:pPr>
        <w:ind w:left="4171" w:hanging="180"/>
      </w:pPr>
    </w:lvl>
    <w:lvl w:ilvl="3" w:tplc="0409000F" w:tentative="1">
      <w:start w:val="1"/>
      <w:numFmt w:val="decimal"/>
      <w:lvlText w:val="%4."/>
      <w:lvlJc w:val="left"/>
      <w:pPr>
        <w:ind w:left="4891" w:hanging="360"/>
      </w:pPr>
    </w:lvl>
    <w:lvl w:ilvl="4" w:tplc="04090019" w:tentative="1">
      <w:start w:val="1"/>
      <w:numFmt w:val="lowerLetter"/>
      <w:lvlText w:val="%5."/>
      <w:lvlJc w:val="left"/>
      <w:pPr>
        <w:ind w:left="5611" w:hanging="360"/>
      </w:pPr>
    </w:lvl>
    <w:lvl w:ilvl="5" w:tplc="0409001B" w:tentative="1">
      <w:start w:val="1"/>
      <w:numFmt w:val="lowerRoman"/>
      <w:lvlText w:val="%6."/>
      <w:lvlJc w:val="right"/>
      <w:pPr>
        <w:ind w:left="6331" w:hanging="180"/>
      </w:pPr>
    </w:lvl>
    <w:lvl w:ilvl="6" w:tplc="0409000F" w:tentative="1">
      <w:start w:val="1"/>
      <w:numFmt w:val="decimal"/>
      <w:lvlText w:val="%7."/>
      <w:lvlJc w:val="left"/>
      <w:pPr>
        <w:ind w:left="7051" w:hanging="360"/>
      </w:pPr>
    </w:lvl>
    <w:lvl w:ilvl="7" w:tplc="04090019" w:tentative="1">
      <w:start w:val="1"/>
      <w:numFmt w:val="lowerLetter"/>
      <w:lvlText w:val="%8."/>
      <w:lvlJc w:val="left"/>
      <w:pPr>
        <w:ind w:left="7771" w:hanging="360"/>
      </w:pPr>
    </w:lvl>
    <w:lvl w:ilvl="8" w:tplc="0409001B" w:tentative="1">
      <w:start w:val="1"/>
      <w:numFmt w:val="lowerRoman"/>
      <w:lvlText w:val="%9."/>
      <w:lvlJc w:val="right"/>
      <w:pPr>
        <w:ind w:left="8491" w:hanging="180"/>
      </w:pPr>
    </w:lvl>
  </w:abstractNum>
  <w:abstractNum w:abstractNumId="239">
    <w:nsid w:val="334D5AD6"/>
    <w:multiLevelType w:val="hybridMultilevel"/>
    <w:tmpl w:val="2C90161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337A10F4"/>
    <w:multiLevelType w:val="hybridMultilevel"/>
    <w:tmpl w:val="1BC2522C"/>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41">
    <w:nsid w:val="3388167C"/>
    <w:multiLevelType w:val="multilevel"/>
    <w:tmpl w:val="BE0EC24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2">
    <w:nsid w:val="3462601E"/>
    <w:multiLevelType w:val="hybridMultilevel"/>
    <w:tmpl w:val="0B6A49FA"/>
    <w:lvl w:ilvl="0" w:tplc="83CCB278">
      <w:start w:val="1"/>
      <w:numFmt w:val="decimal"/>
      <w:lvlText w:val="2.%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3">
    <w:nsid w:val="34D86E7B"/>
    <w:multiLevelType w:val="hybridMultilevel"/>
    <w:tmpl w:val="7DA6AF8E"/>
    <w:lvl w:ilvl="0" w:tplc="3B06C4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34F677EE"/>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245">
    <w:nsid w:val="354D76D7"/>
    <w:multiLevelType w:val="hybridMultilevel"/>
    <w:tmpl w:val="E59AC9AA"/>
    <w:lvl w:ilvl="0" w:tplc="3C1A10A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6">
    <w:nsid w:val="3571659C"/>
    <w:multiLevelType w:val="multilevel"/>
    <w:tmpl w:val="EA682128"/>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7">
    <w:nsid w:val="35984CD3"/>
    <w:multiLevelType w:val="hybridMultilevel"/>
    <w:tmpl w:val="0FE66106"/>
    <w:lvl w:ilvl="0" w:tplc="12F0D678">
      <w:start w:val="1"/>
      <w:numFmt w:val="lowerLetter"/>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48">
    <w:nsid w:val="35E66584"/>
    <w:multiLevelType w:val="hybridMultilevel"/>
    <w:tmpl w:val="E9027302"/>
    <w:lvl w:ilvl="0" w:tplc="BBF2A5EE">
      <w:start w:val="1"/>
      <w:numFmt w:val="decimal"/>
      <w:lvlText w:val="15.%1"/>
      <w:lvlJc w:val="righ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35F82719"/>
    <w:multiLevelType w:val="multilevel"/>
    <w:tmpl w:val="8C3C6328"/>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0">
    <w:nsid w:val="367736E3"/>
    <w:multiLevelType w:val="multilevel"/>
    <w:tmpl w:val="7BCCE332"/>
    <w:lvl w:ilvl="0">
      <w:start w:val="6"/>
      <w:numFmt w:val="decimal"/>
      <w:lvlText w:val="%1."/>
      <w:lvlJc w:val="left"/>
      <w:pPr>
        <w:ind w:left="720" w:hanging="360"/>
      </w:pPr>
      <w:rPr>
        <w:rFonts w:hint="default"/>
        <w:b/>
        <w:color w:val="auto"/>
      </w:rPr>
    </w:lvl>
    <w:lvl w:ilvl="1">
      <w:start w:val="6"/>
      <w:numFmt w:val="decimal"/>
      <w:lvlText w:val="6.%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1">
    <w:nsid w:val="367D26A0"/>
    <w:multiLevelType w:val="hybridMultilevel"/>
    <w:tmpl w:val="8DBA8750"/>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52">
    <w:nsid w:val="36E2297E"/>
    <w:multiLevelType w:val="hybridMultilevel"/>
    <w:tmpl w:val="0B32C304"/>
    <w:lvl w:ilvl="0" w:tplc="12F0D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37237C3C"/>
    <w:multiLevelType w:val="hybridMultilevel"/>
    <w:tmpl w:val="AFF86E5A"/>
    <w:name w:val="SchCustomListNum222222222222222222222222222222222"/>
    <w:lvl w:ilvl="0" w:tplc="5DA274C6">
      <w:start w:val="1"/>
      <w:numFmt w:val="decimal"/>
      <w:lvlText w:val="(%1)"/>
      <w:lvlJc w:val="left"/>
      <w:pPr>
        <w:ind w:left="72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3759052F"/>
    <w:multiLevelType w:val="multilevel"/>
    <w:tmpl w:val="E4F88A1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5">
    <w:nsid w:val="375F6BDA"/>
    <w:multiLevelType w:val="hybridMultilevel"/>
    <w:tmpl w:val="34ECC41A"/>
    <w:lvl w:ilvl="0" w:tplc="CCB28772">
      <w:start w:val="1"/>
      <w:numFmt w:val="decimal"/>
      <w:lvlText w:val="21.%1."/>
      <w:lvlJc w:val="left"/>
      <w:pPr>
        <w:ind w:left="1620" w:hanging="360"/>
      </w:pPr>
      <w:rPr>
        <w:rFonts w:ascii="Arial" w:hAnsi="Arial" w:cs="Arial" w:hint="default"/>
        <w:b/>
        <w:color w:val="auto"/>
        <w:sz w:val="21"/>
        <w:szCs w:val="21"/>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6">
    <w:nsid w:val="37A6172B"/>
    <w:multiLevelType w:val="hybridMultilevel"/>
    <w:tmpl w:val="E7DA28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37DC428E"/>
    <w:multiLevelType w:val="multilevel"/>
    <w:tmpl w:val="F1FCE596"/>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8">
    <w:nsid w:val="37DE72F0"/>
    <w:multiLevelType w:val="hybridMultilevel"/>
    <w:tmpl w:val="4D227438"/>
    <w:lvl w:ilvl="0" w:tplc="5D2027C8">
      <w:start w:val="1"/>
      <w:numFmt w:val="lowerLetter"/>
      <w:lvlText w:val="(%1)"/>
      <w:lvlJc w:val="left"/>
      <w:pPr>
        <w:ind w:left="1797" w:hanging="360"/>
      </w:pPr>
      <w:rPr>
        <w:rFonts w:cs="Times New Roman"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259">
    <w:nsid w:val="381249D8"/>
    <w:multiLevelType w:val="hybridMultilevel"/>
    <w:tmpl w:val="567AF448"/>
    <w:name w:val="SchCustomListNum222222222222222222222222222222222222222232222222222"/>
    <w:lvl w:ilvl="0" w:tplc="5D2027C8">
      <w:start w:val="1"/>
      <w:numFmt w:val="lowerLetter"/>
      <w:lvlText w:val="(%1)"/>
      <w:lvlJc w:val="left"/>
      <w:pPr>
        <w:ind w:left="2280" w:hanging="360"/>
      </w:pPr>
      <w:rPr>
        <w:rFonts w:cs="Times New Roman"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60">
    <w:nsid w:val="3821050F"/>
    <w:multiLevelType w:val="multilevel"/>
    <w:tmpl w:val="72B04ADC"/>
    <w:lvl w:ilvl="0">
      <w:start w:val="13"/>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261">
    <w:nsid w:val="383A3670"/>
    <w:multiLevelType w:val="multilevel"/>
    <w:tmpl w:val="C696FEF8"/>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2">
    <w:nsid w:val="38682E71"/>
    <w:multiLevelType w:val="hybridMultilevel"/>
    <w:tmpl w:val="E690C5E8"/>
    <w:lvl w:ilvl="0" w:tplc="4B708B52">
      <w:start w:val="1"/>
      <w:numFmt w:val="upperLetter"/>
      <w:lvlText w:val="%1."/>
      <w:lvlJc w:val="left"/>
      <w:pPr>
        <w:ind w:left="1296" w:hanging="360"/>
      </w:pPr>
      <w:rPr>
        <w:i w:val="0"/>
        <w:color w:val="0D0D0D" w:themeColor="text1" w:themeTint="F2"/>
        <w:sz w:val="2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3">
    <w:nsid w:val="386A776B"/>
    <w:multiLevelType w:val="hybridMultilevel"/>
    <w:tmpl w:val="4D6CB13A"/>
    <w:lvl w:ilvl="0" w:tplc="3C1A10A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4">
    <w:nsid w:val="38734881"/>
    <w:multiLevelType w:val="multilevel"/>
    <w:tmpl w:val="3AF8965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3594" w:hanging="720"/>
      </w:pPr>
      <w:rPr>
        <w:rFonts w:hint="default"/>
      </w:rPr>
    </w:lvl>
    <w:lvl w:ilvl="3">
      <w:start w:val="1"/>
      <w:numFmt w:val="decimal"/>
      <w:lvlText w:val="%1.%2.%3.%4."/>
      <w:lvlJc w:val="left"/>
      <w:pPr>
        <w:ind w:left="5031" w:hanging="72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265" w:hanging="108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499" w:hanging="1440"/>
      </w:pPr>
      <w:rPr>
        <w:rFonts w:hint="default"/>
      </w:rPr>
    </w:lvl>
    <w:lvl w:ilvl="8">
      <w:start w:val="1"/>
      <w:numFmt w:val="decimal"/>
      <w:lvlText w:val="%1.%2.%3.%4.%5.%6.%7.%8.%9."/>
      <w:lvlJc w:val="left"/>
      <w:pPr>
        <w:ind w:left="13296" w:hanging="1800"/>
      </w:pPr>
      <w:rPr>
        <w:rFonts w:hint="default"/>
      </w:rPr>
    </w:lvl>
  </w:abstractNum>
  <w:abstractNum w:abstractNumId="265">
    <w:nsid w:val="38817370"/>
    <w:multiLevelType w:val="multilevel"/>
    <w:tmpl w:val="DEE8112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nsid w:val="38AA1E4B"/>
    <w:multiLevelType w:val="hybridMultilevel"/>
    <w:tmpl w:val="BA8E6106"/>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67">
    <w:nsid w:val="38C05438"/>
    <w:multiLevelType w:val="multilevel"/>
    <w:tmpl w:val="BF3ACD66"/>
    <w:lvl w:ilvl="0">
      <w:start w:val="29"/>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8">
    <w:nsid w:val="394B3812"/>
    <w:multiLevelType w:val="multilevel"/>
    <w:tmpl w:val="4B16E8E0"/>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9">
    <w:nsid w:val="39510FBD"/>
    <w:multiLevelType w:val="hybridMultilevel"/>
    <w:tmpl w:val="E132F4CA"/>
    <w:lvl w:ilvl="0" w:tplc="D6E0D4EE">
      <w:start w:val="1"/>
      <w:numFmt w:val="lowerLetter"/>
      <w:lvlText w:val="(%1)"/>
      <w:lvlJc w:val="left"/>
      <w:pPr>
        <w:ind w:left="1152" w:hanging="360"/>
      </w:pPr>
      <w:rPr>
        <w:rFonts w:ascii="Arial" w:hAnsi="Arial"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0">
    <w:nsid w:val="39901050"/>
    <w:multiLevelType w:val="hybridMultilevel"/>
    <w:tmpl w:val="2500D98A"/>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39B2334F"/>
    <w:multiLevelType w:val="hybridMultilevel"/>
    <w:tmpl w:val="471A40D0"/>
    <w:lvl w:ilvl="0" w:tplc="12F0D678">
      <w:start w:val="1"/>
      <w:numFmt w:val="lowerLetter"/>
      <w:lvlText w:val="(%1)"/>
      <w:lvlJc w:val="left"/>
      <w:pPr>
        <w:ind w:left="1738" w:hanging="360"/>
      </w:pPr>
      <w:rPr>
        <w:rFonts w:hint="default"/>
      </w:r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272">
    <w:nsid w:val="39ED686F"/>
    <w:multiLevelType w:val="multilevel"/>
    <w:tmpl w:val="BF78E5D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nsid w:val="3A202D9A"/>
    <w:multiLevelType w:val="multilevel"/>
    <w:tmpl w:val="EBC8F7EC"/>
    <w:lvl w:ilvl="0">
      <w:start w:val="10"/>
      <w:numFmt w:val="decimal"/>
      <w:lvlText w:val="%1."/>
      <w:lvlJc w:val="left"/>
      <w:pPr>
        <w:ind w:left="360" w:hanging="360"/>
      </w:pPr>
      <w:rPr>
        <w:rFonts w:hint="default"/>
      </w:rPr>
    </w:lvl>
    <w:lvl w:ilvl="1">
      <w:start w:val="1"/>
      <w:numFmt w:val="decimal"/>
      <w:lvlText w:val="%1.%2."/>
      <w:lvlJc w:val="left"/>
      <w:pPr>
        <w:ind w:left="4671"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274">
    <w:nsid w:val="3A79672D"/>
    <w:multiLevelType w:val="hybridMultilevel"/>
    <w:tmpl w:val="1026DB30"/>
    <w:lvl w:ilvl="0" w:tplc="E9D88B9A">
      <w:start w:val="1"/>
      <w:numFmt w:val="lowerRoman"/>
      <w:lvlText w:val="(%1)"/>
      <w:lvlJc w:val="righ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75">
    <w:nsid w:val="3AE35976"/>
    <w:multiLevelType w:val="hybridMultilevel"/>
    <w:tmpl w:val="AFB2CDDC"/>
    <w:lvl w:ilvl="0" w:tplc="3B06C460">
      <w:start w:val="1"/>
      <w:numFmt w:val="lowerRoman"/>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6">
    <w:nsid w:val="3B211492"/>
    <w:multiLevelType w:val="hybridMultilevel"/>
    <w:tmpl w:val="37BEF592"/>
    <w:lvl w:ilvl="0" w:tplc="7EE0E43A">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77">
    <w:nsid w:val="3B2E0CCA"/>
    <w:multiLevelType w:val="hybridMultilevel"/>
    <w:tmpl w:val="B4E89AB2"/>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78">
    <w:nsid w:val="3B5D2D92"/>
    <w:multiLevelType w:val="hybridMultilevel"/>
    <w:tmpl w:val="39F4A644"/>
    <w:lvl w:ilvl="0" w:tplc="116A5D8C">
      <w:start w:val="1"/>
      <w:numFmt w:val="decimal"/>
      <w:lvlText w:val="28.%1"/>
      <w:lvlJc w:val="left"/>
      <w:pPr>
        <w:ind w:left="720" w:hanging="360"/>
      </w:pPr>
      <w:rPr>
        <w:rFonts w:hint="default"/>
        <w:b/>
        <w:i w:val="0"/>
        <w:color w:val="000000" w:themeColor="text1"/>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3B706816"/>
    <w:multiLevelType w:val="multilevel"/>
    <w:tmpl w:val="93662CC8"/>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0">
    <w:nsid w:val="3B7F4610"/>
    <w:multiLevelType w:val="multilevel"/>
    <w:tmpl w:val="7D14E05A"/>
    <w:lvl w:ilvl="0">
      <w:start w:val="2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1">
    <w:nsid w:val="3BE9122B"/>
    <w:multiLevelType w:val="hybridMultilevel"/>
    <w:tmpl w:val="3FB680F8"/>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82">
    <w:nsid w:val="3C0006E3"/>
    <w:multiLevelType w:val="multilevel"/>
    <w:tmpl w:val="E9DC5196"/>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3">
    <w:nsid w:val="3C763E6E"/>
    <w:multiLevelType w:val="multilevel"/>
    <w:tmpl w:val="8CA0444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4">
    <w:nsid w:val="3C8A4420"/>
    <w:multiLevelType w:val="multilevel"/>
    <w:tmpl w:val="1DE8B690"/>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5">
    <w:nsid w:val="3C9F4E7D"/>
    <w:multiLevelType w:val="hybridMultilevel"/>
    <w:tmpl w:val="A8B825AA"/>
    <w:lvl w:ilvl="0" w:tplc="12F0D678">
      <w:start w:val="1"/>
      <w:numFmt w:val="lowerLetter"/>
      <w:lvlText w:val="(%1)"/>
      <w:lvlJc w:val="left"/>
      <w:pPr>
        <w:ind w:left="2540" w:hanging="360"/>
      </w:pPr>
      <w:rPr>
        <w:rFonts w:hint="default"/>
      </w:rPr>
    </w:lvl>
    <w:lvl w:ilvl="1" w:tplc="04090019" w:tentative="1">
      <w:start w:val="1"/>
      <w:numFmt w:val="lowerLetter"/>
      <w:lvlText w:val="%2."/>
      <w:lvlJc w:val="left"/>
      <w:pPr>
        <w:ind w:left="3260" w:hanging="360"/>
      </w:pPr>
    </w:lvl>
    <w:lvl w:ilvl="2" w:tplc="0409001B" w:tentative="1">
      <w:start w:val="1"/>
      <w:numFmt w:val="lowerRoman"/>
      <w:lvlText w:val="%3."/>
      <w:lvlJc w:val="right"/>
      <w:pPr>
        <w:ind w:left="3980" w:hanging="180"/>
      </w:pPr>
    </w:lvl>
    <w:lvl w:ilvl="3" w:tplc="0409000F" w:tentative="1">
      <w:start w:val="1"/>
      <w:numFmt w:val="decimal"/>
      <w:lvlText w:val="%4."/>
      <w:lvlJc w:val="left"/>
      <w:pPr>
        <w:ind w:left="4700" w:hanging="360"/>
      </w:pPr>
    </w:lvl>
    <w:lvl w:ilvl="4" w:tplc="04090019" w:tentative="1">
      <w:start w:val="1"/>
      <w:numFmt w:val="lowerLetter"/>
      <w:lvlText w:val="%5."/>
      <w:lvlJc w:val="left"/>
      <w:pPr>
        <w:ind w:left="5420" w:hanging="360"/>
      </w:pPr>
    </w:lvl>
    <w:lvl w:ilvl="5" w:tplc="0409001B" w:tentative="1">
      <w:start w:val="1"/>
      <w:numFmt w:val="lowerRoman"/>
      <w:lvlText w:val="%6."/>
      <w:lvlJc w:val="right"/>
      <w:pPr>
        <w:ind w:left="6140" w:hanging="180"/>
      </w:pPr>
    </w:lvl>
    <w:lvl w:ilvl="6" w:tplc="0409000F" w:tentative="1">
      <w:start w:val="1"/>
      <w:numFmt w:val="decimal"/>
      <w:lvlText w:val="%7."/>
      <w:lvlJc w:val="left"/>
      <w:pPr>
        <w:ind w:left="6860" w:hanging="360"/>
      </w:pPr>
    </w:lvl>
    <w:lvl w:ilvl="7" w:tplc="04090019" w:tentative="1">
      <w:start w:val="1"/>
      <w:numFmt w:val="lowerLetter"/>
      <w:lvlText w:val="%8."/>
      <w:lvlJc w:val="left"/>
      <w:pPr>
        <w:ind w:left="7580" w:hanging="360"/>
      </w:pPr>
    </w:lvl>
    <w:lvl w:ilvl="8" w:tplc="0409001B" w:tentative="1">
      <w:start w:val="1"/>
      <w:numFmt w:val="lowerRoman"/>
      <w:lvlText w:val="%9."/>
      <w:lvlJc w:val="right"/>
      <w:pPr>
        <w:ind w:left="8300" w:hanging="180"/>
      </w:pPr>
    </w:lvl>
  </w:abstractNum>
  <w:abstractNum w:abstractNumId="286">
    <w:nsid w:val="3D3738DE"/>
    <w:multiLevelType w:val="hybridMultilevel"/>
    <w:tmpl w:val="BD0CF5C8"/>
    <w:name w:val="SchCustomListNum2222222222222222222"/>
    <w:lvl w:ilvl="0" w:tplc="5D2027C8">
      <w:start w:val="1"/>
      <w:numFmt w:val="lowerLetter"/>
      <w:lvlText w:val="(%1)"/>
      <w:lvlJc w:val="left"/>
      <w:pPr>
        <w:ind w:left="2368" w:hanging="360"/>
      </w:pPr>
      <w:rPr>
        <w:rFonts w:cs="Times New Roman" w:hint="default"/>
      </w:rPr>
    </w:lvl>
    <w:lvl w:ilvl="1" w:tplc="04090019" w:tentative="1">
      <w:start w:val="1"/>
      <w:numFmt w:val="lowerLetter"/>
      <w:lvlText w:val="%2."/>
      <w:lvlJc w:val="left"/>
      <w:pPr>
        <w:ind w:left="3088" w:hanging="360"/>
      </w:pPr>
    </w:lvl>
    <w:lvl w:ilvl="2" w:tplc="0409001B" w:tentative="1">
      <w:start w:val="1"/>
      <w:numFmt w:val="lowerRoman"/>
      <w:lvlText w:val="%3."/>
      <w:lvlJc w:val="right"/>
      <w:pPr>
        <w:ind w:left="3808" w:hanging="180"/>
      </w:pPr>
    </w:lvl>
    <w:lvl w:ilvl="3" w:tplc="0409000F" w:tentative="1">
      <w:start w:val="1"/>
      <w:numFmt w:val="decimal"/>
      <w:lvlText w:val="%4."/>
      <w:lvlJc w:val="left"/>
      <w:pPr>
        <w:ind w:left="4528" w:hanging="360"/>
      </w:pPr>
    </w:lvl>
    <w:lvl w:ilvl="4" w:tplc="04090019" w:tentative="1">
      <w:start w:val="1"/>
      <w:numFmt w:val="lowerLetter"/>
      <w:lvlText w:val="%5."/>
      <w:lvlJc w:val="left"/>
      <w:pPr>
        <w:ind w:left="5248" w:hanging="360"/>
      </w:pPr>
    </w:lvl>
    <w:lvl w:ilvl="5" w:tplc="0409001B" w:tentative="1">
      <w:start w:val="1"/>
      <w:numFmt w:val="lowerRoman"/>
      <w:lvlText w:val="%6."/>
      <w:lvlJc w:val="right"/>
      <w:pPr>
        <w:ind w:left="5968" w:hanging="180"/>
      </w:pPr>
    </w:lvl>
    <w:lvl w:ilvl="6" w:tplc="0409000F" w:tentative="1">
      <w:start w:val="1"/>
      <w:numFmt w:val="decimal"/>
      <w:lvlText w:val="%7."/>
      <w:lvlJc w:val="left"/>
      <w:pPr>
        <w:ind w:left="6688" w:hanging="360"/>
      </w:pPr>
    </w:lvl>
    <w:lvl w:ilvl="7" w:tplc="04090019" w:tentative="1">
      <w:start w:val="1"/>
      <w:numFmt w:val="lowerLetter"/>
      <w:lvlText w:val="%8."/>
      <w:lvlJc w:val="left"/>
      <w:pPr>
        <w:ind w:left="7408" w:hanging="360"/>
      </w:pPr>
    </w:lvl>
    <w:lvl w:ilvl="8" w:tplc="0409001B" w:tentative="1">
      <w:start w:val="1"/>
      <w:numFmt w:val="lowerRoman"/>
      <w:lvlText w:val="%9."/>
      <w:lvlJc w:val="right"/>
      <w:pPr>
        <w:ind w:left="8128" w:hanging="180"/>
      </w:pPr>
    </w:lvl>
  </w:abstractNum>
  <w:abstractNum w:abstractNumId="287">
    <w:nsid w:val="3D900A76"/>
    <w:multiLevelType w:val="hybridMultilevel"/>
    <w:tmpl w:val="A1F249D2"/>
    <w:lvl w:ilvl="0" w:tplc="F2FE8234">
      <w:start w:val="1"/>
      <w:numFmt w:val="lowerRoman"/>
      <w:lvlText w:val="(%1)"/>
      <w:lvlJc w:val="right"/>
      <w:pPr>
        <w:ind w:left="2137" w:hanging="360"/>
      </w:pPr>
    </w:lvl>
    <w:lvl w:ilvl="1" w:tplc="38090019">
      <w:start w:val="1"/>
      <w:numFmt w:val="lowerLetter"/>
      <w:lvlText w:val="%2."/>
      <w:lvlJc w:val="left"/>
      <w:pPr>
        <w:ind w:left="2857" w:hanging="360"/>
      </w:pPr>
    </w:lvl>
    <w:lvl w:ilvl="2" w:tplc="3809001B">
      <w:start w:val="1"/>
      <w:numFmt w:val="lowerRoman"/>
      <w:lvlText w:val="%3."/>
      <w:lvlJc w:val="right"/>
      <w:pPr>
        <w:ind w:left="3577" w:hanging="180"/>
      </w:pPr>
    </w:lvl>
    <w:lvl w:ilvl="3" w:tplc="3809000F">
      <w:start w:val="1"/>
      <w:numFmt w:val="decimal"/>
      <w:lvlText w:val="%4."/>
      <w:lvlJc w:val="left"/>
      <w:pPr>
        <w:ind w:left="4297" w:hanging="360"/>
      </w:pPr>
    </w:lvl>
    <w:lvl w:ilvl="4" w:tplc="38090019">
      <w:start w:val="1"/>
      <w:numFmt w:val="lowerLetter"/>
      <w:lvlText w:val="%5."/>
      <w:lvlJc w:val="left"/>
      <w:pPr>
        <w:ind w:left="5017" w:hanging="360"/>
      </w:pPr>
    </w:lvl>
    <w:lvl w:ilvl="5" w:tplc="3809001B">
      <w:start w:val="1"/>
      <w:numFmt w:val="lowerRoman"/>
      <w:lvlText w:val="%6."/>
      <w:lvlJc w:val="right"/>
      <w:pPr>
        <w:ind w:left="5737" w:hanging="180"/>
      </w:pPr>
    </w:lvl>
    <w:lvl w:ilvl="6" w:tplc="3809000F">
      <w:start w:val="1"/>
      <w:numFmt w:val="decimal"/>
      <w:lvlText w:val="%7."/>
      <w:lvlJc w:val="left"/>
      <w:pPr>
        <w:ind w:left="6457" w:hanging="360"/>
      </w:pPr>
    </w:lvl>
    <w:lvl w:ilvl="7" w:tplc="38090019">
      <w:start w:val="1"/>
      <w:numFmt w:val="lowerLetter"/>
      <w:lvlText w:val="%8."/>
      <w:lvlJc w:val="left"/>
      <w:pPr>
        <w:ind w:left="7177" w:hanging="360"/>
      </w:pPr>
    </w:lvl>
    <w:lvl w:ilvl="8" w:tplc="3809001B">
      <w:start w:val="1"/>
      <w:numFmt w:val="lowerRoman"/>
      <w:lvlText w:val="%9."/>
      <w:lvlJc w:val="right"/>
      <w:pPr>
        <w:ind w:left="7897" w:hanging="180"/>
      </w:pPr>
    </w:lvl>
  </w:abstractNum>
  <w:abstractNum w:abstractNumId="288">
    <w:nsid w:val="3DBA4E50"/>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9">
    <w:nsid w:val="3DD66CA3"/>
    <w:multiLevelType w:val="multilevel"/>
    <w:tmpl w:val="BFA4A428"/>
    <w:lvl w:ilvl="0">
      <w:start w:val="4"/>
      <w:numFmt w:val="decimal"/>
      <w:lvlText w:val="%1."/>
      <w:lvlJc w:val="left"/>
      <w:pPr>
        <w:tabs>
          <w:tab w:val="num" w:pos="2146"/>
        </w:tabs>
        <w:ind w:left="2146" w:hanging="709"/>
      </w:pPr>
      <w:rPr>
        <w:rFonts w:hint="default"/>
        <w:b/>
        <w:spacing w:val="-1"/>
        <w:w w:val="100"/>
        <w:sz w:val="21"/>
        <w:szCs w:val="21"/>
      </w:rPr>
    </w:lvl>
    <w:lvl w:ilvl="1">
      <w:start w:val="2"/>
      <w:numFmt w:val="decimal"/>
      <w:isLgl/>
      <w:lvlText w:val="%1.%2."/>
      <w:lvlJc w:val="left"/>
      <w:pPr>
        <w:ind w:left="1797" w:hanging="360"/>
      </w:pPr>
      <w:rPr>
        <w:rFonts w:hint="default"/>
        <w:b w:val="0"/>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290">
    <w:nsid w:val="3E446DDA"/>
    <w:multiLevelType w:val="hybridMultilevel"/>
    <w:tmpl w:val="9BCC7B12"/>
    <w:lvl w:ilvl="0" w:tplc="103E9E8A">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291">
    <w:nsid w:val="3E464680"/>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2">
    <w:nsid w:val="3E700B1C"/>
    <w:multiLevelType w:val="hybridMultilevel"/>
    <w:tmpl w:val="AB648BA0"/>
    <w:lvl w:ilvl="0" w:tplc="5D2027C8">
      <w:start w:val="1"/>
      <w:numFmt w:val="lowerLetter"/>
      <w:lvlText w:val="(%1)"/>
      <w:lvlJc w:val="left"/>
      <w:pPr>
        <w:ind w:left="2137" w:hanging="360"/>
      </w:pPr>
      <w:rPr>
        <w:rFonts w:cs="Times New Roman"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93">
    <w:nsid w:val="3E85305D"/>
    <w:multiLevelType w:val="hybridMultilevel"/>
    <w:tmpl w:val="5792D2FA"/>
    <w:lvl w:ilvl="0" w:tplc="12F0D678">
      <w:start w:val="1"/>
      <w:numFmt w:val="lowerLetter"/>
      <w:lvlText w:val="(%1)"/>
      <w:lvlJc w:val="left"/>
      <w:pPr>
        <w:ind w:left="1598" w:hanging="360"/>
      </w:pPr>
      <w:rPr>
        <w:rFonts w:hint="default"/>
      </w:r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294">
    <w:nsid w:val="3E883B1C"/>
    <w:multiLevelType w:val="hybridMultilevel"/>
    <w:tmpl w:val="C5E222B0"/>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295">
    <w:nsid w:val="3E9635E8"/>
    <w:multiLevelType w:val="hybridMultilevel"/>
    <w:tmpl w:val="A588D368"/>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3E9775AD"/>
    <w:multiLevelType w:val="multilevel"/>
    <w:tmpl w:val="E836EF86"/>
    <w:lvl w:ilvl="0">
      <w:start w:val="9"/>
      <w:numFmt w:val="decimal"/>
      <w:lvlText w:val="%1."/>
      <w:lvlJc w:val="left"/>
      <w:pPr>
        <w:ind w:left="720" w:hanging="360"/>
      </w:pPr>
      <w:rPr>
        <w:rFonts w:hint="default"/>
        <w:b/>
        <w:color w:val="auto"/>
      </w:rPr>
    </w:lvl>
    <w:lvl w:ilvl="1">
      <w:start w:val="1"/>
      <w:numFmt w:val="decimal"/>
      <w:lvlText w:val="8.%2"/>
      <w:lvlJc w:val="right"/>
      <w:pPr>
        <w:ind w:left="630" w:hanging="360"/>
      </w:pPr>
      <w:rPr>
        <w:rFonts w:ascii="Arial" w:hAnsi="Arial" w:cs="Arial" w:hint="default"/>
        <w:b/>
        <w:color w:val="auto"/>
        <w:sz w:val="21"/>
        <w:szCs w:val="2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7">
    <w:nsid w:val="3EAE48F7"/>
    <w:multiLevelType w:val="multilevel"/>
    <w:tmpl w:val="429CBE16"/>
    <w:lvl w:ilvl="0">
      <w:start w:val="8"/>
      <w:numFmt w:val="decimal"/>
      <w:lvlText w:val="%1."/>
      <w:lvlJc w:val="left"/>
      <w:pPr>
        <w:ind w:left="720" w:hanging="360"/>
      </w:pPr>
      <w:rPr>
        <w:rFonts w:hint="default"/>
        <w:b/>
        <w:color w:val="auto"/>
      </w:rPr>
    </w:lvl>
    <w:lvl w:ilvl="1">
      <w:start w:val="8"/>
      <w:numFmt w:val="decimal"/>
      <w:lvlText w:val="8.%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8">
    <w:nsid w:val="3EE232A0"/>
    <w:multiLevelType w:val="hybridMultilevel"/>
    <w:tmpl w:val="DB668750"/>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3F4D23C8"/>
    <w:multiLevelType w:val="hybridMultilevel"/>
    <w:tmpl w:val="E50CB1F0"/>
    <w:name w:val="SchCustomListNum222222222222222222222222222222"/>
    <w:lvl w:ilvl="0" w:tplc="E9D88B9A">
      <w:start w:val="1"/>
      <w:numFmt w:val="lowerRoman"/>
      <w:lvlText w:val="(%1)"/>
      <w:lvlJc w:val="right"/>
      <w:pPr>
        <w:ind w:left="2720" w:hanging="360"/>
      </w:pPr>
      <w:rPr>
        <w:rFonts w:hint="default"/>
      </w:rPr>
    </w:lvl>
    <w:lvl w:ilvl="1" w:tplc="04090019" w:tentative="1">
      <w:start w:val="1"/>
      <w:numFmt w:val="lowerLetter"/>
      <w:lvlText w:val="%2."/>
      <w:lvlJc w:val="left"/>
      <w:pPr>
        <w:ind w:left="3440" w:hanging="360"/>
      </w:pPr>
    </w:lvl>
    <w:lvl w:ilvl="2" w:tplc="0409001B" w:tentative="1">
      <w:start w:val="1"/>
      <w:numFmt w:val="lowerRoman"/>
      <w:lvlText w:val="%3."/>
      <w:lvlJc w:val="right"/>
      <w:pPr>
        <w:ind w:left="4160" w:hanging="180"/>
      </w:pPr>
    </w:lvl>
    <w:lvl w:ilvl="3" w:tplc="0409000F" w:tentative="1">
      <w:start w:val="1"/>
      <w:numFmt w:val="decimal"/>
      <w:lvlText w:val="%4."/>
      <w:lvlJc w:val="left"/>
      <w:pPr>
        <w:ind w:left="4880" w:hanging="360"/>
      </w:pPr>
    </w:lvl>
    <w:lvl w:ilvl="4" w:tplc="04090019" w:tentative="1">
      <w:start w:val="1"/>
      <w:numFmt w:val="lowerLetter"/>
      <w:lvlText w:val="%5."/>
      <w:lvlJc w:val="left"/>
      <w:pPr>
        <w:ind w:left="5600" w:hanging="360"/>
      </w:pPr>
    </w:lvl>
    <w:lvl w:ilvl="5" w:tplc="0409001B" w:tentative="1">
      <w:start w:val="1"/>
      <w:numFmt w:val="lowerRoman"/>
      <w:lvlText w:val="%6."/>
      <w:lvlJc w:val="right"/>
      <w:pPr>
        <w:ind w:left="6320" w:hanging="180"/>
      </w:pPr>
    </w:lvl>
    <w:lvl w:ilvl="6" w:tplc="0409000F" w:tentative="1">
      <w:start w:val="1"/>
      <w:numFmt w:val="decimal"/>
      <w:lvlText w:val="%7."/>
      <w:lvlJc w:val="left"/>
      <w:pPr>
        <w:ind w:left="7040" w:hanging="360"/>
      </w:pPr>
    </w:lvl>
    <w:lvl w:ilvl="7" w:tplc="04090019" w:tentative="1">
      <w:start w:val="1"/>
      <w:numFmt w:val="lowerLetter"/>
      <w:lvlText w:val="%8."/>
      <w:lvlJc w:val="left"/>
      <w:pPr>
        <w:ind w:left="7760" w:hanging="360"/>
      </w:pPr>
    </w:lvl>
    <w:lvl w:ilvl="8" w:tplc="0409001B" w:tentative="1">
      <w:start w:val="1"/>
      <w:numFmt w:val="lowerRoman"/>
      <w:lvlText w:val="%9."/>
      <w:lvlJc w:val="right"/>
      <w:pPr>
        <w:ind w:left="8480" w:hanging="180"/>
      </w:pPr>
    </w:lvl>
  </w:abstractNum>
  <w:abstractNum w:abstractNumId="300">
    <w:nsid w:val="3F5C7815"/>
    <w:multiLevelType w:val="hybridMultilevel"/>
    <w:tmpl w:val="3FB680F8"/>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301">
    <w:nsid w:val="3F6837E0"/>
    <w:multiLevelType w:val="multilevel"/>
    <w:tmpl w:val="FE883A06"/>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2">
    <w:nsid w:val="405E0EEC"/>
    <w:multiLevelType w:val="multilevel"/>
    <w:tmpl w:val="2D58F1AA"/>
    <w:lvl w:ilvl="0">
      <w:start w:val="10"/>
      <w:numFmt w:val="decimal"/>
      <w:lvlText w:val="%1."/>
      <w:lvlJc w:val="left"/>
      <w:pPr>
        <w:ind w:left="480" w:hanging="480"/>
      </w:pPr>
      <w:rPr>
        <w:rFonts w:hint="default"/>
      </w:rPr>
    </w:lvl>
    <w:lvl w:ilvl="1">
      <w:start w:val="1"/>
      <w:numFmt w:val="decimal"/>
      <w:lvlText w:val="%1.%2."/>
      <w:lvlJc w:val="left"/>
      <w:pPr>
        <w:ind w:left="906" w:hanging="48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303">
    <w:nsid w:val="406D4524"/>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4">
    <w:nsid w:val="408A3689"/>
    <w:multiLevelType w:val="multilevel"/>
    <w:tmpl w:val="E1E8345A"/>
    <w:lvl w:ilvl="0">
      <w:start w:val="10"/>
      <w:numFmt w:val="decimal"/>
      <w:lvlText w:val="%1."/>
      <w:lvlJc w:val="left"/>
      <w:pPr>
        <w:ind w:left="360" w:hanging="360"/>
      </w:pPr>
      <w:rPr>
        <w:rFonts w:hint="default"/>
      </w:rPr>
    </w:lvl>
    <w:lvl w:ilvl="1">
      <w:start w:val="1"/>
      <w:numFmt w:val="decimal"/>
      <w:lvlText w:val="%1.%2."/>
      <w:lvlJc w:val="left"/>
      <w:pPr>
        <w:ind w:left="3620"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305">
    <w:nsid w:val="40D31B1A"/>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306">
    <w:nsid w:val="40E97F41"/>
    <w:multiLevelType w:val="multilevel"/>
    <w:tmpl w:val="4E5E0412"/>
    <w:lvl w:ilvl="0">
      <w:start w:val="15"/>
      <w:numFmt w:val="decimal"/>
      <w:lvlText w:val="%1."/>
      <w:lvlJc w:val="left"/>
      <w:pPr>
        <w:ind w:left="2371" w:hanging="360"/>
      </w:pPr>
      <w:rPr>
        <w:rFonts w:hint="default"/>
      </w:rPr>
    </w:lvl>
    <w:lvl w:ilvl="1">
      <w:start w:val="1"/>
      <w:numFmt w:val="decimal"/>
      <w:isLgl/>
      <w:lvlText w:val="%1.%2."/>
      <w:lvlJc w:val="left"/>
      <w:pPr>
        <w:ind w:left="2491" w:hanging="480"/>
      </w:pPr>
      <w:rPr>
        <w:rFonts w:hint="default"/>
      </w:rPr>
    </w:lvl>
    <w:lvl w:ilvl="2">
      <w:start w:val="1"/>
      <w:numFmt w:val="decimal"/>
      <w:isLgl/>
      <w:lvlText w:val="%1.%2.%3."/>
      <w:lvlJc w:val="left"/>
      <w:pPr>
        <w:ind w:left="2731" w:hanging="720"/>
      </w:pPr>
      <w:rPr>
        <w:rFonts w:hint="default"/>
      </w:rPr>
    </w:lvl>
    <w:lvl w:ilvl="3">
      <w:start w:val="1"/>
      <w:numFmt w:val="decimal"/>
      <w:isLgl/>
      <w:lvlText w:val="%1.%2.%3.%4."/>
      <w:lvlJc w:val="left"/>
      <w:pPr>
        <w:ind w:left="2731" w:hanging="720"/>
      </w:pPr>
      <w:rPr>
        <w:rFonts w:hint="default"/>
      </w:rPr>
    </w:lvl>
    <w:lvl w:ilvl="4">
      <w:start w:val="1"/>
      <w:numFmt w:val="decimal"/>
      <w:isLgl/>
      <w:lvlText w:val="%1.%2.%3.%4.%5."/>
      <w:lvlJc w:val="left"/>
      <w:pPr>
        <w:ind w:left="3091" w:hanging="1080"/>
      </w:pPr>
      <w:rPr>
        <w:rFonts w:hint="default"/>
      </w:rPr>
    </w:lvl>
    <w:lvl w:ilvl="5">
      <w:start w:val="1"/>
      <w:numFmt w:val="decimal"/>
      <w:isLgl/>
      <w:lvlText w:val="%1.%2.%3.%4.%5.%6."/>
      <w:lvlJc w:val="left"/>
      <w:pPr>
        <w:ind w:left="3091" w:hanging="1080"/>
      </w:pPr>
      <w:rPr>
        <w:rFonts w:hint="default"/>
      </w:rPr>
    </w:lvl>
    <w:lvl w:ilvl="6">
      <w:start w:val="1"/>
      <w:numFmt w:val="decimal"/>
      <w:isLgl/>
      <w:lvlText w:val="%1.%2.%3.%4.%5.%6.%7."/>
      <w:lvlJc w:val="left"/>
      <w:pPr>
        <w:ind w:left="3451" w:hanging="1440"/>
      </w:pPr>
      <w:rPr>
        <w:rFonts w:hint="default"/>
      </w:rPr>
    </w:lvl>
    <w:lvl w:ilvl="7">
      <w:start w:val="1"/>
      <w:numFmt w:val="decimal"/>
      <w:isLgl/>
      <w:lvlText w:val="%1.%2.%3.%4.%5.%6.%7.%8."/>
      <w:lvlJc w:val="left"/>
      <w:pPr>
        <w:ind w:left="3451" w:hanging="1440"/>
      </w:pPr>
      <w:rPr>
        <w:rFonts w:hint="default"/>
      </w:rPr>
    </w:lvl>
    <w:lvl w:ilvl="8">
      <w:start w:val="1"/>
      <w:numFmt w:val="decimal"/>
      <w:isLgl/>
      <w:lvlText w:val="%1.%2.%3.%4.%5.%6.%7.%8.%9."/>
      <w:lvlJc w:val="left"/>
      <w:pPr>
        <w:ind w:left="3811" w:hanging="1800"/>
      </w:pPr>
      <w:rPr>
        <w:rFonts w:hint="default"/>
      </w:rPr>
    </w:lvl>
  </w:abstractNum>
  <w:abstractNum w:abstractNumId="307">
    <w:nsid w:val="41017B21"/>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8">
    <w:nsid w:val="415F2671"/>
    <w:multiLevelType w:val="hybridMultilevel"/>
    <w:tmpl w:val="A8485BF4"/>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09">
    <w:nsid w:val="41B629E2"/>
    <w:multiLevelType w:val="multilevel"/>
    <w:tmpl w:val="D160038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lowerRoman"/>
      <w:lvlText w:val="%5."/>
      <w:lvlJc w:val="right"/>
      <w:pPr>
        <w:tabs>
          <w:tab w:val="num" w:pos="2835"/>
        </w:tabs>
        <w:ind w:left="2835" w:hanging="709"/>
      </w:pPr>
      <w:rPr>
        <w:rFonts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0">
    <w:nsid w:val="41D7173E"/>
    <w:multiLevelType w:val="hybridMultilevel"/>
    <w:tmpl w:val="B460687A"/>
    <w:lvl w:ilvl="0" w:tplc="D6E0D4EE">
      <w:start w:val="1"/>
      <w:numFmt w:val="lowerLetter"/>
      <w:lvlText w:val="(%1)"/>
      <w:lvlJc w:val="left"/>
      <w:pPr>
        <w:ind w:left="1766" w:hanging="360"/>
      </w:pPr>
      <w:rPr>
        <w:rFonts w:ascii="Arial" w:hAnsi="Arial" w:cs="Arial" w:hint="default"/>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311">
    <w:nsid w:val="42033387"/>
    <w:multiLevelType w:val="hybridMultilevel"/>
    <w:tmpl w:val="B8F63212"/>
    <w:lvl w:ilvl="0" w:tplc="24C6421C">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12">
    <w:nsid w:val="423937B9"/>
    <w:multiLevelType w:val="hybridMultilevel"/>
    <w:tmpl w:val="C56423DC"/>
    <w:lvl w:ilvl="0" w:tplc="5D2027C8">
      <w:start w:val="1"/>
      <w:numFmt w:val="lowerLetter"/>
      <w:lvlText w:val="(%1)"/>
      <w:lvlJc w:val="left"/>
      <w:pPr>
        <w:ind w:left="2372" w:hanging="360"/>
      </w:pPr>
      <w:rPr>
        <w:rFonts w:cs="Times New Roman" w:hint="default"/>
      </w:rPr>
    </w:lvl>
    <w:lvl w:ilvl="1" w:tplc="04090019" w:tentative="1">
      <w:start w:val="1"/>
      <w:numFmt w:val="lowerLetter"/>
      <w:lvlText w:val="%2."/>
      <w:lvlJc w:val="left"/>
      <w:pPr>
        <w:ind w:left="3092" w:hanging="360"/>
      </w:pPr>
    </w:lvl>
    <w:lvl w:ilvl="2" w:tplc="0409001B" w:tentative="1">
      <w:start w:val="1"/>
      <w:numFmt w:val="lowerRoman"/>
      <w:lvlText w:val="%3."/>
      <w:lvlJc w:val="right"/>
      <w:pPr>
        <w:ind w:left="3812" w:hanging="180"/>
      </w:pPr>
    </w:lvl>
    <w:lvl w:ilvl="3" w:tplc="0409000F" w:tentative="1">
      <w:start w:val="1"/>
      <w:numFmt w:val="decimal"/>
      <w:lvlText w:val="%4."/>
      <w:lvlJc w:val="left"/>
      <w:pPr>
        <w:ind w:left="4532" w:hanging="360"/>
      </w:pPr>
    </w:lvl>
    <w:lvl w:ilvl="4" w:tplc="04090019" w:tentative="1">
      <w:start w:val="1"/>
      <w:numFmt w:val="lowerLetter"/>
      <w:lvlText w:val="%5."/>
      <w:lvlJc w:val="left"/>
      <w:pPr>
        <w:ind w:left="5252" w:hanging="360"/>
      </w:pPr>
    </w:lvl>
    <w:lvl w:ilvl="5" w:tplc="0409001B" w:tentative="1">
      <w:start w:val="1"/>
      <w:numFmt w:val="lowerRoman"/>
      <w:lvlText w:val="%6."/>
      <w:lvlJc w:val="right"/>
      <w:pPr>
        <w:ind w:left="5972" w:hanging="180"/>
      </w:pPr>
    </w:lvl>
    <w:lvl w:ilvl="6" w:tplc="0409000F" w:tentative="1">
      <w:start w:val="1"/>
      <w:numFmt w:val="decimal"/>
      <w:lvlText w:val="%7."/>
      <w:lvlJc w:val="left"/>
      <w:pPr>
        <w:ind w:left="6692" w:hanging="360"/>
      </w:pPr>
    </w:lvl>
    <w:lvl w:ilvl="7" w:tplc="04090019" w:tentative="1">
      <w:start w:val="1"/>
      <w:numFmt w:val="lowerLetter"/>
      <w:lvlText w:val="%8."/>
      <w:lvlJc w:val="left"/>
      <w:pPr>
        <w:ind w:left="7412" w:hanging="360"/>
      </w:pPr>
    </w:lvl>
    <w:lvl w:ilvl="8" w:tplc="0409001B" w:tentative="1">
      <w:start w:val="1"/>
      <w:numFmt w:val="lowerRoman"/>
      <w:lvlText w:val="%9."/>
      <w:lvlJc w:val="right"/>
      <w:pPr>
        <w:ind w:left="8132" w:hanging="180"/>
      </w:pPr>
    </w:lvl>
  </w:abstractNum>
  <w:abstractNum w:abstractNumId="313">
    <w:nsid w:val="423B0660"/>
    <w:multiLevelType w:val="multilevel"/>
    <w:tmpl w:val="09DCA0E2"/>
    <w:lvl w:ilvl="0">
      <w:start w:val="12"/>
      <w:numFmt w:val="decimal"/>
      <w:lvlText w:val="%1."/>
      <w:lvlJc w:val="left"/>
      <w:pPr>
        <w:ind w:left="360" w:hanging="360"/>
      </w:pPr>
      <w:rPr>
        <w:rFonts w:hint="default"/>
      </w:rPr>
    </w:lvl>
    <w:lvl w:ilvl="1">
      <w:start w:val="1"/>
      <w:numFmt w:val="decimal"/>
      <w:lvlText w:val="%1.%2."/>
      <w:lvlJc w:val="left"/>
      <w:pPr>
        <w:ind w:left="4671"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314">
    <w:nsid w:val="425610E7"/>
    <w:multiLevelType w:val="hybridMultilevel"/>
    <w:tmpl w:val="F4DC5BCC"/>
    <w:lvl w:ilvl="0" w:tplc="0358C566">
      <w:start w:val="1"/>
      <w:numFmt w:val="decimal"/>
      <w:lvlText w:val="%1."/>
      <w:lvlJc w:val="left"/>
      <w:pPr>
        <w:ind w:left="720" w:hanging="360"/>
      </w:pPr>
      <w:rPr>
        <w:rFonts w:ascii="Arial" w:hAnsi="Arial" w:cs="Arial" w:hint="default"/>
        <w:b/>
        <w:sz w:val="21"/>
        <w:szCs w:val="2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5">
    <w:nsid w:val="42922FCB"/>
    <w:multiLevelType w:val="hybridMultilevel"/>
    <w:tmpl w:val="8B220648"/>
    <w:lvl w:ilvl="0" w:tplc="E9D88B9A">
      <w:start w:val="1"/>
      <w:numFmt w:val="lowerRoman"/>
      <w:lvlText w:val="(%1)"/>
      <w:lvlJc w:val="righ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316">
    <w:nsid w:val="42935502"/>
    <w:multiLevelType w:val="multilevel"/>
    <w:tmpl w:val="F176C43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7">
    <w:nsid w:val="42B27419"/>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8">
    <w:nsid w:val="42C41874"/>
    <w:multiLevelType w:val="multilevel"/>
    <w:tmpl w:val="5C9C414E"/>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b w:val="0"/>
        <w:sz w:val="21"/>
        <w:szCs w:val="21"/>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319">
    <w:nsid w:val="42FD37BD"/>
    <w:multiLevelType w:val="hybridMultilevel"/>
    <w:tmpl w:val="0F42C638"/>
    <w:lvl w:ilvl="0" w:tplc="D9808EBA">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320">
    <w:nsid w:val="4330596A"/>
    <w:multiLevelType w:val="hybridMultilevel"/>
    <w:tmpl w:val="E7DA28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434D2806"/>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2">
    <w:nsid w:val="435F4F23"/>
    <w:multiLevelType w:val="hybridMultilevel"/>
    <w:tmpl w:val="C122D736"/>
    <w:lvl w:ilvl="0" w:tplc="D6E0D4EE">
      <w:start w:val="1"/>
      <w:numFmt w:val="lowerLetter"/>
      <w:lvlText w:val="(%1)"/>
      <w:lvlJc w:val="left"/>
      <w:pPr>
        <w:ind w:left="2149" w:hanging="360"/>
      </w:pPr>
      <w:rPr>
        <w:rFonts w:ascii="Arial" w:hAnsi="Arial" w:cs="Arial"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23">
    <w:nsid w:val="43EE32CC"/>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324">
    <w:nsid w:val="44ED753B"/>
    <w:multiLevelType w:val="hybridMultilevel"/>
    <w:tmpl w:val="B460687A"/>
    <w:lvl w:ilvl="0" w:tplc="D6E0D4EE">
      <w:start w:val="1"/>
      <w:numFmt w:val="lowerLetter"/>
      <w:lvlText w:val="(%1)"/>
      <w:lvlJc w:val="left"/>
      <w:pPr>
        <w:ind w:left="1766" w:hanging="360"/>
      </w:pPr>
      <w:rPr>
        <w:rFonts w:ascii="Arial" w:hAnsi="Arial" w:cs="Arial" w:hint="default"/>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325">
    <w:nsid w:val="45081418"/>
    <w:multiLevelType w:val="hybridMultilevel"/>
    <w:tmpl w:val="FD4CF304"/>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326">
    <w:nsid w:val="4509218C"/>
    <w:multiLevelType w:val="hybridMultilevel"/>
    <w:tmpl w:val="4B1AB90E"/>
    <w:name w:val="SchCustomListNum22222222222222222222222222222222222222223222"/>
    <w:lvl w:ilvl="0" w:tplc="BA90DBBC">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27">
    <w:nsid w:val="45AB7664"/>
    <w:multiLevelType w:val="hybridMultilevel"/>
    <w:tmpl w:val="5E5C81F4"/>
    <w:lvl w:ilvl="0" w:tplc="3D0A1596">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45EF2DE8"/>
    <w:multiLevelType w:val="multilevel"/>
    <w:tmpl w:val="65306894"/>
    <w:lvl w:ilvl="0">
      <w:start w:val="12"/>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329">
    <w:nsid w:val="46113515"/>
    <w:multiLevelType w:val="hybridMultilevel"/>
    <w:tmpl w:val="5DB8B57C"/>
    <w:name w:val="SchCustomListNum42"/>
    <w:lvl w:ilvl="0" w:tplc="D6E0D4EE">
      <w:start w:val="1"/>
      <w:numFmt w:val="lowerLetter"/>
      <w:lvlText w:val="(%1)"/>
      <w:lvlJc w:val="left"/>
      <w:pPr>
        <w:ind w:left="1152" w:hanging="360"/>
      </w:pPr>
      <w:rPr>
        <w:rFonts w:ascii="Arial" w:hAnsi="Arial" w:cs="Aria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0">
    <w:nsid w:val="464E6BC8"/>
    <w:multiLevelType w:val="hybridMultilevel"/>
    <w:tmpl w:val="6DD88BCA"/>
    <w:lvl w:ilvl="0" w:tplc="D6E0D4EE">
      <w:start w:val="1"/>
      <w:numFmt w:val="lowerLetter"/>
      <w:lvlText w:val="(%1)"/>
      <w:lvlJc w:val="left"/>
      <w:pPr>
        <w:ind w:left="2137" w:hanging="360"/>
      </w:pPr>
      <w:rPr>
        <w:rFonts w:ascii="Arial" w:hAnsi="Arial" w:cs="Arial"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331">
    <w:nsid w:val="46A31404"/>
    <w:multiLevelType w:val="hybridMultilevel"/>
    <w:tmpl w:val="11B6CB7E"/>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46CA676F"/>
    <w:multiLevelType w:val="multilevel"/>
    <w:tmpl w:val="DF86CF26"/>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3">
    <w:nsid w:val="46D230B9"/>
    <w:multiLevelType w:val="multilevel"/>
    <w:tmpl w:val="C3DA30D4"/>
    <w:lvl w:ilvl="0">
      <w:start w:val="10"/>
      <w:numFmt w:val="decimal"/>
      <w:lvlText w:val="%1."/>
      <w:lvlJc w:val="left"/>
      <w:pPr>
        <w:ind w:left="720" w:hanging="360"/>
      </w:pPr>
      <w:rPr>
        <w:rFonts w:hint="default"/>
        <w:b/>
        <w:color w:val="auto"/>
      </w:rPr>
    </w:lvl>
    <w:lvl w:ilvl="1">
      <w:start w:val="1"/>
      <w:numFmt w:val="decimal"/>
      <w:lvlText w:val="9.%2"/>
      <w:lvlJc w:val="right"/>
      <w:pPr>
        <w:ind w:left="720" w:hanging="360"/>
      </w:pPr>
      <w:rPr>
        <w:rFonts w:ascii="Arial" w:hAnsi="Arial" w:cs="Arial" w:hint="default"/>
        <w:b/>
        <w:color w:val="auto"/>
        <w:sz w:val="21"/>
        <w:szCs w:val="2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4">
    <w:nsid w:val="46E32746"/>
    <w:multiLevelType w:val="multilevel"/>
    <w:tmpl w:val="D3923EBC"/>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5">
    <w:nsid w:val="47066D04"/>
    <w:multiLevelType w:val="hybridMultilevel"/>
    <w:tmpl w:val="197602C2"/>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47485568"/>
    <w:multiLevelType w:val="hybridMultilevel"/>
    <w:tmpl w:val="7504A622"/>
    <w:lvl w:ilvl="0" w:tplc="086EDD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nsid w:val="47653A0D"/>
    <w:multiLevelType w:val="hybridMultilevel"/>
    <w:tmpl w:val="AC54B612"/>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8">
    <w:nsid w:val="477751EA"/>
    <w:multiLevelType w:val="hybridMultilevel"/>
    <w:tmpl w:val="7430F866"/>
    <w:lvl w:ilvl="0" w:tplc="815C309E">
      <w:start w:val="1"/>
      <w:numFmt w:val="decimal"/>
      <w:lvlText w:val="20.%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9">
    <w:nsid w:val="47926A21"/>
    <w:multiLevelType w:val="multilevel"/>
    <w:tmpl w:val="93662CC8"/>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0">
    <w:nsid w:val="48534B5A"/>
    <w:multiLevelType w:val="multilevel"/>
    <w:tmpl w:val="4D8093F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1">
    <w:nsid w:val="485D49BF"/>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2">
    <w:nsid w:val="48647AB8"/>
    <w:multiLevelType w:val="hybridMultilevel"/>
    <w:tmpl w:val="893C531E"/>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43">
    <w:nsid w:val="488C6100"/>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4">
    <w:nsid w:val="48EB15DE"/>
    <w:multiLevelType w:val="hybridMultilevel"/>
    <w:tmpl w:val="4C6AE144"/>
    <w:lvl w:ilvl="0" w:tplc="12F0D678">
      <w:start w:val="1"/>
      <w:numFmt w:val="lowerLetter"/>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45">
    <w:nsid w:val="48FE0B57"/>
    <w:multiLevelType w:val="multilevel"/>
    <w:tmpl w:val="A482B6C4"/>
    <w:lvl w:ilvl="0">
      <w:start w:val="16"/>
      <w:numFmt w:val="decimal"/>
      <w:lvlText w:val="%1."/>
      <w:lvlJc w:val="left"/>
      <w:pPr>
        <w:ind w:left="480" w:hanging="480"/>
      </w:pPr>
      <w:rPr>
        <w:rFonts w:hint="default"/>
        <w:b/>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6">
    <w:nsid w:val="490E67B8"/>
    <w:multiLevelType w:val="hybridMultilevel"/>
    <w:tmpl w:val="D3F85EF0"/>
    <w:lvl w:ilvl="0" w:tplc="86C810A0">
      <w:start w:val="1"/>
      <w:numFmt w:val="decimal"/>
      <w:lvlText w:val="17.%1"/>
      <w:lvlJc w:val="left"/>
      <w:pPr>
        <w:ind w:left="2160" w:hanging="360"/>
      </w:pPr>
      <w:rPr>
        <w:rFonts w:hint="default"/>
        <w:b/>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7">
    <w:nsid w:val="49575F7F"/>
    <w:multiLevelType w:val="multilevel"/>
    <w:tmpl w:val="BC26A63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8">
    <w:nsid w:val="496E558A"/>
    <w:multiLevelType w:val="multilevel"/>
    <w:tmpl w:val="E83002CE"/>
    <w:lvl w:ilvl="0">
      <w:start w:val="9"/>
      <w:numFmt w:val="decimal"/>
      <w:lvlText w:val="%1."/>
      <w:lvlJc w:val="left"/>
      <w:pPr>
        <w:ind w:left="720" w:hanging="360"/>
      </w:pPr>
      <w:rPr>
        <w:rFonts w:hint="default"/>
        <w:b/>
        <w:color w:val="auto"/>
      </w:rPr>
    </w:lvl>
    <w:lvl w:ilvl="1">
      <w:start w:val="1"/>
      <w:numFmt w:val="decimal"/>
      <w:lvlText w:val="8.%2"/>
      <w:lvlJc w:val="left"/>
      <w:pPr>
        <w:ind w:left="720" w:hanging="360"/>
      </w:pPr>
      <w:rPr>
        <w:rFonts w:ascii="Arial" w:hAnsi="Arial" w:cs="Arial" w:hint="default"/>
        <w:b/>
        <w:color w:val="auto"/>
        <w:sz w:val="21"/>
        <w:szCs w:val="2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9">
    <w:nsid w:val="49AA4AE8"/>
    <w:multiLevelType w:val="multilevel"/>
    <w:tmpl w:val="68F03716"/>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0">
    <w:nsid w:val="4A6C554A"/>
    <w:multiLevelType w:val="multilevel"/>
    <w:tmpl w:val="474CBCF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1">
    <w:nsid w:val="4A6C668F"/>
    <w:multiLevelType w:val="hybridMultilevel"/>
    <w:tmpl w:val="89A863CE"/>
    <w:name w:val="SchCustomListNum222222222222222222222222222"/>
    <w:lvl w:ilvl="0" w:tplc="E9D88B9A">
      <w:start w:val="1"/>
      <w:numFmt w:val="lowerRoman"/>
      <w:lvlText w:val="(%1)"/>
      <w:lvlJc w:val="right"/>
      <w:pPr>
        <w:ind w:left="2630" w:hanging="360"/>
      </w:pPr>
      <w:rPr>
        <w:rFonts w:hint="default"/>
      </w:rPr>
    </w:lvl>
    <w:lvl w:ilvl="1" w:tplc="04090019" w:tentative="1">
      <w:start w:val="1"/>
      <w:numFmt w:val="lowerLetter"/>
      <w:lvlText w:val="%2."/>
      <w:lvlJc w:val="left"/>
      <w:pPr>
        <w:ind w:left="3350" w:hanging="360"/>
      </w:pPr>
    </w:lvl>
    <w:lvl w:ilvl="2" w:tplc="0409001B" w:tentative="1">
      <w:start w:val="1"/>
      <w:numFmt w:val="lowerRoman"/>
      <w:lvlText w:val="%3."/>
      <w:lvlJc w:val="right"/>
      <w:pPr>
        <w:ind w:left="4070" w:hanging="180"/>
      </w:pPr>
    </w:lvl>
    <w:lvl w:ilvl="3" w:tplc="0409000F" w:tentative="1">
      <w:start w:val="1"/>
      <w:numFmt w:val="decimal"/>
      <w:lvlText w:val="%4."/>
      <w:lvlJc w:val="left"/>
      <w:pPr>
        <w:ind w:left="4790" w:hanging="360"/>
      </w:pPr>
    </w:lvl>
    <w:lvl w:ilvl="4" w:tplc="04090019" w:tentative="1">
      <w:start w:val="1"/>
      <w:numFmt w:val="lowerLetter"/>
      <w:lvlText w:val="%5."/>
      <w:lvlJc w:val="left"/>
      <w:pPr>
        <w:ind w:left="5510" w:hanging="360"/>
      </w:pPr>
    </w:lvl>
    <w:lvl w:ilvl="5" w:tplc="0409001B" w:tentative="1">
      <w:start w:val="1"/>
      <w:numFmt w:val="lowerRoman"/>
      <w:lvlText w:val="%6."/>
      <w:lvlJc w:val="right"/>
      <w:pPr>
        <w:ind w:left="6230" w:hanging="180"/>
      </w:pPr>
    </w:lvl>
    <w:lvl w:ilvl="6" w:tplc="0409000F" w:tentative="1">
      <w:start w:val="1"/>
      <w:numFmt w:val="decimal"/>
      <w:lvlText w:val="%7."/>
      <w:lvlJc w:val="left"/>
      <w:pPr>
        <w:ind w:left="6950" w:hanging="360"/>
      </w:pPr>
    </w:lvl>
    <w:lvl w:ilvl="7" w:tplc="04090019" w:tentative="1">
      <w:start w:val="1"/>
      <w:numFmt w:val="lowerLetter"/>
      <w:lvlText w:val="%8."/>
      <w:lvlJc w:val="left"/>
      <w:pPr>
        <w:ind w:left="7670" w:hanging="360"/>
      </w:pPr>
    </w:lvl>
    <w:lvl w:ilvl="8" w:tplc="0409001B" w:tentative="1">
      <w:start w:val="1"/>
      <w:numFmt w:val="lowerRoman"/>
      <w:lvlText w:val="%9."/>
      <w:lvlJc w:val="right"/>
      <w:pPr>
        <w:ind w:left="8390" w:hanging="180"/>
      </w:pPr>
    </w:lvl>
  </w:abstractNum>
  <w:abstractNum w:abstractNumId="352">
    <w:nsid w:val="4B10780E"/>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3">
    <w:nsid w:val="4B7B6CA0"/>
    <w:multiLevelType w:val="hybridMultilevel"/>
    <w:tmpl w:val="EC762746"/>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354">
    <w:nsid w:val="4B9D7E13"/>
    <w:multiLevelType w:val="hybridMultilevel"/>
    <w:tmpl w:val="471A40D0"/>
    <w:lvl w:ilvl="0" w:tplc="12F0D678">
      <w:start w:val="1"/>
      <w:numFmt w:val="lowerLetter"/>
      <w:lvlText w:val="(%1)"/>
      <w:lvlJc w:val="left"/>
      <w:pPr>
        <w:ind w:left="1738" w:hanging="360"/>
      </w:pPr>
      <w:rPr>
        <w:rFonts w:hint="default"/>
      </w:r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355">
    <w:nsid w:val="4BD157ED"/>
    <w:multiLevelType w:val="hybridMultilevel"/>
    <w:tmpl w:val="74821A5A"/>
    <w:lvl w:ilvl="0" w:tplc="3984F0B2">
      <w:start w:val="1"/>
      <w:numFmt w:val="lowerRoman"/>
      <w:lvlText w:val="(%1)"/>
      <w:lvlJc w:val="left"/>
      <w:pPr>
        <w:ind w:left="1440" w:hanging="360"/>
      </w:pPr>
      <w:rPr>
        <w:rFonts w:hint="default"/>
        <w:b/>
        <w:color w:val="auto"/>
      </w:rPr>
    </w:lvl>
    <w:lvl w:ilvl="1" w:tplc="529803D8">
      <w:start w:val="1"/>
      <w:numFmt w:val="lowerRoman"/>
      <w:lvlText w:val="(%2)"/>
      <w:lvlJc w:val="left"/>
      <w:pPr>
        <w:ind w:left="1440" w:hanging="360"/>
      </w:pPr>
      <w:rPr>
        <w:rFonts w:hint="default"/>
        <w:b w:val="0"/>
        <w:color w:val="auto"/>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6">
    <w:nsid w:val="4C615A7B"/>
    <w:multiLevelType w:val="hybridMultilevel"/>
    <w:tmpl w:val="F3DAAFC8"/>
    <w:lvl w:ilvl="0" w:tplc="93DE3FF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7">
    <w:nsid w:val="4CCD122A"/>
    <w:multiLevelType w:val="hybridMultilevel"/>
    <w:tmpl w:val="1608A336"/>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8">
    <w:nsid w:val="4CF172F5"/>
    <w:multiLevelType w:val="multilevel"/>
    <w:tmpl w:val="15DA8A4E"/>
    <w:lvl w:ilvl="0">
      <w:start w:val="7"/>
      <w:numFmt w:val="decimal"/>
      <w:lvlText w:val="%1."/>
      <w:lvlJc w:val="left"/>
      <w:pPr>
        <w:tabs>
          <w:tab w:val="num" w:pos="2146"/>
        </w:tabs>
        <w:ind w:left="2146" w:hanging="709"/>
      </w:pPr>
      <w:rPr>
        <w:rFonts w:hint="default"/>
        <w:b/>
        <w:spacing w:val="-1"/>
        <w:w w:val="100"/>
        <w:sz w:val="21"/>
        <w:szCs w:val="21"/>
      </w:rPr>
    </w:lvl>
    <w:lvl w:ilvl="1">
      <w:start w:val="1"/>
      <w:numFmt w:val="decimal"/>
      <w:isLgl/>
      <w:lvlText w:val="%1.%2."/>
      <w:lvlJc w:val="left"/>
      <w:pPr>
        <w:ind w:left="1797" w:hanging="360"/>
      </w:pPr>
      <w:rPr>
        <w:rFonts w:hint="default"/>
        <w:b w:val="0"/>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359">
    <w:nsid w:val="4D404371"/>
    <w:multiLevelType w:val="hybridMultilevel"/>
    <w:tmpl w:val="4F04D91E"/>
    <w:lvl w:ilvl="0" w:tplc="22FC6E9E">
      <w:start w:val="1"/>
      <w:numFmt w:val="decimal"/>
      <w:lvlText w:val="(%1)"/>
      <w:lvlJc w:val="left"/>
      <w:pPr>
        <w:ind w:left="2490" w:hanging="360"/>
      </w:pPr>
      <w:rPr>
        <w:rFonts w:ascii="Arial" w:hAnsi="Arial" w:cs="Arial" w:hint="default"/>
        <w:b w:val="0"/>
        <w:spacing w:val="-1"/>
        <w:sz w:val="20"/>
        <w:szCs w:val="20"/>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360">
    <w:nsid w:val="4D627169"/>
    <w:multiLevelType w:val="hybridMultilevel"/>
    <w:tmpl w:val="E56AB4F2"/>
    <w:lvl w:ilvl="0" w:tplc="4BD0DF7A">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4D8B07B3"/>
    <w:multiLevelType w:val="hybridMultilevel"/>
    <w:tmpl w:val="56A8BD40"/>
    <w:lvl w:ilvl="0" w:tplc="EEE2E720">
      <w:start w:val="1"/>
      <w:numFmt w:val="decimal"/>
      <w:lvlText w:val="24.%1."/>
      <w:lvlJc w:val="left"/>
      <w:pPr>
        <w:ind w:left="2160" w:hanging="360"/>
      </w:pPr>
      <w:rPr>
        <w:rFonts w:hint="default"/>
        <w:b/>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2">
    <w:nsid w:val="4D94722A"/>
    <w:multiLevelType w:val="multilevel"/>
    <w:tmpl w:val="3B56E5A2"/>
    <w:lvl w:ilvl="0">
      <w:start w:val="10"/>
      <w:numFmt w:val="decimal"/>
      <w:lvlText w:val="%1."/>
      <w:lvlJc w:val="left"/>
      <w:pPr>
        <w:ind w:left="720" w:hanging="360"/>
      </w:pPr>
      <w:rPr>
        <w:rFonts w:hint="default"/>
        <w:b/>
        <w:color w:val="auto"/>
      </w:rPr>
    </w:lvl>
    <w:lvl w:ilvl="1">
      <w:start w:val="1"/>
      <w:numFmt w:val="decimal"/>
      <w:lvlText w:val="9.%2"/>
      <w:lvlJc w:val="righ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3">
    <w:nsid w:val="4DAE412E"/>
    <w:multiLevelType w:val="hybridMultilevel"/>
    <w:tmpl w:val="8E6AF7DA"/>
    <w:lvl w:ilvl="0" w:tplc="AC8861D8">
      <w:start w:val="1"/>
      <w:numFmt w:val="decimal"/>
      <w:lvlText w:val="32.%1"/>
      <w:lvlJc w:val="left"/>
      <w:pPr>
        <w:ind w:left="2160" w:hanging="360"/>
      </w:pPr>
      <w:rPr>
        <w:rFonts w:ascii="Arial" w:hAnsi="Arial" w:cs="Arial" w:hint="default"/>
        <w:b/>
        <w:color w:val="auto"/>
        <w:sz w:val="21"/>
        <w:szCs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4">
    <w:nsid w:val="4DB27D02"/>
    <w:multiLevelType w:val="hybridMultilevel"/>
    <w:tmpl w:val="19E2494A"/>
    <w:lvl w:ilvl="0" w:tplc="12F0D678">
      <w:start w:val="1"/>
      <w:numFmt w:val="lowerLetter"/>
      <w:lvlText w:val="(%1)"/>
      <w:lvlJc w:val="left"/>
      <w:pPr>
        <w:ind w:left="2450" w:hanging="360"/>
      </w:pPr>
      <w:rPr>
        <w:rFonts w:hint="default"/>
      </w:rPr>
    </w:lvl>
    <w:lvl w:ilvl="1" w:tplc="04090019" w:tentative="1">
      <w:start w:val="1"/>
      <w:numFmt w:val="lowerLetter"/>
      <w:lvlText w:val="%2."/>
      <w:lvlJc w:val="left"/>
      <w:pPr>
        <w:ind w:left="3170" w:hanging="360"/>
      </w:pPr>
    </w:lvl>
    <w:lvl w:ilvl="2" w:tplc="0409001B" w:tentative="1">
      <w:start w:val="1"/>
      <w:numFmt w:val="lowerRoman"/>
      <w:lvlText w:val="%3."/>
      <w:lvlJc w:val="right"/>
      <w:pPr>
        <w:ind w:left="3890" w:hanging="180"/>
      </w:pPr>
    </w:lvl>
    <w:lvl w:ilvl="3" w:tplc="0409000F" w:tentative="1">
      <w:start w:val="1"/>
      <w:numFmt w:val="decimal"/>
      <w:lvlText w:val="%4."/>
      <w:lvlJc w:val="left"/>
      <w:pPr>
        <w:ind w:left="4610" w:hanging="360"/>
      </w:pPr>
    </w:lvl>
    <w:lvl w:ilvl="4" w:tplc="04090019" w:tentative="1">
      <w:start w:val="1"/>
      <w:numFmt w:val="lowerLetter"/>
      <w:lvlText w:val="%5."/>
      <w:lvlJc w:val="left"/>
      <w:pPr>
        <w:ind w:left="5330" w:hanging="360"/>
      </w:pPr>
    </w:lvl>
    <w:lvl w:ilvl="5" w:tplc="0409001B" w:tentative="1">
      <w:start w:val="1"/>
      <w:numFmt w:val="lowerRoman"/>
      <w:lvlText w:val="%6."/>
      <w:lvlJc w:val="right"/>
      <w:pPr>
        <w:ind w:left="6050" w:hanging="180"/>
      </w:pPr>
    </w:lvl>
    <w:lvl w:ilvl="6" w:tplc="0409000F" w:tentative="1">
      <w:start w:val="1"/>
      <w:numFmt w:val="decimal"/>
      <w:lvlText w:val="%7."/>
      <w:lvlJc w:val="left"/>
      <w:pPr>
        <w:ind w:left="6770" w:hanging="360"/>
      </w:pPr>
    </w:lvl>
    <w:lvl w:ilvl="7" w:tplc="04090019" w:tentative="1">
      <w:start w:val="1"/>
      <w:numFmt w:val="lowerLetter"/>
      <w:lvlText w:val="%8."/>
      <w:lvlJc w:val="left"/>
      <w:pPr>
        <w:ind w:left="7490" w:hanging="360"/>
      </w:pPr>
    </w:lvl>
    <w:lvl w:ilvl="8" w:tplc="0409001B" w:tentative="1">
      <w:start w:val="1"/>
      <w:numFmt w:val="lowerRoman"/>
      <w:lvlText w:val="%9."/>
      <w:lvlJc w:val="right"/>
      <w:pPr>
        <w:ind w:left="8210" w:hanging="180"/>
      </w:pPr>
    </w:lvl>
  </w:abstractNum>
  <w:abstractNum w:abstractNumId="365">
    <w:nsid w:val="4E0548F0"/>
    <w:multiLevelType w:val="hybridMultilevel"/>
    <w:tmpl w:val="D72C4D8A"/>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366">
    <w:nsid w:val="4E1D6328"/>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7">
    <w:nsid w:val="4E2B120A"/>
    <w:multiLevelType w:val="hybridMultilevel"/>
    <w:tmpl w:val="68949430"/>
    <w:lvl w:ilvl="0" w:tplc="E53AA358">
      <w:start w:val="1"/>
      <w:numFmt w:val="decimal"/>
      <w:lvlText w:val="11.%1"/>
      <w:lvlJc w:val="left"/>
      <w:pPr>
        <w:ind w:left="1122" w:hanging="360"/>
      </w:pPr>
      <w:rPr>
        <w:rFonts w:hint="default"/>
        <w:b w:val="0"/>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68">
    <w:nsid w:val="4E6F374A"/>
    <w:multiLevelType w:val="multilevel"/>
    <w:tmpl w:val="850234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9">
    <w:nsid w:val="4E711833"/>
    <w:multiLevelType w:val="hybridMultilevel"/>
    <w:tmpl w:val="1CC2933C"/>
    <w:lvl w:ilvl="0" w:tplc="6FBC1E48">
      <w:start w:val="1"/>
      <w:numFmt w:val="lowerLetter"/>
      <w:lvlText w:val="(%1)"/>
      <w:lvlJc w:val="left"/>
      <w:pPr>
        <w:ind w:left="1522" w:hanging="360"/>
      </w:pPr>
      <w:rPr>
        <w:rFonts w:hint="default"/>
        <w:b w:val="0"/>
        <w:color w:val="auto"/>
      </w:r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370">
    <w:nsid w:val="4EB94252"/>
    <w:multiLevelType w:val="hybridMultilevel"/>
    <w:tmpl w:val="0BD8A682"/>
    <w:lvl w:ilvl="0" w:tplc="AC8861D8">
      <w:start w:val="1"/>
      <w:numFmt w:val="decimal"/>
      <w:lvlText w:val="32.%1"/>
      <w:lvlJc w:val="left"/>
      <w:pPr>
        <w:ind w:left="720" w:hanging="360"/>
      </w:pPr>
      <w:rPr>
        <w:rFonts w:ascii="Arial" w:hAnsi="Arial" w:cs="Arial" w:hint="default"/>
        <w:b/>
        <w:color w:val="auto"/>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4ED168FF"/>
    <w:multiLevelType w:val="multilevel"/>
    <w:tmpl w:val="68DAF056"/>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3"/>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hAnsi="Arial" w:cs="Arial"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2">
    <w:nsid w:val="4EF011D1"/>
    <w:multiLevelType w:val="multilevel"/>
    <w:tmpl w:val="F67459E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6"/>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3">
    <w:nsid w:val="4F8B5818"/>
    <w:multiLevelType w:val="hybridMultilevel"/>
    <w:tmpl w:val="8CE22DAA"/>
    <w:lvl w:ilvl="0" w:tplc="46105CD4">
      <w:start w:val="10"/>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nsid w:val="4FB0698D"/>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5">
    <w:nsid w:val="50046D29"/>
    <w:multiLevelType w:val="hybridMultilevel"/>
    <w:tmpl w:val="8E584780"/>
    <w:lvl w:ilvl="0" w:tplc="6826D5B2">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76">
    <w:nsid w:val="50080BCB"/>
    <w:multiLevelType w:val="hybridMultilevel"/>
    <w:tmpl w:val="18AA8D6E"/>
    <w:lvl w:ilvl="0" w:tplc="E9D88B9A">
      <w:start w:val="1"/>
      <w:numFmt w:val="lowerRoman"/>
      <w:lvlText w:val="(%1)"/>
      <w:lvlJc w:val="righ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377">
    <w:nsid w:val="501C0696"/>
    <w:multiLevelType w:val="hybridMultilevel"/>
    <w:tmpl w:val="BB6244DE"/>
    <w:lvl w:ilvl="0" w:tplc="EA52C9C2">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78">
    <w:nsid w:val="503000E9"/>
    <w:multiLevelType w:val="hybridMultilevel"/>
    <w:tmpl w:val="F0D26FBC"/>
    <w:lvl w:ilvl="0" w:tplc="D59C3E8C">
      <w:start w:val="1"/>
      <w:numFmt w:val="lowerRoman"/>
      <w:lvlText w:val="(%1)"/>
      <w:lvlJc w:val="left"/>
      <w:pPr>
        <w:ind w:left="2456" w:hanging="360"/>
      </w:pPr>
      <w:rPr>
        <w:rFonts w:hint="default"/>
      </w:rPr>
    </w:lvl>
    <w:lvl w:ilvl="1" w:tplc="04090019" w:tentative="1">
      <w:start w:val="1"/>
      <w:numFmt w:val="lowerLetter"/>
      <w:lvlText w:val="%2."/>
      <w:lvlJc w:val="left"/>
      <w:pPr>
        <w:ind w:left="3176" w:hanging="360"/>
      </w:pPr>
    </w:lvl>
    <w:lvl w:ilvl="2" w:tplc="0409001B" w:tentative="1">
      <w:start w:val="1"/>
      <w:numFmt w:val="lowerRoman"/>
      <w:lvlText w:val="%3."/>
      <w:lvlJc w:val="right"/>
      <w:pPr>
        <w:ind w:left="3896" w:hanging="180"/>
      </w:pPr>
    </w:lvl>
    <w:lvl w:ilvl="3" w:tplc="0409000F" w:tentative="1">
      <w:start w:val="1"/>
      <w:numFmt w:val="decimal"/>
      <w:lvlText w:val="%4."/>
      <w:lvlJc w:val="left"/>
      <w:pPr>
        <w:ind w:left="4616" w:hanging="360"/>
      </w:pPr>
    </w:lvl>
    <w:lvl w:ilvl="4" w:tplc="04090019" w:tentative="1">
      <w:start w:val="1"/>
      <w:numFmt w:val="lowerLetter"/>
      <w:lvlText w:val="%5."/>
      <w:lvlJc w:val="left"/>
      <w:pPr>
        <w:ind w:left="5336" w:hanging="360"/>
      </w:pPr>
    </w:lvl>
    <w:lvl w:ilvl="5" w:tplc="0409001B" w:tentative="1">
      <w:start w:val="1"/>
      <w:numFmt w:val="lowerRoman"/>
      <w:lvlText w:val="%6."/>
      <w:lvlJc w:val="right"/>
      <w:pPr>
        <w:ind w:left="6056" w:hanging="180"/>
      </w:pPr>
    </w:lvl>
    <w:lvl w:ilvl="6" w:tplc="0409000F" w:tentative="1">
      <w:start w:val="1"/>
      <w:numFmt w:val="decimal"/>
      <w:lvlText w:val="%7."/>
      <w:lvlJc w:val="left"/>
      <w:pPr>
        <w:ind w:left="6776" w:hanging="360"/>
      </w:pPr>
    </w:lvl>
    <w:lvl w:ilvl="7" w:tplc="04090019" w:tentative="1">
      <w:start w:val="1"/>
      <w:numFmt w:val="lowerLetter"/>
      <w:lvlText w:val="%8."/>
      <w:lvlJc w:val="left"/>
      <w:pPr>
        <w:ind w:left="7496" w:hanging="360"/>
      </w:pPr>
    </w:lvl>
    <w:lvl w:ilvl="8" w:tplc="0409001B" w:tentative="1">
      <w:start w:val="1"/>
      <w:numFmt w:val="lowerRoman"/>
      <w:lvlText w:val="%9."/>
      <w:lvlJc w:val="right"/>
      <w:pPr>
        <w:ind w:left="8216" w:hanging="180"/>
      </w:pPr>
    </w:lvl>
  </w:abstractNum>
  <w:abstractNum w:abstractNumId="379">
    <w:nsid w:val="509F3628"/>
    <w:multiLevelType w:val="hybridMultilevel"/>
    <w:tmpl w:val="D16499F6"/>
    <w:lvl w:ilvl="0" w:tplc="003AE768">
      <w:start w:val="1"/>
      <w:numFmt w:val="decimal"/>
      <w:lvlText w:val="16.%1."/>
      <w:lvlJc w:val="left"/>
      <w:pPr>
        <w:ind w:left="2160" w:hanging="360"/>
      </w:pPr>
      <w:rPr>
        <w:rFonts w:hint="default"/>
        <w:b/>
        <w:i w:val="0"/>
        <w:color w:val="000000" w:themeColor="text1"/>
        <w:sz w:val="21"/>
        <w:szCs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0">
    <w:nsid w:val="50B32722"/>
    <w:multiLevelType w:val="hybridMultilevel"/>
    <w:tmpl w:val="639CCE16"/>
    <w:lvl w:ilvl="0" w:tplc="3C1A10A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1">
    <w:nsid w:val="513B7E55"/>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2">
    <w:nsid w:val="51DC3C59"/>
    <w:multiLevelType w:val="hybridMultilevel"/>
    <w:tmpl w:val="401A88AA"/>
    <w:lvl w:ilvl="0" w:tplc="3C2E20B0">
      <w:start w:val="1"/>
      <w:numFmt w:val="lowerLetter"/>
      <w:lvlText w:val="(%1)"/>
      <w:lvlJc w:val="left"/>
      <w:pPr>
        <w:ind w:left="1766" w:hanging="360"/>
      </w:pPr>
      <w:rPr>
        <w:rFonts w:ascii="Arial" w:hAnsi="Arial" w:cs="Arial" w:hint="default"/>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383">
    <w:nsid w:val="5226332B"/>
    <w:multiLevelType w:val="hybridMultilevel"/>
    <w:tmpl w:val="49AE20E2"/>
    <w:name w:val="SchCustomListNum22222222222222222222222222222222222222223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84">
    <w:nsid w:val="526E1B50"/>
    <w:multiLevelType w:val="hybridMultilevel"/>
    <w:tmpl w:val="47804B9A"/>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5">
    <w:nsid w:val="52CB04D1"/>
    <w:multiLevelType w:val="hybridMultilevel"/>
    <w:tmpl w:val="0BFC31A2"/>
    <w:name w:val="SchCustomListNum22222222222222222222"/>
    <w:lvl w:ilvl="0" w:tplc="E9D88B9A">
      <w:start w:val="1"/>
      <w:numFmt w:val="lowerRoman"/>
      <w:lvlText w:val="(%1)"/>
      <w:lvlJc w:val="right"/>
      <w:pPr>
        <w:ind w:left="2818" w:hanging="360"/>
      </w:pPr>
      <w:rPr>
        <w:rFonts w:hint="default"/>
      </w:rPr>
    </w:lvl>
    <w:lvl w:ilvl="1" w:tplc="04090019" w:tentative="1">
      <w:start w:val="1"/>
      <w:numFmt w:val="lowerLetter"/>
      <w:lvlText w:val="%2."/>
      <w:lvlJc w:val="left"/>
      <w:pPr>
        <w:ind w:left="3538" w:hanging="360"/>
      </w:pPr>
    </w:lvl>
    <w:lvl w:ilvl="2" w:tplc="0409001B" w:tentative="1">
      <w:start w:val="1"/>
      <w:numFmt w:val="lowerRoman"/>
      <w:lvlText w:val="%3."/>
      <w:lvlJc w:val="right"/>
      <w:pPr>
        <w:ind w:left="4258" w:hanging="180"/>
      </w:pPr>
    </w:lvl>
    <w:lvl w:ilvl="3" w:tplc="0409000F" w:tentative="1">
      <w:start w:val="1"/>
      <w:numFmt w:val="decimal"/>
      <w:lvlText w:val="%4."/>
      <w:lvlJc w:val="left"/>
      <w:pPr>
        <w:ind w:left="4978" w:hanging="360"/>
      </w:pPr>
    </w:lvl>
    <w:lvl w:ilvl="4" w:tplc="04090019" w:tentative="1">
      <w:start w:val="1"/>
      <w:numFmt w:val="lowerLetter"/>
      <w:lvlText w:val="%5."/>
      <w:lvlJc w:val="left"/>
      <w:pPr>
        <w:ind w:left="5698" w:hanging="360"/>
      </w:pPr>
    </w:lvl>
    <w:lvl w:ilvl="5" w:tplc="0409001B" w:tentative="1">
      <w:start w:val="1"/>
      <w:numFmt w:val="lowerRoman"/>
      <w:lvlText w:val="%6."/>
      <w:lvlJc w:val="right"/>
      <w:pPr>
        <w:ind w:left="6418" w:hanging="180"/>
      </w:pPr>
    </w:lvl>
    <w:lvl w:ilvl="6" w:tplc="0409000F" w:tentative="1">
      <w:start w:val="1"/>
      <w:numFmt w:val="decimal"/>
      <w:lvlText w:val="%7."/>
      <w:lvlJc w:val="left"/>
      <w:pPr>
        <w:ind w:left="7138" w:hanging="360"/>
      </w:pPr>
    </w:lvl>
    <w:lvl w:ilvl="7" w:tplc="04090019" w:tentative="1">
      <w:start w:val="1"/>
      <w:numFmt w:val="lowerLetter"/>
      <w:lvlText w:val="%8."/>
      <w:lvlJc w:val="left"/>
      <w:pPr>
        <w:ind w:left="7858" w:hanging="360"/>
      </w:pPr>
    </w:lvl>
    <w:lvl w:ilvl="8" w:tplc="0409001B" w:tentative="1">
      <w:start w:val="1"/>
      <w:numFmt w:val="lowerRoman"/>
      <w:lvlText w:val="%9."/>
      <w:lvlJc w:val="right"/>
      <w:pPr>
        <w:ind w:left="8578" w:hanging="180"/>
      </w:pPr>
    </w:lvl>
  </w:abstractNum>
  <w:abstractNum w:abstractNumId="386">
    <w:nsid w:val="52DB500A"/>
    <w:multiLevelType w:val="hybridMultilevel"/>
    <w:tmpl w:val="F38E459E"/>
    <w:lvl w:ilvl="0" w:tplc="2CAAD222">
      <w:start w:val="1"/>
      <w:numFmt w:val="decimal"/>
      <w:lvlText w:val="11.%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7">
    <w:nsid w:val="53262109"/>
    <w:multiLevelType w:val="hybridMultilevel"/>
    <w:tmpl w:val="08586CF8"/>
    <w:lvl w:ilvl="0" w:tplc="6FB627CE">
      <w:start w:val="1"/>
      <w:numFmt w:val="lowerRoman"/>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nsid w:val="53467B08"/>
    <w:multiLevelType w:val="hybridMultilevel"/>
    <w:tmpl w:val="7870E10C"/>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389">
    <w:nsid w:val="53940DD1"/>
    <w:multiLevelType w:val="hybridMultilevel"/>
    <w:tmpl w:val="471A40D0"/>
    <w:lvl w:ilvl="0" w:tplc="12F0D678">
      <w:start w:val="1"/>
      <w:numFmt w:val="lowerLetter"/>
      <w:lvlText w:val="(%1)"/>
      <w:lvlJc w:val="left"/>
      <w:pPr>
        <w:ind w:left="1738" w:hanging="360"/>
      </w:pPr>
      <w:rPr>
        <w:rFonts w:hint="default"/>
      </w:r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390">
    <w:nsid w:val="53C27A33"/>
    <w:multiLevelType w:val="hybridMultilevel"/>
    <w:tmpl w:val="CA98D13E"/>
    <w:lvl w:ilvl="0" w:tplc="596630C2">
      <w:start w:val="1"/>
      <w:numFmt w:val="decimal"/>
      <w:lvlText w:val="24.%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540C1B2F"/>
    <w:multiLevelType w:val="multilevel"/>
    <w:tmpl w:val="6408E2E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2">
    <w:nsid w:val="544C1F16"/>
    <w:multiLevelType w:val="hybridMultilevel"/>
    <w:tmpl w:val="DB6413EE"/>
    <w:lvl w:ilvl="0" w:tplc="DCBE08EE">
      <w:start w:val="1"/>
      <w:numFmt w:val="lowerRoman"/>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54A63654"/>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4">
    <w:nsid w:val="554A3727"/>
    <w:multiLevelType w:val="hybridMultilevel"/>
    <w:tmpl w:val="AA309A8E"/>
    <w:lvl w:ilvl="0" w:tplc="E9F88C24">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395">
    <w:nsid w:val="5562472C"/>
    <w:multiLevelType w:val="multilevel"/>
    <w:tmpl w:val="D07A713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6">
    <w:nsid w:val="564613A5"/>
    <w:multiLevelType w:val="multilevel"/>
    <w:tmpl w:val="DFAE9F96"/>
    <w:lvl w:ilvl="0">
      <w:start w:val="14"/>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397">
    <w:nsid w:val="56787136"/>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8">
    <w:nsid w:val="56BC303F"/>
    <w:multiLevelType w:val="hybridMultilevel"/>
    <w:tmpl w:val="42066D96"/>
    <w:lvl w:ilvl="0" w:tplc="12F0D678">
      <w:start w:val="1"/>
      <w:numFmt w:val="lowerLetter"/>
      <w:lvlText w:val="(%1)"/>
      <w:lvlJc w:val="left"/>
      <w:pPr>
        <w:ind w:left="2018" w:hanging="360"/>
      </w:pPr>
      <w:rPr>
        <w:rFonts w:hint="default"/>
      </w:rPr>
    </w:lvl>
    <w:lvl w:ilvl="1" w:tplc="04090019">
      <w:start w:val="1"/>
      <w:numFmt w:val="lowerLetter"/>
      <w:lvlText w:val="%2."/>
      <w:lvlJc w:val="left"/>
      <w:pPr>
        <w:ind w:left="2738" w:hanging="360"/>
      </w:pPr>
    </w:lvl>
    <w:lvl w:ilvl="2" w:tplc="0409001B" w:tentative="1">
      <w:start w:val="1"/>
      <w:numFmt w:val="lowerRoman"/>
      <w:lvlText w:val="%3."/>
      <w:lvlJc w:val="right"/>
      <w:pPr>
        <w:ind w:left="3458" w:hanging="180"/>
      </w:pPr>
    </w:lvl>
    <w:lvl w:ilvl="3" w:tplc="0409000F" w:tentative="1">
      <w:start w:val="1"/>
      <w:numFmt w:val="decimal"/>
      <w:lvlText w:val="%4."/>
      <w:lvlJc w:val="left"/>
      <w:pPr>
        <w:ind w:left="4178" w:hanging="360"/>
      </w:pPr>
    </w:lvl>
    <w:lvl w:ilvl="4" w:tplc="04090019" w:tentative="1">
      <w:start w:val="1"/>
      <w:numFmt w:val="lowerLetter"/>
      <w:lvlText w:val="%5."/>
      <w:lvlJc w:val="left"/>
      <w:pPr>
        <w:ind w:left="4898" w:hanging="360"/>
      </w:pPr>
    </w:lvl>
    <w:lvl w:ilvl="5" w:tplc="0409001B" w:tentative="1">
      <w:start w:val="1"/>
      <w:numFmt w:val="lowerRoman"/>
      <w:lvlText w:val="%6."/>
      <w:lvlJc w:val="right"/>
      <w:pPr>
        <w:ind w:left="5618" w:hanging="180"/>
      </w:pPr>
    </w:lvl>
    <w:lvl w:ilvl="6" w:tplc="0409000F" w:tentative="1">
      <w:start w:val="1"/>
      <w:numFmt w:val="decimal"/>
      <w:lvlText w:val="%7."/>
      <w:lvlJc w:val="left"/>
      <w:pPr>
        <w:ind w:left="6338" w:hanging="360"/>
      </w:pPr>
    </w:lvl>
    <w:lvl w:ilvl="7" w:tplc="04090019" w:tentative="1">
      <w:start w:val="1"/>
      <w:numFmt w:val="lowerLetter"/>
      <w:lvlText w:val="%8."/>
      <w:lvlJc w:val="left"/>
      <w:pPr>
        <w:ind w:left="7058" w:hanging="360"/>
      </w:pPr>
    </w:lvl>
    <w:lvl w:ilvl="8" w:tplc="0409001B" w:tentative="1">
      <w:start w:val="1"/>
      <w:numFmt w:val="lowerRoman"/>
      <w:lvlText w:val="%9."/>
      <w:lvlJc w:val="right"/>
      <w:pPr>
        <w:ind w:left="7778" w:hanging="180"/>
      </w:pPr>
    </w:lvl>
  </w:abstractNum>
  <w:abstractNum w:abstractNumId="399">
    <w:nsid w:val="56C21F78"/>
    <w:multiLevelType w:val="hybridMultilevel"/>
    <w:tmpl w:val="C49E98F0"/>
    <w:lvl w:ilvl="0" w:tplc="ADF4FADC">
      <w:start w:val="1"/>
      <w:numFmt w:val="lowerLetter"/>
      <w:lvlText w:val="(%1)"/>
      <w:lvlJc w:val="left"/>
      <w:pPr>
        <w:ind w:left="2372" w:hanging="360"/>
      </w:pPr>
      <w:rPr>
        <w:rFonts w:cs="Times New Roman" w:hint="default"/>
        <w:b w:val="0"/>
        <w:i w:val="0"/>
      </w:rPr>
    </w:lvl>
    <w:lvl w:ilvl="1" w:tplc="04090019" w:tentative="1">
      <w:start w:val="1"/>
      <w:numFmt w:val="lowerLetter"/>
      <w:lvlText w:val="%2."/>
      <w:lvlJc w:val="left"/>
      <w:pPr>
        <w:ind w:left="3092" w:hanging="360"/>
      </w:pPr>
    </w:lvl>
    <w:lvl w:ilvl="2" w:tplc="0409001B" w:tentative="1">
      <w:start w:val="1"/>
      <w:numFmt w:val="lowerRoman"/>
      <w:lvlText w:val="%3."/>
      <w:lvlJc w:val="right"/>
      <w:pPr>
        <w:ind w:left="3812" w:hanging="180"/>
      </w:pPr>
    </w:lvl>
    <w:lvl w:ilvl="3" w:tplc="0409000F" w:tentative="1">
      <w:start w:val="1"/>
      <w:numFmt w:val="decimal"/>
      <w:lvlText w:val="%4."/>
      <w:lvlJc w:val="left"/>
      <w:pPr>
        <w:ind w:left="4532" w:hanging="360"/>
      </w:pPr>
    </w:lvl>
    <w:lvl w:ilvl="4" w:tplc="04090019" w:tentative="1">
      <w:start w:val="1"/>
      <w:numFmt w:val="lowerLetter"/>
      <w:lvlText w:val="%5."/>
      <w:lvlJc w:val="left"/>
      <w:pPr>
        <w:ind w:left="5252" w:hanging="360"/>
      </w:pPr>
    </w:lvl>
    <w:lvl w:ilvl="5" w:tplc="0409001B" w:tentative="1">
      <w:start w:val="1"/>
      <w:numFmt w:val="lowerRoman"/>
      <w:lvlText w:val="%6."/>
      <w:lvlJc w:val="right"/>
      <w:pPr>
        <w:ind w:left="5972" w:hanging="180"/>
      </w:pPr>
    </w:lvl>
    <w:lvl w:ilvl="6" w:tplc="0409000F" w:tentative="1">
      <w:start w:val="1"/>
      <w:numFmt w:val="decimal"/>
      <w:lvlText w:val="%7."/>
      <w:lvlJc w:val="left"/>
      <w:pPr>
        <w:ind w:left="6692" w:hanging="360"/>
      </w:pPr>
    </w:lvl>
    <w:lvl w:ilvl="7" w:tplc="04090019" w:tentative="1">
      <w:start w:val="1"/>
      <w:numFmt w:val="lowerLetter"/>
      <w:lvlText w:val="%8."/>
      <w:lvlJc w:val="left"/>
      <w:pPr>
        <w:ind w:left="7412" w:hanging="360"/>
      </w:pPr>
    </w:lvl>
    <w:lvl w:ilvl="8" w:tplc="0409001B" w:tentative="1">
      <w:start w:val="1"/>
      <w:numFmt w:val="lowerRoman"/>
      <w:lvlText w:val="%9."/>
      <w:lvlJc w:val="right"/>
      <w:pPr>
        <w:ind w:left="8132" w:hanging="180"/>
      </w:pPr>
    </w:lvl>
  </w:abstractNum>
  <w:abstractNum w:abstractNumId="400">
    <w:nsid w:val="56D55F6E"/>
    <w:multiLevelType w:val="multilevel"/>
    <w:tmpl w:val="6B24AFD8"/>
    <w:lvl w:ilvl="0">
      <w:start w:val="9"/>
      <w:numFmt w:val="decimal"/>
      <w:lvlText w:val="%1."/>
      <w:lvlJc w:val="left"/>
      <w:pPr>
        <w:ind w:left="720" w:hanging="360"/>
      </w:pPr>
      <w:rPr>
        <w:rFonts w:hint="default"/>
        <w:b/>
        <w:color w:val="auto"/>
      </w:rPr>
    </w:lvl>
    <w:lvl w:ilvl="1">
      <w:start w:val="9"/>
      <w:numFmt w:val="decimal"/>
      <w:lvlText w:val="9.%2"/>
      <w:lvlJc w:val="righ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1">
    <w:nsid w:val="57220878"/>
    <w:multiLevelType w:val="multilevel"/>
    <w:tmpl w:val="3F586280"/>
    <w:lvl w:ilvl="0">
      <w:start w:val="28"/>
      <w:numFmt w:val="decimal"/>
      <w:lvlText w:val="%1."/>
      <w:lvlJc w:val="left"/>
      <w:pPr>
        <w:ind w:left="480" w:hanging="480"/>
      </w:pPr>
      <w:rPr>
        <w:rFonts w:hint="default"/>
      </w:rPr>
    </w:lvl>
    <w:lvl w:ilvl="1">
      <w:start w:val="1"/>
      <w:numFmt w:val="decimal"/>
      <w:lvlText w:val="%1.%2."/>
      <w:lvlJc w:val="left"/>
      <w:pPr>
        <w:ind w:left="1211" w:hanging="480"/>
      </w:pPr>
      <w:rPr>
        <w:rFonts w:hint="default"/>
      </w:rPr>
    </w:lvl>
    <w:lvl w:ilvl="2">
      <w:start w:val="1"/>
      <w:numFmt w:val="decimal"/>
      <w:lvlText w:val="%1.%2.%3."/>
      <w:lvlJc w:val="left"/>
      <w:pPr>
        <w:ind w:left="2182" w:hanging="720"/>
      </w:pPr>
      <w:rPr>
        <w:rFonts w:hint="default"/>
      </w:rPr>
    </w:lvl>
    <w:lvl w:ilvl="3">
      <w:start w:val="1"/>
      <w:numFmt w:val="decimal"/>
      <w:lvlText w:val="%1.%2.%3.%4."/>
      <w:lvlJc w:val="left"/>
      <w:pPr>
        <w:ind w:left="2913" w:hanging="720"/>
      </w:pPr>
      <w:rPr>
        <w:rFonts w:hint="default"/>
      </w:rPr>
    </w:lvl>
    <w:lvl w:ilvl="4">
      <w:start w:val="1"/>
      <w:numFmt w:val="decimal"/>
      <w:lvlText w:val="%1.%2.%3.%4.%5."/>
      <w:lvlJc w:val="left"/>
      <w:pPr>
        <w:ind w:left="4004" w:hanging="1080"/>
      </w:pPr>
      <w:rPr>
        <w:rFonts w:hint="default"/>
      </w:rPr>
    </w:lvl>
    <w:lvl w:ilvl="5">
      <w:start w:val="1"/>
      <w:numFmt w:val="decimal"/>
      <w:lvlText w:val="%1.%2.%3.%4.%5.%6."/>
      <w:lvlJc w:val="left"/>
      <w:pPr>
        <w:ind w:left="4735" w:hanging="1080"/>
      </w:pPr>
      <w:rPr>
        <w:rFonts w:hint="default"/>
      </w:rPr>
    </w:lvl>
    <w:lvl w:ilvl="6">
      <w:start w:val="1"/>
      <w:numFmt w:val="decimal"/>
      <w:lvlText w:val="%1.%2.%3.%4.%5.%6.%7."/>
      <w:lvlJc w:val="left"/>
      <w:pPr>
        <w:ind w:left="5826" w:hanging="1440"/>
      </w:pPr>
      <w:rPr>
        <w:rFonts w:hint="default"/>
      </w:rPr>
    </w:lvl>
    <w:lvl w:ilvl="7">
      <w:start w:val="1"/>
      <w:numFmt w:val="decimal"/>
      <w:lvlText w:val="%1.%2.%3.%4.%5.%6.%7.%8."/>
      <w:lvlJc w:val="left"/>
      <w:pPr>
        <w:ind w:left="6557" w:hanging="1440"/>
      </w:pPr>
      <w:rPr>
        <w:rFonts w:hint="default"/>
      </w:rPr>
    </w:lvl>
    <w:lvl w:ilvl="8">
      <w:start w:val="1"/>
      <w:numFmt w:val="decimal"/>
      <w:lvlText w:val="%1.%2.%3.%4.%5.%6.%7.%8.%9."/>
      <w:lvlJc w:val="left"/>
      <w:pPr>
        <w:ind w:left="7648" w:hanging="1800"/>
      </w:pPr>
      <w:rPr>
        <w:rFonts w:hint="default"/>
      </w:rPr>
    </w:lvl>
  </w:abstractNum>
  <w:abstractNum w:abstractNumId="402">
    <w:nsid w:val="576C0263"/>
    <w:multiLevelType w:val="multilevel"/>
    <w:tmpl w:val="A45ABB08"/>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3">
    <w:nsid w:val="57E64DBC"/>
    <w:multiLevelType w:val="hybridMultilevel"/>
    <w:tmpl w:val="F000C9A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04">
    <w:nsid w:val="582B3C15"/>
    <w:multiLevelType w:val="hybridMultilevel"/>
    <w:tmpl w:val="4E707F00"/>
    <w:lvl w:ilvl="0" w:tplc="E9D88B9A">
      <w:start w:val="1"/>
      <w:numFmt w:val="lowerRoman"/>
      <w:lvlText w:val="(%1)"/>
      <w:lvlJc w:val="right"/>
      <w:pPr>
        <w:ind w:left="2822" w:hanging="360"/>
      </w:pPr>
      <w:rPr>
        <w:rFonts w:hint="default"/>
      </w:rPr>
    </w:lvl>
    <w:lvl w:ilvl="1" w:tplc="04090019" w:tentative="1">
      <w:start w:val="1"/>
      <w:numFmt w:val="lowerLetter"/>
      <w:lvlText w:val="%2."/>
      <w:lvlJc w:val="left"/>
      <w:pPr>
        <w:ind w:left="3542" w:hanging="360"/>
      </w:pPr>
    </w:lvl>
    <w:lvl w:ilvl="2" w:tplc="0409001B" w:tentative="1">
      <w:start w:val="1"/>
      <w:numFmt w:val="lowerRoman"/>
      <w:lvlText w:val="%3."/>
      <w:lvlJc w:val="right"/>
      <w:pPr>
        <w:ind w:left="4262" w:hanging="180"/>
      </w:pPr>
    </w:lvl>
    <w:lvl w:ilvl="3" w:tplc="0409000F" w:tentative="1">
      <w:start w:val="1"/>
      <w:numFmt w:val="decimal"/>
      <w:lvlText w:val="%4."/>
      <w:lvlJc w:val="left"/>
      <w:pPr>
        <w:ind w:left="4982" w:hanging="360"/>
      </w:pPr>
    </w:lvl>
    <w:lvl w:ilvl="4" w:tplc="04090019" w:tentative="1">
      <w:start w:val="1"/>
      <w:numFmt w:val="lowerLetter"/>
      <w:lvlText w:val="%5."/>
      <w:lvlJc w:val="left"/>
      <w:pPr>
        <w:ind w:left="5702" w:hanging="360"/>
      </w:pPr>
    </w:lvl>
    <w:lvl w:ilvl="5" w:tplc="0409001B" w:tentative="1">
      <w:start w:val="1"/>
      <w:numFmt w:val="lowerRoman"/>
      <w:lvlText w:val="%6."/>
      <w:lvlJc w:val="right"/>
      <w:pPr>
        <w:ind w:left="6422" w:hanging="180"/>
      </w:pPr>
    </w:lvl>
    <w:lvl w:ilvl="6" w:tplc="0409000F" w:tentative="1">
      <w:start w:val="1"/>
      <w:numFmt w:val="decimal"/>
      <w:lvlText w:val="%7."/>
      <w:lvlJc w:val="left"/>
      <w:pPr>
        <w:ind w:left="7142" w:hanging="360"/>
      </w:pPr>
    </w:lvl>
    <w:lvl w:ilvl="7" w:tplc="04090019" w:tentative="1">
      <w:start w:val="1"/>
      <w:numFmt w:val="lowerLetter"/>
      <w:lvlText w:val="%8."/>
      <w:lvlJc w:val="left"/>
      <w:pPr>
        <w:ind w:left="7862" w:hanging="360"/>
      </w:pPr>
    </w:lvl>
    <w:lvl w:ilvl="8" w:tplc="0409001B" w:tentative="1">
      <w:start w:val="1"/>
      <w:numFmt w:val="lowerRoman"/>
      <w:lvlText w:val="%9."/>
      <w:lvlJc w:val="right"/>
      <w:pPr>
        <w:ind w:left="8582" w:hanging="180"/>
      </w:pPr>
    </w:lvl>
  </w:abstractNum>
  <w:abstractNum w:abstractNumId="405">
    <w:nsid w:val="58AE46E0"/>
    <w:multiLevelType w:val="multilevel"/>
    <w:tmpl w:val="7D1E598C"/>
    <w:lvl w:ilvl="0">
      <w:start w:val="3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6">
    <w:nsid w:val="58CD7183"/>
    <w:multiLevelType w:val="hybridMultilevel"/>
    <w:tmpl w:val="0A42FFBA"/>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407">
    <w:nsid w:val="58EB009C"/>
    <w:multiLevelType w:val="hybridMultilevel"/>
    <w:tmpl w:val="B832DC5A"/>
    <w:lvl w:ilvl="0" w:tplc="5D2027C8">
      <w:start w:val="1"/>
      <w:numFmt w:val="lowerLetter"/>
      <w:lvlText w:val="(%1)"/>
      <w:lvlJc w:val="left"/>
      <w:pPr>
        <w:ind w:left="1571" w:hanging="360"/>
      </w:pPr>
      <w:rPr>
        <w:rFonts w:cs="Times New Roman" w:hint="default"/>
        <w:b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8">
    <w:nsid w:val="5A0D5B34"/>
    <w:multiLevelType w:val="multilevel"/>
    <w:tmpl w:val="E2DA77D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9">
    <w:nsid w:val="5A8B47AA"/>
    <w:multiLevelType w:val="hybridMultilevel"/>
    <w:tmpl w:val="E4D0C1EA"/>
    <w:lvl w:ilvl="0" w:tplc="F798427E">
      <w:start w:val="1"/>
      <w:numFmt w:val="lowerRoman"/>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0">
    <w:nsid w:val="5AB934E5"/>
    <w:multiLevelType w:val="hybridMultilevel"/>
    <w:tmpl w:val="E59AC9AA"/>
    <w:lvl w:ilvl="0" w:tplc="3C1A10A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1">
    <w:nsid w:val="5B453182"/>
    <w:multiLevelType w:val="hybridMultilevel"/>
    <w:tmpl w:val="EEFAA538"/>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412">
    <w:nsid w:val="5B982F16"/>
    <w:multiLevelType w:val="hybridMultilevel"/>
    <w:tmpl w:val="509CC5E2"/>
    <w:name w:val="SchCustomListNum22222222222222222222222222222222222222223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13">
    <w:nsid w:val="5BB32CB8"/>
    <w:multiLevelType w:val="hybridMultilevel"/>
    <w:tmpl w:val="4F98F90E"/>
    <w:name w:val="SchCustomListNum2222222222222222222222222222222222222222"/>
    <w:lvl w:ilvl="0" w:tplc="BA90DBBC">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14">
    <w:nsid w:val="5BF9187C"/>
    <w:multiLevelType w:val="hybridMultilevel"/>
    <w:tmpl w:val="EBBA0118"/>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5C2E22D3"/>
    <w:multiLevelType w:val="hybridMultilevel"/>
    <w:tmpl w:val="0CC8BD26"/>
    <w:lvl w:ilvl="0" w:tplc="9EF838D8">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5CDC1E61"/>
    <w:multiLevelType w:val="hybridMultilevel"/>
    <w:tmpl w:val="2C6A47DC"/>
    <w:lvl w:ilvl="0" w:tplc="EC6C80D0">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17">
    <w:nsid w:val="5CFD2D3C"/>
    <w:multiLevelType w:val="hybridMultilevel"/>
    <w:tmpl w:val="3CACF8CC"/>
    <w:lvl w:ilvl="0" w:tplc="5DA274C6">
      <w:start w:val="1"/>
      <w:numFmt w:val="decimal"/>
      <w:lvlText w:val="(%1)"/>
      <w:lvlJc w:val="left"/>
      <w:pPr>
        <w:ind w:left="2915"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3635" w:hanging="360"/>
      </w:pPr>
    </w:lvl>
    <w:lvl w:ilvl="2" w:tplc="0409001B" w:tentative="1">
      <w:start w:val="1"/>
      <w:numFmt w:val="lowerRoman"/>
      <w:lvlText w:val="%3."/>
      <w:lvlJc w:val="right"/>
      <w:pPr>
        <w:ind w:left="4355" w:hanging="180"/>
      </w:pPr>
    </w:lvl>
    <w:lvl w:ilvl="3" w:tplc="0409000F" w:tentative="1">
      <w:start w:val="1"/>
      <w:numFmt w:val="decimal"/>
      <w:lvlText w:val="%4."/>
      <w:lvlJc w:val="left"/>
      <w:pPr>
        <w:ind w:left="5075" w:hanging="360"/>
      </w:pPr>
    </w:lvl>
    <w:lvl w:ilvl="4" w:tplc="04090019" w:tentative="1">
      <w:start w:val="1"/>
      <w:numFmt w:val="lowerLetter"/>
      <w:lvlText w:val="%5."/>
      <w:lvlJc w:val="left"/>
      <w:pPr>
        <w:ind w:left="5795" w:hanging="360"/>
      </w:pPr>
    </w:lvl>
    <w:lvl w:ilvl="5" w:tplc="0409001B" w:tentative="1">
      <w:start w:val="1"/>
      <w:numFmt w:val="lowerRoman"/>
      <w:lvlText w:val="%6."/>
      <w:lvlJc w:val="right"/>
      <w:pPr>
        <w:ind w:left="6515" w:hanging="180"/>
      </w:pPr>
    </w:lvl>
    <w:lvl w:ilvl="6" w:tplc="0409000F" w:tentative="1">
      <w:start w:val="1"/>
      <w:numFmt w:val="decimal"/>
      <w:lvlText w:val="%7."/>
      <w:lvlJc w:val="left"/>
      <w:pPr>
        <w:ind w:left="7235" w:hanging="360"/>
      </w:pPr>
    </w:lvl>
    <w:lvl w:ilvl="7" w:tplc="04090019" w:tentative="1">
      <w:start w:val="1"/>
      <w:numFmt w:val="lowerLetter"/>
      <w:lvlText w:val="%8."/>
      <w:lvlJc w:val="left"/>
      <w:pPr>
        <w:ind w:left="7955" w:hanging="360"/>
      </w:pPr>
    </w:lvl>
    <w:lvl w:ilvl="8" w:tplc="0409001B" w:tentative="1">
      <w:start w:val="1"/>
      <w:numFmt w:val="lowerRoman"/>
      <w:lvlText w:val="%9."/>
      <w:lvlJc w:val="right"/>
      <w:pPr>
        <w:ind w:left="8675" w:hanging="180"/>
      </w:pPr>
    </w:lvl>
  </w:abstractNum>
  <w:abstractNum w:abstractNumId="418">
    <w:nsid w:val="5D1A01FB"/>
    <w:multiLevelType w:val="hybridMultilevel"/>
    <w:tmpl w:val="ACC6B00A"/>
    <w:lvl w:ilvl="0" w:tplc="081EA266">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19">
    <w:nsid w:val="5D357ABD"/>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20">
    <w:nsid w:val="5D816773"/>
    <w:multiLevelType w:val="multilevel"/>
    <w:tmpl w:val="1D602EF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1">
    <w:nsid w:val="5D8A4F85"/>
    <w:multiLevelType w:val="hybridMultilevel"/>
    <w:tmpl w:val="471A40D0"/>
    <w:lvl w:ilvl="0" w:tplc="12F0D678">
      <w:start w:val="1"/>
      <w:numFmt w:val="lowerLetter"/>
      <w:lvlText w:val="(%1)"/>
      <w:lvlJc w:val="left"/>
      <w:pPr>
        <w:ind w:left="1738" w:hanging="360"/>
      </w:pPr>
      <w:rPr>
        <w:rFonts w:hint="default"/>
      </w:r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abstractNum w:abstractNumId="422">
    <w:nsid w:val="5DD865F7"/>
    <w:multiLevelType w:val="multilevel"/>
    <w:tmpl w:val="E508085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3">
    <w:nsid w:val="5DE431F7"/>
    <w:multiLevelType w:val="multilevel"/>
    <w:tmpl w:val="25E06F42"/>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4">
    <w:nsid w:val="5E4F431A"/>
    <w:multiLevelType w:val="multilevel"/>
    <w:tmpl w:val="2640AC70"/>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5">
    <w:nsid w:val="5E8902A8"/>
    <w:multiLevelType w:val="multilevel"/>
    <w:tmpl w:val="1F7A16D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6">
    <w:nsid w:val="5E9545F9"/>
    <w:multiLevelType w:val="hybridMultilevel"/>
    <w:tmpl w:val="40D80B62"/>
    <w:name w:val="SchCustomListNum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27">
    <w:nsid w:val="5EBB7EC4"/>
    <w:multiLevelType w:val="hybridMultilevel"/>
    <w:tmpl w:val="0AF23B82"/>
    <w:lvl w:ilvl="0" w:tplc="12F0D67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8">
    <w:nsid w:val="5F23102A"/>
    <w:multiLevelType w:val="hybridMultilevel"/>
    <w:tmpl w:val="9224FB46"/>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29">
    <w:nsid w:val="5F463E5B"/>
    <w:multiLevelType w:val="multilevel"/>
    <w:tmpl w:val="95708BD4"/>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3"/>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0">
    <w:nsid w:val="5F5E63BF"/>
    <w:multiLevelType w:val="hybridMultilevel"/>
    <w:tmpl w:val="48462254"/>
    <w:lvl w:ilvl="0" w:tplc="739A43CA">
      <w:start w:val="1"/>
      <w:numFmt w:val="lowerRoman"/>
      <w:lvlText w:val="(%1)"/>
      <w:lvlJc w:val="right"/>
      <w:pPr>
        <w:ind w:left="1598" w:hanging="360"/>
      </w:pPr>
      <w:rPr>
        <w:rFonts w:hint="default"/>
        <w:b w:val="0"/>
      </w:rPr>
    </w:lvl>
    <w:lvl w:ilvl="1" w:tplc="04090019" w:tentative="1">
      <w:start w:val="1"/>
      <w:numFmt w:val="lowerLetter"/>
      <w:lvlText w:val="%2."/>
      <w:lvlJc w:val="left"/>
      <w:pPr>
        <w:ind w:left="2318" w:hanging="360"/>
      </w:pPr>
    </w:lvl>
    <w:lvl w:ilvl="2" w:tplc="0409001B" w:tentative="1">
      <w:start w:val="1"/>
      <w:numFmt w:val="lowerRoman"/>
      <w:lvlText w:val="%3."/>
      <w:lvlJc w:val="right"/>
      <w:pPr>
        <w:ind w:left="3038" w:hanging="180"/>
      </w:pPr>
    </w:lvl>
    <w:lvl w:ilvl="3" w:tplc="0409000F" w:tentative="1">
      <w:start w:val="1"/>
      <w:numFmt w:val="decimal"/>
      <w:lvlText w:val="%4."/>
      <w:lvlJc w:val="left"/>
      <w:pPr>
        <w:ind w:left="3758" w:hanging="360"/>
      </w:pPr>
    </w:lvl>
    <w:lvl w:ilvl="4" w:tplc="04090019" w:tentative="1">
      <w:start w:val="1"/>
      <w:numFmt w:val="lowerLetter"/>
      <w:lvlText w:val="%5."/>
      <w:lvlJc w:val="left"/>
      <w:pPr>
        <w:ind w:left="4478" w:hanging="360"/>
      </w:pPr>
    </w:lvl>
    <w:lvl w:ilvl="5" w:tplc="0409001B" w:tentative="1">
      <w:start w:val="1"/>
      <w:numFmt w:val="lowerRoman"/>
      <w:lvlText w:val="%6."/>
      <w:lvlJc w:val="right"/>
      <w:pPr>
        <w:ind w:left="5198" w:hanging="180"/>
      </w:pPr>
    </w:lvl>
    <w:lvl w:ilvl="6" w:tplc="0409000F" w:tentative="1">
      <w:start w:val="1"/>
      <w:numFmt w:val="decimal"/>
      <w:lvlText w:val="%7."/>
      <w:lvlJc w:val="left"/>
      <w:pPr>
        <w:ind w:left="5918" w:hanging="360"/>
      </w:pPr>
    </w:lvl>
    <w:lvl w:ilvl="7" w:tplc="04090019" w:tentative="1">
      <w:start w:val="1"/>
      <w:numFmt w:val="lowerLetter"/>
      <w:lvlText w:val="%8."/>
      <w:lvlJc w:val="left"/>
      <w:pPr>
        <w:ind w:left="6638" w:hanging="360"/>
      </w:pPr>
    </w:lvl>
    <w:lvl w:ilvl="8" w:tplc="0409001B" w:tentative="1">
      <w:start w:val="1"/>
      <w:numFmt w:val="lowerRoman"/>
      <w:lvlText w:val="%9."/>
      <w:lvlJc w:val="right"/>
      <w:pPr>
        <w:ind w:left="7358" w:hanging="180"/>
      </w:pPr>
    </w:lvl>
  </w:abstractNum>
  <w:abstractNum w:abstractNumId="431">
    <w:nsid w:val="5F657A6D"/>
    <w:multiLevelType w:val="multilevel"/>
    <w:tmpl w:val="CC603024"/>
    <w:lvl w:ilvl="0">
      <w:start w:val="4"/>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2">
    <w:nsid w:val="5FCF642D"/>
    <w:multiLevelType w:val="multilevel"/>
    <w:tmpl w:val="DA9644D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3">
    <w:nsid w:val="5FE775BB"/>
    <w:multiLevelType w:val="hybridMultilevel"/>
    <w:tmpl w:val="C80A9EDE"/>
    <w:lvl w:ilvl="0" w:tplc="12F0D67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34">
    <w:nsid w:val="5FF7483A"/>
    <w:multiLevelType w:val="hybridMultilevel"/>
    <w:tmpl w:val="3E06D700"/>
    <w:name w:val="SchCustomListNum222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35">
    <w:nsid w:val="60794F65"/>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36">
    <w:nsid w:val="60DD57A6"/>
    <w:multiLevelType w:val="hybridMultilevel"/>
    <w:tmpl w:val="1C6CA512"/>
    <w:lvl w:ilvl="0" w:tplc="93C4405A">
      <w:start w:val="1"/>
      <w:numFmt w:val="decimal"/>
      <w:lvlText w:val="23.%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60EE6537"/>
    <w:multiLevelType w:val="multilevel"/>
    <w:tmpl w:val="D1600382"/>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lowerRoman"/>
      <w:lvlText w:val="%5."/>
      <w:lvlJc w:val="right"/>
      <w:pPr>
        <w:tabs>
          <w:tab w:val="num" w:pos="2835"/>
        </w:tabs>
        <w:ind w:left="2835" w:hanging="709"/>
      </w:pPr>
      <w:rPr>
        <w:rFonts w:hint="default"/>
        <w:b w:val="0"/>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8">
    <w:nsid w:val="60F571DC"/>
    <w:multiLevelType w:val="multilevel"/>
    <w:tmpl w:val="F33AA59C"/>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9">
    <w:nsid w:val="60F860D2"/>
    <w:multiLevelType w:val="hybridMultilevel"/>
    <w:tmpl w:val="22708172"/>
    <w:lvl w:ilvl="0" w:tplc="961C2504">
      <w:start w:val="1"/>
      <w:numFmt w:val="decimal"/>
      <w:lvlText w:val="3.%1"/>
      <w:lvlJc w:val="left"/>
      <w:pPr>
        <w:ind w:left="115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60FA112C"/>
    <w:multiLevelType w:val="multilevel"/>
    <w:tmpl w:val="ADAA0284"/>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8"/>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1">
    <w:nsid w:val="617E6870"/>
    <w:multiLevelType w:val="multilevel"/>
    <w:tmpl w:val="3CDC137C"/>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2">
    <w:nsid w:val="61C92057"/>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3">
    <w:nsid w:val="61E442DD"/>
    <w:multiLevelType w:val="hybridMultilevel"/>
    <w:tmpl w:val="72FA62D4"/>
    <w:lvl w:ilvl="0" w:tplc="EF2C0184">
      <w:start w:val="1"/>
      <w:numFmt w:val="lowerRoman"/>
      <w:lvlText w:val="(%1)"/>
      <w:lvlJc w:val="left"/>
      <w:pPr>
        <w:ind w:left="2846" w:hanging="360"/>
      </w:pPr>
      <w:rPr>
        <w:rFonts w:hint="default"/>
        <w:color w:val="auto"/>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44">
    <w:nsid w:val="62477E38"/>
    <w:multiLevelType w:val="multilevel"/>
    <w:tmpl w:val="709EE59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5">
    <w:nsid w:val="6271483A"/>
    <w:multiLevelType w:val="hybridMultilevel"/>
    <w:tmpl w:val="B7667A80"/>
    <w:lvl w:ilvl="0" w:tplc="19FEA63E">
      <w:start w:val="1"/>
      <w:numFmt w:val="lowerLetter"/>
      <w:lvlText w:val="%1."/>
      <w:lvlJc w:val="left"/>
      <w:pPr>
        <w:ind w:left="1287" w:hanging="360"/>
      </w:pPr>
      <w:rPr>
        <w:rFonts w:hint="default"/>
        <w:b w:val="0"/>
        <w:color w:val="auto"/>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46">
    <w:nsid w:val="628D7E47"/>
    <w:multiLevelType w:val="multilevel"/>
    <w:tmpl w:val="1DB886FA"/>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4"/>
      <w:numFmt w:val="lowerRoman"/>
      <w:lvlText w:val="(%4)"/>
      <w:lvlJc w:val="left"/>
      <w:pPr>
        <w:tabs>
          <w:tab w:val="num" w:pos="2126"/>
        </w:tabs>
        <w:ind w:left="2126" w:hanging="709"/>
      </w:pPr>
      <w:rPr>
        <w:rFonts w:hint="default"/>
        <w:b w:val="0"/>
        <w:color w:val="auto"/>
        <w:sz w:val="21"/>
        <w:szCs w:val="21"/>
      </w:rPr>
    </w:lvl>
    <w:lvl w:ilvl="4">
      <w:start w:val="2"/>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7">
    <w:nsid w:val="6294065F"/>
    <w:multiLevelType w:val="multilevel"/>
    <w:tmpl w:val="2E62DAC2"/>
    <w:lvl w:ilvl="0">
      <w:start w:val="2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8">
    <w:nsid w:val="62C86BBF"/>
    <w:multiLevelType w:val="hybridMultilevel"/>
    <w:tmpl w:val="56429930"/>
    <w:lvl w:ilvl="0" w:tplc="5D2027C8">
      <w:start w:val="1"/>
      <w:numFmt w:val="lowerLetter"/>
      <w:lvlText w:val="(%1)"/>
      <w:lvlJc w:val="left"/>
      <w:pPr>
        <w:ind w:left="1868" w:hanging="360"/>
      </w:pPr>
      <w:rPr>
        <w:rFonts w:cs="Times New Roman" w:hint="default"/>
      </w:r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abstractNum w:abstractNumId="449">
    <w:nsid w:val="62DC5028"/>
    <w:multiLevelType w:val="multilevel"/>
    <w:tmpl w:val="2CC0064A"/>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0">
    <w:nsid w:val="63267231"/>
    <w:multiLevelType w:val="hybridMultilevel"/>
    <w:tmpl w:val="41584A6C"/>
    <w:lvl w:ilvl="0" w:tplc="5D2027C8">
      <w:start w:val="1"/>
      <w:numFmt w:val="lowerLetter"/>
      <w:lvlText w:val="(%1)"/>
      <w:lvlJc w:val="left"/>
      <w:pPr>
        <w:ind w:left="2372" w:hanging="360"/>
      </w:pPr>
      <w:rPr>
        <w:rFonts w:cs="Times New Roman" w:hint="default"/>
      </w:rPr>
    </w:lvl>
    <w:lvl w:ilvl="1" w:tplc="04090019" w:tentative="1">
      <w:start w:val="1"/>
      <w:numFmt w:val="lowerLetter"/>
      <w:lvlText w:val="%2."/>
      <w:lvlJc w:val="left"/>
      <w:pPr>
        <w:ind w:left="3092" w:hanging="360"/>
      </w:pPr>
    </w:lvl>
    <w:lvl w:ilvl="2" w:tplc="0409001B" w:tentative="1">
      <w:start w:val="1"/>
      <w:numFmt w:val="lowerRoman"/>
      <w:lvlText w:val="%3."/>
      <w:lvlJc w:val="right"/>
      <w:pPr>
        <w:ind w:left="3812" w:hanging="180"/>
      </w:pPr>
    </w:lvl>
    <w:lvl w:ilvl="3" w:tplc="0409000F" w:tentative="1">
      <w:start w:val="1"/>
      <w:numFmt w:val="decimal"/>
      <w:lvlText w:val="%4."/>
      <w:lvlJc w:val="left"/>
      <w:pPr>
        <w:ind w:left="4532" w:hanging="360"/>
      </w:pPr>
    </w:lvl>
    <w:lvl w:ilvl="4" w:tplc="04090019" w:tentative="1">
      <w:start w:val="1"/>
      <w:numFmt w:val="lowerLetter"/>
      <w:lvlText w:val="%5."/>
      <w:lvlJc w:val="left"/>
      <w:pPr>
        <w:ind w:left="5252" w:hanging="360"/>
      </w:pPr>
    </w:lvl>
    <w:lvl w:ilvl="5" w:tplc="0409001B" w:tentative="1">
      <w:start w:val="1"/>
      <w:numFmt w:val="lowerRoman"/>
      <w:lvlText w:val="%6."/>
      <w:lvlJc w:val="right"/>
      <w:pPr>
        <w:ind w:left="5972" w:hanging="180"/>
      </w:pPr>
    </w:lvl>
    <w:lvl w:ilvl="6" w:tplc="0409000F" w:tentative="1">
      <w:start w:val="1"/>
      <w:numFmt w:val="decimal"/>
      <w:lvlText w:val="%7."/>
      <w:lvlJc w:val="left"/>
      <w:pPr>
        <w:ind w:left="6692" w:hanging="360"/>
      </w:pPr>
    </w:lvl>
    <w:lvl w:ilvl="7" w:tplc="04090019" w:tentative="1">
      <w:start w:val="1"/>
      <w:numFmt w:val="lowerLetter"/>
      <w:lvlText w:val="%8."/>
      <w:lvlJc w:val="left"/>
      <w:pPr>
        <w:ind w:left="7412" w:hanging="360"/>
      </w:pPr>
    </w:lvl>
    <w:lvl w:ilvl="8" w:tplc="0409001B" w:tentative="1">
      <w:start w:val="1"/>
      <w:numFmt w:val="lowerRoman"/>
      <w:lvlText w:val="%9."/>
      <w:lvlJc w:val="right"/>
      <w:pPr>
        <w:ind w:left="8132" w:hanging="180"/>
      </w:pPr>
    </w:lvl>
  </w:abstractNum>
  <w:abstractNum w:abstractNumId="451">
    <w:nsid w:val="63AA31F7"/>
    <w:multiLevelType w:val="hybridMultilevel"/>
    <w:tmpl w:val="B5983A28"/>
    <w:lvl w:ilvl="0" w:tplc="98940142">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52">
    <w:nsid w:val="63CB1F6C"/>
    <w:multiLevelType w:val="hybridMultilevel"/>
    <w:tmpl w:val="8AE0332A"/>
    <w:lvl w:ilvl="0" w:tplc="EEA823F4">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53">
    <w:nsid w:val="63D40530"/>
    <w:multiLevelType w:val="hybridMultilevel"/>
    <w:tmpl w:val="89E4737A"/>
    <w:lvl w:ilvl="0" w:tplc="F2FE823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63F445CB"/>
    <w:multiLevelType w:val="hybridMultilevel"/>
    <w:tmpl w:val="C1AA34C4"/>
    <w:lvl w:ilvl="0" w:tplc="11D20BC4">
      <w:start w:val="1"/>
      <w:numFmt w:val="lowerRoman"/>
      <w:lvlText w:val="(%1)"/>
      <w:lvlJc w:val="left"/>
      <w:pPr>
        <w:ind w:left="1734" w:hanging="360"/>
      </w:pPr>
      <w:rPr>
        <w:rFonts w:hint="default"/>
      </w:r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abstractNum w:abstractNumId="455">
    <w:nsid w:val="6443200F"/>
    <w:multiLevelType w:val="hybridMultilevel"/>
    <w:tmpl w:val="2C54DB10"/>
    <w:name w:val="SchCustomListNum222222222222222222222222"/>
    <w:lvl w:ilvl="0" w:tplc="E9D88B9A">
      <w:start w:val="1"/>
      <w:numFmt w:val="lowerRoman"/>
      <w:lvlText w:val="(%1)"/>
      <w:lvlJc w:val="right"/>
      <w:pPr>
        <w:ind w:left="2825" w:hanging="360"/>
      </w:pPr>
      <w:rPr>
        <w:rFonts w:hint="default"/>
      </w:rPr>
    </w:lvl>
    <w:lvl w:ilvl="1" w:tplc="04090019" w:tentative="1">
      <w:start w:val="1"/>
      <w:numFmt w:val="lowerLetter"/>
      <w:lvlText w:val="%2."/>
      <w:lvlJc w:val="left"/>
      <w:pPr>
        <w:ind w:left="3545" w:hanging="360"/>
      </w:pPr>
    </w:lvl>
    <w:lvl w:ilvl="2" w:tplc="0409001B" w:tentative="1">
      <w:start w:val="1"/>
      <w:numFmt w:val="lowerRoman"/>
      <w:lvlText w:val="%3."/>
      <w:lvlJc w:val="right"/>
      <w:pPr>
        <w:ind w:left="4265" w:hanging="180"/>
      </w:pPr>
    </w:lvl>
    <w:lvl w:ilvl="3" w:tplc="0409000F" w:tentative="1">
      <w:start w:val="1"/>
      <w:numFmt w:val="decimal"/>
      <w:lvlText w:val="%4."/>
      <w:lvlJc w:val="left"/>
      <w:pPr>
        <w:ind w:left="4985" w:hanging="360"/>
      </w:pPr>
    </w:lvl>
    <w:lvl w:ilvl="4" w:tplc="04090019" w:tentative="1">
      <w:start w:val="1"/>
      <w:numFmt w:val="lowerLetter"/>
      <w:lvlText w:val="%5."/>
      <w:lvlJc w:val="left"/>
      <w:pPr>
        <w:ind w:left="5705" w:hanging="360"/>
      </w:pPr>
    </w:lvl>
    <w:lvl w:ilvl="5" w:tplc="0409001B" w:tentative="1">
      <w:start w:val="1"/>
      <w:numFmt w:val="lowerRoman"/>
      <w:lvlText w:val="%6."/>
      <w:lvlJc w:val="right"/>
      <w:pPr>
        <w:ind w:left="6425" w:hanging="180"/>
      </w:pPr>
    </w:lvl>
    <w:lvl w:ilvl="6" w:tplc="0409000F" w:tentative="1">
      <w:start w:val="1"/>
      <w:numFmt w:val="decimal"/>
      <w:lvlText w:val="%7."/>
      <w:lvlJc w:val="left"/>
      <w:pPr>
        <w:ind w:left="7145" w:hanging="360"/>
      </w:pPr>
    </w:lvl>
    <w:lvl w:ilvl="7" w:tplc="04090019" w:tentative="1">
      <w:start w:val="1"/>
      <w:numFmt w:val="lowerLetter"/>
      <w:lvlText w:val="%8."/>
      <w:lvlJc w:val="left"/>
      <w:pPr>
        <w:ind w:left="7865" w:hanging="360"/>
      </w:pPr>
    </w:lvl>
    <w:lvl w:ilvl="8" w:tplc="0409001B" w:tentative="1">
      <w:start w:val="1"/>
      <w:numFmt w:val="lowerRoman"/>
      <w:lvlText w:val="%9."/>
      <w:lvlJc w:val="right"/>
      <w:pPr>
        <w:ind w:left="8585" w:hanging="180"/>
      </w:pPr>
    </w:lvl>
  </w:abstractNum>
  <w:abstractNum w:abstractNumId="456">
    <w:nsid w:val="648518CA"/>
    <w:multiLevelType w:val="hybridMultilevel"/>
    <w:tmpl w:val="8B8E56AC"/>
    <w:name w:val="SchCustomListNum52"/>
    <w:lvl w:ilvl="0" w:tplc="88080922">
      <w:start w:val="1"/>
      <w:numFmt w:val="decimal"/>
      <w:lvlText w:val="%1."/>
      <w:lvlJc w:val="left"/>
      <w:pPr>
        <w:ind w:left="720" w:hanging="360"/>
      </w:pPr>
      <w:rPr>
        <w:rFonts w:ascii="Arial" w:hAnsi="Arial" w:cs="Arial"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649502A3"/>
    <w:multiLevelType w:val="hybridMultilevel"/>
    <w:tmpl w:val="CBE486EC"/>
    <w:lvl w:ilvl="0" w:tplc="A950CEBE">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58">
    <w:nsid w:val="64A3176F"/>
    <w:multiLevelType w:val="multilevel"/>
    <w:tmpl w:val="7E143A00"/>
    <w:lvl w:ilvl="0">
      <w:start w:val="13"/>
      <w:numFmt w:val="decimal"/>
      <w:lvlText w:val="%1."/>
      <w:lvlJc w:val="left"/>
      <w:pPr>
        <w:ind w:left="360" w:hanging="360"/>
      </w:pPr>
      <w:rPr>
        <w:rFonts w:hint="default"/>
      </w:rPr>
    </w:lvl>
    <w:lvl w:ilvl="1">
      <w:start w:val="1"/>
      <w:numFmt w:val="decimal"/>
      <w:lvlText w:val="%1.%2."/>
      <w:lvlJc w:val="left"/>
      <w:pPr>
        <w:ind w:left="4671"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459">
    <w:nsid w:val="64D4626C"/>
    <w:multiLevelType w:val="multilevel"/>
    <w:tmpl w:val="06741306"/>
    <w:lvl w:ilvl="0">
      <w:start w:val="8"/>
      <w:numFmt w:val="decimal"/>
      <w:lvlText w:val="%1."/>
      <w:lvlJc w:val="left"/>
      <w:pPr>
        <w:tabs>
          <w:tab w:val="num" w:pos="2146"/>
        </w:tabs>
        <w:ind w:left="2146" w:hanging="709"/>
      </w:pPr>
      <w:rPr>
        <w:rFonts w:hint="default"/>
        <w:b/>
        <w:spacing w:val="-1"/>
        <w:w w:val="100"/>
        <w:sz w:val="21"/>
        <w:szCs w:val="21"/>
      </w:rPr>
    </w:lvl>
    <w:lvl w:ilvl="1">
      <w:start w:val="3"/>
      <w:numFmt w:val="decimal"/>
      <w:isLgl/>
      <w:lvlText w:val="%1.%2."/>
      <w:lvlJc w:val="left"/>
      <w:pPr>
        <w:ind w:left="1797" w:hanging="360"/>
      </w:pPr>
      <w:rPr>
        <w:rFonts w:hint="default"/>
        <w:b/>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460">
    <w:nsid w:val="65263494"/>
    <w:multiLevelType w:val="hybridMultilevel"/>
    <w:tmpl w:val="D05CD24A"/>
    <w:lvl w:ilvl="0" w:tplc="99225D04">
      <w:start w:val="1"/>
      <w:numFmt w:val="lowerRoman"/>
      <w:lvlText w:val="(%1)"/>
      <w:lvlJc w:val="righ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654B3EDD"/>
    <w:multiLevelType w:val="hybridMultilevel"/>
    <w:tmpl w:val="EE8618D8"/>
    <w:name w:val="SchCustomListNum22222222222222222222222222222222222222223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62">
    <w:nsid w:val="657D2D79"/>
    <w:multiLevelType w:val="multilevel"/>
    <w:tmpl w:val="765AF4CC"/>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3">
    <w:nsid w:val="657D4B5A"/>
    <w:multiLevelType w:val="hybridMultilevel"/>
    <w:tmpl w:val="DE063CD4"/>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4">
    <w:nsid w:val="659602D2"/>
    <w:multiLevelType w:val="hybridMultilevel"/>
    <w:tmpl w:val="C3785DF6"/>
    <w:lvl w:ilvl="0" w:tplc="8B6C33F0">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5">
    <w:nsid w:val="65A2395D"/>
    <w:multiLevelType w:val="hybridMultilevel"/>
    <w:tmpl w:val="BC327B1E"/>
    <w:name w:val="SchCustomListNum2222222222222222222222222"/>
    <w:lvl w:ilvl="0" w:tplc="5DA274C6">
      <w:start w:val="1"/>
      <w:numFmt w:val="decimal"/>
      <w:lvlText w:val="(%1)"/>
      <w:lvlJc w:val="left"/>
      <w:pPr>
        <w:ind w:left="3275"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3995" w:hanging="360"/>
      </w:pPr>
    </w:lvl>
    <w:lvl w:ilvl="2" w:tplc="0409001B" w:tentative="1">
      <w:start w:val="1"/>
      <w:numFmt w:val="lowerRoman"/>
      <w:lvlText w:val="%3."/>
      <w:lvlJc w:val="right"/>
      <w:pPr>
        <w:ind w:left="4715" w:hanging="180"/>
      </w:pPr>
    </w:lvl>
    <w:lvl w:ilvl="3" w:tplc="0409000F" w:tentative="1">
      <w:start w:val="1"/>
      <w:numFmt w:val="decimal"/>
      <w:lvlText w:val="%4."/>
      <w:lvlJc w:val="left"/>
      <w:pPr>
        <w:ind w:left="5435" w:hanging="360"/>
      </w:pPr>
    </w:lvl>
    <w:lvl w:ilvl="4" w:tplc="04090019" w:tentative="1">
      <w:start w:val="1"/>
      <w:numFmt w:val="lowerLetter"/>
      <w:lvlText w:val="%5."/>
      <w:lvlJc w:val="left"/>
      <w:pPr>
        <w:ind w:left="6155" w:hanging="360"/>
      </w:pPr>
    </w:lvl>
    <w:lvl w:ilvl="5" w:tplc="0409001B" w:tentative="1">
      <w:start w:val="1"/>
      <w:numFmt w:val="lowerRoman"/>
      <w:lvlText w:val="%6."/>
      <w:lvlJc w:val="right"/>
      <w:pPr>
        <w:ind w:left="6875" w:hanging="180"/>
      </w:pPr>
    </w:lvl>
    <w:lvl w:ilvl="6" w:tplc="0409000F" w:tentative="1">
      <w:start w:val="1"/>
      <w:numFmt w:val="decimal"/>
      <w:lvlText w:val="%7."/>
      <w:lvlJc w:val="left"/>
      <w:pPr>
        <w:ind w:left="7595" w:hanging="360"/>
      </w:pPr>
    </w:lvl>
    <w:lvl w:ilvl="7" w:tplc="04090019" w:tentative="1">
      <w:start w:val="1"/>
      <w:numFmt w:val="lowerLetter"/>
      <w:lvlText w:val="%8."/>
      <w:lvlJc w:val="left"/>
      <w:pPr>
        <w:ind w:left="8315" w:hanging="360"/>
      </w:pPr>
    </w:lvl>
    <w:lvl w:ilvl="8" w:tplc="0409001B" w:tentative="1">
      <w:start w:val="1"/>
      <w:numFmt w:val="lowerRoman"/>
      <w:lvlText w:val="%9."/>
      <w:lvlJc w:val="right"/>
      <w:pPr>
        <w:ind w:left="9035" w:hanging="180"/>
      </w:pPr>
    </w:lvl>
  </w:abstractNum>
  <w:abstractNum w:abstractNumId="466">
    <w:nsid w:val="65BF1A48"/>
    <w:multiLevelType w:val="hybridMultilevel"/>
    <w:tmpl w:val="2D34A586"/>
    <w:lvl w:ilvl="0" w:tplc="4FF86222">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67">
    <w:nsid w:val="65DA2774"/>
    <w:multiLevelType w:val="hybridMultilevel"/>
    <w:tmpl w:val="35AC8888"/>
    <w:lvl w:ilvl="0" w:tplc="7EA4BA3C">
      <w:start w:val="1"/>
      <w:numFmt w:val="lowerLetter"/>
      <w:lvlText w:val="(%1)"/>
      <w:lvlJc w:val="left"/>
      <w:pPr>
        <w:ind w:left="1069" w:hanging="360"/>
      </w:pPr>
      <w:rPr>
        <w:rFonts w:hint="default"/>
        <w:b w:val="0"/>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8">
    <w:nsid w:val="65EF5788"/>
    <w:multiLevelType w:val="hybridMultilevel"/>
    <w:tmpl w:val="B484C1D2"/>
    <w:lvl w:ilvl="0" w:tplc="D6E0D4EE">
      <w:start w:val="1"/>
      <w:numFmt w:val="lowerLetter"/>
      <w:lvlText w:val="(%1)"/>
      <w:lvlJc w:val="left"/>
      <w:pPr>
        <w:ind w:left="1429" w:hanging="360"/>
      </w:pPr>
      <w:rPr>
        <w:rFonts w:ascii="Arial" w:hAnsi="Arial" w:cs="Aria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9">
    <w:nsid w:val="66DB2DFF"/>
    <w:multiLevelType w:val="hybridMultilevel"/>
    <w:tmpl w:val="CA12BE10"/>
    <w:lvl w:ilvl="0" w:tplc="CD5CE766">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70">
    <w:nsid w:val="671F609C"/>
    <w:multiLevelType w:val="hybridMultilevel"/>
    <w:tmpl w:val="AE34B45E"/>
    <w:lvl w:ilvl="0" w:tplc="05B66330">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71">
    <w:nsid w:val="67463453"/>
    <w:multiLevelType w:val="hybridMultilevel"/>
    <w:tmpl w:val="097AE3E0"/>
    <w:lvl w:ilvl="0" w:tplc="E50EFDE0">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72">
    <w:nsid w:val="67590447"/>
    <w:multiLevelType w:val="hybridMultilevel"/>
    <w:tmpl w:val="51DCB50A"/>
    <w:lvl w:ilvl="0" w:tplc="F05A4AF6">
      <w:start w:val="1"/>
      <w:numFmt w:val="decimal"/>
      <w:lvlText w:val="23.%1."/>
      <w:lvlJc w:val="left"/>
      <w:pPr>
        <w:ind w:left="2160" w:hanging="360"/>
      </w:pPr>
      <w:rPr>
        <w:rFonts w:hint="default"/>
        <w:b/>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3">
    <w:nsid w:val="676973FF"/>
    <w:multiLevelType w:val="multilevel"/>
    <w:tmpl w:val="BA1A184E"/>
    <w:lvl w:ilvl="0">
      <w:start w:val="3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4">
    <w:nsid w:val="67B72E0C"/>
    <w:multiLevelType w:val="multilevel"/>
    <w:tmpl w:val="190A1B0A"/>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5">
    <w:nsid w:val="67EA5700"/>
    <w:multiLevelType w:val="hybridMultilevel"/>
    <w:tmpl w:val="2E3AEE9C"/>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476">
    <w:nsid w:val="69A53F1F"/>
    <w:multiLevelType w:val="hybridMultilevel"/>
    <w:tmpl w:val="92B6BCD8"/>
    <w:lvl w:ilvl="0" w:tplc="E9D88B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nsid w:val="69CE3F26"/>
    <w:multiLevelType w:val="hybridMultilevel"/>
    <w:tmpl w:val="D2BE5650"/>
    <w:name w:val="SchCustomListNum2222222222222222222222"/>
    <w:lvl w:ilvl="0" w:tplc="92124EBA">
      <w:start w:val="1"/>
      <w:numFmt w:val="lowerLetter"/>
      <w:lvlText w:val="(%1)"/>
      <w:lvlJc w:val="left"/>
      <w:pPr>
        <w:ind w:left="2280" w:hanging="360"/>
      </w:pPr>
      <w:rPr>
        <w:rFonts w:cs="Times New Roman" w:hint="default"/>
        <w:b w:val="0"/>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78">
    <w:nsid w:val="6A076D60"/>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79">
    <w:nsid w:val="6A4E7366"/>
    <w:multiLevelType w:val="multilevel"/>
    <w:tmpl w:val="4984A04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0">
    <w:nsid w:val="6A701B6E"/>
    <w:multiLevelType w:val="hybridMultilevel"/>
    <w:tmpl w:val="6B6E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nsid w:val="6AA220E1"/>
    <w:multiLevelType w:val="multilevel"/>
    <w:tmpl w:val="850234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2">
    <w:nsid w:val="6AA346E6"/>
    <w:multiLevelType w:val="multilevel"/>
    <w:tmpl w:val="A4865B4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4"/>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3">
    <w:nsid w:val="6B2F472B"/>
    <w:multiLevelType w:val="multilevel"/>
    <w:tmpl w:val="E53CC77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4">
    <w:nsid w:val="6B8F1B6C"/>
    <w:multiLevelType w:val="hybridMultilevel"/>
    <w:tmpl w:val="7E3C52C8"/>
    <w:name w:val="SchCustomListNum2222222222222222222222222222222222"/>
    <w:lvl w:ilvl="0" w:tplc="5D2027C8">
      <w:start w:val="1"/>
      <w:numFmt w:val="lowerLetter"/>
      <w:lvlText w:val="(%1)"/>
      <w:lvlJc w:val="left"/>
      <w:pPr>
        <w:ind w:left="2270" w:hanging="360"/>
      </w:pPr>
      <w:rPr>
        <w:rFonts w:cs="Times New Roman" w:hint="default"/>
      </w:r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485">
    <w:nsid w:val="6BB962CE"/>
    <w:multiLevelType w:val="multilevel"/>
    <w:tmpl w:val="96746F9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6">
    <w:nsid w:val="6C4B5600"/>
    <w:multiLevelType w:val="hybridMultilevel"/>
    <w:tmpl w:val="E7B2140E"/>
    <w:lvl w:ilvl="0" w:tplc="5D2027C8">
      <w:start w:val="1"/>
      <w:numFmt w:val="lowerLetter"/>
      <w:lvlText w:val="(%1)"/>
      <w:lvlJc w:val="left"/>
      <w:pPr>
        <w:ind w:left="2540" w:hanging="360"/>
      </w:pPr>
      <w:rPr>
        <w:rFonts w:cs="Times New Roman" w:hint="default"/>
      </w:rPr>
    </w:lvl>
    <w:lvl w:ilvl="1" w:tplc="04090019" w:tentative="1">
      <w:start w:val="1"/>
      <w:numFmt w:val="lowerLetter"/>
      <w:lvlText w:val="%2."/>
      <w:lvlJc w:val="left"/>
      <w:pPr>
        <w:ind w:left="3260" w:hanging="360"/>
      </w:pPr>
    </w:lvl>
    <w:lvl w:ilvl="2" w:tplc="0409001B" w:tentative="1">
      <w:start w:val="1"/>
      <w:numFmt w:val="lowerRoman"/>
      <w:lvlText w:val="%3."/>
      <w:lvlJc w:val="right"/>
      <w:pPr>
        <w:ind w:left="3980" w:hanging="180"/>
      </w:pPr>
    </w:lvl>
    <w:lvl w:ilvl="3" w:tplc="0409000F" w:tentative="1">
      <w:start w:val="1"/>
      <w:numFmt w:val="decimal"/>
      <w:lvlText w:val="%4."/>
      <w:lvlJc w:val="left"/>
      <w:pPr>
        <w:ind w:left="4700" w:hanging="360"/>
      </w:pPr>
    </w:lvl>
    <w:lvl w:ilvl="4" w:tplc="04090019" w:tentative="1">
      <w:start w:val="1"/>
      <w:numFmt w:val="lowerLetter"/>
      <w:lvlText w:val="%5."/>
      <w:lvlJc w:val="left"/>
      <w:pPr>
        <w:ind w:left="5420" w:hanging="360"/>
      </w:pPr>
    </w:lvl>
    <w:lvl w:ilvl="5" w:tplc="0409001B" w:tentative="1">
      <w:start w:val="1"/>
      <w:numFmt w:val="lowerRoman"/>
      <w:lvlText w:val="%6."/>
      <w:lvlJc w:val="right"/>
      <w:pPr>
        <w:ind w:left="6140" w:hanging="180"/>
      </w:pPr>
    </w:lvl>
    <w:lvl w:ilvl="6" w:tplc="0409000F" w:tentative="1">
      <w:start w:val="1"/>
      <w:numFmt w:val="decimal"/>
      <w:lvlText w:val="%7."/>
      <w:lvlJc w:val="left"/>
      <w:pPr>
        <w:ind w:left="6860" w:hanging="360"/>
      </w:pPr>
    </w:lvl>
    <w:lvl w:ilvl="7" w:tplc="04090019" w:tentative="1">
      <w:start w:val="1"/>
      <w:numFmt w:val="lowerLetter"/>
      <w:lvlText w:val="%8."/>
      <w:lvlJc w:val="left"/>
      <w:pPr>
        <w:ind w:left="7580" w:hanging="360"/>
      </w:pPr>
    </w:lvl>
    <w:lvl w:ilvl="8" w:tplc="0409001B" w:tentative="1">
      <w:start w:val="1"/>
      <w:numFmt w:val="lowerRoman"/>
      <w:lvlText w:val="%9."/>
      <w:lvlJc w:val="right"/>
      <w:pPr>
        <w:ind w:left="8300" w:hanging="180"/>
      </w:pPr>
    </w:lvl>
  </w:abstractNum>
  <w:abstractNum w:abstractNumId="487">
    <w:nsid w:val="6C8B6B79"/>
    <w:multiLevelType w:val="hybridMultilevel"/>
    <w:tmpl w:val="B1B4BCB4"/>
    <w:name w:val="SchCustomListNum2222222222222222222222222222222222222222322"/>
    <w:lvl w:ilvl="0" w:tplc="BA90DBBC">
      <w:start w:val="1"/>
      <w:numFmt w:val="lowerRoman"/>
      <w:lvlText w:val="(%1)"/>
      <w:lvlJc w:val="righ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488">
    <w:nsid w:val="6D1E5D7E"/>
    <w:multiLevelType w:val="multilevel"/>
    <w:tmpl w:val="96D86138"/>
    <w:lvl w:ilvl="0">
      <w:start w:val="1"/>
      <w:numFmt w:val="decimal"/>
      <w:lvlText w:val="%1."/>
      <w:lvlJc w:val="left"/>
      <w:pPr>
        <w:tabs>
          <w:tab w:val="num" w:pos="2146"/>
        </w:tabs>
        <w:ind w:left="2146" w:hanging="709"/>
      </w:pPr>
      <w:rPr>
        <w:rFonts w:hint="default"/>
        <w:b/>
        <w:spacing w:val="-1"/>
        <w:w w:val="100"/>
        <w:sz w:val="21"/>
        <w:szCs w:val="21"/>
      </w:rPr>
    </w:lvl>
    <w:lvl w:ilvl="1">
      <w:start w:val="1"/>
      <w:numFmt w:val="decimal"/>
      <w:isLgl/>
      <w:lvlText w:val="%1.%2."/>
      <w:lvlJc w:val="left"/>
      <w:pPr>
        <w:ind w:left="1797" w:hanging="360"/>
      </w:pPr>
      <w:rPr>
        <w:rFonts w:hint="default"/>
        <w:b w:val="0"/>
      </w:rPr>
    </w:lvl>
    <w:lvl w:ilvl="2">
      <w:start w:val="1"/>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489">
    <w:nsid w:val="6D406F71"/>
    <w:multiLevelType w:val="hybridMultilevel"/>
    <w:tmpl w:val="15EC3FAA"/>
    <w:lvl w:ilvl="0" w:tplc="68340EBC">
      <w:start w:val="1"/>
      <w:numFmt w:val="upperLetter"/>
      <w:lvlText w:val="%1."/>
      <w:lvlJc w:val="left"/>
      <w:pPr>
        <w:ind w:left="1173" w:hanging="360"/>
      </w:pPr>
      <w:rPr>
        <w:rFonts w:hint="default"/>
      </w:rPr>
    </w:lvl>
    <w:lvl w:ilvl="1" w:tplc="04090019" w:tentative="1">
      <w:start w:val="1"/>
      <w:numFmt w:val="lowerLetter"/>
      <w:lvlText w:val="%2."/>
      <w:lvlJc w:val="left"/>
      <w:pPr>
        <w:ind w:left="1893" w:hanging="360"/>
      </w:pPr>
    </w:lvl>
    <w:lvl w:ilvl="2" w:tplc="0409001B" w:tentative="1">
      <w:start w:val="1"/>
      <w:numFmt w:val="lowerRoman"/>
      <w:lvlText w:val="%3."/>
      <w:lvlJc w:val="right"/>
      <w:pPr>
        <w:ind w:left="2613" w:hanging="180"/>
      </w:pPr>
    </w:lvl>
    <w:lvl w:ilvl="3" w:tplc="0409000F" w:tentative="1">
      <w:start w:val="1"/>
      <w:numFmt w:val="decimal"/>
      <w:lvlText w:val="%4."/>
      <w:lvlJc w:val="left"/>
      <w:pPr>
        <w:ind w:left="3333" w:hanging="360"/>
      </w:pPr>
    </w:lvl>
    <w:lvl w:ilvl="4" w:tplc="04090019" w:tentative="1">
      <w:start w:val="1"/>
      <w:numFmt w:val="lowerLetter"/>
      <w:lvlText w:val="%5."/>
      <w:lvlJc w:val="left"/>
      <w:pPr>
        <w:ind w:left="4053" w:hanging="360"/>
      </w:pPr>
    </w:lvl>
    <w:lvl w:ilvl="5" w:tplc="0409001B" w:tentative="1">
      <w:start w:val="1"/>
      <w:numFmt w:val="lowerRoman"/>
      <w:lvlText w:val="%6."/>
      <w:lvlJc w:val="right"/>
      <w:pPr>
        <w:ind w:left="4773" w:hanging="180"/>
      </w:pPr>
    </w:lvl>
    <w:lvl w:ilvl="6" w:tplc="0409000F" w:tentative="1">
      <w:start w:val="1"/>
      <w:numFmt w:val="decimal"/>
      <w:lvlText w:val="%7."/>
      <w:lvlJc w:val="left"/>
      <w:pPr>
        <w:ind w:left="5493" w:hanging="360"/>
      </w:pPr>
    </w:lvl>
    <w:lvl w:ilvl="7" w:tplc="04090019" w:tentative="1">
      <w:start w:val="1"/>
      <w:numFmt w:val="lowerLetter"/>
      <w:lvlText w:val="%8."/>
      <w:lvlJc w:val="left"/>
      <w:pPr>
        <w:ind w:left="6213" w:hanging="360"/>
      </w:pPr>
    </w:lvl>
    <w:lvl w:ilvl="8" w:tplc="0409001B" w:tentative="1">
      <w:start w:val="1"/>
      <w:numFmt w:val="lowerRoman"/>
      <w:lvlText w:val="%9."/>
      <w:lvlJc w:val="right"/>
      <w:pPr>
        <w:ind w:left="6933" w:hanging="180"/>
      </w:pPr>
    </w:lvl>
  </w:abstractNum>
  <w:abstractNum w:abstractNumId="490">
    <w:nsid w:val="6DA6528C"/>
    <w:multiLevelType w:val="hybridMultilevel"/>
    <w:tmpl w:val="0ABE92D0"/>
    <w:name w:val="SchCustomListNum222222222222222222222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91">
    <w:nsid w:val="6DAC30DF"/>
    <w:multiLevelType w:val="hybridMultilevel"/>
    <w:tmpl w:val="E6C2370E"/>
    <w:lvl w:ilvl="0" w:tplc="6382100E">
      <w:start w:val="1"/>
      <w:numFmt w:val="decimal"/>
      <w:lvlText w:val="27.%1."/>
      <w:lvlJc w:val="left"/>
      <w:pPr>
        <w:ind w:left="720" w:hanging="360"/>
      </w:pPr>
      <w:rPr>
        <w:rFonts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nsid w:val="6DF10A54"/>
    <w:multiLevelType w:val="hybridMultilevel"/>
    <w:tmpl w:val="6936AF74"/>
    <w:lvl w:ilvl="0" w:tplc="8154FD50">
      <w:start w:val="1"/>
      <w:numFmt w:val="decimal"/>
      <w:lvlText w:val="31.%1"/>
      <w:lvlJc w:val="left"/>
      <w:pPr>
        <w:ind w:left="720" w:hanging="360"/>
      </w:pPr>
      <w:rPr>
        <w:rFonts w:ascii="Arial" w:hAnsi="Arial" w:cs="Arial" w:hint="default"/>
        <w:b/>
        <w:color w:val="000000" w:themeColor="text1"/>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nsid w:val="6DF77BE5"/>
    <w:multiLevelType w:val="hybridMultilevel"/>
    <w:tmpl w:val="D7AA3AEA"/>
    <w:lvl w:ilvl="0" w:tplc="8D103BEA">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494">
    <w:nsid w:val="6E39617F"/>
    <w:multiLevelType w:val="hybridMultilevel"/>
    <w:tmpl w:val="14600592"/>
    <w:lvl w:ilvl="0" w:tplc="5D2027C8">
      <w:start w:val="1"/>
      <w:numFmt w:val="lowerLetter"/>
      <w:lvlText w:val="(%1)"/>
      <w:lvlJc w:val="left"/>
      <w:pPr>
        <w:ind w:left="2372" w:hanging="360"/>
      </w:pPr>
      <w:rPr>
        <w:rFonts w:cs="Times New Roman" w:hint="default"/>
      </w:rPr>
    </w:lvl>
    <w:lvl w:ilvl="1" w:tplc="04090019" w:tentative="1">
      <w:start w:val="1"/>
      <w:numFmt w:val="lowerLetter"/>
      <w:lvlText w:val="%2."/>
      <w:lvlJc w:val="left"/>
      <w:pPr>
        <w:ind w:left="3092" w:hanging="360"/>
      </w:pPr>
    </w:lvl>
    <w:lvl w:ilvl="2" w:tplc="0409001B" w:tentative="1">
      <w:start w:val="1"/>
      <w:numFmt w:val="lowerRoman"/>
      <w:lvlText w:val="%3."/>
      <w:lvlJc w:val="right"/>
      <w:pPr>
        <w:ind w:left="3812" w:hanging="180"/>
      </w:pPr>
    </w:lvl>
    <w:lvl w:ilvl="3" w:tplc="0409000F" w:tentative="1">
      <w:start w:val="1"/>
      <w:numFmt w:val="decimal"/>
      <w:lvlText w:val="%4."/>
      <w:lvlJc w:val="left"/>
      <w:pPr>
        <w:ind w:left="4532" w:hanging="360"/>
      </w:pPr>
    </w:lvl>
    <w:lvl w:ilvl="4" w:tplc="04090019" w:tentative="1">
      <w:start w:val="1"/>
      <w:numFmt w:val="lowerLetter"/>
      <w:lvlText w:val="%5."/>
      <w:lvlJc w:val="left"/>
      <w:pPr>
        <w:ind w:left="5252" w:hanging="360"/>
      </w:pPr>
    </w:lvl>
    <w:lvl w:ilvl="5" w:tplc="0409001B" w:tentative="1">
      <w:start w:val="1"/>
      <w:numFmt w:val="lowerRoman"/>
      <w:lvlText w:val="%6."/>
      <w:lvlJc w:val="right"/>
      <w:pPr>
        <w:ind w:left="5972" w:hanging="180"/>
      </w:pPr>
    </w:lvl>
    <w:lvl w:ilvl="6" w:tplc="0409000F" w:tentative="1">
      <w:start w:val="1"/>
      <w:numFmt w:val="decimal"/>
      <w:lvlText w:val="%7."/>
      <w:lvlJc w:val="left"/>
      <w:pPr>
        <w:ind w:left="6692" w:hanging="360"/>
      </w:pPr>
    </w:lvl>
    <w:lvl w:ilvl="7" w:tplc="04090019" w:tentative="1">
      <w:start w:val="1"/>
      <w:numFmt w:val="lowerLetter"/>
      <w:lvlText w:val="%8."/>
      <w:lvlJc w:val="left"/>
      <w:pPr>
        <w:ind w:left="7412" w:hanging="360"/>
      </w:pPr>
    </w:lvl>
    <w:lvl w:ilvl="8" w:tplc="0409001B" w:tentative="1">
      <w:start w:val="1"/>
      <w:numFmt w:val="lowerRoman"/>
      <w:lvlText w:val="%9."/>
      <w:lvlJc w:val="right"/>
      <w:pPr>
        <w:ind w:left="8132" w:hanging="180"/>
      </w:pPr>
    </w:lvl>
  </w:abstractNum>
  <w:abstractNum w:abstractNumId="495">
    <w:nsid w:val="6E3A045F"/>
    <w:multiLevelType w:val="multilevel"/>
    <w:tmpl w:val="B224A4EE"/>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6">
    <w:nsid w:val="6E7549B4"/>
    <w:multiLevelType w:val="hybridMultilevel"/>
    <w:tmpl w:val="80F49294"/>
    <w:lvl w:ilvl="0" w:tplc="12F0D678">
      <w:start w:val="1"/>
      <w:numFmt w:val="lowerLetter"/>
      <w:lvlText w:val="(%1)"/>
      <w:lvlJc w:val="left"/>
      <w:pPr>
        <w:ind w:left="2360" w:hanging="360"/>
      </w:pPr>
      <w:rPr>
        <w:rFonts w:hint="default"/>
      </w:rPr>
    </w:lvl>
    <w:lvl w:ilvl="1" w:tplc="04090019" w:tentative="1">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497">
    <w:nsid w:val="6ED950C1"/>
    <w:multiLevelType w:val="hybridMultilevel"/>
    <w:tmpl w:val="7612F036"/>
    <w:lvl w:ilvl="0" w:tplc="7046BBC2">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498">
    <w:nsid w:val="6EEF0779"/>
    <w:multiLevelType w:val="multilevel"/>
    <w:tmpl w:val="5EF68D02"/>
    <w:lvl w:ilvl="0">
      <w:start w:val="1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9">
    <w:nsid w:val="6F1E3239"/>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00">
    <w:nsid w:val="6F374F11"/>
    <w:multiLevelType w:val="multilevel"/>
    <w:tmpl w:val="2AFA3B3E"/>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1">
    <w:nsid w:val="6F4C7362"/>
    <w:multiLevelType w:val="hybridMultilevel"/>
    <w:tmpl w:val="9C969582"/>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02">
    <w:nsid w:val="6F6248EA"/>
    <w:multiLevelType w:val="hybridMultilevel"/>
    <w:tmpl w:val="A4FAADBE"/>
    <w:lvl w:ilvl="0" w:tplc="D6E0D4EE">
      <w:start w:val="1"/>
      <w:numFmt w:val="lowerLetter"/>
      <w:lvlText w:val="(%1)"/>
      <w:lvlJc w:val="left"/>
      <w:pPr>
        <w:ind w:left="2138" w:hanging="360"/>
      </w:pPr>
      <w:rPr>
        <w:rFonts w:ascii="Arial" w:hAnsi="Arial" w:cs="Arial"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03">
    <w:nsid w:val="6F8221F3"/>
    <w:multiLevelType w:val="multilevel"/>
    <w:tmpl w:val="1E16AF04"/>
    <w:lvl w:ilvl="0">
      <w:start w:val="6"/>
      <w:numFmt w:val="decimal"/>
      <w:lvlText w:val="%1."/>
      <w:lvlJc w:val="left"/>
      <w:pPr>
        <w:ind w:left="720" w:hanging="360"/>
      </w:pPr>
      <w:rPr>
        <w:rFonts w:hint="default"/>
        <w:b/>
        <w:color w:val="auto"/>
      </w:rPr>
    </w:lvl>
    <w:lvl w:ilvl="1">
      <w:start w:val="1"/>
      <w:numFmt w:val="decimal"/>
      <w:lvlText w:val="6.%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4">
    <w:nsid w:val="6FB11FD8"/>
    <w:multiLevelType w:val="hybridMultilevel"/>
    <w:tmpl w:val="A1C6CF68"/>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nsid w:val="6FB542AD"/>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6">
    <w:nsid w:val="70122323"/>
    <w:multiLevelType w:val="hybridMultilevel"/>
    <w:tmpl w:val="23EC5C40"/>
    <w:lvl w:ilvl="0" w:tplc="1B5E5F16">
      <w:start w:val="1"/>
      <w:numFmt w:val="lowerRoman"/>
      <w:lvlText w:val="(%1)"/>
      <w:lvlJc w:val="left"/>
      <w:pPr>
        <w:ind w:left="2720" w:hanging="360"/>
      </w:pPr>
      <w:rPr>
        <w:rFonts w:hint="default"/>
      </w:rPr>
    </w:lvl>
    <w:lvl w:ilvl="1" w:tplc="04090019" w:tentative="1">
      <w:start w:val="1"/>
      <w:numFmt w:val="lowerLetter"/>
      <w:lvlText w:val="%2."/>
      <w:lvlJc w:val="left"/>
      <w:pPr>
        <w:ind w:left="3440" w:hanging="360"/>
      </w:pPr>
    </w:lvl>
    <w:lvl w:ilvl="2" w:tplc="0409001B" w:tentative="1">
      <w:start w:val="1"/>
      <w:numFmt w:val="lowerRoman"/>
      <w:lvlText w:val="%3."/>
      <w:lvlJc w:val="right"/>
      <w:pPr>
        <w:ind w:left="4160" w:hanging="180"/>
      </w:pPr>
    </w:lvl>
    <w:lvl w:ilvl="3" w:tplc="0409000F" w:tentative="1">
      <w:start w:val="1"/>
      <w:numFmt w:val="decimal"/>
      <w:lvlText w:val="%4."/>
      <w:lvlJc w:val="left"/>
      <w:pPr>
        <w:ind w:left="4880" w:hanging="360"/>
      </w:pPr>
    </w:lvl>
    <w:lvl w:ilvl="4" w:tplc="04090019" w:tentative="1">
      <w:start w:val="1"/>
      <w:numFmt w:val="lowerLetter"/>
      <w:lvlText w:val="%5."/>
      <w:lvlJc w:val="left"/>
      <w:pPr>
        <w:ind w:left="5600" w:hanging="360"/>
      </w:pPr>
    </w:lvl>
    <w:lvl w:ilvl="5" w:tplc="0409001B" w:tentative="1">
      <w:start w:val="1"/>
      <w:numFmt w:val="lowerRoman"/>
      <w:lvlText w:val="%6."/>
      <w:lvlJc w:val="right"/>
      <w:pPr>
        <w:ind w:left="6320" w:hanging="180"/>
      </w:pPr>
    </w:lvl>
    <w:lvl w:ilvl="6" w:tplc="0409000F" w:tentative="1">
      <w:start w:val="1"/>
      <w:numFmt w:val="decimal"/>
      <w:lvlText w:val="%7."/>
      <w:lvlJc w:val="left"/>
      <w:pPr>
        <w:ind w:left="7040" w:hanging="360"/>
      </w:pPr>
    </w:lvl>
    <w:lvl w:ilvl="7" w:tplc="04090019" w:tentative="1">
      <w:start w:val="1"/>
      <w:numFmt w:val="lowerLetter"/>
      <w:lvlText w:val="%8."/>
      <w:lvlJc w:val="left"/>
      <w:pPr>
        <w:ind w:left="7760" w:hanging="360"/>
      </w:pPr>
    </w:lvl>
    <w:lvl w:ilvl="8" w:tplc="0409001B" w:tentative="1">
      <w:start w:val="1"/>
      <w:numFmt w:val="lowerRoman"/>
      <w:lvlText w:val="%9."/>
      <w:lvlJc w:val="right"/>
      <w:pPr>
        <w:ind w:left="8480" w:hanging="180"/>
      </w:pPr>
    </w:lvl>
  </w:abstractNum>
  <w:abstractNum w:abstractNumId="507">
    <w:nsid w:val="70B76FFB"/>
    <w:multiLevelType w:val="hybridMultilevel"/>
    <w:tmpl w:val="34866C86"/>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70C74092"/>
    <w:multiLevelType w:val="hybridMultilevel"/>
    <w:tmpl w:val="E1D2EEA2"/>
    <w:lvl w:ilvl="0" w:tplc="77A6A900">
      <w:start w:val="2"/>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nsid w:val="71077980"/>
    <w:multiLevelType w:val="hybridMultilevel"/>
    <w:tmpl w:val="F9167502"/>
    <w:lvl w:ilvl="0" w:tplc="E9D88B9A">
      <w:start w:val="1"/>
      <w:numFmt w:val="lowerRoman"/>
      <w:lvlText w:val="(%1)"/>
      <w:lvlJc w:val="righ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10">
    <w:nsid w:val="714B0C37"/>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1">
    <w:nsid w:val="71504CCB"/>
    <w:multiLevelType w:val="hybridMultilevel"/>
    <w:tmpl w:val="7C1E1F10"/>
    <w:lvl w:ilvl="0" w:tplc="12F0D678">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12">
    <w:nsid w:val="71535B58"/>
    <w:multiLevelType w:val="hybridMultilevel"/>
    <w:tmpl w:val="25B60BCA"/>
    <w:lvl w:ilvl="0" w:tplc="96C0D9F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716A40A3"/>
    <w:multiLevelType w:val="hybridMultilevel"/>
    <w:tmpl w:val="E1AAFB74"/>
    <w:lvl w:ilvl="0" w:tplc="040E0017">
      <w:start w:val="1"/>
      <w:numFmt w:val="lowerLetter"/>
      <w:lvlText w:val="%1)"/>
      <w:lvlJc w:val="left"/>
      <w:pPr>
        <w:ind w:left="360" w:hanging="360"/>
      </w:pPr>
      <w:rPr>
        <w:rFont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14">
    <w:nsid w:val="71CF50A4"/>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5">
    <w:nsid w:val="724B01BB"/>
    <w:multiLevelType w:val="hybridMultilevel"/>
    <w:tmpl w:val="4558A528"/>
    <w:lvl w:ilvl="0" w:tplc="63088350">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16">
    <w:nsid w:val="724B7FF5"/>
    <w:multiLevelType w:val="hybridMultilevel"/>
    <w:tmpl w:val="6A50033E"/>
    <w:lvl w:ilvl="0" w:tplc="97F6301C">
      <w:start w:val="1"/>
      <w:numFmt w:val="lowerLetter"/>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nsid w:val="727669C2"/>
    <w:multiLevelType w:val="hybridMultilevel"/>
    <w:tmpl w:val="191CABFC"/>
    <w:lvl w:ilvl="0" w:tplc="5D2027C8">
      <w:start w:val="1"/>
      <w:numFmt w:val="lowerLetter"/>
      <w:lvlText w:val="(%1)"/>
      <w:lvlJc w:val="left"/>
      <w:pPr>
        <w:ind w:left="2458" w:hanging="360"/>
      </w:pPr>
      <w:rPr>
        <w:rFonts w:cs="Times New Roman" w:hint="default"/>
      </w:rPr>
    </w:lvl>
    <w:lvl w:ilvl="1" w:tplc="04090019" w:tentative="1">
      <w:start w:val="1"/>
      <w:numFmt w:val="lowerLetter"/>
      <w:lvlText w:val="%2."/>
      <w:lvlJc w:val="left"/>
      <w:pPr>
        <w:ind w:left="3178" w:hanging="360"/>
      </w:pPr>
    </w:lvl>
    <w:lvl w:ilvl="2" w:tplc="0409001B" w:tentative="1">
      <w:start w:val="1"/>
      <w:numFmt w:val="lowerRoman"/>
      <w:lvlText w:val="%3."/>
      <w:lvlJc w:val="right"/>
      <w:pPr>
        <w:ind w:left="3898" w:hanging="180"/>
      </w:pPr>
    </w:lvl>
    <w:lvl w:ilvl="3" w:tplc="0409000F" w:tentative="1">
      <w:start w:val="1"/>
      <w:numFmt w:val="decimal"/>
      <w:lvlText w:val="%4."/>
      <w:lvlJc w:val="left"/>
      <w:pPr>
        <w:ind w:left="4618" w:hanging="360"/>
      </w:pPr>
    </w:lvl>
    <w:lvl w:ilvl="4" w:tplc="04090019" w:tentative="1">
      <w:start w:val="1"/>
      <w:numFmt w:val="lowerLetter"/>
      <w:lvlText w:val="%5."/>
      <w:lvlJc w:val="left"/>
      <w:pPr>
        <w:ind w:left="5338" w:hanging="360"/>
      </w:pPr>
    </w:lvl>
    <w:lvl w:ilvl="5" w:tplc="0409001B" w:tentative="1">
      <w:start w:val="1"/>
      <w:numFmt w:val="lowerRoman"/>
      <w:lvlText w:val="%6."/>
      <w:lvlJc w:val="right"/>
      <w:pPr>
        <w:ind w:left="6058" w:hanging="180"/>
      </w:pPr>
    </w:lvl>
    <w:lvl w:ilvl="6" w:tplc="0409000F" w:tentative="1">
      <w:start w:val="1"/>
      <w:numFmt w:val="decimal"/>
      <w:lvlText w:val="%7."/>
      <w:lvlJc w:val="left"/>
      <w:pPr>
        <w:ind w:left="6778" w:hanging="360"/>
      </w:pPr>
    </w:lvl>
    <w:lvl w:ilvl="7" w:tplc="04090019" w:tentative="1">
      <w:start w:val="1"/>
      <w:numFmt w:val="lowerLetter"/>
      <w:lvlText w:val="%8."/>
      <w:lvlJc w:val="left"/>
      <w:pPr>
        <w:ind w:left="7498" w:hanging="360"/>
      </w:pPr>
    </w:lvl>
    <w:lvl w:ilvl="8" w:tplc="0409001B" w:tentative="1">
      <w:start w:val="1"/>
      <w:numFmt w:val="lowerRoman"/>
      <w:lvlText w:val="%9."/>
      <w:lvlJc w:val="right"/>
      <w:pPr>
        <w:ind w:left="8218" w:hanging="180"/>
      </w:pPr>
    </w:lvl>
  </w:abstractNum>
  <w:abstractNum w:abstractNumId="518">
    <w:nsid w:val="729E5AB9"/>
    <w:multiLevelType w:val="hybridMultilevel"/>
    <w:tmpl w:val="895AA176"/>
    <w:lvl w:ilvl="0" w:tplc="12F0D678">
      <w:start w:val="1"/>
      <w:numFmt w:val="lowerLetter"/>
      <w:lvlText w:val="(%1)"/>
      <w:lvlJc w:val="lef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19">
    <w:nsid w:val="72B56737"/>
    <w:multiLevelType w:val="hybridMultilevel"/>
    <w:tmpl w:val="77F0A192"/>
    <w:lvl w:ilvl="0" w:tplc="F6BE87C2">
      <w:start w:val="1"/>
      <w:numFmt w:val="lowerRoman"/>
      <w:lvlText w:val="(%1)"/>
      <w:lvlJc w:val="left"/>
      <w:pPr>
        <w:ind w:left="1770" w:hanging="360"/>
      </w:pPr>
      <w:rPr>
        <w:rFonts w:hint="default"/>
        <w:b w:val="0"/>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520">
    <w:nsid w:val="72BB4554"/>
    <w:multiLevelType w:val="multilevel"/>
    <w:tmpl w:val="C0620C7A"/>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1">
    <w:nsid w:val="72F90188"/>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2">
    <w:nsid w:val="73182574"/>
    <w:multiLevelType w:val="multilevel"/>
    <w:tmpl w:val="A254F07E"/>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3">
    <w:nsid w:val="7344487F"/>
    <w:multiLevelType w:val="hybridMultilevel"/>
    <w:tmpl w:val="D76CFF64"/>
    <w:lvl w:ilvl="0" w:tplc="12F0D678">
      <w:start w:val="1"/>
      <w:numFmt w:val="lowerLetter"/>
      <w:lvlText w:val="(%1)"/>
      <w:lvlJc w:val="left"/>
      <w:pPr>
        <w:ind w:left="1177" w:hanging="360"/>
      </w:pPr>
      <w:rPr>
        <w:rFonts w:hint="default"/>
      </w:rPr>
    </w:lvl>
    <w:lvl w:ilvl="1" w:tplc="04090019" w:tentative="1">
      <w:start w:val="1"/>
      <w:numFmt w:val="lowerLetter"/>
      <w:lvlText w:val="%2."/>
      <w:lvlJc w:val="left"/>
      <w:pPr>
        <w:ind w:left="1897" w:hanging="360"/>
      </w:pPr>
    </w:lvl>
    <w:lvl w:ilvl="2" w:tplc="0409001B" w:tentative="1">
      <w:start w:val="1"/>
      <w:numFmt w:val="lowerRoman"/>
      <w:lvlText w:val="%3."/>
      <w:lvlJc w:val="right"/>
      <w:pPr>
        <w:ind w:left="2617" w:hanging="180"/>
      </w:pPr>
    </w:lvl>
    <w:lvl w:ilvl="3" w:tplc="0409000F" w:tentative="1">
      <w:start w:val="1"/>
      <w:numFmt w:val="decimal"/>
      <w:lvlText w:val="%4."/>
      <w:lvlJc w:val="left"/>
      <w:pPr>
        <w:ind w:left="3337" w:hanging="360"/>
      </w:pPr>
    </w:lvl>
    <w:lvl w:ilvl="4" w:tplc="04090019" w:tentative="1">
      <w:start w:val="1"/>
      <w:numFmt w:val="lowerLetter"/>
      <w:lvlText w:val="%5."/>
      <w:lvlJc w:val="left"/>
      <w:pPr>
        <w:ind w:left="4057" w:hanging="360"/>
      </w:pPr>
    </w:lvl>
    <w:lvl w:ilvl="5" w:tplc="0409001B" w:tentative="1">
      <w:start w:val="1"/>
      <w:numFmt w:val="lowerRoman"/>
      <w:lvlText w:val="%6."/>
      <w:lvlJc w:val="right"/>
      <w:pPr>
        <w:ind w:left="4777" w:hanging="180"/>
      </w:pPr>
    </w:lvl>
    <w:lvl w:ilvl="6" w:tplc="0409000F" w:tentative="1">
      <w:start w:val="1"/>
      <w:numFmt w:val="decimal"/>
      <w:lvlText w:val="%7."/>
      <w:lvlJc w:val="left"/>
      <w:pPr>
        <w:ind w:left="5497" w:hanging="360"/>
      </w:pPr>
    </w:lvl>
    <w:lvl w:ilvl="7" w:tplc="04090019" w:tentative="1">
      <w:start w:val="1"/>
      <w:numFmt w:val="lowerLetter"/>
      <w:lvlText w:val="%8."/>
      <w:lvlJc w:val="left"/>
      <w:pPr>
        <w:ind w:left="6217" w:hanging="360"/>
      </w:pPr>
    </w:lvl>
    <w:lvl w:ilvl="8" w:tplc="0409001B" w:tentative="1">
      <w:start w:val="1"/>
      <w:numFmt w:val="lowerRoman"/>
      <w:lvlText w:val="%9."/>
      <w:lvlJc w:val="right"/>
      <w:pPr>
        <w:ind w:left="6937" w:hanging="180"/>
      </w:pPr>
    </w:lvl>
  </w:abstractNum>
  <w:abstractNum w:abstractNumId="524">
    <w:nsid w:val="73C75D35"/>
    <w:multiLevelType w:val="hybridMultilevel"/>
    <w:tmpl w:val="898064C2"/>
    <w:lvl w:ilvl="0" w:tplc="16761706">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25">
    <w:nsid w:val="75186A17"/>
    <w:multiLevelType w:val="hybridMultilevel"/>
    <w:tmpl w:val="18F036FC"/>
    <w:lvl w:ilvl="0" w:tplc="8154FD50">
      <w:start w:val="1"/>
      <w:numFmt w:val="decimal"/>
      <w:lvlText w:val="31.%1"/>
      <w:lvlJc w:val="left"/>
      <w:pPr>
        <w:ind w:left="720" w:hanging="360"/>
      </w:pPr>
      <w:rPr>
        <w:rFonts w:ascii="Arial" w:hAnsi="Arial" w:cs="Arial" w:hint="default"/>
        <w:b/>
        <w:color w:val="000000" w:themeColor="text1"/>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nsid w:val="751F64A7"/>
    <w:multiLevelType w:val="hybridMultilevel"/>
    <w:tmpl w:val="68949430"/>
    <w:lvl w:ilvl="0" w:tplc="E53AA358">
      <w:start w:val="1"/>
      <w:numFmt w:val="decimal"/>
      <w:lvlText w:val="11.%1"/>
      <w:lvlJc w:val="left"/>
      <w:pPr>
        <w:ind w:left="1122" w:hanging="360"/>
      </w:pPr>
      <w:rPr>
        <w:rFonts w:hint="default"/>
        <w:b w:val="0"/>
      </w:r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527">
    <w:nsid w:val="75254B3B"/>
    <w:multiLevelType w:val="hybridMultilevel"/>
    <w:tmpl w:val="1CB250FA"/>
    <w:lvl w:ilvl="0" w:tplc="11986F30">
      <w:start w:val="1"/>
      <w:numFmt w:val="decimal"/>
      <w:lvlText w:val="16.%1."/>
      <w:lvlJc w:val="left"/>
      <w:pPr>
        <w:ind w:left="2160" w:hanging="360"/>
      </w:pPr>
      <w:rPr>
        <w:rFonts w:ascii="Arial" w:hAnsi="Arial" w:cs="Arial" w:hint="default"/>
        <w:b/>
        <w:i w:val="0"/>
        <w:color w:val="auto"/>
        <w:sz w:val="21"/>
        <w:szCs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8">
    <w:nsid w:val="753D0781"/>
    <w:multiLevelType w:val="multilevel"/>
    <w:tmpl w:val="6A1C0D54"/>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29">
    <w:nsid w:val="75952B3B"/>
    <w:multiLevelType w:val="multilevel"/>
    <w:tmpl w:val="F51E2674"/>
    <w:lvl w:ilvl="0">
      <w:start w:val="1"/>
      <w:numFmt w:val="decimal"/>
      <w:lvlText w:val="%1."/>
      <w:lvlJc w:val="left"/>
      <w:pPr>
        <w:ind w:left="1429" w:hanging="360"/>
      </w:pPr>
      <w:rPr>
        <w:b w:val="0"/>
      </w:rPr>
    </w:lvl>
    <w:lvl w:ilvl="1">
      <w:start w:val="1"/>
      <w:numFmt w:val="decimal"/>
      <w:isLgl/>
      <w:lvlText w:val="%1.%2."/>
      <w:lvlJc w:val="left"/>
      <w:pPr>
        <w:ind w:left="1782" w:hanging="360"/>
      </w:pPr>
      <w:rPr>
        <w:rFonts w:hint="default"/>
      </w:rPr>
    </w:lvl>
    <w:lvl w:ilvl="2">
      <w:start w:val="1"/>
      <w:numFmt w:val="decimal"/>
      <w:isLgl/>
      <w:lvlText w:val="%1.%2.%3."/>
      <w:lvlJc w:val="left"/>
      <w:pPr>
        <w:ind w:left="2495" w:hanging="720"/>
      </w:pPr>
      <w:rPr>
        <w:rFonts w:ascii="Arial" w:hAnsi="Arial" w:cs="Arial" w:hint="default"/>
        <w:sz w:val="21"/>
        <w:szCs w:val="21"/>
      </w:rPr>
    </w:lvl>
    <w:lvl w:ilvl="3">
      <w:start w:val="1"/>
      <w:numFmt w:val="decimal"/>
      <w:isLgl/>
      <w:lvlText w:val="%1.%2.%3.%4."/>
      <w:lvlJc w:val="left"/>
      <w:pPr>
        <w:ind w:left="2848" w:hanging="720"/>
      </w:pPr>
      <w:rPr>
        <w:rFonts w:hint="default"/>
        <w:b w:val="0"/>
      </w:rPr>
    </w:lvl>
    <w:lvl w:ilvl="4">
      <w:start w:val="1"/>
      <w:numFmt w:val="decimal"/>
      <w:isLgl/>
      <w:lvlText w:val="%1.%2.%3.%4.%5."/>
      <w:lvlJc w:val="left"/>
      <w:pPr>
        <w:ind w:left="3561" w:hanging="1080"/>
      </w:pPr>
      <w:rPr>
        <w:rFonts w:hint="default"/>
      </w:rPr>
    </w:lvl>
    <w:lvl w:ilvl="5">
      <w:start w:val="1"/>
      <w:numFmt w:val="decimal"/>
      <w:isLgl/>
      <w:lvlText w:val="%1.%2.%3.%4.%5.%6."/>
      <w:lvlJc w:val="left"/>
      <w:pPr>
        <w:ind w:left="3914" w:hanging="1080"/>
      </w:pPr>
      <w:rPr>
        <w:rFonts w:hint="default"/>
      </w:rPr>
    </w:lvl>
    <w:lvl w:ilvl="6">
      <w:start w:val="1"/>
      <w:numFmt w:val="decimal"/>
      <w:isLgl/>
      <w:lvlText w:val="%1.%2.%3.%4.%5.%6.%7."/>
      <w:lvlJc w:val="left"/>
      <w:pPr>
        <w:ind w:left="4627" w:hanging="1440"/>
      </w:pPr>
      <w:rPr>
        <w:rFonts w:hint="default"/>
      </w:rPr>
    </w:lvl>
    <w:lvl w:ilvl="7">
      <w:start w:val="1"/>
      <w:numFmt w:val="decimal"/>
      <w:isLgl/>
      <w:lvlText w:val="%1.%2.%3.%4.%5.%6.%7.%8."/>
      <w:lvlJc w:val="left"/>
      <w:pPr>
        <w:ind w:left="4980" w:hanging="1440"/>
      </w:pPr>
      <w:rPr>
        <w:rFonts w:hint="default"/>
      </w:rPr>
    </w:lvl>
    <w:lvl w:ilvl="8">
      <w:start w:val="1"/>
      <w:numFmt w:val="decimal"/>
      <w:isLgl/>
      <w:lvlText w:val="%1.%2.%3.%4.%5.%6.%7.%8.%9."/>
      <w:lvlJc w:val="left"/>
      <w:pPr>
        <w:ind w:left="5693" w:hanging="1800"/>
      </w:pPr>
      <w:rPr>
        <w:rFonts w:hint="default"/>
      </w:rPr>
    </w:lvl>
  </w:abstractNum>
  <w:abstractNum w:abstractNumId="530">
    <w:nsid w:val="765973EE"/>
    <w:multiLevelType w:val="multilevel"/>
    <w:tmpl w:val="A23A2DF8"/>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1">
    <w:nsid w:val="766A1028"/>
    <w:multiLevelType w:val="multilevel"/>
    <w:tmpl w:val="528424E8"/>
    <w:lvl w:ilvl="0">
      <w:start w:val="4"/>
      <w:numFmt w:val="decimal"/>
      <w:lvlText w:val="%1."/>
      <w:lvlJc w:val="left"/>
      <w:pPr>
        <w:ind w:left="720" w:hanging="360"/>
      </w:pPr>
      <w:rPr>
        <w:rFonts w:hint="default"/>
        <w:b/>
        <w:color w:val="auto"/>
      </w:rPr>
    </w:lvl>
    <w:lvl w:ilvl="1">
      <w:start w:val="1"/>
      <w:numFmt w:val="decimal"/>
      <w:isLgl/>
      <w:lvlText w:val="%1.%2."/>
      <w:lvlJc w:val="left"/>
      <w:pPr>
        <w:ind w:left="720" w:hanging="36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2">
    <w:nsid w:val="76BD6FB2"/>
    <w:multiLevelType w:val="hybridMultilevel"/>
    <w:tmpl w:val="8018BD3C"/>
    <w:lvl w:ilvl="0" w:tplc="D6E0D4EE">
      <w:start w:val="1"/>
      <w:numFmt w:val="lowerLetter"/>
      <w:lvlText w:val="(%1)"/>
      <w:lvlJc w:val="left"/>
      <w:pPr>
        <w:ind w:left="1429" w:hanging="360"/>
      </w:pPr>
      <w:rPr>
        <w:rFonts w:ascii="Arial" w:hAnsi="Arial" w:cs="Arial"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33">
    <w:nsid w:val="76D63BA0"/>
    <w:multiLevelType w:val="multilevel"/>
    <w:tmpl w:val="E5A46A28"/>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4">
    <w:nsid w:val="77292BAE"/>
    <w:multiLevelType w:val="multilevel"/>
    <w:tmpl w:val="456CC588"/>
    <w:lvl w:ilvl="0">
      <w:start w:val="6"/>
      <w:numFmt w:val="decimal"/>
      <w:lvlText w:val="%1."/>
      <w:lvlJc w:val="left"/>
      <w:pPr>
        <w:ind w:left="720" w:hanging="360"/>
      </w:pPr>
      <w:rPr>
        <w:rFonts w:hint="default"/>
        <w:b/>
        <w:color w:val="auto"/>
      </w:rPr>
    </w:lvl>
    <w:lvl w:ilvl="1">
      <w:start w:val="1"/>
      <w:numFmt w:val="decimal"/>
      <w:lvlText w:val="5.%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5">
    <w:nsid w:val="7743293C"/>
    <w:multiLevelType w:val="multilevel"/>
    <w:tmpl w:val="214E34DC"/>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6">
    <w:nsid w:val="774D289C"/>
    <w:multiLevelType w:val="multilevel"/>
    <w:tmpl w:val="7228E572"/>
    <w:lvl w:ilvl="0">
      <w:start w:val="14"/>
      <w:numFmt w:val="decimal"/>
      <w:lvlText w:val="%1."/>
      <w:lvlJc w:val="left"/>
      <w:pPr>
        <w:ind w:left="360" w:hanging="360"/>
      </w:pPr>
      <w:rPr>
        <w:rFonts w:hint="default"/>
      </w:rPr>
    </w:lvl>
    <w:lvl w:ilvl="1">
      <w:start w:val="1"/>
      <w:numFmt w:val="decimal"/>
      <w:lvlText w:val="%1.%2."/>
      <w:lvlJc w:val="left"/>
      <w:pPr>
        <w:ind w:left="4671" w:hanging="360"/>
      </w:pPr>
      <w:rPr>
        <w:rFonts w:hint="default"/>
        <w:b w:val="0"/>
      </w:rPr>
    </w:lvl>
    <w:lvl w:ilvl="2">
      <w:start w:val="1"/>
      <w:numFmt w:val="decimal"/>
      <w:lvlText w:val="%1.%2.%3."/>
      <w:lvlJc w:val="left"/>
      <w:pPr>
        <w:ind w:left="9342" w:hanging="720"/>
      </w:pPr>
      <w:rPr>
        <w:rFonts w:hint="default"/>
      </w:rPr>
    </w:lvl>
    <w:lvl w:ilvl="3">
      <w:start w:val="1"/>
      <w:numFmt w:val="decimal"/>
      <w:lvlText w:val="%1.%2.%3.%4."/>
      <w:lvlJc w:val="left"/>
      <w:pPr>
        <w:ind w:left="13653" w:hanging="720"/>
      </w:pPr>
      <w:rPr>
        <w:rFonts w:hint="default"/>
      </w:rPr>
    </w:lvl>
    <w:lvl w:ilvl="4">
      <w:start w:val="1"/>
      <w:numFmt w:val="decimal"/>
      <w:lvlText w:val="%1.%2.%3.%4.%5."/>
      <w:lvlJc w:val="left"/>
      <w:pPr>
        <w:ind w:left="18324" w:hanging="1080"/>
      </w:pPr>
      <w:rPr>
        <w:rFonts w:hint="default"/>
      </w:rPr>
    </w:lvl>
    <w:lvl w:ilvl="5">
      <w:start w:val="1"/>
      <w:numFmt w:val="decimal"/>
      <w:lvlText w:val="%1.%2.%3.%4.%5.%6."/>
      <w:lvlJc w:val="left"/>
      <w:pPr>
        <w:ind w:left="22635" w:hanging="1080"/>
      </w:pPr>
      <w:rPr>
        <w:rFonts w:hint="default"/>
      </w:rPr>
    </w:lvl>
    <w:lvl w:ilvl="6">
      <w:start w:val="1"/>
      <w:numFmt w:val="decimal"/>
      <w:lvlText w:val="%1.%2.%3.%4.%5.%6.%7."/>
      <w:lvlJc w:val="left"/>
      <w:pPr>
        <w:ind w:left="27306" w:hanging="1440"/>
      </w:pPr>
      <w:rPr>
        <w:rFonts w:hint="default"/>
      </w:rPr>
    </w:lvl>
    <w:lvl w:ilvl="7">
      <w:start w:val="1"/>
      <w:numFmt w:val="decimal"/>
      <w:lvlText w:val="%1.%2.%3.%4.%5.%6.%7.%8."/>
      <w:lvlJc w:val="left"/>
      <w:pPr>
        <w:ind w:left="31617" w:hanging="1440"/>
      </w:pPr>
      <w:rPr>
        <w:rFonts w:hint="default"/>
      </w:rPr>
    </w:lvl>
    <w:lvl w:ilvl="8">
      <w:start w:val="1"/>
      <w:numFmt w:val="decimal"/>
      <w:lvlText w:val="%1.%2.%3.%4.%5.%6.%7.%8.%9."/>
      <w:lvlJc w:val="left"/>
      <w:pPr>
        <w:ind w:left="-29248" w:hanging="1800"/>
      </w:pPr>
      <w:rPr>
        <w:rFonts w:hint="default"/>
      </w:rPr>
    </w:lvl>
  </w:abstractNum>
  <w:abstractNum w:abstractNumId="537">
    <w:nsid w:val="774F72F7"/>
    <w:multiLevelType w:val="hybridMultilevel"/>
    <w:tmpl w:val="5BF8C202"/>
    <w:lvl w:ilvl="0" w:tplc="56F0B12C">
      <w:start w:val="1"/>
      <w:numFmt w:val="decimal"/>
      <w:lvlText w:val="25.%1."/>
      <w:lvlJc w:val="left"/>
      <w:pPr>
        <w:ind w:left="2160" w:hanging="360"/>
      </w:pPr>
      <w:rPr>
        <w:rFonts w:hint="default"/>
        <w:b/>
        <w:i w:val="0"/>
        <w:color w:val="000000" w:themeColor="text1"/>
        <w:sz w:val="21"/>
        <w:szCs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8">
    <w:nsid w:val="77501375"/>
    <w:multiLevelType w:val="hybridMultilevel"/>
    <w:tmpl w:val="275C3C66"/>
    <w:lvl w:ilvl="0" w:tplc="12F0D678">
      <w:start w:val="1"/>
      <w:numFmt w:val="lowerLetter"/>
      <w:lvlText w:val="(%1)"/>
      <w:lvlJc w:val="left"/>
      <w:pPr>
        <w:ind w:left="2450" w:hanging="360"/>
      </w:pPr>
      <w:rPr>
        <w:rFonts w:hint="default"/>
      </w:rPr>
    </w:lvl>
    <w:lvl w:ilvl="1" w:tplc="04090019" w:tentative="1">
      <w:start w:val="1"/>
      <w:numFmt w:val="lowerLetter"/>
      <w:lvlText w:val="%2."/>
      <w:lvlJc w:val="left"/>
      <w:pPr>
        <w:ind w:left="3170" w:hanging="360"/>
      </w:pPr>
    </w:lvl>
    <w:lvl w:ilvl="2" w:tplc="0409001B" w:tentative="1">
      <w:start w:val="1"/>
      <w:numFmt w:val="lowerRoman"/>
      <w:lvlText w:val="%3."/>
      <w:lvlJc w:val="right"/>
      <w:pPr>
        <w:ind w:left="3890" w:hanging="180"/>
      </w:pPr>
    </w:lvl>
    <w:lvl w:ilvl="3" w:tplc="0409000F" w:tentative="1">
      <w:start w:val="1"/>
      <w:numFmt w:val="decimal"/>
      <w:lvlText w:val="%4."/>
      <w:lvlJc w:val="left"/>
      <w:pPr>
        <w:ind w:left="4610" w:hanging="360"/>
      </w:pPr>
    </w:lvl>
    <w:lvl w:ilvl="4" w:tplc="04090019" w:tentative="1">
      <w:start w:val="1"/>
      <w:numFmt w:val="lowerLetter"/>
      <w:lvlText w:val="%5."/>
      <w:lvlJc w:val="left"/>
      <w:pPr>
        <w:ind w:left="5330" w:hanging="360"/>
      </w:pPr>
    </w:lvl>
    <w:lvl w:ilvl="5" w:tplc="0409001B" w:tentative="1">
      <w:start w:val="1"/>
      <w:numFmt w:val="lowerRoman"/>
      <w:lvlText w:val="%6."/>
      <w:lvlJc w:val="right"/>
      <w:pPr>
        <w:ind w:left="6050" w:hanging="180"/>
      </w:pPr>
    </w:lvl>
    <w:lvl w:ilvl="6" w:tplc="0409000F" w:tentative="1">
      <w:start w:val="1"/>
      <w:numFmt w:val="decimal"/>
      <w:lvlText w:val="%7."/>
      <w:lvlJc w:val="left"/>
      <w:pPr>
        <w:ind w:left="6770" w:hanging="360"/>
      </w:pPr>
    </w:lvl>
    <w:lvl w:ilvl="7" w:tplc="04090019" w:tentative="1">
      <w:start w:val="1"/>
      <w:numFmt w:val="lowerLetter"/>
      <w:lvlText w:val="%8."/>
      <w:lvlJc w:val="left"/>
      <w:pPr>
        <w:ind w:left="7490" w:hanging="360"/>
      </w:pPr>
    </w:lvl>
    <w:lvl w:ilvl="8" w:tplc="0409001B" w:tentative="1">
      <w:start w:val="1"/>
      <w:numFmt w:val="lowerRoman"/>
      <w:lvlText w:val="%9."/>
      <w:lvlJc w:val="right"/>
      <w:pPr>
        <w:ind w:left="8210" w:hanging="180"/>
      </w:pPr>
    </w:lvl>
  </w:abstractNum>
  <w:abstractNum w:abstractNumId="539">
    <w:nsid w:val="77791F64"/>
    <w:multiLevelType w:val="multilevel"/>
    <w:tmpl w:val="EFF41862"/>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3"/>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0">
    <w:nsid w:val="77B817A7"/>
    <w:multiLevelType w:val="multilevel"/>
    <w:tmpl w:val="C068DB68"/>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4"/>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1">
    <w:nsid w:val="78064DA4"/>
    <w:multiLevelType w:val="hybridMultilevel"/>
    <w:tmpl w:val="3CCCB270"/>
    <w:lvl w:ilvl="0" w:tplc="768A13DC">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42">
    <w:nsid w:val="78454329"/>
    <w:multiLevelType w:val="multilevel"/>
    <w:tmpl w:val="C734D424"/>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3">
    <w:nsid w:val="7854701A"/>
    <w:multiLevelType w:val="multilevel"/>
    <w:tmpl w:val="D2AEFE22"/>
    <w:lvl w:ilvl="0">
      <w:start w:val="11"/>
      <w:numFmt w:val="decimal"/>
      <w:lvlText w:val="%1."/>
      <w:lvlJc w:val="left"/>
      <w:pPr>
        <w:tabs>
          <w:tab w:val="num" w:pos="889"/>
        </w:tabs>
        <w:ind w:left="889" w:hanging="709"/>
      </w:pPr>
      <w:rPr>
        <w:rFonts w:ascii="Arial" w:hAnsi="Arial" w:cs="Arial" w:hint="default"/>
        <w:b w:val="0"/>
      </w:rPr>
    </w:lvl>
    <w:lvl w:ilvl="1">
      <w:start w:val="9"/>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ascii="Arial" w:hAnsi="Arial" w:cs="Arial" w:hint="default"/>
        <w:b w:val="0"/>
        <w:i w:val="0"/>
        <w:color w:val="auto"/>
        <w:sz w:val="21"/>
        <w:szCs w:val="21"/>
      </w:rPr>
    </w:lvl>
    <w:lvl w:ilvl="3">
      <w:start w:val="3"/>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4">
    <w:nsid w:val="78C90C1F"/>
    <w:multiLevelType w:val="hybridMultilevel"/>
    <w:tmpl w:val="77F0A192"/>
    <w:lvl w:ilvl="0" w:tplc="F6BE87C2">
      <w:start w:val="1"/>
      <w:numFmt w:val="lowerRoman"/>
      <w:lvlText w:val="(%1)"/>
      <w:lvlJc w:val="left"/>
      <w:pPr>
        <w:ind w:left="1770" w:hanging="360"/>
      </w:pPr>
      <w:rPr>
        <w:rFonts w:hint="default"/>
        <w:b w:val="0"/>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545">
    <w:nsid w:val="796C6A15"/>
    <w:multiLevelType w:val="hybridMultilevel"/>
    <w:tmpl w:val="690A4012"/>
    <w:lvl w:ilvl="0" w:tplc="5DA274C6">
      <w:start w:val="1"/>
      <w:numFmt w:val="decimal"/>
      <w:lvlText w:val="(%1)"/>
      <w:lvlJc w:val="left"/>
      <w:pPr>
        <w:ind w:left="720" w:hanging="360"/>
      </w:pPr>
      <w:rPr>
        <w:rFonts w:ascii="Arial" w:eastAsia="Arial" w:hAnsi="Arial" w:cs="Arial" w:hint="default"/>
        <w:spacing w:val="-1"/>
        <w:w w:val="100"/>
        <w:sz w:val="21"/>
        <w:szCs w:val="21"/>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nsid w:val="7997736C"/>
    <w:multiLevelType w:val="hybridMultilevel"/>
    <w:tmpl w:val="7B18E30A"/>
    <w:lvl w:ilvl="0" w:tplc="98A47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nsid w:val="79AC0D04"/>
    <w:multiLevelType w:val="multilevel"/>
    <w:tmpl w:val="1DD62236"/>
    <w:lvl w:ilvl="0">
      <w:start w:val="11"/>
      <w:numFmt w:val="decimal"/>
      <w:lvlText w:val="%1."/>
      <w:lvlJc w:val="left"/>
      <w:pPr>
        <w:tabs>
          <w:tab w:val="num" w:pos="889"/>
        </w:tabs>
        <w:ind w:left="889" w:hanging="709"/>
      </w:pPr>
      <w:rPr>
        <w:rFonts w:ascii="Arial" w:hAnsi="Arial" w:cs="Arial" w:hint="default"/>
        <w:b w:val="0"/>
      </w:rPr>
    </w:lvl>
    <w:lvl w:ilvl="1">
      <w:start w:val="1"/>
      <w:numFmt w:val="decimal"/>
      <w:lvlText w:val="10.%2"/>
      <w:lvlJc w:val="left"/>
      <w:pPr>
        <w:tabs>
          <w:tab w:val="num" w:pos="889"/>
        </w:tabs>
        <w:ind w:left="889" w:hanging="709"/>
      </w:pPr>
      <w:rPr>
        <w:rFonts w:hint="default"/>
        <w:b/>
        <w:i w:val="0"/>
      </w:rPr>
    </w:lvl>
    <w:lvl w:ilvl="2">
      <w:start w:val="2"/>
      <w:numFmt w:val="lowerLetter"/>
      <w:lvlText w:val="(%3)"/>
      <w:lvlJc w:val="left"/>
      <w:pPr>
        <w:tabs>
          <w:tab w:val="num" w:pos="1417"/>
        </w:tabs>
        <w:ind w:left="1417" w:hanging="708"/>
      </w:pPr>
      <w:rPr>
        <w:rFonts w:hint="default"/>
        <w:b w:val="0"/>
        <w:i w:val="0"/>
        <w:color w:val="auto"/>
        <w:sz w:val="21"/>
        <w:szCs w:val="21"/>
      </w:rPr>
    </w:lvl>
    <w:lvl w:ilvl="3">
      <w:start w:val="1"/>
      <w:numFmt w:val="lowerRoman"/>
      <w:lvlText w:val="(%4)"/>
      <w:lvlJc w:val="left"/>
      <w:pPr>
        <w:tabs>
          <w:tab w:val="num" w:pos="2126"/>
        </w:tabs>
        <w:ind w:left="2126" w:hanging="709"/>
      </w:pPr>
      <w:rPr>
        <w:rFonts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48">
    <w:nsid w:val="7A403ACD"/>
    <w:multiLevelType w:val="hybridMultilevel"/>
    <w:tmpl w:val="0D9ED840"/>
    <w:lvl w:ilvl="0" w:tplc="E9D88B9A">
      <w:start w:val="1"/>
      <w:numFmt w:val="lowerRoman"/>
      <w:lvlText w:val="(%1)"/>
      <w:lvlJc w:val="right"/>
      <w:pPr>
        <w:ind w:left="2825" w:hanging="360"/>
      </w:pPr>
      <w:rPr>
        <w:rFonts w:hint="default"/>
      </w:rPr>
    </w:lvl>
    <w:lvl w:ilvl="1" w:tplc="04090019" w:tentative="1">
      <w:start w:val="1"/>
      <w:numFmt w:val="lowerLetter"/>
      <w:lvlText w:val="%2."/>
      <w:lvlJc w:val="left"/>
      <w:pPr>
        <w:ind w:left="3545" w:hanging="360"/>
      </w:pPr>
    </w:lvl>
    <w:lvl w:ilvl="2" w:tplc="0409001B" w:tentative="1">
      <w:start w:val="1"/>
      <w:numFmt w:val="lowerRoman"/>
      <w:lvlText w:val="%3."/>
      <w:lvlJc w:val="right"/>
      <w:pPr>
        <w:ind w:left="4265" w:hanging="180"/>
      </w:pPr>
    </w:lvl>
    <w:lvl w:ilvl="3" w:tplc="0409000F" w:tentative="1">
      <w:start w:val="1"/>
      <w:numFmt w:val="decimal"/>
      <w:lvlText w:val="%4."/>
      <w:lvlJc w:val="left"/>
      <w:pPr>
        <w:ind w:left="4985" w:hanging="360"/>
      </w:pPr>
    </w:lvl>
    <w:lvl w:ilvl="4" w:tplc="04090019" w:tentative="1">
      <w:start w:val="1"/>
      <w:numFmt w:val="lowerLetter"/>
      <w:lvlText w:val="%5."/>
      <w:lvlJc w:val="left"/>
      <w:pPr>
        <w:ind w:left="5705" w:hanging="360"/>
      </w:pPr>
    </w:lvl>
    <w:lvl w:ilvl="5" w:tplc="0409001B" w:tentative="1">
      <w:start w:val="1"/>
      <w:numFmt w:val="lowerRoman"/>
      <w:lvlText w:val="%6."/>
      <w:lvlJc w:val="right"/>
      <w:pPr>
        <w:ind w:left="6425" w:hanging="180"/>
      </w:pPr>
    </w:lvl>
    <w:lvl w:ilvl="6" w:tplc="0409000F" w:tentative="1">
      <w:start w:val="1"/>
      <w:numFmt w:val="decimal"/>
      <w:lvlText w:val="%7."/>
      <w:lvlJc w:val="left"/>
      <w:pPr>
        <w:ind w:left="7145" w:hanging="360"/>
      </w:pPr>
    </w:lvl>
    <w:lvl w:ilvl="7" w:tplc="04090019" w:tentative="1">
      <w:start w:val="1"/>
      <w:numFmt w:val="lowerLetter"/>
      <w:lvlText w:val="%8."/>
      <w:lvlJc w:val="left"/>
      <w:pPr>
        <w:ind w:left="7865" w:hanging="360"/>
      </w:pPr>
    </w:lvl>
    <w:lvl w:ilvl="8" w:tplc="0409001B" w:tentative="1">
      <w:start w:val="1"/>
      <w:numFmt w:val="lowerRoman"/>
      <w:lvlText w:val="%9."/>
      <w:lvlJc w:val="right"/>
      <w:pPr>
        <w:ind w:left="8585" w:hanging="180"/>
      </w:pPr>
    </w:lvl>
  </w:abstractNum>
  <w:abstractNum w:abstractNumId="549">
    <w:nsid w:val="7A607955"/>
    <w:multiLevelType w:val="hybridMultilevel"/>
    <w:tmpl w:val="F900050E"/>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nsid w:val="7A7C3041"/>
    <w:multiLevelType w:val="hybridMultilevel"/>
    <w:tmpl w:val="CFCC5718"/>
    <w:lvl w:ilvl="0" w:tplc="2A042C60">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551">
    <w:nsid w:val="7ABB31B2"/>
    <w:multiLevelType w:val="hybridMultilevel"/>
    <w:tmpl w:val="51B4E59A"/>
    <w:lvl w:ilvl="0" w:tplc="AE00D3A4">
      <w:start w:val="6"/>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nsid w:val="7B0D036A"/>
    <w:multiLevelType w:val="hybridMultilevel"/>
    <w:tmpl w:val="39028CB2"/>
    <w:lvl w:ilvl="0" w:tplc="5D2027C8">
      <w:start w:val="1"/>
      <w:numFmt w:val="lowerLetter"/>
      <w:lvlText w:val="(%1)"/>
      <w:lvlJc w:val="left"/>
      <w:pPr>
        <w:ind w:left="2282" w:hanging="360"/>
      </w:pPr>
      <w:rPr>
        <w:rFonts w:cs="Times New Roman" w:hint="default"/>
      </w:rPr>
    </w:lvl>
    <w:lvl w:ilvl="1" w:tplc="04090019" w:tentative="1">
      <w:start w:val="1"/>
      <w:numFmt w:val="lowerLetter"/>
      <w:lvlText w:val="%2."/>
      <w:lvlJc w:val="left"/>
      <w:pPr>
        <w:ind w:left="3002" w:hanging="360"/>
      </w:pPr>
    </w:lvl>
    <w:lvl w:ilvl="2" w:tplc="0409001B" w:tentative="1">
      <w:start w:val="1"/>
      <w:numFmt w:val="lowerRoman"/>
      <w:lvlText w:val="%3."/>
      <w:lvlJc w:val="right"/>
      <w:pPr>
        <w:ind w:left="3722" w:hanging="180"/>
      </w:pPr>
    </w:lvl>
    <w:lvl w:ilvl="3" w:tplc="0409000F" w:tentative="1">
      <w:start w:val="1"/>
      <w:numFmt w:val="decimal"/>
      <w:lvlText w:val="%4."/>
      <w:lvlJc w:val="left"/>
      <w:pPr>
        <w:ind w:left="4442" w:hanging="360"/>
      </w:pPr>
    </w:lvl>
    <w:lvl w:ilvl="4" w:tplc="04090019" w:tentative="1">
      <w:start w:val="1"/>
      <w:numFmt w:val="lowerLetter"/>
      <w:lvlText w:val="%5."/>
      <w:lvlJc w:val="left"/>
      <w:pPr>
        <w:ind w:left="5162" w:hanging="360"/>
      </w:pPr>
    </w:lvl>
    <w:lvl w:ilvl="5" w:tplc="0409001B" w:tentative="1">
      <w:start w:val="1"/>
      <w:numFmt w:val="lowerRoman"/>
      <w:lvlText w:val="%6."/>
      <w:lvlJc w:val="right"/>
      <w:pPr>
        <w:ind w:left="5882" w:hanging="180"/>
      </w:pPr>
    </w:lvl>
    <w:lvl w:ilvl="6" w:tplc="0409000F" w:tentative="1">
      <w:start w:val="1"/>
      <w:numFmt w:val="decimal"/>
      <w:lvlText w:val="%7."/>
      <w:lvlJc w:val="left"/>
      <w:pPr>
        <w:ind w:left="6602" w:hanging="360"/>
      </w:pPr>
    </w:lvl>
    <w:lvl w:ilvl="7" w:tplc="04090019" w:tentative="1">
      <w:start w:val="1"/>
      <w:numFmt w:val="lowerLetter"/>
      <w:lvlText w:val="%8."/>
      <w:lvlJc w:val="left"/>
      <w:pPr>
        <w:ind w:left="7322" w:hanging="360"/>
      </w:pPr>
    </w:lvl>
    <w:lvl w:ilvl="8" w:tplc="0409001B" w:tentative="1">
      <w:start w:val="1"/>
      <w:numFmt w:val="lowerRoman"/>
      <w:lvlText w:val="%9."/>
      <w:lvlJc w:val="right"/>
      <w:pPr>
        <w:ind w:left="8042" w:hanging="180"/>
      </w:pPr>
    </w:lvl>
  </w:abstractNum>
  <w:abstractNum w:abstractNumId="553">
    <w:nsid w:val="7B0E1F86"/>
    <w:multiLevelType w:val="multilevel"/>
    <w:tmpl w:val="76A87EF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b w:val="0"/>
        <w:bCs/>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54">
    <w:nsid w:val="7B4961D3"/>
    <w:multiLevelType w:val="hybridMultilevel"/>
    <w:tmpl w:val="1E621E02"/>
    <w:lvl w:ilvl="0" w:tplc="37CA9C3C">
      <w:start w:val="1"/>
      <w:numFmt w:val="lowerRoman"/>
      <w:lvlText w:val="(%1)"/>
      <w:lvlJc w:val="left"/>
      <w:pPr>
        <w:ind w:left="3080" w:hanging="360"/>
      </w:pPr>
      <w:rPr>
        <w:rFonts w:hint="default"/>
      </w:rPr>
    </w:lvl>
    <w:lvl w:ilvl="1" w:tplc="04090019" w:tentative="1">
      <w:start w:val="1"/>
      <w:numFmt w:val="lowerLetter"/>
      <w:lvlText w:val="%2."/>
      <w:lvlJc w:val="left"/>
      <w:pPr>
        <w:ind w:left="3800" w:hanging="360"/>
      </w:pPr>
    </w:lvl>
    <w:lvl w:ilvl="2" w:tplc="0409001B" w:tentative="1">
      <w:start w:val="1"/>
      <w:numFmt w:val="lowerRoman"/>
      <w:lvlText w:val="%3."/>
      <w:lvlJc w:val="right"/>
      <w:pPr>
        <w:ind w:left="4520" w:hanging="180"/>
      </w:pPr>
    </w:lvl>
    <w:lvl w:ilvl="3" w:tplc="0409000F" w:tentative="1">
      <w:start w:val="1"/>
      <w:numFmt w:val="decimal"/>
      <w:lvlText w:val="%4."/>
      <w:lvlJc w:val="left"/>
      <w:pPr>
        <w:ind w:left="5240" w:hanging="360"/>
      </w:pPr>
    </w:lvl>
    <w:lvl w:ilvl="4" w:tplc="04090019" w:tentative="1">
      <w:start w:val="1"/>
      <w:numFmt w:val="lowerLetter"/>
      <w:lvlText w:val="%5."/>
      <w:lvlJc w:val="left"/>
      <w:pPr>
        <w:ind w:left="5960" w:hanging="360"/>
      </w:pPr>
    </w:lvl>
    <w:lvl w:ilvl="5" w:tplc="0409001B" w:tentative="1">
      <w:start w:val="1"/>
      <w:numFmt w:val="lowerRoman"/>
      <w:lvlText w:val="%6."/>
      <w:lvlJc w:val="right"/>
      <w:pPr>
        <w:ind w:left="6680" w:hanging="180"/>
      </w:pPr>
    </w:lvl>
    <w:lvl w:ilvl="6" w:tplc="0409000F" w:tentative="1">
      <w:start w:val="1"/>
      <w:numFmt w:val="decimal"/>
      <w:lvlText w:val="%7."/>
      <w:lvlJc w:val="left"/>
      <w:pPr>
        <w:ind w:left="7400" w:hanging="360"/>
      </w:pPr>
    </w:lvl>
    <w:lvl w:ilvl="7" w:tplc="04090019" w:tentative="1">
      <w:start w:val="1"/>
      <w:numFmt w:val="lowerLetter"/>
      <w:lvlText w:val="%8."/>
      <w:lvlJc w:val="left"/>
      <w:pPr>
        <w:ind w:left="8120" w:hanging="360"/>
      </w:pPr>
    </w:lvl>
    <w:lvl w:ilvl="8" w:tplc="0409001B" w:tentative="1">
      <w:start w:val="1"/>
      <w:numFmt w:val="lowerRoman"/>
      <w:lvlText w:val="%9."/>
      <w:lvlJc w:val="right"/>
      <w:pPr>
        <w:ind w:left="8840" w:hanging="180"/>
      </w:pPr>
    </w:lvl>
  </w:abstractNum>
  <w:abstractNum w:abstractNumId="555">
    <w:nsid w:val="7B62332E"/>
    <w:multiLevelType w:val="hybridMultilevel"/>
    <w:tmpl w:val="6DB05C6A"/>
    <w:name w:val="SchCustomListNum222222222222222222222222222222222222222232222"/>
    <w:lvl w:ilvl="0" w:tplc="5D2027C8">
      <w:start w:val="1"/>
      <w:numFmt w:val="lowerLetter"/>
      <w:lvlText w:val="(%1)"/>
      <w:lvlJc w:val="left"/>
      <w:pPr>
        <w:ind w:left="2370" w:hanging="360"/>
      </w:pPr>
      <w:rPr>
        <w:rFonts w:cs="Times New Roman"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556">
    <w:nsid w:val="7B937E2A"/>
    <w:multiLevelType w:val="hybridMultilevel"/>
    <w:tmpl w:val="669273F8"/>
    <w:lvl w:ilvl="0" w:tplc="A59AAAC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57">
    <w:nsid w:val="7BD86A47"/>
    <w:multiLevelType w:val="hybridMultilevel"/>
    <w:tmpl w:val="A4FAADBE"/>
    <w:lvl w:ilvl="0" w:tplc="D6E0D4EE">
      <w:start w:val="1"/>
      <w:numFmt w:val="lowerLetter"/>
      <w:lvlText w:val="(%1)"/>
      <w:lvlJc w:val="left"/>
      <w:pPr>
        <w:ind w:left="2138" w:hanging="360"/>
      </w:pPr>
      <w:rPr>
        <w:rFonts w:ascii="Arial" w:hAnsi="Arial" w:cs="Arial"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58">
    <w:nsid w:val="7C8722BF"/>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59">
    <w:nsid w:val="7C8D004B"/>
    <w:multiLevelType w:val="hybridMultilevel"/>
    <w:tmpl w:val="4F04D91E"/>
    <w:lvl w:ilvl="0" w:tplc="22FC6E9E">
      <w:start w:val="1"/>
      <w:numFmt w:val="decimal"/>
      <w:lvlText w:val="(%1)"/>
      <w:lvlJc w:val="left"/>
      <w:pPr>
        <w:ind w:left="2490" w:hanging="360"/>
      </w:pPr>
      <w:rPr>
        <w:rFonts w:ascii="Arial" w:hAnsi="Arial" w:cs="Arial" w:hint="default"/>
        <w:b w:val="0"/>
        <w:spacing w:val="-1"/>
        <w:sz w:val="20"/>
        <w:szCs w:val="20"/>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560">
    <w:nsid w:val="7CA10895"/>
    <w:multiLevelType w:val="multilevel"/>
    <w:tmpl w:val="C9A8B992"/>
    <w:lvl w:ilvl="0">
      <w:start w:val="3"/>
      <w:numFmt w:val="decimal"/>
      <w:lvlText w:val="%1."/>
      <w:lvlJc w:val="left"/>
      <w:pPr>
        <w:ind w:left="720" w:hanging="360"/>
      </w:pPr>
      <w:rPr>
        <w:rFonts w:hint="default"/>
        <w:b/>
        <w:color w:val="auto"/>
      </w:rPr>
    </w:lvl>
    <w:lvl w:ilvl="1">
      <w:start w:val="1"/>
      <w:numFmt w:val="decimal"/>
      <w:isLgl/>
      <w:lvlText w:val="%1.%2."/>
      <w:lvlJc w:val="left"/>
      <w:pPr>
        <w:ind w:left="720" w:hanging="360"/>
      </w:pPr>
      <w:rPr>
        <w:rFonts w:ascii="Arial" w:hAnsi="Arial" w:cs="Arial" w:hint="default"/>
        <w:b/>
        <w:color w:val="auto"/>
        <w:sz w:val="21"/>
        <w:szCs w:val="2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1">
    <w:nsid w:val="7CA52441"/>
    <w:multiLevelType w:val="multilevel"/>
    <w:tmpl w:val="3E743FE6"/>
    <w:lvl w:ilvl="0">
      <w:start w:val="7"/>
      <w:numFmt w:val="decimal"/>
      <w:lvlText w:val="%1."/>
      <w:lvlJc w:val="left"/>
      <w:pPr>
        <w:ind w:left="720" w:hanging="360"/>
      </w:pPr>
      <w:rPr>
        <w:rFonts w:hint="default"/>
        <w:b/>
        <w:color w:val="auto"/>
      </w:rPr>
    </w:lvl>
    <w:lvl w:ilvl="1">
      <w:start w:val="1"/>
      <w:numFmt w:val="decimal"/>
      <w:lvlText w:val="6.%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2">
    <w:nsid w:val="7CCC77CB"/>
    <w:multiLevelType w:val="hybridMultilevel"/>
    <w:tmpl w:val="528C2C2A"/>
    <w:name w:val="SchCustomListNum2222222222222222222222222222222222222222322222222222"/>
    <w:lvl w:ilvl="0" w:tplc="0B669430">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563">
    <w:nsid w:val="7CEB1D6E"/>
    <w:multiLevelType w:val="multilevel"/>
    <w:tmpl w:val="11CE53DC"/>
    <w:lvl w:ilvl="0">
      <w:start w:val="1"/>
      <w:numFmt w:val="decimal"/>
      <w:lvlText w:val="%1."/>
      <w:lvlJc w:val="left"/>
      <w:pPr>
        <w:tabs>
          <w:tab w:val="num" w:pos="889"/>
        </w:tabs>
        <w:ind w:left="889" w:hanging="709"/>
      </w:pPr>
      <w:rPr>
        <w:rFonts w:ascii="Arial" w:hAnsi="Arial" w:cs="Arial" w:hint="default"/>
        <w:b w:val="0"/>
      </w:rPr>
    </w:lvl>
    <w:lvl w:ilvl="1">
      <w:start w:val="1"/>
      <w:numFmt w:val="decimal"/>
      <w:lvlText w:val="11.%2"/>
      <w:lvlJc w:val="left"/>
      <w:pPr>
        <w:tabs>
          <w:tab w:val="num" w:pos="889"/>
        </w:tabs>
        <w:ind w:left="889" w:hanging="709"/>
      </w:pPr>
      <w:rPr>
        <w:rFonts w:hint="default"/>
        <w:b w:val="0"/>
        <w:i w:val="0"/>
      </w:rPr>
    </w:lvl>
    <w:lvl w:ilvl="2">
      <w:start w:val="2"/>
      <w:numFmt w:val="lowerLetter"/>
      <w:lvlText w:val="(%3)"/>
      <w:lvlJc w:val="left"/>
      <w:pPr>
        <w:tabs>
          <w:tab w:val="num" w:pos="1417"/>
        </w:tabs>
        <w:ind w:left="1417" w:hanging="708"/>
      </w:pPr>
      <w:rPr>
        <w:rFonts w:ascii="Arial" w:hAnsi="Arial" w:cs="Arial" w:hint="default"/>
        <w:b w:val="0"/>
        <w:i w:val="0"/>
        <w:color w:val="auto"/>
        <w:sz w:val="21"/>
        <w:szCs w:val="21"/>
      </w:rPr>
    </w:lvl>
    <w:lvl w:ilvl="3">
      <w:start w:val="1"/>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4">
    <w:nsid w:val="7D3F1F02"/>
    <w:multiLevelType w:val="hybridMultilevel"/>
    <w:tmpl w:val="A6C089AC"/>
    <w:lvl w:ilvl="0" w:tplc="83B4F522">
      <w:start w:val="1"/>
      <w:numFmt w:val="lowerRoman"/>
      <w:lvlText w:val="(%1)"/>
      <w:lvlJc w:val="left"/>
      <w:pPr>
        <w:ind w:left="2990" w:hanging="360"/>
      </w:pPr>
      <w:rPr>
        <w:rFonts w:hint="default"/>
      </w:r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565">
    <w:nsid w:val="7D404D90"/>
    <w:multiLevelType w:val="hybridMultilevel"/>
    <w:tmpl w:val="C70A82C6"/>
    <w:name w:val="SchCustomListNum42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6">
    <w:nsid w:val="7D767760"/>
    <w:multiLevelType w:val="hybridMultilevel"/>
    <w:tmpl w:val="34866C86"/>
    <w:lvl w:ilvl="0" w:tplc="D6E0D4E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nsid w:val="7DB02633"/>
    <w:multiLevelType w:val="hybridMultilevel"/>
    <w:tmpl w:val="0C64BAD4"/>
    <w:lvl w:ilvl="0" w:tplc="0409000F">
      <w:start w:val="1"/>
      <w:numFmt w:val="decimal"/>
      <w:lvlText w:val="%1."/>
      <w:lvlJc w:val="left"/>
      <w:pPr>
        <w:tabs>
          <w:tab w:val="num" w:pos="2146"/>
        </w:tabs>
        <w:ind w:left="2146" w:hanging="709"/>
      </w:pPr>
      <w:rPr>
        <w:rFonts w:hint="default"/>
        <w:spacing w:val="-1"/>
        <w:w w:val="1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7DB97805"/>
    <w:multiLevelType w:val="hybridMultilevel"/>
    <w:tmpl w:val="421C932E"/>
    <w:lvl w:ilvl="0" w:tplc="E9D88B9A">
      <w:start w:val="1"/>
      <w:numFmt w:val="lowerRoman"/>
      <w:lvlText w:val="(%1)"/>
      <w:lvlJc w:val="right"/>
      <w:pPr>
        <w:ind w:left="2137" w:hanging="360"/>
      </w:pPr>
      <w:rPr>
        <w:rFonts w:hint="default"/>
      </w:r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569">
    <w:nsid w:val="7DEC2241"/>
    <w:multiLevelType w:val="multilevel"/>
    <w:tmpl w:val="4A16BC22"/>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Letter"/>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0">
    <w:nsid w:val="7DFF7C86"/>
    <w:multiLevelType w:val="hybridMultilevel"/>
    <w:tmpl w:val="048A92E0"/>
    <w:lvl w:ilvl="0" w:tplc="5D2027C8">
      <w:start w:val="1"/>
      <w:numFmt w:val="lowerLetter"/>
      <w:lvlText w:val="(%1)"/>
      <w:lvlJc w:val="left"/>
      <w:pPr>
        <w:ind w:left="2372" w:hanging="360"/>
      </w:pPr>
      <w:rPr>
        <w:rFonts w:cs="Times New Roman" w:hint="default"/>
      </w:rPr>
    </w:lvl>
    <w:lvl w:ilvl="1" w:tplc="04090019" w:tentative="1">
      <w:start w:val="1"/>
      <w:numFmt w:val="lowerLetter"/>
      <w:lvlText w:val="%2."/>
      <w:lvlJc w:val="left"/>
      <w:pPr>
        <w:ind w:left="3092" w:hanging="360"/>
      </w:pPr>
    </w:lvl>
    <w:lvl w:ilvl="2" w:tplc="0409001B" w:tentative="1">
      <w:start w:val="1"/>
      <w:numFmt w:val="lowerRoman"/>
      <w:lvlText w:val="%3."/>
      <w:lvlJc w:val="right"/>
      <w:pPr>
        <w:ind w:left="3812" w:hanging="180"/>
      </w:pPr>
    </w:lvl>
    <w:lvl w:ilvl="3" w:tplc="0409000F" w:tentative="1">
      <w:start w:val="1"/>
      <w:numFmt w:val="decimal"/>
      <w:lvlText w:val="%4."/>
      <w:lvlJc w:val="left"/>
      <w:pPr>
        <w:ind w:left="4532" w:hanging="360"/>
      </w:pPr>
    </w:lvl>
    <w:lvl w:ilvl="4" w:tplc="04090019" w:tentative="1">
      <w:start w:val="1"/>
      <w:numFmt w:val="lowerLetter"/>
      <w:lvlText w:val="%5."/>
      <w:lvlJc w:val="left"/>
      <w:pPr>
        <w:ind w:left="5252" w:hanging="360"/>
      </w:pPr>
    </w:lvl>
    <w:lvl w:ilvl="5" w:tplc="0409001B" w:tentative="1">
      <w:start w:val="1"/>
      <w:numFmt w:val="lowerRoman"/>
      <w:lvlText w:val="%6."/>
      <w:lvlJc w:val="right"/>
      <w:pPr>
        <w:ind w:left="5972" w:hanging="180"/>
      </w:pPr>
    </w:lvl>
    <w:lvl w:ilvl="6" w:tplc="0409000F" w:tentative="1">
      <w:start w:val="1"/>
      <w:numFmt w:val="decimal"/>
      <w:lvlText w:val="%7."/>
      <w:lvlJc w:val="left"/>
      <w:pPr>
        <w:ind w:left="6692" w:hanging="360"/>
      </w:pPr>
    </w:lvl>
    <w:lvl w:ilvl="7" w:tplc="04090019" w:tentative="1">
      <w:start w:val="1"/>
      <w:numFmt w:val="lowerLetter"/>
      <w:lvlText w:val="%8."/>
      <w:lvlJc w:val="left"/>
      <w:pPr>
        <w:ind w:left="7412" w:hanging="360"/>
      </w:pPr>
    </w:lvl>
    <w:lvl w:ilvl="8" w:tplc="0409001B" w:tentative="1">
      <w:start w:val="1"/>
      <w:numFmt w:val="lowerRoman"/>
      <w:lvlText w:val="%9."/>
      <w:lvlJc w:val="right"/>
      <w:pPr>
        <w:ind w:left="8132" w:hanging="180"/>
      </w:pPr>
    </w:lvl>
  </w:abstractNum>
  <w:abstractNum w:abstractNumId="571">
    <w:nsid w:val="7E6B2E87"/>
    <w:multiLevelType w:val="hybridMultilevel"/>
    <w:tmpl w:val="414C5F92"/>
    <w:lvl w:ilvl="0" w:tplc="D6E0D4EE">
      <w:start w:val="1"/>
      <w:numFmt w:val="lowerLetter"/>
      <w:lvlText w:val="(%1)"/>
      <w:lvlJc w:val="left"/>
      <w:pPr>
        <w:ind w:left="1736" w:hanging="360"/>
      </w:pPr>
      <w:rPr>
        <w:rFonts w:ascii="Arial" w:hAnsi="Arial" w:cs="Arial"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572">
    <w:nsid w:val="7E862250"/>
    <w:multiLevelType w:val="hybridMultilevel"/>
    <w:tmpl w:val="21368A80"/>
    <w:lvl w:ilvl="0" w:tplc="12F0D678">
      <w:start w:val="1"/>
      <w:numFmt w:val="lowerLetter"/>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73">
    <w:nsid w:val="7E9869B5"/>
    <w:multiLevelType w:val="multilevel"/>
    <w:tmpl w:val="2988C4CA"/>
    <w:lvl w:ilvl="0">
      <w:start w:val="11"/>
      <w:numFmt w:val="decimal"/>
      <w:lvlText w:val="%1."/>
      <w:lvlJc w:val="left"/>
      <w:pPr>
        <w:tabs>
          <w:tab w:val="num" w:pos="889"/>
        </w:tabs>
        <w:ind w:left="889" w:hanging="709"/>
      </w:pPr>
      <w:rPr>
        <w:rFonts w:ascii="Arial" w:hAnsi="Arial" w:cs="Arial" w:hint="default"/>
        <w:b w:val="0"/>
      </w:rPr>
    </w:lvl>
    <w:lvl w:ilvl="1">
      <w:start w:val="10"/>
      <w:numFmt w:val="decimal"/>
      <w:lvlText w:val="10.%2"/>
      <w:lvlJc w:val="left"/>
      <w:pPr>
        <w:tabs>
          <w:tab w:val="num" w:pos="889"/>
        </w:tabs>
        <w:ind w:left="889" w:hanging="709"/>
      </w:pPr>
      <w:rPr>
        <w:rFonts w:hint="default"/>
        <w:b/>
        <w:i w:val="0"/>
      </w:rPr>
    </w:lvl>
    <w:lvl w:ilvl="2">
      <w:start w:val="1"/>
      <w:numFmt w:val="lowerRoman"/>
      <w:lvlText w:val="(%3)"/>
      <w:lvlJc w:val="left"/>
      <w:pPr>
        <w:tabs>
          <w:tab w:val="num" w:pos="1417"/>
        </w:tabs>
        <w:ind w:left="1417" w:hanging="708"/>
      </w:pPr>
      <w:rPr>
        <w:rFonts w:hint="default"/>
        <w:b w:val="0"/>
        <w:i w:val="0"/>
        <w:color w:val="auto"/>
        <w:sz w:val="21"/>
        <w:szCs w:val="21"/>
      </w:rPr>
    </w:lvl>
    <w:lvl w:ilvl="3">
      <w:start w:val="3"/>
      <w:numFmt w:val="lowerRoman"/>
      <w:lvlText w:val="(%4)"/>
      <w:lvlJc w:val="left"/>
      <w:pPr>
        <w:tabs>
          <w:tab w:val="num" w:pos="2126"/>
        </w:tabs>
        <w:ind w:left="2126" w:hanging="709"/>
      </w:pPr>
      <w:rPr>
        <w:rFonts w:ascii="Arial" w:hAnsi="Arial" w:cs="Arial" w:hint="default"/>
        <w:b w:val="0"/>
        <w:color w:val="auto"/>
        <w:sz w:val="21"/>
        <w:szCs w:val="21"/>
      </w:rPr>
    </w:lvl>
    <w:lvl w:ilvl="4">
      <w:start w:val="1"/>
      <w:numFmt w:val="decimal"/>
      <w:lvlText w:val="(%5)"/>
      <w:lvlJc w:val="left"/>
      <w:pPr>
        <w:tabs>
          <w:tab w:val="num" w:pos="2835"/>
        </w:tabs>
        <w:ind w:left="2835" w:hanging="709"/>
      </w:pPr>
      <w:rPr>
        <w:rFonts w:ascii="Arial" w:eastAsia="Arial" w:hAnsi="Arial" w:cs="Arial" w:hint="default"/>
        <w:b w:val="0"/>
        <w:color w:val="auto"/>
        <w:spacing w:val="-1"/>
        <w:w w:val="100"/>
        <w:sz w:val="21"/>
        <w:szCs w:val="21"/>
        <w:lang w:val="en-US" w:eastAsia="en-US" w:bidi="en-US"/>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4">
    <w:nsid w:val="7EE86DDC"/>
    <w:multiLevelType w:val="hybridMultilevel"/>
    <w:tmpl w:val="4CB06BEC"/>
    <w:lvl w:ilvl="0" w:tplc="FA124318">
      <w:start w:val="1"/>
      <w:numFmt w:val="lowerLetter"/>
      <w:lvlText w:val="(%1)"/>
      <w:lvlJc w:val="left"/>
      <w:pPr>
        <w:ind w:left="1238" w:hanging="360"/>
      </w:pPr>
      <w:rPr>
        <w:rFonts w:hint="default"/>
        <w:b w:val="0"/>
        <w:color w:val="auto"/>
      </w:rPr>
    </w:lvl>
    <w:lvl w:ilvl="1" w:tplc="04090019" w:tentative="1">
      <w:start w:val="1"/>
      <w:numFmt w:val="lowerLetter"/>
      <w:lvlText w:val="%2."/>
      <w:lvlJc w:val="left"/>
      <w:pPr>
        <w:ind w:left="1958" w:hanging="360"/>
      </w:pPr>
    </w:lvl>
    <w:lvl w:ilvl="2" w:tplc="0409001B" w:tentative="1">
      <w:start w:val="1"/>
      <w:numFmt w:val="lowerRoman"/>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575">
    <w:nsid w:val="7F5E0E4B"/>
    <w:multiLevelType w:val="hybridMultilevel"/>
    <w:tmpl w:val="0D70FBCE"/>
    <w:name w:val="SchCustomListNum2222222222222222222222222222222222222222322222"/>
    <w:lvl w:ilvl="0" w:tplc="E9D88B9A">
      <w:start w:val="1"/>
      <w:numFmt w:val="lowerRoman"/>
      <w:lvlText w:val="(%1)"/>
      <w:lvlJc w:val="righ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576">
    <w:nsid w:val="7F606450"/>
    <w:multiLevelType w:val="hybridMultilevel"/>
    <w:tmpl w:val="EF703A8A"/>
    <w:lvl w:ilvl="0" w:tplc="3FF63F1E">
      <w:start w:val="1"/>
      <w:numFmt w:val="lowerRoman"/>
      <w:lvlText w:val="(%1)"/>
      <w:lvlJc w:val="left"/>
      <w:pPr>
        <w:ind w:left="2846" w:hanging="360"/>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num w:numId="1">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2">
    <w:abstractNumId w:val="74"/>
  </w:num>
  <w:num w:numId="3">
    <w:abstractNumId w:val="481"/>
  </w:num>
  <w:num w:numId="4">
    <w:abstractNumId w:val="498"/>
  </w:num>
  <w:num w:numId="5">
    <w:abstractNumId w:val="271"/>
  </w:num>
  <w:num w:numId="6">
    <w:abstractNumId w:val="7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8"/>
  </w:num>
  <w:num w:numId="8">
    <w:abstractNumId w:val="281"/>
  </w:num>
  <w:num w:numId="9">
    <w:abstractNumId w:val="65"/>
  </w:num>
  <w:num w:numId="10">
    <w:abstractNumId w:val="379"/>
  </w:num>
  <w:num w:numId="11">
    <w:abstractNumId w:val="346"/>
  </w:num>
  <w:num w:numId="12">
    <w:abstractNumId w:val="235"/>
  </w:num>
  <w:num w:numId="13">
    <w:abstractNumId w:val="205"/>
  </w:num>
  <w:num w:numId="14">
    <w:abstractNumId w:val="338"/>
  </w:num>
  <w:num w:numId="15">
    <w:abstractNumId w:val="255"/>
  </w:num>
  <w:num w:numId="16">
    <w:abstractNumId w:val="472"/>
  </w:num>
  <w:num w:numId="17">
    <w:abstractNumId w:val="537"/>
  </w:num>
  <w:num w:numId="18">
    <w:abstractNumId w:val="103"/>
  </w:num>
  <w:num w:numId="19">
    <w:abstractNumId w:val="154"/>
  </w:num>
  <w:num w:numId="20">
    <w:abstractNumId w:val="525"/>
  </w:num>
  <w:num w:numId="21">
    <w:abstractNumId w:val="363"/>
  </w:num>
  <w:num w:numId="22">
    <w:abstractNumId w:val="74"/>
    <w:lvlOverride w:ilvl="0">
      <w:startOverride w:val="1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4"/>
    <w:lvlOverride w:ilvl="0">
      <w:startOverride w:val="1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4"/>
    <w:lvlOverride w:ilvl="0">
      <w:startOverride w:val="1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6"/>
  </w:num>
  <w:num w:numId="26">
    <w:abstractNumId w:val="74"/>
    <w:lvlOverride w:ilvl="0">
      <w:startOverride w:val="11"/>
    </w:lvlOverride>
    <w:lvlOverride w:ilvl="1">
      <w:startOverride w:val="10"/>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27"/>
  </w:num>
  <w:num w:numId="28">
    <w:abstractNumId w:val="342"/>
  </w:num>
  <w:num w:numId="29">
    <w:abstractNumId w:val="443"/>
  </w:num>
  <w:num w:numId="30">
    <w:abstractNumId w:val="486"/>
  </w:num>
  <w:num w:numId="31">
    <w:abstractNumId w:val="165"/>
  </w:num>
  <w:num w:numId="32">
    <w:abstractNumId w:val="517"/>
  </w:num>
  <w:num w:numId="33">
    <w:abstractNumId w:val="238"/>
  </w:num>
  <w:num w:numId="34">
    <w:abstractNumId w:val="216"/>
  </w:num>
  <w:num w:numId="35">
    <w:abstractNumId w:val="31"/>
  </w:num>
  <w:num w:numId="36">
    <w:abstractNumId w:val="198"/>
  </w:num>
  <w:num w:numId="37">
    <w:abstractNumId w:val="207"/>
  </w:num>
  <w:num w:numId="38">
    <w:abstractNumId w:val="187"/>
  </w:num>
  <w:num w:numId="39">
    <w:abstractNumId w:val="144"/>
  </w:num>
  <w:num w:numId="40">
    <w:abstractNumId w:val="416"/>
  </w:num>
  <w:num w:numId="41">
    <w:abstractNumId w:val="172"/>
  </w:num>
  <w:num w:numId="42">
    <w:abstractNumId w:val="292"/>
  </w:num>
  <w:num w:numId="43">
    <w:abstractNumId w:val="570"/>
  </w:num>
  <w:num w:numId="44">
    <w:abstractNumId w:val="225"/>
  </w:num>
  <w:num w:numId="45">
    <w:abstractNumId w:val="195"/>
  </w:num>
  <w:num w:numId="46">
    <w:abstractNumId w:val="450"/>
  </w:num>
  <w:num w:numId="47">
    <w:abstractNumId w:val="365"/>
  </w:num>
  <w:num w:numId="48">
    <w:abstractNumId w:val="399"/>
  </w:num>
  <w:num w:numId="49">
    <w:abstractNumId w:val="325"/>
  </w:num>
  <w:num w:numId="50">
    <w:abstractNumId w:val="69"/>
  </w:num>
  <w:num w:numId="51">
    <w:abstractNumId w:val="312"/>
  </w:num>
  <w:num w:numId="52">
    <w:abstractNumId w:val="185"/>
  </w:num>
  <w:num w:numId="53">
    <w:abstractNumId w:val="428"/>
  </w:num>
  <w:num w:numId="54">
    <w:abstractNumId w:val="266"/>
  </w:num>
  <w:num w:numId="55">
    <w:abstractNumId w:val="552"/>
  </w:num>
  <w:num w:numId="56">
    <w:abstractNumId w:val="99"/>
  </w:num>
  <w:num w:numId="57">
    <w:abstractNumId w:val="13"/>
  </w:num>
  <w:num w:numId="58">
    <w:abstractNumId w:val="494"/>
  </w:num>
  <w:num w:numId="59">
    <w:abstractNumId w:val="151"/>
  </w:num>
  <w:num w:numId="60">
    <w:abstractNumId w:val="417"/>
  </w:num>
  <w:num w:numId="61">
    <w:abstractNumId w:val="404"/>
  </w:num>
  <w:num w:numId="62">
    <w:abstractNumId w:val="403"/>
  </w:num>
  <w:num w:numId="63">
    <w:abstractNumId w:val="548"/>
  </w:num>
  <w:num w:numId="64">
    <w:abstractNumId w:val="121"/>
  </w:num>
  <w:num w:numId="65">
    <w:abstractNumId w:val="426"/>
  </w:num>
  <w:num w:numId="66">
    <w:abstractNumId w:val="2"/>
  </w:num>
  <w:num w:numId="67">
    <w:abstractNumId w:val="286"/>
  </w:num>
  <w:num w:numId="68">
    <w:abstractNumId w:val="385"/>
  </w:num>
  <w:num w:numId="69">
    <w:abstractNumId w:val="23"/>
  </w:num>
  <w:num w:numId="70">
    <w:abstractNumId w:val="477"/>
  </w:num>
  <w:num w:numId="71">
    <w:abstractNumId w:val="133"/>
  </w:num>
  <w:num w:numId="72">
    <w:abstractNumId w:val="455"/>
  </w:num>
  <w:num w:numId="73">
    <w:abstractNumId w:val="465"/>
  </w:num>
  <w:num w:numId="74">
    <w:abstractNumId w:val="490"/>
  </w:num>
  <w:num w:numId="75">
    <w:abstractNumId w:val="351"/>
  </w:num>
  <w:num w:numId="76">
    <w:abstractNumId w:val="98"/>
  </w:num>
  <w:num w:numId="77">
    <w:abstractNumId w:val="434"/>
  </w:num>
  <w:num w:numId="78">
    <w:abstractNumId w:val="299"/>
  </w:num>
  <w:num w:numId="79">
    <w:abstractNumId w:val="484"/>
  </w:num>
  <w:num w:numId="80">
    <w:abstractNumId w:val="123"/>
  </w:num>
  <w:num w:numId="81">
    <w:abstractNumId w:val="24"/>
  </w:num>
  <w:num w:numId="82">
    <w:abstractNumId w:val="204"/>
  </w:num>
  <w:num w:numId="83">
    <w:abstractNumId w:val="174"/>
  </w:num>
  <w:num w:numId="84">
    <w:abstractNumId w:val="26"/>
  </w:num>
  <w:num w:numId="85">
    <w:abstractNumId w:val="413"/>
  </w:num>
  <w:num w:numId="86">
    <w:abstractNumId w:val="109"/>
  </w:num>
  <w:num w:numId="87">
    <w:abstractNumId w:val="72"/>
  </w:num>
  <w:num w:numId="88">
    <w:abstractNumId w:val="487"/>
  </w:num>
  <w:num w:numId="89">
    <w:abstractNumId w:val="326"/>
  </w:num>
  <w:num w:numId="90">
    <w:abstractNumId w:val="555"/>
  </w:num>
  <w:num w:numId="91">
    <w:abstractNumId w:val="575"/>
  </w:num>
  <w:num w:numId="92">
    <w:abstractNumId w:val="412"/>
  </w:num>
  <w:num w:numId="93">
    <w:abstractNumId w:val="136"/>
  </w:num>
  <w:num w:numId="94">
    <w:abstractNumId w:val="461"/>
  </w:num>
  <w:num w:numId="95">
    <w:abstractNumId w:val="383"/>
  </w:num>
  <w:num w:numId="96">
    <w:abstractNumId w:val="259"/>
  </w:num>
  <w:num w:numId="97">
    <w:abstractNumId w:val="562"/>
  </w:num>
  <w:num w:numId="98">
    <w:abstractNumId w:val="175"/>
  </w:num>
  <w:num w:numId="99">
    <w:abstractNumId w:val="88"/>
  </w:num>
  <w:num w:numId="100">
    <w:abstractNumId w:val="315"/>
  </w:num>
  <w:num w:numId="101">
    <w:abstractNumId w:val="44"/>
  </w:num>
  <w:num w:numId="102">
    <w:abstractNumId w:val="158"/>
  </w:num>
  <w:num w:numId="103">
    <w:abstractNumId w:val="285"/>
  </w:num>
  <w:num w:numId="104">
    <w:abstractNumId w:val="497"/>
  </w:num>
  <w:num w:numId="105">
    <w:abstractNumId w:val="141"/>
  </w:num>
  <w:num w:numId="106">
    <w:abstractNumId w:val="166"/>
  </w:num>
  <w:num w:numId="107">
    <w:abstractNumId w:val="564"/>
  </w:num>
  <w:num w:numId="108">
    <w:abstractNumId w:val="550"/>
  </w:num>
  <w:num w:numId="109">
    <w:abstractNumId w:val="177"/>
  </w:num>
  <w:num w:numId="110">
    <w:abstractNumId w:val="452"/>
  </w:num>
  <w:num w:numId="111">
    <w:abstractNumId w:val="554"/>
  </w:num>
  <w:num w:numId="112">
    <w:abstractNumId w:val="469"/>
  </w:num>
  <w:num w:numId="113">
    <w:abstractNumId w:val="9"/>
  </w:num>
  <w:num w:numId="114">
    <w:abstractNumId w:val="10"/>
  </w:num>
  <w:num w:numId="115">
    <w:abstractNumId w:val="276"/>
  </w:num>
  <w:num w:numId="116">
    <w:abstractNumId w:val="0"/>
  </w:num>
  <w:num w:numId="117">
    <w:abstractNumId w:val="34"/>
  </w:num>
  <w:num w:numId="118">
    <w:abstractNumId w:val="436"/>
  </w:num>
  <w:num w:numId="119">
    <w:abstractNumId w:val="58"/>
  </w:num>
  <w:num w:numId="120">
    <w:abstractNumId w:val="82"/>
  </w:num>
  <w:num w:numId="121">
    <w:abstractNumId w:val="18"/>
  </w:num>
  <w:num w:numId="122">
    <w:abstractNumId w:val="39"/>
  </w:num>
  <w:num w:numId="123">
    <w:abstractNumId w:val="211"/>
  </w:num>
  <w:num w:numId="124">
    <w:abstractNumId w:val="378"/>
  </w:num>
  <w:num w:numId="125">
    <w:abstractNumId w:val="161"/>
  </w:num>
  <w:num w:numId="126">
    <w:abstractNumId w:val="226"/>
  </w:num>
  <w:num w:numId="127">
    <w:abstractNumId w:val="50"/>
  </w:num>
  <w:num w:numId="128">
    <w:abstractNumId w:val="224"/>
  </w:num>
  <w:num w:numId="129">
    <w:abstractNumId w:val="117"/>
  </w:num>
  <w:num w:numId="130">
    <w:abstractNumId w:val="240"/>
  </w:num>
  <w:num w:numId="131">
    <w:abstractNumId w:val="202"/>
  </w:num>
  <w:num w:numId="132">
    <w:abstractNumId w:val="184"/>
  </w:num>
  <w:num w:numId="133">
    <w:abstractNumId w:val="181"/>
  </w:num>
  <w:num w:numId="134">
    <w:abstractNumId w:val="294"/>
  </w:num>
  <w:num w:numId="135">
    <w:abstractNumId w:val="518"/>
  </w:num>
  <w:num w:numId="136">
    <w:abstractNumId w:val="162"/>
  </w:num>
  <w:num w:numId="137">
    <w:abstractNumId w:val="81"/>
  </w:num>
  <w:num w:numId="138">
    <w:abstractNumId w:val="491"/>
  </w:num>
  <w:num w:numId="139">
    <w:abstractNumId w:val="164"/>
  </w:num>
  <w:num w:numId="140">
    <w:abstractNumId w:val="353"/>
  </w:num>
  <w:num w:numId="141">
    <w:abstractNumId w:val="278"/>
  </w:num>
  <w:num w:numId="142">
    <w:abstractNumId w:val="277"/>
  </w:num>
  <w:num w:numId="143">
    <w:abstractNumId w:val="80"/>
  </w:num>
  <w:num w:numId="144">
    <w:abstractNumId w:val="64"/>
  </w:num>
  <w:num w:numId="145">
    <w:abstractNumId w:val="375"/>
  </w:num>
  <w:num w:numId="146">
    <w:abstractNumId w:val="475"/>
  </w:num>
  <w:num w:numId="147">
    <w:abstractNumId w:val="377"/>
  </w:num>
  <w:num w:numId="148">
    <w:abstractNumId w:val="12"/>
  </w:num>
  <w:num w:numId="149">
    <w:abstractNumId w:val="492"/>
  </w:num>
  <w:num w:numId="150">
    <w:abstractNumId w:val="457"/>
  </w:num>
  <w:num w:numId="151">
    <w:abstractNumId w:val="1"/>
  </w:num>
  <w:num w:numId="152">
    <w:abstractNumId w:val="394"/>
  </w:num>
  <w:num w:numId="153">
    <w:abstractNumId w:val="52"/>
  </w:num>
  <w:num w:numId="154">
    <w:abstractNumId w:val="173"/>
  </w:num>
  <w:num w:numId="155">
    <w:abstractNumId w:val="311"/>
  </w:num>
  <w:num w:numId="156">
    <w:abstractNumId w:val="40"/>
  </w:num>
  <w:num w:numId="157">
    <w:abstractNumId w:val="68"/>
  </w:num>
  <w:num w:numId="158">
    <w:abstractNumId w:val="370"/>
  </w:num>
  <w:num w:numId="159">
    <w:abstractNumId w:val="290"/>
  </w:num>
  <w:num w:numId="160">
    <w:abstractNumId w:val="576"/>
  </w:num>
  <w:num w:numId="161">
    <w:abstractNumId w:val="496"/>
  </w:num>
  <w:num w:numId="162">
    <w:abstractNumId w:val="471"/>
  </w:num>
  <w:num w:numId="163">
    <w:abstractNumId w:val="506"/>
  </w:num>
  <w:num w:numId="164">
    <w:abstractNumId w:val="418"/>
  </w:num>
  <w:num w:numId="165">
    <w:abstractNumId w:val="7"/>
  </w:num>
  <w:num w:numId="166">
    <w:abstractNumId w:val="451"/>
  </w:num>
  <w:num w:numId="167">
    <w:abstractNumId w:val="511"/>
  </w:num>
  <w:num w:numId="168">
    <w:abstractNumId w:val="388"/>
  </w:num>
  <w:num w:numId="169">
    <w:abstractNumId w:val="411"/>
  </w:num>
  <w:num w:numId="170">
    <w:abstractNumId w:val="364"/>
  </w:num>
  <w:num w:numId="171">
    <w:abstractNumId w:val="538"/>
  </w:num>
  <w:num w:numId="172">
    <w:abstractNumId w:val="344"/>
  </w:num>
  <w:num w:numId="173">
    <w:abstractNumId w:val="20"/>
  </w:num>
  <w:num w:numId="174">
    <w:abstractNumId w:val="155"/>
  </w:num>
  <w:num w:numId="175">
    <w:abstractNumId w:val="70"/>
  </w:num>
  <w:num w:numId="176">
    <w:abstractNumId w:val="197"/>
  </w:num>
  <w:num w:numId="177">
    <w:abstractNumId w:val="130"/>
  </w:num>
  <w:num w:numId="178">
    <w:abstractNumId w:val="46"/>
  </w:num>
  <w:num w:numId="179">
    <w:abstractNumId w:val="541"/>
  </w:num>
  <w:num w:numId="180">
    <w:abstractNumId w:val="8"/>
  </w:num>
  <w:num w:numId="181">
    <w:abstractNumId w:val="319"/>
  </w:num>
  <w:num w:numId="182">
    <w:abstractNumId w:val="219"/>
  </w:num>
  <w:num w:numId="183">
    <w:abstractNumId w:val="323"/>
  </w:num>
  <w:num w:numId="184">
    <w:abstractNumId w:val="201"/>
  </w:num>
  <w:num w:numId="185">
    <w:abstractNumId w:val="369"/>
  </w:num>
  <w:num w:numId="186">
    <w:abstractNumId w:val="87"/>
  </w:num>
  <w:num w:numId="187">
    <w:abstractNumId w:val="415"/>
  </w:num>
  <w:num w:numId="188">
    <w:abstractNumId w:val="222"/>
  </w:num>
  <w:num w:numId="189">
    <w:abstractNumId w:val="221"/>
  </w:num>
  <w:num w:numId="190">
    <w:abstractNumId w:val="524"/>
  </w:num>
  <w:num w:numId="191">
    <w:abstractNumId w:val="532"/>
  </w:num>
  <w:num w:numId="192">
    <w:abstractNumId w:val="467"/>
  </w:num>
  <w:num w:numId="193">
    <w:abstractNumId w:val="515"/>
  </w:num>
  <w:num w:numId="194">
    <w:abstractNumId w:val="470"/>
  </w:num>
  <w:num w:numId="195">
    <w:abstractNumId w:val="41"/>
  </w:num>
  <w:num w:numId="196">
    <w:abstractNumId w:val="230"/>
  </w:num>
  <w:num w:numId="197">
    <w:abstractNumId w:val="287"/>
  </w:num>
  <w:num w:numId="198">
    <w:abstractNumId w:val="35"/>
  </w:num>
  <w:num w:numId="199">
    <w:abstractNumId w:val="71"/>
  </w:num>
  <w:num w:numId="200">
    <w:abstractNumId w:val="178"/>
  </w:num>
  <w:num w:numId="20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27"/>
  </w:num>
  <w:num w:numId="203">
    <w:abstractNumId w:val="104"/>
    <w:lvlOverride w:ilvl="0">
      <w:startOverride w:val="1"/>
    </w:lvlOverride>
  </w:num>
  <w:num w:numId="204">
    <w:abstractNumId w:val="104"/>
    <w:lvlOverride w:ilvl="0">
      <w:startOverride w:val="2"/>
    </w:lvlOverride>
  </w:num>
  <w:num w:numId="205">
    <w:abstractNumId w:val="104"/>
    <w:lvlOverride w:ilvl="0">
      <w:startOverride w:val="3"/>
    </w:lvlOverride>
  </w:num>
  <w:num w:numId="206">
    <w:abstractNumId w:val="104"/>
  </w:num>
  <w:num w:numId="207">
    <w:abstractNumId w:val="54"/>
  </w:num>
  <w:num w:numId="208">
    <w:abstractNumId w:val="122"/>
  </w:num>
  <w:num w:numId="20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02"/>
  </w:num>
  <w:num w:numId="213">
    <w:abstractNumId w:val="11"/>
  </w:num>
  <w:num w:numId="214">
    <w:abstractNumId w:val="493"/>
  </w:num>
  <w:num w:numId="215">
    <w:abstractNumId w:val="57"/>
  </w:num>
  <w:num w:numId="216">
    <w:abstractNumId w:val="574"/>
  </w:num>
  <w:num w:numId="21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91"/>
  </w:num>
  <w:num w:numId="219">
    <w:abstractNumId w:val="466"/>
  </w:num>
  <w:num w:numId="220">
    <w:abstractNumId w:val="478"/>
  </w:num>
  <w:num w:numId="221">
    <w:abstractNumId w:val="215"/>
  </w:num>
  <w:num w:numId="222">
    <w:abstractNumId w:val="203"/>
  </w:num>
  <w:num w:numId="223">
    <w:abstractNumId w:val="159"/>
  </w:num>
  <w:num w:numId="224">
    <w:abstractNumId w:val="435"/>
  </w:num>
  <w:num w:numId="225">
    <w:abstractNumId w:val="96"/>
  </w:num>
  <w:num w:numId="226">
    <w:abstractNumId w:val="305"/>
  </w:num>
  <w:num w:numId="227">
    <w:abstractNumId w:val="244"/>
  </w:num>
  <w:num w:numId="228">
    <w:abstractNumId w:val="556"/>
  </w:num>
  <w:num w:numId="229">
    <w:abstractNumId w:val="499"/>
  </w:num>
  <w:num w:numId="230">
    <w:abstractNumId w:val="76"/>
  </w:num>
  <w:num w:numId="231">
    <w:abstractNumId w:val="419"/>
  </w:num>
  <w:num w:numId="232">
    <w:abstractNumId w:val="168"/>
  </w:num>
  <w:num w:numId="233">
    <w:abstractNumId w:val="105"/>
  </w:num>
  <w:num w:numId="234">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7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74"/>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74"/>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74"/>
    <w:lvlOverride w:ilvl="0">
      <w:startOverride w:val="1"/>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74"/>
    <w:lvlOverride w:ilvl="0">
      <w:startOverride w:val="1"/>
    </w:lvlOverride>
    <w:lvlOverride w:ilvl="1">
      <w:startOverride w:val="1"/>
    </w:lvlOverride>
    <w:lvlOverride w:ilvl="2">
      <w:startOverride w:val="9"/>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74"/>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74"/>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74"/>
    <w:lvlOverride w:ilvl="0">
      <w:startOverride w:val="1"/>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74"/>
    <w:lvlOverride w:ilvl="0">
      <w:startOverride w:val="1"/>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74"/>
    <w:lvlOverride w:ilvl="0">
      <w:startOverride w:val="1"/>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74"/>
    <w:lvlOverride w:ilvl="0">
      <w:startOverride w:val="1"/>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74"/>
    <w:lvlOverride w:ilvl="0">
      <w:startOverride w:val="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74"/>
    <w:lvlOverride w:ilvl="0">
      <w:startOverride w:val="1"/>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4"/>
    <w:lvlOverride w:ilvl="0">
      <w:startOverride w:val="1"/>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74"/>
    <w:lvlOverride w:ilvl="0">
      <w:startOverride w:val="1"/>
    </w:lvlOverride>
    <w:lvlOverride w:ilvl="1">
      <w:startOverride w:val="1"/>
    </w:lvlOverride>
    <w:lvlOverride w:ilvl="2">
      <w:startOverride w:val="18"/>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74"/>
    <w:lvlOverride w:ilvl="0">
      <w:startOverride w:val="1"/>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74"/>
    <w:lvlOverride w:ilvl="0">
      <w:startOverride w:val="1"/>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74"/>
    <w:lvlOverride w:ilvl="0">
      <w:startOverride w:val="1"/>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74"/>
    <w:lvlOverride w:ilvl="0">
      <w:startOverride w:val="1"/>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74"/>
    <w:lvlOverride w:ilvl="0">
      <w:startOverride w:val="1"/>
    </w:lvlOverride>
    <w:lvlOverride w:ilvl="1">
      <w:startOverride w:val="1"/>
    </w:lvlOverride>
    <w:lvlOverride w:ilvl="2">
      <w:startOverride w:val="2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lvlOverride w:ilvl="0">
      <w:startOverride w:val="1"/>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560"/>
  </w:num>
  <w:num w:numId="265">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74"/>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7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74"/>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74"/>
    <w:lvlOverride w:ilvl="0">
      <w:startOverride w:val="1"/>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74"/>
    <w:lvlOverride w:ilvl="0">
      <w:startOverride w:val="1"/>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74"/>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74"/>
    <w:lvlOverride w:ilvl="0">
      <w:startOverride w:val="1"/>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74"/>
    <w:lvlOverride w:ilvl="0">
      <w:startOverride w:val="1"/>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74"/>
    <w:lvlOverride w:ilvl="0">
      <w:startOverride w:val="1"/>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74"/>
    <w:lvlOverride w:ilvl="0">
      <w:startOverride w:val="1"/>
    </w:lvlOverride>
    <w:lvlOverride w:ilvl="1">
      <w:startOverride w:val="1"/>
    </w:lvlOverride>
    <w:lvlOverride w:ilvl="2">
      <w:startOverride w:val="2"/>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83">
    <w:abstractNumId w:val="74"/>
    <w:lvlOverride w:ilvl="0">
      <w:startOverride w:val="1"/>
    </w:lvlOverride>
    <w:lvlOverride w:ilvl="1">
      <w:startOverride w:val="1"/>
    </w:lvlOverride>
    <w:lvlOverride w:ilvl="2">
      <w:startOverride w:val="2"/>
    </w:lvlOverride>
    <w:lvlOverride w:ilvl="3">
      <w:startOverride w:val="2"/>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4">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74"/>
    <w:lvlOverride w:ilvl="0">
      <w:startOverride w:val="1"/>
    </w:lvlOverride>
    <w:lvlOverride w:ilvl="1">
      <w:startOverride w:val="1"/>
    </w:lvlOverride>
    <w:lvlOverride w:ilvl="2">
      <w:startOverride w:val="2"/>
    </w:lvlOverride>
    <w:lvlOverride w:ilvl="3">
      <w:startOverride w:val="3"/>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286">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74"/>
    <w:lvlOverride w:ilvl="0">
      <w:startOverride w:val="1"/>
    </w:lvlOverride>
    <w:lvlOverride w:ilvl="1">
      <w:startOverride w:val="1"/>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1">
    <w:abstractNumId w:val="74"/>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74"/>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74"/>
    <w:lvlOverride w:ilvl="0">
      <w:startOverride w:val="1"/>
    </w:lvlOverride>
    <w:lvlOverride w:ilvl="1">
      <w:startOverride w:val="1"/>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74"/>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74"/>
    <w:lvlOverride w:ilvl="0">
      <w:startOverride w:val="1"/>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431"/>
  </w:num>
  <w:num w:numId="300">
    <w:abstractNumId w:val="531"/>
  </w:num>
  <w:num w:numId="30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74"/>
    <w:lvlOverride w:ilvl="0">
      <w:startOverride w:val="1"/>
    </w:lvlOverride>
    <w:lvlOverride w:ilvl="1">
      <w:startOverride w:val="1"/>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7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534"/>
  </w:num>
  <w:num w:numId="315">
    <w:abstractNumId w:val="145"/>
  </w:num>
  <w:num w:numId="31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74"/>
    <w:lvlOverride w:ilvl="0">
      <w:startOverride w:val="1"/>
    </w:lvlOverride>
    <w:lvlOverride w:ilvl="1">
      <w:startOverride w:val="1"/>
    </w:lvlOverride>
    <w:lvlOverride w:ilvl="2">
      <w:startOverride w:val="4"/>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74"/>
    <w:lvlOverride w:ilvl="0">
      <w:startOverride w:val="1"/>
    </w:lvlOverride>
    <w:lvlOverride w:ilvl="1">
      <w:startOverride w:val="1"/>
    </w:lvlOverride>
    <w:lvlOverride w:ilvl="2">
      <w:startOverride w:val="4"/>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74"/>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74"/>
    <w:lvlOverride w:ilvl="0">
      <w:startOverride w:val="1"/>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356"/>
  </w:num>
  <w:num w:numId="3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561"/>
  </w:num>
  <w:num w:numId="33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74"/>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297"/>
  </w:num>
  <w:num w:numId="349">
    <w:abstractNumId w:val="142"/>
  </w:num>
  <w:num w:numId="35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11"/>
  </w:num>
  <w:num w:numId="358">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296"/>
  </w:num>
  <w:num w:numId="36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234"/>
  </w:num>
  <w:num w:numId="363">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76"/>
  </w:num>
  <w:num w:numId="36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74"/>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7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74"/>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7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362"/>
  </w:num>
  <w:num w:numId="389">
    <w:abstractNumId w:val="460"/>
  </w:num>
  <w:num w:numId="39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220"/>
  </w:num>
  <w:num w:numId="392">
    <w:abstractNumId w:val="7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254"/>
  </w:num>
  <w:num w:numId="397">
    <w:abstractNumId w:val="97"/>
  </w:num>
  <w:num w:numId="398">
    <w:abstractNumId w:val="371"/>
  </w:num>
  <w:num w:numId="399">
    <w:abstractNumId w:val="228"/>
  </w:num>
  <w:num w:numId="400">
    <w:abstractNumId w:val="128"/>
  </w:num>
  <w:num w:numId="401">
    <w:abstractNumId w:val="437"/>
  </w:num>
  <w:num w:numId="402">
    <w:abstractNumId w:val="15"/>
  </w:num>
  <w:num w:numId="403">
    <w:abstractNumId w:val="309"/>
  </w:num>
  <w:num w:numId="404">
    <w:abstractNumId w:val="430"/>
  </w:num>
  <w:num w:numId="405">
    <w:abstractNumId w:val="381"/>
  </w:num>
  <w:num w:numId="406">
    <w:abstractNumId w:val="213"/>
  </w:num>
  <w:num w:numId="407">
    <w:abstractNumId w:val="303"/>
  </w:num>
  <w:num w:numId="408">
    <w:abstractNumId w:val="397"/>
  </w:num>
  <w:num w:numId="409">
    <w:abstractNumId w:val="288"/>
  </w:num>
  <w:num w:numId="410">
    <w:abstractNumId w:val="343"/>
  </w:num>
  <w:num w:numId="411">
    <w:abstractNumId w:val="341"/>
  </w:num>
  <w:num w:numId="412">
    <w:abstractNumId w:val="250"/>
  </w:num>
  <w:num w:numId="413">
    <w:abstractNumId w:val="503"/>
  </w:num>
  <w:num w:numId="414">
    <w:abstractNumId w:val="521"/>
  </w:num>
  <w:num w:numId="415">
    <w:abstractNumId w:val="200"/>
  </w:num>
  <w:num w:numId="416">
    <w:abstractNumId w:val="348"/>
  </w:num>
  <w:num w:numId="417">
    <w:abstractNumId w:val="33"/>
  </w:num>
  <w:num w:numId="418">
    <w:abstractNumId w:val="476"/>
  </w:num>
  <w:num w:numId="419">
    <w:abstractNumId w:val="48"/>
  </w:num>
  <w:num w:numId="420">
    <w:abstractNumId w:val="217"/>
  </w:num>
  <w:num w:numId="421">
    <w:abstractNumId w:val="528"/>
  </w:num>
  <w:num w:numId="422">
    <w:abstractNumId w:val="333"/>
  </w:num>
  <w:num w:numId="423">
    <w:abstractNumId w:val="400"/>
  </w:num>
  <w:num w:numId="424">
    <w:abstractNumId w:val="108"/>
  </w:num>
  <w:num w:numId="425">
    <w:abstractNumId w:val="514"/>
  </w:num>
  <w:num w:numId="426">
    <w:abstractNumId w:val="330"/>
  </w:num>
  <w:num w:numId="427">
    <w:abstractNumId w:val="509"/>
  </w:num>
  <w:num w:numId="428">
    <w:abstractNumId w:val="321"/>
  </w:num>
  <w:num w:numId="429">
    <w:abstractNumId w:val="373"/>
  </w:num>
  <w:num w:numId="430">
    <w:abstractNumId w:val="28"/>
  </w:num>
  <w:num w:numId="431">
    <w:abstractNumId w:val="505"/>
  </w:num>
  <w:num w:numId="432">
    <w:abstractNumId w:val="306"/>
  </w:num>
  <w:num w:numId="433">
    <w:abstractNumId w:val="148"/>
  </w:num>
  <w:num w:numId="434">
    <w:abstractNumId w:val="352"/>
  </w:num>
  <w:num w:numId="435">
    <w:abstractNumId w:val="429"/>
  </w:num>
  <w:num w:numId="436">
    <w:abstractNumId w:val="442"/>
  </w:num>
  <w:num w:numId="437">
    <w:abstractNumId w:val="539"/>
  </w:num>
  <w:num w:numId="438">
    <w:abstractNumId w:val="79"/>
  </w:num>
  <w:num w:numId="439">
    <w:abstractNumId w:val="291"/>
  </w:num>
  <w:num w:numId="440">
    <w:abstractNumId w:val="393"/>
  </w:num>
  <w:num w:numId="441">
    <w:abstractNumId w:val="563"/>
  </w:num>
  <w:num w:numId="442">
    <w:abstractNumId w:val="160"/>
  </w:num>
  <w:num w:numId="443">
    <w:abstractNumId w:val="558"/>
  </w:num>
  <w:num w:numId="444">
    <w:abstractNumId w:val="482"/>
  </w:num>
  <w:num w:numId="445">
    <w:abstractNumId w:val="63"/>
  </w:num>
  <w:num w:numId="446">
    <w:abstractNumId w:val="310"/>
  </w:num>
  <w:num w:numId="447">
    <w:abstractNumId w:val="571"/>
  </w:num>
  <w:num w:numId="448">
    <w:abstractNumId w:val="55"/>
  </w:num>
  <w:num w:numId="449">
    <w:abstractNumId w:val="573"/>
  </w:num>
  <w:num w:numId="450">
    <w:abstractNumId w:val="540"/>
  </w:num>
  <w:num w:numId="451">
    <w:abstractNumId w:val="209"/>
  </w:num>
  <w:num w:numId="452">
    <w:abstractNumId w:val="156"/>
  </w:num>
  <w:num w:numId="453">
    <w:abstractNumId w:val="189"/>
  </w:num>
  <w:num w:numId="454">
    <w:abstractNumId w:val="199"/>
  </w:num>
  <w:num w:numId="455">
    <w:abstractNumId w:val="190"/>
  </w:num>
  <w:num w:numId="456">
    <w:abstractNumId w:val="569"/>
  </w:num>
  <w:num w:numId="457">
    <w:abstractNumId w:val="143"/>
  </w:num>
  <w:num w:numId="458">
    <w:abstractNumId w:val="284"/>
  </w:num>
  <w:num w:numId="459">
    <w:abstractNumId w:val="60"/>
  </w:num>
  <w:num w:numId="460">
    <w:abstractNumId w:val="246"/>
  </w:num>
  <w:num w:numId="461">
    <w:abstractNumId w:val="501"/>
  </w:num>
  <w:num w:numId="462">
    <w:abstractNumId w:val="261"/>
  </w:num>
  <w:num w:numId="463">
    <w:abstractNumId w:val="392"/>
  </w:num>
  <w:num w:numId="464">
    <w:abstractNumId w:val="324"/>
  </w:num>
  <w:num w:numId="465">
    <w:abstractNumId w:val="382"/>
  </w:num>
  <w:num w:numId="466">
    <w:abstractNumId w:val="423"/>
  </w:num>
  <w:num w:numId="467">
    <w:abstractNumId w:val="530"/>
  </w:num>
  <w:num w:numId="468">
    <w:abstractNumId w:val="474"/>
  </w:num>
  <w:num w:numId="469">
    <w:abstractNumId w:val="61"/>
  </w:num>
  <w:num w:numId="470">
    <w:abstractNumId w:val="368"/>
  </w:num>
  <w:num w:numId="471">
    <w:abstractNumId w:val="137"/>
  </w:num>
  <w:num w:numId="472">
    <w:abstractNumId w:val="106"/>
  </w:num>
  <w:num w:numId="473">
    <w:abstractNumId w:val="180"/>
  </w:num>
  <w:num w:numId="474">
    <w:abstractNumId w:val="522"/>
  </w:num>
  <w:num w:numId="475">
    <w:abstractNumId w:val="236"/>
  </w:num>
  <w:num w:numId="476">
    <w:abstractNumId w:val="186"/>
  </w:num>
  <w:num w:numId="477">
    <w:abstractNumId w:val="446"/>
  </w:num>
  <w:num w:numId="478">
    <w:abstractNumId w:val="139"/>
  </w:num>
  <w:num w:numId="479">
    <w:abstractNumId w:val="420"/>
  </w:num>
  <w:num w:numId="480">
    <w:abstractNumId w:val="272"/>
  </w:num>
  <w:num w:numId="481">
    <w:abstractNumId w:val="115"/>
  </w:num>
  <w:num w:numId="482">
    <w:abstractNumId w:val="302"/>
  </w:num>
  <w:num w:numId="483">
    <w:abstractNumId w:val="193"/>
  </w:num>
  <w:num w:numId="484">
    <w:abstractNumId w:val="86"/>
  </w:num>
  <w:num w:numId="485">
    <w:abstractNumId w:val="401"/>
  </w:num>
  <w:num w:numId="486">
    <w:abstractNumId w:val="146"/>
  </w:num>
  <w:num w:numId="487">
    <w:abstractNumId w:val="462"/>
  </w:num>
  <w:num w:numId="488">
    <w:abstractNumId w:val="444"/>
  </w:num>
  <w:num w:numId="489">
    <w:abstractNumId w:val="316"/>
  </w:num>
  <w:num w:numId="490">
    <w:abstractNumId w:val="395"/>
  </w:num>
  <w:num w:numId="491">
    <w:abstractNumId w:val="441"/>
  </w:num>
  <w:num w:numId="492">
    <w:abstractNumId w:val="257"/>
  </w:num>
  <w:num w:numId="493">
    <w:abstractNumId w:val="533"/>
  </w:num>
  <w:num w:numId="494">
    <w:abstractNumId w:val="425"/>
  </w:num>
  <w:num w:numId="495">
    <w:abstractNumId w:val="107"/>
  </w:num>
  <w:num w:numId="496">
    <w:abstractNumId w:val="422"/>
  </w:num>
  <w:num w:numId="497">
    <w:abstractNumId w:val="140"/>
  </w:num>
  <w:num w:numId="498">
    <w:abstractNumId w:val="152"/>
  </w:num>
  <w:num w:numId="499">
    <w:abstractNumId w:val="208"/>
  </w:num>
  <w:num w:numId="500">
    <w:abstractNumId w:val="149"/>
  </w:num>
  <w:num w:numId="501">
    <w:abstractNumId w:val="350"/>
  </w:num>
  <w:num w:numId="502">
    <w:abstractNumId w:val="485"/>
  </w:num>
  <w:num w:numId="503">
    <w:abstractNumId w:val="118"/>
  </w:num>
  <w:num w:numId="504">
    <w:abstractNumId w:val="391"/>
  </w:num>
  <w:num w:numId="505">
    <w:abstractNumId w:val="372"/>
  </w:num>
  <w:num w:numId="506">
    <w:abstractNumId w:val="542"/>
  </w:num>
  <w:num w:numId="507">
    <w:abstractNumId w:val="282"/>
  </w:num>
  <w:num w:numId="508">
    <w:abstractNumId w:val="520"/>
  </w:num>
  <w:num w:numId="509">
    <w:abstractNumId w:val="432"/>
  </w:num>
  <w:num w:numId="510">
    <w:abstractNumId w:val="62"/>
  </w:num>
  <w:num w:numId="511">
    <w:abstractNumId w:val="301"/>
  </w:num>
  <w:num w:numId="512">
    <w:abstractNumId w:val="449"/>
  </w:num>
  <w:num w:numId="513">
    <w:abstractNumId w:val="438"/>
  </w:num>
  <w:num w:numId="514">
    <w:abstractNumId w:val="183"/>
  </w:num>
  <w:num w:numId="515">
    <w:abstractNumId w:val="21"/>
  </w:num>
  <w:num w:numId="516">
    <w:abstractNumId w:val="129"/>
  </w:num>
  <w:num w:numId="517">
    <w:abstractNumId w:val="119"/>
  </w:num>
  <w:num w:numId="518">
    <w:abstractNumId w:val="347"/>
  </w:num>
  <w:num w:numId="519">
    <w:abstractNumId w:val="3"/>
  </w:num>
  <w:num w:numId="520">
    <w:abstractNumId w:val="42"/>
  </w:num>
  <w:num w:numId="521">
    <w:abstractNumId w:val="283"/>
  </w:num>
  <w:num w:numId="522">
    <w:abstractNumId w:val="332"/>
  </w:num>
  <w:num w:numId="523">
    <w:abstractNumId w:val="249"/>
  </w:num>
  <w:num w:numId="524">
    <w:abstractNumId w:val="22"/>
  </w:num>
  <w:num w:numId="525">
    <w:abstractNumId w:val="543"/>
  </w:num>
  <w:num w:numId="526">
    <w:abstractNumId w:val="77"/>
  </w:num>
  <w:num w:numId="527">
    <w:abstractNumId w:val="268"/>
  </w:num>
  <w:num w:numId="528">
    <w:abstractNumId w:val="349"/>
  </w:num>
  <w:num w:numId="529">
    <w:abstractNumId w:val="232"/>
  </w:num>
  <w:num w:numId="530">
    <w:abstractNumId w:val="424"/>
  </w:num>
  <w:num w:numId="531">
    <w:abstractNumId w:val="483"/>
  </w:num>
  <w:num w:numId="532">
    <w:abstractNumId w:val="479"/>
  </w:num>
  <w:num w:numId="533">
    <w:abstractNumId w:val="340"/>
  </w:num>
  <w:num w:numId="534">
    <w:abstractNumId w:val="110"/>
  </w:num>
  <w:num w:numId="535">
    <w:abstractNumId w:val="495"/>
  </w:num>
  <w:num w:numId="536">
    <w:abstractNumId w:val="241"/>
  </w:num>
  <w:num w:numId="537">
    <w:abstractNumId w:val="447"/>
  </w:num>
  <w:num w:numId="538">
    <w:abstractNumId w:val="223"/>
  </w:num>
  <w:num w:numId="539">
    <w:abstractNumId w:val="280"/>
  </w:num>
  <w:num w:numId="540">
    <w:abstractNumId w:val="113"/>
  </w:num>
  <w:num w:numId="541">
    <w:abstractNumId w:val="267"/>
  </w:num>
  <w:num w:numId="542">
    <w:abstractNumId w:val="473"/>
  </w:num>
  <w:num w:numId="543">
    <w:abstractNumId w:val="405"/>
  </w:num>
  <w:num w:numId="544">
    <w:abstractNumId w:val="229"/>
  </w:num>
  <w:num w:numId="545">
    <w:abstractNumId w:val="171"/>
  </w:num>
  <w:num w:numId="546">
    <w:abstractNumId w:val="390"/>
  </w:num>
  <w:num w:numId="547">
    <w:abstractNumId w:val="361"/>
  </w:num>
  <w:num w:numId="548">
    <w:abstractNumId w:val="150"/>
  </w:num>
  <w:num w:numId="549">
    <w:abstractNumId w:val="339"/>
  </w:num>
  <w:num w:numId="550">
    <w:abstractNumId w:val="124"/>
  </w:num>
  <w:num w:numId="551">
    <w:abstractNumId w:val="279"/>
  </w:num>
  <w:num w:numId="552">
    <w:abstractNumId w:val="427"/>
  </w:num>
  <w:num w:numId="553">
    <w:abstractNumId w:val="293"/>
  </w:num>
  <w:num w:numId="554">
    <w:abstractNumId w:val="75"/>
  </w:num>
  <w:num w:numId="555">
    <w:abstractNumId w:val="147"/>
  </w:num>
  <w:num w:numId="556">
    <w:abstractNumId w:val="547"/>
  </w:num>
  <w:num w:numId="557">
    <w:abstractNumId w:val="67"/>
  </w:num>
  <w:num w:numId="558">
    <w:abstractNumId w:val="366"/>
  </w:num>
  <w:num w:numId="559">
    <w:abstractNumId w:val="523"/>
  </w:num>
  <w:num w:numId="560">
    <w:abstractNumId w:val="374"/>
  </w:num>
  <w:num w:numId="561">
    <w:abstractNumId w:val="94"/>
  </w:num>
  <w:num w:numId="562">
    <w:abstractNumId w:val="334"/>
  </w:num>
  <w:num w:numId="563">
    <w:abstractNumId w:val="500"/>
  </w:num>
  <w:num w:numId="564">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rPr>
      </w:lvl>
    </w:lvlOverride>
    <w:lvlOverride w:ilvl="3">
      <w:lvl w:ilvl="3">
        <w:start w:val="1"/>
        <w:numFmt w:val="decimal"/>
        <w:pStyle w:val="SchNumber2"/>
        <w:lvlText w:val="%3.%4"/>
        <w:lvlJc w:val="left"/>
        <w:pPr>
          <w:tabs>
            <w:tab w:val="num" w:pos="709"/>
          </w:tabs>
          <w:ind w:left="709" w:hanging="709"/>
        </w:pPr>
        <w:rPr>
          <w:rFonts w:ascii="Arial" w:hAnsi="Arial" w:cs="Arial" w:hint="default"/>
          <w:b/>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565">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566">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229"/>
    <w:lvlOverride w:ilvl="0">
      <w:startOverride w:val="1"/>
      <w:lvl w:ilvl="0">
        <w:start w:val="1"/>
        <w:numFmt w:val="decimal"/>
        <w:lvlText w:val=""/>
        <w:lvlJc w:val="left"/>
      </w:lvl>
    </w:lvlOverride>
    <w:lvlOverride w:ilvl="1">
      <w:startOverride w:val="1"/>
      <w:lvl w:ilvl="1">
        <w:start w:val="1"/>
        <w:numFmt w:val="decimal"/>
        <w:pStyle w:val="SchSubtitle"/>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pStyle w:val="SchNumber2"/>
        <w:lvlText w:val=""/>
        <w:lvlJc w:val="left"/>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num>
  <w:num w:numId="568">
    <w:abstractNumId w:val="74"/>
    <w:lvlOverride w:ilvl="0">
      <w:startOverride w:val="1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263"/>
  </w:num>
  <w:num w:numId="570">
    <w:abstractNumId w:val="410"/>
  </w:num>
  <w:num w:numId="571">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519"/>
          </w:tabs>
          <w:ind w:left="1519"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lvl>
    </w:lvlOverride>
    <w:lvlOverride w:ilvl="6">
      <w:lvl w:ilvl="6">
        <w:start w:val="1"/>
        <w:numFmt w:val="decimal"/>
        <w:pStyle w:val="SchNumber5"/>
        <w:lvlText w:val="(%7)"/>
        <w:lvlJc w:val="left"/>
        <w:pPr>
          <w:tabs>
            <w:tab w:val="num" w:pos="2835"/>
          </w:tabs>
          <w:ind w:left="2835" w:hanging="709"/>
        </w:pPr>
      </w:lvl>
    </w:lvlOverride>
    <w:lvlOverride w:ilvl="7">
      <w:lvl w:ilvl="7">
        <w:start w:val="1"/>
        <w:numFmt w:val="none"/>
        <w:lvlText w:val=""/>
        <w:lvlJc w:val="left"/>
        <w:pPr>
          <w:tabs>
            <w:tab w:val="num" w:pos="0"/>
          </w:tabs>
          <w:ind w:left="0" w:firstLine="0"/>
        </w:pPr>
      </w:lvl>
    </w:lvlOverride>
    <w:lvlOverride w:ilvl="8">
      <w:lvl w:ilvl="8">
        <w:start w:val="1"/>
        <w:numFmt w:val="none"/>
        <w:lvlText w:val=""/>
        <w:lvlJc w:val="left"/>
        <w:pPr>
          <w:ind w:left="0" w:firstLine="0"/>
        </w:pPr>
      </w:lvl>
    </w:lvlOverride>
  </w:num>
  <w:num w:numId="572">
    <w:abstractNumId w:val="92"/>
  </w:num>
  <w:num w:numId="573">
    <w:abstractNumId w:val="529"/>
  </w:num>
  <w:num w:numId="574">
    <w:abstractNumId w:val="85"/>
  </w:num>
  <w:num w:numId="575">
    <w:abstractNumId w:val="433"/>
  </w:num>
  <w:num w:numId="576">
    <w:abstractNumId w:val="572"/>
  </w:num>
  <w:num w:numId="577">
    <w:abstractNumId w:val="17"/>
  </w:num>
  <w:num w:numId="578">
    <w:abstractNumId w:val="29"/>
  </w:num>
  <w:num w:numId="579">
    <w:abstractNumId w:val="19"/>
  </w:num>
  <w:num w:numId="580">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581">
    <w:abstractNumId w:val="464"/>
  </w:num>
  <w:num w:numId="582">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val="0"/>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583">
    <w:abstractNumId w:val="336"/>
  </w:num>
  <w:num w:numId="584">
    <w:abstractNumId w:val="212"/>
  </w:num>
  <w:num w:numId="585">
    <w:abstractNumId w:val="218"/>
  </w:num>
  <w:num w:numId="586">
    <w:abstractNumId w:val="214"/>
  </w:num>
  <w:num w:numId="587">
    <w:abstractNumId w:val="27"/>
  </w:num>
  <w:num w:numId="588">
    <w:abstractNumId w:val="90"/>
  </w:num>
  <w:num w:numId="589">
    <w:abstractNumId w:val="545"/>
  </w:num>
  <w:num w:numId="590">
    <w:abstractNumId w:val="480"/>
  </w:num>
  <w:num w:numId="591">
    <w:abstractNumId w:val="78"/>
  </w:num>
  <w:num w:numId="592">
    <w:abstractNumId w:val="252"/>
  </w:num>
  <w:num w:numId="593">
    <w:abstractNumId w:val="546"/>
  </w:num>
  <w:num w:numId="594">
    <w:abstractNumId w:val="84"/>
  </w:num>
  <w:num w:numId="595">
    <w:abstractNumId w:val="242"/>
  </w:num>
  <w:num w:numId="596">
    <w:abstractNumId w:val="439"/>
  </w:num>
  <w:num w:numId="597">
    <w:abstractNumId w:val="49"/>
  </w:num>
  <w:num w:numId="598">
    <w:abstractNumId w:val="504"/>
  </w:num>
  <w:num w:numId="599">
    <w:abstractNumId w:val="335"/>
  </w:num>
  <w:num w:numId="600">
    <w:abstractNumId w:val="298"/>
  </w:num>
  <w:num w:numId="601">
    <w:abstractNumId w:val="360"/>
  </w:num>
  <w:num w:numId="602">
    <w:abstractNumId w:val="414"/>
  </w:num>
  <w:num w:numId="603">
    <w:abstractNumId w:val="549"/>
  </w:num>
  <w:num w:numId="604">
    <w:abstractNumId w:val="331"/>
  </w:num>
  <w:num w:numId="605">
    <w:abstractNumId w:val="453"/>
  </w:num>
  <w:num w:numId="606">
    <w:abstractNumId w:val="295"/>
  </w:num>
  <w:num w:numId="607">
    <w:abstractNumId w:val="270"/>
  </w:num>
  <w:num w:numId="608">
    <w:abstractNumId w:val="258"/>
  </w:num>
  <w:num w:numId="609">
    <w:abstractNumId w:val="308"/>
  </w:num>
  <w:num w:numId="610">
    <w:abstractNumId w:val="53"/>
  </w:num>
  <w:num w:numId="611">
    <w:abstractNumId w:val="251"/>
  </w:num>
  <w:num w:numId="612">
    <w:abstractNumId w:val="191"/>
  </w:num>
  <w:num w:numId="613">
    <w:abstractNumId w:val="229"/>
    <w:lvlOverride w:ilvl="0">
      <w:lvl w:ilvl="0">
        <w:numFmt w:val="decimal"/>
        <w:lvlText w:val=""/>
        <w:lvlJc w:val="left"/>
      </w:lvl>
    </w:lvlOverride>
    <w:lvlOverride w:ilvl="1">
      <w:lvl w:ilvl="1">
        <w:numFmt w:val="decimal"/>
        <w:pStyle w:val="SchSubtitle"/>
        <w:lvlText w:val=""/>
        <w:lvlJc w:val="left"/>
      </w:lvl>
    </w:lvlOverride>
    <w:lvlOverride w:ilvl="2">
      <w:lvl w:ilvl="2">
        <w:start w:val="1"/>
        <w:numFmt w:val="decimal"/>
        <w:pStyle w:val="Heading3"/>
        <w:lvlText w:val="%3."/>
        <w:lvlJc w:val="left"/>
        <w:pPr>
          <w:tabs>
            <w:tab w:val="num" w:pos="709"/>
          </w:tabs>
          <w:ind w:left="709" w:hanging="709"/>
        </w:pPr>
        <w:rPr>
          <w:rFonts w:ascii="Arial" w:hAnsi="Arial" w:cs="Arial" w:hint="default"/>
          <w:b/>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num>
  <w:num w:numId="614">
    <w:abstractNumId w:val="229"/>
    <w:lvlOverride w:ilvl="0">
      <w:startOverride w:val="1"/>
      <w:lvl w:ilvl="0">
        <w:start w:val="1"/>
        <w:numFmt w:val="decimal"/>
        <w:lvlText w:val=""/>
        <w:lvlJc w:val="left"/>
      </w:lvl>
    </w:lvlOverride>
    <w:lvlOverride w:ilvl="1">
      <w:startOverride w:val="1"/>
      <w:lvl w:ilvl="1">
        <w:start w:val="1"/>
        <w:numFmt w:val="decimal"/>
        <w:pStyle w:val="SchSubtitle"/>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num>
  <w:num w:numId="615">
    <w:abstractNumId w:val="206"/>
  </w:num>
  <w:num w:numId="616">
    <w:abstractNumId w:val="567"/>
  </w:num>
  <w:num w:numId="617">
    <w:abstractNumId w:val="51"/>
  </w:num>
  <w:num w:numId="618">
    <w:abstractNumId w:val="36"/>
  </w:num>
  <w:num w:numId="619">
    <w:abstractNumId w:val="488"/>
  </w:num>
  <w:num w:numId="620">
    <w:abstractNumId w:val="553"/>
  </w:num>
  <w:num w:numId="621">
    <w:abstractNumId w:val="83"/>
  </w:num>
  <w:num w:numId="622">
    <w:abstractNumId w:val="157"/>
  </w:num>
  <w:num w:numId="623">
    <w:abstractNumId w:val="508"/>
  </w:num>
  <w:num w:numId="624">
    <w:abstractNumId w:val="38"/>
  </w:num>
  <w:num w:numId="625">
    <w:abstractNumId w:val="163"/>
  </w:num>
  <w:num w:numId="626">
    <w:abstractNumId w:val="289"/>
  </w:num>
  <w:num w:numId="627">
    <w:abstractNumId w:val="167"/>
  </w:num>
  <w:num w:numId="628">
    <w:abstractNumId w:val="380"/>
  </w:num>
  <w:num w:numId="629">
    <w:abstractNumId w:val="134"/>
  </w:num>
  <w:num w:numId="630">
    <w:abstractNumId w:val="138"/>
  </w:num>
  <w:num w:numId="631">
    <w:abstractNumId w:val="25"/>
  </w:num>
  <w:num w:numId="632">
    <w:abstractNumId w:val="358"/>
  </w:num>
  <w:num w:numId="633">
    <w:abstractNumId w:val="459"/>
  </w:num>
  <w:num w:numId="634">
    <w:abstractNumId w:val="269"/>
  </w:num>
  <w:num w:numId="635">
    <w:abstractNumId w:val="47"/>
  </w:num>
  <w:num w:numId="636">
    <w:abstractNumId w:val="264"/>
  </w:num>
  <w:num w:numId="637">
    <w:abstractNumId w:val="273"/>
  </w:num>
  <w:num w:numId="638">
    <w:abstractNumId w:val="304"/>
  </w:num>
  <w:num w:numId="639">
    <w:abstractNumId w:val="265"/>
  </w:num>
  <w:num w:numId="640">
    <w:abstractNumId w:val="43"/>
  </w:num>
  <w:num w:numId="641">
    <w:abstractNumId w:val="384"/>
  </w:num>
  <w:num w:numId="642">
    <w:abstractNumId w:val="313"/>
  </w:num>
  <w:num w:numId="643">
    <w:abstractNumId w:val="458"/>
  </w:num>
  <w:num w:numId="644">
    <w:abstractNumId w:val="536"/>
  </w:num>
  <w:num w:numId="645">
    <w:abstractNumId w:val="328"/>
  </w:num>
  <w:num w:numId="646">
    <w:abstractNumId w:val="260"/>
  </w:num>
  <w:num w:numId="647">
    <w:abstractNumId w:val="396"/>
  </w:num>
  <w:num w:numId="648">
    <w:abstractNumId w:val="557"/>
  </w:num>
  <w:num w:numId="649">
    <w:abstractNumId w:val="502"/>
  </w:num>
  <w:num w:numId="650">
    <w:abstractNumId w:val="233"/>
  </w:num>
  <w:num w:numId="651">
    <w:abstractNumId w:val="468"/>
  </w:num>
  <w:num w:numId="652">
    <w:abstractNumId w:val="322"/>
  </w:num>
  <w:num w:numId="653">
    <w:abstractNumId w:val="345"/>
  </w:num>
  <w:num w:numId="654">
    <w:abstractNumId w:val="196"/>
  </w:num>
  <w:num w:numId="655">
    <w:abstractNumId w:val="227"/>
  </w:num>
  <w:num w:numId="656">
    <w:abstractNumId w:val="337"/>
  </w:num>
  <w:num w:numId="657">
    <w:abstractNumId w:val="535"/>
  </w:num>
  <w:num w:numId="658">
    <w:abstractNumId w:val="245"/>
  </w:num>
  <w:num w:numId="659">
    <w:abstractNumId w:val="132"/>
  </w:num>
  <w:num w:numId="660">
    <w:abstractNumId w:val="357"/>
  </w:num>
  <w:num w:numId="661">
    <w:abstractNumId w:val="329"/>
  </w:num>
  <w:num w:numId="662">
    <w:abstractNumId w:val="275"/>
  </w:num>
  <w:num w:numId="663">
    <w:abstractNumId w:val="45"/>
  </w:num>
  <w:num w:numId="664">
    <w:abstractNumId w:val="463"/>
  </w:num>
  <w:num w:numId="665">
    <w:abstractNumId w:val="125"/>
  </w:num>
  <w:num w:numId="666">
    <w:abstractNumId w:val="565"/>
  </w:num>
  <w:num w:numId="667">
    <w:abstractNumId w:val="551"/>
  </w:num>
  <w:num w:numId="668">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669">
    <w:abstractNumId w:val="318"/>
  </w:num>
  <w:num w:numId="670">
    <w:abstractNumId w:val="131"/>
  </w:num>
  <w:num w:numId="671">
    <w:abstractNumId w:val="243"/>
  </w:num>
  <w:num w:numId="672">
    <w:abstractNumId w:val="135"/>
  </w:num>
  <w:num w:numId="673">
    <w:abstractNumId w:val="188"/>
  </w:num>
  <w:num w:numId="674">
    <w:abstractNumId w:val="14"/>
  </w:num>
  <w:num w:numId="675">
    <w:abstractNumId w:val="120"/>
  </w:num>
  <w:num w:numId="676">
    <w:abstractNumId w:val="507"/>
  </w:num>
  <w:num w:numId="677">
    <w:abstractNumId w:val="566"/>
  </w:num>
  <w:num w:numId="678">
    <w:abstractNumId w:val="456"/>
  </w:num>
  <w:num w:numId="679">
    <w:abstractNumId w:val="59"/>
  </w:num>
  <w:num w:numId="680">
    <w:abstractNumId w:val="327"/>
  </w:num>
  <w:num w:numId="681">
    <w:abstractNumId w:val="229"/>
    <w:lvlOverride w:ilvl="0">
      <w:startOverride w:val="1"/>
      <w:lvl w:ilvl="0">
        <w:start w:val="1"/>
        <w:numFmt w:val="decimal"/>
        <w:lvlText w:val=""/>
        <w:lvlJc w:val="left"/>
      </w:lvl>
    </w:lvlOverride>
    <w:lvlOverride w:ilvl="1">
      <w:startOverride w:val="1"/>
      <w:lvl w:ilvl="1">
        <w:start w:val="1"/>
        <w:numFmt w:val="decimal"/>
        <w:pStyle w:val="SchSubtitle"/>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pStyle w:val="SchNumber2"/>
        <w:lvlText w:val=""/>
        <w:lvlJc w:val="left"/>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decimal"/>
        <w:pStyle w:val="SchNumber4"/>
        <w:lvlText w:val=""/>
        <w:lvlJc w:val="left"/>
      </w:lvl>
    </w:lvlOverride>
    <w:lvlOverride w:ilvl="6">
      <w:startOverride w:val="1"/>
      <w:lvl w:ilvl="6">
        <w:start w:val="1"/>
        <w:numFmt w:val="decimal"/>
        <w:pStyle w:val="SchNumber5"/>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82">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683">
    <w:abstractNumId w:val="229"/>
  </w:num>
  <w:num w:numId="684">
    <w:abstractNumId w:val="239"/>
  </w:num>
  <w:num w:numId="685">
    <w:abstractNumId w:val="32"/>
  </w:num>
  <w:num w:numId="686">
    <w:abstractNumId w:val="387"/>
  </w:num>
  <w:num w:numId="687">
    <w:abstractNumId w:val="194"/>
  </w:num>
  <w:num w:numId="688">
    <w:abstractNumId w:val="445"/>
  </w:num>
  <w:num w:numId="689">
    <w:abstractNumId w:val="355"/>
  </w:num>
  <w:num w:numId="690">
    <w:abstractNumId w:val="126"/>
  </w:num>
  <w:num w:numId="691">
    <w:abstractNumId w:val="100"/>
  </w:num>
  <w:num w:numId="692">
    <w:abstractNumId w:val="5"/>
  </w:num>
  <w:num w:numId="693">
    <w:abstractNumId w:val="406"/>
  </w:num>
  <w:num w:numId="694">
    <w:abstractNumId w:val="376"/>
  </w:num>
  <w:num w:numId="695">
    <w:abstractNumId w:val="101"/>
  </w:num>
  <w:num w:numId="696">
    <w:abstractNumId w:val="454"/>
  </w:num>
  <w:num w:numId="697">
    <w:abstractNumId w:val="247"/>
  </w:num>
  <w:num w:numId="698">
    <w:abstractNumId w:val="73"/>
  </w:num>
  <w:num w:numId="699">
    <w:abstractNumId w:val="568"/>
  </w:num>
  <w:num w:numId="700">
    <w:abstractNumId w:val="274"/>
  </w:num>
  <w:num w:numId="701">
    <w:abstractNumId w:val="56"/>
  </w:num>
  <w:num w:numId="702">
    <w:abstractNumId w:val="262"/>
  </w:num>
  <w:num w:numId="703">
    <w:abstractNumId w:val="519"/>
  </w:num>
  <w:num w:numId="704">
    <w:abstractNumId w:val="359"/>
  </w:num>
  <w:num w:numId="705">
    <w:abstractNumId w:val="544"/>
  </w:num>
  <w:num w:numId="706">
    <w:abstractNumId w:val="559"/>
  </w:num>
  <w:num w:numId="707">
    <w:abstractNumId w:val="408"/>
  </w:num>
  <w:num w:numId="708">
    <w:abstractNumId w:val="300"/>
  </w:num>
  <w:num w:numId="709">
    <w:abstractNumId w:val="6"/>
  </w:num>
  <w:num w:numId="710">
    <w:abstractNumId w:val="421"/>
  </w:num>
  <w:num w:numId="711">
    <w:abstractNumId w:val="182"/>
  </w:num>
  <w:num w:numId="712">
    <w:abstractNumId w:val="386"/>
  </w:num>
  <w:num w:numId="713">
    <w:abstractNumId w:val="307"/>
  </w:num>
  <w:num w:numId="714">
    <w:abstractNumId w:val="112"/>
  </w:num>
  <w:num w:numId="715">
    <w:abstractNumId w:val="389"/>
  </w:num>
  <w:num w:numId="716">
    <w:abstractNumId w:val="317"/>
  </w:num>
  <w:num w:numId="717">
    <w:abstractNumId w:val="510"/>
  </w:num>
  <w:num w:numId="718">
    <w:abstractNumId w:val="354"/>
  </w:num>
  <w:num w:numId="719">
    <w:abstractNumId w:val="114"/>
  </w:num>
  <w:num w:numId="720">
    <w:abstractNumId w:val="4"/>
  </w:num>
  <w:num w:numId="721">
    <w:abstractNumId w:val="448"/>
  </w:num>
  <w:num w:numId="722">
    <w:abstractNumId w:val="526"/>
  </w:num>
  <w:num w:numId="723">
    <w:abstractNumId w:val="367"/>
  </w:num>
  <w:num w:numId="724">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725">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726">
    <w:abstractNumId w:val="229"/>
    <w:lvlOverride w:ilvl="0">
      <w:lvl w:ilvl="0">
        <w:start w:val="1"/>
        <w:numFmt w:val="none"/>
        <w:suff w:val="nothing"/>
        <w:lvlText w:val=""/>
        <w:lvlJc w:val="left"/>
        <w:pPr>
          <w:ind w:left="0" w:firstLine="0"/>
        </w:pPr>
        <w:rPr>
          <w:rFonts w:ascii="Arial" w:hAnsi="Arial" w:cs="Arial" w:hint="default"/>
          <w:b w:val="0"/>
        </w:rPr>
      </w:lvl>
    </w:lvlOverride>
    <w:lvlOverride w:ilvl="1">
      <w:lvl w:ilvl="1">
        <w:start w:val="1"/>
        <w:numFmt w:val="none"/>
        <w:pStyle w:val="SchSubtitle"/>
        <w:isLgl/>
        <w:suff w:val="nothing"/>
        <w:lvlText w:val=""/>
        <w:lvlJc w:val="left"/>
        <w:pPr>
          <w:ind w:left="0" w:firstLine="0"/>
        </w:pPr>
        <w:rPr>
          <w:rFonts w:ascii="Arial" w:hAnsi="Arial" w:cs="Arial" w:hint="default"/>
          <w:b w:val="0"/>
        </w:rPr>
      </w:lvl>
    </w:lvlOverride>
    <w:lvlOverride w:ilvl="2">
      <w:lvl w:ilvl="2">
        <w:start w:val="1"/>
        <w:numFmt w:val="decimal"/>
        <w:pStyle w:val="Heading3"/>
        <w:lvlText w:val="%3."/>
        <w:lvlJc w:val="left"/>
        <w:pPr>
          <w:tabs>
            <w:tab w:val="num" w:pos="709"/>
          </w:tabs>
          <w:ind w:left="709" w:hanging="709"/>
        </w:pPr>
        <w:rPr>
          <w:rFonts w:ascii="Arial" w:hAnsi="Arial" w:cs="Arial" w:hint="default"/>
          <w:b/>
        </w:rPr>
      </w:lvl>
    </w:lvlOverride>
    <w:lvlOverride w:ilvl="3">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lvl w:ilvl="5">
        <w:start w:val="1"/>
        <w:numFmt w:val="lowerRoman"/>
        <w:pStyle w:val="SchNumber4"/>
        <w:lvlText w:val="(%6)"/>
        <w:lvlJc w:val="left"/>
        <w:pPr>
          <w:tabs>
            <w:tab w:val="num" w:pos="2126"/>
          </w:tabs>
          <w:ind w:left="2126" w:hanging="708"/>
        </w:pPr>
        <w:rPr>
          <w:rFonts w:hint="default"/>
        </w:rPr>
      </w:lvl>
    </w:lvlOverride>
    <w:lvlOverride w:ilvl="6">
      <w:lvl w:ilvl="6">
        <w:start w:val="1"/>
        <w:numFmt w:val="decimal"/>
        <w:pStyle w:val="SchNumber5"/>
        <w:lvlText w:val="(%7)"/>
        <w:lvlJc w:val="left"/>
        <w:pPr>
          <w:tabs>
            <w:tab w:val="num" w:pos="2835"/>
          </w:tabs>
          <w:ind w:left="2835" w:hanging="709"/>
        </w:pPr>
        <w:rPr>
          <w:rFonts w:hint="default"/>
        </w:rPr>
      </w:lvl>
    </w:lvlOverride>
    <w:lvlOverride w:ilvl="7">
      <w:lvl w:ilvl="7">
        <w:start w:val="1"/>
        <w:numFmt w:val="none"/>
        <w:lvlText w:val=""/>
        <w:lvlJc w:val="left"/>
        <w:pPr>
          <w:tabs>
            <w:tab w:val="num" w:pos="0"/>
          </w:tabs>
          <w:ind w:left="0" w:firstLine="0"/>
        </w:pPr>
        <w:rPr>
          <w:rFonts w:hint="default"/>
        </w:rPr>
      </w:lvl>
    </w:lvlOverride>
    <w:lvlOverride w:ilvl="8">
      <w:lvl w:ilvl="8">
        <w:start w:val="1"/>
        <w:numFmt w:val="none"/>
        <w:lvlText w:val=""/>
        <w:lvlJc w:val="left"/>
        <w:pPr>
          <w:tabs>
            <w:tab w:val="num" w:pos="-31680"/>
          </w:tabs>
          <w:ind w:left="0" w:firstLine="0"/>
        </w:pPr>
        <w:rPr>
          <w:rFonts w:hint="default"/>
        </w:rPr>
      </w:lvl>
    </w:lvlOverride>
  </w:num>
  <w:num w:numId="727">
    <w:abstractNumId w:val="314"/>
  </w:num>
  <w:num w:numId="728">
    <w:abstractNumId w:val="179"/>
  </w:num>
  <w:num w:numId="729">
    <w:abstractNumId w:val="153"/>
  </w:num>
  <w:num w:numId="730">
    <w:abstractNumId w:val="55"/>
    <w:lvlOverride w:ilvl="0">
      <w:startOverride w:val="1"/>
    </w:lvlOverride>
  </w:num>
  <w:num w:numId="731">
    <w:abstractNumId w:val="104"/>
    <w:lvlOverride w:ilvl="0">
      <w:startOverride w:val="1"/>
    </w:lvlOverride>
  </w:num>
  <w:num w:numId="732">
    <w:abstractNumId w:val="104"/>
    <w:lvlOverride w:ilvl="0">
      <w:startOverride w:val="1"/>
    </w:lvlOverride>
  </w:num>
  <w:num w:numId="733">
    <w:abstractNumId w:val="104"/>
    <w:lvlOverride w:ilvl="0">
      <w:startOverride w:val="1"/>
    </w:lvlOverride>
  </w:num>
  <w:num w:numId="734">
    <w:abstractNumId w:val="104"/>
    <w:lvlOverride w:ilvl="0">
      <w:startOverride w:val="1"/>
    </w:lvlOverride>
  </w:num>
  <w:num w:numId="735">
    <w:abstractNumId w:val="489"/>
  </w:num>
  <w:num w:numId="736">
    <w:abstractNumId w:val="95"/>
  </w:num>
  <w:num w:numId="737">
    <w:abstractNumId w:val="192"/>
  </w:num>
  <w:num w:numId="738">
    <w:abstractNumId w:val="513"/>
  </w:num>
  <w:num w:numId="739">
    <w:abstractNumId w:val="170"/>
  </w:num>
  <w:num w:numId="740">
    <w:abstractNumId w:val="409"/>
  </w:num>
  <w:num w:numId="741">
    <w:abstractNumId w:val="512"/>
  </w:num>
  <w:num w:numId="742">
    <w:abstractNumId w:val="16"/>
  </w:num>
  <w:num w:numId="743">
    <w:abstractNumId w:val="256"/>
  </w:num>
  <w:num w:numId="744">
    <w:abstractNumId w:val="320"/>
  </w:num>
  <w:num w:numId="745">
    <w:abstractNumId w:val="402"/>
  </w:num>
  <w:num w:numId="746">
    <w:abstractNumId w:val="37"/>
  </w:num>
  <w:num w:numId="747">
    <w:abstractNumId w:val="398"/>
  </w:num>
  <w:num w:numId="748">
    <w:abstractNumId w:val="89"/>
  </w:num>
  <w:num w:numId="749">
    <w:abstractNumId w:val="169"/>
  </w:num>
  <w:num w:numId="750">
    <w:abstractNumId w:val="440"/>
  </w:num>
  <w:num w:numId="751">
    <w:abstractNumId w:val="210"/>
  </w:num>
  <w:num w:numId="752">
    <w:abstractNumId w:val="66"/>
  </w:num>
  <w:num w:numId="753">
    <w:abstractNumId w:val="93"/>
  </w:num>
  <w:num w:numId="754">
    <w:abstractNumId w:val="407"/>
  </w:num>
  <w:num w:numId="755">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756">
    <w:abstractNumId w:val="229"/>
    <w:lvlOverride w:ilvl="0">
      <w:startOverride w:val="1"/>
      <w:lvl w:ilvl="0">
        <w:start w:val="1"/>
        <w:numFmt w:val="none"/>
        <w:suff w:val="nothing"/>
        <w:lvlText w:val=""/>
        <w:lvlJc w:val="left"/>
        <w:pPr>
          <w:ind w:left="0" w:firstLine="0"/>
        </w:pPr>
        <w:rPr>
          <w:rFonts w:ascii="Arial" w:hAnsi="Arial" w:cs="Arial" w:hint="default"/>
          <w:b w:val="0"/>
        </w:rPr>
      </w:lvl>
    </w:lvlOverride>
    <w:lvlOverride w:ilvl="1">
      <w:startOverride w:val="1"/>
      <w:lvl w:ilvl="1">
        <w:start w:val="1"/>
        <w:numFmt w:val="none"/>
        <w:pStyle w:val="SchSubtitle"/>
        <w:isLgl/>
        <w:suff w:val="nothing"/>
        <w:lvlText w:val=""/>
        <w:lvlJc w:val="left"/>
        <w:pPr>
          <w:ind w:left="0" w:firstLine="0"/>
        </w:pPr>
        <w:rPr>
          <w:rFonts w:ascii="Arial" w:hAnsi="Arial" w:cs="Arial" w:hint="default"/>
          <w:b w:val="0"/>
        </w:rPr>
      </w:lvl>
    </w:lvlOverride>
    <w:lvlOverride w:ilvl="2">
      <w:startOverride w:val="1"/>
      <w:lvl w:ilvl="2">
        <w:start w:val="1"/>
        <w:numFmt w:val="decimal"/>
        <w:pStyle w:val="Heading3"/>
        <w:lvlText w:val="%3."/>
        <w:lvlJc w:val="left"/>
        <w:pPr>
          <w:tabs>
            <w:tab w:val="num" w:pos="709"/>
          </w:tabs>
          <w:ind w:left="709" w:hanging="709"/>
        </w:pPr>
        <w:rPr>
          <w:rFonts w:ascii="Arial" w:hAnsi="Arial" w:cs="Arial" w:hint="default"/>
          <w:b w:val="0"/>
        </w:rPr>
      </w:lvl>
    </w:lvlOverride>
    <w:lvlOverride w:ilvl="3">
      <w:startOverride w:val="1"/>
      <w:lvl w:ilvl="3">
        <w:start w:val="1"/>
        <w:numFmt w:val="decimal"/>
        <w:pStyle w:val="SchNumber2"/>
        <w:lvlText w:val="%3.%4"/>
        <w:lvlJc w:val="left"/>
        <w:pPr>
          <w:tabs>
            <w:tab w:val="num" w:pos="709"/>
          </w:tabs>
          <w:ind w:left="709" w:hanging="709"/>
        </w:pPr>
        <w:rPr>
          <w:rFonts w:ascii="Arial" w:hAnsi="Arial" w:cs="Arial" w:hint="default"/>
          <w:b w:val="0"/>
        </w:rPr>
      </w:lvl>
    </w:lvlOverride>
    <w:lvlOverride w:ilvl="4">
      <w:startOverride w:val="1"/>
      <w:lvl w:ilvl="4">
        <w:start w:val="1"/>
        <w:numFmt w:val="lowerLetter"/>
        <w:pStyle w:val="SchNumber3"/>
        <w:lvlText w:val="(%5)"/>
        <w:lvlJc w:val="left"/>
        <w:pPr>
          <w:tabs>
            <w:tab w:val="num" w:pos="1418"/>
          </w:tabs>
          <w:ind w:left="1418" w:hanging="709"/>
        </w:pPr>
        <w:rPr>
          <w:rFonts w:ascii="Arial" w:hAnsi="Arial" w:cs="Arial" w:hint="default"/>
          <w:b w:val="0"/>
        </w:rPr>
      </w:lvl>
    </w:lvlOverride>
    <w:lvlOverride w:ilvl="5">
      <w:startOverride w:val="1"/>
      <w:lvl w:ilvl="5">
        <w:start w:val="1"/>
        <w:numFmt w:val="lowerRoman"/>
        <w:pStyle w:val="SchNumber4"/>
        <w:lvlText w:val="(%6)"/>
        <w:lvlJc w:val="left"/>
        <w:pPr>
          <w:tabs>
            <w:tab w:val="num" w:pos="2126"/>
          </w:tabs>
          <w:ind w:left="2126" w:hanging="708"/>
        </w:pPr>
        <w:rPr>
          <w:rFonts w:hint="default"/>
        </w:rPr>
      </w:lvl>
    </w:lvlOverride>
    <w:lvlOverride w:ilvl="6">
      <w:startOverride w:val="1"/>
      <w:lvl w:ilvl="6">
        <w:start w:val="1"/>
        <w:numFmt w:val="decimal"/>
        <w:pStyle w:val="SchNumber5"/>
        <w:lvlText w:val="(%7)"/>
        <w:lvlJc w:val="left"/>
        <w:pPr>
          <w:tabs>
            <w:tab w:val="num" w:pos="2835"/>
          </w:tabs>
          <w:ind w:left="2835" w:hanging="709"/>
        </w:pPr>
        <w:rPr>
          <w:rFonts w:hint="default"/>
        </w:rPr>
      </w:lvl>
    </w:lvlOverride>
    <w:lvlOverride w:ilvl="7">
      <w:startOverride w:val="1"/>
      <w:lvl w:ilvl="7">
        <w:start w:val="1"/>
        <w:numFmt w:val="none"/>
        <w:lvlText w:val=""/>
        <w:lvlJc w:val="left"/>
        <w:pPr>
          <w:tabs>
            <w:tab w:val="num" w:pos="0"/>
          </w:tabs>
          <w:ind w:left="0" w:firstLine="0"/>
        </w:pPr>
        <w:rPr>
          <w:rFonts w:hint="default"/>
        </w:rPr>
      </w:lvl>
    </w:lvlOverride>
    <w:lvlOverride w:ilvl="8">
      <w:startOverride w:val="1"/>
      <w:lvl w:ilvl="8">
        <w:start w:val="1"/>
        <w:numFmt w:val="none"/>
        <w:lvlText w:val=""/>
        <w:lvlJc w:val="left"/>
        <w:pPr>
          <w:tabs>
            <w:tab w:val="num" w:pos="-31680"/>
          </w:tabs>
          <w:ind w:left="0" w:firstLine="0"/>
        </w:pPr>
        <w:rPr>
          <w:rFonts w:hint="default"/>
        </w:rPr>
      </w:lvl>
    </w:lvlOverride>
  </w:num>
  <w:num w:numId="757">
    <w:abstractNumId w:val="516"/>
  </w:num>
  <w:num w:numId="758">
    <w:abstractNumId w:val="30"/>
  </w:num>
  <w:numIdMacAtCleanup w:val="7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oNotTrackFormattin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0MjM0NzEwMTY0NjdT0lEKTi0uzszPAykwqgUAvd4QWiwAAAA="/>
  </w:docVars>
  <w:rsids>
    <w:rsidRoot w:val="00BB1D51"/>
    <w:rsid w:val="00000939"/>
    <w:rsid w:val="00001437"/>
    <w:rsid w:val="000017A2"/>
    <w:rsid w:val="00004ED6"/>
    <w:rsid w:val="000069B1"/>
    <w:rsid w:val="00024FCF"/>
    <w:rsid w:val="00025412"/>
    <w:rsid w:val="00030B3B"/>
    <w:rsid w:val="00031DD4"/>
    <w:rsid w:val="00033057"/>
    <w:rsid w:val="00033C57"/>
    <w:rsid w:val="00034F7E"/>
    <w:rsid w:val="00035A4E"/>
    <w:rsid w:val="00036A41"/>
    <w:rsid w:val="00036CA9"/>
    <w:rsid w:val="000375F7"/>
    <w:rsid w:val="0004070D"/>
    <w:rsid w:val="0004374E"/>
    <w:rsid w:val="000441C7"/>
    <w:rsid w:val="00044485"/>
    <w:rsid w:val="00050A2B"/>
    <w:rsid w:val="00051326"/>
    <w:rsid w:val="0005794E"/>
    <w:rsid w:val="0006464A"/>
    <w:rsid w:val="000648E3"/>
    <w:rsid w:val="000673DB"/>
    <w:rsid w:val="00067594"/>
    <w:rsid w:val="00072903"/>
    <w:rsid w:val="00073A9E"/>
    <w:rsid w:val="00074500"/>
    <w:rsid w:val="000772F7"/>
    <w:rsid w:val="00084F5F"/>
    <w:rsid w:val="00085809"/>
    <w:rsid w:val="000866F8"/>
    <w:rsid w:val="000909BF"/>
    <w:rsid w:val="00095F60"/>
    <w:rsid w:val="00097346"/>
    <w:rsid w:val="000A00F3"/>
    <w:rsid w:val="000A1000"/>
    <w:rsid w:val="000A127A"/>
    <w:rsid w:val="000A1B2D"/>
    <w:rsid w:val="000A2AD9"/>
    <w:rsid w:val="000A6120"/>
    <w:rsid w:val="000A64F6"/>
    <w:rsid w:val="000A7FD9"/>
    <w:rsid w:val="000B1540"/>
    <w:rsid w:val="000B3CF7"/>
    <w:rsid w:val="000B63AF"/>
    <w:rsid w:val="000C0AB9"/>
    <w:rsid w:val="000C27AC"/>
    <w:rsid w:val="000C2D27"/>
    <w:rsid w:val="000D5F1D"/>
    <w:rsid w:val="00104D4D"/>
    <w:rsid w:val="0010569F"/>
    <w:rsid w:val="00107A2A"/>
    <w:rsid w:val="00107EE2"/>
    <w:rsid w:val="00111412"/>
    <w:rsid w:val="00113911"/>
    <w:rsid w:val="00121F45"/>
    <w:rsid w:val="00122536"/>
    <w:rsid w:val="0012469D"/>
    <w:rsid w:val="00125D89"/>
    <w:rsid w:val="001305F8"/>
    <w:rsid w:val="001318C6"/>
    <w:rsid w:val="0013527B"/>
    <w:rsid w:val="00135B1F"/>
    <w:rsid w:val="001379B1"/>
    <w:rsid w:val="00140EF4"/>
    <w:rsid w:val="00141494"/>
    <w:rsid w:val="00141F62"/>
    <w:rsid w:val="00147A0B"/>
    <w:rsid w:val="0015007F"/>
    <w:rsid w:val="00154EFC"/>
    <w:rsid w:val="001555C7"/>
    <w:rsid w:val="00156434"/>
    <w:rsid w:val="00167A55"/>
    <w:rsid w:val="00171AAE"/>
    <w:rsid w:val="00171D34"/>
    <w:rsid w:val="001726D6"/>
    <w:rsid w:val="001738EE"/>
    <w:rsid w:val="001827BF"/>
    <w:rsid w:val="00186054"/>
    <w:rsid w:val="0018605C"/>
    <w:rsid w:val="00190D1C"/>
    <w:rsid w:val="001912F6"/>
    <w:rsid w:val="00192805"/>
    <w:rsid w:val="001A3250"/>
    <w:rsid w:val="001B0A42"/>
    <w:rsid w:val="001B35F8"/>
    <w:rsid w:val="001B4D62"/>
    <w:rsid w:val="001B4DC4"/>
    <w:rsid w:val="001B6642"/>
    <w:rsid w:val="001C4274"/>
    <w:rsid w:val="001D0B72"/>
    <w:rsid w:val="001D17B9"/>
    <w:rsid w:val="001D1E61"/>
    <w:rsid w:val="001D1F1B"/>
    <w:rsid w:val="001D76C1"/>
    <w:rsid w:val="001E4258"/>
    <w:rsid w:val="001F1CF6"/>
    <w:rsid w:val="001F4829"/>
    <w:rsid w:val="001F4ED4"/>
    <w:rsid w:val="0020099E"/>
    <w:rsid w:val="00202E73"/>
    <w:rsid w:val="002035A0"/>
    <w:rsid w:val="0020393E"/>
    <w:rsid w:val="002047FE"/>
    <w:rsid w:val="00204E74"/>
    <w:rsid w:val="00207CF0"/>
    <w:rsid w:val="002110CD"/>
    <w:rsid w:val="002110E4"/>
    <w:rsid w:val="00211509"/>
    <w:rsid w:val="00212A1D"/>
    <w:rsid w:val="00212C19"/>
    <w:rsid w:val="00213149"/>
    <w:rsid w:val="00221255"/>
    <w:rsid w:val="002213B8"/>
    <w:rsid w:val="00223594"/>
    <w:rsid w:val="002247F6"/>
    <w:rsid w:val="00227110"/>
    <w:rsid w:val="00227CD0"/>
    <w:rsid w:val="0023167F"/>
    <w:rsid w:val="002361C9"/>
    <w:rsid w:val="002365AF"/>
    <w:rsid w:val="002372FD"/>
    <w:rsid w:val="00247BC2"/>
    <w:rsid w:val="00250173"/>
    <w:rsid w:val="002516F0"/>
    <w:rsid w:val="00253C46"/>
    <w:rsid w:val="002600E3"/>
    <w:rsid w:val="00262C7F"/>
    <w:rsid w:val="002659A7"/>
    <w:rsid w:val="00277B6E"/>
    <w:rsid w:val="00283BF7"/>
    <w:rsid w:val="00283CAC"/>
    <w:rsid w:val="00284B19"/>
    <w:rsid w:val="002853A8"/>
    <w:rsid w:val="00290A2D"/>
    <w:rsid w:val="00291AD9"/>
    <w:rsid w:val="00292FCB"/>
    <w:rsid w:val="00297681"/>
    <w:rsid w:val="002A0F15"/>
    <w:rsid w:val="002A291F"/>
    <w:rsid w:val="002A5C8A"/>
    <w:rsid w:val="002B13E1"/>
    <w:rsid w:val="002B443A"/>
    <w:rsid w:val="002B69B6"/>
    <w:rsid w:val="002C07D3"/>
    <w:rsid w:val="002C1423"/>
    <w:rsid w:val="002C2B47"/>
    <w:rsid w:val="002C4D90"/>
    <w:rsid w:val="002C5282"/>
    <w:rsid w:val="002C63D2"/>
    <w:rsid w:val="002D007C"/>
    <w:rsid w:val="002D1A1A"/>
    <w:rsid w:val="002D447F"/>
    <w:rsid w:val="002D70E1"/>
    <w:rsid w:val="002E282D"/>
    <w:rsid w:val="002E4229"/>
    <w:rsid w:val="002E4469"/>
    <w:rsid w:val="002E4F5C"/>
    <w:rsid w:val="002E5ABE"/>
    <w:rsid w:val="002F04E5"/>
    <w:rsid w:val="002F6DE8"/>
    <w:rsid w:val="00302474"/>
    <w:rsid w:val="00306AE8"/>
    <w:rsid w:val="00307131"/>
    <w:rsid w:val="00314D85"/>
    <w:rsid w:val="0032033C"/>
    <w:rsid w:val="00320C50"/>
    <w:rsid w:val="00323A73"/>
    <w:rsid w:val="003266CA"/>
    <w:rsid w:val="00327428"/>
    <w:rsid w:val="0033028B"/>
    <w:rsid w:val="003322FC"/>
    <w:rsid w:val="003365D6"/>
    <w:rsid w:val="003413CA"/>
    <w:rsid w:val="00342113"/>
    <w:rsid w:val="00342C81"/>
    <w:rsid w:val="003430F9"/>
    <w:rsid w:val="00343F7F"/>
    <w:rsid w:val="00344A73"/>
    <w:rsid w:val="00345D72"/>
    <w:rsid w:val="00347CA3"/>
    <w:rsid w:val="0035148D"/>
    <w:rsid w:val="00357D77"/>
    <w:rsid w:val="00361C41"/>
    <w:rsid w:val="00362C7E"/>
    <w:rsid w:val="00365ACA"/>
    <w:rsid w:val="00372656"/>
    <w:rsid w:val="00375FA3"/>
    <w:rsid w:val="0038163A"/>
    <w:rsid w:val="003823AE"/>
    <w:rsid w:val="00382A53"/>
    <w:rsid w:val="00383CCD"/>
    <w:rsid w:val="00384140"/>
    <w:rsid w:val="00386374"/>
    <w:rsid w:val="00390A12"/>
    <w:rsid w:val="003A13D1"/>
    <w:rsid w:val="003B41B0"/>
    <w:rsid w:val="003B6E97"/>
    <w:rsid w:val="003B75B9"/>
    <w:rsid w:val="003C5B25"/>
    <w:rsid w:val="003C7F88"/>
    <w:rsid w:val="003D2E1D"/>
    <w:rsid w:val="003D3C68"/>
    <w:rsid w:val="003D658F"/>
    <w:rsid w:val="003D7914"/>
    <w:rsid w:val="003E06E0"/>
    <w:rsid w:val="003E17D4"/>
    <w:rsid w:val="003E30A3"/>
    <w:rsid w:val="003E38F2"/>
    <w:rsid w:val="003E6993"/>
    <w:rsid w:val="003F07B6"/>
    <w:rsid w:val="003F2F8C"/>
    <w:rsid w:val="003F3810"/>
    <w:rsid w:val="003F4176"/>
    <w:rsid w:val="00401FD5"/>
    <w:rsid w:val="00406B65"/>
    <w:rsid w:val="00411821"/>
    <w:rsid w:val="004164BC"/>
    <w:rsid w:val="004201A4"/>
    <w:rsid w:val="004231ED"/>
    <w:rsid w:val="0042398F"/>
    <w:rsid w:val="00424349"/>
    <w:rsid w:val="004370BE"/>
    <w:rsid w:val="00440B66"/>
    <w:rsid w:val="00442660"/>
    <w:rsid w:val="004519AE"/>
    <w:rsid w:val="00467834"/>
    <w:rsid w:val="00471C71"/>
    <w:rsid w:val="004746D3"/>
    <w:rsid w:val="00476183"/>
    <w:rsid w:val="00477CEE"/>
    <w:rsid w:val="004819CD"/>
    <w:rsid w:val="00484EBF"/>
    <w:rsid w:val="004914DF"/>
    <w:rsid w:val="00493072"/>
    <w:rsid w:val="0049332C"/>
    <w:rsid w:val="00493533"/>
    <w:rsid w:val="0049577A"/>
    <w:rsid w:val="004A5539"/>
    <w:rsid w:val="004A55F3"/>
    <w:rsid w:val="004B2A77"/>
    <w:rsid w:val="004B4C51"/>
    <w:rsid w:val="004B594F"/>
    <w:rsid w:val="004B7BB8"/>
    <w:rsid w:val="004C3C5E"/>
    <w:rsid w:val="004C5839"/>
    <w:rsid w:val="004C74B9"/>
    <w:rsid w:val="004D776F"/>
    <w:rsid w:val="004E07F5"/>
    <w:rsid w:val="004E6C2F"/>
    <w:rsid w:val="004F38C0"/>
    <w:rsid w:val="004F5804"/>
    <w:rsid w:val="00503975"/>
    <w:rsid w:val="00503D61"/>
    <w:rsid w:val="00505985"/>
    <w:rsid w:val="00510206"/>
    <w:rsid w:val="00511881"/>
    <w:rsid w:val="0051508E"/>
    <w:rsid w:val="005205AD"/>
    <w:rsid w:val="00526CA3"/>
    <w:rsid w:val="0052766A"/>
    <w:rsid w:val="0053048C"/>
    <w:rsid w:val="00537A33"/>
    <w:rsid w:val="00543831"/>
    <w:rsid w:val="00546A5D"/>
    <w:rsid w:val="0056740D"/>
    <w:rsid w:val="00567A3F"/>
    <w:rsid w:val="00577FDE"/>
    <w:rsid w:val="00580067"/>
    <w:rsid w:val="00580A81"/>
    <w:rsid w:val="005823C5"/>
    <w:rsid w:val="00582B22"/>
    <w:rsid w:val="005831B2"/>
    <w:rsid w:val="00583365"/>
    <w:rsid w:val="00595E2C"/>
    <w:rsid w:val="0059791C"/>
    <w:rsid w:val="00597A43"/>
    <w:rsid w:val="005A2526"/>
    <w:rsid w:val="005A3ADD"/>
    <w:rsid w:val="005A3B2A"/>
    <w:rsid w:val="005A6052"/>
    <w:rsid w:val="005A7ADC"/>
    <w:rsid w:val="005B41B6"/>
    <w:rsid w:val="005B45A0"/>
    <w:rsid w:val="005B495D"/>
    <w:rsid w:val="005B5037"/>
    <w:rsid w:val="005B7251"/>
    <w:rsid w:val="005B783F"/>
    <w:rsid w:val="005C3B34"/>
    <w:rsid w:val="005C4B6A"/>
    <w:rsid w:val="005C68AB"/>
    <w:rsid w:val="005D020B"/>
    <w:rsid w:val="005D0E5B"/>
    <w:rsid w:val="005D2FC4"/>
    <w:rsid w:val="005D508B"/>
    <w:rsid w:val="005E0B0B"/>
    <w:rsid w:val="005E3A1A"/>
    <w:rsid w:val="005E6181"/>
    <w:rsid w:val="005F3D5C"/>
    <w:rsid w:val="005F41DF"/>
    <w:rsid w:val="005F4794"/>
    <w:rsid w:val="00601291"/>
    <w:rsid w:val="00601863"/>
    <w:rsid w:val="006018B3"/>
    <w:rsid w:val="00601AF5"/>
    <w:rsid w:val="00601B94"/>
    <w:rsid w:val="00605389"/>
    <w:rsid w:val="00605461"/>
    <w:rsid w:val="006055E4"/>
    <w:rsid w:val="00607D1D"/>
    <w:rsid w:val="0061166D"/>
    <w:rsid w:val="0062224B"/>
    <w:rsid w:val="006225B9"/>
    <w:rsid w:val="0062766E"/>
    <w:rsid w:val="00627E41"/>
    <w:rsid w:val="00632267"/>
    <w:rsid w:val="00633319"/>
    <w:rsid w:val="00634798"/>
    <w:rsid w:val="006350C9"/>
    <w:rsid w:val="0064743C"/>
    <w:rsid w:val="006534A5"/>
    <w:rsid w:val="00653AFD"/>
    <w:rsid w:val="00654507"/>
    <w:rsid w:val="00656F2F"/>
    <w:rsid w:val="00666336"/>
    <w:rsid w:val="0067188E"/>
    <w:rsid w:val="00672330"/>
    <w:rsid w:val="00681A2A"/>
    <w:rsid w:val="00681AF0"/>
    <w:rsid w:val="006828A2"/>
    <w:rsid w:val="00682BB7"/>
    <w:rsid w:val="00685F8F"/>
    <w:rsid w:val="006867FC"/>
    <w:rsid w:val="006945C5"/>
    <w:rsid w:val="006A3148"/>
    <w:rsid w:val="006A590C"/>
    <w:rsid w:val="006A5B15"/>
    <w:rsid w:val="006A607E"/>
    <w:rsid w:val="006B5C0A"/>
    <w:rsid w:val="006C138B"/>
    <w:rsid w:val="006C4422"/>
    <w:rsid w:val="006C7E4C"/>
    <w:rsid w:val="006D0964"/>
    <w:rsid w:val="006D1E04"/>
    <w:rsid w:val="006D2E6A"/>
    <w:rsid w:val="006D51C1"/>
    <w:rsid w:val="006D7CE3"/>
    <w:rsid w:val="006E1F74"/>
    <w:rsid w:val="006E2A47"/>
    <w:rsid w:val="006E2E68"/>
    <w:rsid w:val="006E431A"/>
    <w:rsid w:val="006E4F3F"/>
    <w:rsid w:val="006E50BA"/>
    <w:rsid w:val="006F177B"/>
    <w:rsid w:val="007047C7"/>
    <w:rsid w:val="0070717D"/>
    <w:rsid w:val="0071374B"/>
    <w:rsid w:val="00714868"/>
    <w:rsid w:val="00715F73"/>
    <w:rsid w:val="00717E3F"/>
    <w:rsid w:val="00724669"/>
    <w:rsid w:val="0072678A"/>
    <w:rsid w:val="007419C7"/>
    <w:rsid w:val="0074557D"/>
    <w:rsid w:val="0074713B"/>
    <w:rsid w:val="00747E6E"/>
    <w:rsid w:val="00750E27"/>
    <w:rsid w:val="00750FD6"/>
    <w:rsid w:val="007565E3"/>
    <w:rsid w:val="00760338"/>
    <w:rsid w:val="00761AF6"/>
    <w:rsid w:val="00770BA8"/>
    <w:rsid w:val="00775D1F"/>
    <w:rsid w:val="007809BF"/>
    <w:rsid w:val="00781B34"/>
    <w:rsid w:val="00782E0B"/>
    <w:rsid w:val="00783006"/>
    <w:rsid w:val="007833B9"/>
    <w:rsid w:val="00784003"/>
    <w:rsid w:val="0078564A"/>
    <w:rsid w:val="00790219"/>
    <w:rsid w:val="00791C64"/>
    <w:rsid w:val="007A16EF"/>
    <w:rsid w:val="007A3D30"/>
    <w:rsid w:val="007A3D95"/>
    <w:rsid w:val="007A79AD"/>
    <w:rsid w:val="007B2D47"/>
    <w:rsid w:val="007C0915"/>
    <w:rsid w:val="007C5DFB"/>
    <w:rsid w:val="007C7DDF"/>
    <w:rsid w:val="007D55D3"/>
    <w:rsid w:val="007E749F"/>
    <w:rsid w:val="007E7D55"/>
    <w:rsid w:val="007F1181"/>
    <w:rsid w:val="007F1D1A"/>
    <w:rsid w:val="007F3ECC"/>
    <w:rsid w:val="007F4318"/>
    <w:rsid w:val="007F4728"/>
    <w:rsid w:val="007F571C"/>
    <w:rsid w:val="007F7043"/>
    <w:rsid w:val="007F714B"/>
    <w:rsid w:val="00803F53"/>
    <w:rsid w:val="00803F64"/>
    <w:rsid w:val="00805A74"/>
    <w:rsid w:val="00805FA8"/>
    <w:rsid w:val="00807405"/>
    <w:rsid w:val="008127D7"/>
    <w:rsid w:val="00813E7A"/>
    <w:rsid w:val="00820089"/>
    <w:rsid w:val="00821801"/>
    <w:rsid w:val="00821950"/>
    <w:rsid w:val="00823250"/>
    <w:rsid w:val="0082531F"/>
    <w:rsid w:val="00826F66"/>
    <w:rsid w:val="00827D52"/>
    <w:rsid w:val="00830B91"/>
    <w:rsid w:val="00830FD3"/>
    <w:rsid w:val="008314FB"/>
    <w:rsid w:val="008318B2"/>
    <w:rsid w:val="0083428E"/>
    <w:rsid w:val="008372CF"/>
    <w:rsid w:val="00845903"/>
    <w:rsid w:val="0084723A"/>
    <w:rsid w:val="00854EA4"/>
    <w:rsid w:val="00855AEE"/>
    <w:rsid w:val="00856EB5"/>
    <w:rsid w:val="0085752B"/>
    <w:rsid w:val="00862066"/>
    <w:rsid w:val="00862B0B"/>
    <w:rsid w:val="0086351B"/>
    <w:rsid w:val="00864A3D"/>
    <w:rsid w:val="0087118B"/>
    <w:rsid w:val="00887B1E"/>
    <w:rsid w:val="00890178"/>
    <w:rsid w:val="00891CDF"/>
    <w:rsid w:val="0089229C"/>
    <w:rsid w:val="00893A76"/>
    <w:rsid w:val="00897958"/>
    <w:rsid w:val="008A0C26"/>
    <w:rsid w:val="008A28BF"/>
    <w:rsid w:val="008A4003"/>
    <w:rsid w:val="008A43AE"/>
    <w:rsid w:val="008B065A"/>
    <w:rsid w:val="008B17D6"/>
    <w:rsid w:val="008C087B"/>
    <w:rsid w:val="008C0D3C"/>
    <w:rsid w:val="008C2EAB"/>
    <w:rsid w:val="008C4203"/>
    <w:rsid w:val="008C56AC"/>
    <w:rsid w:val="008C7B7F"/>
    <w:rsid w:val="008D111C"/>
    <w:rsid w:val="008D4C0B"/>
    <w:rsid w:val="008D55A3"/>
    <w:rsid w:val="008E0C60"/>
    <w:rsid w:val="008E10E5"/>
    <w:rsid w:val="008E1283"/>
    <w:rsid w:val="008E5E23"/>
    <w:rsid w:val="008E629C"/>
    <w:rsid w:val="008F0B3C"/>
    <w:rsid w:val="008F26A6"/>
    <w:rsid w:val="00902B5F"/>
    <w:rsid w:val="00907297"/>
    <w:rsid w:val="00910C98"/>
    <w:rsid w:val="00914B7B"/>
    <w:rsid w:val="00915800"/>
    <w:rsid w:val="009166C3"/>
    <w:rsid w:val="00923319"/>
    <w:rsid w:val="00926A0F"/>
    <w:rsid w:val="009304DE"/>
    <w:rsid w:val="00931CB6"/>
    <w:rsid w:val="00935BF8"/>
    <w:rsid w:val="00941FF3"/>
    <w:rsid w:val="00952BC7"/>
    <w:rsid w:val="00953A5E"/>
    <w:rsid w:val="00966C20"/>
    <w:rsid w:val="00973468"/>
    <w:rsid w:val="00974707"/>
    <w:rsid w:val="009779DE"/>
    <w:rsid w:val="00977D18"/>
    <w:rsid w:val="00981A7D"/>
    <w:rsid w:val="00983CA8"/>
    <w:rsid w:val="00990DFF"/>
    <w:rsid w:val="00990F9B"/>
    <w:rsid w:val="00994347"/>
    <w:rsid w:val="00994CFC"/>
    <w:rsid w:val="00995F55"/>
    <w:rsid w:val="009A1530"/>
    <w:rsid w:val="009A2549"/>
    <w:rsid w:val="009A6F12"/>
    <w:rsid w:val="009B347A"/>
    <w:rsid w:val="009C227F"/>
    <w:rsid w:val="009D17A4"/>
    <w:rsid w:val="009E0296"/>
    <w:rsid w:val="009E2802"/>
    <w:rsid w:val="009E40EB"/>
    <w:rsid w:val="009E50A7"/>
    <w:rsid w:val="009E5B54"/>
    <w:rsid w:val="009E709D"/>
    <w:rsid w:val="009F105C"/>
    <w:rsid w:val="009F14CB"/>
    <w:rsid w:val="009F2B1B"/>
    <w:rsid w:val="009F31A4"/>
    <w:rsid w:val="009F5549"/>
    <w:rsid w:val="00A03EE7"/>
    <w:rsid w:val="00A05A7B"/>
    <w:rsid w:val="00A112A9"/>
    <w:rsid w:val="00A152DA"/>
    <w:rsid w:val="00A20698"/>
    <w:rsid w:val="00A21E70"/>
    <w:rsid w:val="00A2528D"/>
    <w:rsid w:val="00A342E5"/>
    <w:rsid w:val="00A40F66"/>
    <w:rsid w:val="00A41A91"/>
    <w:rsid w:val="00A42202"/>
    <w:rsid w:val="00A43111"/>
    <w:rsid w:val="00A47854"/>
    <w:rsid w:val="00A51B7D"/>
    <w:rsid w:val="00A60550"/>
    <w:rsid w:val="00A60668"/>
    <w:rsid w:val="00A608E5"/>
    <w:rsid w:val="00A60C7D"/>
    <w:rsid w:val="00A60D1A"/>
    <w:rsid w:val="00A6430C"/>
    <w:rsid w:val="00A655E0"/>
    <w:rsid w:val="00A66C2D"/>
    <w:rsid w:val="00A67277"/>
    <w:rsid w:val="00A8003A"/>
    <w:rsid w:val="00A82E49"/>
    <w:rsid w:val="00A83590"/>
    <w:rsid w:val="00A8382B"/>
    <w:rsid w:val="00A868E3"/>
    <w:rsid w:val="00A955E6"/>
    <w:rsid w:val="00A9644F"/>
    <w:rsid w:val="00A978E4"/>
    <w:rsid w:val="00AA25DA"/>
    <w:rsid w:val="00AA2619"/>
    <w:rsid w:val="00AA3B92"/>
    <w:rsid w:val="00AA461D"/>
    <w:rsid w:val="00AA4D8B"/>
    <w:rsid w:val="00AB0664"/>
    <w:rsid w:val="00AB2505"/>
    <w:rsid w:val="00AB604C"/>
    <w:rsid w:val="00AB6867"/>
    <w:rsid w:val="00AD000B"/>
    <w:rsid w:val="00AD1248"/>
    <w:rsid w:val="00AD2A16"/>
    <w:rsid w:val="00AD35BD"/>
    <w:rsid w:val="00AD3785"/>
    <w:rsid w:val="00AD3B0B"/>
    <w:rsid w:val="00AD5493"/>
    <w:rsid w:val="00AD7F87"/>
    <w:rsid w:val="00AE1E41"/>
    <w:rsid w:val="00AE299F"/>
    <w:rsid w:val="00AE66B8"/>
    <w:rsid w:val="00AF378E"/>
    <w:rsid w:val="00B013D9"/>
    <w:rsid w:val="00B03249"/>
    <w:rsid w:val="00B04B80"/>
    <w:rsid w:val="00B13C99"/>
    <w:rsid w:val="00B141D0"/>
    <w:rsid w:val="00B1479A"/>
    <w:rsid w:val="00B15959"/>
    <w:rsid w:val="00B15C54"/>
    <w:rsid w:val="00B16C0D"/>
    <w:rsid w:val="00B27B4B"/>
    <w:rsid w:val="00B30475"/>
    <w:rsid w:val="00B318F5"/>
    <w:rsid w:val="00B34D5D"/>
    <w:rsid w:val="00B351FF"/>
    <w:rsid w:val="00B365C3"/>
    <w:rsid w:val="00B44929"/>
    <w:rsid w:val="00B53AA7"/>
    <w:rsid w:val="00B54688"/>
    <w:rsid w:val="00B609F1"/>
    <w:rsid w:val="00B60AB3"/>
    <w:rsid w:val="00B62453"/>
    <w:rsid w:val="00B62CA3"/>
    <w:rsid w:val="00B648F4"/>
    <w:rsid w:val="00B64AA0"/>
    <w:rsid w:val="00B706D3"/>
    <w:rsid w:val="00B718EF"/>
    <w:rsid w:val="00B72C82"/>
    <w:rsid w:val="00B7504A"/>
    <w:rsid w:val="00B75262"/>
    <w:rsid w:val="00B77CEF"/>
    <w:rsid w:val="00B8021A"/>
    <w:rsid w:val="00B87616"/>
    <w:rsid w:val="00B9214C"/>
    <w:rsid w:val="00B93BE1"/>
    <w:rsid w:val="00BA7204"/>
    <w:rsid w:val="00BB1B2C"/>
    <w:rsid w:val="00BB1D51"/>
    <w:rsid w:val="00BC4E5B"/>
    <w:rsid w:val="00BC6F8E"/>
    <w:rsid w:val="00BC7EA7"/>
    <w:rsid w:val="00BD2FEA"/>
    <w:rsid w:val="00BD32E7"/>
    <w:rsid w:val="00BE07C5"/>
    <w:rsid w:val="00BE2D02"/>
    <w:rsid w:val="00BF16B5"/>
    <w:rsid w:val="00BF5D9C"/>
    <w:rsid w:val="00C042FC"/>
    <w:rsid w:val="00C0550B"/>
    <w:rsid w:val="00C07DE2"/>
    <w:rsid w:val="00C07F6B"/>
    <w:rsid w:val="00C109BF"/>
    <w:rsid w:val="00C13E71"/>
    <w:rsid w:val="00C162E3"/>
    <w:rsid w:val="00C16A26"/>
    <w:rsid w:val="00C2093C"/>
    <w:rsid w:val="00C21205"/>
    <w:rsid w:val="00C217F9"/>
    <w:rsid w:val="00C24896"/>
    <w:rsid w:val="00C24AAF"/>
    <w:rsid w:val="00C318DC"/>
    <w:rsid w:val="00C32635"/>
    <w:rsid w:val="00C32897"/>
    <w:rsid w:val="00C34A74"/>
    <w:rsid w:val="00C364A6"/>
    <w:rsid w:val="00C410A7"/>
    <w:rsid w:val="00C46265"/>
    <w:rsid w:val="00C4716D"/>
    <w:rsid w:val="00C51435"/>
    <w:rsid w:val="00C514CC"/>
    <w:rsid w:val="00C51E45"/>
    <w:rsid w:val="00C53D07"/>
    <w:rsid w:val="00C73FD0"/>
    <w:rsid w:val="00C772DD"/>
    <w:rsid w:val="00C8744C"/>
    <w:rsid w:val="00C879A5"/>
    <w:rsid w:val="00C87E66"/>
    <w:rsid w:val="00C9081A"/>
    <w:rsid w:val="00C961C4"/>
    <w:rsid w:val="00CA32EB"/>
    <w:rsid w:val="00CB00F0"/>
    <w:rsid w:val="00CB2D8D"/>
    <w:rsid w:val="00CC0AA1"/>
    <w:rsid w:val="00CC2979"/>
    <w:rsid w:val="00CC3229"/>
    <w:rsid w:val="00CD11E4"/>
    <w:rsid w:val="00CD2AEB"/>
    <w:rsid w:val="00CD3F43"/>
    <w:rsid w:val="00CD57BB"/>
    <w:rsid w:val="00CD75DE"/>
    <w:rsid w:val="00CE5697"/>
    <w:rsid w:val="00CF282E"/>
    <w:rsid w:val="00CF6DB2"/>
    <w:rsid w:val="00CF7454"/>
    <w:rsid w:val="00D02F73"/>
    <w:rsid w:val="00D152EA"/>
    <w:rsid w:val="00D23F95"/>
    <w:rsid w:val="00D25D03"/>
    <w:rsid w:val="00D2669D"/>
    <w:rsid w:val="00D2729F"/>
    <w:rsid w:val="00D30673"/>
    <w:rsid w:val="00D33CC8"/>
    <w:rsid w:val="00D36C32"/>
    <w:rsid w:val="00D374A8"/>
    <w:rsid w:val="00D43D7F"/>
    <w:rsid w:val="00D444CC"/>
    <w:rsid w:val="00D447F2"/>
    <w:rsid w:val="00D44F33"/>
    <w:rsid w:val="00D458F5"/>
    <w:rsid w:val="00D50FC4"/>
    <w:rsid w:val="00D513EC"/>
    <w:rsid w:val="00D52402"/>
    <w:rsid w:val="00D53340"/>
    <w:rsid w:val="00D64B20"/>
    <w:rsid w:val="00D65820"/>
    <w:rsid w:val="00D72EAE"/>
    <w:rsid w:val="00D73279"/>
    <w:rsid w:val="00D7461A"/>
    <w:rsid w:val="00D758BE"/>
    <w:rsid w:val="00D76941"/>
    <w:rsid w:val="00D82200"/>
    <w:rsid w:val="00D822BF"/>
    <w:rsid w:val="00D86B1E"/>
    <w:rsid w:val="00D91368"/>
    <w:rsid w:val="00D96D6F"/>
    <w:rsid w:val="00DA0E0F"/>
    <w:rsid w:val="00DA4043"/>
    <w:rsid w:val="00DB201E"/>
    <w:rsid w:val="00DB2CF6"/>
    <w:rsid w:val="00DB720B"/>
    <w:rsid w:val="00DC21BA"/>
    <w:rsid w:val="00DC2236"/>
    <w:rsid w:val="00DC3AA0"/>
    <w:rsid w:val="00DD01A2"/>
    <w:rsid w:val="00DD1A2C"/>
    <w:rsid w:val="00DD51D3"/>
    <w:rsid w:val="00DE2EA0"/>
    <w:rsid w:val="00DE43F2"/>
    <w:rsid w:val="00DE6A91"/>
    <w:rsid w:val="00DF0C36"/>
    <w:rsid w:val="00DF0EE6"/>
    <w:rsid w:val="00DF476F"/>
    <w:rsid w:val="00E030C4"/>
    <w:rsid w:val="00E137C5"/>
    <w:rsid w:val="00E14CC9"/>
    <w:rsid w:val="00E16792"/>
    <w:rsid w:val="00E20CE3"/>
    <w:rsid w:val="00E2138C"/>
    <w:rsid w:val="00E2164A"/>
    <w:rsid w:val="00E320D1"/>
    <w:rsid w:val="00E32FAF"/>
    <w:rsid w:val="00E33A7A"/>
    <w:rsid w:val="00E41D83"/>
    <w:rsid w:val="00E45C86"/>
    <w:rsid w:val="00E52EB4"/>
    <w:rsid w:val="00E60CE6"/>
    <w:rsid w:val="00E64309"/>
    <w:rsid w:val="00E66C67"/>
    <w:rsid w:val="00E71EDD"/>
    <w:rsid w:val="00E724FA"/>
    <w:rsid w:val="00E76F75"/>
    <w:rsid w:val="00E82C96"/>
    <w:rsid w:val="00E91BFC"/>
    <w:rsid w:val="00E91C8E"/>
    <w:rsid w:val="00EA3B62"/>
    <w:rsid w:val="00EB064D"/>
    <w:rsid w:val="00EB3486"/>
    <w:rsid w:val="00EB5A43"/>
    <w:rsid w:val="00EB712F"/>
    <w:rsid w:val="00EB7CB0"/>
    <w:rsid w:val="00EC33E7"/>
    <w:rsid w:val="00EC3689"/>
    <w:rsid w:val="00ED277C"/>
    <w:rsid w:val="00ED446B"/>
    <w:rsid w:val="00ED4A17"/>
    <w:rsid w:val="00ED7C69"/>
    <w:rsid w:val="00EE20EC"/>
    <w:rsid w:val="00EE5BE3"/>
    <w:rsid w:val="00EF46B0"/>
    <w:rsid w:val="00F002FE"/>
    <w:rsid w:val="00F05C17"/>
    <w:rsid w:val="00F15FD7"/>
    <w:rsid w:val="00F176B8"/>
    <w:rsid w:val="00F25C29"/>
    <w:rsid w:val="00F31DE5"/>
    <w:rsid w:val="00F373CD"/>
    <w:rsid w:val="00F415B3"/>
    <w:rsid w:val="00F464D0"/>
    <w:rsid w:val="00F5351F"/>
    <w:rsid w:val="00F6371D"/>
    <w:rsid w:val="00F6637A"/>
    <w:rsid w:val="00F70BAB"/>
    <w:rsid w:val="00F73968"/>
    <w:rsid w:val="00F8008D"/>
    <w:rsid w:val="00F80840"/>
    <w:rsid w:val="00F815CE"/>
    <w:rsid w:val="00F82C23"/>
    <w:rsid w:val="00F84610"/>
    <w:rsid w:val="00F87650"/>
    <w:rsid w:val="00F91125"/>
    <w:rsid w:val="00F91E25"/>
    <w:rsid w:val="00F922BB"/>
    <w:rsid w:val="00F93200"/>
    <w:rsid w:val="00F935D7"/>
    <w:rsid w:val="00F93DA3"/>
    <w:rsid w:val="00F93E6F"/>
    <w:rsid w:val="00F9647C"/>
    <w:rsid w:val="00F96778"/>
    <w:rsid w:val="00FA0219"/>
    <w:rsid w:val="00FA14F7"/>
    <w:rsid w:val="00FA400D"/>
    <w:rsid w:val="00FA4467"/>
    <w:rsid w:val="00FA7516"/>
    <w:rsid w:val="00FB108E"/>
    <w:rsid w:val="00FB1730"/>
    <w:rsid w:val="00FB1FAF"/>
    <w:rsid w:val="00FB2F57"/>
    <w:rsid w:val="00FB3758"/>
    <w:rsid w:val="00FB4B90"/>
    <w:rsid w:val="00FB6EDD"/>
    <w:rsid w:val="00FC411F"/>
    <w:rsid w:val="00FC485C"/>
    <w:rsid w:val="00FC5146"/>
    <w:rsid w:val="00FC5269"/>
    <w:rsid w:val="00FD498E"/>
    <w:rsid w:val="00FD557E"/>
    <w:rsid w:val="00FD6128"/>
    <w:rsid w:val="00FE09EE"/>
    <w:rsid w:val="00FE39D7"/>
    <w:rsid w:val="00FF0BFA"/>
    <w:rsid w:val="00FF58FF"/>
    <w:rsid w:val="00FF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EED2"/>
  <w15:docId w15:val="{AB7571A4-55B2-6E4A-BDA5-CF1F5370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4"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7"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4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D51"/>
  </w:style>
  <w:style w:type="paragraph" w:styleId="Heading1">
    <w:name w:val="heading 1"/>
    <w:aliases w:val="Section,Section Heading"/>
    <w:basedOn w:val="Level1"/>
    <w:next w:val="Body2"/>
    <w:link w:val="Heading1Char"/>
    <w:qFormat/>
    <w:rsid w:val="00BB1D51"/>
    <w:pPr>
      <w:keepNext/>
      <w:tabs>
        <w:tab w:val="clear" w:pos="889"/>
        <w:tab w:val="num" w:pos="709"/>
      </w:tabs>
      <w:ind w:left="709"/>
    </w:pPr>
    <w:rPr>
      <w:b/>
      <w:smallCaps/>
    </w:rPr>
  </w:style>
  <w:style w:type="paragraph" w:styleId="Heading2">
    <w:name w:val="heading 2"/>
    <w:aliases w:val="Major"/>
    <w:basedOn w:val="Normal"/>
    <w:next w:val="Normal"/>
    <w:link w:val="Heading2Char"/>
    <w:unhideWhenUsed/>
    <w:qFormat/>
    <w:rsid w:val="00BB1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Minor,Minor Char"/>
    <w:basedOn w:val="Level3"/>
    <w:next w:val="Normal"/>
    <w:link w:val="Heading3Char"/>
    <w:uiPriority w:val="4"/>
    <w:qFormat/>
    <w:rsid w:val="00BB1D51"/>
    <w:pPr>
      <w:keepNext/>
      <w:numPr>
        <w:ilvl w:val="2"/>
        <w:numId w:val="1"/>
      </w:numPr>
    </w:pPr>
    <w:rPr>
      <w:b/>
    </w:rPr>
  </w:style>
  <w:style w:type="paragraph" w:styleId="Heading4">
    <w:name w:val="heading 4"/>
    <w:basedOn w:val="Normal"/>
    <w:next w:val="Normal"/>
    <w:link w:val="Heading4Char"/>
    <w:unhideWhenUsed/>
    <w:qFormat/>
    <w:rsid w:val="00923319"/>
    <w:pPr>
      <w:keepNext/>
      <w:widowControl w:val="0"/>
      <w:tabs>
        <w:tab w:val="left" w:pos="0"/>
        <w:tab w:val="left" w:pos="714"/>
        <w:tab w:val="num" w:pos="864"/>
        <w:tab w:val="left" w:pos="1141"/>
        <w:tab w:val="left" w:pos="1569"/>
        <w:tab w:val="left" w:pos="1998"/>
        <w:tab w:val="left" w:pos="2520"/>
        <w:tab w:val="left" w:pos="2856"/>
        <w:tab w:val="left" w:pos="3283"/>
        <w:tab w:val="left" w:pos="3906"/>
        <w:tab w:val="left" w:pos="4425"/>
        <w:tab w:val="left" w:pos="4998"/>
        <w:tab w:val="left" w:pos="5568"/>
        <w:tab w:val="left" w:pos="6139"/>
        <w:tab w:val="left" w:pos="6710"/>
        <w:tab w:val="left" w:pos="7281"/>
        <w:tab w:val="left" w:pos="7920"/>
        <w:tab w:val="left" w:pos="8640"/>
        <w:tab w:val="left" w:pos="9360"/>
        <w:tab w:val="left" w:pos="10080"/>
        <w:tab w:val="left" w:pos="10800"/>
      </w:tabs>
      <w:suppressAutoHyphens/>
      <w:autoSpaceDE w:val="0"/>
      <w:autoSpaceDN w:val="0"/>
      <w:adjustRightInd w:val="0"/>
      <w:snapToGrid w:val="0"/>
      <w:spacing w:after="0" w:line="240" w:lineRule="atLeast"/>
      <w:ind w:left="864" w:hanging="864"/>
      <w:outlineLvl w:val="3"/>
    </w:pPr>
    <w:rPr>
      <w:rFonts w:ascii="Arial" w:eastAsia="Times New Roman" w:hAnsi="Arial" w:cs="Arial"/>
      <w:bCs/>
      <w:sz w:val="20"/>
      <w:szCs w:val="24"/>
      <w:lang w:val="en-GB"/>
    </w:rPr>
  </w:style>
  <w:style w:type="paragraph" w:styleId="Heading5">
    <w:name w:val="heading 5"/>
    <w:basedOn w:val="Normal"/>
    <w:next w:val="Normal"/>
    <w:link w:val="Heading5Char"/>
    <w:unhideWhenUsed/>
    <w:qFormat/>
    <w:rsid w:val="0092331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923319"/>
    <w:pPr>
      <w:widowControl w:val="0"/>
      <w:tabs>
        <w:tab w:val="num" w:pos="1152"/>
      </w:tabs>
      <w:autoSpaceDE w:val="0"/>
      <w:autoSpaceDN w:val="0"/>
      <w:adjustRightInd w:val="0"/>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923319"/>
    <w:pPr>
      <w:widowControl w:val="0"/>
      <w:tabs>
        <w:tab w:val="num" w:pos="1296"/>
      </w:tabs>
      <w:autoSpaceDE w:val="0"/>
      <w:autoSpaceDN w:val="0"/>
      <w:adjustRightInd w:val="0"/>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923319"/>
    <w:pPr>
      <w:widowControl w:val="0"/>
      <w:tabs>
        <w:tab w:val="num" w:pos="1440"/>
      </w:tabs>
      <w:autoSpaceDE w:val="0"/>
      <w:autoSpaceDN w:val="0"/>
      <w:adjustRightInd w:val="0"/>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923319"/>
    <w:pPr>
      <w:widowControl w:val="0"/>
      <w:tabs>
        <w:tab w:val="num" w:pos="1584"/>
      </w:tabs>
      <w:autoSpaceDE w:val="0"/>
      <w:autoSpaceDN w:val="0"/>
      <w:adjustRightInd w:val="0"/>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Heading Char"/>
    <w:basedOn w:val="DefaultParagraphFont"/>
    <w:link w:val="Heading1"/>
    <w:uiPriority w:val="4"/>
    <w:rsid w:val="00BB1D51"/>
    <w:rPr>
      <w:rFonts w:ascii="Arial" w:eastAsia="Arial Unicode MS" w:hAnsi="Arial" w:cs="Times New Roman"/>
      <w:b/>
      <w:smallCaps/>
      <w:sz w:val="21"/>
      <w:szCs w:val="21"/>
      <w:lang w:val="en-GB" w:eastAsia="en-GB"/>
    </w:rPr>
  </w:style>
  <w:style w:type="character" w:customStyle="1" w:styleId="Heading2Char">
    <w:name w:val="Heading 2 Char"/>
    <w:aliases w:val="Major Char"/>
    <w:basedOn w:val="DefaultParagraphFont"/>
    <w:link w:val="Heading2"/>
    <w:uiPriority w:val="9"/>
    <w:rsid w:val="00BB1D51"/>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Minor Char1,Minor Char Char"/>
    <w:basedOn w:val="DefaultParagraphFont"/>
    <w:link w:val="Heading3"/>
    <w:uiPriority w:val="4"/>
    <w:rsid w:val="00BB1D51"/>
    <w:rPr>
      <w:rFonts w:ascii="Arial" w:eastAsia="Arial Unicode MS" w:hAnsi="Arial" w:cs="Times New Roman"/>
      <w:b/>
      <w:sz w:val="21"/>
      <w:szCs w:val="21"/>
      <w:lang w:val="en-GB" w:eastAsia="en-GB"/>
    </w:rPr>
  </w:style>
  <w:style w:type="table" w:styleId="TableGrid">
    <w:name w:val="Table Grid"/>
    <w:basedOn w:val="TableNormal"/>
    <w:uiPriority w:val="59"/>
    <w:rsid w:val="00BB1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3">
    <w:name w:val="Level 3"/>
    <w:basedOn w:val="Normal"/>
    <w:next w:val="Normal"/>
    <w:link w:val="Level3Char"/>
    <w:qFormat/>
    <w:rsid w:val="00BB1D51"/>
    <w:pPr>
      <w:spacing w:after="210" w:line="264" w:lineRule="auto"/>
      <w:jc w:val="both"/>
      <w:outlineLvl w:val="2"/>
    </w:pPr>
    <w:rPr>
      <w:rFonts w:ascii="Arial" w:eastAsia="Arial Unicode MS" w:hAnsi="Arial" w:cs="Times New Roman"/>
      <w:sz w:val="21"/>
      <w:szCs w:val="21"/>
      <w:lang w:val="en-GB" w:eastAsia="en-GB"/>
    </w:rPr>
  </w:style>
  <w:style w:type="paragraph" w:styleId="FootnoteText">
    <w:name w:val="footnote text"/>
    <w:aliases w:val="~FootnoteText"/>
    <w:basedOn w:val="Normal"/>
    <w:link w:val="FootnoteTextChar"/>
    <w:uiPriority w:val="99"/>
    <w:unhideWhenUsed/>
    <w:rsid w:val="00BB1D51"/>
    <w:pPr>
      <w:tabs>
        <w:tab w:val="left" w:pos="720"/>
      </w:tabs>
      <w:spacing w:after="0" w:line="264" w:lineRule="auto"/>
      <w:ind w:left="720" w:hanging="720"/>
      <w:jc w:val="both"/>
    </w:pPr>
    <w:rPr>
      <w:rFonts w:ascii="Arial" w:eastAsia="Arial Unicode MS" w:hAnsi="Arial" w:cs="Times New Roman"/>
      <w:sz w:val="16"/>
      <w:szCs w:val="21"/>
    </w:rPr>
  </w:style>
  <w:style w:type="character" w:customStyle="1" w:styleId="FootnoteTextChar">
    <w:name w:val="Footnote Text Char"/>
    <w:aliases w:val="~FootnoteText Char"/>
    <w:basedOn w:val="DefaultParagraphFont"/>
    <w:link w:val="FootnoteText"/>
    <w:uiPriority w:val="99"/>
    <w:rsid w:val="00BB1D51"/>
    <w:rPr>
      <w:rFonts w:ascii="Arial" w:eastAsia="Arial Unicode MS" w:hAnsi="Arial" w:cs="Times New Roman"/>
      <w:sz w:val="16"/>
      <w:szCs w:val="21"/>
    </w:rPr>
  </w:style>
  <w:style w:type="character" w:customStyle="1" w:styleId="Level3Char">
    <w:name w:val="Level 3 Char"/>
    <w:link w:val="Level3"/>
    <w:qFormat/>
    <w:rsid w:val="00BB1D51"/>
    <w:rPr>
      <w:rFonts w:ascii="Arial" w:eastAsia="Arial Unicode MS" w:hAnsi="Arial" w:cs="Times New Roman"/>
      <w:sz w:val="21"/>
      <w:szCs w:val="21"/>
      <w:lang w:val="en-GB" w:eastAsia="en-GB"/>
    </w:rPr>
  </w:style>
  <w:style w:type="paragraph" w:customStyle="1" w:styleId="SchTitle">
    <w:name w:val="Sch  Title"/>
    <w:basedOn w:val="SchSubtitle"/>
    <w:next w:val="SchSubtitle"/>
    <w:uiPriority w:val="10"/>
    <w:qFormat/>
    <w:rsid w:val="00BB1D51"/>
    <w:pPr>
      <w:numPr>
        <w:ilvl w:val="0"/>
        <w:numId w:val="0"/>
      </w:numPr>
      <w:spacing w:before="120" w:after="120" w:line="240" w:lineRule="auto"/>
    </w:pPr>
    <w:rPr>
      <w:smallCaps/>
      <w:sz w:val="24"/>
    </w:rPr>
  </w:style>
  <w:style w:type="paragraph" w:customStyle="1" w:styleId="SchSubtitle">
    <w:name w:val="Sch  Subtitle"/>
    <w:basedOn w:val="Normal"/>
    <w:next w:val="Normal"/>
    <w:uiPriority w:val="11"/>
    <w:qFormat/>
    <w:rsid w:val="00BB1D51"/>
    <w:pPr>
      <w:keepNext/>
      <w:numPr>
        <w:ilvl w:val="1"/>
        <w:numId w:val="1"/>
      </w:numPr>
      <w:spacing w:after="210" w:line="264" w:lineRule="auto"/>
      <w:jc w:val="center"/>
    </w:pPr>
    <w:rPr>
      <w:rFonts w:ascii="Arial" w:eastAsia="Arial Unicode MS" w:hAnsi="Arial" w:cs="Times New Roman"/>
      <w:b/>
      <w:sz w:val="21"/>
      <w:szCs w:val="21"/>
      <w:lang w:val="en-GB" w:eastAsia="en-GB"/>
    </w:rPr>
  </w:style>
  <w:style w:type="paragraph" w:customStyle="1" w:styleId="SchNumber1">
    <w:name w:val="Sch Number 1"/>
    <w:basedOn w:val="Normal"/>
    <w:next w:val="Normal"/>
    <w:link w:val="SchNumber1Char"/>
    <w:uiPriority w:val="12"/>
    <w:qFormat/>
    <w:rsid w:val="00BB1D51"/>
    <w:pPr>
      <w:tabs>
        <w:tab w:val="num" w:pos="709"/>
      </w:tabs>
      <w:spacing w:after="210" w:line="264" w:lineRule="auto"/>
      <w:ind w:left="709" w:hanging="709"/>
      <w:jc w:val="both"/>
      <w:outlineLvl w:val="0"/>
    </w:pPr>
    <w:rPr>
      <w:rFonts w:ascii="Arial" w:eastAsia="Arial Unicode MS" w:hAnsi="Arial" w:cs="Times New Roman"/>
      <w:sz w:val="21"/>
      <w:szCs w:val="21"/>
      <w:lang w:val="en-GB" w:eastAsia="en-GB"/>
    </w:rPr>
  </w:style>
  <w:style w:type="paragraph" w:customStyle="1" w:styleId="SchNumber2">
    <w:name w:val="Sch Number 2"/>
    <w:basedOn w:val="Normal"/>
    <w:next w:val="Normal"/>
    <w:link w:val="SchNumber2Char"/>
    <w:uiPriority w:val="12"/>
    <w:qFormat/>
    <w:rsid w:val="00BB1D51"/>
    <w:pPr>
      <w:numPr>
        <w:ilvl w:val="3"/>
        <w:numId w:val="1"/>
      </w:numPr>
      <w:spacing w:after="210" w:line="264" w:lineRule="auto"/>
      <w:jc w:val="both"/>
      <w:outlineLvl w:val="1"/>
    </w:pPr>
    <w:rPr>
      <w:rFonts w:ascii="Arial" w:eastAsia="Arial Unicode MS" w:hAnsi="Arial" w:cs="Times New Roman"/>
      <w:sz w:val="21"/>
      <w:szCs w:val="21"/>
      <w:lang w:val="en-GB" w:eastAsia="en-GB"/>
    </w:rPr>
  </w:style>
  <w:style w:type="paragraph" w:customStyle="1" w:styleId="SchNumber3">
    <w:name w:val="Sch Number 3"/>
    <w:basedOn w:val="Level3"/>
    <w:next w:val="Normal"/>
    <w:link w:val="SchNumber3Char"/>
    <w:uiPriority w:val="12"/>
    <w:qFormat/>
    <w:rsid w:val="00BB1D51"/>
    <w:pPr>
      <w:numPr>
        <w:ilvl w:val="4"/>
        <w:numId w:val="1"/>
      </w:numPr>
    </w:pPr>
  </w:style>
  <w:style w:type="paragraph" w:customStyle="1" w:styleId="SchNumber4">
    <w:name w:val="Sch Number 4"/>
    <w:basedOn w:val="Normal"/>
    <w:next w:val="Normal"/>
    <w:link w:val="SchNumber4Char"/>
    <w:uiPriority w:val="12"/>
    <w:qFormat/>
    <w:rsid w:val="00BB1D51"/>
    <w:pPr>
      <w:numPr>
        <w:ilvl w:val="5"/>
        <w:numId w:val="1"/>
      </w:numPr>
      <w:spacing w:after="210" w:line="264" w:lineRule="auto"/>
      <w:jc w:val="both"/>
      <w:outlineLvl w:val="3"/>
    </w:pPr>
    <w:rPr>
      <w:rFonts w:ascii="Arial" w:eastAsia="Arial Unicode MS" w:hAnsi="Arial" w:cs="Times New Roman"/>
      <w:sz w:val="21"/>
      <w:szCs w:val="21"/>
      <w:lang w:val="en-GB" w:eastAsia="en-GB"/>
    </w:rPr>
  </w:style>
  <w:style w:type="paragraph" w:customStyle="1" w:styleId="SchNumber5">
    <w:name w:val="Sch Number 5"/>
    <w:basedOn w:val="Normal"/>
    <w:next w:val="Normal"/>
    <w:link w:val="SchNumber5Char"/>
    <w:uiPriority w:val="12"/>
    <w:qFormat/>
    <w:rsid w:val="00BB1D51"/>
    <w:pPr>
      <w:numPr>
        <w:ilvl w:val="6"/>
        <w:numId w:val="1"/>
      </w:numPr>
      <w:spacing w:after="210" w:line="264" w:lineRule="auto"/>
      <w:jc w:val="both"/>
      <w:outlineLvl w:val="4"/>
    </w:pPr>
    <w:rPr>
      <w:rFonts w:ascii="Arial" w:eastAsia="Arial Unicode MS" w:hAnsi="Arial" w:cs="Times New Roman"/>
      <w:sz w:val="21"/>
      <w:szCs w:val="21"/>
      <w:lang w:val="en-GB" w:eastAsia="en-GB"/>
    </w:rPr>
  </w:style>
  <w:style w:type="numbering" w:customStyle="1" w:styleId="SchCustomList">
    <w:name w:val="Sch Custom List"/>
    <w:basedOn w:val="NoList"/>
    <w:uiPriority w:val="99"/>
    <w:rsid w:val="00BB1D51"/>
  </w:style>
  <w:style w:type="paragraph" w:customStyle="1" w:styleId="Body1">
    <w:name w:val="Body 1"/>
    <w:basedOn w:val="Normal"/>
    <w:link w:val="Body1Char"/>
    <w:qFormat/>
    <w:rsid w:val="00BB1D51"/>
    <w:pPr>
      <w:spacing w:after="210" w:line="264" w:lineRule="auto"/>
      <w:jc w:val="both"/>
    </w:pPr>
    <w:rPr>
      <w:rFonts w:ascii="Arial" w:eastAsia="Arial Unicode MS" w:hAnsi="Arial" w:cs="Times New Roman"/>
      <w:sz w:val="21"/>
      <w:szCs w:val="21"/>
      <w:lang w:val="en-GB" w:eastAsia="en-GB"/>
    </w:rPr>
  </w:style>
  <w:style w:type="character" w:customStyle="1" w:styleId="Body1Char">
    <w:name w:val="Body 1 Char"/>
    <w:basedOn w:val="DefaultParagraphFont"/>
    <w:link w:val="Body1"/>
    <w:qFormat/>
    <w:rsid w:val="00BB1D51"/>
    <w:rPr>
      <w:rFonts w:ascii="Arial" w:eastAsia="Arial Unicode MS" w:hAnsi="Arial" w:cs="Times New Roman"/>
      <w:sz w:val="21"/>
      <w:szCs w:val="21"/>
      <w:lang w:val="en-GB" w:eastAsia="en-GB"/>
    </w:rPr>
  </w:style>
  <w:style w:type="paragraph" w:styleId="BalloonText">
    <w:name w:val="Balloon Text"/>
    <w:basedOn w:val="Normal"/>
    <w:link w:val="BalloonTextChar"/>
    <w:uiPriority w:val="99"/>
    <w:semiHidden/>
    <w:unhideWhenUsed/>
    <w:rsid w:val="00BB1D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D51"/>
    <w:rPr>
      <w:rFonts w:ascii="Segoe UI" w:hAnsi="Segoe UI" w:cs="Segoe UI"/>
      <w:sz w:val="18"/>
      <w:szCs w:val="18"/>
    </w:rPr>
  </w:style>
  <w:style w:type="paragraph" w:customStyle="1" w:styleId="SchHeading1">
    <w:name w:val="Sch Heading 1"/>
    <w:basedOn w:val="SchNumber1"/>
    <w:next w:val="Normal"/>
    <w:link w:val="SchHeading1Char"/>
    <w:uiPriority w:val="12"/>
    <w:qFormat/>
    <w:rsid w:val="00BB1D51"/>
    <w:pPr>
      <w:keepNext/>
    </w:pPr>
    <w:rPr>
      <w:b/>
      <w:smallCaps/>
    </w:rPr>
  </w:style>
  <w:style w:type="character" w:customStyle="1" w:styleId="SchHeading1Char">
    <w:name w:val="Sch Heading 1 Char"/>
    <w:link w:val="SchHeading1"/>
    <w:uiPriority w:val="12"/>
    <w:rsid w:val="00BB1D51"/>
    <w:rPr>
      <w:rFonts w:ascii="Arial" w:eastAsia="Arial Unicode MS" w:hAnsi="Arial" w:cs="Times New Roman"/>
      <w:b/>
      <w:smallCaps/>
      <w:sz w:val="21"/>
      <w:szCs w:val="21"/>
      <w:lang w:val="en-GB" w:eastAsia="en-GB"/>
    </w:rPr>
  </w:style>
  <w:style w:type="paragraph" w:customStyle="1" w:styleId="Body2">
    <w:name w:val="Body 2"/>
    <w:aliases w:val="left: 0cm + Left"/>
    <w:basedOn w:val="Body1"/>
    <w:link w:val="Body2Char"/>
    <w:uiPriority w:val="99"/>
    <w:qFormat/>
    <w:rsid w:val="00BB1D51"/>
    <w:pPr>
      <w:ind w:left="709"/>
    </w:pPr>
  </w:style>
  <w:style w:type="character" w:customStyle="1" w:styleId="Body2Char">
    <w:name w:val="Body 2 Char"/>
    <w:basedOn w:val="Body1Char"/>
    <w:link w:val="Body2"/>
    <w:uiPriority w:val="99"/>
    <w:qFormat/>
    <w:rsid w:val="00BB1D51"/>
    <w:rPr>
      <w:rFonts w:ascii="Arial" w:eastAsia="Arial Unicode MS" w:hAnsi="Arial" w:cs="Times New Roman"/>
      <w:sz w:val="21"/>
      <w:szCs w:val="21"/>
      <w:lang w:val="en-GB" w:eastAsia="en-GB"/>
    </w:rPr>
  </w:style>
  <w:style w:type="character" w:customStyle="1" w:styleId="SchNumber3Char">
    <w:name w:val="Sch Number 3 Char"/>
    <w:link w:val="SchNumber3"/>
    <w:uiPriority w:val="12"/>
    <w:rsid w:val="00BB1D51"/>
    <w:rPr>
      <w:rFonts w:ascii="Arial" w:eastAsia="Arial Unicode MS" w:hAnsi="Arial" w:cs="Times New Roman"/>
      <w:sz w:val="21"/>
      <w:szCs w:val="21"/>
      <w:lang w:val="en-GB" w:eastAsia="en-GB"/>
    </w:rPr>
  </w:style>
  <w:style w:type="character" w:customStyle="1" w:styleId="SchNumber4Char">
    <w:name w:val="Sch Number 4 Char"/>
    <w:link w:val="SchNumber4"/>
    <w:uiPriority w:val="12"/>
    <w:rsid w:val="00BB1D51"/>
    <w:rPr>
      <w:rFonts w:ascii="Arial" w:eastAsia="Arial Unicode MS" w:hAnsi="Arial" w:cs="Times New Roman"/>
      <w:sz w:val="21"/>
      <w:szCs w:val="21"/>
      <w:lang w:val="en-GB" w:eastAsia="en-GB"/>
    </w:rPr>
  </w:style>
  <w:style w:type="character" w:styleId="FootnoteReference">
    <w:name w:val="footnote reference"/>
    <w:aliases w:val="Ref,de nota al pie"/>
    <w:uiPriority w:val="17"/>
    <w:unhideWhenUsed/>
    <w:rsid w:val="00BB1D51"/>
    <w:rPr>
      <w:vertAlign w:val="superscript"/>
    </w:rPr>
  </w:style>
  <w:style w:type="paragraph" w:customStyle="1" w:styleId="Level1">
    <w:name w:val="Level 1"/>
    <w:basedOn w:val="Body1"/>
    <w:next w:val="Body2"/>
    <w:link w:val="Level1Char"/>
    <w:qFormat/>
    <w:rsid w:val="00BB1D51"/>
    <w:pPr>
      <w:tabs>
        <w:tab w:val="num" w:pos="889"/>
      </w:tabs>
      <w:ind w:left="889" w:hanging="709"/>
      <w:outlineLvl w:val="0"/>
    </w:pPr>
  </w:style>
  <w:style w:type="paragraph" w:customStyle="1" w:styleId="Level2">
    <w:name w:val="Level 2"/>
    <w:basedOn w:val="Body2"/>
    <w:next w:val="Body2"/>
    <w:link w:val="Level2Char"/>
    <w:qFormat/>
    <w:rsid w:val="00BB1D51"/>
    <w:pPr>
      <w:ind w:hanging="709"/>
      <w:outlineLvl w:val="1"/>
    </w:pPr>
  </w:style>
  <w:style w:type="paragraph" w:customStyle="1" w:styleId="Level4">
    <w:name w:val="Level 4"/>
    <w:basedOn w:val="Normal"/>
    <w:next w:val="Normal"/>
    <w:link w:val="Level4Char"/>
    <w:qFormat/>
    <w:rsid w:val="00BB1D51"/>
    <w:pPr>
      <w:tabs>
        <w:tab w:val="num" w:pos="2126"/>
      </w:tabs>
      <w:spacing w:after="210" w:line="264" w:lineRule="auto"/>
      <w:ind w:left="2126" w:hanging="709"/>
      <w:jc w:val="both"/>
      <w:outlineLvl w:val="3"/>
    </w:pPr>
    <w:rPr>
      <w:rFonts w:ascii="Arial" w:eastAsia="Arial Unicode MS" w:hAnsi="Arial" w:cs="Times New Roman"/>
      <w:sz w:val="21"/>
      <w:szCs w:val="21"/>
      <w:lang w:val="en-GB" w:eastAsia="en-GB"/>
    </w:rPr>
  </w:style>
  <w:style w:type="paragraph" w:customStyle="1" w:styleId="Level5">
    <w:name w:val="Level 5"/>
    <w:basedOn w:val="Normal"/>
    <w:next w:val="Normal"/>
    <w:link w:val="Level5Char"/>
    <w:qFormat/>
    <w:rsid w:val="00BB1D51"/>
    <w:pPr>
      <w:tabs>
        <w:tab w:val="num" w:pos="2835"/>
      </w:tabs>
      <w:spacing w:after="210" w:line="264" w:lineRule="auto"/>
      <w:ind w:left="2835" w:hanging="709"/>
      <w:jc w:val="both"/>
      <w:outlineLvl w:val="4"/>
    </w:pPr>
    <w:rPr>
      <w:rFonts w:ascii="Arial" w:eastAsia="Arial Unicode MS" w:hAnsi="Arial" w:cs="Times New Roman"/>
      <w:sz w:val="21"/>
      <w:szCs w:val="21"/>
      <w:lang w:val="en-GB" w:eastAsia="en-GB"/>
    </w:rPr>
  </w:style>
  <w:style w:type="paragraph" w:styleId="ListParagraph">
    <w:name w:val="List Paragraph"/>
    <w:aliases w:val="Bullet,kepala,First Level Outline,ANNEX,List Paragraph1,Citation List,Graphic,Table of contents numbered,List Paragraph (bulleted list),Bullet 1 List,List Paragraph Char Char,Resume Title,Ha,ADB paragraph numbering,Bullets1,Bullets,3"/>
    <w:basedOn w:val="Normal"/>
    <w:link w:val="ListParagraphChar"/>
    <w:uiPriority w:val="99"/>
    <w:qFormat/>
    <w:rsid w:val="00BB1D51"/>
    <w:pPr>
      <w:spacing w:after="0" w:line="264" w:lineRule="auto"/>
      <w:ind w:left="720"/>
      <w:contextualSpacing/>
      <w:jc w:val="both"/>
    </w:pPr>
    <w:rPr>
      <w:rFonts w:ascii="Arial" w:eastAsia="Arial Unicode MS" w:hAnsi="Arial" w:cs="Times New Roman"/>
      <w:sz w:val="21"/>
      <w:szCs w:val="21"/>
      <w:lang w:val="en-GB" w:eastAsia="en-GB"/>
    </w:rPr>
  </w:style>
  <w:style w:type="character" w:customStyle="1" w:styleId="ListParagraphChar">
    <w:name w:val="List Paragraph Char"/>
    <w:aliases w:val="Bullet Char,kepala Char,First Level Outline Char,ANNEX Char,List Paragraph1 Char,Citation List Char,Graphic Char,Table of contents numbered Char,List Paragraph (bulleted list) Char,Bullet 1 List Char,List Paragraph Char Char Char"/>
    <w:link w:val="ListParagraph"/>
    <w:uiPriority w:val="99"/>
    <w:qFormat/>
    <w:locked/>
    <w:rsid w:val="00BB1D51"/>
    <w:rPr>
      <w:rFonts w:ascii="Arial" w:eastAsia="Arial Unicode MS" w:hAnsi="Arial" w:cs="Times New Roman"/>
      <w:sz w:val="21"/>
      <w:szCs w:val="21"/>
      <w:lang w:val="en-GB" w:eastAsia="en-GB"/>
    </w:rPr>
  </w:style>
  <w:style w:type="character" w:customStyle="1" w:styleId="SchNumber1Char">
    <w:name w:val="Sch Number 1 Char"/>
    <w:link w:val="SchNumber1"/>
    <w:uiPriority w:val="12"/>
    <w:rsid w:val="00BB1D51"/>
    <w:rPr>
      <w:rFonts w:ascii="Arial" w:eastAsia="Arial Unicode MS" w:hAnsi="Arial" w:cs="Times New Roman"/>
      <w:sz w:val="21"/>
      <w:szCs w:val="21"/>
      <w:lang w:val="en-GB" w:eastAsia="en-GB"/>
    </w:rPr>
  </w:style>
  <w:style w:type="paragraph" w:customStyle="1" w:styleId="Default">
    <w:name w:val="Default"/>
    <w:rsid w:val="00BB1D5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HeadingRight">
    <w:name w:val="~TableHeadingRight"/>
    <w:basedOn w:val="Normal"/>
    <w:rsid w:val="00BB1D51"/>
    <w:pPr>
      <w:keepNext/>
      <w:spacing w:before="80" w:after="40" w:line="360" w:lineRule="auto"/>
      <w:ind w:left="605"/>
      <w:jc w:val="right"/>
    </w:pPr>
    <w:rPr>
      <w:rFonts w:ascii="Arial" w:eastAsia="Times New Roman" w:hAnsi="Arial" w:cs="Times New Roman"/>
      <w:b/>
      <w:color w:val="FFFFFF"/>
      <w:sz w:val="17"/>
      <w:szCs w:val="24"/>
      <w:lang w:val="en-GB" w:eastAsia="en-GB"/>
    </w:rPr>
  </w:style>
  <w:style w:type="paragraph" w:customStyle="1" w:styleId="TableHeadingLeft">
    <w:name w:val="~TableHeadingLeft"/>
    <w:basedOn w:val="Normal"/>
    <w:link w:val="TableHeadingLeftChar"/>
    <w:rsid w:val="00BB1D51"/>
    <w:pPr>
      <w:keepNext/>
      <w:spacing w:before="80" w:after="40" w:line="240" w:lineRule="auto"/>
      <w:jc w:val="both"/>
    </w:pPr>
    <w:rPr>
      <w:rFonts w:ascii="Arial" w:eastAsia="Times New Roman" w:hAnsi="Arial" w:cs="Times New Roman"/>
      <w:b/>
      <w:color w:val="FFFFFF"/>
      <w:sz w:val="17"/>
      <w:szCs w:val="24"/>
      <w:lang w:val="en-GB" w:eastAsia="en-GB"/>
    </w:rPr>
  </w:style>
  <w:style w:type="character" w:customStyle="1" w:styleId="TableHeadingLeftChar">
    <w:name w:val="~TableHeadingLeft Char"/>
    <w:link w:val="TableHeadingLeft"/>
    <w:rsid w:val="00BB1D51"/>
    <w:rPr>
      <w:rFonts w:ascii="Arial" w:eastAsia="Times New Roman" w:hAnsi="Arial" w:cs="Times New Roman"/>
      <w:b/>
      <w:color w:val="FFFFFF"/>
      <w:sz w:val="17"/>
      <w:szCs w:val="24"/>
      <w:lang w:val="en-GB" w:eastAsia="en-GB"/>
    </w:rPr>
  </w:style>
  <w:style w:type="paragraph" w:customStyle="1" w:styleId="table">
    <w:name w:val="table"/>
    <w:basedOn w:val="Normal"/>
    <w:next w:val="Normal"/>
    <w:autoRedefine/>
    <w:rsid w:val="00BB1D51"/>
    <w:pPr>
      <w:widowControl w:val="0"/>
      <w:tabs>
        <w:tab w:val="left" w:pos="1513"/>
      </w:tabs>
      <w:spacing w:before="100" w:beforeAutospacing="1" w:after="100" w:afterAutospacing="1" w:line="280" w:lineRule="atLeast"/>
      <w:ind w:right="-84"/>
      <w:jc w:val="center"/>
    </w:pPr>
    <w:rPr>
      <w:rFonts w:ascii="Arial" w:eastAsia="Times New Roman" w:hAnsi="Arial" w:cs="Arial"/>
      <w:i/>
      <w:sz w:val="18"/>
      <w:szCs w:val="18"/>
      <w:lang w:val="en-GB" w:eastAsia="he-IL" w:bidi="he-IL"/>
    </w:rPr>
  </w:style>
  <w:style w:type="paragraph" w:customStyle="1" w:styleId="table-mid">
    <w:name w:val="table-mid"/>
    <w:basedOn w:val="table"/>
    <w:rsid w:val="00BB1D51"/>
  </w:style>
  <w:style w:type="character" w:customStyle="1" w:styleId="Level4Char">
    <w:name w:val="Level 4 Char"/>
    <w:link w:val="Level4"/>
    <w:locked/>
    <w:rsid w:val="00BB1D51"/>
    <w:rPr>
      <w:rFonts w:ascii="Arial" w:eastAsia="Arial Unicode MS" w:hAnsi="Arial" w:cs="Times New Roman"/>
      <w:sz w:val="21"/>
      <w:szCs w:val="21"/>
      <w:lang w:val="en-GB" w:eastAsia="en-GB"/>
    </w:rPr>
  </w:style>
  <w:style w:type="paragraph" w:styleId="ListBullet2">
    <w:name w:val="List Bullet 2"/>
    <w:basedOn w:val="Normal"/>
    <w:uiPriority w:val="99"/>
    <w:unhideWhenUsed/>
    <w:qFormat/>
    <w:rsid w:val="00BB1D51"/>
    <w:pPr>
      <w:tabs>
        <w:tab w:val="num" w:pos="360"/>
      </w:tabs>
      <w:spacing w:line="276" w:lineRule="auto"/>
      <w:contextualSpacing/>
    </w:pPr>
    <w:rPr>
      <w:rFonts w:ascii="Arial" w:eastAsia="Calibri" w:hAnsi="Arial" w:cs="Times New Roman"/>
    </w:rPr>
  </w:style>
  <w:style w:type="paragraph" w:styleId="ListBullet3">
    <w:name w:val="List Bullet 3"/>
    <w:basedOn w:val="Normal"/>
    <w:uiPriority w:val="99"/>
    <w:unhideWhenUsed/>
    <w:rsid w:val="00BB1D51"/>
    <w:pPr>
      <w:tabs>
        <w:tab w:val="num" w:pos="360"/>
      </w:tabs>
      <w:spacing w:after="120" w:line="276" w:lineRule="auto"/>
      <w:contextualSpacing/>
    </w:pPr>
    <w:rPr>
      <w:rFonts w:ascii="Arial" w:eastAsia="Calibri" w:hAnsi="Arial" w:cs="Times New Roman"/>
    </w:rPr>
  </w:style>
  <w:style w:type="character" w:customStyle="1" w:styleId="TableTextLeftChar">
    <w:name w:val="~TableTextLeft Char"/>
    <w:link w:val="TableTextLeft"/>
    <w:locked/>
    <w:rsid w:val="00BB1D51"/>
    <w:rPr>
      <w:sz w:val="17"/>
      <w:szCs w:val="24"/>
      <w:lang w:val="en-GB" w:eastAsia="en-GB"/>
    </w:rPr>
  </w:style>
  <w:style w:type="paragraph" w:customStyle="1" w:styleId="TableTextLeft">
    <w:name w:val="~TableTextLeft"/>
    <w:basedOn w:val="Normal"/>
    <w:link w:val="TableTextLeftChar"/>
    <w:rsid w:val="00BB1D51"/>
    <w:pPr>
      <w:spacing w:before="60" w:after="20" w:line="360" w:lineRule="auto"/>
      <w:ind w:left="605"/>
      <w:jc w:val="both"/>
    </w:pPr>
    <w:rPr>
      <w:sz w:val="17"/>
      <w:szCs w:val="24"/>
      <w:lang w:val="en-GB" w:eastAsia="en-GB"/>
    </w:rPr>
  </w:style>
  <w:style w:type="paragraph" w:customStyle="1" w:styleId="TableTextRight">
    <w:name w:val="~TableTextRight"/>
    <w:basedOn w:val="TableTextLeft"/>
    <w:rsid w:val="00BB1D51"/>
    <w:pPr>
      <w:spacing w:line="240" w:lineRule="auto"/>
      <w:ind w:left="0"/>
      <w:jc w:val="right"/>
    </w:pPr>
  </w:style>
  <w:style w:type="paragraph" w:customStyle="1" w:styleId="BodySingle">
    <w:name w:val="Body Single"/>
    <w:basedOn w:val="Normal"/>
    <w:rsid w:val="00BB1D51"/>
    <w:pPr>
      <w:tabs>
        <w:tab w:val="left" w:pos="720"/>
        <w:tab w:val="left" w:pos="1440"/>
        <w:tab w:val="left" w:pos="2304"/>
      </w:tabs>
      <w:spacing w:after="0" w:line="240" w:lineRule="auto"/>
      <w:jc w:val="both"/>
    </w:pPr>
    <w:rPr>
      <w:rFonts w:ascii="Arial" w:eastAsia="Times New Roman" w:hAnsi="Arial" w:cs="Times New Roman"/>
      <w:sz w:val="20"/>
      <w:szCs w:val="20"/>
      <w:lang w:val="en-GB"/>
    </w:rPr>
  </w:style>
  <w:style w:type="character" w:customStyle="1" w:styleId="Level5Char">
    <w:name w:val="Level 5 Char"/>
    <w:link w:val="Level5"/>
    <w:rsid w:val="00BB1D51"/>
    <w:rPr>
      <w:rFonts w:ascii="Arial" w:eastAsia="Arial Unicode MS" w:hAnsi="Arial" w:cs="Times New Roman"/>
      <w:sz w:val="21"/>
      <w:szCs w:val="21"/>
      <w:lang w:val="en-GB" w:eastAsia="en-GB"/>
    </w:rPr>
  </w:style>
  <w:style w:type="paragraph" w:styleId="BodyText">
    <w:name w:val="Body Text"/>
    <w:basedOn w:val="Normal"/>
    <w:link w:val="BodyTextChar"/>
    <w:uiPriority w:val="17"/>
    <w:qFormat/>
    <w:rsid w:val="00BB1D51"/>
    <w:pPr>
      <w:spacing w:after="120" w:line="264" w:lineRule="auto"/>
      <w:jc w:val="both"/>
    </w:pPr>
    <w:rPr>
      <w:rFonts w:ascii="Arial" w:eastAsia="Arial Unicode MS" w:hAnsi="Arial" w:cs="Times New Roman"/>
      <w:sz w:val="21"/>
      <w:szCs w:val="21"/>
      <w:lang w:val="en-GB" w:eastAsia="en-GB"/>
    </w:rPr>
  </w:style>
  <w:style w:type="character" w:customStyle="1" w:styleId="BodyTextChar">
    <w:name w:val="Body Text Char"/>
    <w:basedOn w:val="DefaultParagraphFont"/>
    <w:link w:val="BodyText"/>
    <w:uiPriority w:val="17"/>
    <w:rsid w:val="00BB1D51"/>
    <w:rPr>
      <w:rFonts w:ascii="Arial" w:eastAsia="Arial Unicode MS" w:hAnsi="Arial" w:cs="Times New Roman"/>
      <w:sz w:val="21"/>
      <w:szCs w:val="21"/>
      <w:lang w:val="en-GB" w:eastAsia="en-GB"/>
    </w:rPr>
  </w:style>
  <w:style w:type="paragraph" w:styleId="BodyTextIndent2">
    <w:name w:val="Body Text Indent 2"/>
    <w:basedOn w:val="Normal"/>
    <w:link w:val="BodyTextIndent2Char"/>
    <w:uiPriority w:val="99"/>
    <w:semiHidden/>
    <w:unhideWhenUsed/>
    <w:rsid w:val="00BB1D51"/>
    <w:pPr>
      <w:spacing w:after="120" w:line="480" w:lineRule="auto"/>
      <w:ind w:left="360"/>
    </w:pPr>
  </w:style>
  <w:style w:type="character" w:customStyle="1" w:styleId="BodyTextIndent2Char">
    <w:name w:val="Body Text Indent 2 Char"/>
    <w:basedOn w:val="DefaultParagraphFont"/>
    <w:link w:val="BodyTextIndent2"/>
    <w:uiPriority w:val="99"/>
    <w:semiHidden/>
    <w:rsid w:val="00BB1D51"/>
  </w:style>
  <w:style w:type="character" w:customStyle="1" w:styleId="SchNumber2Char">
    <w:name w:val="Sch Number 2 Char"/>
    <w:link w:val="SchNumber2"/>
    <w:uiPriority w:val="12"/>
    <w:rsid w:val="00BB1D51"/>
    <w:rPr>
      <w:rFonts w:ascii="Arial" w:eastAsia="Arial Unicode MS" w:hAnsi="Arial" w:cs="Times New Roman"/>
      <w:sz w:val="21"/>
      <w:szCs w:val="21"/>
      <w:lang w:val="en-GB" w:eastAsia="en-GB"/>
    </w:rPr>
  </w:style>
  <w:style w:type="character" w:customStyle="1" w:styleId="SchNumber5Char">
    <w:name w:val="Sch Number 5 Char"/>
    <w:link w:val="SchNumber5"/>
    <w:uiPriority w:val="12"/>
    <w:rsid w:val="00BB1D51"/>
    <w:rPr>
      <w:rFonts w:ascii="Arial" w:eastAsia="Arial Unicode MS" w:hAnsi="Arial" w:cs="Times New Roman"/>
      <w:sz w:val="21"/>
      <w:szCs w:val="21"/>
      <w:lang w:val="en-GB" w:eastAsia="en-GB"/>
    </w:rPr>
  </w:style>
  <w:style w:type="paragraph" w:customStyle="1" w:styleId="SchHeading2">
    <w:name w:val="Sch Heading 2"/>
    <w:basedOn w:val="SchNumber2"/>
    <w:next w:val="Body2"/>
    <w:link w:val="SchHeading2Char"/>
    <w:uiPriority w:val="12"/>
    <w:qFormat/>
    <w:rsid w:val="00BB1D51"/>
    <w:pPr>
      <w:keepNext/>
      <w:numPr>
        <w:ilvl w:val="0"/>
        <w:numId w:val="0"/>
      </w:numPr>
    </w:pPr>
    <w:rPr>
      <w:b/>
    </w:rPr>
  </w:style>
  <w:style w:type="character" w:customStyle="1" w:styleId="SchHeading2Char">
    <w:name w:val="Sch Heading 2 Char"/>
    <w:link w:val="SchHeading2"/>
    <w:uiPriority w:val="12"/>
    <w:rsid w:val="00BB1D51"/>
    <w:rPr>
      <w:rFonts w:ascii="Arial" w:eastAsia="Arial Unicode MS" w:hAnsi="Arial" w:cs="Times New Roman"/>
      <w:b/>
      <w:sz w:val="21"/>
      <w:szCs w:val="21"/>
      <w:lang w:val="en-GB" w:eastAsia="en-GB"/>
    </w:rPr>
  </w:style>
  <w:style w:type="paragraph" w:customStyle="1" w:styleId="Body3">
    <w:name w:val="Body 3"/>
    <w:basedOn w:val="Body2"/>
    <w:link w:val="Body3Char"/>
    <w:qFormat/>
    <w:rsid w:val="00BB1D51"/>
    <w:pPr>
      <w:ind w:left="1418"/>
    </w:pPr>
  </w:style>
  <w:style w:type="character" w:customStyle="1" w:styleId="Body3Char">
    <w:name w:val="Body 3 Char"/>
    <w:basedOn w:val="Body2Char"/>
    <w:link w:val="Body3"/>
    <w:rsid w:val="00BB1D51"/>
    <w:rPr>
      <w:rFonts w:ascii="Arial" w:eastAsia="Arial Unicode MS" w:hAnsi="Arial" w:cs="Times New Roman"/>
      <w:sz w:val="21"/>
      <w:szCs w:val="21"/>
      <w:lang w:val="en-GB" w:eastAsia="en-GB"/>
    </w:rPr>
  </w:style>
  <w:style w:type="paragraph" w:styleId="Header">
    <w:name w:val="header"/>
    <w:basedOn w:val="Normal"/>
    <w:link w:val="HeaderChar"/>
    <w:uiPriority w:val="99"/>
    <w:unhideWhenUsed/>
    <w:rsid w:val="00BB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D51"/>
  </w:style>
  <w:style w:type="paragraph" w:styleId="Footer">
    <w:name w:val="footer"/>
    <w:basedOn w:val="Normal"/>
    <w:link w:val="FooterChar"/>
    <w:uiPriority w:val="99"/>
    <w:unhideWhenUsed/>
    <w:rsid w:val="00BB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D51"/>
  </w:style>
  <w:style w:type="paragraph" w:customStyle="1" w:styleId="Parties">
    <w:name w:val="Parties"/>
    <w:basedOn w:val="Normal"/>
    <w:next w:val="Body2"/>
    <w:uiPriority w:val="9"/>
    <w:qFormat/>
    <w:rsid w:val="00BB1D51"/>
    <w:pPr>
      <w:spacing w:after="210" w:line="264" w:lineRule="auto"/>
      <w:jc w:val="both"/>
    </w:pPr>
    <w:rPr>
      <w:rFonts w:ascii="Arial" w:eastAsia="Arial Unicode MS" w:hAnsi="Arial" w:cs="Times New Roman"/>
      <w:sz w:val="21"/>
      <w:szCs w:val="21"/>
      <w:lang w:val="en-GB" w:eastAsia="en-GB"/>
    </w:rPr>
  </w:style>
  <w:style w:type="character" w:customStyle="1" w:styleId="Heading1Text">
    <w:name w:val="Heading 1 Text"/>
    <w:uiPriority w:val="99"/>
    <w:qFormat/>
    <w:rsid w:val="00BB1D51"/>
    <w:rPr>
      <w:b/>
      <w:smallCaps/>
    </w:rPr>
  </w:style>
  <w:style w:type="paragraph" w:customStyle="1" w:styleId="Recitals">
    <w:name w:val="Recitals"/>
    <w:basedOn w:val="Normal"/>
    <w:next w:val="Body2"/>
    <w:uiPriority w:val="9"/>
    <w:qFormat/>
    <w:rsid w:val="00BB1D51"/>
    <w:pPr>
      <w:numPr>
        <w:numId w:val="203"/>
      </w:numPr>
      <w:spacing w:after="210" w:line="264" w:lineRule="auto"/>
      <w:jc w:val="both"/>
    </w:pPr>
    <w:rPr>
      <w:rFonts w:ascii="Arial" w:eastAsia="Arial Unicode MS" w:hAnsi="Arial" w:cs="Times New Roman"/>
      <w:sz w:val="21"/>
      <w:szCs w:val="21"/>
      <w:lang w:val="en-GB" w:eastAsia="en-GB"/>
    </w:rPr>
  </w:style>
  <w:style w:type="numbering" w:customStyle="1" w:styleId="SchCustomList1">
    <w:name w:val="Sch Custom List1"/>
    <w:basedOn w:val="NoList"/>
    <w:uiPriority w:val="99"/>
    <w:rsid w:val="00BB1D51"/>
    <w:pPr>
      <w:numPr>
        <w:numId w:val="544"/>
      </w:numPr>
    </w:pPr>
  </w:style>
  <w:style w:type="paragraph" w:customStyle="1" w:styleId="CentredHeading">
    <w:name w:val="Centred Heading"/>
    <w:basedOn w:val="Normal"/>
    <w:next w:val="Normal"/>
    <w:uiPriority w:val="13"/>
    <w:qFormat/>
    <w:rsid w:val="00BB1D51"/>
    <w:pPr>
      <w:keepNext/>
      <w:spacing w:after="210" w:line="264" w:lineRule="auto"/>
      <w:jc w:val="center"/>
    </w:pPr>
    <w:rPr>
      <w:rFonts w:ascii="Arial" w:eastAsia="Arial Unicode MS" w:hAnsi="Arial" w:cs="Times New Roman"/>
      <w:b/>
      <w:smallCaps/>
      <w:sz w:val="21"/>
      <w:szCs w:val="21"/>
      <w:lang w:val="en-GB" w:eastAsia="en-GB"/>
    </w:rPr>
  </w:style>
  <w:style w:type="character" w:customStyle="1" w:styleId="Level1Char">
    <w:name w:val="Level 1 Char"/>
    <w:link w:val="Level1"/>
    <w:rsid w:val="00BB1D51"/>
    <w:rPr>
      <w:rFonts w:ascii="Arial" w:eastAsia="Arial Unicode MS" w:hAnsi="Arial" w:cs="Times New Roman"/>
      <w:sz w:val="21"/>
      <w:szCs w:val="21"/>
      <w:lang w:val="en-GB" w:eastAsia="en-GB"/>
    </w:rPr>
  </w:style>
  <w:style w:type="character" w:customStyle="1" w:styleId="Level2Char">
    <w:name w:val="Level 2 Char"/>
    <w:link w:val="Level2"/>
    <w:rsid w:val="00BB1D51"/>
    <w:rPr>
      <w:rFonts w:ascii="Arial" w:eastAsia="Arial Unicode MS" w:hAnsi="Arial" w:cs="Times New Roman"/>
      <w:sz w:val="21"/>
      <w:szCs w:val="21"/>
      <w:lang w:val="en-GB" w:eastAsia="en-GB"/>
    </w:rPr>
  </w:style>
  <w:style w:type="character" w:customStyle="1" w:styleId="Heading2Text">
    <w:name w:val="Heading 2 Text"/>
    <w:uiPriority w:val="14"/>
    <w:rsid w:val="00BB1D51"/>
    <w:rPr>
      <w:b/>
    </w:rPr>
  </w:style>
  <w:style w:type="paragraph" w:customStyle="1" w:styleId="Body5">
    <w:name w:val="Body 5"/>
    <w:basedOn w:val="Normal"/>
    <w:link w:val="Body5Char"/>
    <w:qFormat/>
    <w:rsid w:val="00BB1D51"/>
    <w:pPr>
      <w:spacing w:after="210" w:line="264" w:lineRule="auto"/>
      <w:ind w:left="2835"/>
      <w:jc w:val="both"/>
    </w:pPr>
    <w:rPr>
      <w:rFonts w:ascii="Arial" w:eastAsia="Arial Unicode MS" w:hAnsi="Arial" w:cs="Times New Roman"/>
      <w:sz w:val="21"/>
      <w:szCs w:val="21"/>
      <w:lang w:val="en-GB" w:eastAsia="en-GB"/>
    </w:rPr>
  </w:style>
  <w:style w:type="character" w:customStyle="1" w:styleId="Body5Char">
    <w:name w:val="Body 5 Char"/>
    <w:basedOn w:val="DefaultParagraphFont"/>
    <w:link w:val="Body5"/>
    <w:rsid w:val="00BB1D51"/>
    <w:rPr>
      <w:rFonts w:ascii="Arial" w:eastAsia="Arial Unicode MS" w:hAnsi="Arial" w:cs="Times New Roman"/>
      <w:sz w:val="21"/>
      <w:szCs w:val="21"/>
      <w:lang w:val="en-GB" w:eastAsia="en-GB"/>
    </w:rPr>
  </w:style>
  <w:style w:type="character" w:customStyle="1" w:styleId="shorttext">
    <w:name w:val="short_text"/>
    <w:rsid w:val="00BB1D51"/>
  </w:style>
  <w:style w:type="paragraph" w:customStyle="1" w:styleId="Body4">
    <w:name w:val="Body 4"/>
    <w:basedOn w:val="Normal"/>
    <w:link w:val="Body4Char"/>
    <w:qFormat/>
    <w:rsid w:val="00BB1D51"/>
    <w:pPr>
      <w:spacing w:after="210" w:line="264" w:lineRule="auto"/>
      <w:ind w:left="2126"/>
      <w:jc w:val="both"/>
    </w:pPr>
    <w:rPr>
      <w:rFonts w:ascii="Arial" w:eastAsia="Arial Unicode MS" w:hAnsi="Arial" w:cs="Times New Roman"/>
      <w:sz w:val="21"/>
      <w:szCs w:val="21"/>
      <w:lang w:val="en-GB" w:eastAsia="en-GB"/>
    </w:rPr>
  </w:style>
  <w:style w:type="character" w:customStyle="1" w:styleId="Body4Char">
    <w:name w:val="Body 4 Char"/>
    <w:basedOn w:val="DefaultParagraphFont"/>
    <w:link w:val="Body4"/>
    <w:rsid w:val="00BB1D51"/>
    <w:rPr>
      <w:rFonts w:ascii="Arial" w:eastAsia="Arial Unicode MS" w:hAnsi="Arial" w:cs="Times New Roman"/>
      <w:sz w:val="21"/>
      <w:szCs w:val="21"/>
      <w:lang w:val="en-GB" w:eastAsia="en-GB"/>
    </w:rPr>
  </w:style>
  <w:style w:type="character" w:styleId="CommentReference">
    <w:name w:val="annotation reference"/>
    <w:basedOn w:val="DefaultParagraphFont"/>
    <w:unhideWhenUsed/>
    <w:rsid w:val="00BB1D51"/>
    <w:rPr>
      <w:sz w:val="16"/>
      <w:szCs w:val="16"/>
    </w:rPr>
  </w:style>
  <w:style w:type="paragraph" w:styleId="CommentText">
    <w:name w:val="annotation text"/>
    <w:basedOn w:val="Normal"/>
    <w:link w:val="CommentTextChar"/>
    <w:unhideWhenUsed/>
    <w:rsid w:val="00BB1D51"/>
    <w:pPr>
      <w:spacing w:line="240" w:lineRule="auto"/>
    </w:pPr>
    <w:rPr>
      <w:sz w:val="20"/>
      <w:szCs w:val="20"/>
    </w:rPr>
  </w:style>
  <w:style w:type="character" w:customStyle="1" w:styleId="CommentTextChar">
    <w:name w:val="Comment Text Char"/>
    <w:basedOn w:val="DefaultParagraphFont"/>
    <w:link w:val="CommentText"/>
    <w:rsid w:val="00BB1D51"/>
    <w:rPr>
      <w:sz w:val="20"/>
      <w:szCs w:val="20"/>
    </w:rPr>
  </w:style>
  <w:style w:type="paragraph" w:styleId="CommentSubject">
    <w:name w:val="annotation subject"/>
    <w:basedOn w:val="CommentText"/>
    <w:next w:val="CommentText"/>
    <w:link w:val="CommentSubjectChar"/>
    <w:uiPriority w:val="99"/>
    <w:semiHidden/>
    <w:unhideWhenUsed/>
    <w:rsid w:val="00BB1D51"/>
    <w:rPr>
      <w:b/>
      <w:bCs/>
    </w:rPr>
  </w:style>
  <w:style w:type="character" w:customStyle="1" w:styleId="CommentSubjectChar">
    <w:name w:val="Comment Subject Char"/>
    <w:basedOn w:val="CommentTextChar"/>
    <w:link w:val="CommentSubject"/>
    <w:uiPriority w:val="99"/>
    <w:semiHidden/>
    <w:rsid w:val="00BB1D51"/>
    <w:rPr>
      <w:b/>
      <w:bCs/>
      <w:sz w:val="20"/>
      <w:szCs w:val="20"/>
    </w:rPr>
  </w:style>
  <w:style w:type="character" w:customStyle="1" w:styleId="st1">
    <w:name w:val="st1"/>
    <w:rsid w:val="00BB1D51"/>
  </w:style>
  <w:style w:type="character" w:customStyle="1" w:styleId="BoldText">
    <w:name w:val="BoldText"/>
    <w:uiPriority w:val="15"/>
    <w:qFormat/>
    <w:rsid w:val="00BB1D51"/>
    <w:rPr>
      <w:b/>
    </w:rPr>
  </w:style>
  <w:style w:type="numbering" w:customStyle="1" w:styleId="NoList1">
    <w:name w:val="No List1"/>
    <w:next w:val="NoList"/>
    <w:uiPriority w:val="99"/>
    <w:semiHidden/>
    <w:unhideWhenUsed/>
    <w:rsid w:val="00BB1D51"/>
  </w:style>
  <w:style w:type="table" w:customStyle="1" w:styleId="TableGrid1">
    <w:name w:val="Table Grid1"/>
    <w:basedOn w:val="TableNormal"/>
    <w:next w:val="TableGrid"/>
    <w:uiPriority w:val="39"/>
    <w:rsid w:val="00BB1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B1D51"/>
    <w:pPr>
      <w:keepLines/>
      <w:tabs>
        <w:tab w:val="clear" w:pos="709"/>
      </w:tabs>
      <w:spacing w:before="480" w:after="0" w:line="276" w:lineRule="auto"/>
      <w:ind w:left="0" w:firstLine="0"/>
      <w:jc w:val="left"/>
      <w:outlineLvl w:val="9"/>
    </w:pPr>
    <w:rPr>
      <w:rFonts w:asciiTheme="majorHAnsi" w:eastAsiaTheme="majorEastAsia" w:hAnsiTheme="majorHAnsi" w:cstheme="majorBidi"/>
      <w:bCs/>
      <w:smallCaps w:val="0"/>
      <w:color w:val="2F5496" w:themeColor="accent1" w:themeShade="BF"/>
      <w:sz w:val="28"/>
      <w:szCs w:val="28"/>
      <w:lang w:val="en-US" w:eastAsia="ja-JP"/>
    </w:rPr>
  </w:style>
  <w:style w:type="paragraph" w:styleId="TOC1">
    <w:name w:val="toc 1"/>
    <w:basedOn w:val="Normal"/>
    <w:next w:val="Normal"/>
    <w:autoRedefine/>
    <w:uiPriority w:val="39"/>
    <w:unhideWhenUsed/>
    <w:rsid w:val="00BB1D51"/>
    <w:pPr>
      <w:spacing w:after="100"/>
    </w:pPr>
  </w:style>
  <w:style w:type="paragraph" w:styleId="TOC3">
    <w:name w:val="toc 3"/>
    <w:basedOn w:val="Normal"/>
    <w:next w:val="Normal"/>
    <w:autoRedefine/>
    <w:uiPriority w:val="39"/>
    <w:unhideWhenUsed/>
    <w:rsid w:val="00BB1D51"/>
    <w:pPr>
      <w:spacing w:after="100"/>
      <w:ind w:left="440"/>
    </w:pPr>
  </w:style>
  <w:style w:type="paragraph" w:styleId="TOC2">
    <w:name w:val="toc 2"/>
    <w:basedOn w:val="Normal"/>
    <w:next w:val="Normal"/>
    <w:autoRedefine/>
    <w:uiPriority w:val="39"/>
    <w:unhideWhenUsed/>
    <w:rsid w:val="00BB1D51"/>
    <w:pPr>
      <w:spacing w:after="100"/>
      <w:ind w:left="220"/>
    </w:pPr>
  </w:style>
  <w:style w:type="paragraph" w:styleId="TOC4">
    <w:name w:val="toc 4"/>
    <w:basedOn w:val="Normal"/>
    <w:next w:val="Normal"/>
    <w:autoRedefine/>
    <w:uiPriority w:val="39"/>
    <w:unhideWhenUsed/>
    <w:rsid w:val="00BB1D51"/>
    <w:pPr>
      <w:spacing w:after="100" w:line="276" w:lineRule="auto"/>
      <w:ind w:left="660"/>
    </w:pPr>
    <w:rPr>
      <w:rFonts w:eastAsiaTheme="minorEastAsia"/>
    </w:rPr>
  </w:style>
  <w:style w:type="paragraph" w:styleId="TOC5">
    <w:name w:val="toc 5"/>
    <w:basedOn w:val="Normal"/>
    <w:next w:val="Normal"/>
    <w:autoRedefine/>
    <w:uiPriority w:val="39"/>
    <w:unhideWhenUsed/>
    <w:rsid w:val="00BB1D51"/>
    <w:pPr>
      <w:spacing w:after="100" w:line="276" w:lineRule="auto"/>
      <w:ind w:left="880"/>
    </w:pPr>
    <w:rPr>
      <w:rFonts w:eastAsiaTheme="minorEastAsia"/>
    </w:rPr>
  </w:style>
  <w:style w:type="paragraph" w:styleId="TOC6">
    <w:name w:val="toc 6"/>
    <w:basedOn w:val="Normal"/>
    <w:next w:val="Normal"/>
    <w:autoRedefine/>
    <w:uiPriority w:val="39"/>
    <w:unhideWhenUsed/>
    <w:rsid w:val="00BB1D51"/>
    <w:pPr>
      <w:spacing w:after="100" w:line="276" w:lineRule="auto"/>
      <w:ind w:left="1100"/>
    </w:pPr>
    <w:rPr>
      <w:rFonts w:eastAsiaTheme="minorEastAsia"/>
    </w:rPr>
  </w:style>
  <w:style w:type="paragraph" w:styleId="TOC7">
    <w:name w:val="toc 7"/>
    <w:basedOn w:val="Normal"/>
    <w:next w:val="Normal"/>
    <w:autoRedefine/>
    <w:uiPriority w:val="39"/>
    <w:unhideWhenUsed/>
    <w:rsid w:val="00BB1D51"/>
    <w:pPr>
      <w:spacing w:after="100" w:line="276" w:lineRule="auto"/>
      <w:ind w:left="1320"/>
    </w:pPr>
    <w:rPr>
      <w:rFonts w:eastAsiaTheme="minorEastAsia"/>
    </w:rPr>
  </w:style>
  <w:style w:type="paragraph" w:styleId="TOC8">
    <w:name w:val="toc 8"/>
    <w:basedOn w:val="Normal"/>
    <w:next w:val="Normal"/>
    <w:autoRedefine/>
    <w:uiPriority w:val="39"/>
    <w:unhideWhenUsed/>
    <w:rsid w:val="00BB1D51"/>
    <w:pPr>
      <w:spacing w:after="100" w:line="276" w:lineRule="auto"/>
      <w:ind w:left="1540"/>
    </w:pPr>
    <w:rPr>
      <w:rFonts w:eastAsiaTheme="minorEastAsia"/>
    </w:rPr>
  </w:style>
  <w:style w:type="paragraph" w:styleId="TOC9">
    <w:name w:val="toc 9"/>
    <w:basedOn w:val="Normal"/>
    <w:next w:val="Normal"/>
    <w:autoRedefine/>
    <w:uiPriority w:val="39"/>
    <w:unhideWhenUsed/>
    <w:rsid w:val="00BB1D51"/>
    <w:pPr>
      <w:spacing w:after="100" w:line="276" w:lineRule="auto"/>
      <w:ind w:left="1760"/>
    </w:pPr>
    <w:rPr>
      <w:rFonts w:eastAsiaTheme="minorEastAsia"/>
    </w:rPr>
  </w:style>
  <w:style w:type="character" w:styleId="Hyperlink">
    <w:name w:val="Hyperlink"/>
    <w:basedOn w:val="DefaultParagraphFont"/>
    <w:uiPriority w:val="99"/>
    <w:unhideWhenUsed/>
    <w:rsid w:val="00BB1D51"/>
    <w:rPr>
      <w:color w:val="0563C1" w:themeColor="hyperlink"/>
      <w:u w:val="single"/>
    </w:rPr>
  </w:style>
  <w:style w:type="paragraph" w:styleId="TOAHeading">
    <w:name w:val="toa heading"/>
    <w:basedOn w:val="Normal"/>
    <w:next w:val="Normal"/>
    <w:uiPriority w:val="49"/>
    <w:semiHidden/>
    <w:rsid w:val="00BB1D51"/>
    <w:pPr>
      <w:spacing w:before="120" w:after="0" w:line="264" w:lineRule="auto"/>
      <w:jc w:val="both"/>
    </w:pPr>
    <w:rPr>
      <w:rFonts w:ascii="Arial" w:eastAsia="Arial Unicode MS" w:hAnsi="Arial" w:cs="Times New Roman"/>
      <w:b/>
      <w:sz w:val="24"/>
      <w:szCs w:val="21"/>
      <w:lang w:val="en-GB" w:eastAsia="en-GB"/>
    </w:rPr>
  </w:style>
  <w:style w:type="paragraph" w:styleId="NormalWeb">
    <w:name w:val="Normal (Web)"/>
    <w:basedOn w:val="Normal"/>
    <w:uiPriority w:val="99"/>
    <w:semiHidden/>
    <w:unhideWhenUsed/>
    <w:rsid w:val="00BB1D51"/>
    <w:pPr>
      <w:spacing w:before="100" w:beforeAutospacing="1" w:after="100" w:afterAutospacing="1" w:line="240" w:lineRule="auto"/>
    </w:pPr>
    <w:rPr>
      <w:rFonts w:ascii="Times New Roman" w:eastAsiaTheme="minorEastAsia" w:hAnsi="Times New Roman" w:cs="Times New Roman"/>
      <w:sz w:val="24"/>
      <w:szCs w:val="24"/>
      <w:lang w:val="en-ID" w:eastAsia="en-ID"/>
    </w:rPr>
  </w:style>
  <w:style w:type="paragraph" w:styleId="Revision">
    <w:name w:val="Revision"/>
    <w:hidden/>
    <w:uiPriority w:val="99"/>
    <w:semiHidden/>
    <w:rsid w:val="00BB1D51"/>
    <w:pPr>
      <w:spacing w:after="0" w:line="240" w:lineRule="auto"/>
    </w:pPr>
  </w:style>
  <w:style w:type="character" w:customStyle="1" w:styleId="NoSpacingChar">
    <w:name w:val="No Spacing Char"/>
    <w:basedOn w:val="DefaultParagraphFont"/>
    <w:link w:val="NoSpacing"/>
    <w:uiPriority w:val="1"/>
    <w:locked/>
    <w:rsid w:val="00D23F95"/>
    <w:rPr>
      <w:rFonts w:ascii="Times New Roman" w:eastAsiaTheme="minorEastAsia" w:hAnsi="Times New Roman" w:cs="Times New Roman"/>
      <w:lang w:eastAsia="ja-JP"/>
    </w:rPr>
  </w:style>
  <w:style w:type="paragraph" w:styleId="NoSpacing">
    <w:name w:val="No Spacing"/>
    <w:link w:val="NoSpacingChar"/>
    <w:uiPriority w:val="1"/>
    <w:qFormat/>
    <w:rsid w:val="00D23F95"/>
    <w:pPr>
      <w:spacing w:after="0" w:line="240" w:lineRule="auto"/>
    </w:pPr>
    <w:rPr>
      <w:rFonts w:ascii="Times New Roman" w:eastAsiaTheme="minorEastAsia" w:hAnsi="Times New Roman" w:cs="Times New Roman"/>
      <w:lang w:eastAsia="ja-JP"/>
    </w:rPr>
  </w:style>
  <w:style w:type="character" w:customStyle="1" w:styleId="Heading4Char">
    <w:name w:val="Heading 4 Char"/>
    <w:basedOn w:val="DefaultParagraphFont"/>
    <w:link w:val="Heading4"/>
    <w:rsid w:val="00923319"/>
    <w:rPr>
      <w:rFonts w:ascii="Arial" w:eastAsia="Times New Roman" w:hAnsi="Arial" w:cs="Arial"/>
      <w:bCs/>
      <w:sz w:val="20"/>
      <w:szCs w:val="24"/>
      <w:lang w:val="en-GB"/>
    </w:rPr>
  </w:style>
  <w:style w:type="character" w:customStyle="1" w:styleId="Heading5Char">
    <w:name w:val="Heading 5 Char"/>
    <w:basedOn w:val="DefaultParagraphFont"/>
    <w:link w:val="Heading5"/>
    <w:rsid w:val="0092331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semiHidden/>
    <w:rsid w:val="00923319"/>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923319"/>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92331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923319"/>
    <w:rPr>
      <w:rFonts w:ascii="Arial" w:eastAsia="Times New Roman" w:hAnsi="Arial" w:cs="Arial"/>
    </w:rPr>
  </w:style>
  <w:style w:type="numbering" w:customStyle="1" w:styleId="SchCustomList2">
    <w:name w:val="Sch Custom List2"/>
    <w:basedOn w:val="NoList"/>
    <w:uiPriority w:val="99"/>
    <w:rsid w:val="00923319"/>
  </w:style>
  <w:style w:type="numbering" w:customStyle="1" w:styleId="NoList11">
    <w:name w:val="No List11"/>
    <w:next w:val="NoList"/>
    <w:uiPriority w:val="99"/>
    <w:semiHidden/>
    <w:unhideWhenUsed/>
    <w:rsid w:val="00923319"/>
  </w:style>
  <w:style w:type="character" w:customStyle="1" w:styleId="CommentTextChar1">
    <w:name w:val="Comment Text Char1"/>
    <w:basedOn w:val="DefaultParagraphFont"/>
    <w:uiPriority w:val="99"/>
    <w:semiHidden/>
    <w:locked/>
    <w:rsid w:val="00923319"/>
    <w:rPr>
      <w:rFonts w:eastAsia="Times New Roman" w:cs="Times New Roman"/>
      <w:sz w:val="24"/>
      <w:szCs w:val="20"/>
    </w:rPr>
  </w:style>
  <w:style w:type="table" w:customStyle="1" w:styleId="TableGrid2">
    <w:name w:val="Table Grid2"/>
    <w:basedOn w:val="TableNormal"/>
    <w:next w:val="TableGrid"/>
    <w:uiPriority w:val="39"/>
    <w:rsid w:val="00923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923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3319"/>
    <w:rPr>
      <w:color w:val="808080"/>
    </w:rPr>
  </w:style>
  <w:style w:type="paragraph" w:customStyle="1" w:styleId="MarginText">
    <w:name w:val="Margin Text"/>
    <w:basedOn w:val="Normal"/>
    <w:rsid w:val="00632267"/>
    <w:pPr>
      <w:adjustRightInd w:val="0"/>
      <w:spacing w:after="240" w:line="360" w:lineRule="auto"/>
      <w:jc w:val="both"/>
    </w:pPr>
    <w:rPr>
      <w:rFonts w:ascii="Times New Roman" w:eastAsia="STZhongsong" w:hAnsi="Times New Roman" w:cs="Times New Roman"/>
      <w:kern w:val="28"/>
      <w:szCs w:val="20"/>
      <w:lang w:val="en-GB" w:eastAsia="zh-CN"/>
    </w:rPr>
  </w:style>
  <w:style w:type="character" w:styleId="FollowedHyperlink">
    <w:name w:val="FollowedHyperlink"/>
    <w:basedOn w:val="DefaultParagraphFont"/>
    <w:uiPriority w:val="99"/>
    <w:semiHidden/>
    <w:unhideWhenUsed/>
    <w:rsid w:val="00FD5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49222">
      <w:bodyDiv w:val="1"/>
      <w:marLeft w:val="0"/>
      <w:marRight w:val="0"/>
      <w:marTop w:val="0"/>
      <w:marBottom w:val="0"/>
      <w:divBdr>
        <w:top w:val="none" w:sz="0" w:space="0" w:color="auto"/>
        <w:left w:val="none" w:sz="0" w:space="0" w:color="auto"/>
        <w:bottom w:val="none" w:sz="0" w:space="0" w:color="auto"/>
        <w:right w:val="none" w:sz="0" w:space="0" w:color="auto"/>
      </w:divBdr>
    </w:div>
    <w:div w:id="419758583">
      <w:bodyDiv w:val="1"/>
      <w:marLeft w:val="0"/>
      <w:marRight w:val="0"/>
      <w:marTop w:val="0"/>
      <w:marBottom w:val="0"/>
      <w:divBdr>
        <w:top w:val="none" w:sz="0" w:space="0" w:color="auto"/>
        <w:left w:val="none" w:sz="0" w:space="0" w:color="auto"/>
        <w:bottom w:val="none" w:sz="0" w:space="0" w:color="auto"/>
        <w:right w:val="none" w:sz="0" w:space="0" w:color="auto"/>
      </w:divBdr>
    </w:div>
    <w:div w:id="677658063">
      <w:bodyDiv w:val="1"/>
      <w:marLeft w:val="0"/>
      <w:marRight w:val="0"/>
      <w:marTop w:val="0"/>
      <w:marBottom w:val="0"/>
      <w:divBdr>
        <w:top w:val="none" w:sz="0" w:space="0" w:color="auto"/>
        <w:left w:val="none" w:sz="0" w:space="0" w:color="auto"/>
        <w:bottom w:val="none" w:sz="0" w:space="0" w:color="auto"/>
        <w:right w:val="none" w:sz="0" w:space="0" w:color="auto"/>
      </w:divBdr>
    </w:div>
    <w:div w:id="741491264">
      <w:bodyDiv w:val="1"/>
      <w:marLeft w:val="0"/>
      <w:marRight w:val="0"/>
      <w:marTop w:val="0"/>
      <w:marBottom w:val="0"/>
      <w:divBdr>
        <w:top w:val="none" w:sz="0" w:space="0" w:color="auto"/>
        <w:left w:val="none" w:sz="0" w:space="0" w:color="auto"/>
        <w:bottom w:val="none" w:sz="0" w:space="0" w:color="auto"/>
        <w:right w:val="none" w:sz="0" w:space="0" w:color="auto"/>
      </w:divBdr>
    </w:div>
    <w:div w:id="915895325">
      <w:bodyDiv w:val="1"/>
      <w:marLeft w:val="0"/>
      <w:marRight w:val="0"/>
      <w:marTop w:val="0"/>
      <w:marBottom w:val="0"/>
      <w:divBdr>
        <w:top w:val="none" w:sz="0" w:space="0" w:color="auto"/>
        <w:left w:val="none" w:sz="0" w:space="0" w:color="auto"/>
        <w:bottom w:val="none" w:sz="0" w:space="0" w:color="auto"/>
        <w:right w:val="none" w:sz="0" w:space="0" w:color="auto"/>
      </w:divBdr>
    </w:div>
    <w:div w:id="1157921042">
      <w:bodyDiv w:val="1"/>
      <w:marLeft w:val="0"/>
      <w:marRight w:val="0"/>
      <w:marTop w:val="0"/>
      <w:marBottom w:val="0"/>
      <w:divBdr>
        <w:top w:val="none" w:sz="0" w:space="0" w:color="auto"/>
        <w:left w:val="none" w:sz="0" w:space="0" w:color="auto"/>
        <w:bottom w:val="none" w:sz="0" w:space="0" w:color="auto"/>
        <w:right w:val="none" w:sz="0" w:space="0" w:color="auto"/>
      </w:divBdr>
    </w:div>
    <w:div w:id="1464735500">
      <w:bodyDiv w:val="1"/>
      <w:marLeft w:val="0"/>
      <w:marRight w:val="0"/>
      <w:marTop w:val="0"/>
      <w:marBottom w:val="0"/>
      <w:divBdr>
        <w:top w:val="none" w:sz="0" w:space="0" w:color="auto"/>
        <w:left w:val="none" w:sz="0" w:space="0" w:color="auto"/>
        <w:bottom w:val="none" w:sz="0" w:space="0" w:color="auto"/>
        <w:right w:val="none" w:sz="0" w:space="0" w:color="auto"/>
      </w:divBdr>
    </w:div>
    <w:div w:id="1559125399">
      <w:bodyDiv w:val="1"/>
      <w:marLeft w:val="0"/>
      <w:marRight w:val="0"/>
      <w:marTop w:val="0"/>
      <w:marBottom w:val="0"/>
      <w:divBdr>
        <w:top w:val="none" w:sz="0" w:space="0" w:color="auto"/>
        <w:left w:val="none" w:sz="0" w:space="0" w:color="auto"/>
        <w:bottom w:val="none" w:sz="0" w:space="0" w:color="auto"/>
        <w:right w:val="none" w:sz="0" w:space="0" w:color="auto"/>
      </w:divBdr>
    </w:div>
    <w:div w:id="16304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1D8C3-4BF6-4508-A5A7-2143B6D4E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98919</Words>
  <Characters>563842</Characters>
  <Application>Microsoft Office Word</Application>
  <DocSecurity>0</DocSecurity>
  <Lines>4698</Lines>
  <Paragraphs>1322</Paragraphs>
  <ScaleCrop>false</ScaleCrop>
  <HeadingPairs>
    <vt:vector size="2" baseType="variant">
      <vt:variant>
        <vt:lpstr>Title</vt:lpstr>
      </vt:variant>
      <vt:variant>
        <vt:i4>1</vt:i4>
      </vt:variant>
    </vt:vector>
  </HeadingPairs>
  <TitlesOfParts>
    <vt:vector size="1" baseType="lpstr">
      <vt:lpstr>CONCESSION AGREEMENT</vt:lpstr>
    </vt:vector>
  </TitlesOfParts>
  <Company>Hewlett-Packard</Company>
  <LinksUpToDate>false</LinksUpToDate>
  <CharactersWithSpaces>661439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CONCESSION AGREEMENT</dc:title>
  <dc:subject>Indonesia National Multi-Lane Free Flow Electronic Toll Collection System Public Private Partnership Project</dc:subject>
  <dc:creator>DRAFT</dc:creator>
  <cp:lastModifiedBy>hp</cp:lastModifiedBy>
  <cp:revision>2</cp:revision>
  <cp:lastPrinted>2020-01-28T12:53:00Z</cp:lastPrinted>
  <dcterms:created xsi:type="dcterms:W3CDTF">2020-07-29T06:47:00Z</dcterms:created>
  <dcterms:modified xsi:type="dcterms:W3CDTF">2020-07-29T06:47:00Z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35bf7f98-e6da-4e8e-84f6-357785b05b1e</vt:lpwstr>
  </property>
</Properties>
</file>