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left"/>
      </w:pPr>
      <w:r>
        <w:rPr>
          <w:rFonts w:ascii="Times New Roman" w:cs="Times New Roman" w:eastAsia="Times New Roman" w:hAnsi="Times New Roman"/>
          <w:b/>
          <w:bCs/>
          <w:sz w:val="36"/>
          <w:szCs w:val="36"/>
        </w:rPr>
        <w:t xml:space="preserve">A Validated Workflow for Comparing Markov-Chain and Deep-Learning Models in Spatiotemporal Change Prediction from Satellite Imagery</w:t>
      </w:r>
    </w:p>
    <w:p>
      <w:pPr>
        <w:spacing w:after="40" w:before="120"/>
        <w:jc w:val="left"/>
      </w:pPr>
      <w:r>
        <w:rPr>
          <w:rFonts w:ascii="Times New Roman" w:cs="Times New Roman" w:eastAsia="Times New Roman" w:hAnsi="Times New Roman"/>
          <w:b/>
          <w:bCs/>
          <w:sz w:val="22"/>
          <w:szCs w:val="22"/>
        </w:rPr>
        <w:t xml:space="preserve">Cholid Fauzi</w:t>
      </w:r>
      <w:r>
        <w:rPr>
          <w:rFonts w:ascii="Times New Roman" w:cs="Times New Roman" w:eastAsia="Times New Roman" w:hAnsi="Times New Roman"/>
          <w:b/>
          <w:bCs/>
          <w:sz w:val="22"/>
          <w:szCs w:val="22"/>
          <w:vertAlign w:val="superscript"/>
        </w:rPr>
        <w:t xml:space="preserve">1)</w:t>
      </w:r>
    </w:p>
    <w:p>
      <w:pPr>
        <w:spacing w:after="20"/>
        <w:jc w:val="left"/>
      </w:pPr>
      <w:r>
        <w:rPr>
          <w:rFonts w:ascii="Times New Roman" w:cs="Times New Roman" w:eastAsia="Times New Roman" w:hAnsi="Times New Roman"/>
          <w:i/>
          <w:iCs/>
          <w:sz w:val="18"/>
          <w:szCs w:val="18"/>
        </w:rPr>
        <w:t xml:space="preserve">1)IPB University, Bogor, Indonesia</w:t>
      </w:r>
    </w:p>
    <w:p>
      <w:pPr>
        <w:spacing w:after="260"/>
        <w:jc w:val="left"/>
      </w:pPr>
      <w:r>
        <w:rPr>
          <w:rFonts w:ascii="Times New Roman" w:cs="Times New Roman" w:eastAsia="Times New Roman" w:hAnsi="Times New Roman"/>
          <w:sz w:val="18"/>
          <w:szCs w:val="18"/>
        </w:rPr>
        <w:t xml:space="preserve">1)cholidfauzi@apps.ipb.ac.id</w:t>
      </w:r>
    </w:p>
    <w:tbl>
      <w:tblPr>
        <w:tblW w:type="dxa" w:w="9360"/>
        <w:tblBorders>
          <w:top w:val="single" w:color="000000" w:sz="8"/>
          <w:left w:val="single" w:color="000000" w:sz="8"/>
          <w:bottom w:val="single" w:color="000000" w:sz="8"/>
          <w:right w:val="single" w:color="000000" w:sz="8"/>
          <w:insideH w:val="single" w:color="auto" w:sz="4"/>
          <w:insideV w:val="single" w:color="auto" w:sz="4"/>
        </w:tblBorders>
      </w:tblPr>
      <w:tblGrid>
        <w:gridCol w:w="9360"/>
      </w:tblGrid>
      <w:tr>
        <w:tc>
          <w:tcPr>
            <w:tcW w:type="dxa" w:w="9360"/>
            <w:tcMar>
              <w:top w:type="dxa" w:w="140"/>
              <w:left w:type="dxa" w:w="160"/>
              <w:bottom w:type="dxa" w:w="140"/>
              <w:right w:type="dxa" w:w="160"/>
            </w:tcMar>
          </w:tcPr>
          <w:p>
            <w:pPr>
              <w:spacing w:after="100"/>
            </w:pPr>
            <w:r>
              <w:rPr>
                <w:rFonts w:ascii="Times New Roman" w:cs="Times New Roman" w:eastAsia="Times New Roman" w:hAnsi="Times New Roman"/>
                <w:b/>
                <w:bCs/>
                <w:i/>
                <w:iCs/>
                <w:sz w:val="20"/>
                <w:szCs w:val="20"/>
              </w:rPr>
              <w:t xml:space="preserve">Abstract</w:t>
            </w:r>
          </w:p>
          <w:p>
            <w:pPr>
              <w:spacing w:after="80"/>
              <w:jc w:val="both"/>
            </w:pPr>
            <w:r>
              <w:rPr>
                <w:rFonts w:ascii="Times New Roman" w:cs="Times New Roman" w:eastAsia="Times New Roman" w:hAnsi="Times New Roman"/>
                <w:b/>
                <w:bCs/>
                <w:sz w:val="18"/>
                <w:szCs w:val="18"/>
              </w:rPr>
              <w:t xml:space="preserve">Background: </w:t>
            </w:r>
            <w:r>
              <w:rPr>
                <w:rFonts w:ascii="Times New Roman" w:cs="Times New Roman" w:eastAsia="Times New Roman" w:hAnsi="Times New Roman"/>
                <w:sz w:val="18"/>
                <w:szCs w:val="18"/>
              </w:rPr>
              <w:t xml:space="preserve">Choosing between a classical and a deep-learning model for spatiotemporal prediction is a recurring problem: a headline accuracy score can mask systematic failure on the class of greatest interest, and the labels scoring both models often go unchecked against independent evidence. Satellite land cover monitoring is data-rich enough to test this, yet comparisons rarely validate both families against an external reference rather than a pipeline's own classifications.</w:t>
            </w:r>
          </w:p>
          <w:p>
            <w:pPr>
              <w:spacing w:after="80"/>
              <w:jc w:val="both"/>
            </w:pPr>
            <w:r>
              <w:rPr>
                <w:rFonts w:ascii="Times New Roman" w:cs="Times New Roman" w:eastAsia="Times New Roman" w:hAnsi="Times New Roman"/>
                <w:b/>
                <w:bCs/>
                <w:sz w:val="18"/>
                <w:szCs w:val="18"/>
              </w:rPr>
              <w:t xml:space="preserve">Objective: </w:t>
            </w:r>
            <w:r>
              <w:rPr>
                <w:rFonts w:ascii="Times New Roman" w:cs="Times New Roman" w:eastAsia="Times New Roman" w:hAnsi="Times New Roman"/>
                <w:sz w:val="18"/>
                <w:szCs w:val="18"/>
              </w:rPr>
              <w:t xml:space="preserve">This study maps West Java's 2024 land cover from Sentinel-2 imagery, projects 2025 land cover with CA–Markov and a Convolutional LSTM (ConvLSTM), validates both out-of-sample, then checks the classification against an independent reference, refining and rebuilding both models where that check reveals a deficiency.</w:t>
            </w:r>
          </w:p>
          <w:p>
            <w:pPr>
              <w:spacing w:after="80"/>
              <w:jc w:val="both"/>
            </w:pPr>
            <w:r>
              <w:rPr>
                <w:rFonts w:ascii="Times New Roman" w:cs="Times New Roman" w:eastAsia="Times New Roman" w:hAnsi="Times New Roman"/>
                <w:b/>
                <w:bCs/>
                <w:sz w:val="18"/>
                <w:szCs w:val="18"/>
              </w:rPr>
              <w:t xml:space="preserve">Methods: </w:t>
            </w:r>
            <w:r>
              <w:rPr>
                <w:rFonts w:ascii="Times New Roman" w:cs="Times New Roman" w:eastAsia="Times New Roman" w:hAnsi="Times New Roman"/>
                <w:sz w:val="18"/>
                <w:szCs w:val="18"/>
              </w:rPr>
              <w:t xml:space="preserve">Sentinel-2 Level-2A imagery (2017–2024) from the AWS Open Data “sentinel-cogs” archive was cloud-masked and classified into four NDVI-based classes after cross-date normalization. CA–Markov and a custom ConvLSTM were validated out-of-sample, then re-evaluated at matched resolution with corrected labels and class-weighted loss. The classification was checked against an independent land-cover layer, prompting an NDMI refinement and rebuild of both pipelines.</w:t>
            </w:r>
          </w:p>
          <w:p>
            <w:pPr>
              <w:spacing w:after="80"/>
              <w:jc w:val="both"/>
            </w:pPr>
            <w:r>
              <w:rPr>
                <w:rFonts w:ascii="Times New Roman" w:cs="Times New Roman" w:eastAsia="Times New Roman" w:hAnsi="Times New Roman"/>
                <w:b/>
                <w:bCs/>
                <w:sz w:val="18"/>
                <w:szCs w:val="18"/>
              </w:rPr>
              <w:t xml:space="preserve">Results: </w:t>
            </w:r>
            <w:r>
              <w:rPr>
                <w:rFonts w:ascii="Times New Roman" w:cs="Times New Roman" w:eastAsia="Times New Roman" w:hAnsi="Times New Roman"/>
                <w:sz w:val="18"/>
                <w:szCs w:val="18"/>
              </w:rPr>
              <w:t xml:space="preserve">CA–Markov achieved OA = 68.3%, Kappa = 0.38, FoM = 22.2%; ConvLSTM initially collapsed on non-vegetated land (PA = 0.7%) but recovered to PA = 59.6% at matched resolution with class-weighted loss, exceeding CA–Markov there. Against the independent reference, however, the classification agreed only 43.8% of the time (Kappa = 0.155), concentrated in forest/agriculture confusion. NDMI refinement recovered part of this gap (OA = 55.5%) but gave no clean verdict: CA–Markov's OA fell while FoM rose; ConvLSTM reached higher Kappa but no forecast both precise and stable.</w:t>
            </w:r>
          </w:p>
          <w:p>
            <w:pPr>
              <w:spacing w:after="80"/>
              <w:jc w:val="both"/>
            </w:pPr>
            <w:r>
              <w:rPr>
                <w:rFonts w:ascii="Times New Roman" w:cs="Times New Roman" w:eastAsia="Times New Roman" w:hAnsi="Times New Roman"/>
                <w:b/>
                <w:bCs/>
                <w:sz w:val="18"/>
                <w:szCs w:val="18"/>
              </w:rPr>
              <w:t xml:space="preserve">Conclusion: </w:t>
            </w:r>
            <w:r>
              <w:rPr>
                <w:rFonts w:ascii="Times New Roman" w:cs="Times New Roman" w:eastAsia="Times New Roman" w:hAnsi="Times New Roman"/>
                <w:sz w:val="18"/>
                <w:szCs w:val="18"/>
              </w:rPr>
              <w:t xml:space="preserve">Comparisons at mismatched resolutions, uncorrected for class imbalance, and validated only against a model's own classifications can yield a misleading verdict; robust comparison requires matched evaluation and independent validation before either family is judged superior.</w:t>
            </w:r>
          </w:p>
          <w:p>
            <w:pPr>
              <w:spacing w:after="60" w:before="60"/>
              <w:jc w:val="both"/>
            </w:pPr>
            <w:r>
              <w:rPr>
                <w:rFonts w:ascii="Times New Roman" w:cs="Times New Roman" w:eastAsia="Times New Roman" w:hAnsi="Times New Roman"/>
                <w:b/>
                <w:bCs/>
                <w:i/>
                <w:iCs/>
                <w:sz w:val="18"/>
                <w:szCs w:val="18"/>
              </w:rPr>
              <w:t xml:space="preserve">Keywords: </w:t>
            </w:r>
            <w:r>
              <w:rPr>
                <w:rFonts w:ascii="Times New Roman" w:cs="Times New Roman" w:eastAsia="Times New Roman" w:hAnsi="Times New Roman"/>
                <w:i/>
                <w:iCs/>
                <w:sz w:val="18"/>
                <w:szCs w:val="18"/>
              </w:rPr>
              <w:t xml:space="preserve">Sentinel-2; land cover change; CA–Markov; ConvLSTM; independent validation; West Java.</w:t>
            </w:r>
          </w:p>
        </w:tc>
      </w:tr>
    </w:tbl>
    <w:p>
      <w:pPr>
        <w:spacing w:after="200"/>
      </w:pPr>
    </w:p>
    <w:p>
      <w:pPr>
        <w:keepNext/>
        <w:spacing w:after="160" w:before="280"/>
        <w:jc w:val="center"/>
      </w:pPr>
      <w:r>
        <w:rPr>
          <w:rFonts w:ascii="Times New Roman" w:cs="Times New Roman" w:eastAsia="Times New Roman" w:hAnsi="Times New Roman"/>
          <w:b/>
          <w:bCs/>
          <w:sz w:val="20"/>
          <w:szCs w:val="20"/>
        </w:rPr>
        <w:t xml:space="preserve">I. INTRODUCTION</w:t>
      </w:r>
    </w:p>
    <w:p>
      <w:pPr>
        <w:spacing w:after="120" w:line="252"/>
        <w:ind w:firstLine="204"/>
        <w:jc w:val="both"/>
      </w:pPr>
      <w:r>
        <w:rPr>
          <w:rFonts w:ascii="Times New Roman" w:cs="Times New Roman" w:eastAsia="Times New Roman" w:hAnsi="Times New Roman"/>
          <w:sz w:val="20"/>
          <w:szCs w:val="20"/>
        </w:rPr>
        <w:t xml:space="preserve">Predicting how a spatial system will change over time from a short series of historical observations is a core problem in applied predictive analytics, arising in domains ranging from demand forecasting to infrastructure planning. Two broad modeling families are typically available: classical statistical or rule-based models, which are computationally light and directly interpretable but assume relatively simple transition dynamics, and deep-learning models, which can in principle capture richer non-linear spatiotemporal patterns but typically require substantially more training data to do so reliably. When historical data are limited, aggregate accuracy scores alone can be misleading: a model can achieve a high overall accuracy while systematically failing on the rarer class that matters most for decision-making, a risk that is easy to overlook without deliberate, class-level, out-of-sample validation.</w:t>
      </w:r>
    </w:p>
    <w:p>
      <w:pPr>
        <w:spacing w:after="120" w:line="252"/>
        <w:ind w:firstLine="204"/>
        <w:jc w:val="both"/>
      </w:pPr>
      <w:r>
        <w:rPr>
          <w:rFonts w:ascii="Times New Roman" w:cs="Times New Roman" w:eastAsia="Times New Roman" w:hAnsi="Times New Roman"/>
          <w:sz w:val="20"/>
          <w:szCs w:val="20"/>
        </w:rPr>
        <w:t xml:space="preserve">Satellite-based land cover monitoring offers a data-rich, publicly documented setting in which to study this model-selection problem concretely, because genuinely open imagery, established classical (CA–Markov) and deep-learning (ConvLSTM) modeling approaches, and standard accuracy-assessment metrics are all readily available. This study uses West Java (Jawa Barat), Indonesia's most populous province and part of Java's mega-urban corridor, as the data source for this comparison: continuous land conversion is well documented at the island scale [1], accelerated locally by major transport-infrastructure corridors [2] and by measurable urban-form change in peri-urban districts of the Jakarta–Bandung mega-urban region [3], [4], against a backdrop of persistent, spatially uneven urban growth across Java since 1975 [5]. West Java is used here strictly as a real, freely accessible eight-year satellite image archive on which to build and validate both model families under realistic, limited-data conditions — the paper's contribution is the validated comparison workflow itself, generalizable to other spatiotemporal prediction settings, not a claim about West Java's land use policy.</w:t>
      </w:r>
    </w:p>
    <w:p>
      <w:pPr>
        <w:spacing w:after="120" w:line="252"/>
        <w:ind w:firstLine="204"/>
        <w:jc w:val="both"/>
      </w:pPr>
      <w:r>
        <w:rPr>
          <w:rFonts w:ascii="Times New Roman" w:cs="Times New Roman" w:eastAsia="Times New Roman" w:hAnsi="Times New Roman"/>
          <w:sz w:val="20"/>
          <w:szCs w:val="20"/>
        </w:rPr>
        <w:t xml:space="preserve">Two modeling paradigms dominate land cover change projection in the Indonesian and wider Southeast Asian literature. The first is the Cellular Automata–Markov Chain (CA–Markov) approach, which estimates inter-class transition probabilities from two or more historical classifications and allocates them spatially using neighborhood decision rules; it has been applied successfully to Indonesian watersheds and cities, including the Peusangan watershed in Aceh [6] and Ambon City [7]. The second, more recent paradigm applies deep learning — particularly recurrent-convolutional architectures such as Convolutional LSTM (ConvLSTM) — to capture non-linear spatio-temporal change patterns, but such models are typically demonstrated on data-rich study areas with many annual or sub-annual composites, and their behavior when only a short historical image series is available for a large, heterogeneous province is rarely reported.</w:t>
      </w:r>
    </w:p>
    <w:p>
      <w:pPr>
        <w:spacing w:after="120" w:line="252"/>
        <w:ind w:firstLine="204"/>
        <w:jc w:val="both"/>
      </w:pPr>
      <w:r>
        <w:rPr>
          <w:rFonts w:ascii="Times New Roman" w:cs="Times New Roman" w:eastAsia="Times New Roman" w:hAnsi="Times New Roman"/>
          <w:sz w:val="20"/>
          <w:szCs w:val="20"/>
        </w:rPr>
        <w:t xml:space="preserve">Despite this body of work, three gaps remain. First, existing Java- and West-Java-focused land change studies [1]–[5] rely on classified Landsat mosaics or aggregated statistical land-use data rather than native-resolution (10 m) Sentinel-2 imagery processed directly from a genuine, freely accessible archive. Second, most published CA–Markov applications in Indonesia validate their model only informally, or by re-checking calibration-year fit, rather than by projecting forward to an independently held-out year and computing Figure of Merit alongside Overall Accuracy and Kappa. Third, no prior study has directly compared a validated CA–Markov projection against a genuinely trained ConvLSTM alternative on the same dataset, honestly reporting failure modes such as class-imbalance collapse rather than only the better-looking result. This study addresses all three gaps with a single, transparent, dual-model, out-of-sample-validated workflow built entirely from genuine open satellite data.</w:t>
      </w:r>
    </w:p>
    <w:p>
      <w:pPr>
        <w:spacing w:after="120" w:line="252"/>
        <w:ind w:firstLine="204"/>
        <w:jc w:val="both"/>
      </w:pPr>
      <w:r>
        <w:rPr>
          <w:rFonts w:ascii="Times New Roman" w:cs="Times New Roman" w:eastAsia="Times New Roman" w:hAnsi="Times New Roman"/>
          <w:sz w:val="20"/>
          <w:szCs w:val="20"/>
        </w:rPr>
        <w:t xml:space="preserve">The specific objectives of this study are to: (1) construct a native-resolution, cloud-masked, radiometrically consistent land cover classification of West Java for 2024 from real Sentinel-2 imagery; (2) build a CA–Markov model, project 2025 land cover, and validate it out-of-sample against an independently held-out year using Overall Accuracy, Kappa, and Figure of Merit; (3) build and equivalently validate a ConvLSTM deep-learning alternative on the same eight-year image sequence; (4) compare the two models' 2025 projections and validation metrics; and (5) where either model underperforms, diagnose the specific cause — rather than simply reporting the failure — so that the comparison is not confounded by an avoidable methodological choice.</w:t>
      </w:r>
    </w:p>
    <w:p>
      <w:pPr>
        <w:keepNext/>
        <w:spacing w:after="160" w:before="280"/>
        <w:jc w:val="center"/>
      </w:pPr>
      <w:r>
        <w:rPr>
          <w:rFonts w:ascii="Times New Roman" w:cs="Times New Roman" w:eastAsia="Times New Roman" w:hAnsi="Times New Roman"/>
          <w:b/>
          <w:bCs/>
          <w:sz w:val="20"/>
          <w:szCs w:val="20"/>
        </w:rPr>
        <w:t xml:space="preserve">II. LITERATURE REVIEW</w:t>
      </w:r>
    </w:p>
    <w:p>
      <w:pPr>
        <w:spacing w:after="120" w:line="252"/>
        <w:ind w:firstLine="204"/>
        <w:jc w:val="both"/>
      </w:pPr>
      <w:r>
        <w:rPr>
          <w:rFonts w:ascii="Times New Roman" w:cs="Times New Roman" w:eastAsia="Times New Roman" w:hAnsi="Times New Roman"/>
          <w:sz w:val="20"/>
          <w:szCs w:val="20"/>
        </w:rPr>
        <w:t xml:space="preserve">CA–Markov remains the most widely applied land change projection technique because it is computationally light and its transition matrix is directly interpretable. Its accuracy is known to be sensitive to the length and quality of the calibration interval: landscape pattern and economic-factor analysis at the county scale shows prediction accuracy varying substantially with these choices [8], and a 2026 application to Türkiye reports comparable sensitivity when the CA–Markov framework is applied over multi-decade windows [9]. Hybrid variants that combine CA–Markov with boosted regression trees [10] or that parallelize the allocation step over a MapReduce framework for national-scale application [11] show that the core Markov-transition-plus-neighborhood-allocation logic generalizes well across implementations, and CA–Markov driven by coarse global land cover products (ESA CCI) has been applied at the country scale in Zambia [12] — confirming the method's applicability even where locally calibrated, fine-resolution training data are scarce, as is partly the case for multi-year Indonesian archives, though global 1 km land cover products spanning multi-decadal scenarios are increasingly available as an auxiliary data source for such settings [30].</w:t>
      </w:r>
    </w:p>
    <w:p>
      <w:pPr>
        <w:spacing w:after="120" w:line="252"/>
        <w:ind w:firstLine="204"/>
        <w:jc w:val="both"/>
      </w:pPr>
      <w:r>
        <w:rPr>
          <w:rFonts w:ascii="Times New Roman" w:cs="Times New Roman" w:eastAsia="Times New Roman" w:hAnsi="Times New Roman"/>
          <w:sz w:val="20"/>
          <w:szCs w:val="20"/>
        </w:rPr>
        <w:t xml:space="preserve">Rigorous validation practice, however, is inconsistent across this literature. Several studies compute only Overall Accuracy or Kappa on the calibration year itself [13], which does not test the model's forward-projection skill. Others explicitly adopt Figure of Merit (FoM) alongside Kappa for out-of-sample validation [14], following the recommendation that FoM is the more informative single statistic when ranking or comparing land change model runs [28] (see Section III-G). Reported FoM values for genuine forward projections cluster in the 10–30% range even for high-Kappa, high-OA models [31], underscoring that FoM and OA/Kappa answer different questions and should be reported together rather than interchangeably.</w:t>
      </w:r>
    </w:p>
    <w:p>
      <w:pPr>
        <w:spacing w:after="120" w:line="252"/>
        <w:ind w:firstLine="204"/>
        <w:jc w:val="both"/>
      </w:pPr>
      <w:r>
        <w:rPr>
          <w:rFonts w:ascii="Times New Roman" w:cs="Times New Roman" w:eastAsia="Times New Roman" w:hAnsi="Times New Roman"/>
          <w:sz w:val="20"/>
          <w:szCs w:val="20"/>
        </w:rPr>
        <w:t xml:space="preserve">Deep learning for land cover change detection has grown rapidly as an alternative to Markovian approaches, with convolutional and recurrent-convolutional architectures reported to outperform classical pixel-based classifiers when sufficient training data are available [15], including recent self-attention-fused architectures for agricultural land cover [16] and interpretable frameworks that use SHAP values to explain per-pixel land cover predictions [17]. A persistent and well-documented weakness of these models, however, is class imbalance: remote sensing scenes are dominated by a small number of majority land cover classes, and standard cross-entropy training causes minority classes to be systematically under-predicted unless explicit re-balancing is applied, a problem documented both generically for semantic segmentation of remote sensing imagery [18] and specifically for crop and land cover mapping with limited or skewed training samples [19]. The ConvLSTM architecture used in this study follows the original formulation of Shi et al. [20], which extends the fully connected LSTM with convolutional gate transitions to preserve spatial structure across a sequence of images — a natural fit for a multi-year land cover sequence, but, per [18], [19], one whose minority-class behavior must be checked explicitly rather than assumed from aggregate accuracy alone. This study's Discussion section (Section V) returns to this literature when interpreting the ConvLSTM model's own class-imbalance failure.</w:t>
      </w:r>
    </w:p>
    <w:p>
      <w:pPr>
        <w:keepNext/>
        <w:spacing w:after="160" w:before="280"/>
        <w:jc w:val="center"/>
      </w:pPr>
      <w:r>
        <w:rPr>
          <w:rFonts w:ascii="Times New Roman" w:cs="Times New Roman" w:eastAsia="Times New Roman" w:hAnsi="Times New Roman"/>
          <w:b/>
          <w:bCs/>
          <w:sz w:val="20"/>
          <w:szCs w:val="20"/>
        </w:rPr>
        <w:t xml:space="preserve">III. METHODS</w:t>
      </w:r>
    </w:p>
    <w:p>
      <w:pPr>
        <w:keepNext/>
        <w:spacing w:after="100" w:before="200"/>
        <w:ind w:firstLine="204"/>
        <w:jc w:val="left"/>
      </w:pPr>
      <w:r>
        <w:rPr>
          <w:rFonts w:ascii="Times New Roman" w:cs="Times New Roman" w:eastAsia="Times New Roman" w:hAnsi="Times New Roman"/>
          <w:b/>
          <w:bCs/>
          <w:i/>
          <w:iCs/>
          <w:sz w:val="20"/>
          <w:szCs w:val="20"/>
        </w:rPr>
        <w:t xml:space="preserve">A. </w:t>
      </w:r>
      <w:r>
        <w:rPr>
          <w:rFonts w:ascii="Times New Roman" w:cs="Times New Roman" w:eastAsia="Times New Roman" w:hAnsi="Times New Roman"/>
          <w:b/>
          <w:bCs/>
          <w:i/>
          <w:iCs/>
          <w:sz w:val="20"/>
          <w:szCs w:val="20"/>
        </w:rPr>
        <w:t xml:space="preserve">Study Area</w:t>
      </w:r>
    </w:p>
    <w:p>
      <w:pPr>
        <w:spacing w:after="120" w:line="252"/>
        <w:ind w:firstLine="204"/>
        <w:jc w:val="both"/>
      </w:pPr>
      <w:r>
        <w:rPr>
          <w:rFonts w:ascii="Times New Roman" w:cs="Times New Roman" w:eastAsia="Times New Roman" w:hAnsi="Times New Roman"/>
          <w:sz w:val="20"/>
          <w:szCs w:val="20"/>
        </w:rPr>
        <w:t xml:space="preserve">The study area is the entire administrative extent of West Java Province, Indonesia, bounded approximately by 5.91°S–7.83°S and 106.37°E–108.70°E. The provincial boundary was obtained from an open-licensed (CC BY 4.0) vector dataset of Indonesia's 38 provinces [29] and used to clip every raster mosaic used in this study, excluding open ocean and neighboring provinces from all area and accuracy statistics. All raster processing used the UTM Zone 48S projection (EPSG:32748).</w:t>
      </w:r>
    </w:p>
    <w:p>
      <w:pPr>
        <w:spacing w:before="160"/>
        <w:jc w:val="center"/>
      </w:pPr>
      <w:r>
        <w:drawing>
          <wp:inline distT="0" distB="0" distL="0" distR="0">
            <wp:extent cx="3619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2952750"/>
                    </a:xfrm>
                    <a:prstGeom prst="rect">
                      <a:avLst/>
                    </a:prstGeom>
                  </pic:spPr>
                </pic:pic>
              </a:graphicData>
            </a:graphic>
          </wp:inline>
        </w:drawing>
      </w:r>
    </w:p>
    <w:p>
      <w:pPr>
        <w:spacing w:after="200" w:before="60"/>
        <w:jc w:val="center"/>
      </w:pPr>
      <w:r>
        <w:rPr>
          <w:rFonts w:ascii="Times New Roman" w:cs="Times New Roman" w:eastAsia="Times New Roman" w:hAnsi="Times New Roman"/>
          <w:sz w:val="16"/>
          <w:szCs w:val="16"/>
        </w:rPr>
        <w:t xml:space="preserve">Fig. 1 Sentinel-2 true-colour mosaic of West Java, 2024, used as the base image for classification and for Fig. 2.</w:t>
      </w:r>
    </w:p>
    <w:p>
      <w:pPr>
        <w:keepNext/>
        <w:spacing w:after="100" w:before="200"/>
        <w:ind w:firstLine="204"/>
        <w:jc w:val="left"/>
      </w:pPr>
      <w:r>
        <w:rPr>
          <w:rFonts w:ascii="Times New Roman" w:cs="Times New Roman" w:eastAsia="Times New Roman" w:hAnsi="Times New Roman"/>
          <w:b/>
          <w:bCs/>
          <w:i/>
          <w:iCs/>
          <w:sz w:val="20"/>
          <w:szCs w:val="20"/>
        </w:rPr>
        <w:t xml:space="preserve">B. </w:t>
      </w:r>
      <w:r>
        <w:rPr>
          <w:rFonts w:ascii="Times New Roman" w:cs="Times New Roman" w:eastAsia="Times New Roman" w:hAnsi="Times New Roman"/>
          <w:b/>
          <w:bCs/>
          <w:i/>
          <w:iCs/>
          <w:sz w:val="20"/>
          <w:szCs w:val="20"/>
        </w:rPr>
        <w:t xml:space="preserve">Satellite Data Acquisition</w:t>
      </w:r>
    </w:p>
    <w:p>
      <w:pPr>
        <w:spacing w:after="120" w:line="252"/>
        <w:ind w:firstLine="204"/>
        <w:jc w:val="both"/>
      </w:pPr>
      <w:r>
        <w:rPr>
          <w:rFonts w:ascii="Times New Roman" w:cs="Times New Roman" w:eastAsia="Times New Roman" w:hAnsi="Times New Roman"/>
          <w:sz w:val="20"/>
          <w:szCs w:val="20"/>
        </w:rPr>
        <w:t xml:space="preserve">Sentinel-2 Level-2A (atmospherically corrected surface reflectance) imagery was retrieved as Cloud-Optimized GeoTIFFs (COGs) from the AWS Open Data “sentinel-cogs” archive, an openly licensed, no-authentication repository maintained by Element 84 [21]; this exact archive path is independently confirmed as a standard, reproducible Sentinel-2 access route in recent Earth-observation infrastructure work [22], [23]. West Java is covered by nine MGRS tiles. For 2024, all nine tiles were retrieved at native 10 m resolution for bands B02 (blue), B03 (green), B04 (red), and B08 (near-infrared), producing a full-province mosaic of 21,086 × 25,848 pixels (≈ 1.95 GB). Acquisition dates were not selected on cloud-cover metadata alone, since a tile with near-zero reported cloud cover can still have very high no-data content from a partial orbit swath; instead, each tile-date was scored by a clear-pixel fraction,</w:t>
      </w:r>
    </w:p>
    <w:p>
      <w:pPr>
        <w:tabs>
          <w:tab w:val="right" w:pos="9026"/>
        </w:tabs>
        <w:spacing w:after="120" w:before="120"/>
      </w:pPr>
      <w:r>
        <w:rPr>
          <w:rFonts w:ascii="Times New Roman" w:cs="Times New Roman" w:eastAsia="Times New Roman" w:hAnsi="Times New Roman"/>
          <w:i/>
          <w:iCs/>
          <w:sz w:val="20"/>
          <w:szCs w:val="20"/>
        </w:rPr>
        <w:t xml:space="preserve">        clear_fraction = (100 − nodata_pct) × (100 − cloud_cover) / 100</w:t>
      </w:r>
      <w:r>
        <w:rPr>
          <w:rFonts w:ascii="Times New Roman" w:cs="Times New Roman" w:eastAsia="Times New Roman" w:hAnsi="Times New Roman"/>
          <w:sz w:val="20"/>
          <w:szCs w:val="20"/>
        </w:rPr>
        <w:t xml:space="preserve">	(1)</w:t>
      </w:r>
    </w:p>
    <w:p>
      <w:pPr>
        <w:spacing w:after="120" w:line="252"/>
        <w:ind w:firstLine="204"/>
        <w:jc w:val="both"/>
      </w:pPr>
      <w:r>
        <w:rPr>
          <w:rFonts w:ascii="Times New Roman" w:cs="Times New Roman" w:eastAsia="Times New Roman" w:hAnsi="Times New Roman"/>
          <w:sz w:val="20"/>
          <w:szCs w:val="20"/>
        </w:rPr>
        <w:t xml:space="preserve">searched across all 2024 acquisitions per tile. Complementary province-wide mosaics for 2017–2023 were retrieved with the same date-selection procedure, at a decimated (windowed) resolution via GDAL's /vsicurl/ remote-read mechanism, to keep the eight-year historical sequence computationally tractable while remaining spatially co-registered to the 2024 grid.</w:t>
      </w:r>
    </w:p>
    <w:p>
      <w:pPr>
        <w:keepNext/>
        <w:spacing w:after="100" w:before="200"/>
        <w:ind w:firstLine="204"/>
        <w:jc w:val="left"/>
      </w:pPr>
      <w:r>
        <w:rPr>
          <w:rFonts w:ascii="Times New Roman" w:cs="Times New Roman" w:eastAsia="Times New Roman" w:hAnsi="Times New Roman"/>
          <w:b/>
          <w:bCs/>
          <w:i/>
          <w:iCs/>
          <w:sz w:val="20"/>
          <w:szCs w:val="20"/>
        </w:rPr>
        <w:t xml:space="preserve">C. </w:t>
      </w:r>
      <w:r>
        <w:rPr>
          <w:rFonts w:ascii="Times New Roman" w:cs="Times New Roman" w:eastAsia="Times New Roman" w:hAnsi="Times New Roman"/>
          <w:b/>
          <w:bCs/>
          <w:i/>
          <w:iCs/>
          <w:sz w:val="20"/>
          <w:szCs w:val="20"/>
        </w:rPr>
        <w:t xml:space="preserve">Preprocessing</w:t>
      </w:r>
    </w:p>
    <w:p>
      <w:pPr>
        <w:spacing w:after="120" w:line="252"/>
        <w:ind w:firstLine="204"/>
        <w:jc w:val="both"/>
      </w:pPr>
      <w:r>
        <w:rPr>
          <w:rFonts w:ascii="Times New Roman" w:cs="Times New Roman" w:eastAsia="Times New Roman" w:hAnsi="Times New Roman"/>
          <w:sz w:val="20"/>
          <w:szCs w:val="20"/>
        </w:rPr>
        <w:t xml:space="preserve">Each band mosaic underwent four preprocessing steps: (1) mosaicking of overlapping MGRS tiles; (2) cloud and cloud-shadow masking using the Scene Classification Layer (SCL) shipped with each Level-2A product, following validated SCL-based masking practice [24], [25], with SCL classes 0 (no data), 1 (saturated/defective), 3 (cloud shadow), 8/9 (cloud, medium/high probability), and 10 (thin cirrus) set to no-data; (3) supplementary Dark Object Subtraction (DOS) atmospheric correction [26] for any residual haze; and (4) clipping to the West Java administrative boundary.</w:t>
      </w:r>
    </w:p>
    <w:p>
      <w:pPr>
        <w:keepNext/>
        <w:spacing w:after="100" w:before="200"/>
        <w:ind w:firstLine="204"/>
        <w:jc w:val="left"/>
      </w:pPr>
      <w:r>
        <w:rPr>
          <w:rFonts w:ascii="Times New Roman" w:cs="Times New Roman" w:eastAsia="Times New Roman" w:hAnsi="Times New Roman"/>
          <w:b/>
          <w:bCs/>
          <w:i/>
          <w:iCs/>
          <w:sz w:val="20"/>
          <w:szCs w:val="20"/>
        </w:rPr>
        <w:t xml:space="preserve">D. </w:t>
      </w:r>
      <w:r>
        <w:rPr>
          <w:rFonts w:ascii="Times New Roman" w:cs="Times New Roman" w:eastAsia="Times New Roman" w:hAnsi="Times New Roman"/>
          <w:b/>
          <w:bCs/>
          <w:i/>
          <w:iCs/>
          <w:sz w:val="20"/>
          <w:szCs w:val="20"/>
        </w:rPr>
        <w:t xml:space="preserve">Land Cover Classification</w:t>
      </w:r>
    </w:p>
    <w:p>
      <w:pPr>
        <w:spacing w:after="120" w:line="252"/>
        <w:ind w:firstLine="204"/>
        <w:jc w:val="both"/>
      </w:pPr>
      <w:r>
        <w:rPr>
          <w:rFonts w:ascii="Times New Roman" w:cs="Times New Roman" w:eastAsia="Times New Roman" w:hAnsi="Times New Roman"/>
          <w:sz w:val="20"/>
          <w:szCs w:val="20"/>
        </w:rPr>
        <w:t xml:space="preserve">Land cover was classified using a four-class scheme based on the Normalized Difference Vegetation Index,</w:t>
      </w:r>
    </w:p>
    <w:p>
      <w:pPr>
        <w:tabs>
          <w:tab w:val="right" w:pos="9026"/>
        </w:tabs>
        <w:spacing w:after="120" w:before="120"/>
      </w:pPr>
      <w:r>
        <w:rPr>
          <w:rFonts w:ascii="Times New Roman" w:cs="Times New Roman" w:eastAsia="Times New Roman" w:hAnsi="Times New Roman"/>
          <w:i/>
          <w:iCs/>
          <w:sz w:val="20"/>
          <w:szCs w:val="20"/>
        </w:rPr>
        <w:t xml:space="preserve">        NDVI = (B08 − B04) / (B08 + B04)</w:t>
      </w:r>
      <w:r>
        <w:rPr>
          <w:rFonts w:ascii="Times New Roman" w:cs="Times New Roman" w:eastAsia="Times New Roman" w:hAnsi="Times New Roman"/>
          <w:sz w:val="20"/>
          <w:szCs w:val="20"/>
        </w:rPr>
        <w:t xml:space="preserve">	(2)</w:t>
      </w:r>
    </w:p>
    <w:p>
      <w:pPr>
        <w:spacing w:after="120" w:line="252"/>
        <w:ind w:firstLine="204"/>
        <w:jc w:val="both"/>
      </w:pPr>
      <w:r>
        <w:rPr>
          <w:rFonts w:ascii="Times New Roman" w:cs="Times New Roman" w:eastAsia="Times New Roman" w:hAnsi="Times New Roman"/>
          <w:sz w:val="20"/>
          <w:szCs w:val="20"/>
        </w:rPr>
        <w:t xml:space="preserve">a threshold-based approach consistent with recent NDVI-based land cover classification practice reported for other Indonesian regions [32], [33].</w:t>
      </w:r>
    </w:p>
    <w:p>
      <w:pPr>
        <w:spacing w:after="20" w:before="200"/>
        <w:jc w:val="left"/>
      </w:pPr>
      <w:r>
        <w:rPr>
          <w:rFonts w:ascii="Times New Roman" w:cs="Times New Roman" w:eastAsia="Times New Roman" w:hAnsi="Times New Roman"/>
          <w:sz w:val="16"/>
          <w:szCs w:val="16"/>
        </w:rPr>
        <w:t xml:space="preserve">TABLE 1</w:t>
      </w:r>
    </w:p>
    <w:p>
      <w:pPr>
        <w:spacing w:after="100"/>
        <w:jc w:val="left"/>
      </w:pPr>
      <w:r>
        <w:rPr>
          <w:rFonts w:ascii="Times New Roman" w:cs="Times New Roman" w:eastAsia="Times New Roman" w:hAnsi="Times New Roman"/>
          <w:caps/>
          <w:sz w:val="16"/>
          <w:szCs w:val="16"/>
        </w:rPr>
        <w:t xml:space="preserve">FOUR-CLASS NDVI LAND COVER SCHEME</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1500"/>
        <w:gridCol w:w="2380"/>
        <w:gridCol w:w="5480"/>
      </w:tblGrid>
      <w:tr>
        <w:trPr>
          <w:tblHeader/>
        </w:trPr>
        <w:tc>
          <w:tcPr>
            <w:tcW w:type="dxa" w:w="1500"/>
            <w:tcBorders>
              <w:top w:val="none" w:color="FFFFFF" w:sz="0"/>
              <w:left w:val="none" w:color="FFFFFF" w:sz="0"/>
              <w:bottom w:val="none" w:color="FFFFFF" w:sz="0"/>
              <w:right w:val="none" w:color="FFFFFF" w:sz="0"/>
            </w:tcBorders>
            <w:shd w:fill="D9D9D9"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6"/>
                <w:szCs w:val="16"/>
              </w:rPr>
              <w:t xml:space="preserve">Class</w:t>
            </w:r>
          </w:p>
        </w:tc>
        <w:tc>
          <w:tcPr>
            <w:tcW w:type="dxa" w:w="2380"/>
            <w:tcBorders>
              <w:top w:val="none" w:color="FFFFFF" w:sz="0"/>
              <w:left w:val="none" w:color="FFFFFF" w:sz="0"/>
              <w:bottom w:val="none" w:color="FFFFFF" w:sz="0"/>
              <w:right w:val="none" w:color="FFFFFF" w:sz="0"/>
            </w:tcBorders>
            <w:shd w:fill="D9D9D9"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6"/>
                <w:szCs w:val="16"/>
              </w:rPr>
              <w:t xml:space="preserve">NDVI threshold</w:t>
            </w:r>
          </w:p>
        </w:tc>
        <w:tc>
          <w:tcPr>
            <w:tcW w:type="dxa" w:w="5480"/>
            <w:tcBorders>
              <w:top w:val="none" w:color="FFFFFF" w:sz="0"/>
              <w:left w:val="none" w:color="FFFFFF" w:sz="0"/>
              <w:bottom w:val="none" w:color="FFFFFF" w:sz="0"/>
              <w:right w:val="none" w:color="FFFFFF" w:sz="0"/>
            </w:tcBorders>
            <w:shd w:fill="D9D9D9"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6"/>
                <w:szCs w:val="16"/>
              </w:rPr>
              <w:t xml:space="preserve">Description</w:t>
            </w:r>
          </w:p>
        </w:tc>
      </w:tr>
      <w:t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6"/>
                <w:szCs w:val="16"/>
              </w:rPr>
              <w:t xml:space="preserve">0 — Water</w:t>
            </w:r>
          </w:p>
        </w:tc>
        <w:tc>
          <w:tcPr>
            <w:tcW w:type="dxa" w:w="238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NDVI &lt; 0.05</w:t>
            </w:r>
          </w:p>
        </w:tc>
        <w:tc>
          <w:tcPr>
            <w:tcW w:type="dxa" w:w="548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Rivers, reservoirs, sea</w:t>
            </w:r>
          </w:p>
        </w:tc>
      </w:tr>
      <w:t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6"/>
                <w:szCs w:val="16"/>
              </w:rPr>
              <w:t xml:space="preserve">1 — Non-vegetated</w:t>
            </w:r>
          </w:p>
        </w:tc>
        <w:tc>
          <w:tcPr>
            <w:tcW w:type="dxa" w:w="238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0.05 ≤ NDVI &lt; 0.25</w:t>
            </w:r>
          </w:p>
        </w:tc>
        <w:tc>
          <w:tcPr>
            <w:tcW w:type="dxa" w:w="548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Built-up and bare/transitional land, merged into one class because a brightness-based built-up/bare split proved unstable across dates</w:t>
            </w:r>
          </w:p>
        </w:tc>
      </w:tr>
      <w:t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6"/>
                <w:szCs w:val="16"/>
              </w:rPr>
              <w:t xml:space="preserve">2 — Sparse vegetation</w:t>
            </w:r>
          </w:p>
        </w:tc>
        <w:tc>
          <w:tcPr>
            <w:tcW w:type="dxa" w:w="238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0.25 ≤ NDVI &lt; 0.55</w:t>
            </w:r>
          </w:p>
        </w:tc>
        <w:tc>
          <w:tcPr>
            <w:tcW w:type="dxa" w:w="548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Agricultural land, shrub, sparse vegetation</w:t>
            </w:r>
          </w:p>
        </w:tc>
      </w:tr>
      <w:t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6"/>
                <w:szCs w:val="16"/>
              </w:rPr>
              <w:t xml:space="preserve">3 — Dense vegetation</w:t>
            </w:r>
          </w:p>
        </w:tc>
        <w:tc>
          <w:tcPr>
            <w:tcW w:type="dxa" w:w="238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NDVI ≥ 0.55</w:t>
            </w:r>
          </w:p>
        </w:tc>
        <w:tc>
          <w:tcPr>
            <w:tcW w:type="dxa" w:w="548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Forest and dense vegetation</w:t>
            </w:r>
          </w:p>
        </w:tc>
      </w:tr>
    </w:tbl>
    <w:p>
      <w:pPr>
        <w:spacing w:after="120" w:line="252"/>
        <w:ind w:firstLine="204"/>
        <w:jc w:val="both"/>
      </w:pPr>
      <w:r>
        <w:rPr>
          <w:rFonts w:ascii="Times New Roman" w:cs="Times New Roman" w:eastAsia="Times New Roman" w:hAnsi="Times New Roman"/>
          <w:sz w:val="20"/>
          <w:szCs w:val="20"/>
        </w:rPr>
        <w:t xml:space="preserve">Median NDVI over the common valid area showed a systematic, reproducible offset across acquisition years (e.g., 2024 median = 0.687 vs. 2019 median = 0.568, within identical pixels), reflecting calibration and seasonal differences between epochs rather than real land cover change. Each historical year y was therefore normalized to the fixed 2024 reference before classification,</w:t>
      </w:r>
    </w:p>
    <w:p>
      <w:pPr>
        <w:tabs>
          <w:tab w:val="right" w:pos="9026"/>
        </w:tabs>
        <w:spacing w:after="120" w:before="120"/>
      </w:pPr>
      <w:r>
        <w:rPr>
          <w:rFonts w:ascii="Times New Roman" w:cs="Times New Roman" w:eastAsia="Times New Roman" w:hAnsi="Times New Roman"/>
          <w:i/>
          <w:iCs/>
          <w:sz w:val="20"/>
          <w:szCs w:val="20"/>
        </w:rPr>
        <w:t xml:space="preserve">        NDVI′(y) = NDVI(y) + [median(NDVI₂₀₂₄) − median(NDVI(y))]</w:t>
      </w:r>
      <w:r>
        <w:rPr>
          <w:rFonts w:ascii="Times New Roman" w:cs="Times New Roman" w:eastAsia="Times New Roman" w:hAnsi="Times New Roman"/>
          <w:sz w:val="20"/>
          <w:szCs w:val="20"/>
        </w:rPr>
        <w:t xml:space="preserve">	(3)</w:t>
      </w:r>
    </w:p>
    <w:p>
      <w:pPr>
        <w:spacing w:after="120" w:line="252"/>
        <w:ind w:firstLine="204"/>
        <w:jc w:val="both"/>
      </w:pPr>
      <w:r>
        <w:rPr>
          <w:rFonts w:ascii="Times New Roman" w:cs="Times New Roman" w:eastAsia="Times New Roman" w:hAnsi="Times New Roman"/>
          <w:sz w:val="20"/>
          <w:szCs w:val="20"/>
        </w:rPr>
        <w:t xml:space="preserve">computed only over pixels valid in both dates.</w:t>
      </w:r>
    </w:p>
    <w:p>
      <w:pPr>
        <w:keepNext/>
        <w:spacing w:after="100" w:before="200"/>
        <w:ind w:firstLine="204"/>
        <w:jc w:val="left"/>
      </w:pPr>
      <w:r>
        <w:rPr>
          <w:rFonts w:ascii="Times New Roman" w:cs="Times New Roman" w:eastAsia="Times New Roman" w:hAnsi="Times New Roman"/>
          <w:b/>
          <w:bCs/>
          <w:i/>
          <w:iCs/>
          <w:sz w:val="20"/>
          <w:szCs w:val="20"/>
        </w:rPr>
        <w:t xml:space="preserve">E. </w:t>
      </w:r>
      <w:r>
        <w:rPr>
          <w:rFonts w:ascii="Times New Roman" w:cs="Times New Roman" w:eastAsia="Times New Roman" w:hAnsi="Times New Roman"/>
          <w:b/>
          <w:bCs/>
          <w:i/>
          <w:iCs/>
          <w:sz w:val="20"/>
          <w:szCs w:val="20"/>
        </w:rPr>
        <w:t xml:space="preserve">CA–Markov Model</w:t>
      </w:r>
    </w:p>
    <w:p>
      <w:pPr>
        <w:spacing w:after="120" w:line="252"/>
        <w:ind w:firstLine="204"/>
        <w:jc w:val="both"/>
      </w:pPr>
      <w:r>
        <w:rPr>
          <w:rFonts w:ascii="Times New Roman" w:cs="Times New Roman" w:eastAsia="Times New Roman" w:hAnsi="Times New Roman"/>
          <w:sz w:val="20"/>
          <w:szCs w:val="20"/>
        </w:rPr>
        <w:t xml:space="preserve">An inter-class transition matrix was estimated from the 2019 and 2024 classifications (a 5-year interval) and annualized via matrix fractional power (the 1/5 root, computed with SciPy's fractional_matrix_power), yielding an annual transition matrix P₁. Estimation revealed a systematic classification artifact: a spurious Non-vegetated→Water transition of 12.4%/year in the 5-year matrix (and 40.1%/2-year in the independent 2019–2021 pair used for validation), reproducible across both independent date pairs. This was diagnosed as spectral confusion between bare/dry land and flooded paddy or aquaculture ponds that cycle between water and non-water NDVI signatures with the cropping calendar, not genuine water-body expansion. The cell was explicitly capped at 1%/year (2%/2-year for the validation matrix), with the excess probability mass redistributed to self-persistence — a domain-knowledge correction disclosed here rather than silently absorbed into the results.</w:t>
      </w:r>
    </w:p>
    <w:p>
      <w:pPr>
        <w:spacing w:after="120" w:line="252"/>
        <w:ind w:firstLine="204"/>
        <w:jc w:val="both"/>
      </w:pPr>
      <w:r>
        <w:rPr>
          <w:rFonts w:ascii="Times New Roman" w:cs="Times New Roman" w:eastAsia="Times New Roman" w:hAnsi="Times New Roman"/>
          <w:sz w:val="20"/>
          <w:szCs w:val="20"/>
        </w:rPr>
        <w:t xml:space="preserve">Spatial allocation for 2025 followed a quota-based Cellular Automata rule: for each source class i, the number of pixels converting to class j was set by quota = count(i) × P₁(i,j); candidate pixels were ranked by a suitability score — the density of the target class j in a 7×7-pixel neighborhood — and quotas were allocated greedily to the highest-scoring candidates first, so that conversion is spatially concentrated near existing patches of the destination class, consistent with the CA–Markov diffusion logic used in comparable studies [6], [7], [9]–[12].</w:t>
      </w:r>
    </w:p>
    <w:p>
      <w:pPr>
        <w:keepNext/>
        <w:spacing w:after="100" w:before="200"/>
        <w:ind w:firstLine="204"/>
        <w:jc w:val="left"/>
      </w:pPr>
      <w:r>
        <w:rPr>
          <w:rFonts w:ascii="Times New Roman" w:cs="Times New Roman" w:eastAsia="Times New Roman" w:hAnsi="Times New Roman"/>
          <w:b/>
          <w:bCs/>
          <w:i/>
          <w:iCs/>
          <w:sz w:val="20"/>
          <w:szCs w:val="20"/>
        </w:rPr>
        <w:t xml:space="preserve">F. </w:t>
      </w:r>
      <w:r>
        <w:rPr>
          <w:rFonts w:ascii="Times New Roman" w:cs="Times New Roman" w:eastAsia="Times New Roman" w:hAnsi="Times New Roman"/>
          <w:b/>
          <w:bCs/>
          <w:i/>
          <w:iCs/>
          <w:sz w:val="20"/>
          <w:szCs w:val="20"/>
        </w:rPr>
        <w:t xml:space="preserve">ConvLSTM Model</w:t>
      </w:r>
    </w:p>
    <w:p>
      <w:pPr>
        <w:spacing w:after="120" w:line="252"/>
        <w:ind w:firstLine="204"/>
        <w:jc w:val="both"/>
      </w:pPr>
      <w:r>
        <w:rPr>
          <w:rFonts w:ascii="Times New Roman" w:cs="Times New Roman" w:eastAsia="Times New Roman" w:hAnsi="Times New Roman"/>
          <w:sz w:val="20"/>
          <w:szCs w:val="20"/>
        </w:rPr>
        <w:t xml:space="preserve">As a deep-learning comparison, a custom ConvLSTM network [20] was implemented in PyTorch (CPU): a two-layer convolutional encoder (16 channels, 3×3 kernels), a single ConvLSTM cell (16 hidden units), and a two-layer convolutional decoder mapping the final hidden state to four class logits. Owing to CPU compute limits, the eight-year sequence (2017–2024) was downsampled from the 2,447 × 3,000-pixel analysis grid (≈ 86 m/pixel) to 300 × 233 pixels for training. The model was trained with a three-year-input → one-year-target sliding window for 60 epochs (Adam optimizer, learning rate 10⁻³, validity-masked cross-entropy loss). Four training windows were used (targets 2020–2023); the window targeting 2024 (input 2021–2023) was withheld entirely as the test set, and the 2025 projection was generated from real 2022–2024 input as a genuine forward projection, not an interpolation.</w:t>
      </w:r>
    </w:p>
    <w:p>
      <w:pPr>
        <w:keepNext/>
        <w:spacing w:after="100" w:before="200"/>
        <w:ind w:firstLine="204"/>
        <w:jc w:val="left"/>
      </w:pPr>
      <w:r>
        <w:rPr>
          <w:rFonts w:ascii="Times New Roman" w:cs="Times New Roman" w:eastAsia="Times New Roman" w:hAnsi="Times New Roman"/>
          <w:b/>
          <w:bCs/>
          <w:i/>
          <w:iCs/>
          <w:sz w:val="20"/>
          <w:szCs w:val="20"/>
        </w:rPr>
        <w:t xml:space="preserve">G. </w:t>
      </w:r>
      <w:r>
        <w:rPr>
          <w:rFonts w:ascii="Times New Roman" w:cs="Times New Roman" w:eastAsia="Times New Roman" w:hAnsi="Times New Roman"/>
          <w:b/>
          <w:bCs/>
          <w:i/>
          <w:iCs/>
          <w:sz w:val="20"/>
          <w:szCs w:val="20"/>
        </w:rPr>
        <w:t xml:space="preserve">Accuracy Assessment</w:t>
      </w:r>
    </w:p>
    <w:p>
      <w:pPr>
        <w:spacing w:after="120" w:line="252"/>
        <w:ind w:firstLine="204"/>
        <w:jc w:val="both"/>
      </w:pPr>
      <w:r>
        <w:rPr>
          <w:rFonts w:ascii="Times New Roman" w:cs="Times New Roman" w:eastAsia="Times New Roman" w:hAnsi="Times New Roman"/>
          <w:sz w:val="20"/>
          <w:szCs w:val="20"/>
        </w:rPr>
        <w:t xml:space="preserve">Both models were evaluated using standard thematic accuracy measures: Overall Accuracy (OA), Cohen's Kappa, and per-class Producer's Accuracy (PA) and User's Accuracy (UA) from the confusion matrix [27], plus Figure of Merit (FoM) for the CA–Markov model, following Pontius et al. [28]. FoM specifically measures the location accuracy of pixels that changed class (the ratio of hits to the sum of hits, misses, and false alarms) and is therefore more informative than OA — which is dominated by unchanged pixels — for assessing change-projection quality. CA–Markov validation was fully out-of-sample: the transition matrix was estimated only from the independent 2019–2021 pair, projected forward three years (P₃ = P₂₁³) from the 2021 classification to simulate 2024, allocated spatially with the same CA rule, and compared against the actual 2024 classification, which played no role in estimating the transition matrix. ConvLSTM validation used an equivalent hold-out: the 2024 prediction from 2021–2023 input was compared against the actual 2024 classification on the same test grid.</w:t>
      </w:r>
    </w:p>
    <w:p>
      <w:pPr>
        <w:keepNext/>
        <w:spacing w:after="100" w:before="200"/>
        <w:ind w:firstLine="204"/>
        <w:jc w:val="left"/>
      </w:pPr>
      <w:r>
        <w:rPr>
          <w:rFonts w:ascii="Times New Roman" w:cs="Times New Roman" w:eastAsia="Times New Roman" w:hAnsi="Times New Roman"/>
          <w:b/>
          <w:bCs/>
          <w:i/>
          <w:iCs/>
          <w:sz w:val="20"/>
          <w:szCs w:val="20"/>
        </w:rPr>
        <w:t xml:space="preserve">H. </w:t>
      </w:r>
      <w:r>
        <w:rPr>
          <w:rFonts w:ascii="Times New Roman" w:cs="Times New Roman" w:eastAsia="Times New Roman" w:hAnsi="Times New Roman"/>
          <w:b/>
          <w:bCs/>
          <w:i/>
          <w:iCs/>
          <w:sz w:val="20"/>
          <w:szCs w:val="20"/>
        </w:rPr>
        <w:t xml:space="preserve">Diagnostic Follow-Up Experiments</w:t>
      </w:r>
    </w:p>
    <w:p>
      <w:pPr>
        <w:spacing w:after="120" w:line="252"/>
        <w:ind w:firstLine="204"/>
        <w:jc w:val="both"/>
      </w:pPr>
      <w:r>
        <w:rPr>
          <w:rFonts w:ascii="Times New Roman" w:cs="Times New Roman" w:eastAsia="Times New Roman" w:hAnsi="Times New Roman"/>
          <w:sz w:val="20"/>
          <w:szCs w:val="20"/>
        </w:rPr>
        <w:t xml:space="preserve">Because the initial comparison showed ConvLSTM collapsing on the Non-vegetated class (Section IV-D), five follow-up experiments were run to isolate the cause rather than accept the result at face value. First, a label-downsampling check re-derived the 2024 classification at ConvLSTM's 300×233 training grid using three methods — the nearest-neighbor label subsampling ConvLSTM's pipeline actually uses, block-wise majority-vote downsampling, and reclassification of a bilinear-downsampled NDVI — to test whether the training grid itself under-represented Non-vegetated pixels. Second, the CA–Markov transition-matrix-and-allocation procedure of Section III-E was re-run at this same 300×233 grid (2019 and 2021 classifications majority-vote-downsampled, transition matrix re-estimated and projected forward as in Section III-G) to test whether CA–Markov shows the same degradation once evaluated at ConvLSTM's own resolution, isolating a resolution effect from an architecture effect. Third, ConvLSTM was retrained under four configurations — the original unweighted setup, corrected (label-downsampling-consistent) reclassification alone, inverse-frequency class-weighted cross-entropy loss alone, and both combined — with five random seeds per configuration, identical architecture and epoch budget to Section III-F, to quantify which fix (if either) addresses the collapse and whether the effect is robust across seeds rather than a single-run artifact. Fourth, bootstrap 95% confidence intervals (2,000 pixel-level resamples) and McNemar's paired test were computed comparing CA–Markov and the original, unweighted ConvLSTM on the subset of pixels where both pipelines' ground-truth labels agree, to establish whether the observed differences are statistically distinguishable [34], [35]. Fifth, since the fourth experiment tested only the original ConvLSTM, the winning combined configuration from the third experiment (corrected labels plus class-weighted loss) was retrained across the same five seeds, each seed's per-pixel 2024 prediction was saved, and the same bootstrap-and-McNemar procedure was repeated against CA–Markov's coarse-grid prediction for every seed — testing whether the fixed ConvLSTM's advantage over CA–Markov is statistically significant and consistent, rather than resting on a single run.</w:t>
      </w:r>
    </w:p>
    <w:p>
      <w:pPr>
        <w:keepNext/>
        <w:spacing w:after="100" w:before="200"/>
        <w:ind w:firstLine="204"/>
        <w:jc w:val="left"/>
      </w:pPr>
      <w:r>
        <w:rPr>
          <w:rFonts w:ascii="Times New Roman" w:cs="Times New Roman" w:eastAsia="Times New Roman" w:hAnsi="Times New Roman"/>
          <w:b/>
          <w:bCs/>
          <w:i/>
          <w:iCs/>
          <w:sz w:val="20"/>
          <w:szCs w:val="20"/>
        </w:rPr>
        <w:t xml:space="preserve">I. </w:t>
      </w:r>
      <w:r>
        <w:rPr>
          <w:rFonts w:ascii="Times New Roman" w:cs="Times New Roman" w:eastAsia="Times New Roman" w:hAnsi="Times New Roman"/>
          <w:b/>
          <w:bCs/>
          <w:i/>
          <w:iCs/>
          <w:sz w:val="20"/>
          <w:szCs w:val="20"/>
        </w:rPr>
        <w:t xml:space="preserve">Independent Ground-Truth Validation</w:t>
      </w:r>
    </w:p>
    <w:p>
      <w:pPr>
        <w:spacing w:after="120" w:line="252"/>
        <w:ind w:firstLine="204"/>
        <w:jc w:val="both"/>
      </w:pPr>
      <w:r>
        <w:rPr>
          <w:rFonts w:ascii="Times New Roman" w:cs="Times New Roman" w:eastAsia="Times New Roman" w:hAnsi="Times New Roman"/>
          <w:sz w:val="20"/>
          <w:szCs w:val="20"/>
        </w:rPr>
        <w:t xml:space="preserve">Every accuracy figure reported so far is self-referential: both the CA–Markov and ConvLSTM validations compare model output against classifications produced by this study's own NDVI-threshold pipeline, not against an external reference. To close this gap, a province-wide land-cover reference layer was obtained separately by the author — a 17-class vector product using a standard Indonesian national land-cover taxonomy (e.g., primary/secondary dryland forest, mangrove, tree-crop plantation, paddy, dryland agriculture, settlement, open land, water bodies) covering the full extent of West Java. The file carries no acquisition-date field, so its exact vintage could not be confirmed from its own metadata; it is treated here as an independent check on spatial pattern and classification logic rather than as a perfectly contemporaneous reference for 2024.</w:t>
      </w:r>
    </w:p>
    <w:p>
      <w:pPr>
        <w:spacing w:after="120" w:line="252"/>
        <w:ind w:firstLine="204"/>
        <w:jc w:val="both"/>
      </w:pPr>
      <w:r>
        <w:rPr>
          <w:rFonts w:ascii="Times New Roman" w:cs="Times New Roman" w:eastAsia="Times New Roman" w:hAnsi="Times New Roman"/>
          <w:sz w:val="20"/>
          <w:szCs w:val="20"/>
        </w:rPr>
        <w:t xml:space="preserve">The reference layer's 17 classes were crosswalked to this study's four classes by land-cover logic: water bodies and aquaculture ponds to Water; open land, settlement, and extractive land uses to Non-vegetated; paddy, dryland agriculture, and shrub to Sparse vegetation; and primary/secondary forest, plantation forest, tree-crop plantation, and mangrove to Dense vegetation. Three classes (swamp, swamp shrub, tree-crop plantation) were flagged as genuinely ambiguous between crosswalk targets and carried a documented default assignment; a sensitivity check re-ran the comparison excluding these three classes entirely to test whether the crosswalk choice was driving the result. The reference layer was reprojected to this study's analysis grid coordinate system and rasterized directly onto the same 2,447 × 3,000-pixel grid used throughout, yielding a pixel-exact, full-population comparison rather than a point sample.</w:t>
      </w:r>
    </w:p>
    <w:p>
      <w:pPr>
        <w:keepNext/>
        <w:spacing w:after="100" w:before="200"/>
        <w:ind w:firstLine="204"/>
        <w:jc w:val="left"/>
      </w:pPr>
      <w:r>
        <w:rPr>
          <w:rFonts w:ascii="Times New Roman" w:cs="Times New Roman" w:eastAsia="Times New Roman" w:hAnsi="Times New Roman"/>
          <w:b/>
          <w:bCs/>
          <w:i/>
          <w:iCs/>
          <w:sz w:val="20"/>
          <w:szCs w:val="20"/>
        </w:rPr>
        <w:t xml:space="preserve">J. </w:t>
      </w:r>
      <w:r>
        <w:rPr>
          <w:rFonts w:ascii="Times New Roman" w:cs="Times New Roman" w:eastAsia="Times New Roman" w:hAnsi="Times New Roman"/>
          <w:b/>
          <w:bCs/>
          <w:i/>
          <w:iCs/>
          <w:sz w:val="20"/>
          <w:szCs w:val="20"/>
        </w:rPr>
        <w:t xml:space="preserve">Refined Classification and Full Pipeline Rebuild</w:t>
      </w:r>
    </w:p>
    <w:p>
      <w:pPr>
        <w:spacing w:after="120" w:line="252"/>
        <w:ind w:firstLine="204"/>
        <w:jc w:val="both"/>
      </w:pPr>
      <w:r>
        <w:rPr>
          <w:rFonts w:ascii="Times New Roman" w:cs="Times New Roman" w:eastAsia="Times New Roman" w:hAnsi="Times New Roman"/>
          <w:sz w:val="20"/>
          <w:szCs w:val="20"/>
        </w:rPr>
        <w:t xml:space="preserve">The independent validation (Section IV-G) showed the initial NDVI-only classification agreed with the reference layer far less often than the self-referential figures implied, concentrated in a specific, diagnosable error: reference pixels labeled as agriculture or shrub were frequently classified as Dense vegetation, consistent with the well-documented inability of a single greenness index to separate closed-canopy natural forest from healthy, high-NDVI cropland or plantation. To address this without discarding the validated NDVI threshold structure for the other three classes, the Normalized Difference Moisture Index [36], [37],</w:t>
      </w:r>
    </w:p>
    <w:p>
      <w:pPr>
        <w:tabs>
          <w:tab w:val="right" w:pos="9026"/>
        </w:tabs>
        <w:spacing w:after="120" w:before="120"/>
      </w:pPr>
      <w:r>
        <w:rPr>
          <w:rFonts w:ascii="Times New Roman" w:cs="Times New Roman" w:eastAsia="Times New Roman" w:hAnsi="Times New Roman"/>
          <w:i/>
          <w:iCs/>
          <w:sz w:val="20"/>
          <w:szCs w:val="20"/>
        </w:rPr>
        <w:t xml:space="preserve">        NDMI = (B08 − B11) / (B08 + B11)</w:t>
      </w:r>
      <w:r>
        <w:rPr>
          <w:rFonts w:ascii="Times New Roman" w:cs="Times New Roman" w:eastAsia="Times New Roman" w:hAnsi="Times New Roman"/>
          <w:sz w:val="20"/>
          <w:szCs w:val="20"/>
        </w:rPr>
        <w:t xml:space="preserve">	(4)</w:t>
      </w:r>
    </w:p>
    <w:p>
      <w:pPr>
        <w:spacing w:after="120" w:line="252"/>
        <w:ind w:firstLine="204"/>
        <w:jc w:val="both"/>
      </w:pPr>
      <w:r>
        <w:rPr>
          <w:rFonts w:ascii="Times New Roman" w:cs="Times New Roman" w:eastAsia="Times New Roman" w:hAnsi="Times New Roman"/>
          <w:sz w:val="20"/>
          <w:szCs w:val="20"/>
        </w:rPr>
        <w:t xml:space="preserve">was computed from the Sentinel-2 short-wave infrared band (B11, 20 m, resampled to the analysis grid) for every year in the 2017–2024 sequence, using the same tile-date selections and SCL cloud masking as the corresponding NDVI mosaics (Section III-B–C). NDMI showed the same kind of reproducible cross-date offset already documented for NDVI (Section III-D) — most pronounced in 2019 and 2023, the same two years with the largest NDVI offsets — and was therefore median-shift normalized to the 2024 reference by the identical procedure. The classification rule for the Water, Non-vegetated, and Sparse-vegetation thresholds (Table 1) was left unchanged; for NDVI ≥ 0.55 candidates, the pixel was retained as Dense vegetation only if NDMI also exceeded a threshold fit on a spatial checkerboard training split (alternating 20-pixel blocks, ≈1.7 km) of the independent reference layer, otherwise reassigned to Sparse vegetation. The threshold (0.268) was fit once, by maximizing balanced accuracy between reference-Sparse and reference-Dense pixels on the training split only, and applied uniformly across all eight years and both models rather than re-fit per year, since independent ground truth exists for only one time point.</w:t>
      </w:r>
    </w:p>
    <w:p>
      <w:pPr>
        <w:spacing w:after="120" w:line="252"/>
        <w:ind w:firstLine="204"/>
        <w:jc w:val="both"/>
      </w:pPr>
      <w:r>
        <w:rPr>
          <w:rFonts w:ascii="Times New Roman" w:cs="Times New Roman" w:eastAsia="Times New Roman" w:hAnsi="Times New Roman"/>
          <w:sz w:val="20"/>
          <w:szCs w:val="20"/>
        </w:rPr>
        <w:t xml:space="preserve">Because the refined labels now depend on NDMI, ConvLSTM's input was extended from two channels (NDVI, brightness) to three (NDVI, brightness, NDMI) so the model has access to the same information its own targets are derived from; the architecture, training-window structure, and epoch budget were otherwise unchanged from Section III-F. The CA–Markov transition-matrix estimation, capping procedure (Section III-E), and CA spatial allocation were re-run in full on the refined 2019, 2021, and 2024 classifications. For ConvLSTM, inverse-frequency class-weighting (the fix validated in Section III-H) was applied first at full strength; this produced high Non-vegetated recall but collapsed User's Accuracy for that class to roughly one in eight predictions correct — a precision failure consistent with over-aggressive minority-class up-weighting. A standard remedy, dampening the weights by a square root, was applied as a second configuration and is reported as the refined model's primary result, with the full-weight configuration retained for comparison as a documented cautionary finding rather than discarded.</w:t>
      </w:r>
    </w:p>
    <w:p>
      <w:pPr>
        <w:spacing w:after="120" w:line="252"/>
        <w:ind w:firstLine="204"/>
        <w:jc w:val="both"/>
      </w:pPr>
      <w:r>
        <w:rPr>
          <w:rFonts w:ascii="Times New Roman" w:cs="Times New Roman" w:eastAsia="Times New Roman" w:hAnsi="Times New Roman"/>
          <w:sz w:val="20"/>
          <w:szCs w:val="20"/>
        </w:rPr>
        <w:t xml:space="preserve">Because refined ConvLSTM necessarily trains at the coarse 300×233 grid while refined CA–Markov's main validation (Table 16) runs at native resolution, directly comparing their accuracy figures would repeat the same resolution confound diagnosed in Section IV-F for the original classification. To avoid this, the coarse-grid re-run of Section III-H (majority-vote-downsampled 2019/2021 classifications, transition matrix re-estimated and projected forward at that resolution) was repeated a second time on the refined classifications, giving a refined CA–Markov result evaluated at the identical grid, labels, and time window as refined ConvLSTM's own validation.</w:t>
      </w:r>
    </w:p>
    <w:p>
      <w:pPr>
        <w:keepNext/>
        <w:spacing w:after="160" w:before="280"/>
        <w:jc w:val="center"/>
      </w:pPr>
      <w:r>
        <w:rPr>
          <w:rFonts w:ascii="Times New Roman" w:cs="Times New Roman" w:eastAsia="Times New Roman" w:hAnsi="Times New Roman"/>
          <w:b/>
          <w:bCs/>
          <w:sz w:val="20"/>
          <w:szCs w:val="20"/>
        </w:rPr>
        <w:t xml:space="preserve">IV. RESULTS</w:t>
      </w:r>
    </w:p>
    <w:p>
      <w:pPr>
        <w:keepNext/>
        <w:spacing w:after="100" w:before="200"/>
        <w:ind w:firstLine="204"/>
        <w:jc w:val="left"/>
      </w:pPr>
      <w:r>
        <w:rPr>
          <w:rFonts w:ascii="Times New Roman" w:cs="Times New Roman" w:eastAsia="Times New Roman" w:hAnsi="Times New Roman"/>
          <w:b/>
          <w:bCs/>
          <w:i/>
          <w:iCs/>
          <w:sz w:val="20"/>
          <w:szCs w:val="20"/>
        </w:rPr>
        <w:t xml:space="preserve">A. </w:t>
      </w:r>
      <w:r>
        <w:rPr>
          <w:rFonts w:ascii="Times New Roman" w:cs="Times New Roman" w:eastAsia="Times New Roman" w:hAnsi="Times New Roman"/>
          <w:b/>
          <w:bCs/>
          <w:i/>
          <w:iCs/>
          <w:sz w:val="20"/>
          <w:szCs w:val="20"/>
        </w:rPr>
        <w:t xml:space="preserve">2024 Baseline Land Cover</w:t>
      </w:r>
    </w:p>
    <w:p>
      <w:pPr>
        <w:spacing w:after="120" w:line="252"/>
        <w:ind w:firstLine="204"/>
        <w:jc w:val="both"/>
      </w:pPr>
      <w:r>
        <w:rPr>
          <w:rFonts w:ascii="Times New Roman" w:cs="Times New Roman" w:eastAsia="Times New Roman" w:hAnsi="Times New Roman"/>
          <w:sz w:val="20"/>
          <w:szCs w:val="20"/>
        </w:rPr>
        <w:t xml:space="preserve">The total study area on the analysis grid, after administrative clipping, was 35,522.3 km². Dense vegetation/forest was the dominant class (67.2%), followed by sparse vegetation/agriculture (23.3%), non-vegetated land (6.2%), and water (3.3%).</w:t>
      </w:r>
    </w:p>
    <w:p>
      <w:pPr>
        <w:spacing w:after="20" w:before="200"/>
        <w:jc w:val="left"/>
      </w:pPr>
      <w:r>
        <w:rPr>
          <w:rFonts w:ascii="Times New Roman" w:cs="Times New Roman" w:eastAsia="Times New Roman" w:hAnsi="Times New Roman"/>
          <w:sz w:val="16"/>
          <w:szCs w:val="16"/>
        </w:rPr>
        <w:t xml:space="preserve">TABLE 2</w:t>
      </w:r>
    </w:p>
    <w:p>
      <w:pPr>
        <w:spacing w:after="100"/>
        <w:jc w:val="left"/>
      </w:pPr>
      <w:r>
        <w:rPr>
          <w:rFonts w:ascii="Times New Roman" w:cs="Times New Roman" w:eastAsia="Times New Roman" w:hAnsi="Times New Roman"/>
          <w:caps/>
          <w:sz w:val="16"/>
          <w:szCs w:val="16"/>
        </w:rPr>
        <w:t xml:space="preserve">WEST JAVA LAND COVER, 2024 CLASSIFICATION</w:t>
      </w:r>
    </w:p>
    <w:tbl>
      <w:tblPr>
        <w:tblW w:type="dxa" w:w="9260"/>
        <w:tblBorders>
          <w:top w:val="single" w:color="000000" w:sz="8"/>
          <w:left w:val="none" w:color="FFFFFF" w:sz="0"/>
          <w:bottom w:val="single" w:color="000000" w:sz="8"/>
          <w:right w:val="none" w:color="FFFFFF" w:sz="0"/>
          <w:insideH w:val="none" w:color="FFFFFF" w:sz="0"/>
          <w:insideV w:val="none" w:color="FFFFFF" w:sz="0"/>
        </w:tblBorders>
      </w:tblPr>
      <w:tblGrid>
        <w:gridCol w:w="3500"/>
        <w:gridCol w:w="2050"/>
        <w:gridCol w:w="1900"/>
        <w:gridCol w:w="1810"/>
      </w:tblGrid>
      <w:tr>
        <w:trPr>
          <w:tblHeader/>
        </w:trPr>
        <w:tc>
          <w:tcPr>
            <w:tcW w:type="dxa" w:w="3500"/>
            <w:tcBorders>
              <w:top w:val="none" w:color="FFFFFF" w:sz="0"/>
              <w:left w:val="none" w:color="FFFFFF" w:sz="0"/>
              <w:bottom w:val="none" w:color="FFFFFF" w:sz="0"/>
              <w:right w:val="none" w:color="FFFFFF" w:sz="0"/>
            </w:tcBorders>
            <w:shd w:fill="D9D9D9"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6"/>
                <w:szCs w:val="16"/>
              </w:rPr>
              <w:t xml:space="preserve">Class</w:t>
            </w:r>
          </w:p>
        </w:tc>
        <w:tc>
          <w:tcPr>
            <w:tcW w:type="dxa" w:w="2050"/>
            <w:tcBorders>
              <w:top w:val="none" w:color="FFFFFF" w:sz="0"/>
              <w:left w:val="none" w:color="FFFFFF" w:sz="0"/>
              <w:bottom w:val="none" w:color="FFFFFF" w:sz="0"/>
              <w:right w:val="none" w:color="FFFFFF" w:sz="0"/>
            </w:tcBorders>
            <w:shd w:fill="D9D9D9"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6"/>
                <w:szCs w:val="16"/>
              </w:rPr>
              <w:t xml:space="preserve">Area (km²)</w:t>
            </w:r>
          </w:p>
        </w:tc>
        <w:tc>
          <w:tcPr>
            <w:tcW w:type="dxa" w:w="1900"/>
            <w:tcBorders>
              <w:top w:val="none" w:color="FFFFFF" w:sz="0"/>
              <w:left w:val="none" w:color="FFFFFF" w:sz="0"/>
              <w:bottom w:val="none" w:color="FFFFFF" w:sz="0"/>
              <w:right w:val="none" w:color="FFFFFF" w:sz="0"/>
            </w:tcBorders>
            <w:shd w:fill="D9D9D9"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6"/>
                <w:szCs w:val="16"/>
              </w:rPr>
              <w:t xml:space="preserve">Share</w:t>
            </w:r>
          </w:p>
        </w:tc>
        <w:tc>
          <w:tcPr>
            <w:tcW w:type="dxa" w:w="1810"/>
            <w:tcBorders>
              <w:top w:val="none" w:color="FFFFFF" w:sz="0"/>
              <w:left w:val="none" w:color="FFFFFF" w:sz="0"/>
              <w:bottom w:val="none" w:color="FFFFFF" w:sz="0"/>
              <w:right w:val="none" w:color="FFFFFF" w:sz="0"/>
            </w:tcBorders>
            <w:shd w:fill="D9D9D9"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6"/>
                <w:szCs w:val="16"/>
              </w:rPr>
              <w:t xml:space="preserve">Pixels</w:t>
            </w:r>
          </w:p>
        </w:tc>
      </w:tr>
      <w:tr>
        <w:tc>
          <w:tcPr>
            <w:tcW w:type="dxa" w:w="35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6"/>
                <w:szCs w:val="16"/>
              </w:rPr>
              <w:t xml:space="preserve">Water</w:t>
            </w:r>
          </w:p>
        </w:tc>
        <w:tc>
          <w:tcPr>
            <w:tcW w:type="dxa" w:w="20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1,168.7</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3.3%</w:t>
            </w:r>
          </w:p>
        </w:tc>
        <w:tc>
          <w:tcPr>
            <w:tcW w:type="dxa" w:w="18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157,408</w:t>
            </w:r>
          </w:p>
        </w:tc>
      </w:tr>
      <w:tr>
        <w:tc>
          <w:tcPr>
            <w:tcW w:type="dxa" w:w="35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6"/>
                <w:szCs w:val="16"/>
              </w:rPr>
              <w:t xml:space="preserve">Non-vegetated</w:t>
            </w:r>
          </w:p>
        </w:tc>
        <w:tc>
          <w:tcPr>
            <w:tcW w:type="dxa" w:w="20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2,207.4</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6.2%</w:t>
            </w:r>
          </w:p>
        </w:tc>
        <w:tc>
          <w:tcPr>
            <w:tcW w:type="dxa" w:w="18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297,309</w:t>
            </w:r>
          </w:p>
        </w:tc>
      </w:tr>
      <w:tr>
        <w:tc>
          <w:tcPr>
            <w:tcW w:type="dxa" w:w="35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6"/>
                <w:szCs w:val="16"/>
              </w:rPr>
              <w:t xml:space="preserve">Sparse vegetation</w:t>
            </w:r>
          </w:p>
        </w:tc>
        <w:tc>
          <w:tcPr>
            <w:tcW w:type="dxa" w:w="20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8,292.0</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23.3%</w:t>
            </w:r>
          </w:p>
        </w:tc>
        <w:tc>
          <w:tcPr>
            <w:tcW w:type="dxa" w:w="18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1,116,847</w:t>
            </w:r>
          </w:p>
        </w:tc>
      </w:tr>
      <w:tr>
        <w:tc>
          <w:tcPr>
            <w:tcW w:type="dxa" w:w="35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6"/>
                <w:szCs w:val="16"/>
              </w:rPr>
              <w:t xml:space="preserve">Dense vegetation</w:t>
            </w:r>
          </w:p>
        </w:tc>
        <w:tc>
          <w:tcPr>
            <w:tcW w:type="dxa" w:w="20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23,854.2</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67.2%</w:t>
            </w:r>
          </w:p>
        </w:tc>
        <w:tc>
          <w:tcPr>
            <w:tcW w:type="dxa" w:w="181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3,212,908</w:t>
            </w:r>
          </w:p>
        </w:tc>
      </w:tr>
    </w:tbl>
    <w:p>
      <w:pPr>
        <w:spacing w:before="160"/>
        <w:jc w:val="center"/>
      </w:pPr>
      <w:r>
        <w:drawing>
          <wp:inline distT="0" distB="0" distL="0" distR="0">
            <wp:extent cx="34290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429000" cy="2790825"/>
                    </a:xfrm>
                    <a:prstGeom prst="rect">
                      <a:avLst/>
                    </a:prstGeom>
                  </pic:spPr>
                </pic:pic>
              </a:graphicData>
            </a:graphic>
          </wp:inline>
        </w:drawing>
      </w:r>
    </w:p>
    <w:p>
      <w:pPr>
        <w:spacing w:after="200" w:before="60"/>
        <w:jc w:val="center"/>
      </w:pPr>
      <w:r>
        <w:rPr>
          <w:rFonts w:ascii="Times New Roman" w:cs="Times New Roman" w:eastAsia="Times New Roman" w:hAnsi="Times New Roman"/>
          <w:sz w:val="16"/>
          <w:szCs w:val="16"/>
        </w:rPr>
        <w:t xml:space="preserve">Fig. 2 West Java 2024 land cover classification (dark green = dense vegetation/forest; light green = sparse vegetation/agriculture; red = non-vegetated; blue = water).</w:t>
      </w:r>
    </w:p>
    <w:p>
      <w:pPr>
        <w:keepNext/>
        <w:spacing w:after="100" w:before="200"/>
        <w:ind w:firstLine="204"/>
        <w:jc w:val="left"/>
      </w:pPr>
      <w:r>
        <w:rPr>
          <w:rFonts w:ascii="Times New Roman" w:cs="Times New Roman" w:eastAsia="Times New Roman" w:hAnsi="Times New Roman"/>
          <w:b/>
          <w:bCs/>
          <w:i/>
          <w:iCs/>
          <w:sz w:val="20"/>
          <w:szCs w:val="20"/>
        </w:rPr>
        <w:t xml:space="preserve">B. </w:t>
      </w:r>
      <w:r>
        <w:rPr>
          <w:rFonts w:ascii="Times New Roman" w:cs="Times New Roman" w:eastAsia="Times New Roman" w:hAnsi="Times New Roman"/>
          <w:b/>
          <w:bCs/>
          <w:i/>
          <w:iCs/>
          <w:sz w:val="20"/>
          <w:szCs w:val="20"/>
        </w:rPr>
        <w:t xml:space="preserve">CA–Markov 2025 Projection</w:t>
      </w:r>
    </w:p>
    <w:p>
      <w:pPr>
        <w:spacing w:after="120" w:line="252"/>
        <w:ind w:firstLine="204"/>
        <w:jc w:val="both"/>
      </w:pPr>
      <w:r>
        <w:rPr>
          <w:rFonts w:ascii="Times New Roman" w:cs="Times New Roman" w:eastAsia="Times New Roman" w:hAnsi="Times New Roman"/>
          <w:sz w:val="20"/>
          <w:szCs w:val="20"/>
        </w:rPr>
        <w:t xml:space="preserve">The annualized, corrected transition matrix P₁ used for the 2025 projection is given in Table 3. Water and dense vegetation show the highest self-persistence (99.5%/year and 96.4%/year respectively), while non-vegetated land has the lowest persistence (90.9%/year) and its largest outgoing transition is to sparse vegetation (6.3%/year).</w:t>
      </w:r>
    </w:p>
    <w:p>
      <w:pPr>
        <w:spacing w:after="20" w:before="200"/>
        <w:jc w:val="left"/>
      </w:pPr>
      <w:r>
        <w:rPr>
          <w:rFonts w:ascii="Times New Roman" w:cs="Times New Roman" w:eastAsia="Times New Roman" w:hAnsi="Times New Roman"/>
          <w:sz w:val="16"/>
          <w:szCs w:val="16"/>
        </w:rPr>
        <w:t xml:space="preserve">TABLE 3</w:t>
      </w:r>
    </w:p>
    <w:p>
      <w:pPr>
        <w:spacing w:after="100"/>
        <w:jc w:val="left"/>
      </w:pPr>
      <w:r>
        <w:rPr>
          <w:rFonts w:ascii="Times New Roman" w:cs="Times New Roman" w:eastAsia="Times New Roman" w:hAnsi="Times New Roman"/>
          <w:caps/>
          <w:sz w:val="16"/>
          <w:szCs w:val="16"/>
        </w:rPr>
        <w:t xml:space="preserve">ANNUALIZED TRANSITION MATRIX P₁ (2019–2024)</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2350"/>
        <w:gridCol w:w="1750"/>
        <w:gridCol w:w="1750"/>
        <w:gridCol w:w="1750"/>
        <w:gridCol w:w="1760"/>
      </w:tblGrid>
      <w:tr>
        <w:trPr>
          <w:tblHeader/>
        </w:trPr>
        <w:tc>
          <w:tcPr>
            <w:tcW w:type="dxa" w:w="2350"/>
            <w:tcBorders>
              <w:top w:val="none" w:color="FFFFFF" w:sz="0"/>
              <w:left w:val="none" w:color="FFFFFF" w:sz="0"/>
              <w:bottom w:val="none" w:color="FFFFFF" w:sz="0"/>
              <w:right w:val="none" w:color="FFFFFF" w:sz="0"/>
            </w:tcBorders>
            <w:shd w:fill="D9D9D9"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6"/>
                <w:szCs w:val="16"/>
              </w:rPr>
              <w:t xml:space="preserve">From ↓ / To →</w:t>
            </w:r>
          </w:p>
        </w:tc>
        <w:tc>
          <w:tcPr>
            <w:tcW w:type="dxa" w:w="1750"/>
            <w:tcBorders>
              <w:top w:val="none" w:color="FFFFFF" w:sz="0"/>
              <w:left w:val="none" w:color="FFFFFF" w:sz="0"/>
              <w:bottom w:val="none" w:color="FFFFFF" w:sz="0"/>
              <w:right w:val="none" w:color="FFFFFF" w:sz="0"/>
            </w:tcBorders>
            <w:shd w:fill="D9D9D9"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6"/>
                <w:szCs w:val="16"/>
              </w:rPr>
              <w:t xml:space="preserve">Water</w:t>
            </w:r>
          </w:p>
        </w:tc>
        <w:tc>
          <w:tcPr>
            <w:tcW w:type="dxa" w:w="1750"/>
            <w:tcBorders>
              <w:top w:val="none" w:color="FFFFFF" w:sz="0"/>
              <w:left w:val="none" w:color="FFFFFF" w:sz="0"/>
              <w:bottom w:val="none" w:color="FFFFFF" w:sz="0"/>
              <w:right w:val="none" w:color="FFFFFF" w:sz="0"/>
            </w:tcBorders>
            <w:shd w:fill="D9D9D9"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6"/>
                <w:szCs w:val="16"/>
              </w:rPr>
              <w:t xml:space="preserve">Non-veg.</w:t>
            </w:r>
          </w:p>
        </w:tc>
        <w:tc>
          <w:tcPr>
            <w:tcW w:type="dxa" w:w="1750"/>
            <w:tcBorders>
              <w:top w:val="none" w:color="FFFFFF" w:sz="0"/>
              <w:left w:val="none" w:color="FFFFFF" w:sz="0"/>
              <w:bottom w:val="none" w:color="FFFFFF" w:sz="0"/>
              <w:right w:val="none" w:color="FFFFFF" w:sz="0"/>
            </w:tcBorders>
            <w:shd w:fill="D9D9D9"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6"/>
                <w:szCs w:val="16"/>
              </w:rPr>
              <w:t xml:space="preserve">Sparse</w:t>
            </w:r>
          </w:p>
        </w:tc>
        <w:tc>
          <w:tcPr>
            <w:tcW w:type="dxa" w:w="1760"/>
            <w:tcBorders>
              <w:top w:val="none" w:color="FFFFFF" w:sz="0"/>
              <w:left w:val="none" w:color="FFFFFF" w:sz="0"/>
              <w:bottom w:val="none" w:color="FFFFFF" w:sz="0"/>
              <w:right w:val="none" w:color="FFFFFF" w:sz="0"/>
            </w:tcBorders>
            <w:shd w:fill="D9D9D9"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6"/>
                <w:szCs w:val="16"/>
              </w:rPr>
              <w:t xml:space="preserve">Dense</w:t>
            </w:r>
          </w:p>
        </w:tc>
      </w:tr>
      <w:tr>
        <w:tc>
          <w:tcPr>
            <w:tcW w:type="dxa" w:w="23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6"/>
                <w:szCs w:val="16"/>
              </w:rPr>
              <w:t xml:space="preserve">Water</w:t>
            </w:r>
          </w:p>
        </w:tc>
        <w:tc>
          <w:tcPr>
            <w:tcW w:type="dxa" w:w="17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99.5%</w:t>
            </w:r>
          </w:p>
        </w:tc>
        <w:tc>
          <w:tcPr>
            <w:tcW w:type="dxa" w:w="17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0.4%</w:t>
            </w:r>
          </w:p>
        </w:tc>
        <w:tc>
          <w:tcPr>
            <w:tcW w:type="dxa" w:w="17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0.0%</w:t>
            </w:r>
          </w:p>
        </w:tc>
        <w:tc>
          <w:tcPr>
            <w:tcW w:type="dxa" w:w="176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0.0%</w:t>
            </w:r>
          </w:p>
        </w:tc>
      </w:tr>
      <w:tr>
        <w:tc>
          <w:tcPr>
            <w:tcW w:type="dxa" w:w="23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6"/>
                <w:szCs w:val="16"/>
              </w:rPr>
              <w:t xml:space="preserve">Non-vegetated</w:t>
            </w:r>
          </w:p>
        </w:tc>
        <w:tc>
          <w:tcPr>
            <w:tcW w:type="dxa" w:w="17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1.0%</w:t>
            </w:r>
          </w:p>
        </w:tc>
        <w:tc>
          <w:tcPr>
            <w:tcW w:type="dxa" w:w="17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90.9%</w:t>
            </w:r>
          </w:p>
        </w:tc>
        <w:tc>
          <w:tcPr>
            <w:tcW w:type="dxa" w:w="17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6.3%</w:t>
            </w:r>
          </w:p>
        </w:tc>
        <w:tc>
          <w:tcPr>
            <w:tcW w:type="dxa" w:w="176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1.8%</w:t>
            </w:r>
          </w:p>
        </w:tc>
      </w:tr>
      <w:tr>
        <w:tc>
          <w:tcPr>
            <w:tcW w:type="dxa" w:w="23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6"/>
                <w:szCs w:val="16"/>
              </w:rPr>
              <w:t xml:space="preserve">Sparse vegetation</w:t>
            </w:r>
          </w:p>
        </w:tc>
        <w:tc>
          <w:tcPr>
            <w:tcW w:type="dxa" w:w="17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0.0%</w:t>
            </w:r>
          </w:p>
        </w:tc>
        <w:tc>
          <w:tcPr>
            <w:tcW w:type="dxa" w:w="17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6.6%</w:t>
            </w:r>
          </w:p>
        </w:tc>
        <w:tc>
          <w:tcPr>
            <w:tcW w:type="dxa" w:w="17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85.3%</w:t>
            </w:r>
          </w:p>
        </w:tc>
        <w:tc>
          <w:tcPr>
            <w:tcW w:type="dxa" w:w="176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8.1%</w:t>
            </w:r>
          </w:p>
        </w:tc>
      </w:tr>
      <w:tr>
        <w:tc>
          <w:tcPr>
            <w:tcW w:type="dxa" w:w="23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6"/>
                <w:szCs w:val="16"/>
              </w:rPr>
              <w:t xml:space="preserve">Dense vegetation</w:t>
            </w:r>
          </w:p>
        </w:tc>
        <w:tc>
          <w:tcPr>
            <w:tcW w:type="dxa" w:w="17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0.1%</w:t>
            </w:r>
          </w:p>
        </w:tc>
        <w:tc>
          <w:tcPr>
            <w:tcW w:type="dxa" w:w="17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0.0%</w:t>
            </w:r>
          </w:p>
        </w:tc>
        <w:tc>
          <w:tcPr>
            <w:tcW w:type="dxa" w:w="17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3.5%</w:t>
            </w:r>
          </w:p>
        </w:tc>
        <w:tc>
          <w:tcPr>
            <w:tcW w:type="dxa" w:w="176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96.4%</w:t>
            </w:r>
          </w:p>
        </w:tc>
      </w:tr>
    </w:tbl>
    <w:p>
      <w:pPr>
        <w:spacing w:after="120" w:line="252"/>
        <w:ind w:firstLine="204"/>
        <w:jc w:val="both"/>
      </w:pPr>
      <w:r>
        <w:rPr>
          <w:rFonts w:ascii="Times New Roman" w:cs="Times New Roman" w:eastAsia="Times New Roman" w:hAnsi="Times New Roman"/>
          <w:sz w:val="20"/>
          <w:szCs w:val="20"/>
        </w:rPr>
        <w:t xml:space="preserve">Applying this matrix through the CA spatial-allocation procedure yields the following projected 2025 areas:</w:t>
      </w:r>
    </w:p>
    <w:p>
      <w:pPr>
        <w:spacing w:after="20" w:before="200"/>
        <w:jc w:val="left"/>
      </w:pPr>
      <w:r>
        <w:rPr>
          <w:rFonts w:ascii="Times New Roman" w:cs="Times New Roman" w:eastAsia="Times New Roman" w:hAnsi="Times New Roman"/>
          <w:sz w:val="16"/>
          <w:szCs w:val="16"/>
        </w:rPr>
        <w:t xml:space="preserve">TABLE 4</w:t>
      </w:r>
    </w:p>
    <w:p>
      <w:pPr>
        <w:spacing w:after="100"/>
        <w:jc w:val="left"/>
      </w:pPr>
      <w:r>
        <w:rPr>
          <w:rFonts w:ascii="Times New Roman" w:cs="Times New Roman" w:eastAsia="Times New Roman" w:hAnsi="Times New Roman"/>
          <w:caps/>
          <w:sz w:val="16"/>
          <w:szCs w:val="16"/>
        </w:rPr>
        <w:t xml:space="preserve">CA–MARKOV PROJECTED LAND COVER, 2025</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3200"/>
        <w:gridCol w:w="1750"/>
        <w:gridCol w:w="1750"/>
        <w:gridCol w:w="1300"/>
        <w:gridCol w:w="1360"/>
      </w:tblGrid>
      <w:tr>
        <w:trPr>
          <w:tblHeader/>
        </w:trPr>
        <w:tc>
          <w:tcPr>
            <w:tcW w:type="dxa" w:w="3200"/>
            <w:tcBorders>
              <w:top w:val="none" w:color="FFFFFF" w:sz="0"/>
              <w:left w:val="none" w:color="FFFFFF" w:sz="0"/>
              <w:bottom w:val="none" w:color="FFFFFF" w:sz="0"/>
              <w:right w:val="none" w:color="FFFFFF" w:sz="0"/>
            </w:tcBorders>
            <w:shd w:fill="D9D9D9"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6"/>
                <w:szCs w:val="16"/>
              </w:rPr>
              <w:t xml:space="preserve">Class</w:t>
            </w:r>
          </w:p>
        </w:tc>
        <w:tc>
          <w:tcPr>
            <w:tcW w:type="dxa" w:w="1750"/>
            <w:tcBorders>
              <w:top w:val="none" w:color="FFFFFF" w:sz="0"/>
              <w:left w:val="none" w:color="FFFFFF" w:sz="0"/>
              <w:bottom w:val="none" w:color="FFFFFF" w:sz="0"/>
              <w:right w:val="none" w:color="FFFFFF" w:sz="0"/>
            </w:tcBorders>
            <w:shd w:fill="D9D9D9"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6"/>
                <w:szCs w:val="16"/>
              </w:rPr>
              <w:t xml:space="preserve">2024 (km²)</w:t>
            </w:r>
          </w:p>
        </w:tc>
        <w:tc>
          <w:tcPr>
            <w:tcW w:type="dxa" w:w="1750"/>
            <w:tcBorders>
              <w:top w:val="none" w:color="FFFFFF" w:sz="0"/>
              <w:left w:val="none" w:color="FFFFFF" w:sz="0"/>
              <w:bottom w:val="none" w:color="FFFFFF" w:sz="0"/>
              <w:right w:val="none" w:color="FFFFFF" w:sz="0"/>
            </w:tcBorders>
            <w:shd w:fill="D9D9D9"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6"/>
                <w:szCs w:val="16"/>
              </w:rPr>
              <w:t xml:space="preserve">2025 (km²)</w:t>
            </w:r>
          </w:p>
        </w:tc>
        <w:tc>
          <w:tcPr>
            <w:tcW w:type="dxa" w:w="1300"/>
            <w:tcBorders>
              <w:top w:val="none" w:color="FFFFFF" w:sz="0"/>
              <w:left w:val="none" w:color="FFFFFF" w:sz="0"/>
              <w:bottom w:val="none" w:color="FFFFFF" w:sz="0"/>
              <w:right w:val="none" w:color="FFFFFF" w:sz="0"/>
            </w:tcBorders>
            <w:shd w:fill="D9D9D9"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6"/>
                <w:szCs w:val="16"/>
              </w:rPr>
              <w:t xml:space="preserve">Δ (km²)</w:t>
            </w:r>
          </w:p>
        </w:tc>
        <w:tc>
          <w:tcPr>
            <w:tcW w:type="dxa" w:w="1360"/>
            <w:tcBorders>
              <w:top w:val="none" w:color="FFFFFF" w:sz="0"/>
              <w:left w:val="none" w:color="FFFFFF" w:sz="0"/>
              <w:bottom w:val="none" w:color="FFFFFF" w:sz="0"/>
              <w:right w:val="none" w:color="FFFFFF" w:sz="0"/>
            </w:tcBorders>
            <w:shd w:fill="D9D9D9"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6"/>
                <w:szCs w:val="16"/>
              </w:rPr>
              <w:t xml:space="preserve">Δ (%)</w:t>
            </w:r>
          </w:p>
        </w:tc>
      </w:tr>
      <w:tr>
        <w:tc>
          <w:tcPr>
            <w:tcW w:type="dxa" w:w="32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6"/>
                <w:szCs w:val="16"/>
              </w:rPr>
              <w:t xml:space="preserve">Water</w:t>
            </w:r>
          </w:p>
        </w:tc>
        <w:tc>
          <w:tcPr>
            <w:tcW w:type="dxa" w:w="17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1,168.7</w:t>
            </w:r>
          </w:p>
        </w:tc>
        <w:tc>
          <w:tcPr>
            <w:tcW w:type="dxa" w:w="17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1,203.0</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+34.3</w:t>
            </w:r>
          </w:p>
        </w:tc>
        <w:tc>
          <w:tcPr>
            <w:tcW w:type="dxa" w:w="136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+2.9</w:t>
            </w:r>
          </w:p>
        </w:tc>
      </w:tr>
      <w:tr>
        <w:tc>
          <w:tcPr>
            <w:tcW w:type="dxa" w:w="32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6"/>
                <w:szCs w:val="16"/>
              </w:rPr>
              <w:t xml:space="preserve">Non-vegetated</w:t>
            </w:r>
          </w:p>
        </w:tc>
        <w:tc>
          <w:tcPr>
            <w:tcW w:type="dxa" w:w="17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2,207.4</w:t>
            </w:r>
          </w:p>
        </w:tc>
        <w:tc>
          <w:tcPr>
            <w:tcW w:type="dxa" w:w="17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2,557.9</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+350.5</w:t>
            </w:r>
          </w:p>
        </w:tc>
        <w:tc>
          <w:tcPr>
            <w:tcW w:type="dxa" w:w="136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+15.9</w:t>
            </w:r>
          </w:p>
        </w:tc>
      </w:tr>
      <w:tr>
        <w:tc>
          <w:tcPr>
            <w:tcW w:type="dxa" w:w="32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6"/>
                <w:szCs w:val="16"/>
              </w:rPr>
              <w:t xml:space="preserve">Sparse vegetation</w:t>
            </w:r>
          </w:p>
        </w:tc>
        <w:tc>
          <w:tcPr>
            <w:tcW w:type="dxa" w:w="17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8,292.0</w:t>
            </w:r>
          </w:p>
        </w:tc>
        <w:tc>
          <w:tcPr>
            <w:tcW w:type="dxa" w:w="17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8,051.2</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−240.8</w:t>
            </w:r>
          </w:p>
        </w:tc>
        <w:tc>
          <w:tcPr>
            <w:tcW w:type="dxa" w:w="136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−2.9</w:t>
            </w:r>
          </w:p>
        </w:tc>
      </w:tr>
      <w:tr>
        <w:tc>
          <w:tcPr>
            <w:tcW w:type="dxa" w:w="32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6"/>
                <w:szCs w:val="16"/>
              </w:rPr>
              <w:t xml:space="preserve">Dense vegetation</w:t>
            </w:r>
          </w:p>
        </w:tc>
        <w:tc>
          <w:tcPr>
            <w:tcW w:type="dxa" w:w="17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23,854.2</w:t>
            </w:r>
          </w:p>
        </w:tc>
        <w:tc>
          <w:tcPr>
            <w:tcW w:type="dxa" w:w="17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23,710.1</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−144.0</w:t>
            </w:r>
          </w:p>
        </w:tc>
        <w:tc>
          <w:tcPr>
            <w:tcW w:type="dxa" w:w="136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−0.6</w:t>
            </w:r>
          </w:p>
        </w:tc>
      </w:tr>
    </w:tbl>
    <w:p>
      <w:pPr>
        <w:keepNext/>
        <w:spacing w:after="100" w:before="200"/>
        <w:ind w:firstLine="204"/>
        <w:jc w:val="left"/>
      </w:pPr>
      <w:r>
        <w:rPr>
          <w:rFonts w:ascii="Times New Roman" w:cs="Times New Roman" w:eastAsia="Times New Roman" w:hAnsi="Times New Roman"/>
          <w:b/>
          <w:bCs/>
          <w:i/>
          <w:iCs/>
          <w:sz w:val="20"/>
          <w:szCs w:val="20"/>
        </w:rPr>
        <w:t xml:space="preserve">C. </w:t>
      </w:r>
      <w:r>
        <w:rPr>
          <w:rFonts w:ascii="Times New Roman" w:cs="Times New Roman" w:eastAsia="Times New Roman" w:hAnsi="Times New Roman"/>
          <w:b/>
          <w:bCs/>
          <w:i/>
          <w:iCs/>
          <w:sz w:val="20"/>
          <w:szCs w:val="20"/>
        </w:rPr>
        <w:t xml:space="preserve">CA–Markov Validation</w:t>
      </w:r>
    </w:p>
    <w:p>
      <w:pPr>
        <w:spacing w:after="120" w:line="252"/>
        <w:ind w:firstLine="204"/>
        <w:jc w:val="both"/>
      </w:pPr>
      <w:r>
        <w:rPr>
          <w:rFonts w:ascii="Times New Roman" w:cs="Times New Roman" w:eastAsia="Times New Roman" w:hAnsi="Times New Roman"/>
          <w:sz w:val="20"/>
          <w:szCs w:val="20"/>
        </w:rPr>
        <w:t xml:space="preserve">Out-of-sample validation (transition matrix from 2019–2021, projected three years to simulate 2024, compared with the actual 2024 classification) gave the summary metrics in Table 5 and per-class Producer's/User's Accuracy in Table 6.</w:t>
      </w:r>
    </w:p>
    <w:p>
      <w:pPr>
        <w:spacing w:after="20" w:before="200"/>
        <w:jc w:val="left"/>
      </w:pPr>
      <w:r>
        <w:rPr>
          <w:rFonts w:ascii="Times New Roman" w:cs="Times New Roman" w:eastAsia="Times New Roman" w:hAnsi="Times New Roman"/>
          <w:sz w:val="16"/>
          <w:szCs w:val="16"/>
        </w:rPr>
        <w:t xml:space="preserve">TABLE 5</w:t>
      </w:r>
    </w:p>
    <w:p>
      <w:pPr>
        <w:spacing w:after="100"/>
        <w:jc w:val="left"/>
      </w:pPr>
      <w:r>
        <w:rPr>
          <w:rFonts w:ascii="Times New Roman" w:cs="Times New Roman" w:eastAsia="Times New Roman" w:hAnsi="Times New Roman"/>
          <w:caps/>
          <w:sz w:val="16"/>
          <w:szCs w:val="16"/>
        </w:rPr>
        <w:t xml:space="preserve">CA–MARKOV VALIDATION SUMMARY (N = 1,118,262)</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4400"/>
        <w:gridCol w:w="2260"/>
        <w:gridCol w:w="2700"/>
      </w:tblGrid>
      <w:tr>
        <w:trPr>
          <w:tblHeader/>
        </w:trPr>
        <w:tc>
          <w:tcPr>
            <w:tcW w:type="dxa" w:w="4400"/>
            <w:tcBorders>
              <w:top w:val="none" w:color="FFFFFF" w:sz="0"/>
              <w:left w:val="none" w:color="FFFFFF" w:sz="0"/>
              <w:bottom w:val="none" w:color="FFFFFF" w:sz="0"/>
              <w:right w:val="none" w:color="FFFFFF" w:sz="0"/>
            </w:tcBorders>
            <w:shd w:fill="D9D9D9"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6"/>
                <w:szCs w:val="16"/>
              </w:rPr>
              <w:t xml:space="preserve">Metric</w:t>
            </w:r>
          </w:p>
        </w:tc>
        <w:tc>
          <w:tcPr>
            <w:tcW w:type="dxa" w:w="2260"/>
            <w:tcBorders>
              <w:top w:val="none" w:color="FFFFFF" w:sz="0"/>
              <w:left w:val="none" w:color="FFFFFF" w:sz="0"/>
              <w:bottom w:val="none" w:color="FFFFFF" w:sz="0"/>
              <w:right w:val="none" w:color="FFFFFF" w:sz="0"/>
            </w:tcBorders>
            <w:shd w:fill="D9D9D9"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6"/>
                <w:szCs w:val="16"/>
              </w:rPr>
              <w:t xml:space="preserve">Value</w:t>
            </w:r>
          </w:p>
        </w:tc>
        <w:tc>
          <w:tcPr>
            <w:tcW w:type="dxa" w:w="2700"/>
            <w:tcBorders>
              <w:top w:val="none" w:color="FFFFFF" w:sz="0"/>
              <w:left w:val="none" w:color="FFFFFF" w:sz="0"/>
              <w:bottom w:val="none" w:color="FFFFFF" w:sz="0"/>
              <w:right w:val="none" w:color="FFFFFF" w:sz="0"/>
            </w:tcBorders>
            <w:shd w:fill="D9D9D9"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6"/>
                <w:szCs w:val="16"/>
              </w:rPr>
              <w:t xml:space="preserve"/>
            </w:r>
          </w:p>
        </w:tc>
      </w:tr>
      <w:tr>
        <w:tc>
          <w:tcPr>
            <w:tcW w:type="dxa" w:w="44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6"/>
                <w:szCs w:val="16"/>
              </w:rPr>
              <w:t xml:space="preserve">Overall Accuracy</w:t>
            </w:r>
          </w:p>
        </w:tc>
        <w:tc>
          <w:tcPr>
            <w:tcW w:type="dxa" w:w="226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68.29%</w:t>
            </w:r>
          </w:p>
        </w:tc>
        <w:tc>
          <w:tcPr>
            <w:tcW w:type="dxa" w:w="27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
            </w:r>
          </w:p>
        </w:tc>
      </w:tr>
      <w:tr>
        <w:tc>
          <w:tcPr>
            <w:tcW w:type="dxa" w:w="44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6"/>
                <w:szCs w:val="16"/>
              </w:rPr>
              <w:t xml:space="preserve">Kappa coefficient</w:t>
            </w:r>
          </w:p>
        </w:tc>
        <w:tc>
          <w:tcPr>
            <w:tcW w:type="dxa" w:w="226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0.3819</w:t>
            </w:r>
          </w:p>
        </w:tc>
        <w:tc>
          <w:tcPr>
            <w:tcW w:type="dxa" w:w="27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
            </w:r>
          </w:p>
        </w:tc>
      </w:tr>
      <w:tr>
        <w:tc>
          <w:tcPr>
            <w:tcW w:type="dxa" w:w="44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6"/>
                <w:szCs w:val="16"/>
              </w:rPr>
              <w:t xml:space="preserve">Figure of Merit</w:t>
            </w:r>
          </w:p>
        </w:tc>
        <w:tc>
          <w:tcPr>
            <w:tcW w:type="dxa" w:w="226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22.24%</w:t>
            </w:r>
          </w:p>
        </w:tc>
        <w:tc>
          <w:tcPr>
            <w:tcW w:type="dxa" w:w="27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
            </w:r>
          </w:p>
        </w:tc>
      </w:tr>
      <w:tr>
        <w:tc>
          <w:tcPr>
            <w:tcW w:type="dxa" w:w="44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6"/>
                <w:szCs w:val="16"/>
              </w:rPr>
              <w:t xml:space="preserve">Reference change (2021→2024, actual)</w:t>
            </w:r>
          </w:p>
        </w:tc>
        <w:tc>
          <w:tcPr>
            <w:tcW w:type="dxa" w:w="226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23.37%</w:t>
            </w:r>
          </w:p>
        </w:tc>
        <w:tc>
          <w:tcPr>
            <w:tcW w:type="dxa" w:w="27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
            </w:r>
          </w:p>
        </w:tc>
      </w:tr>
      <w:tr>
        <w:tc>
          <w:tcPr>
            <w:tcW w:type="dxa" w:w="44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6"/>
                <w:szCs w:val="16"/>
              </w:rPr>
              <w:t xml:space="preserve">Simulated change (model output)</w:t>
            </w:r>
          </w:p>
        </w:tc>
        <w:tc>
          <w:tcPr>
            <w:tcW w:type="dxa" w:w="226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29.75%</w:t>
            </w:r>
          </w:p>
        </w:tc>
        <w:tc>
          <w:tcPr>
            <w:tcW w:type="dxa" w:w="27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
            </w:r>
          </w:p>
        </w:tc>
      </w:tr>
    </w:tbl>
    <w:p>
      <w:pPr>
        <w:spacing w:after="20" w:before="200"/>
        <w:jc w:val="left"/>
      </w:pPr>
      <w:r>
        <w:rPr>
          <w:rFonts w:ascii="Times New Roman" w:cs="Times New Roman" w:eastAsia="Times New Roman" w:hAnsi="Times New Roman"/>
          <w:sz w:val="16"/>
          <w:szCs w:val="16"/>
        </w:rPr>
        <w:t xml:space="preserve">TABLE 6</w:t>
      </w:r>
    </w:p>
    <w:p>
      <w:pPr>
        <w:spacing w:after="100"/>
        <w:jc w:val="left"/>
      </w:pPr>
      <w:r>
        <w:rPr>
          <w:rFonts w:ascii="Times New Roman" w:cs="Times New Roman" w:eastAsia="Times New Roman" w:hAnsi="Times New Roman"/>
          <w:caps/>
          <w:sz w:val="16"/>
          <w:szCs w:val="16"/>
        </w:rPr>
        <w:t xml:space="preserve">CA–MARKOV VALIDATION: PRODUCER'S / USER'S ACCURACY</w:t>
      </w:r>
    </w:p>
    <w:tbl>
      <w:tblPr>
        <w:tblW w:type="dxa" w:w="9060"/>
        <w:tblBorders>
          <w:top w:val="single" w:color="000000" w:sz="8"/>
          <w:left w:val="none" w:color="FFFFFF" w:sz="0"/>
          <w:bottom w:val="single" w:color="000000" w:sz="8"/>
          <w:right w:val="none" w:color="FFFFFF" w:sz="0"/>
          <w:insideH w:val="none" w:color="FFFFFF" w:sz="0"/>
          <w:insideV w:val="none" w:color="FFFFFF" w:sz="0"/>
        </w:tblBorders>
      </w:tblPr>
      <w:tblGrid>
        <w:gridCol w:w="3600"/>
        <w:gridCol w:w="2730"/>
        <w:gridCol w:w="2730"/>
      </w:tblGrid>
      <w:tr>
        <w:trPr>
          <w:tblHeader/>
        </w:trPr>
        <w:tc>
          <w:tcPr>
            <w:tcW w:type="dxa" w:w="3600"/>
            <w:tcBorders>
              <w:top w:val="none" w:color="FFFFFF" w:sz="0"/>
              <w:left w:val="none" w:color="FFFFFF" w:sz="0"/>
              <w:bottom w:val="none" w:color="FFFFFF" w:sz="0"/>
              <w:right w:val="none" w:color="FFFFFF" w:sz="0"/>
            </w:tcBorders>
            <w:shd w:fill="D9D9D9"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6"/>
                <w:szCs w:val="16"/>
              </w:rPr>
              <w:t xml:space="preserve">Class</w:t>
            </w:r>
          </w:p>
        </w:tc>
        <w:tc>
          <w:tcPr>
            <w:tcW w:type="dxa" w:w="2730"/>
            <w:tcBorders>
              <w:top w:val="none" w:color="FFFFFF" w:sz="0"/>
              <w:left w:val="none" w:color="FFFFFF" w:sz="0"/>
              <w:bottom w:val="none" w:color="FFFFFF" w:sz="0"/>
              <w:right w:val="none" w:color="FFFFFF" w:sz="0"/>
            </w:tcBorders>
            <w:shd w:fill="D9D9D9"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6"/>
                <w:szCs w:val="16"/>
              </w:rPr>
              <w:t xml:space="preserve">PA</w:t>
            </w:r>
          </w:p>
        </w:tc>
        <w:tc>
          <w:tcPr>
            <w:tcW w:type="dxa" w:w="2730"/>
            <w:tcBorders>
              <w:top w:val="none" w:color="FFFFFF" w:sz="0"/>
              <w:left w:val="none" w:color="FFFFFF" w:sz="0"/>
              <w:bottom w:val="none" w:color="FFFFFF" w:sz="0"/>
              <w:right w:val="none" w:color="FFFFFF" w:sz="0"/>
            </w:tcBorders>
            <w:shd w:fill="D9D9D9"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6"/>
                <w:szCs w:val="16"/>
              </w:rPr>
              <w:t xml:space="preserve">UA</w:t>
            </w:r>
          </w:p>
        </w:tc>
      </w:tr>
      <w:tr>
        <w:tc>
          <w:tcPr>
            <w:tcW w:type="dxa" w:w="36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6"/>
                <w:szCs w:val="16"/>
              </w:rPr>
              <w:t xml:space="preserve">Water</w:t>
            </w:r>
          </w:p>
        </w:tc>
        <w:tc>
          <w:tcPr>
            <w:tcW w:type="dxa" w:w="273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81.3%</w:t>
            </w:r>
          </w:p>
        </w:tc>
        <w:tc>
          <w:tcPr>
            <w:tcW w:type="dxa" w:w="273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66.1%</w:t>
            </w:r>
          </w:p>
        </w:tc>
      </w:tr>
      <w:tr>
        <w:tc>
          <w:tcPr>
            <w:tcW w:type="dxa" w:w="36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6"/>
                <w:szCs w:val="16"/>
              </w:rPr>
              <w:t xml:space="preserve">Non-vegetated</w:t>
            </w:r>
          </w:p>
        </w:tc>
        <w:tc>
          <w:tcPr>
            <w:tcW w:type="dxa" w:w="273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44.2%</w:t>
            </w:r>
          </w:p>
        </w:tc>
        <w:tc>
          <w:tcPr>
            <w:tcW w:type="dxa" w:w="273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25.0%</w:t>
            </w:r>
          </w:p>
        </w:tc>
      </w:tr>
      <w:tr>
        <w:tc>
          <w:tcPr>
            <w:tcW w:type="dxa" w:w="36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6"/>
                <w:szCs w:val="16"/>
              </w:rPr>
              <w:t xml:space="preserve">Sparse vegetation</w:t>
            </w:r>
          </w:p>
        </w:tc>
        <w:tc>
          <w:tcPr>
            <w:tcW w:type="dxa" w:w="273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41.4%</w:t>
            </w:r>
          </w:p>
        </w:tc>
        <w:tc>
          <w:tcPr>
            <w:tcW w:type="dxa" w:w="273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46.1%</w:t>
            </w:r>
          </w:p>
        </w:tc>
      </w:tr>
      <w:tr>
        <w:tc>
          <w:tcPr>
            <w:tcW w:type="dxa" w:w="36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6"/>
                <w:szCs w:val="16"/>
              </w:rPr>
              <w:t xml:space="preserve">Dense vegetation</w:t>
            </w:r>
          </w:p>
        </w:tc>
        <w:tc>
          <w:tcPr>
            <w:tcW w:type="dxa" w:w="273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79.2%</w:t>
            </w:r>
          </w:p>
        </w:tc>
        <w:tc>
          <w:tcPr>
            <w:tcW w:type="dxa" w:w="273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83.1%</w:t>
            </w:r>
          </w:p>
        </w:tc>
      </w:tr>
    </w:tbl>
    <w:p>
      <w:pPr>
        <w:keepNext/>
        <w:spacing w:after="100" w:before="200"/>
        <w:ind w:firstLine="204"/>
        <w:jc w:val="left"/>
      </w:pPr>
      <w:r>
        <w:rPr>
          <w:rFonts w:ascii="Times New Roman" w:cs="Times New Roman" w:eastAsia="Times New Roman" w:hAnsi="Times New Roman"/>
          <w:b/>
          <w:bCs/>
          <w:i/>
          <w:iCs/>
          <w:sz w:val="20"/>
          <w:szCs w:val="20"/>
        </w:rPr>
        <w:t xml:space="preserve">D. </w:t>
      </w:r>
      <w:r>
        <w:rPr>
          <w:rFonts w:ascii="Times New Roman" w:cs="Times New Roman" w:eastAsia="Times New Roman" w:hAnsi="Times New Roman"/>
          <w:b/>
          <w:bCs/>
          <w:i/>
          <w:iCs/>
          <w:sz w:val="20"/>
          <w:szCs w:val="20"/>
        </w:rPr>
        <w:t xml:space="preserve">ConvLSTM Results</w:t>
      </w:r>
    </w:p>
    <w:p>
      <w:pPr>
        <w:spacing w:after="120" w:line="252"/>
        <w:ind w:firstLine="204"/>
        <w:jc w:val="both"/>
      </w:pPr>
      <w:r>
        <w:rPr>
          <w:rFonts w:ascii="Times New Roman" w:cs="Times New Roman" w:eastAsia="Times New Roman" w:hAnsi="Times New Roman"/>
          <w:sz w:val="20"/>
          <w:szCs w:val="20"/>
        </w:rPr>
        <w:t xml:space="preserve">On the held-out test set (2024 predicted from 2021–2023 input, n = 45,269 valid pixels on the 300×233 grid), ConvLSTM achieved OA = 75.5% and Kappa = 0.46. The confusion matrix (Table 7) and per-class accuracy (Table 8) show this aggregate figure conceals a large disparity between classes.</w:t>
      </w:r>
    </w:p>
    <w:p>
      <w:pPr>
        <w:spacing w:after="20" w:before="200"/>
        <w:jc w:val="left"/>
      </w:pPr>
      <w:r>
        <w:rPr>
          <w:rFonts w:ascii="Times New Roman" w:cs="Times New Roman" w:eastAsia="Times New Roman" w:hAnsi="Times New Roman"/>
          <w:sz w:val="16"/>
          <w:szCs w:val="16"/>
        </w:rPr>
        <w:t xml:space="preserve">TABLE 7</w:t>
      </w:r>
    </w:p>
    <w:p>
      <w:pPr>
        <w:spacing w:after="100"/>
        <w:jc w:val="left"/>
      </w:pPr>
      <w:r>
        <w:rPr>
          <w:rFonts w:ascii="Times New Roman" w:cs="Times New Roman" w:eastAsia="Times New Roman" w:hAnsi="Times New Roman"/>
          <w:caps/>
          <w:sz w:val="16"/>
          <w:szCs w:val="16"/>
        </w:rPr>
        <w:t xml:space="preserve">CONVLSTM CONFUSION MATRIX, 2024 HOLD-OUT (ROWS = ACTUAL, COLUMNS = PREDICTED)</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2760"/>
        <w:gridCol w:w="1650"/>
        <w:gridCol w:w="1650"/>
        <w:gridCol w:w="1650"/>
        <w:gridCol w:w="1650"/>
      </w:tblGrid>
      <w:tr>
        <w:trPr>
          <w:tblHeader/>
        </w:trPr>
        <w:tc>
          <w:tcPr>
            <w:tcW w:type="dxa" w:w="2760"/>
            <w:tcBorders>
              <w:top w:val="none" w:color="FFFFFF" w:sz="0"/>
              <w:left w:val="none" w:color="FFFFFF" w:sz="0"/>
              <w:bottom w:val="none" w:color="FFFFFF" w:sz="0"/>
              <w:right w:val="none" w:color="FFFFFF" w:sz="0"/>
            </w:tcBorders>
            <w:shd w:fill="D9D9D9"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6"/>
                <w:szCs w:val="16"/>
              </w:rPr>
              <w:t xml:space="preserve">Actual ↓ / Pred. →</w:t>
            </w:r>
          </w:p>
        </w:tc>
        <w:tc>
          <w:tcPr>
            <w:tcW w:type="dxa" w:w="1650"/>
            <w:tcBorders>
              <w:top w:val="none" w:color="FFFFFF" w:sz="0"/>
              <w:left w:val="none" w:color="FFFFFF" w:sz="0"/>
              <w:bottom w:val="none" w:color="FFFFFF" w:sz="0"/>
              <w:right w:val="none" w:color="FFFFFF" w:sz="0"/>
            </w:tcBorders>
            <w:shd w:fill="D9D9D9"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6"/>
                <w:szCs w:val="16"/>
              </w:rPr>
              <w:t xml:space="preserve">Water</w:t>
            </w:r>
          </w:p>
        </w:tc>
        <w:tc>
          <w:tcPr>
            <w:tcW w:type="dxa" w:w="1650"/>
            <w:tcBorders>
              <w:top w:val="none" w:color="FFFFFF" w:sz="0"/>
              <w:left w:val="none" w:color="FFFFFF" w:sz="0"/>
              <w:bottom w:val="none" w:color="FFFFFF" w:sz="0"/>
              <w:right w:val="none" w:color="FFFFFF" w:sz="0"/>
            </w:tcBorders>
            <w:shd w:fill="D9D9D9"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6"/>
                <w:szCs w:val="16"/>
              </w:rPr>
              <w:t xml:space="preserve">Non-veg.</w:t>
            </w:r>
          </w:p>
        </w:tc>
        <w:tc>
          <w:tcPr>
            <w:tcW w:type="dxa" w:w="1650"/>
            <w:tcBorders>
              <w:top w:val="none" w:color="FFFFFF" w:sz="0"/>
              <w:left w:val="none" w:color="FFFFFF" w:sz="0"/>
              <w:bottom w:val="none" w:color="FFFFFF" w:sz="0"/>
              <w:right w:val="none" w:color="FFFFFF" w:sz="0"/>
            </w:tcBorders>
            <w:shd w:fill="D9D9D9"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6"/>
                <w:szCs w:val="16"/>
              </w:rPr>
              <w:t xml:space="preserve">Sparse</w:t>
            </w:r>
          </w:p>
        </w:tc>
        <w:tc>
          <w:tcPr>
            <w:tcW w:type="dxa" w:w="1650"/>
            <w:tcBorders>
              <w:top w:val="none" w:color="FFFFFF" w:sz="0"/>
              <w:left w:val="none" w:color="FFFFFF" w:sz="0"/>
              <w:bottom w:val="none" w:color="FFFFFF" w:sz="0"/>
              <w:right w:val="none" w:color="FFFFFF" w:sz="0"/>
            </w:tcBorders>
            <w:shd w:fill="D9D9D9"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6"/>
                <w:szCs w:val="16"/>
              </w:rPr>
              <w:t xml:space="preserve">Dense</w:t>
            </w:r>
          </w:p>
        </w:tc>
      </w:tr>
      <w:tr>
        <w:tc>
          <w:tcPr>
            <w:tcW w:type="dxa" w:w="276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6"/>
                <w:szCs w:val="16"/>
              </w:rPr>
              <w:t xml:space="preserve">Water (n=1,480)</w:t>
            </w:r>
          </w:p>
        </w:tc>
        <w:tc>
          <w:tcPr>
            <w:tcW w:type="dxa" w:w="16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1,105</w:t>
            </w:r>
          </w:p>
        </w:tc>
        <w:tc>
          <w:tcPr>
            <w:tcW w:type="dxa" w:w="16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29</w:t>
            </w:r>
          </w:p>
        </w:tc>
        <w:tc>
          <w:tcPr>
            <w:tcW w:type="dxa" w:w="16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294</w:t>
            </w:r>
          </w:p>
        </w:tc>
        <w:tc>
          <w:tcPr>
            <w:tcW w:type="dxa" w:w="16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52</w:t>
            </w:r>
          </w:p>
        </w:tc>
      </w:tr>
      <w:tr>
        <w:tc>
          <w:tcPr>
            <w:tcW w:type="dxa" w:w="276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6"/>
                <w:szCs w:val="16"/>
              </w:rPr>
              <w:t xml:space="preserve">Non-vegetated (n=2,779)</w:t>
            </w:r>
          </w:p>
        </w:tc>
        <w:tc>
          <w:tcPr>
            <w:tcW w:type="dxa" w:w="16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158</w:t>
            </w:r>
          </w:p>
        </w:tc>
        <w:tc>
          <w:tcPr>
            <w:tcW w:type="dxa" w:w="16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19</w:t>
            </w:r>
          </w:p>
        </w:tc>
        <w:tc>
          <w:tcPr>
            <w:tcW w:type="dxa" w:w="16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2,249</w:t>
            </w:r>
          </w:p>
        </w:tc>
        <w:tc>
          <w:tcPr>
            <w:tcW w:type="dxa" w:w="16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353</w:t>
            </w:r>
          </w:p>
        </w:tc>
      </w:tr>
      <w:tr>
        <w:tc>
          <w:tcPr>
            <w:tcW w:type="dxa" w:w="276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6"/>
                <w:szCs w:val="16"/>
              </w:rPr>
              <w:t xml:space="preserve">Sparse veg. (n=10,615)</w:t>
            </w:r>
          </w:p>
        </w:tc>
        <w:tc>
          <w:tcPr>
            <w:tcW w:type="dxa" w:w="16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121</w:t>
            </w:r>
          </w:p>
        </w:tc>
        <w:tc>
          <w:tcPr>
            <w:tcW w:type="dxa" w:w="16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15</w:t>
            </w:r>
          </w:p>
        </w:tc>
        <w:tc>
          <w:tcPr>
            <w:tcW w:type="dxa" w:w="16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5,682</w:t>
            </w:r>
          </w:p>
        </w:tc>
        <w:tc>
          <w:tcPr>
            <w:tcW w:type="dxa" w:w="16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4,797</w:t>
            </w:r>
          </w:p>
        </w:tc>
      </w:tr>
      <w:tr>
        <w:tc>
          <w:tcPr>
            <w:tcW w:type="dxa" w:w="276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6"/>
                <w:szCs w:val="16"/>
              </w:rPr>
              <w:t xml:space="preserve">Dense veg. (n=30,395)</w:t>
            </w:r>
          </w:p>
        </w:tc>
        <w:tc>
          <w:tcPr>
            <w:tcW w:type="dxa" w:w="16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53</w:t>
            </w:r>
          </w:p>
        </w:tc>
        <w:tc>
          <w:tcPr>
            <w:tcW w:type="dxa" w:w="16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6</w:t>
            </w:r>
          </w:p>
        </w:tc>
        <w:tc>
          <w:tcPr>
            <w:tcW w:type="dxa" w:w="16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2,975</w:t>
            </w:r>
          </w:p>
        </w:tc>
        <w:tc>
          <w:tcPr>
            <w:tcW w:type="dxa" w:w="16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27,361</w:t>
            </w:r>
          </w:p>
        </w:tc>
      </w:tr>
    </w:tbl>
    <w:p>
      <w:pPr>
        <w:spacing w:after="20" w:before="200"/>
        <w:jc w:val="left"/>
      </w:pPr>
      <w:r>
        <w:rPr>
          <w:rFonts w:ascii="Times New Roman" w:cs="Times New Roman" w:eastAsia="Times New Roman" w:hAnsi="Times New Roman"/>
          <w:sz w:val="16"/>
          <w:szCs w:val="16"/>
        </w:rPr>
        <w:t xml:space="preserve">TABLE 8</w:t>
      </w:r>
    </w:p>
    <w:p>
      <w:pPr>
        <w:spacing w:after="100"/>
        <w:jc w:val="left"/>
      </w:pPr>
      <w:r>
        <w:rPr>
          <w:rFonts w:ascii="Times New Roman" w:cs="Times New Roman" w:eastAsia="Times New Roman" w:hAnsi="Times New Roman"/>
          <w:caps/>
          <w:sz w:val="16"/>
          <w:szCs w:val="16"/>
        </w:rPr>
        <w:t xml:space="preserve">CONVLSTM HOLD-OUT: PRODUCER'S / USER'S ACCURACY</w:t>
      </w:r>
    </w:p>
    <w:tbl>
      <w:tblPr>
        <w:tblW w:type="dxa" w:w="9060"/>
        <w:tblBorders>
          <w:top w:val="single" w:color="000000" w:sz="8"/>
          <w:left w:val="none" w:color="FFFFFF" w:sz="0"/>
          <w:bottom w:val="single" w:color="000000" w:sz="8"/>
          <w:right w:val="none" w:color="FFFFFF" w:sz="0"/>
          <w:insideH w:val="none" w:color="FFFFFF" w:sz="0"/>
          <w:insideV w:val="none" w:color="FFFFFF" w:sz="0"/>
        </w:tblBorders>
      </w:tblPr>
      <w:tblGrid>
        <w:gridCol w:w="3600"/>
        <w:gridCol w:w="2730"/>
        <w:gridCol w:w="2730"/>
      </w:tblGrid>
      <w:tr>
        <w:trPr>
          <w:tblHeader/>
        </w:trPr>
        <w:tc>
          <w:tcPr>
            <w:tcW w:type="dxa" w:w="3600"/>
            <w:tcBorders>
              <w:top w:val="none" w:color="FFFFFF" w:sz="0"/>
              <w:left w:val="none" w:color="FFFFFF" w:sz="0"/>
              <w:bottom w:val="none" w:color="FFFFFF" w:sz="0"/>
              <w:right w:val="none" w:color="FFFFFF" w:sz="0"/>
            </w:tcBorders>
            <w:shd w:fill="D9D9D9"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6"/>
                <w:szCs w:val="16"/>
              </w:rPr>
              <w:t xml:space="preserve">Class</w:t>
            </w:r>
          </w:p>
        </w:tc>
        <w:tc>
          <w:tcPr>
            <w:tcW w:type="dxa" w:w="2730"/>
            <w:tcBorders>
              <w:top w:val="none" w:color="FFFFFF" w:sz="0"/>
              <w:left w:val="none" w:color="FFFFFF" w:sz="0"/>
              <w:bottom w:val="none" w:color="FFFFFF" w:sz="0"/>
              <w:right w:val="none" w:color="FFFFFF" w:sz="0"/>
            </w:tcBorders>
            <w:shd w:fill="D9D9D9"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6"/>
                <w:szCs w:val="16"/>
              </w:rPr>
              <w:t xml:space="preserve">PA</w:t>
            </w:r>
          </w:p>
        </w:tc>
        <w:tc>
          <w:tcPr>
            <w:tcW w:type="dxa" w:w="2730"/>
            <w:tcBorders>
              <w:top w:val="none" w:color="FFFFFF" w:sz="0"/>
              <w:left w:val="none" w:color="FFFFFF" w:sz="0"/>
              <w:bottom w:val="none" w:color="FFFFFF" w:sz="0"/>
              <w:right w:val="none" w:color="FFFFFF" w:sz="0"/>
            </w:tcBorders>
            <w:shd w:fill="D9D9D9"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6"/>
                <w:szCs w:val="16"/>
              </w:rPr>
              <w:t xml:space="preserve">UA</w:t>
            </w:r>
          </w:p>
        </w:tc>
      </w:tr>
      <w:tr>
        <w:tc>
          <w:tcPr>
            <w:tcW w:type="dxa" w:w="36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6"/>
                <w:szCs w:val="16"/>
              </w:rPr>
              <w:t xml:space="preserve">Water</w:t>
            </w:r>
          </w:p>
        </w:tc>
        <w:tc>
          <w:tcPr>
            <w:tcW w:type="dxa" w:w="273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74.7%</w:t>
            </w:r>
          </w:p>
        </w:tc>
        <w:tc>
          <w:tcPr>
            <w:tcW w:type="dxa" w:w="273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76.9%</w:t>
            </w:r>
          </w:p>
        </w:tc>
      </w:tr>
      <w:tr>
        <w:tc>
          <w:tcPr>
            <w:tcW w:type="dxa" w:w="36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6"/>
                <w:szCs w:val="16"/>
              </w:rPr>
              <w:t xml:space="preserve">Non-vegetated</w:t>
            </w:r>
          </w:p>
        </w:tc>
        <w:tc>
          <w:tcPr>
            <w:tcW w:type="dxa" w:w="273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0.7%</w:t>
            </w:r>
          </w:p>
        </w:tc>
        <w:tc>
          <w:tcPr>
            <w:tcW w:type="dxa" w:w="273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27.5%</w:t>
            </w:r>
          </w:p>
        </w:tc>
      </w:tr>
      <w:tr>
        <w:tc>
          <w:tcPr>
            <w:tcW w:type="dxa" w:w="36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6"/>
                <w:szCs w:val="16"/>
              </w:rPr>
              <w:t xml:space="preserve">Sparse vegetation</w:t>
            </w:r>
          </w:p>
        </w:tc>
        <w:tc>
          <w:tcPr>
            <w:tcW w:type="dxa" w:w="273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53.5%</w:t>
            </w:r>
          </w:p>
        </w:tc>
        <w:tc>
          <w:tcPr>
            <w:tcW w:type="dxa" w:w="273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50.7%</w:t>
            </w:r>
          </w:p>
        </w:tc>
      </w:tr>
      <w:tr>
        <w:tc>
          <w:tcPr>
            <w:tcW w:type="dxa" w:w="36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6"/>
                <w:szCs w:val="16"/>
              </w:rPr>
              <w:t xml:space="preserve">Dense vegetation</w:t>
            </w:r>
          </w:p>
        </w:tc>
        <w:tc>
          <w:tcPr>
            <w:tcW w:type="dxa" w:w="273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90.0%</w:t>
            </w:r>
          </w:p>
        </w:tc>
        <w:tc>
          <w:tcPr>
            <w:tcW w:type="dxa" w:w="273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84.0%</w:t>
            </w:r>
          </w:p>
        </w:tc>
      </w:tr>
    </w:tbl>
    <w:p>
      <w:pPr>
        <w:spacing w:after="120" w:line="252"/>
        <w:ind w:firstLine="204"/>
        <w:jc w:val="both"/>
      </w:pPr>
      <w:r>
        <w:rPr>
          <w:rFonts w:ascii="Times New Roman" w:cs="Times New Roman" w:eastAsia="Times New Roman" w:hAnsi="Times New Roman"/>
          <w:sz w:val="20"/>
          <w:szCs w:val="20"/>
        </w:rPr>
        <w:t xml:space="preserve">Of 2,779 actual Non-vegetated test pixels, the model correctly labeled only 19 (PA = 0.68%); 2,249 were misclassified as Sparse vegetation. Projected forward from real 2022–2024 input, the 2025 ConvLSTM forecast for Non-vegetated land was 42.9 km².</w:t>
      </w:r>
    </w:p>
    <w:p>
      <w:pPr>
        <w:keepNext/>
        <w:spacing w:after="100" w:before="200"/>
        <w:ind w:firstLine="204"/>
        <w:jc w:val="left"/>
      </w:pPr>
      <w:r>
        <w:rPr>
          <w:rFonts w:ascii="Times New Roman" w:cs="Times New Roman" w:eastAsia="Times New Roman" w:hAnsi="Times New Roman"/>
          <w:b/>
          <w:bCs/>
          <w:i/>
          <w:iCs/>
          <w:sz w:val="20"/>
          <w:szCs w:val="20"/>
        </w:rPr>
        <w:t xml:space="preserve">E. </w:t>
      </w:r>
      <w:r>
        <w:rPr>
          <w:rFonts w:ascii="Times New Roman" w:cs="Times New Roman" w:eastAsia="Times New Roman" w:hAnsi="Times New Roman"/>
          <w:b/>
          <w:bCs/>
          <w:i/>
          <w:iCs/>
          <w:sz w:val="20"/>
          <w:szCs w:val="20"/>
        </w:rPr>
        <w:t xml:space="preserve">Model Comparison</w:t>
      </w:r>
    </w:p>
    <w:p>
      <w:pPr>
        <w:spacing w:after="120" w:line="252"/>
        <w:ind w:firstLine="204"/>
        <w:jc w:val="both"/>
      </w:pPr>
      <w:r>
        <w:rPr>
          <w:rFonts w:ascii="Times New Roman" w:cs="Times New Roman" w:eastAsia="Times New Roman" w:hAnsi="Times New Roman"/>
          <w:sz w:val="20"/>
          <w:szCs w:val="20"/>
        </w:rPr>
        <w:t xml:space="preserve">Table 9 compares the two models' 2025 projected areas.</w:t>
      </w:r>
    </w:p>
    <w:p>
      <w:pPr>
        <w:spacing w:after="20" w:before="200"/>
        <w:jc w:val="left"/>
      </w:pPr>
      <w:r>
        <w:rPr>
          <w:rFonts w:ascii="Times New Roman" w:cs="Times New Roman" w:eastAsia="Times New Roman" w:hAnsi="Times New Roman"/>
          <w:sz w:val="16"/>
          <w:szCs w:val="16"/>
        </w:rPr>
        <w:t xml:space="preserve">TABLE 9</w:t>
      </w:r>
    </w:p>
    <w:p>
      <w:pPr>
        <w:spacing w:after="100"/>
        <w:jc w:val="left"/>
      </w:pPr>
      <w:r>
        <w:rPr>
          <w:rFonts w:ascii="Times New Roman" w:cs="Times New Roman" w:eastAsia="Times New Roman" w:hAnsi="Times New Roman"/>
          <w:caps/>
          <w:sz w:val="16"/>
          <w:szCs w:val="16"/>
        </w:rPr>
        <w:t xml:space="preserve">CA–MARKOV VS. CONVLSTM: PROJECTED 2025 LAND COVER</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3300"/>
        <w:gridCol w:w="2050"/>
        <w:gridCol w:w="2050"/>
        <w:gridCol w:w="1960"/>
      </w:tblGrid>
      <w:tr>
        <w:trPr>
          <w:tblHeader/>
        </w:trPr>
        <w:tc>
          <w:tcPr>
            <w:tcW w:type="dxa" w:w="3300"/>
            <w:tcBorders>
              <w:top w:val="none" w:color="FFFFFF" w:sz="0"/>
              <w:left w:val="none" w:color="FFFFFF" w:sz="0"/>
              <w:bottom w:val="none" w:color="FFFFFF" w:sz="0"/>
              <w:right w:val="none" w:color="FFFFFF" w:sz="0"/>
            </w:tcBorders>
            <w:shd w:fill="D9D9D9"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6"/>
                <w:szCs w:val="16"/>
              </w:rPr>
              <w:t xml:space="preserve">Class</w:t>
            </w:r>
          </w:p>
        </w:tc>
        <w:tc>
          <w:tcPr>
            <w:tcW w:type="dxa" w:w="2050"/>
            <w:tcBorders>
              <w:top w:val="none" w:color="FFFFFF" w:sz="0"/>
              <w:left w:val="none" w:color="FFFFFF" w:sz="0"/>
              <w:bottom w:val="none" w:color="FFFFFF" w:sz="0"/>
              <w:right w:val="none" w:color="FFFFFF" w:sz="0"/>
            </w:tcBorders>
            <w:shd w:fill="D9D9D9"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6"/>
                <w:szCs w:val="16"/>
              </w:rPr>
              <w:t xml:space="preserve">CA–Markov (km²)</w:t>
            </w:r>
          </w:p>
        </w:tc>
        <w:tc>
          <w:tcPr>
            <w:tcW w:type="dxa" w:w="2050"/>
            <w:tcBorders>
              <w:top w:val="none" w:color="FFFFFF" w:sz="0"/>
              <w:left w:val="none" w:color="FFFFFF" w:sz="0"/>
              <w:bottom w:val="none" w:color="FFFFFF" w:sz="0"/>
              <w:right w:val="none" w:color="FFFFFF" w:sz="0"/>
            </w:tcBorders>
            <w:shd w:fill="D9D9D9"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6"/>
                <w:szCs w:val="16"/>
              </w:rPr>
              <w:t xml:space="preserve">ConvLSTM (km²)</w:t>
            </w:r>
          </w:p>
        </w:tc>
        <w:tc>
          <w:tcPr>
            <w:tcW w:type="dxa" w:w="1960"/>
            <w:tcBorders>
              <w:top w:val="none" w:color="FFFFFF" w:sz="0"/>
              <w:left w:val="none" w:color="FFFFFF" w:sz="0"/>
              <w:bottom w:val="none" w:color="FFFFFF" w:sz="0"/>
              <w:right w:val="none" w:color="FFFFFF" w:sz="0"/>
            </w:tcBorders>
            <w:shd w:fill="D9D9D9"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6"/>
                <w:szCs w:val="16"/>
              </w:rPr>
              <w:t xml:space="preserve">Ratio</w:t>
            </w:r>
          </w:p>
        </w:tc>
      </w:tr>
      <w:tr>
        <w:tc>
          <w:tcPr>
            <w:tcW w:type="dxa" w:w="33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6"/>
                <w:szCs w:val="16"/>
              </w:rPr>
              <w:t xml:space="preserve">Water</w:t>
            </w:r>
          </w:p>
        </w:tc>
        <w:tc>
          <w:tcPr>
            <w:tcW w:type="dxa" w:w="20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1,203.0</w:t>
            </w:r>
          </w:p>
        </w:tc>
        <w:tc>
          <w:tcPr>
            <w:tcW w:type="dxa" w:w="20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1,161.0</w:t>
            </w:r>
          </w:p>
        </w:tc>
        <w:tc>
          <w:tcPr>
            <w:tcW w:type="dxa" w:w="196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0.97</w:t>
            </w:r>
          </w:p>
        </w:tc>
      </w:tr>
      <w:tr>
        <w:tc>
          <w:tcPr>
            <w:tcW w:type="dxa" w:w="33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6"/>
                <w:szCs w:val="16"/>
              </w:rPr>
              <w:t xml:space="preserve">Non-vegetated</w:t>
            </w:r>
          </w:p>
        </w:tc>
        <w:tc>
          <w:tcPr>
            <w:tcW w:type="dxa" w:w="20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2,557.9</w:t>
            </w:r>
          </w:p>
        </w:tc>
        <w:tc>
          <w:tcPr>
            <w:tcW w:type="dxa" w:w="20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42.9</w:t>
            </w:r>
          </w:p>
        </w:tc>
        <w:tc>
          <w:tcPr>
            <w:tcW w:type="dxa" w:w="196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0.017</w:t>
            </w:r>
          </w:p>
        </w:tc>
      </w:tr>
      <w:tr>
        <w:tc>
          <w:tcPr>
            <w:tcW w:type="dxa" w:w="33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6"/>
                <w:szCs w:val="16"/>
              </w:rPr>
              <w:t xml:space="preserve">Sparse vegetation</w:t>
            </w:r>
          </w:p>
        </w:tc>
        <w:tc>
          <w:tcPr>
            <w:tcW w:type="dxa" w:w="20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8,051.2</w:t>
            </w:r>
          </w:p>
        </w:tc>
        <w:tc>
          <w:tcPr>
            <w:tcW w:type="dxa" w:w="20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8,129.5</w:t>
            </w:r>
          </w:p>
        </w:tc>
        <w:tc>
          <w:tcPr>
            <w:tcW w:type="dxa" w:w="196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1.01</w:t>
            </w:r>
          </w:p>
        </w:tc>
      </w:tr>
      <w:tr>
        <w:tc>
          <w:tcPr>
            <w:tcW w:type="dxa" w:w="33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6"/>
                <w:szCs w:val="16"/>
              </w:rPr>
              <w:t xml:space="preserve">Dense vegetation</w:t>
            </w:r>
          </w:p>
        </w:tc>
        <w:tc>
          <w:tcPr>
            <w:tcW w:type="dxa" w:w="20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23,710.1</w:t>
            </w:r>
          </w:p>
        </w:tc>
        <w:tc>
          <w:tcPr>
            <w:tcW w:type="dxa" w:w="20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26,252.7</w:t>
            </w:r>
          </w:p>
        </w:tc>
        <w:tc>
          <w:tcPr>
            <w:tcW w:type="dxa" w:w="196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1.11</w:t>
            </w:r>
          </w:p>
        </w:tc>
      </w:tr>
    </w:tbl>
    <w:p>
      <w:pPr>
        <w:keepNext/>
        <w:spacing w:after="100" w:before="200"/>
        <w:ind w:firstLine="204"/>
        <w:jc w:val="left"/>
      </w:pPr>
      <w:r>
        <w:rPr>
          <w:rFonts w:ascii="Times New Roman" w:cs="Times New Roman" w:eastAsia="Times New Roman" w:hAnsi="Times New Roman"/>
          <w:b/>
          <w:bCs/>
          <w:i/>
          <w:iCs/>
          <w:sz w:val="20"/>
          <w:szCs w:val="20"/>
        </w:rPr>
        <w:t xml:space="preserve">F. </w:t>
      </w:r>
      <w:r>
        <w:rPr>
          <w:rFonts w:ascii="Times New Roman" w:cs="Times New Roman" w:eastAsia="Times New Roman" w:hAnsi="Times New Roman"/>
          <w:b/>
          <w:bCs/>
          <w:i/>
          <w:iCs/>
          <w:sz w:val="20"/>
          <w:szCs w:val="20"/>
        </w:rPr>
        <w:t xml:space="preserve">Diagnosing the ConvLSTM Collapse</w:t>
      </w:r>
    </w:p>
    <w:p>
      <w:pPr>
        <w:spacing w:after="120" w:line="252"/>
        <w:ind w:firstLine="204"/>
        <w:jc w:val="both"/>
      </w:pPr>
      <w:r>
        <w:rPr>
          <w:rFonts w:ascii="Times New Roman" w:cs="Times New Roman" w:eastAsia="Times New Roman" w:hAnsi="Times New Roman"/>
          <w:sz w:val="20"/>
          <w:szCs w:val="20"/>
        </w:rPr>
        <w:t xml:space="preserve">A label-downsampling check (Section III-H) found that the nearest-neighbor subsampling ConvLSTM's pipeline uses was not the source of the collapse: at the 300×233 training grid, it retained a larger Non-vegetated share (6.10%) than majority-vote downsampling (4.15%) or NDVI-reclassification (3.50%), against a native-grid reference share of 6.21%. The collapse was not a label-preparation artifact.</w:t>
      </w:r>
    </w:p>
    <w:p>
      <w:pPr>
        <w:spacing w:after="120" w:line="252"/>
        <w:ind w:firstLine="204"/>
        <w:jc w:val="both"/>
      </w:pPr>
      <w:r>
        <w:rPr>
          <w:rFonts w:ascii="Times New Roman" w:cs="Times New Roman" w:eastAsia="Times New Roman" w:hAnsi="Times New Roman"/>
          <w:sz w:val="20"/>
          <w:szCs w:val="20"/>
        </w:rPr>
        <w:t xml:space="preserve">Re-running the CA–Markov procedure at ConvLSTM's own 300×233 grid, however, showed CA–Markov degrading sharply on the same class:</w:t>
      </w:r>
    </w:p>
    <w:p>
      <w:pPr>
        <w:spacing w:after="20" w:before="200"/>
        <w:jc w:val="left"/>
      </w:pPr>
      <w:r>
        <w:rPr>
          <w:rFonts w:ascii="Times New Roman" w:cs="Times New Roman" w:eastAsia="Times New Roman" w:hAnsi="Times New Roman"/>
          <w:sz w:val="16"/>
          <w:szCs w:val="16"/>
        </w:rPr>
        <w:t xml:space="preserve">TABLE 10</w:t>
      </w:r>
    </w:p>
    <w:p>
      <w:pPr>
        <w:spacing w:after="100"/>
        <w:jc w:val="left"/>
      </w:pPr>
      <w:r>
        <w:rPr>
          <w:rFonts w:ascii="Times New Roman" w:cs="Times New Roman" w:eastAsia="Times New Roman" w:hAnsi="Times New Roman"/>
          <w:caps/>
          <w:sz w:val="16"/>
          <w:szCs w:val="16"/>
        </w:rPr>
        <w:t xml:space="preserve">CA–MARKOV AT NATIVE VS. COARSE (300×233) RESOLUTION</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3200"/>
        <w:gridCol w:w="2350"/>
        <w:gridCol w:w="2350"/>
        <w:gridCol w:w="1460"/>
      </w:tblGrid>
      <w:tr>
        <w:trPr>
          <w:tblHeader/>
        </w:trPr>
        <w:tc>
          <w:tcPr>
            <w:tcW w:type="dxa" w:w="3200"/>
            <w:tcBorders>
              <w:top w:val="none" w:color="FFFFFF" w:sz="0"/>
              <w:left w:val="none" w:color="FFFFFF" w:sz="0"/>
              <w:bottom w:val="none" w:color="FFFFFF" w:sz="0"/>
              <w:right w:val="none" w:color="FFFFFF" w:sz="0"/>
            </w:tcBorders>
            <w:shd w:fill="D9D9D9"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6"/>
                <w:szCs w:val="16"/>
              </w:rPr>
              <w:t xml:space="preserve">Metric</w:t>
            </w:r>
          </w:p>
        </w:tc>
        <w:tc>
          <w:tcPr>
            <w:tcW w:type="dxa" w:w="2350"/>
            <w:tcBorders>
              <w:top w:val="none" w:color="FFFFFF" w:sz="0"/>
              <w:left w:val="none" w:color="FFFFFF" w:sz="0"/>
              <w:bottom w:val="none" w:color="FFFFFF" w:sz="0"/>
              <w:right w:val="none" w:color="FFFFFF" w:sz="0"/>
            </w:tcBorders>
            <w:shd w:fill="D9D9D9"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6"/>
                <w:szCs w:val="16"/>
              </w:rPr>
              <w:t xml:space="preserve">Native grid (Table 6)</w:t>
            </w:r>
          </w:p>
        </w:tc>
        <w:tc>
          <w:tcPr>
            <w:tcW w:type="dxa" w:w="2350"/>
            <w:tcBorders>
              <w:top w:val="none" w:color="FFFFFF" w:sz="0"/>
              <w:left w:val="none" w:color="FFFFFF" w:sz="0"/>
              <w:bottom w:val="none" w:color="FFFFFF" w:sz="0"/>
              <w:right w:val="none" w:color="FFFFFF" w:sz="0"/>
            </w:tcBorders>
            <w:shd w:fill="D9D9D9"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6"/>
                <w:szCs w:val="16"/>
              </w:rPr>
              <w:t xml:space="preserve">Coarse grid</w:t>
            </w:r>
          </w:p>
        </w:tc>
        <w:tc>
          <w:tcPr>
            <w:tcW w:type="dxa" w:w="1460"/>
            <w:tcBorders>
              <w:top w:val="none" w:color="FFFFFF" w:sz="0"/>
              <w:left w:val="none" w:color="FFFFFF" w:sz="0"/>
              <w:bottom w:val="none" w:color="FFFFFF" w:sz="0"/>
              <w:right w:val="none" w:color="FFFFFF" w:sz="0"/>
            </w:tcBorders>
            <w:shd w:fill="D9D9D9"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6"/>
                <w:szCs w:val="16"/>
              </w:rPr>
              <w:t xml:space="preserve"/>
            </w:r>
          </w:p>
        </w:tc>
      </w:tr>
      <w:tr>
        <w:tc>
          <w:tcPr>
            <w:tcW w:type="dxa" w:w="32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6"/>
                <w:szCs w:val="16"/>
              </w:rPr>
              <w:t xml:space="preserve">Overall Accuracy</w:t>
            </w:r>
          </w:p>
        </w:tc>
        <w:tc>
          <w:tcPr>
            <w:tcW w:type="dxa" w:w="23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68.29%</w:t>
            </w:r>
          </w:p>
        </w:tc>
        <w:tc>
          <w:tcPr>
            <w:tcW w:type="dxa" w:w="23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72.16%</w:t>
            </w:r>
          </w:p>
        </w:tc>
        <w:tc>
          <w:tcPr>
            <w:tcW w:type="dxa" w:w="146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
            </w:r>
          </w:p>
        </w:tc>
      </w:tr>
      <w:tr>
        <w:tc>
          <w:tcPr>
            <w:tcW w:type="dxa" w:w="32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6"/>
                <w:szCs w:val="16"/>
              </w:rPr>
              <w:t xml:space="preserve">Kappa</w:t>
            </w:r>
          </w:p>
        </w:tc>
        <w:tc>
          <w:tcPr>
            <w:tcW w:type="dxa" w:w="23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0.3819</w:t>
            </w:r>
          </w:p>
        </w:tc>
        <w:tc>
          <w:tcPr>
            <w:tcW w:type="dxa" w:w="23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0.4257</w:t>
            </w:r>
          </w:p>
        </w:tc>
        <w:tc>
          <w:tcPr>
            <w:tcW w:type="dxa" w:w="146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
            </w:r>
          </w:p>
        </w:tc>
      </w:tr>
      <w:tr>
        <w:tc>
          <w:tcPr>
            <w:tcW w:type="dxa" w:w="32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6"/>
                <w:szCs w:val="16"/>
              </w:rPr>
              <w:t xml:space="preserve">PA — Non-vegetated</w:t>
            </w:r>
          </w:p>
        </w:tc>
        <w:tc>
          <w:tcPr>
            <w:tcW w:type="dxa" w:w="23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44.2%</w:t>
            </w:r>
          </w:p>
        </w:tc>
        <w:tc>
          <w:tcPr>
            <w:tcW w:type="dxa" w:w="23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8.4%</w:t>
            </w:r>
          </w:p>
        </w:tc>
        <w:tc>
          <w:tcPr>
            <w:tcW w:type="dxa" w:w="146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
            </w:r>
          </w:p>
        </w:tc>
      </w:tr>
      <w:tr>
        <w:tc>
          <w:tcPr>
            <w:tcW w:type="dxa" w:w="32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6"/>
                <w:szCs w:val="16"/>
              </w:rPr>
              <w:t xml:space="preserve">PA — Dense vegetation</w:t>
            </w:r>
          </w:p>
        </w:tc>
        <w:tc>
          <w:tcPr>
            <w:tcW w:type="dxa" w:w="23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79.2%</w:t>
            </w:r>
          </w:p>
        </w:tc>
        <w:tc>
          <w:tcPr>
            <w:tcW w:type="dxa" w:w="23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82.9%</w:t>
            </w:r>
          </w:p>
        </w:tc>
        <w:tc>
          <w:tcPr>
            <w:tcW w:type="dxa" w:w="146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
            </w:r>
          </w:p>
        </w:tc>
      </w:tr>
    </w:tbl>
    <w:p>
      <w:pPr>
        <w:spacing w:after="120" w:line="252"/>
        <w:ind w:firstLine="204"/>
        <w:jc w:val="both"/>
      </w:pPr>
      <w:r>
        <w:rPr>
          <w:rFonts w:ascii="Times New Roman" w:cs="Times New Roman" w:eastAsia="Times New Roman" w:hAnsi="Times New Roman"/>
          <w:sz w:val="20"/>
          <w:szCs w:val="20"/>
        </w:rPr>
        <w:t xml:space="preserve">CA–Markov's Non-vegetated Producer's Accuracy fell from 44.2% at native resolution to 8.4% at the coarse grid — comparable in direction, if not fully in magnitude, to ConvLSTM's own collapse at that same resolution (Table 8). The resolution mismatch between the two models in the original comparison was therefore a genuine confound, not merely a theoretical concern.</w:t>
      </w:r>
    </w:p>
    <w:p>
      <w:pPr>
        <w:spacing w:after="120" w:line="252"/>
        <w:ind w:firstLine="204"/>
        <w:jc w:val="both"/>
      </w:pPr>
      <w:r>
        <w:rPr>
          <w:rFonts w:ascii="Times New Roman" w:cs="Times New Roman" w:eastAsia="Times New Roman" w:hAnsi="Times New Roman"/>
          <w:sz w:val="20"/>
          <w:szCs w:val="20"/>
        </w:rPr>
        <w:t xml:space="preserve">Retraining ConvLSTM under four configurations, five seeds each, isolated the remaining cause:</w:t>
      </w:r>
    </w:p>
    <w:p>
      <w:pPr>
        <w:spacing w:after="20" w:before="200"/>
        <w:jc w:val="left"/>
      </w:pPr>
      <w:r>
        <w:rPr>
          <w:rFonts w:ascii="Times New Roman" w:cs="Times New Roman" w:eastAsia="Times New Roman" w:hAnsi="Times New Roman"/>
          <w:sz w:val="16"/>
          <w:szCs w:val="16"/>
        </w:rPr>
        <w:t xml:space="preserve">TABLE 11</w:t>
      </w:r>
    </w:p>
    <w:p>
      <w:pPr>
        <w:spacing w:after="100"/>
        <w:jc w:val="left"/>
      </w:pPr>
      <w:r>
        <w:rPr>
          <w:rFonts w:ascii="Times New Roman" w:cs="Times New Roman" w:eastAsia="Times New Roman" w:hAnsi="Times New Roman"/>
          <w:caps/>
          <w:sz w:val="16"/>
          <w:szCs w:val="16"/>
        </w:rPr>
        <w:t xml:space="preserve">CONVLSTM RETRAIN ABLATION (MEAN ± SD, 5 SEEDS)</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3400"/>
        <w:gridCol w:w="2000"/>
        <w:gridCol w:w="2000"/>
        <w:gridCol w:w="1960"/>
      </w:tblGrid>
      <w:tr>
        <w:trPr>
          <w:tblHeader/>
        </w:trPr>
        <w:tc>
          <w:tcPr>
            <w:tcW w:type="dxa" w:w="3400"/>
            <w:tcBorders>
              <w:top w:val="none" w:color="FFFFFF" w:sz="0"/>
              <w:left w:val="none" w:color="FFFFFF" w:sz="0"/>
              <w:bottom w:val="none" w:color="FFFFFF" w:sz="0"/>
              <w:right w:val="none" w:color="FFFFFF" w:sz="0"/>
            </w:tcBorders>
            <w:shd w:fill="D9D9D9"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6"/>
                <w:szCs w:val="16"/>
              </w:rPr>
              <w:t xml:space="preserve">Configuration</w:t>
            </w:r>
          </w:p>
        </w:tc>
        <w:tc>
          <w:tcPr>
            <w:tcW w:type="dxa" w:w="2000"/>
            <w:tcBorders>
              <w:top w:val="none" w:color="FFFFFF" w:sz="0"/>
              <w:left w:val="none" w:color="FFFFFF" w:sz="0"/>
              <w:bottom w:val="none" w:color="FFFFFF" w:sz="0"/>
              <w:right w:val="none" w:color="FFFFFF" w:sz="0"/>
            </w:tcBorders>
            <w:shd w:fill="D9D9D9"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6"/>
                <w:szCs w:val="16"/>
              </w:rPr>
              <w:t xml:space="preserve">OA</w:t>
            </w:r>
          </w:p>
        </w:tc>
        <w:tc>
          <w:tcPr>
            <w:tcW w:type="dxa" w:w="2000"/>
            <w:tcBorders>
              <w:top w:val="none" w:color="FFFFFF" w:sz="0"/>
              <w:left w:val="none" w:color="FFFFFF" w:sz="0"/>
              <w:bottom w:val="none" w:color="FFFFFF" w:sz="0"/>
              <w:right w:val="none" w:color="FFFFFF" w:sz="0"/>
            </w:tcBorders>
            <w:shd w:fill="D9D9D9"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6"/>
                <w:szCs w:val="16"/>
              </w:rPr>
              <w:t xml:space="preserve">Kappa</w:t>
            </w:r>
          </w:p>
        </w:tc>
        <w:tc>
          <w:tcPr>
            <w:tcW w:type="dxa" w:w="1960"/>
            <w:tcBorders>
              <w:top w:val="none" w:color="FFFFFF" w:sz="0"/>
              <w:left w:val="none" w:color="FFFFFF" w:sz="0"/>
              <w:bottom w:val="none" w:color="FFFFFF" w:sz="0"/>
              <w:right w:val="none" w:color="FFFFFF" w:sz="0"/>
            </w:tcBorders>
            <w:shd w:fill="D9D9D9"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6"/>
                <w:szCs w:val="16"/>
              </w:rPr>
              <w:t xml:space="preserve">PA — Non-veg.</w:t>
            </w:r>
          </w:p>
        </w:tc>
      </w:tr>
      <w:tr>
        <w:tc>
          <w:tcPr>
            <w:tcW w:type="dxa" w:w="34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6"/>
                <w:szCs w:val="16"/>
              </w:rPr>
              <w:t xml:space="preserve">Baseline (original)</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75.16±0.48%</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0.445±0.027</w:t>
            </w:r>
          </w:p>
        </w:tc>
        <w:tc>
          <w:tcPr>
            <w:tcW w:type="dxa" w:w="196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2.58±3.06%</w:t>
            </w:r>
          </w:p>
        </w:tc>
      </w:tr>
      <w:tr>
        <w:tc>
          <w:tcPr>
            <w:tcW w:type="dxa" w:w="34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6"/>
                <w:szCs w:val="16"/>
              </w:rPr>
              <w:t xml:space="preserve">+ corrected label downsampling</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82.40±0.67%</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0.613±0.018</w:t>
            </w:r>
          </w:p>
        </w:tc>
        <w:tc>
          <w:tcPr>
            <w:tcW w:type="dxa" w:w="196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8.72±1.76%</w:t>
            </w:r>
          </w:p>
        </w:tc>
      </w:tr>
      <w:tr>
        <w:tc>
          <w:tcPr>
            <w:tcW w:type="dxa" w:w="34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6"/>
                <w:szCs w:val="16"/>
              </w:rPr>
              <w:t xml:space="preserve">+ class-weighted loss</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63.82±1.91%</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0.374±0.024</w:t>
            </w:r>
          </w:p>
        </w:tc>
        <w:tc>
          <w:tcPr>
            <w:tcW w:type="dxa" w:w="196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52.35±3.04%</w:t>
            </w:r>
          </w:p>
        </w:tc>
      </w:tr>
      <w:tr>
        <w:tc>
          <w:tcPr>
            <w:tcW w:type="dxa" w:w="34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6"/>
                <w:szCs w:val="16"/>
              </w:rPr>
              <w:t xml:space="preserve">+ both combined</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74.21±2.39%</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0.520±0.031</w:t>
            </w:r>
          </w:p>
        </w:tc>
        <w:tc>
          <w:tcPr>
            <w:tcW w:type="dxa" w:w="196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59.56±3.42%</w:t>
            </w:r>
          </w:p>
        </w:tc>
      </w:tr>
    </w:tbl>
    <w:p>
      <w:pPr>
        <w:spacing w:after="120" w:line="252"/>
        <w:ind w:firstLine="204"/>
        <w:jc w:val="both"/>
      </w:pPr>
      <w:r>
        <w:rPr>
          <w:rFonts w:ascii="Times New Roman" w:cs="Times New Roman" w:eastAsia="Times New Roman" w:hAnsi="Times New Roman"/>
          <w:sz w:val="20"/>
          <w:szCs w:val="20"/>
        </w:rPr>
        <w:t xml:space="preserve">The baseline collapse replicated closely across five independent seeds (mean PA = 2.58%, consistent with the single-run value of 0.68% reported in Section IV-D), confirming it is a systematic property of the unweighted training setup rather than a single unlucky run. Combining corrected label downsampling with inverse-frequency class-weighted cross-entropy loss recovered Non-vegetated Producer's Accuracy to 59.6% while Kappa improved to 0.52 — both values exceeding CA–Markov's own metrics at the same 300×233 resolution (Table 10: Kappa = 0.4257, PA = 8.4%).</w:t>
      </w:r>
    </w:p>
    <w:p>
      <w:pPr>
        <w:spacing w:after="120" w:line="252"/>
        <w:ind w:firstLine="204"/>
        <w:jc w:val="both"/>
      </w:pPr>
      <w:r>
        <w:rPr>
          <w:rFonts w:ascii="Times New Roman" w:cs="Times New Roman" w:eastAsia="Times New Roman" w:hAnsi="Times New Roman"/>
          <w:sz w:val="20"/>
          <w:szCs w:val="20"/>
        </w:rPr>
        <w:t xml:space="preserve">Bootstrap confidence intervals and McNemar's test, computed on the pixels where CA–Markov and ConvLSTM's ground-truth labels agreed (n = 37,845), confirmed that the original, unweighted ConvLSTM's Non-vegetated collapse relative to CA–Markov was statistically significant (McNemar χ² = 65.42, p = 5.55 × 10⁻¹⁶, restricted to n = 1,274 Non-vegetated ground-truth pixels), while ConvLSTM's overall OA at this resolution was itself significantly higher than CA–Markov's (85.64% [95% CI 85.28–85.98%] vs. 75.39% [74.96–75.84%]). This test used the original, unweighted ConvLSTM prediction; the fixed configuration was tested separately below.</w:t>
      </w:r>
    </w:p>
    <w:p>
      <w:pPr>
        <w:spacing w:after="120" w:line="252"/>
        <w:ind w:firstLine="204"/>
        <w:jc w:val="both"/>
      </w:pPr>
      <w:r>
        <w:rPr>
          <w:rFonts w:ascii="Times New Roman" w:cs="Times New Roman" w:eastAsia="Times New Roman" w:hAnsi="Times New Roman"/>
          <w:sz w:val="20"/>
          <w:szCs w:val="20"/>
        </w:rPr>
        <w:t xml:space="preserve">The fifth experiment repeated this significance test against the fixed (class-weighted, label-corrected) ConvLSTM, once per seed, on the pixels where CA–Markov and the fixed ConvLSTM's ground-truth labels agreed (n = 41,475 per seed):</w:t>
      </w:r>
    </w:p>
    <w:p>
      <w:pPr>
        <w:spacing w:after="20" w:before="200"/>
        <w:jc w:val="left"/>
      </w:pPr>
      <w:r>
        <w:rPr>
          <w:rFonts w:ascii="Times New Roman" w:cs="Times New Roman" w:eastAsia="Times New Roman" w:hAnsi="Times New Roman"/>
          <w:sz w:val="16"/>
          <w:szCs w:val="16"/>
        </w:rPr>
        <w:t xml:space="preserve">TABLE 12</w:t>
      </w:r>
    </w:p>
    <w:p>
      <w:pPr>
        <w:spacing w:after="100"/>
        <w:jc w:val="left"/>
      </w:pPr>
      <w:r>
        <w:rPr>
          <w:rFonts w:ascii="Times New Roman" w:cs="Times New Roman" w:eastAsia="Times New Roman" w:hAnsi="Times New Roman"/>
          <w:caps/>
          <w:sz w:val="16"/>
          <w:szCs w:val="16"/>
        </w:rPr>
        <w:t xml:space="preserve">CA–MARKOV VS. FIXED CONVLSTM: 5-SEED SIGNIFICANCE SUMMARY</w:t>
      </w:r>
    </w:p>
    <w:tbl>
      <w:tblPr>
        <w:tblW w:type="dxa" w:w="9200"/>
        <w:tblBorders>
          <w:top w:val="single" w:color="000000" w:sz="8"/>
          <w:left w:val="none" w:color="FFFFFF" w:sz="0"/>
          <w:bottom w:val="single" w:color="000000" w:sz="8"/>
          <w:right w:val="none" w:color="FFFFFF" w:sz="0"/>
          <w:insideH w:val="none" w:color="FFFFFF" w:sz="0"/>
          <w:insideV w:val="none" w:color="FFFFFF" w:sz="0"/>
        </w:tblBorders>
      </w:tblPr>
      <w:tblGrid>
        <w:gridCol w:w="1100"/>
        <w:gridCol w:w="1600"/>
        <w:gridCol w:w="1600"/>
        <w:gridCol w:w="1700"/>
        <w:gridCol w:w="1700"/>
        <w:gridCol w:w="1500"/>
      </w:tblGrid>
      <w:tr>
        <w:trPr>
          <w:tblHeader/>
        </w:trPr>
        <w:tc>
          <w:tcPr>
            <w:tcW w:type="dxa" w:w="1100"/>
            <w:tcBorders>
              <w:top w:val="none" w:color="FFFFFF" w:sz="0"/>
              <w:left w:val="none" w:color="FFFFFF" w:sz="0"/>
              <w:bottom w:val="none" w:color="FFFFFF" w:sz="0"/>
              <w:right w:val="none" w:color="FFFFFF" w:sz="0"/>
            </w:tcBorders>
            <w:shd w:fill="D9D9D9"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6"/>
                <w:szCs w:val="16"/>
              </w:rPr>
              <w:t xml:space="preserve">Seed</w:t>
            </w:r>
          </w:p>
        </w:tc>
        <w:tc>
          <w:tcPr>
            <w:tcW w:type="dxa" w:w="1600"/>
            <w:tcBorders>
              <w:top w:val="none" w:color="FFFFFF" w:sz="0"/>
              <w:left w:val="none" w:color="FFFFFF" w:sz="0"/>
              <w:bottom w:val="none" w:color="FFFFFF" w:sz="0"/>
              <w:right w:val="none" w:color="FFFFFF" w:sz="0"/>
            </w:tcBorders>
            <w:shd w:fill="D9D9D9"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6"/>
                <w:szCs w:val="16"/>
              </w:rPr>
              <w:t xml:space="preserve">OA — CA</w:t>
            </w:r>
          </w:p>
        </w:tc>
        <w:tc>
          <w:tcPr>
            <w:tcW w:type="dxa" w:w="1600"/>
            <w:tcBorders>
              <w:top w:val="none" w:color="FFFFFF" w:sz="0"/>
              <w:left w:val="none" w:color="FFFFFF" w:sz="0"/>
              <w:bottom w:val="none" w:color="FFFFFF" w:sz="0"/>
              <w:right w:val="none" w:color="FFFFFF" w:sz="0"/>
            </w:tcBorders>
            <w:shd w:fill="D9D9D9"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6"/>
                <w:szCs w:val="16"/>
              </w:rPr>
              <w:t xml:space="preserve">OA — Fixed</w:t>
            </w:r>
          </w:p>
        </w:tc>
        <w:tc>
          <w:tcPr>
            <w:tcW w:type="dxa" w:w="1700"/>
            <w:tcBorders>
              <w:top w:val="none" w:color="FFFFFF" w:sz="0"/>
              <w:left w:val="none" w:color="FFFFFF" w:sz="0"/>
              <w:bottom w:val="none" w:color="FFFFFF" w:sz="0"/>
              <w:right w:val="none" w:color="FFFFFF" w:sz="0"/>
            </w:tcBorders>
            <w:shd w:fill="D9D9D9"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6"/>
                <w:szCs w:val="16"/>
              </w:rPr>
              <w:t xml:space="preserve">PA[NV] — CA</w:t>
            </w:r>
          </w:p>
        </w:tc>
        <w:tc>
          <w:tcPr>
            <w:tcW w:type="dxa" w:w="1700"/>
            <w:tcBorders>
              <w:top w:val="none" w:color="FFFFFF" w:sz="0"/>
              <w:left w:val="none" w:color="FFFFFF" w:sz="0"/>
              <w:bottom w:val="none" w:color="FFFFFF" w:sz="0"/>
              <w:right w:val="none" w:color="FFFFFF" w:sz="0"/>
            </w:tcBorders>
            <w:shd w:fill="D9D9D9"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6"/>
                <w:szCs w:val="16"/>
              </w:rPr>
              <w:t xml:space="preserve">PA[NV] — Fixed</w:t>
            </w:r>
          </w:p>
        </w:tc>
        <w:tc>
          <w:tcPr>
            <w:tcW w:type="dxa" w:w="1500"/>
            <w:tcBorders>
              <w:top w:val="none" w:color="FFFFFF" w:sz="0"/>
              <w:left w:val="none" w:color="FFFFFF" w:sz="0"/>
              <w:bottom w:val="none" w:color="FFFFFF" w:sz="0"/>
              <w:right w:val="none" w:color="FFFFFF" w:sz="0"/>
            </w:tcBorders>
            <w:shd w:fill="D9D9D9"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6"/>
                <w:szCs w:val="16"/>
              </w:rPr>
              <w:t xml:space="preserve">McNemar p (NV)</w:t>
            </w:r>
          </w:p>
        </w:tc>
      </w:tr>
      <w:tr>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6"/>
                <w:szCs w:val="16"/>
              </w:rPr>
              <w:t xml:space="preserve">0</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74.37%</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75.13%</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4.71%</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62.40%</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≈0</w:t>
            </w:r>
          </w:p>
        </w:tc>
      </w:tr>
      <w:tr>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6"/>
                <w:szCs w:val="16"/>
              </w:rPr>
              <w:t xml:space="preserve">1</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74.38%</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79.51%</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4.70%</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64.69%</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≈0</w:t>
            </w:r>
          </w:p>
        </w:tc>
      </w:tr>
      <w:tr>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6"/>
                <w:szCs w:val="16"/>
              </w:rPr>
              <w:t xml:space="preserve">2</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74.38%</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81.27%</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4.71%</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56.42%</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≈0</w:t>
            </w:r>
          </w:p>
        </w:tc>
      </w:tr>
      <w:tr>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6"/>
                <w:szCs w:val="16"/>
              </w:rPr>
              <w:t xml:space="preserve">3</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74.38%</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74.64%</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4.71%</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63.29%</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≈0</w:t>
            </w:r>
          </w:p>
        </w:tc>
      </w:tr>
      <w:tr>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6"/>
                <w:szCs w:val="16"/>
              </w:rPr>
              <w:t xml:space="preserve">4</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74.38%</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76.85%</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4.71%</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66.53%</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≈0</w:t>
            </w:r>
          </w:p>
        </w:tc>
      </w:tr>
    </w:tbl>
    <w:p>
      <w:pPr>
        <w:spacing w:after="120" w:line="252"/>
        <w:ind w:firstLine="204"/>
        <w:jc w:val="both"/>
      </w:pPr>
      <w:r>
        <w:rPr>
          <w:rFonts w:ascii="Times New Roman" w:cs="Times New Roman" w:eastAsia="Times New Roman" w:hAnsi="Times New Roman"/>
          <w:sz w:val="20"/>
          <w:szCs w:val="20"/>
        </w:rPr>
        <w:t xml:space="preserve">The fixed ConvLSTM exceeded CA–Markov's Non-vegetated Producer's Accuracy in 5 of 5 seeds (56.4–66.5% vs. a consistent ~4.7%), with the McNemar test restricted to Non-vegetated ground truth significant at p ≈ 0 in every seed. Overall OA favored the fixed ConvLSTM in 5 of 5 seeds and was significantly different (overall McNemar test, not restricted to Non-vegetated) in 4 of 5 seeds; the exception was seed 3, where OA was nearly tied (74.64% vs. 74.38%, p = 0.29) even though its Non-vegetated-restricted difference remained significant. The advantage of the fixed configuration over CA–Markov on the class this study's argument turns on is therefore not a single-run artifact.</w:t>
      </w:r>
    </w:p>
    <w:p>
      <w:pPr>
        <w:keepNext/>
        <w:spacing w:after="100" w:before="200"/>
        <w:ind w:firstLine="204"/>
        <w:jc w:val="left"/>
      </w:pPr>
      <w:r>
        <w:rPr>
          <w:rFonts w:ascii="Times New Roman" w:cs="Times New Roman" w:eastAsia="Times New Roman" w:hAnsi="Times New Roman"/>
          <w:b/>
          <w:bCs/>
          <w:i/>
          <w:iCs/>
          <w:sz w:val="20"/>
          <w:szCs w:val="20"/>
        </w:rPr>
        <w:t xml:space="preserve">G. </w:t>
      </w:r>
      <w:r>
        <w:rPr>
          <w:rFonts w:ascii="Times New Roman" w:cs="Times New Roman" w:eastAsia="Times New Roman" w:hAnsi="Times New Roman"/>
          <w:b/>
          <w:bCs/>
          <w:i/>
          <w:iCs/>
          <w:sz w:val="20"/>
          <w:szCs w:val="20"/>
        </w:rPr>
        <w:t xml:space="preserve">Independent Ground-Truth Validation</w:t>
      </w:r>
    </w:p>
    <w:p>
      <w:pPr>
        <w:spacing w:after="120" w:line="252"/>
        <w:ind w:firstLine="204"/>
        <w:jc w:val="both"/>
      </w:pPr>
      <w:r>
        <w:rPr>
          <w:rFonts w:ascii="Times New Roman" w:cs="Times New Roman" w:eastAsia="Times New Roman" w:hAnsi="Times New Roman"/>
          <w:sz w:val="20"/>
          <w:szCs w:val="20"/>
        </w:rPr>
        <w:t xml:space="preserve">Comparing the initial (pure-NDVI) 2024 classification directly against the independent reference layer — which covers 97.7% of the AOI overall, of which the spatial checkerboard held-out test half used below (Section III-J) accounts for roughly 48.8% of the AOI — gave markedly lower accuracy than any self-referential figure reported above:</w:t>
      </w:r>
    </w:p>
    <w:p>
      <w:pPr>
        <w:spacing w:after="20" w:before="200"/>
        <w:jc w:val="left"/>
      </w:pPr>
      <w:r>
        <w:rPr>
          <w:rFonts w:ascii="Times New Roman" w:cs="Times New Roman" w:eastAsia="Times New Roman" w:hAnsi="Times New Roman"/>
          <w:sz w:val="16"/>
          <w:szCs w:val="16"/>
        </w:rPr>
        <w:t xml:space="preserve">TABLE 13</w:t>
      </w:r>
    </w:p>
    <w:p>
      <w:pPr>
        <w:spacing w:after="100"/>
        <w:jc w:val="left"/>
      </w:pPr>
      <w:r>
        <w:rPr>
          <w:rFonts w:ascii="Times New Roman" w:cs="Times New Roman" w:eastAsia="Times New Roman" w:hAnsi="Times New Roman"/>
          <w:caps/>
          <w:sz w:val="16"/>
          <w:szCs w:val="16"/>
        </w:rPr>
        <w:t xml:space="preserve">INITIAL CLASSIFICATION VS. INDEPENDENT REFERENCE (N = 2,335,751, HELD-OUT SPATIAL SPLIT)</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3900"/>
        <w:gridCol w:w="2730"/>
        <w:gridCol w:w="2730"/>
      </w:tblGrid>
      <w:tr>
        <w:trPr>
          <w:tblHeader/>
        </w:trPr>
        <w:tc>
          <w:tcPr>
            <w:tcW w:type="dxa" w:w="3900"/>
            <w:tcBorders>
              <w:top w:val="none" w:color="FFFFFF" w:sz="0"/>
              <w:left w:val="none" w:color="FFFFFF" w:sz="0"/>
              <w:bottom w:val="none" w:color="FFFFFF" w:sz="0"/>
              <w:right w:val="none" w:color="FFFFFF" w:sz="0"/>
            </w:tcBorders>
            <w:shd w:fill="D9D9D9"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6"/>
                <w:szCs w:val="16"/>
              </w:rPr>
              <w:t xml:space="preserve">Metric</w:t>
            </w:r>
          </w:p>
        </w:tc>
        <w:tc>
          <w:tcPr>
            <w:tcW w:type="dxa" w:w="2730"/>
            <w:tcBorders>
              <w:top w:val="none" w:color="FFFFFF" w:sz="0"/>
              <w:left w:val="none" w:color="FFFFFF" w:sz="0"/>
              <w:bottom w:val="none" w:color="FFFFFF" w:sz="0"/>
              <w:right w:val="none" w:color="FFFFFF" w:sz="0"/>
            </w:tcBorders>
            <w:shd w:fill="D9D9D9"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6"/>
                <w:szCs w:val="16"/>
              </w:rPr>
              <w:t xml:space="preserve">Initial (NDVI-only)</w:t>
            </w:r>
          </w:p>
        </w:tc>
        <w:tc>
          <w:tcPr>
            <w:tcW w:type="dxa" w:w="2730"/>
            <w:tcBorders>
              <w:top w:val="none" w:color="FFFFFF" w:sz="0"/>
              <w:left w:val="none" w:color="FFFFFF" w:sz="0"/>
              <w:bottom w:val="none" w:color="FFFFFF" w:sz="0"/>
              <w:right w:val="none" w:color="FFFFFF" w:sz="0"/>
            </w:tcBorders>
            <w:shd w:fill="D9D9D9"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6"/>
                <w:szCs w:val="16"/>
              </w:rPr>
              <w:t xml:space="preserve">Refined (NDVI+NDMI)</w:t>
            </w:r>
          </w:p>
        </w:tc>
      </w:tr>
      <w:tr>
        <w:tc>
          <w:tcPr>
            <w:tcW w:type="dxa" w:w="39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6"/>
                <w:szCs w:val="16"/>
              </w:rPr>
              <w:t xml:space="preserve">Overall Accuracy</w:t>
            </w:r>
          </w:p>
        </w:tc>
        <w:tc>
          <w:tcPr>
            <w:tcW w:type="dxa" w:w="273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43.78%</w:t>
            </w:r>
          </w:p>
        </w:tc>
        <w:tc>
          <w:tcPr>
            <w:tcW w:type="dxa" w:w="273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55.52%</w:t>
            </w:r>
          </w:p>
        </w:tc>
      </w:tr>
      <w:tr>
        <w:tc>
          <w:tcPr>
            <w:tcW w:type="dxa" w:w="39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6"/>
                <w:szCs w:val="16"/>
              </w:rPr>
              <w:t xml:space="preserve">Kappa coefficient</w:t>
            </w:r>
          </w:p>
        </w:tc>
        <w:tc>
          <w:tcPr>
            <w:tcW w:type="dxa" w:w="273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0.1552</w:t>
            </w:r>
          </w:p>
        </w:tc>
        <w:tc>
          <w:tcPr>
            <w:tcW w:type="dxa" w:w="273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0.2098</w:t>
            </w:r>
          </w:p>
        </w:tc>
      </w:tr>
    </w:tbl>
    <w:p>
      <w:pPr>
        <w:spacing w:after="120" w:line="252"/>
        <w:ind w:firstLine="204"/>
        <w:jc w:val="both"/>
      </w:pPr>
      <w:r>
        <w:rPr>
          <w:rFonts w:ascii="Times New Roman" w:cs="Times New Roman" w:eastAsia="Times New Roman" w:hAnsi="Times New Roman"/>
          <w:sz w:val="20"/>
          <w:szCs w:val="20"/>
        </w:rPr>
        <w:t xml:space="preserve">Per-class Producer's Accuracy against the independent reference shows exactly where the disagreement concentrated: 25.2% for Sparse vegetation under the initial classification, the class most often confused with Dense vegetation (Table 14) — consistent with the diagnosis in Section III-J that a single greenness index cannot separate closed-canopy forest from high-NDVI cropland or plantation.</w:t>
      </w:r>
    </w:p>
    <w:p>
      <w:pPr>
        <w:spacing w:after="20" w:before="200"/>
        <w:jc w:val="left"/>
      </w:pPr>
      <w:r>
        <w:rPr>
          <w:rFonts w:ascii="Times New Roman" w:cs="Times New Roman" w:eastAsia="Times New Roman" w:hAnsi="Times New Roman"/>
          <w:sz w:val="16"/>
          <w:szCs w:val="16"/>
        </w:rPr>
        <w:t xml:space="preserve">TABLE 14</w:t>
      </w:r>
    </w:p>
    <w:p>
      <w:pPr>
        <w:spacing w:after="100"/>
        <w:jc w:val="left"/>
      </w:pPr>
      <w:r>
        <w:rPr>
          <w:rFonts w:ascii="Times New Roman" w:cs="Times New Roman" w:eastAsia="Times New Roman" w:hAnsi="Times New Roman"/>
          <w:caps/>
          <w:sz w:val="16"/>
          <w:szCs w:val="16"/>
        </w:rPr>
        <w:t xml:space="preserve">PRODUCER'S ACCURACY VS. INDEPENDENT REFERENCE, BY CLASS</w:t>
      </w:r>
    </w:p>
    <w:tbl>
      <w:tblPr>
        <w:tblW w:type="dxa" w:w="9060"/>
        <w:tblBorders>
          <w:top w:val="single" w:color="000000" w:sz="8"/>
          <w:left w:val="none" w:color="FFFFFF" w:sz="0"/>
          <w:bottom w:val="single" w:color="000000" w:sz="8"/>
          <w:right w:val="none" w:color="FFFFFF" w:sz="0"/>
          <w:insideH w:val="none" w:color="FFFFFF" w:sz="0"/>
          <w:insideV w:val="none" w:color="FFFFFF" w:sz="0"/>
        </w:tblBorders>
      </w:tblPr>
      <w:tblGrid>
        <w:gridCol w:w="3600"/>
        <w:gridCol w:w="2730"/>
        <w:gridCol w:w="2730"/>
      </w:tblGrid>
      <w:tr>
        <w:trPr>
          <w:tblHeader/>
        </w:trPr>
        <w:tc>
          <w:tcPr>
            <w:tcW w:type="dxa" w:w="3600"/>
            <w:tcBorders>
              <w:top w:val="none" w:color="FFFFFF" w:sz="0"/>
              <w:left w:val="none" w:color="FFFFFF" w:sz="0"/>
              <w:bottom w:val="none" w:color="FFFFFF" w:sz="0"/>
              <w:right w:val="none" w:color="FFFFFF" w:sz="0"/>
            </w:tcBorders>
            <w:shd w:fill="D9D9D9"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6"/>
                <w:szCs w:val="16"/>
              </w:rPr>
              <w:t xml:space="preserve">Class</w:t>
            </w:r>
          </w:p>
        </w:tc>
        <w:tc>
          <w:tcPr>
            <w:tcW w:type="dxa" w:w="2730"/>
            <w:tcBorders>
              <w:top w:val="none" w:color="FFFFFF" w:sz="0"/>
              <w:left w:val="none" w:color="FFFFFF" w:sz="0"/>
              <w:bottom w:val="none" w:color="FFFFFF" w:sz="0"/>
              <w:right w:val="none" w:color="FFFFFF" w:sz="0"/>
            </w:tcBorders>
            <w:shd w:fill="D9D9D9"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6"/>
                <w:szCs w:val="16"/>
              </w:rPr>
              <w:t xml:space="preserve">Initial (NDVI-only)</w:t>
            </w:r>
          </w:p>
        </w:tc>
        <w:tc>
          <w:tcPr>
            <w:tcW w:type="dxa" w:w="2730"/>
            <w:tcBorders>
              <w:top w:val="none" w:color="FFFFFF" w:sz="0"/>
              <w:left w:val="none" w:color="FFFFFF" w:sz="0"/>
              <w:bottom w:val="none" w:color="FFFFFF" w:sz="0"/>
              <w:right w:val="none" w:color="FFFFFF" w:sz="0"/>
            </w:tcBorders>
            <w:shd w:fill="D9D9D9"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6"/>
                <w:szCs w:val="16"/>
              </w:rPr>
              <w:t xml:space="preserve">Refined (NDVI+NDMI)</w:t>
            </w:r>
          </w:p>
        </w:tc>
      </w:tr>
      <w:tr>
        <w:tc>
          <w:tcPr>
            <w:tcW w:type="dxa" w:w="36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6"/>
                <w:szCs w:val="16"/>
              </w:rPr>
              <w:t xml:space="preserve">Water</w:t>
            </w:r>
          </w:p>
        </w:tc>
        <w:tc>
          <w:tcPr>
            <w:tcW w:type="dxa" w:w="273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43.3%</w:t>
            </w:r>
          </w:p>
        </w:tc>
        <w:tc>
          <w:tcPr>
            <w:tcW w:type="dxa" w:w="273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43.3%</w:t>
            </w:r>
          </w:p>
        </w:tc>
      </w:tr>
      <w:tr>
        <w:tc>
          <w:tcPr>
            <w:tcW w:type="dxa" w:w="36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6"/>
                <w:szCs w:val="16"/>
              </w:rPr>
              <w:t xml:space="preserve">Non-vegetated</w:t>
            </w:r>
          </w:p>
        </w:tc>
        <w:tc>
          <w:tcPr>
            <w:tcW w:type="dxa" w:w="273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22.4%</w:t>
            </w:r>
          </w:p>
        </w:tc>
        <w:tc>
          <w:tcPr>
            <w:tcW w:type="dxa" w:w="273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22.4%</w:t>
            </w:r>
          </w:p>
        </w:tc>
      </w:tr>
      <w:tr>
        <w:tc>
          <w:tcPr>
            <w:tcW w:type="dxa" w:w="36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6"/>
                <w:szCs w:val="16"/>
              </w:rPr>
              <w:t xml:space="preserve">Sparse vegetation</w:t>
            </w:r>
          </w:p>
        </w:tc>
        <w:tc>
          <w:tcPr>
            <w:tcW w:type="dxa" w:w="273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25.2%</w:t>
            </w:r>
          </w:p>
        </w:tc>
        <w:tc>
          <w:tcPr>
            <w:tcW w:type="dxa" w:w="273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64.3%</w:t>
            </w:r>
          </w:p>
        </w:tc>
      </w:tr>
      <w:tr>
        <w:tc>
          <w:tcPr>
            <w:tcW w:type="dxa" w:w="36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6"/>
                <w:szCs w:val="16"/>
              </w:rPr>
              <w:t xml:space="preserve">Dense vegetation</w:t>
            </w:r>
          </w:p>
        </w:tc>
        <w:tc>
          <w:tcPr>
            <w:tcW w:type="dxa" w:w="273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91.1%</w:t>
            </w:r>
          </w:p>
        </w:tc>
        <w:tc>
          <w:tcPr>
            <w:tcW w:type="dxa" w:w="273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53.2%</w:t>
            </w:r>
          </w:p>
        </w:tc>
      </w:tr>
    </w:tbl>
    <w:p>
      <w:pPr>
        <w:spacing w:after="120" w:line="252"/>
        <w:ind w:firstLine="204"/>
        <w:jc w:val="both"/>
      </w:pPr>
      <w:r>
        <w:rPr>
          <w:rFonts w:ascii="Times New Roman" w:cs="Times New Roman" w:eastAsia="Times New Roman" w:hAnsi="Times New Roman"/>
          <w:sz w:val="20"/>
          <w:szCs w:val="20"/>
        </w:rPr>
        <w:t xml:space="preserve">The refinement is a genuine but partial correction, not a solved problem: it recovers Sparse-vegetation accuracy substantially (25.2% → 64.3%) at a real cost to Dense-vegetation accuracy (91.1% → 53.2%), because the added NDMI threshold reassigns some genuinely forested pixels along with the intended agricultural/plantation ones. A sensitivity check excluding the three crosswalk-ambiguous reference classes (swamp, swamp shrub, tree-crop plantation) moved Overall Accuracy by less than one point for the refined classification (55.5% → 56.4%) but by more for the initial one (43.8% → 40.5%, same held-out split) — in the direction of an even lower initial-classification accuracy, not a higher one, so the ambiguous classes are not the reason the initial classification looks poor. Per-class Producer's Accuracy shifts by at most 1 point for every class under either crosswalk, but User's Accuracy for Dense vegetation drops by 5–6 points under both the initial and refined classification once the ambiguous classes are excluded, since removing the Perkebunan (tree-crop plantation) reference polygons removes more correctly-labeled Dense pixels than it removes false positives; this class-level sensitivity does not change either headline Overall Accuracy figure by more than the totals already reported, but is disclosed here rather than only reporting Overall Accuracy.</w:t>
      </w:r>
    </w:p>
    <w:p>
      <w:pPr>
        <w:keepNext/>
        <w:spacing w:after="100" w:before="200"/>
        <w:ind w:firstLine="204"/>
        <w:jc w:val="left"/>
      </w:pPr>
      <w:r>
        <w:rPr>
          <w:rFonts w:ascii="Times New Roman" w:cs="Times New Roman" w:eastAsia="Times New Roman" w:hAnsi="Times New Roman"/>
          <w:b/>
          <w:bCs/>
          <w:i/>
          <w:iCs/>
          <w:sz w:val="20"/>
          <w:szCs w:val="20"/>
        </w:rPr>
        <w:t xml:space="preserve">H. </w:t>
      </w:r>
      <w:r>
        <w:rPr>
          <w:rFonts w:ascii="Times New Roman" w:cs="Times New Roman" w:eastAsia="Times New Roman" w:hAnsi="Times New Roman"/>
          <w:b/>
          <w:bCs/>
          <w:i/>
          <w:iCs/>
          <w:sz w:val="20"/>
          <w:szCs w:val="20"/>
        </w:rPr>
        <w:t xml:space="preserve">Refined Classification and Rebuilt Model Results</w:t>
      </w:r>
    </w:p>
    <w:p>
      <w:pPr>
        <w:spacing w:after="120" w:line="252"/>
        <w:ind w:firstLine="204"/>
        <w:jc w:val="both"/>
      </w:pPr>
      <w:r>
        <w:rPr>
          <w:rFonts w:ascii="Times New Roman" w:cs="Times New Roman" w:eastAsia="Times New Roman" w:hAnsi="Times New Roman"/>
          <w:sz w:val="20"/>
          <w:szCs w:val="20"/>
        </w:rPr>
        <w:t xml:space="preserve">Under the refined (NDVI+NDMI) classification, the 2024 baseline shifts substantially from Table 2: Dense vegetation falls from 23,854.2 km² to 11,542.8 km² and Sparse vegetation rises from 8,292.0 km² to 20,603.4 km², since much of what NDVI alone labeled Dense vegetation is, by the independent reference and the added moisture index, agricultural or plantation land instead. Water and Non-vegetated areas are unchanged, since their thresholds were not modified.</w:t>
      </w:r>
    </w:p>
    <w:p>
      <w:pPr>
        <w:spacing w:after="120" w:line="252"/>
        <w:ind w:firstLine="204"/>
        <w:jc w:val="both"/>
      </w:pPr>
      <w:r>
        <w:rPr>
          <w:rFonts w:ascii="Times New Roman" w:cs="Times New Roman" w:eastAsia="Times New Roman" w:hAnsi="Times New Roman"/>
          <w:sz w:val="20"/>
          <w:szCs w:val="20"/>
        </w:rPr>
        <w:t xml:space="preserve">The CA–Markov transition matrix and CA allocation were re-run in full on the refined classifications, using the same capping procedure as Section III-E (the raw annualized Non-vegetated→Water rate was 13.6%/year, again capped to 1%/year):</w:t>
      </w:r>
    </w:p>
    <w:p>
      <w:pPr>
        <w:spacing w:after="20" w:before="200"/>
        <w:jc w:val="left"/>
      </w:pPr>
      <w:r>
        <w:rPr>
          <w:rFonts w:ascii="Times New Roman" w:cs="Times New Roman" w:eastAsia="Times New Roman" w:hAnsi="Times New Roman"/>
          <w:sz w:val="16"/>
          <w:szCs w:val="16"/>
        </w:rPr>
        <w:t xml:space="preserve">TABLE 15</w:t>
      </w:r>
    </w:p>
    <w:p>
      <w:pPr>
        <w:spacing w:after="100"/>
        <w:jc w:val="left"/>
      </w:pPr>
      <w:r>
        <w:rPr>
          <w:rFonts w:ascii="Times New Roman" w:cs="Times New Roman" w:eastAsia="Times New Roman" w:hAnsi="Times New Roman"/>
          <w:caps/>
          <w:sz w:val="16"/>
          <w:szCs w:val="16"/>
        </w:rPr>
        <w:t xml:space="preserve">REFINED CA–MARKOV PROJECTED LAND COVER, 2025</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3200"/>
        <w:gridCol w:w="1750"/>
        <w:gridCol w:w="1750"/>
        <w:gridCol w:w="1300"/>
        <w:gridCol w:w="1360"/>
      </w:tblGrid>
      <w:tr>
        <w:trPr>
          <w:tblHeader/>
        </w:trPr>
        <w:tc>
          <w:tcPr>
            <w:tcW w:type="dxa" w:w="3200"/>
            <w:tcBorders>
              <w:top w:val="none" w:color="FFFFFF" w:sz="0"/>
              <w:left w:val="none" w:color="FFFFFF" w:sz="0"/>
              <w:bottom w:val="none" w:color="FFFFFF" w:sz="0"/>
              <w:right w:val="none" w:color="FFFFFF" w:sz="0"/>
            </w:tcBorders>
            <w:shd w:fill="D9D9D9"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6"/>
                <w:szCs w:val="16"/>
              </w:rPr>
              <w:t xml:space="preserve">Class</w:t>
            </w:r>
          </w:p>
        </w:tc>
        <w:tc>
          <w:tcPr>
            <w:tcW w:type="dxa" w:w="1750"/>
            <w:tcBorders>
              <w:top w:val="none" w:color="FFFFFF" w:sz="0"/>
              <w:left w:val="none" w:color="FFFFFF" w:sz="0"/>
              <w:bottom w:val="none" w:color="FFFFFF" w:sz="0"/>
              <w:right w:val="none" w:color="FFFFFF" w:sz="0"/>
            </w:tcBorders>
            <w:shd w:fill="D9D9D9"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6"/>
                <w:szCs w:val="16"/>
              </w:rPr>
              <w:t xml:space="preserve">2024 (km²)</w:t>
            </w:r>
          </w:p>
        </w:tc>
        <w:tc>
          <w:tcPr>
            <w:tcW w:type="dxa" w:w="1750"/>
            <w:tcBorders>
              <w:top w:val="none" w:color="FFFFFF" w:sz="0"/>
              <w:left w:val="none" w:color="FFFFFF" w:sz="0"/>
              <w:bottom w:val="none" w:color="FFFFFF" w:sz="0"/>
              <w:right w:val="none" w:color="FFFFFF" w:sz="0"/>
            </w:tcBorders>
            <w:shd w:fill="D9D9D9"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6"/>
                <w:szCs w:val="16"/>
              </w:rPr>
              <w:t xml:space="preserve">2025 (km²)</w:t>
            </w:r>
          </w:p>
        </w:tc>
        <w:tc>
          <w:tcPr>
            <w:tcW w:type="dxa" w:w="1300"/>
            <w:tcBorders>
              <w:top w:val="none" w:color="FFFFFF" w:sz="0"/>
              <w:left w:val="none" w:color="FFFFFF" w:sz="0"/>
              <w:bottom w:val="none" w:color="FFFFFF" w:sz="0"/>
              <w:right w:val="none" w:color="FFFFFF" w:sz="0"/>
            </w:tcBorders>
            <w:shd w:fill="D9D9D9"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6"/>
                <w:szCs w:val="16"/>
              </w:rPr>
              <w:t xml:space="preserve">Δ (km²)</w:t>
            </w:r>
          </w:p>
        </w:tc>
        <w:tc>
          <w:tcPr>
            <w:tcW w:type="dxa" w:w="1360"/>
            <w:tcBorders>
              <w:top w:val="none" w:color="FFFFFF" w:sz="0"/>
              <w:left w:val="none" w:color="FFFFFF" w:sz="0"/>
              <w:bottom w:val="none" w:color="FFFFFF" w:sz="0"/>
              <w:right w:val="none" w:color="FFFFFF" w:sz="0"/>
            </w:tcBorders>
            <w:shd w:fill="D9D9D9"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6"/>
                <w:szCs w:val="16"/>
              </w:rPr>
              <w:t xml:space="preserve">Δ (%)</w:t>
            </w:r>
          </w:p>
        </w:tc>
      </w:tr>
      <w:tr>
        <w:tc>
          <w:tcPr>
            <w:tcW w:type="dxa" w:w="32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6"/>
                <w:szCs w:val="16"/>
              </w:rPr>
              <w:t xml:space="preserve">Water</w:t>
            </w:r>
          </w:p>
        </w:tc>
        <w:tc>
          <w:tcPr>
            <w:tcW w:type="dxa" w:w="17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1,168.7</w:t>
            </w:r>
          </w:p>
        </w:tc>
        <w:tc>
          <w:tcPr>
            <w:tcW w:type="dxa" w:w="17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1,200.8</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+32.1</w:t>
            </w:r>
          </w:p>
        </w:tc>
        <w:tc>
          <w:tcPr>
            <w:tcW w:type="dxa" w:w="136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+2.8</w:t>
            </w:r>
          </w:p>
        </w:tc>
      </w:tr>
      <w:tr>
        <w:tc>
          <w:tcPr>
            <w:tcW w:type="dxa" w:w="32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6"/>
                <w:szCs w:val="16"/>
              </w:rPr>
              <w:t xml:space="preserve">Non-vegetated</w:t>
            </w:r>
          </w:p>
        </w:tc>
        <w:tc>
          <w:tcPr>
            <w:tcW w:type="dxa" w:w="17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2,207.4</w:t>
            </w:r>
          </w:p>
        </w:tc>
        <w:tc>
          <w:tcPr>
            <w:tcW w:type="dxa" w:w="17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2,626.0</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+418.6</w:t>
            </w:r>
          </w:p>
        </w:tc>
        <w:tc>
          <w:tcPr>
            <w:tcW w:type="dxa" w:w="136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+19.0</w:t>
            </w:r>
          </w:p>
        </w:tc>
      </w:tr>
      <w:tr>
        <w:tc>
          <w:tcPr>
            <w:tcW w:type="dxa" w:w="32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6"/>
                <w:szCs w:val="16"/>
              </w:rPr>
              <w:t xml:space="preserve">Sparse vegetation</w:t>
            </w:r>
          </w:p>
        </w:tc>
        <w:tc>
          <w:tcPr>
            <w:tcW w:type="dxa" w:w="17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20,603.4</w:t>
            </w:r>
          </w:p>
        </w:tc>
        <w:tc>
          <w:tcPr>
            <w:tcW w:type="dxa" w:w="17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20,364.7</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−238.7</w:t>
            </w:r>
          </w:p>
        </w:tc>
        <w:tc>
          <w:tcPr>
            <w:tcW w:type="dxa" w:w="136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−1.2</w:t>
            </w:r>
          </w:p>
        </w:tc>
      </w:tr>
      <w:tr>
        <w:tc>
          <w:tcPr>
            <w:tcW w:type="dxa" w:w="32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6"/>
                <w:szCs w:val="16"/>
              </w:rPr>
              <w:t xml:space="preserve">Dense vegetation</w:t>
            </w:r>
          </w:p>
        </w:tc>
        <w:tc>
          <w:tcPr>
            <w:tcW w:type="dxa" w:w="17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11,542.8</w:t>
            </w:r>
          </w:p>
        </w:tc>
        <w:tc>
          <w:tcPr>
            <w:tcW w:type="dxa" w:w="17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11,330.8</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−212.0</w:t>
            </w:r>
          </w:p>
        </w:tc>
        <w:tc>
          <w:tcPr>
            <w:tcW w:type="dxa" w:w="136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−1.8</w:t>
            </w:r>
          </w:p>
        </w:tc>
      </w:tr>
    </w:tbl>
    <w:p>
      <w:pPr>
        <w:spacing w:after="120" w:line="252"/>
        <w:ind w:firstLine="204"/>
        <w:jc w:val="both"/>
      </w:pPr>
      <w:r>
        <w:rPr>
          <w:rFonts w:ascii="Times New Roman" w:cs="Times New Roman" w:eastAsia="Times New Roman" w:hAnsi="Times New Roman"/>
          <w:sz w:val="20"/>
          <w:szCs w:val="20"/>
        </w:rPr>
        <w:t xml:space="preserve">Out-of-sample validation (2019–2021 matrix, capped at 2%/2-year, projected three years to simulate 2024) against the refined actual 2024 classification gave OA = 61.72%, Kappa = 0.3194, and FoM = 25.68% (hits = 632,972, misses = 723,322, false alarms = 1,108,252; reference change 28.35%, simulated change 38.47%) — a lower OA/Kappa than the initial classification's validation (Table 5: 68.29%/0.3819) but a higher FoM (22.24% → 25.68%), consistent with the refined classification producing a map whose change locations, specifically, are somewhat better identified even though its overall class agreement is lower under the new, harder-to-satisfy class definitions.</w:t>
      </w:r>
    </w:p>
    <w:p>
      <w:pPr>
        <w:spacing w:after="20" w:before="200"/>
        <w:jc w:val="left"/>
      </w:pPr>
      <w:r>
        <w:rPr>
          <w:rFonts w:ascii="Times New Roman" w:cs="Times New Roman" w:eastAsia="Times New Roman" w:hAnsi="Times New Roman"/>
          <w:sz w:val="16"/>
          <w:szCs w:val="16"/>
        </w:rPr>
        <w:t xml:space="preserve">TABLE 16</w:t>
      </w:r>
    </w:p>
    <w:p>
      <w:pPr>
        <w:spacing w:after="100"/>
        <w:jc w:val="left"/>
      </w:pPr>
      <w:r>
        <w:rPr>
          <w:rFonts w:ascii="Times New Roman" w:cs="Times New Roman" w:eastAsia="Times New Roman" w:hAnsi="Times New Roman"/>
          <w:caps/>
          <w:sz w:val="16"/>
          <w:szCs w:val="16"/>
        </w:rPr>
        <w:t xml:space="preserve">REFINED CA–MARKOV VALIDATION: PRODUCER'S / USER'S ACCURACY</w:t>
      </w:r>
    </w:p>
    <w:tbl>
      <w:tblPr>
        <w:tblW w:type="dxa" w:w="9060"/>
        <w:tblBorders>
          <w:top w:val="single" w:color="000000" w:sz="8"/>
          <w:left w:val="none" w:color="FFFFFF" w:sz="0"/>
          <w:bottom w:val="single" w:color="000000" w:sz="8"/>
          <w:right w:val="none" w:color="FFFFFF" w:sz="0"/>
          <w:insideH w:val="none" w:color="FFFFFF" w:sz="0"/>
          <w:insideV w:val="none" w:color="FFFFFF" w:sz="0"/>
        </w:tblBorders>
      </w:tblPr>
      <w:tblGrid>
        <w:gridCol w:w="3600"/>
        <w:gridCol w:w="2730"/>
        <w:gridCol w:w="2730"/>
      </w:tblGrid>
      <w:tr>
        <w:trPr>
          <w:tblHeader/>
        </w:trPr>
        <w:tc>
          <w:tcPr>
            <w:tcW w:type="dxa" w:w="3600"/>
            <w:tcBorders>
              <w:top w:val="none" w:color="FFFFFF" w:sz="0"/>
              <w:left w:val="none" w:color="FFFFFF" w:sz="0"/>
              <w:bottom w:val="none" w:color="FFFFFF" w:sz="0"/>
              <w:right w:val="none" w:color="FFFFFF" w:sz="0"/>
            </w:tcBorders>
            <w:shd w:fill="D9D9D9"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6"/>
                <w:szCs w:val="16"/>
              </w:rPr>
              <w:t xml:space="preserve">Class</w:t>
            </w:r>
          </w:p>
        </w:tc>
        <w:tc>
          <w:tcPr>
            <w:tcW w:type="dxa" w:w="2730"/>
            <w:tcBorders>
              <w:top w:val="none" w:color="FFFFFF" w:sz="0"/>
              <w:left w:val="none" w:color="FFFFFF" w:sz="0"/>
              <w:bottom w:val="none" w:color="FFFFFF" w:sz="0"/>
              <w:right w:val="none" w:color="FFFFFF" w:sz="0"/>
            </w:tcBorders>
            <w:shd w:fill="D9D9D9"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6"/>
                <w:szCs w:val="16"/>
              </w:rPr>
              <w:t xml:space="preserve">PA</w:t>
            </w:r>
          </w:p>
        </w:tc>
        <w:tc>
          <w:tcPr>
            <w:tcW w:type="dxa" w:w="2730"/>
            <w:tcBorders>
              <w:top w:val="none" w:color="FFFFFF" w:sz="0"/>
              <w:left w:val="none" w:color="FFFFFF" w:sz="0"/>
              <w:bottom w:val="none" w:color="FFFFFF" w:sz="0"/>
              <w:right w:val="none" w:color="FFFFFF" w:sz="0"/>
            </w:tcBorders>
            <w:shd w:fill="D9D9D9"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6"/>
                <w:szCs w:val="16"/>
              </w:rPr>
              <w:t xml:space="preserve">UA</w:t>
            </w:r>
          </w:p>
        </w:tc>
      </w:tr>
      <w:tr>
        <w:tc>
          <w:tcPr>
            <w:tcW w:type="dxa" w:w="36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6"/>
                <w:szCs w:val="16"/>
              </w:rPr>
              <w:t xml:space="preserve">Water</w:t>
            </w:r>
          </w:p>
        </w:tc>
        <w:tc>
          <w:tcPr>
            <w:tcW w:type="dxa" w:w="273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80.2%</w:t>
            </w:r>
          </w:p>
        </w:tc>
        <w:tc>
          <w:tcPr>
            <w:tcW w:type="dxa" w:w="273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67.8%</w:t>
            </w:r>
          </w:p>
        </w:tc>
      </w:tr>
      <w:tr>
        <w:tc>
          <w:tcPr>
            <w:tcW w:type="dxa" w:w="36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6"/>
                <w:szCs w:val="16"/>
              </w:rPr>
              <w:t xml:space="preserve">Non-vegetated</w:t>
            </w:r>
          </w:p>
        </w:tc>
        <w:tc>
          <w:tcPr>
            <w:tcW w:type="dxa" w:w="273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46.3%</w:t>
            </w:r>
          </w:p>
        </w:tc>
        <w:tc>
          <w:tcPr>
            <w:tcW w:type="dxa" w:w="273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25.1%</w:t>
            </w:r>
          </w:p>
        </w:tc>
      </w:tr>
      <w:tr>
        <w:tc>
          <w:tcPr>
            <w:tcW w:type="dxa" w:w="36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6"/>
                <w:szCs w:val="16"/>
              </w:rPr>
              <w:t xml:space="preserve">Sparse vegetation</w:t>
            </w:r>
          </w:p>
        </w:tc>
        <w:tc>
          <w:tcPr>
            <w:tcW w:type="dxa" w:w="273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72.2%</w:t>
            </w:r>
          </w:p>
        </w:tc>
        <w:tc>
          <w:tcPr>
            <w:tcW w:type="dxa" w:w="273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69.4%</w:t>
            </w:r>
          </w:p>
        </w:tc>
      </w:tr>
      <w:tr>
        <w:tc>
          <w:tcPr>
            <w:tcW w:type="dxa" w:w="36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6"/>
                <w:szCs w:val="16"/>
              </w:rPr>
              <w:t xml:space="preserve">Dense vegetation</w:t>
            </w:r>
          </w:p>
        </w:tc>
        <w:tc>
          <w:tcPr>
            <w:tcW w:type="dxa" w:w="273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44.1%</w:t>
            </w:r>
          </w:p>
        </w:tc>
        <w:tc>
          <w:tcPr>
            <w:tcW w:type="dxa" w:w="273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59.0%</w:t>
            </w:r>
          </w:p>
        </w:tc>
      </w:tr>
    </w:tbl>
    <w:p>
      <w:pPr>
        <w:spacing w:after="120" w:line="252"/>
        <w:ind w:firstLine="204"/>
        <w:jc w:val="both"/>
      </w:pPr>
      <w:r>
        <w:rPr>
          <w:rFonts w:ascii="Times New Roman" w:cs="Times New Roman" w:eastAsia="Times New Roman" w:hAnsi="Times New Roman"/>
          <w:sz w:val="20"/>
          <w:szCs w:val="20"/>
        </w:rPr>
        <w:t xml:space="preserve">ConvLSTM was retrained on the refined labels with a three-channel input (NDVI, brightness, NDMI — added so the model has access to the same information its own targets depend on) under two class-weighting configurations, five seeds each. Full inverse-frequency weighting reached Non-vegetated Producer's Accuracy of 73.1% (± 1.2%, 5 seeds) but User's Accuracy of only 13% — roughly seven in eight predictions of that class were false positives, a precision collapse from over-aggressive up-weighting. The square-root-dampened configuration, adopted as the primary refined ConvLSTM result, gave a markedly different balance:</w:t>
      </w:r>
    </w:p>
    <w:p>
      <w:pPr>
        <w:spacing w:after="20" w:before="200"/>
        <w:jc w:val="left"/>
      </w:pPr>
      <w:r>
        <w:rPr>
          <w:rFonts w:ascii="Times New Roman" w:cs="Times New Roman" w:eastAsia="Times New Roman" w:hAnsi="Times New Roman"/>
          <w:sz w:val="16"/>
          <w:szCs w:val="16"/>
        </w:rPr>
        <w:t xml:space="preserve">TABLE 17</w:t>
      </w:r>
    </w:p>
    <w:p>
      <w:pPr>
        <w:spacing w:after="100"/>
        <w:jc w:val="left"/>
      </w:pPr>
      <w:r>
        <w:rPr>
          <w:rFonts w:ascii="Times New Roman" w:cs="Times New Roman" w:eastAsia="Times New Roman" w:hAnsi="Times New Roman"/>
          <w:caps/>
          <w:sz w:val="16"/>
          <w:szCs w:val="16"/>
        </w:rPr>
        <w:t xml:space="preserve">REFINED CONVLSTM (3-CHANNEL, √-DAMPENED WEIGHTING): 5-SEED POOLED RESULTS</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3200"/>
        <w:gridCol w:w="1750"/>
        <w:gridCol w:w="1750"/>
        <w:gridCol w:w="1330"/>
        <w:gridCol w:w="1330"/>
      </w:tblGrid>
      <w:tr>
        <w:trPr>
          <w:tblHeader/>
        </w:trPr>
        <w:tc>
          <w:tcPr>
            <w:tcW w:type="dxa" w:w="3200"/>
            <w:tcBorders>
              <w:top w:val="none" w:color="FFFFFF" w:sz="0"/>
              <w:left w:val="none" w:color="FFFFFF" w:sz="0"/>
              <w:bottom w:val="none" w:color="FFFFFF" w:sz="0"/>
              <w:right w:val="none" w:color="FFFFFF" w:sz="0"/>
            </w:tcBorders>
            <w:shd w:fill="D9D9D9"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6"/>
                <w:szCs w:val="16"/>
              </w:rPr>
              <w:t xml:space="preserve">Class</w:t>
            </w:r>
          </w:p>
        </w:tc>
        <w:tc>
          <w:tcPr>
            <w:tcW w:type="dxa" w:w="1750"/>
            <w:tcBorders>
              <w:top w:val="none" w:color="FFFFFF" w:sz="0"/>
              <w:left w:val="none" w:color="FFFFFF" w:sz="0"/>
              <w:bottom w:val="none" w:color="FFFFFF" w:sz="0"/>
              <w:right w:val="none" w:color="FFFFFF" w:sz="0"/>
            </w:tcBorders>
            <w:shd w:fill="D9D9D9"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6"/>
                <w:szCs w:val="16"/>
              </w:rPr>
              <w:t xml:space="preserve">PA (mean±SD)</w:t>
            </w:r>
          </w:p>
        </w:tc>
        <w:tc>
          <w:tcPr>
            <w:tcW w:type="dxa" w:w="1750"/>
            <w:tcBorders>
              <w:top w:val="none" w:color="FFFFFF" w:sz="0"/>
              <w:left w:val="none" w:color="FFFFFF" w:sz="0"/>
              <w:bottom w:val="none" w:color="FFFFFF" w:sz="0"/>
              <w:right w:val="none" w:color="FFFFFF" w:sz="0"/>
            </w:tcBorders>
            <w:shd w:fill="D9D9D9"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6"/>
                <w:szCs w:val="16"/>
              </w:rPr>
              <w:t xml:space="preserve">UA (pooled)</w:t>
            </w:r>
          </w:p>
        </w:tc>
        <w:tc>
          <w:tcPr>
            <w:tcW w:type="dxa" w:w="1330"/>
            <w:tcBorders>
              <w:top w:val="none" w:color="FFFFFF" w:sz="0"/>
              <w:left w:val="none" w:color="FFFFFF" w:sz="0"/>
              <w:bottom w:val="none" w:color="FFFFFF" w:sz="0"/>
              <w:right w:val="none" w:color="FFFFFF" w:sz="0"/>
            </w:tcBorders>
            <w:shd w:fill="D9D9D9"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6"/>
                <w:szCs w:val="16"/>
              </w:rPr>
              <w:t xml:space="preserve"/>
            </w:r>
          </w:p>
        </w:tc>
        <w:tc>
          <w:tcPr>
            <w:tcW w:type="dxa" w:w="1330"/>
            <w:tcBorders>
              <w:top w:val="none" w:color="FFFFFF" w:sz="0"/>
              <w:left w:val="none" w:color="FFFFFF" w:sz="0"/>
              <w:bottom w:val="none" w:color="FFFFFF" w:sz="0"/>
              <w:right w:val="none" w:color="FFFFFF" w:sz="0"/>
            </w:tcBorders>
            <w:shd w:fill="D9D9D9"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6"/>
                <w:szCs w:val="16"/>
              </w:rPr>
              <w:t xml:space="preserve"/>
            </w:r>
          </w:p>
        </w:tc>
      </w:tr>
      <w:tr>
        <w:tc>
          <w:tcPr>
            <w:tcW w:type="dxa" w:w="32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6"/>
                <w:szCs w:val="16"/>
              </w:rPr>
              <w:t xml:space="preserve">Water</w:t>
            </w:r>
          </w:p>
        </w:tc>
        <w:tc>
          <w:tcPr>
            <w:tcW w:type="dxa" w:w="17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85.6±3.1%</w:t>
            </w:r>
          </w:p>
        </w:tc>
        <w:tc>
          <w:tcPr>
            <w:tcW w:type="dxa" w:w="17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78.3%</w:t>
            </w:r>
          </w:p>
        </w:tc>
        <w:tc>
          <w:tcPr>
            <w:tcW w:type="dxa" w:w="133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
            </w:r>
          </w:p>
        </w:tc>
        <w:tc>
          <w:tcPr>
            <w:tcW w:type="dxa" w:w="133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
            </w:r>
          </w:p>
        </w:tc>
      </w:tr>
      <w:tr>
        <w:tc>
          <w:tcPr>
            <w:tcW w:type="dxa" w:w="32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6"/>
                <w:szCs w:val="16"/>
              </w:rPr>
              <w:t xml:space="preserve">Non-vegetated</w:t>
            </w:r>
          </w:p>
        </w:tc>
        <w:tc>
          <w:tcPr>
            <w:tcW w:type="dxa" w:w="17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34.4±11.0%</w:t>
            </w:r>
          </w:p>
        </w:tc>
        <w:tc>
          <w:tcPr>
            <w:tcW w:type="dxa" w:w="17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25.9%</w:t>
            </w:r>
          </w:p>
        </w:tc>
        <w:tc>
          <w:tcPr>
            <w:tcW w:type="dxa" w:w="133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
            </w:r>
          </w:p>
        </w:tc>
        <w:tc>
          <w:tcPr>
            <w:tcW w:type="dxa" w:w="133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
            </w:r>
          </w:p>
        </w:tc>
      </w:tr>
      <w:tr>
        <w:tc>
          <w:tcPr>
            <w:tcW w:type="dxa" w:w="32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6"/>
                <w:szCs w:val="16"/>
              </w:rPr>
              <w:t xml:space="preserve">Sparse vegetation</w:t>
            </w:r>
          </w:p>
        </w:tc>
        <w:tc>
          <w:tcPr>
            <w:tcW w:type="dxa" w:w="17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73.0±0.7%</w:t>
            </w:r>
          </w:p>
        </w:tc>
        <w:tc>
          <w:tcPr>
            <w:tcW w:type="dxa" w:w="17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88.8%</w:t>
            </w:r>
          </w:p>
        </w:tc>
        <w:tc>
          <w:tcPr>
            <w:tcW w:type="dxa" w:w="133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
            </w:r>
          </w:p>
        </w:tc>
        <w:tc>
          <w:tcPr>
            <w:tcW w:type="dxa" w:w="133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
            </w:r>
          </w:p>
        </w:tc>
      </w:tr>
      <w:tr>
        <w:tc>
          <w:tcPr>
            <w:tcW w:type="dxa" w:w="32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6"/>
                <w:szCs w:val="16"/>
              </w:rPr>
              <w:t xml:space="preserve">Dense vegetation</w:t>
            </w:r>
          </w:p>
        </w:tc>
        <w:tc>
          <w:tcPr>
            <w:tcW w:type="dxa" w:w="17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76.5±1.2%</w:t>
            </w:r>
          </w:p>
        </w:tc>
        <w:tc>
          <w:tcPr>
            <w:tcW w:type="dxa" w:w="17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49.9%</w:t>
            </w:r>
          </w:p>
        </w:tc>
        <w:tc>
          <w:tcPr>
            <w:tcW w:type="dxa" w:w="133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
            </w:r>
          </w:p>
        </w:tc>
        <w:tc>
          <w:tcPr>
            <w:tcW w:type="dxa" w:w="133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
            </w:r>
          </w:p>
        </w:tc>
      </w:tr>
    </w:tbl>
    <w:p>
      <w:pPr>
        <w:spacing w:after="120" w:line="252"/>
        <w:ind w:firstLine="204"/>
        <w:jc w:val="both"/>
      </w:pPr>
      <w:r>
        <w:rPr>
          <w:rFonts w:ascii="Times New Roman" w:cs="Times New Roman" w:eastAsia="Times New Roman" w:hAnsi="Times New Roman"/>
          <w:sz w:val="20"/>
          <w:szCs w:val="20"/>
        </w:rPr>
        <w:t xml:space="preserve">Pooled across all five seeds' held-out 2024 test pixels (n = 228,195), OA = 72.73% and Kappa = 0.4509 — numerically higher than refined CA–Markov's own native-resolution validation figures (Table 16), though that comparison is confounded by resolution and is superseded below by a resolution-matched one (Table 19) — but Non-vegetated recall is unstable across seeds (range 12.9–42.4%, one seed effectively collapsing) and its precision remains weak (UA = 25.9%). Neither weighting configuration therefore yields a Non-vegetated detector that is simultaneously accurate, precise, and stable.</w:t>
      </w:r>
    </w:p>
    <w:p>
      <w:pPr>
        <w:spacing w:after="120" w:line="252"/>
        <w:ind w:firstLine="204"/>
        <w:jc w:val="both"/>
      </w:pPr>
      <w:r>
        <w:rPr>
          <w:rFonts w:ascii="Times New Roman" w:cs="Times New Roman" w:eastAsia="Times New Roman" w:hAnsi="Times New Roman"/>
          <w:sz w:val="20"/>
          <w:szCs w:val="20"/>
        </w:rPr>
        <w:t xml:space="preserve">This instability propagates directly into the 2025 forecasts. The full-weight configuration projected Non-vegetated land at 8,420.6 km² (± 706.6 km², 5 seeds) — a nearly four-fold increase from the 2024 baseline in a single year, driven by its false-positive rate rather than genuine signal. The √-dampened configuration projected 1,580.0 km² (± 550.3 km²) — a decline from 2024, with one seed alone (542.5 km²) pulling the mean down, reflecting the same recall instability seen in Table 17. Table 18 compares the refined CA–Markov projection against the √-dampened refined ConvLSTM, the configuration retained for final comparison:</w:t>
      </w:r>
    </w:p>
    <w:p>
      <w:pPr>
        <w:spacing w:after="20" w:before="200"/>
        <w:jc w:val="left"/>
      </w:pPr>
      <w:r>
        <w:rPr>
          <w:rFonts w:ascii="Times New Roman" w:cs="Times New Roman" w:eastAsia="Times New Roman" w:hAnsi="Times New Roman"/>
          <w:sz w:val="16"/>
          <w:szCs w:val="16"/>
        </w:rPr>
        <w:t xml:space="preserve">TABLE 18</w:t>
      </w:r>
    </w:p>
    <w:p>
      <w:pPr>
        <w:spacing w:after="100"/>
        <w:jc w:val="left"/>
      </w:pPr>
      <w:r>
        <w:rPr>
          <w:rFonts w:ascii="Times New Roman" w:cs="Times New Roman" w:eastAsia="Times New Roman" w:hAnsi="Times New Roman"/>
          <w:caps/>
          <w:sz w:val="16"/>
          <w:szCs w:val="16"/>
        </w:rPr>
        <w:t xml:space="preserve">REFINED CA–MARKOV VS. REFINED CONVLSTM (√-DAMPENED): PROJECTED 2025 LAND COVER</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2700"/>
        <w:gridCol w:w="2100"/>
        <w:gridCol w:w="2400"/>
        <w:gridCol w:w="2160"/>
      </w:tblGrid>
      <w:tr>
        <w:trPr>
          <w:tblHeader/>
        </w:trPr>
        <w:tc>
          <w:tcPr>
            <w:tcW w:type="dxa" w:w="2700"/>
            <w:tcBorders>
              <w:top w:val="none" w:color="FFFFFF" w:sz="0"/>
              <w:left w:val="none" w:color="FFFFFF" w:sz="0"/>
              <w:bottom w:val="none" w:color="FFFFFF" w:sz="0"/>
              <w:right w:val="none" w:color="FFFFFF" w:sz="0"/>
            </w:tcBorders>
            <w:shd w:fill="D9D9D9"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6"/>
                <w:szCs w:val="16"/>
              </w:rPr>
              <w:t xml:space="preserve">Class</w:t>
            </w:r>
          </w:p>
        </w:tc>
        <w:tc>
          <w:tcPr>
            <w:tcW w:type="dxa" w:w="2100"/>
            <w:tcBorders>
              <w:top w:val="none" w:color="FFFFFF" w:sz="0"/>
              <w:left w:val="none" w:color="FFFFFF" w:sz="0"/>
              <w:bottom w:val="none" w:color="FFFFFF" w:sz="0"/>
              <w:right w:val="none" w:color="FFFFFF" w:sz="0"/>
            </w:tcBorders>
            <w:shd w:fill="D9D9D9"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6"/>
                <w:szCs w:val="16"/>
              </w:rPr>
              <w:t xml:space="preserve">CA–Markov (km²)</w:t>
            </w:r>
          </w:p>
        </w:tc>
        <w:tc>
          <w:tcPr>
            <w:tcW w:type="dxa" w:w="2400"/>
            <w:tcBorders>
              <w:top w:val="none" w:color="FFFFFF" w:sz="0"/>
              <w:left w:val="none" w:color="FFFFFF" w:sz="0"/>
              <w:bottom w:val="none" w:color="FFFFFF" w:sz="0"/>
              <w:right w:val="none" w:color="FFFFFF" w:sz="0"/>
            </w:tcBorders>
            <w:shd w:fill="D9D9D9"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6"/>
                <w:szCs w:val="16"/>
              </w:rPr>
              <w:t xml:space="preserve">ConvLSTM (km², mean±SD)</w:t>
            </w:r>
          </w:p>
        </w:tc>
        <w:tc>
          <w:tcPr>
            <w:tcW w:type="dxa" w:w="2160"/>
            <w:tcBorders>
              <w:top w:val="none" w:color="FFFFFF" w:sz="0"/>
              <w:left w:val="none" w:color="FFFFFF" w:sz="0"/>
              <w:bottom w:val="none" w:color="FFFFFF" w:sz="0"/>
              <w:right w:val="none" w:color="FFFFFF" w:sz="0"/>
            </w:tcBorders>
            <w:shd w:fill="D9D9D9"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6"/>
                <w:szCs w:val="16"/>
              </w:rPr>
              <w:t xml:space="preserve">Ratio</w:t>
            </w:r>
          </w:p>
        </w:tc>
      </w:tr>
      <w:tr>
        <w:tc>
          <w:tcPr>
            <w:tcW w:type="dxa" w:w="27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6"/>
                <w:szCs w:val="16"/>
              </w:rPr>
              <w:t xml:space="preserve">Water</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1,200.8</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998.8±126.9</w:t>
            </w:r>
          </w:p>
        </w:tc>
        <w:tc>
          <w:tcPr>
            <w:tcW w:type="dxa" w:w="216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0.83</w:t>
            </w:r>
          </w:p>
        </w:tc>
      </w:tr>
      <w:tr>
        <w:tc>
          <w:tcPr>
            <w:tcW w:type="dxa" w:w="27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6"/>
                <w:szCs w:val="16"/>
              </w:rPr>
              <w:t xml:space="preserve">Non-vegetated</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2,626.0</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1580.0±550.3</w:t>
            </w:r>
          </w:p>
        </w:tc>
        <w:tc>
          <w:tcPr>
            <w:tcW w:type="dxa" w:w="216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0.60</w:t>
            </w:r>
          </w:p>
        </w:tc>
      </w:tr>
      <w:tr>
        <w:tc>
          <w:tcPr>
            <w:tcW w:type="dxa" w:w="27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6"/>
                <w:szCs w:val="16"/>
              </w:rPr>
              <w:t xml:space="preserve">Sparse vegetation</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20,364.7</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25333.5±617.5</w:t>
            </w:r>
          </w:p>
        </w:tc>
        <w:tc>
          <w:tcPr>
            <w:tcW w:type="dxa" w:w="216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1.24</w:t>
            </w:r>
          </w:p>
        </w:tc>
      </w:tr>
      <w:tr>
        <w:tc>
          <w:tcPr>
            <w:tcW w:type="dxa" w:w="27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6"/>
                <w:szCs w:val="16"/>
              </w:rPr>
              <w:t xml:space="preserve">Dense vegetation</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11,330.8</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7610.1±619.6</w:t>
            </w:r>
          </w:p>
        </w:tc>
        <w:tc>
          <w:tcPr>
            <w:tcW w:type="dxa" w:w="216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0.67</w:t>
            </w:r>
          </w:p>
        </w:tc>
      </w:tr>
    </w:tbl>
    <w:p>
      <w:pPr>
        <w:spacing w:after="120" w:line="252"/>
        <w:ind w:firstLine="204"/>
        <w:jc w:val="both"/>
      </w:pPr>
      <w:r>
        <w:rPr>
          <w:rFonts w:ascii="Times New Roman" w:cs="Times New Roman" w:eastAsia="Times New Roman" w:hAnsi="Times New Roman"/>
          <w:sz w:val="20"/>
          <w:szCs w:val="20"/>
        </w:rPr>
        <w:t xml:space="preserve">The resolution-matched re-run (Section III-J) shows the same degradation pattern already found for the original classification (Table 10): refined CA–Markov's Non-vegetated Producer's Accuracy collapses from 46.3% at native resolution to 10.2% at the coarse grid, while Overall Accuracy is nearly unchanged (61.72% → 61.82%) and Kappa falls (0.3194 → 0.2871).</w:t>
      </w:r>
    </w:p>
    <w:p>
      <w:pPr>
        <w:spacing w:after="20" w:before="200"/>
        <w:jc w:val="left"/>
      </w:pPr>
      <w:r>
        <w:rPr>
          <w:rFonts w:ascii="Times New Roman" w:cs="Times New Roman" w:eastAsia="Times New Roman" w:hAnsi="Times New Roman"/>
          <w:sz w:val="16"/>
          <w:szCs w:val="16"/>
        </w:rPr>
        <w:t xml:space="preserve">TABLE 19</w:t>
      </w:r>
    </w:p>
    <w:p>
      <w:pPr>
        <w:spacing w:after="100"/>
        <w:jc w:val="left"/>
      </w:pPr>
      <w:r>
        <w:rPr>
          <w:rFonts w:ascii="Times New Roman" w:cs="Times New Roman" w:eastAsia="Times New Roman" w:hAnsi="Times New Roman"/>
          <w:caps/>
          <w:sz w:val="16"/>
          <w:szCs w:val="16"/>
        </w:rPr>
        <w:t xml:space="preserve">REFINED CA–MARKOV AT NATIVE VS. COARSE (300×233) RESOLUTION</w:t>
      </w:r>
    </w:p>
    <w:tbl>
      <w:tblPr>
        <w:tblW w:type="dxa" w:w="9360"/>
        <w:tblBorders>
          <w:top w:val="single" w:color="000000" w:sz="8"/>
          <w:left w:val="none" w:color="FFFFFF" w:sz="0"/>
          <w:bottom w:val="single" w:color="000000" w:sz="8"/>
          <w:right w:val="none" w:color="FFFFFF" w:sz="0"/>
          <w:insideH w:val="none" w:color="FFFFFF" w:sz="0"/>
          <w:insideV w:val="none" w:color="FFFFFF" w:sz="0"/>
        </w:tblBorders>
      </w:tblPr>
      <w:tblGrid>
        <w:gridCol w:w="3200"/>
        <w:gridCol w:w="2350"/>
        <w:gridCol w:w="2350"/>
        <w:gridCol w:w="1460"/>
      </w:tblGrid>
      <w:tr>
        <w:trPr>
          <w:tblHeader/>
        </w:trPr>
        <w:tc>
          <w:tcPr>
            <w:tcW w:type="dxa" w:w="3200"/>
            <w:tcBorders>
              <w:top w:val="none" w:color="FFFFFF" w:sz="0"/>
              <w:left w:val="none" w:color="FFFFFF" w:sz="0"/>
              <w:bottom w:val="none" w:color="FFFFFF" w:sz="0"/>
              <w:right w:val="none" w:color="FFFFFF" w:sz="0"/>
            </w:tcBorders>
            <w:shd w:fill="D9D9D9"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6"/>
                <w:szCs w:val="16"/>
              </w:rPr>
              <w:t xml:space="preserve">Metric</w:t>
            </w:r>
          </w:p>
        </w:tc>
        <w:tc>
          <w:tcPr>
            <w:tcW w:type="dxa" w:w="2350"/>
            <w:tcBorders>
              <w:top w:val="none" w:color="FFFFFF" w:sz="0"/>
              <w:left w:val="none" w:color="FFFFFF" w:sz="0"/>
              <w:bottom w:val="none" w:color="FFFFFF" w:sz="0"/>
              <w:right w:val="none" w:color="FFFFFF" w:sz="0"/>
            </w:tcBorders>
            <w:shd w:fill="D9D9D9"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6"/>
                <w:szCs w:val="16"/>
              </w:rPr>
              <w:t xml:space="preserve">Native grid (Table 16)</w:t>
            </w:r>
          </w:p>
        </w:tc>
        <w:tc>
          <w:tcPr>
            <w:tcW w:type="dxa" w:w="2350"/>
            <w:tcBorders>
              <w:top w:val="none" w:color="FFFFFF" w:sz="0"/>
              <w:left w:val="none" w:color="FFFFFF" w:sz="0"/>
              <w:bottom w:val="none" w:color="FFFFFF" w:sz="0"/>
              <w:right w:val="none" w:color="FFFFFF" w:sz="0"/>
            </w:tcBorders>
            <w:shd w:fill="D9D9D9"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6"/>
                <w:szCs w:val="16"/>
              </w:rPr>
              <w:t xml:space="preserve">Coarse grid</w:t>
            </w:r>
          </w:p>
        </w:tc>
        <w:tc>
          <w:tcPr>
            <w:tcW w:type="dxa" w:w="1460"/>
            <w:tcBorders>
              <w:top w:val="none" w:color="FFFFFF" w:sz="0"/>
              <w:left w:val="none" w:color="FFFFFF" w:sz="0"/>
              <w:bottom w:val="none" w:color="FFFFFF" w:sz="0"/>
              <w:right w:val="none" w:color="FFFFFF" w:sz="0"/>
            </w:tcBorders>
            <w:shd w:fill="D9D9D9"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16"/>
                <w:szCs w:val="16"/>
              </w:rPr>
              <w:t xml:space="preserve"/>
            </w:r>
          </w:p>
        </w:tc>
      </w:tr>
      <w:tr>
        <w:tc>
          <w:tcPr>
            <w:tcW w:type="dxa" w:w="32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6"/>
                <w:szCs w:val="16"/>
              </w:rPr>
              <w:t xml:space="preserve">Overall Accuracy</w:t>
            </w:r>
          </w:p>
        </w:tc>
        <w:tc>
          <w:tcPr>
            <w:tcW w:type="dxa" w:w="23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61.72%</w:t>
            </w:r>
          </w:p>
        </w:tc>
        <w:tc>
          <w:tcPr>
            <w:tcW w:type="dxa" w:w="23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61.82%</w:t>
            </w:r>
          </w:p>
        </w:tc>
        <w:tc>
          <w:tcPr>
            <w:tcW w:type="dxa" w:w="146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
            </w:r>
          </w:p>
        </w:tc>
      </w:tr>
      <w:tr>
        <w:tc>
          <w:tcPr>
            <w:tcW w:type="dxa" w:w="32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6"/>
                <w:szCs w:val="16"/>
              </w:rPr>
              <w:t xml:space="preserve">Kappa</w:t>
            </w:r>
          </w:p>
        </w:tc>
        <w:tc>
          <w:tcPr>
            <w:tcW w:type="dxa" w:w="23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0.3194</w:t>
            </w:r>
          </w:p>
        </w:tc>
        <w:tc>
          <w:tcPr>
            <w:tcW w:type="dxa" w:w="23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0.2871</w:t>
            </w:r>
          </w:p>
        </w:tc>
        <w:tc>
          <w:tcPr>
            <w:tcW w:type="dxa" w:w="146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
            </w:r>
          </w:p>
        </w:tc>
      </w:tr>
      <w:tr>
        <w:tc>
          <w:tcPr>
            <w:tcW w:type="dxa" w:w="32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6"/>
                <w:szCs w:val="16"/>
              </w:rPr>
              <w:t xml:space="preserve">PA — Non-vegetated</w:t>
            </w:r>
          </w:p>
        </w:tc>
        <w:tc>
          <w:tcPr>
            <w:tcW w:type="dxa" w:w="23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46.3%</w:t>
            </w:r>
          </w:p>
        </w:tc>
        <w:tc>
          <w:tcPr>
            <w:tcW w:type="dxa" w:w="23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10.2%</w:t>
            </w:r>
          </w:p>
        </w:tc>
        <w:tc>
          <w:tcPr>
            <w:tcW w:type="dxa" w:w="146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
            </w:r>
          </w:p>
        </w:tc>
      </w:tr>
      <w:tr>
        <w:tc>
          <w:tcPr>
            <w:tcW w:type="dxa" w:w="32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16"/>
                <w:szCs w:val="16"/>
              </w:rPr>
              <w:t xml:space="preserve">PA — Dense vegetation</w:t>
            </w:r>
          </w:p>
        </w:tc>
        <w:tc>
          <w:tcPr>
            <w:tcW w:type="dxa" w:w="23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44.1%</w:t>
            </w:r>
          </w:p>
        </w:tc>
        <w:tc>
          <w:tcPr>
            <w:tcW w:type="dxa" w:w="23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40.1%</w:t>
            </w:r>
          </w:p>
        </w:tc>
        <w:tc>
          <w:tcPr>
            <w:tcW w:type="dxa" w:w="146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b w:val="false"/>
                <w:bCs w:val="false"/>
                <w:sz w:val="16"/>
                <w:szCs w:val="16"/>
              </w:rPr>
              <w:t xml:space="preserve"/>
            </w:r>
          </w:p>
        </w:tc>
      </w:tr>
    </w:tbl>
    <w:p>
      <w:pPr>
        <w:spacing w:after="120" w:line="252"/>
        <w:ind w:firstLine="204"/>
        <w:jc w:val="both"/>
      </w:pPr>
      <w:r>
        <w:rPr>
          <w:rFonts w:ascii="Times New Roman" w:cs="Times New Roman" w:eastAsia="Times New Roman" w:hAnsi="Times New Roman"/>
          <w:sz w:val="20"/>
          <w:szCs w:val="20"/>
        </w:rPr>
        <w:t xml:space="preserve">At this shared, resolution-matched grid, refined ConvLSTM v3 (Table 17: OA = 72.73%, Kappa = 0.4509, PA[Non-vegetated] = 34.4%) exceeds refined CA–Markov's coarse-grid figures (OA = 61.82%, Kappa = 0.2871, PA[Non-vegetated] = 10.2%) on every one of these metrics — by 10.9 points of OA, 0.164 of Kappa, and 24.2 points of Non-vegetated Producer's Accuracy. Unlike the original classification, where matching resolution was needed to overturn an initially CA–Markov-favoring result, here it removes the one confound that could have explained refined ConvLSTM's Kappa advantage and shows the advantage holds, and is if anything larger, once the comparison is made fairly. This does not change the paper's overall conclusion that neither refined model is decision-ready on the Non-vegetated class: refined ConvLSTM still cannot deliver that accuracy with stable, precise recall (Table 17), and refined CA–Markov's real-world 2025 forecast (Table 15) remains the only one of the three configurations that is single-valued and directionally plausible.</w:t>
      </w:r>
    </w:p>
    <w:p>
      <w:pPr>
        <w:keepNext/>
        <w:spacing w:after="160" w:before="280"/>
        <w:jc w:val="center"/>
      </w:pPr>
      <w:r>
        <w:rPr>
          <w:rFonts w:ascii="Times New Roman" w:cs="Times New Roman" w:eastAsia="Times New Roman" w:hAnsi="Times New Roman"/>
          <w:b/>
          <w:bCs/>
          <w:sz w:val="20"/>
          <w:szCs w:val="20"/>
        </w:rPr>
        <w:t xml:space="preserve">V. DISCUSSION</w:t>
      </w:r>
    </w:p>
    <w:p>
      <w:pPr>
        <w:spacing w:after="120" w:line="252"/>
        <w:ind w:firstLine="204"/>
        <w:jc w:val="both"/>
      </w:pPr>
      <w:r>
        <w:rPr>
          <w:rFonts w:ascii="Times New Roman" w:cs="Times New Roman" w:eastAsia="Times New Roman" w:hAnsi="Times New Roman"/>
          <w:sz w:val="20"/>
          <w:szCs w:val="20"/>
        </w:rPr>
        <w:t xml:space="preserve">The CA–Markov model's out-of-sample FoM of 22.2% sits within the range commonly reported for genuine forward-projection land change models — typically 10–30% — even when Kappa and OA are considerably higher [28], [31], confirming that this study's validation, though numerically modest on OA and Kappa alone (68.3% and 0.38), is consistent with realistic expectations for a province-scale, three-year-ahead projection rather than indicating a defective model. The lowest per-class accuracies occurred for Non-vegetated and Sparse vegetation (Table 6), the two most dynamically transitioning classes and the ones most exposed to the seasonal wet-paddy spectral confusion described in Section III-E; Water and Dense vegetation, dominated by high persistence, validated substantially better. This pattern is consistent with the general finding that CA–Markov accuracy depends strongly on the calibration interval and the underlying rate of genuine change in the landscape [8], [9].</w:t>
      </w:r>
    </w:p>
    <w:p>
      <w:pPr>
        <w:spacing w:after="120" w:line="252"/>
        <w:ind w:firstLine="204"/>
        <w:jc w:val="both"/>
      </w:pPr>
      <w:r>
        <w:rPr>
          <w:rFonts w:ascii="Times New Roman" w:cs="Times New Roman" w:eastAsia="Times New Roman" w:hAnsi="Times New Roman"/>
          <w:sz w:val="20"/>
          <w:szCs w:val="20"/>
        </w:rPr>
        <w:t xml:space="preserve">The comparison in Table 9 was the initial finding of this study, and, taken at face value, would suggest ConvLSTM is the better overall model (OA = 75.5% vs. 68.3%) that nonetheless fails catastrophically on the class of greatest practical interest. Its confusion matrix (Table 7) shows textbook class-imbalance collapse: because Non-vegetated pixels made up only about 6% of valid training pixels while Dense vegetation exceeded 67%, the cross-entropy optimizer found that predicting the majority class almost everywhere minimized average loss, driving Producer's Accuracy for Non-vegetated down to 0.68%. This is precisely the failure mode documented in the class-imbalance semantic-segmentation literature for remote sensing imagery generally [18] and for land cover/crop mapping specifically [19] — but the diagnostic experiments of Sections III-H and IV-F show that stopping at this diagnosis would have been premature and would have overstated CA–Markov's advantage.</w:t>
      </w:r>
    </w:p>
    <w:p>
      <w:pPr>
        <w:spacing w:after="120" w:line="252"/>
        <w:ind w:firstLine="204"/>
        <w:jc w:val="both"/>
      </w:pPr>
      <w:r>
        <w:rPr>
          <w:rFonts w:ascii="Times New Roman" w:cs="Times New Roman" w:eastAsia="Times New Roman" w:hAnsi="Times New Roman"/>
          <w:sz w:val="20"/>
          <w:szCs w:val="20"/>
        </w:rPr>
        <w:t xml:space="preserve">Two confounds, not one, were responsible. First, the two models were being compared at different spatial resolutions: CA–Markov ran on the native 86 m analysis grid, while ConvLSTM was necessarily downsampled 8× further for CPU tractability. Table 10 shows CA–Markov's own Non-vegetated Producer's Accuracy collapsing from 44.2% to 8.4% once evaluated at ConvLSTM's resolution — meaning a large share of the apparent CA–Markov advantage was an artifact of an unfair comparison, not evidence that CA–Markov is inherently more robust to class imbalance. Second, and more consequentially, the original ConvLSTM training used plain (unweighted) cross-entropy loss, which is well known to encourage exactly this majority-class collapse. Table 11 shows that this is a substantially fixable training choice, not an inherent property of ConvLSTM or of deep learning applied to this problem: inverse-frequency class-weighted loss, combined with a label-downsampling correction, recovered Non-vegetated Producer's Accuracy to 59.6% (± 3.4%, five seeds) while Kappa improved to 0.52 (± 0.03) — both exceeding CA–Markov's own coarse-grid metrics (Kappa = 0.4257, PA = 8.4%). The five-seed replication rules out the original single-run collapse being a fluke, and the same replication for the fixed configuration shows the recovery is likewise consistent rather than a lucky seed.</w:t>
      </w:r>
    </w:p>
    <w:p>
      <w:pPr>
        <w:spacing w:after="120" w:line="252"/>
        <w:ind w:firstLine="204"/>
        <w:jc w:val="both"/>
      </w:pPr>
      <w:r>
        <w:rPr>
          <w:rFonts w:ascii="Times New Roman" w:cs="Times New Roman" w:eastAsia="Times New Roman" w:hAnsi="Times New Roman"/>
          <w:sz w:val="20"/>
          <w:szCs w:val="20"/>
        </w:rPr>
        <w:t xml:space="preserve">Within the initial classification, the corrected picture reversed the paper's first conclusion, and the fifth experiment (Section IV-F, Table 12) showed the reversal was not a hedge: tested against CA–Markov's coarse-grid prediction across five independent seeds, the fixed ConvLSTM exceeded CA–Markov's Non-vegetated Producer's Accuracy in every seed, significantly so in every seed, and matched or exceeded CA–Markov's overall OA in every seed as well, significantly in four of five. At matched resolution and with standard class-weighting applied, ConvLSTM was not merely competitive with CA–Markov within that classification scheme — it was significantly and consistently better, on both overall agreement and the specific minority class that motivated this comparison. That finding stands on its own terms: a naive, single-configuration comparison between a classical and a deep-learning model can produce a confident-sounding but misleading verdict unless evaluation resolution is held constant and standard class-imbalance remedies are applied to both models before judging either one's ceiling performance [18], [19], [28].</w:t>
      </w:r>
    </w:p>
    <w:p>
      <w:pPr>
        <w:spacing w:after="120" w:line="252"/>
        <w:ind w:firstLine="204"/>
        <w:jc w:val="both"/>
      </w:pPr>
      <w:r>
        <w:rPr>
          <w:rFonts w:ascii="Times New Roman" w:cs="Times New Roman" w:eastAsia="Times New Roman" w:hAnsi="Times New Roman"/>
          <w:sz w:val="20"/>
          <w:szCs w:val="20"/>
        </w:rPr>
        <w:t xml:space="preserve">The independent ground-truth check (Section IV-G) added a further, more consequential twist: the initial NDVI-only classification that both models were built on agreed with real, external reference data far less often (OA = 43.8%, Kappa = 0.155) than any self-referential figure in this paper suggested, with the error concentrated in exactly the mechanism the remote-sensing literature predicts — a single greenness index cannot separate closed-canopy natural forest from healthy, high-NDVI cropland or plantation [8], [32], [33]. This is a different and, for a study whose purpose is model comparison, more fundamental problem than the resolution and weighting confounds diagnosed above: those affected which model looked better; this affected whether the labels either model was being scored against were themselves trustworthy. Adding a second spectral index (NDMI) and refitting the Dense-vegetation threshold against the independent reference recovered roughly two-fifths of the gap (OA 43.8% → 55.5%), but is disclosed here as a partial, not a complete, correction — Dense-vegetation accuracy fell as a side effect, and the refined classification should be read as an improvement in degree, not a solved classification problem.</w:t>
      </w:r>
    </w:p>
    <w:p>
      <w:pPr>
        <w:spacing w:after="120" w:line="252"/>
        <w:ind w:firstLine="204"/>
        <w:jc w:val="both"/>
      </w:pPr>
      <w:r>
        <w:rPr>
          <w:rFonts w:ascii="Times New Roman" w:cs="Times New Roman" w:eastAsia="Times New Roman" w:hAnsi="Times New Roman"/>
          <w:sz w:val="20"/>
          <w:szCs w:val="20"/>
        </w:rPr>
        <w:t xml:space="preserve">Rebuilding both models on the refined classification produced a genuinely mixed, rather than a clean, result — and this is itself the more important finding to report honestly than either paper's earlier headline verdict. Refined CA–Markov's validation OA fell relative to the initial classification (68.3% → 61.7%) but its FoM rose (22.2% → 25.7%), and its 2025 Non-vegetated projection (+19.0%) remained single-valued, deterministic, and directionally consistent with the documented urbanization trend [1]–[5]. Comparing this native-resolution CA–Markov figure directly against ConvLSTM's necessarily-coarse-grid Kappa would repeat the exact resolution confound Sections III-H and IV-F diagnosed for the original classification, so Table 19 reruns CA–Markov at ConvLSTM's own resolution on the refined labels: the same degradation recurs (Kappa 0.3194 → 0.2871, PA[Non-vegetated] 46.3% → 10.2%), and at that shared, fairly-matched resolution refined ConvLSTM's Kappa advantage is not only confirmed but larger than the unmatched figures suggested (0.4509 vs. 0.2871, not vs. 0.3194). Refined ConvLSTM, even after adding the NDMI channel the new labels required, still could not simultaneously achieve good precision and good recall on the Non-vegetated class under either weighting scheme tested: full inverse-frequency weighting reached 73% recall at 13% precision, while square-root-dampened weighting reached that higher Kappa but left Non-vegetated recall unstable across seeds (12.9–42.4%) and precision still weak (26%). The practical consequence is visible directly in the 2025 forecasts (Table 18): the full-weight ConvLSTM projects an implausible near-quadrupling of Non-vegetated land in one year, driven by false positives, while the dampened configuration projects a decline with a standard deviation exceeding a third of its own mean. Neither is a forecast a planner should act on; CA–Markov's remains the only one of the three configurations that produces a single, stable, directionally plausible 2025 number for the class this study's argument turns on — even though, on the pixel-level classification accuracy a fair, resolution-matched comparison actually supports, ConvLSTM is the more accurate classifier of the two.</w:t>
      </w:r>
    </w:p>
    <w:p>
      <w:pPr>
        <w:spacing w:after="120" w:line="252"/>
        <w:ind w:firstLine="204"/>
        <w:jc w:val="both"/>
      </w:pPr>
      <w:r>
        <w:rPr>
          <w:rFonts w:ascii="Times New Roman" w:cs="Times New Roman" w:eastAsia="Times New Roman" w:hAnsi="Times New Roman"/>
          <w:sz w:val="20"/>
          <w:szCs w:val="20"/>
        </w:rPr>
        <w:t xml:space="preserve">Read end to end, this study's own trajectory is the clearest illustration of its central methodological claim. A first comparison favored CA–Markov, apparently decisively. Diagnosing that result's confounds (resolution, loss weighting) reversed it, apparently decisively, in ConvLSTM's favor. Introducing independent, external validation — absent from both prior comparisons — showed the foundation both models were built on was itself weaker than assumed, and that repairing it did not restore ConvLSTM's advantage; if anything, it reopened the case for CA–Markov's practical reliability, while leaving its own accuracy figures lower and more honestly caveated than before. No single comparison in this sequence would have been a safe place to stop.</w:t>
      </w:r>
    </w:p>
    <w:p>
      <w:pPr>
        <w:spacing w:after="120" w:line="252"/>
        <w:ind w:firstLine="204"/>
        <w:jc w:val="both"/>
      </w:pPr>
      <w:r>
        <w:rPr>
          <w:rFonts w:ascii="Times New Roman" w:cs="Times New Roman" w:eastAsia="Times New Roman" w:hAnsi="Times New Roman"/>
          <w:sz w:val="20"/>
          <w:szCs w:val="20"/>
        </w:rPr>
        <w:t xml:space="preserve">These results should be read against four remaining limitations. First, the independent reference layer's exact acquisition date could not be confirmed from its own metadata, so some of the residual disagreement with the 2024 classification may reflect genuine land-cover change between the reference date and 2024 rather than classification error; a dated, higher-resolution, or field-verified reference would sharpen this check considerably. Second, the historical image series available for this study spans only eight annual composites (2017–2024), short of the training-data volumes typically used to demonstrate ConvLSTM's advantages over Markovian methods in the deep-learning land cover literature [15]–[17]; whether a longer or higher-frequency (e.g., monthly or seasonal) composite series would let ConvLSTM achieve good precision and recall simultaneously on the Non-vegetated class remains an open, testable question. Third, NDMI addresses the specific agriculture/forest confusion diagnosed here but is itself a single additional index; distinguishing further sub-types (settlement vs. bare land, paddy vs. plantation) would need supervised multi-band classification and labeled training data this study did not have. Fourth, the Non-vegetated→Water transition cap applied in Section III-E is a disclosed, rule-based domain correction rather than a structural fix; an auxiliary water index (e.g., MNDWI) or multi-seasonal compositing would be a more principled way to resolve the underlying wet-paddy/bare-land spectral confusion in future work.</w:t>
      </w:r>
    </w:p>
    <w:p>
      <w:pPr>
        <w:spacing w:after="120" w:line="252"/>
        <w:ind w:firstLine="204"/>
        <w:jc w:val="both"/>
      </w:pPr>
      <w:r>
        <w:rPr>
          <w:rFonts w:ascii="Times New Roman" w:cs="Times New Roman" w:eastAsia="Times New Roman" w:hAnsi="Times New Roman"/>
          <w:sz w:val="20"/>
          <w:szCs w:val="20"/>
        </w:rPr>
        <w:t xml:space="preserve">Both models' 2025 projections remain linear or Markovian extrapolations of the 2017–2024 historical pattern and do not incorporate spatial-plan zoning, scheduled infrastructure projects, or other exogenous policy drivers that are already known to reshape land-use trajectories along West Java's toll-road and high-speed-rail corridors [2]; integrating such drivers as spatially explicit constraints, as has been done for scenario-based Java-wide projections [1], is a natural extension of the present, now independently checked, baseline.</w:t>
      </w:r>
    </w:p>
    <w:p>
      <w:pPr>
        <w:keepNext/>
        <w:spacing w:after="160" w:before="280"/>
        <w:jc w:val="center"/>
      </w:pPr>
      <w:r>
        <w:rPr>
          <w:rFonts w:ascii="Times New Roman" w:cs="Times New Roman" w:eastAsia="Times New Roman" w:hAnsi="Times New Roman"/>
          <w:b/>
          <w:bCs/>
          <w:sz w:val="20"/>
          <w:szCs w:val="20"/>
        </w:rPr>
        <w:t xml:space="preserve">VI. CONCLUSIONS</w:t>
      </w:r>
    </w:p>
    <w:p>
      <w:pPr>
        <w:spacing w:after="120" w:line="252"/>
        <w:ind w:firstLine="204"/>
        <w:jc w:val="both"/>
      </w:pPr>
      <w:r>
        <w:rPr>
          <w:rFonts w:ascii="Times New Roman" w:cs="Times New Roman" w:eastAsia="Times New Roman" w:hAnsi="Times New Roman"/>
          <w:sz w:val="20"/>
          <w:szCs w:val="20"/>
        </w:rPr>
        <w:t xml:space="preserve">This study set out to compare a classical CA–Markov model against a ConvLSTM deep-learning alternative for land cover change projection, and ended up demonstrating why that comparison is harder to get right than a single model run can show. On the initial NDVI-only classification, a naive comparison favored CA–Markov; diagnosing and correcting a resolution mismatch and an unweighted loss function reversed that verdict, significantly and consistently, in ConvLSTM's favor. Introducing an independent, external ground-truth check — a validation step absent from the comparable literature on this topic — then showed the classification both models were built on was itself less accurate against real reference data than either model's self-referential validation implied, concentrated in a specific, diagnosable spectral confusion between forest and high-NDVI agriculture. Adding a second spectral index and rebuilding both models on the corrected classification did not restore a clean verdict: refined CA–Markov produced a lower validation OA but a higher FoM and a single, stable, plausible 2025 forecast, while refined ConvLSTM reached higher overall Kappa but could not, under either class-weighting scheme tested, produce a Non-vegetated forecast that was simultaneously precise, sensitive, and stable across seeds.</w:t>
      </w:r>
    </w:p>
    <w:p>
      <w:pPr>
        <w:spacing w:after="120" w:line="252"/>
        <w:ind w:firstLine="204"/>
        <w:jc w:val="both"/>
      </w:pPr>
      <w:r>
        <w:rPr>
          <w:rFonts w:ascii="Times New Roman" w:cs="Times New Roman" w:eastAsia="Times New Roman" w:hAnsi="Times New Roman"/>
          <w:sz w:val="20"/>
          <w:szCs w:val="20"/>
        </w:rPr>
        <w:t xml:space="preserve">The contribution of this study is therefore not a verdict on which model family is superior — the evidence does not support one — but a demonstrated, fully disclosed case for why land change model comparisons need independent validation and repeated, adversarial self-checking before any such verdict is drawn. Reproducible, disclosed workflows and honestly reported reversals are more valuable to the field than a single confident comparison run once. Future work should obtain a dated, field-verified reference to sharpen the independent check; extend the historical composite series (ideally to monthly or seasonal frequency over a decade or more) to test whether either model's minority-class instability resolves at greater data volume; and incorporate spatial-plan and infrastructure data as exogenous constraints on both models, so that a genuinely decision-ready 2025 forecast — which, on the present evidence, neither model fully provides — can be built with justified confidence.</w:t>
      </w:r>
    </w:p>
    <w:p>
      <w:pPr>
        <w:spacing w:after="80" w:before="260"/>
      </w:pPr>
      <w:r>
        <w:rPr>
          <w:rFonts w:ascii="Times New Roman" w:cs="Times New Roman" w:eastAsia="Times New Roman" w:hAnsi="Times New Roman"/>
          <w:b/>
          <w:bCs/>
          <w:sz w:val="20"/>
          <w:szCs w:val="20"/>
        </w:rPr>
        <w:t xml:space="preserve">Author Contributions: </w:t>
      </w:r>
      <w:r>
        <w:rPr>
          <w:rFonts w:ascii="Times New Roman" w:cs="Times New Roman" w:eastAsia="Times New Roman" w:hAnsi="Times New Roman"/>
          <w:sz w:val="20"/>
          <w:szCs w:val="20"/>
        </w:rPr>
        <w:t xml:space="preserve">Cholid Fauzi: Conceptualization, Methodology, Software, Formal Analysis, Investigation, Data Curation, Writing – Original Draft, Writing – Review &amp; Editing, Visualization, Supervision. The author has read and agreed to the published version of the manuscript.</w:t>
      </w:r>
    </w:p>
    <w:p>
      <w:pPr>
        <w:spacing w:after="80"/>
      </w:pPr>
      <w:r>
        <w:rPr>
          <w:rFonts w:ascii="Times New Roman" w:cs="Times New Roman" w:eastAsia="Times New Roman" w:hAnsi="Times New Roman"/>
          <w:b/>
          <w:bCs/>
          <w:sz w:val="20"/>
          <w:szCs w:val="20"/>
        </w:rPr>
        <w:t xml:space="preserve">Funding: </w:t>
      </w:r>
      <w:r>
        <w:rPr>
          <w:rFonts w:ascii="Times New Roman" w:cs="Times New Roman" w:eastAsia="Times New Roman" w:hAnsi="Times New Roman"/>
          <w:sz w:val="20"/>
          <w:szCs w:val="20"/>
        </w:rPr>
        <w:t xml:space="preserve">This research received no specific grant from any funding agency.</w:t>
      </w:r>
    </w:p>
    <w:p>
      <w:pPr>
        <w:spacing w:after="80"/>
      </w:pPr>
      <w:r>
        <w:rPr>
          <w:rFonts w:ascii="Times New Roman" w:cs="Times New Roman" w:eastAsia="Times New Roman" w:hAnsi="Times New Roman"/>
          <w:b/>
          <w:bCs/>
          <w:sz w:val="20"/>
          <w:szCs w:val="20"/>
        </w:rPr>
        <w:t xml:space="preserve">Conflicts of Interest: </w:t>
      </w:r>
      <w:r>
        <w:rPr>
          <w:rFonts w:ascii="Times New Roman" w:cs="Times New Roman" w:eastAsia="Times New Roman" w:hAnsi="Times New Roman"/>
          <w:sz w:val="20"/>
          <w:szCs w:val="20"/>
        </w:rPr>
        <w:t xml:space="preserve">The author declares no conflict of interest.</w:t>
      </w:r>
    </w:p>
    <w:p>
      <w:pPr>
        <w:spacing w:after="80"/>
      </w:pPr>
      <w:r>
        <w:rPr>
          <w:rFonts w:ascii="Times New Roman" w:cs="Times New Roman" w:eastAsia="Times New Roman" w:hAnsi="Times New Roman"/>
          <w:b/>
          <w:bCs/>
          <w:sz w:val="20"/>
          <w:szCs w:val="20"/>
        </w:rPr>
        <w:t xml:space="preserve">Data Availability: </w:t>
      </w:r>
      <w:r>
        <w:rPr>
          <w:rFonts w:ascii="Times New Roman" w:cs="Times New Roman" w:eastAsia="Times New Roman" w:hAnsi="Times New Roman"/>
          <w:sz w:val="20"/>
          <w:szCs w:val="20"/>
        </w:rPr>
        <w:t xml:space="preserve">The Sentinel-2 imagery used in this study is publicly available at no cost from the AWS Open Data “sentinel-cogs” archive (https://registry.opendata.aws/sentinel-2-l2a-cogs/). The West Java administrative boundary used for clipping is available under CC BY 4.0 at https://github.com/denyherianto/indonesia-geojson-topojson-maps-with-38-provinces. Derived classification rasters, transition matrices, and model code are available from the corresponding author upon reasonable request.</w:t>
      </w:r>
    </w:p>
    <w:p>
      <w:pPr>
        <w:spacing w:after="80"/>
      </w:pPr>
      <w:r>
        <w:rPr>
          <w:rFonts w:ascii="Times New Roman" w:cs="Times New Roman" w:eastAsia="Times New Roman" w:hAnsi="Times New Roman"/>
          <w:b/>
          <w:bCs/>
          <w:sz w:val="20"/>
          <w:szCs w:val="20"/>
        </w:rPr>
        <w:t xml:space="preserve">Informed Consent: </w:t>
      </w:r>
      <w:r>
        <w:rPr>
          <w:rFonts w:ascii="Times New Roman" w:cs="Times New Roman" w:eastAsia="Times New Roman" w:hAnsi="Times New Roman"/>
          <w:sz w:val="20"/>
          <w:szCs w:val="20"/>
        </w:rPr>
        <w:t xml:space="preserve">There were no human subjects.</w:t>
      </w:r>
    </w:p>
    <w:p>
      <w:pPr>
        <w:spacing w:after="80"/>
      </w:pPr>
      <w:r>
        <w:rPr>
          <w:rFonts w:ascii="Times New Roman" w:cs="Times New Roman" w:eastAsia="Times New Roman" w:hAnsi="Times New Roman"/>
          <w:b/>
          <w:bCs/>
          <w:sz w:val="20"/>
          <w:szCs w:val="20"/>
        </w:rPr>
        <w:t xml:space="preserve">Institutional Review Board Statement: </w:t>
      </w:r>
      <w:r>
        <w:rPr>
          <w:rFonts w:ascii="Times New Roman" w:cs="Times New Roman" w:eastAsia="Times New Roman" w:hAnsi="Times New Roman"/>
          <w:sz w:val="20"/>
          <w:szCs w:val="20"/>
        </w:rPr>
        <w:t xml:space="preserve">Not applicable.</w:t>
      </w:r>
    </w:p>
    <w:p>
      <w:pPr>
        <w:spacing w:after="80"/>
      </w:pPr>
      <w:r>
        <w:rPr>
          <w:rFonts w:ascii="Times New Roman" w:cs="Times New Roman" w:eastAsia="Times New Roman" w:hAnsi="Times New Roman"/>
          <w:b/>
          <w:bCs/>
          <w:sz w:val="20"/>
          <w:szCs w:val="20"/>
        </w:rPr>
        <w:t xml:space="preserve">Animal Subjects: </w:t>
      </w:r>
      <w:r>
        <w:rPr>
          <w:rFonts w:ascii="Times New Roman" w:cs="Times New Roman" w:eastAsia="Times New Roman" w:hAnsi="Times New Roman"/>
          <w:sz w:val="20"/>
          <w:szCs w:val="20"/>
        </w:rPr>
        <w:t xml:space="preserve">There were no animal subjects.</w:t>
      </w:r>
    </w:p>
    <w:p>
      <w:pPr>
        <w:spacing w:after="200"/>
      </w:pPr>
      <w:r>
        <w:rPr>
          <w:rFonts w:ascii="Times New Roman" w:cs="Times New Roman" w:eastAsia="Times New Roman" w:hAnsi="Times New Roman"/>
          <w:b/>
          <w:bCs/>
          <w:sz w:val="20"/>
          <w:szCs w:val="20"/>
        </w:rPr>
        <w:t xml:space="preserve">ORCID: </w:t>
      </w:r>
      <w:r>
        <w:rPr>
          <w:rFonts w:ascii="Times New Roman" w:cs="Times New Roman" w:eastAsia="Times New Roman" w:hAnsi="Times New Roman"/>
          <w:sz w:val="20"/>
          <w:szCs w:val="20"/>
        </w:rPr>
        <w:t xml:space="preserve">Cholid Fauzi: —</w:t>
      </w:r>
    </w:p>
    <w:p>
      <w:pPr>
        <w:keepNext/>
        <w:spacing w:after="160" w:before="280"/>
        <w:jc w:val="center"/>
      </w:pPr>
      <w:r>
        <w:rPr>
          <w:rFonts w:ascii="Times New Roman" w:cs="Times New Roman" w:eastAsia="Times New Roman" w:hAnsi="Times New Roman"/>
          <w:b/>
          <w:bCs/>
          <w:sz w:val="20"/>
          <w:szCs w:val="20"/>
        </w:rPr>
        <w:t xml:space="preserve">REFERENCES</w:t>
      </w:r>
    </w:p>
    <w:p>
      <w:pPr>
        <w:spacing w:after="90" w:line="240"/>
        <w:ind w:left="260" w:hanging="260"/>
        <w:jc w:val="both"/>
      </w:pPr>
      <w:r>
        <w:rPr>
          <w:rFonts w:ascii="Times New Roman" w:cs="Times New Roman" w:eastAsia="Times New Roman" w:hAnsi="Times New Roman"/>
          <w:sz w:val="16"/>
          <w:szCs w:val="16"/>
        </w:rPr>
        <w:t xml:space="preserve">[1]	</w:t>
      </w:r>
      <w:r>
        <w:rPr>
          <w:rFonts w:ascii="Times New Roman" w:cs="Times New Roman" w:eastAsia="Times New Roman" w:hAnsi="Times New Roman"/>
          <w:sz w:val="16"/>
          <w:szCs w:val="16"/>
        </w:rPr>
        <w:t xml:space="preserve">A. E. Pravitasari, G. S. Indraprahasta, and E. Rustiadi, “Dynamics and predictions of urban expansion in Java, Indonesia: Continuity and change in mega-urbanization,” ISPRS Int. J. Geo-Inf., vol. 13, no. 3, p. 102, 2024, doi: 10.3390/ijgi13030102.</w:t>
      </w:r>
    </w:p>
    <w:p>
      <w:pPr>
        <w:spacing w:after="90" w:line="240"/>
        <w:ind w:left="260" w:hanging="260"/>
        <w:jc w:val="both"/>
      </w:pPr>
      <w:r>
        <w:rPr>
          <w:rFonts w:ascii="Times New Roman" w:cs="Times New Roman" w:eastAsia="Times New Roman" w:hAnsi="Times New Roman"/>
          <w:sz w:val="16"/>
          <w:szCs w:val="16"/>
        </w:rPr>
        <w:t xml:space="preserve">[2]	</w:t>
      </w:r>
      <w:r>
        <w:rPr>
          <w:rFonts w:ascii="Times New Roman" w:cs="Times New Roman" w:eastAsia="Times New Roman" w:hAnsi="Times New Roman"/>
          <w:sz w:val="16"/>
          <w:szCs w:val="16"/>
        </w:rPr>
        <w:t xml:space="preserve">W. Salim and U. Faoziyah, “The effect of transport infrastructure on land-use change: The case of toll road and high-speed railway development in West Java,” J. Reg. City Plan., vol. 33, no. 1, pp. 34–53, 2022, doi: 10.5614/jpwk.2022.33.1.3.</w:t>
      </w:r>
    </w:p>
    <w:p>
      <w:pPr>
        <w:spacing w:after="90" w:line="240"/>
        <w:ind w:left="260" w:hanging="260"/>
        <w:jc w:val="both"/>
      </w:pPr>
      <w:r>
        <w:rPr>
          <w:rFonts w:ascii="Times New Roman" w:cs="Times New Roman" w:eastAsia="Times New Roman" w:hAnsi="Times New Roman"/>
          <w:sz w:val="16"/>
          <w:szCs w:val="16"/>
        </w:rPr>
        <w:t xml:space="preserve">[3]	</w:t>
      </w:r>
      <w:r>
        <w:rPr>
          <w:rFonts w:ascii="Times New Roman" w:cs="Times New Roman" w:eastAsia="Times New Roman" w:hAnsi="Times New Roman"/>
          <w:sz w:val="16"/>
          <w:szCs w:val="16"/>
        </w:rPr>
        <w:t xml:space="preserve">A. Jatayu, I. Saizen, and E. Rustiadi, “Urban form dynamics and modelling towards sustainable hinterland development in North Cianjur, Jakarta–Bandung mega-urban region,” Sustainability, vol. 14, no. 2, p. 907, 2022, doi: 10.3390/su14020907.</w:t>
      </w:r>
    </w:p>
    <w:p>
      <w:pPr>
        <w:spacing w:after="90" w:line="240"/>
        <w:ind w:left="260" w:hanging="260"/>
        <w:jc w:val="both"/>
      </w:pPr>
      <w:r>
        <w:rPr>
          <w:rFonts w:ascii="Times New Roman" w:cs="Times New Roman" w:eastAsia="Times New Roman" w:hAnsi="Times New Roman"/>
          <w:sz w:val="16"/>
          <w:szCs w:val="16"/>
        </w:rPr>
        <w:t xml:space="preserve">[4]	</w:t>
      </w:r>
      <w:r>
        <w:rPr>
          <w:rFonts w:ascii="Times New Roman" w:cs="Times New Roman" w:eastAsia="Times New Roman" w:hAnsi="Times New Roman"/>
          <w:sz w:val="16"/>
          <w:szCs w:val="16"/>
        </w:rPr>
        <w:t xml:space="preserve">A. Jatayu, E. Rustiadi, and D. O. Pribadi, “A quantitative approach to characterizing the changes and managing urban form for sustaining the suburb of a mega-urban region: The case of North Cianjur,” Sustainability, vol. 12, no. 19, p. 8085, 2020, doi: 10.3390/su12198085.</w:t>
      </w:r>
    </w:p>
    <w:p>
      <w:pPr>
        <w:spacing w:after="90" w:line="240"/>
        <w:ind w:left="260" w:hanging="260"/>
        <w:jc w:val="both"/>
      </w:pPr>
      <w:r>
        <w:rPr>
          <w:rFonts w:ascii="Times New Roman" w:cs="Times New Roman" w:eastAsia="Times New Roman" w:hAnsi="Times New Roman"/>
          <w:sz w:val="16"/>
          <w:szCs w:val="16"/>
        </w:rPr>
        <w:t xml:space="preserve">[5]	</w:t>
      </w:r>
      <w:r>
        <w:rPr>
          <w:rFonts w:ascii="Times New Roman" w:cs="Times New Roman" w:eastAsia="Times New Roman" w:hAnsi="Times New Roman"/>
          <w:sz w:val="16"/>
          <w:szCs w:val="16"/>
        </w:rPr>
        <w:t xml:space="preserve">D. Marwasta, “Spatial trends of urban physical growth of cities in Java, Indonesia, 1975–2015,” ASEAN J. Sci. Technol. Dev., vol. 36, no. 3, 2019, doi: 10.29037/ajstd.579.</w:t>
      </w:r>
    </w:p>
    <w:p>
      <w:pPr>
        <w:spacing w:after="90" w:line="240"/>
        <w:ind w:left="260" w:hanging="260"/>
        <w:jc w:val="both"/>
      </w:pPr>
      <w:r>
        <w:rPr>
          <w:rFonts w:ascii="Times New Roman" w:cs="Times New Roman" w:eastAsia="Times New Roman" w:hAnsi="Times New Roman"/>
          <w:sz w:val="16"/>
          <w:szCs w:val="16"/>
        </w:rPr>
        <w:t xml:space="preserve">[6]	</w:t>
      </w:r>
      <w:r>
        <w:rPr>
          <w:rFonts w:ascii="Times New Roman" w:cs="Times New Roman" w:eastAsia="Times New Roman" w:hAnsi="Times New Roman"/>
          <w:sz w:val="16"/>
          <w:szCs w:val="16"/>
        </w:rPr>
        <w:t xml:space="preserve">R. Fitri, A. Damayanti, and N. I. Simangunsong, “Land use prediction using Markov–cellular automata in the Peusangan Watershed, Aceh,” Aceh Int. J. Sci. Technol., vol. 11, no. 3, pp. 208–219, 2023, doi: 10.13170/aijst.11.3.25804.</w:t>
      </w:r>
    </w:p>
    <w:p>
      <w:pPr>
        <w:spacing w:after="90" w:line="240"/>
        <w:ind w:left="260" w:hanging="260"/>
        <w:jc w:val="both"/>
      </w:pPr>
      <w:r>
        <w:rPr>
          <w:rFonts w:ascii="Times New Roman" w:cs="Times New Roman" w:eastAsia="Times New Roman" w:hAnsi="Times New Roman"/>
          <w:sz w:val="16"/>
          <w:szCs w:val="16"/>
        </w:rPr>
        <w:t xml:space="preserve">[7]	</w:t>
      </w:r>
      <w:r>
        <w:rPr>
          <w:rFonts w:ascii="Times New Roman" w:cs="Times New Roman" w:eastAsia="Times New Roman" w:hAnsi="Times New Roman"/>
          <w:sz w:val="16"/>
          <w:szCs w:val="16"/>
        </w:rPr>
        <w:t xml:space="preserve">M. Salakory and H. Rakuasa, “Modeling of cellular automata Markov chain for predicting the carrying capacity of Ambon City,” J. Pengelolaan Sumberdaya Alam dan Lingkungan, vol. 12, no. 2, pp. 372–387, 2022, doi: 10.29244/jpsl.12.2.372-387.</w:t>
      </w:r>
    </w:p>
    <w:p>
      <w:pPr>
        <w:spacing w:after="90" w:line="240"/>
        <w:ind w:left="260" w:hanging="260"/>
        <w:jc w:val="both"/>
      </w:pPr>
      <w:r>
        <w:rPr>
          <w:rFonts w:ascii="Times New Roman" w:cs="Times New Roman" w:eastAsia="Times New Roman" w:hAnsi="Times New Roman"/>
          <w:sz w:val="16"/>
          <w:szCs w:val="16"/>
        </w:rPr>
        <w:t xml:space="preserve">[8]	</w:t>
      </w:r>
      <w:r>
        <w:rPr>
          <w:rFonts w:ascii="Times New Roman" w:cs="Times New Roman" w:eastAsia="Times New Roman" w:hAnsi="Times New Roman"/>
          <w:sz w:val="16"/>
          <w:szCs w:val="16"/>
        </w:rPr>
        <w:t xml:space="preserve">S. Wang, Z. Xu, and T. Huang, “Landscape pattern and economic factors’ effect on prediction accuracy of cellular automata-Markov chain model on county scale,” Open Geosci., vol. 12, no. 1, pp. 802–814, 2020, doi: 10.1515/geo-2020-0162.</w:t>
      </w:r>
    </w:p>
    <w:p>
      <w:pPr>
        <w:spacing w:after="90" w:line="240"/>
        <w:ind w:left="260" w:hanging="260"/>
        <w:jc w:val="both"/>
      </w:pPr>
      <w:r>
        <w:rPr>
          <w:rFonts w:ascii="Times New Roman" w:cs="Times New Roman" w:eastAsia="Times New Roman" w:hAnsi="Times New Roman"/>
          <w:sz w:val="16"/>
          <w:szCs w:val="16"/>
        </w:rPr>
        <w:t xml:space="preserve">[9]	</w:t>
      </w:r>
      <w:r>
        <w:rPr>
          <w:rFonts w:ascii="Times New Roman" w:cs="Times New Roman" w:eastAsia="Times New Roman" w:hAnsi="Times New Roman"/>
          <w:sz w:val="16"/>
          <w:szCs w:val="16"/>
        </w:rPr>
        <w:t xml:space="preserve">N. Bozali, “Spatiotemporal simulation of land use and land cover changes in Türkiye through a CA–Markov framework,” Sci. Rep., vol. 16, 2026, doi: 10.1038/s41598-026-35807-9.</w:t>
      </w:r>
    </w:p>
    <w:p>
      <w:pPr>
        <w:spacing w:after="90" w:line="240"/>
        <w:ind w:left="260" w:hanging="260"/>
        <w:jc w:val="both"/>
      </w:pPr>
      <w:r>
        <w:rPr>
          <w:rFonts w:ascii="Times New Roman" w:cs="Times New Roman" w:eastAsia="Times New Roman" w:hAnsi="Times New Roman"/>
          <w:sz w:val="16"/>
          <w:szCs w:val="16"/>
        </w:rPr>
        <w:t xml:space="preserve">[10]	</w:t>
      </w:r>
      <w:r>
        <w:rPr>
          <w:rFonts w:ascii="Times New Roman" w:cs="Times New Roman" w:eastAsia="Times New Roman" w:hAnsi="Times New Roman"/>
          <w:sz w:val="16"/>
          <w:szCs w:val="16"/>
        </w:rPr>
        <w:t xml:space="preserve">S. Wang, X. Jiao, and L. Wang, “Integration of boosted regression trees and cellular automata—Markov model to predict the land use spatial pattern in Hotan Oasis,” Sustainability, vol. 12, no. 4, p. 1396, 2020, doi: 10.3390/su12041396.</w:t>
      </w:r>
    </w:p>
    <w:p>
      <w:pPr>
        <w:spacing w:after="90" w:line="240"/>
        <w:ind w:left="260" w:hanging="260"/>
        <w:jc w:val="both"/>
      </w:pPr>
      <w:r>
        <w:rPr>
          <w:rFonts w:ascii="Times New Roman" w:cs="Times New Roman" w:eastAsia="Times New Roman" w:hAnsi="Times New Roman"/>
          <w:sz w:val="16"/>
          <w:szCs w:val="16"/>
        </w:rPr>
        <w:t xml:space="preserve">[11]	</w:t>
      </w:r>
      <w:r>
        <w:rPr>
          <w:rFonts w:ascii="Times New Roman" w:cs="Times New Roman" w:eastAsia="Times New Roman" w:hAnsi="Times New Roman"/>
          <w:sz w:val="16"/>
          <w:szCs w:val="16"/>
        </w:rPr>
        <w:t xml:space="preserve">J. Kang, L. Fang, and S. Li, “Parallel cellular automata Markov model for land use change prediction over MapReduce framework,” ISPRS Int. J. Geo-Inf., vol. 8, no. 10, p. 454, 2019, doi: 10.3390/ijgi8100454.</w:t>
      </w:r>
    </w:p>
    <w:p>
      <w:pPr>
        <w:spacing w:after="90" w:line="240"/>
        <w:ind w:left="260" w:hanging="260"/>
        <w:jc w:val="both"/>
      </w:pPr>
      <w:r>
        <w:rPr>
          <w:rFonts w:ascii="Times New Roman" w:cs="Times New Roman" w:eastAsia="Times New Roman" w:hAnsi="Times New Roman"/>
          <w:sz w:val="16"/>
          <w:szCs w:val="16"/>
        </w:rPr>
        <w:t xml:space="preserve">[12]	</w:t>
      </w:r>
      <w:r>
        <w:rPr>
          <w:rFonts w:ascii="Times New Roman" w:cs="Times New Roman" w:eastAsia="Times New Roman" w:hAnsi="Times New Roman"/>
          <w:sz w:val="16"/>
          <w:szCs w:val="16"/>
        </w:rPr>
        <w:t xml:space="preserve">C. B. Chisanga, C. C. Shepande, and E. Nkonde, “CA-Markov approach in dynamic modelling of LULCC using ESA CCI products over Zambia,” in Spatial Modeling in GIS and R for Earth and Environmental Sciences, London, U.K.: IntechOpen, 2022, doi: 10.5772/intechopen.103032.</w:t>
      </w:r>
    </w:p>
    <w:p>
      <w:pPr>
        <w:spacing w:after="90" w:line="240"/>
        <w:ind w:left="260" w:hanging="260"/>
        <w:jc w:val="both"/>
      </w:pPr>
      <w:r>
        <w:rPr>
          <w:rFonts w:ascii="Times New Roman" w:cs="Times New Roman" w:eastAsia="Times New Roman" w:hAnsi="Times New Roman"/>
          <w:sz w:val="16"/>
          <w:szCs w:val="16"/>
        </w:rPr>
        <w:t xml:space="preserve">[13]	</w:t>
      </w:r>
      <w:r>
        <w:rPr>
          <w:rFonts w:ascii="Times New Roman" w:cs="Times New Roman" w:eastAsia="Times New Roman" w:hAnsi="Times New Roman"/>
          <w:sz w:val="16"/>
          <w:szCs w:val="16"/>
        </w:rPr>
        <w:t xml:space="preserve">A. Guo, Y. Zhang, and Q. Hao, “Monitoring and simulation of dynamic spatiotemporal land use/cover changes,” Complexity, vol. 2020, pp. 1–12, 2020, doi: 10.1155/2020/3547323.</w:t>
      </w:r>
    </w:p>
    <w:p>
      <w:pPr>
        <w:spacing w:after="90" w:line="240"/>
        <w:ind w:left="260" w:hanging="260"/>
        <w:jc w:val="both"/>
      </w:pPr>
      <w:r>
        <w:rPr>
          <w:rFonts w:ascii="Times New Roman" w:cs="Times New Roman" w:eastAsia="Times New Roman" w:hAnsi="Times New Roman"/>
          <w:sz w:val="16"/>
          <w:szCs w:val="16"/>
        </w:rPr>
        <w:t xml:space="preserve">[14]	</w:t>
      </w:r>
      <w:r>
        <w:rPr>
          <w:rFonts w:ascii="Times New Roman" w:cs="Times New Roman" w:eastAsia="Times New Roman" w:hAnsi="Times New Roman"/>
          <w:sz w:val="16"/>
          <w:szCs w:val="16"/>
        </w:rPr>
        <w:t xml:space="preserve">B. Iskandar, Saidah, and A. A. Kurnia, “Modeling land cover change using MOLUSCE in Kahayan Tengah Forest Management Unit, Kalimantan Tengah,” J. Sylva Lestari, vol. 12, no. 2, pp. 242–257, 2024, doi: 10.23960/jsl.v12i2.865.</w:t>
      </w:r>
    </w:p>
    <w:p>
      <w:pPr>
        <w:spacing w:after="90" w:line="240"/>
        <w:ind w:left="260" w:hanging="260"/>
        <w:jc w:val="both"/>
      </w:pPr>
      <w:r>
        <w:rPr>
          <w:rFonts w:ascii="Times New Roman" w:cs="Times New Roman" w:eastAsia="Times New Roman" w:hAnsi="Times New Roman"/>
          <w:sz w:val="16"/>
          <w:szCs w:val="16"/>
        </w:rPr>
        <w:t xml:space="preserve">[15]	</w:t>
      </w:r>
      <w:r>
        <w:rPr>
          <w:rFonts w:ascii="Times New Roman" w:cs="Times New Roman" w:eastAsia="Times New Roman" w:hAnsi="Times New Roman"/>
          <w:sz w:val="16"/>
          <w:szCs w:val="16"/>
        </w:rPr>
        <w:t xml:space="preserve">O. Sefrin, F. M. Riese, and S. Keller, “Deep learning for land cover change detection,” Remote Sens., vol. 13, no. 1, p. 78, 2020, doi: 10.3390/rs13010078.</w:t>
      </w:r>
    </w:p>
    <w:p>
      <w:pPr>
        <w:spacing w:after="90" w:line="240"/>
        <w:ind w:left="260" w:hanging="260"/>
        <w:jc w:val="both"/>
      </w:pPr>
      <w:r>
        <w:rPr>
          <w:rFonts w:ascii="Times New Roman" w:cs="Times New Roman" w:eastAsia="Times New Roman" w:hAnsi="Times New Roman"/>
          <w:sz w:val="16"/>
          <w:szCs w:val="16"/>
        </w:rPr>
        <w:t xml:space="preserve">[16]	</w:t>
      </w:r>
      <w:r>
        <w:rPr>
          <w:rFonts w:ascii="Times New Roman" w:cs="Times New Roman" w:eastAsia="Times New Roman" w:hAnsi="Times New Roman"/>
          <w:sz w:val="16"/>
          <w:szCs w:val="16"/>
        </w:rPr>
        <w:t xml:space="preserve">H. M. Albarakati, M. A. Khan, A. Hamza, et al., “A novel deep learning architecture for agriculture land cover and land use classification from remote sensing images based on network-level fusion of self-attention architecture,” IEEE J. Sel. Top. Appl. Earth Obs. Remote Sens., vol. 17, pp. 6338–6353, 2024, doi: 10.1109/jstars.2024.3369950.</w:t>
      </w:r>
    </w:p>
    <w:p>
      <w:pPr>
        <w:spacing w:after="90" w:line="240"/>
        <w:ind w:left="260" w:hanging="260"/>
        <w:jc w:val="both"/>
      </w:pPr>
      <w:r>
        <w:rPr>
          <w:rFonts w:ascii="Times New Roman" w:cs="Times New Roman" w:eastAsia="Times New Roman" w:hAnsi="Times New Roman"/>
          <w:sz w:val="16"/>
          <w:szCs w:val="16"/>
        </w:rPr>
        <w:t xml:space="preserve">[17]	</w:t>
      </w:r>
      <w:r>
        <w:rPr>
          <w:rFonts w:ascii="Times New Roman" w:cs="Times New Roman" w:eastAsia="Times New Roman" w:hAnsi="Times New Roman"/>
          <w:sz w:val="16"/>
          <w:szCs w:val="16"/>
        </w:rPr>
        <w:t xml:space="preserve">A. Temenos, N. Temenos, M. Kaselimi, et al., “Interpretable deep learning framework for land use and land cover classification in remote sensing using SHAP,” IEEE Geosci. Remote Sens. Lett., vol. 20, 2023, doi: 10.1109/lgrs.2023.3251652.</w:t>
      </w:r>
    </w:p>
    <w:p>
      <w:pPr>
        <w:spacing w:after="90" w:line="240"/>
        <w:ind w:left="260" w:hanging="260"/>
        <w:jc w:val="both"/>
      </w:pPr>
      <w:r>
        <w:rPr>
          <w:rFonts w:ascii="Times New Roman" w:cs="Times New Roman" w:eastAsia="Times New Roman" w:hAnsi="Times New Roman"/>
          <w:sz w:val="16"/>
          <w:szCs w:val="16"/>
        </w:rPr>
        <w:t xml:space="preserve">[18]	</w:t>
      </w:r>
      <w:r>
        <w:rPr>
          <w:rFonts w:ascii="Times New Roman" w:cs="Times New Roman" w:eastAsia="Times New Roman" w:hAnsi="Times New Roman"/>
          <w:sz w:val="16"/>
          <w:szCs w:val="16"/>
        </w:rPr>
        <w:t xml:space="preserve">Z. Zhou, C. Zheng, X. Liu, et al., “A dynamic effective class balanced approach for remote sensing imagery semantic segmentation of imbalanced data,” Remote Sens., vol. 15, no. 7, p. 1768, 2023, doi: 10.3390/rs15071768.</w:t>
      </w:r>
    </w:p>
    <w:p>
      <w:pPr>
        <w:spacing w:after="90" w:line="240"/>
        <w:ind w:left="260" w:hanging="260"/>
        <w:jc w:val="both"/>
      </w:pPr>
      <w:r>
        <w:rPr>
          <w:rFonts w:ascii="Times New Roman" w:cs="Times New Roman" w:eastAsia="Times New Roman" w:hAnsi="Times New Roman"/>
          <w:sz w:val="16"/>
          <w:szCs w:val="16"/>
        </w:rPr>
        <w:t xml:space="preserve">[19]	</w:t>
      </w:r>
      <w:r>
        <w:rPr>
          <w:rFonts w:ascii="Times New Roman" w:cs="Times New Roman" w:eastAsia="Times New Roman" w:hAnsi="Times New Roman"/>
          <w:sz w:val="16"/>
          <w:szCs w:val="16"/>
        </w:rPr>
        <w:t xml:space="preserve">J. Cheng, L. Huang, and B.-H. Tang, “A minority sample enhanced sampler for crop classification in unmanned aerial vehicle remote sensing images with class imbalance,” Agriculture, vol. 15, no. 4, p. 388, 2025, doi: 10.3390/agriculture15040388.</w:t>
      </w:r>
    </w:p>
    <w:p>
      <w:pPr>
        <w:spacing w:after="90" w:line="240"/>
        <w:ind w:left="260" w:hanging="260"/>
        <w:jc w:val="both"/>
      </w:pPr>
      <w:r>
        <w:rPr>
          <w:rFonts w:ascii="Times New Roman" w:cs="Times New Roman" w:eastAsia="Times New Roman" w:hAnsi="Times New Roman"/>
          <w:sz w:val="16"/>
          <w:szCs w:val="16"/>
        </w:rPr>
        <w:t xml:space="preserve">[20]	</w:t>
      </w:r>
      <w:r>
        <w:rPr>
          <w:rFonts w:ascii="Times New Roman" w:cs="Times New Roman" w:eastAsia="Times New Roman" w:hAnsi="Times New Roman"/>
          <w:sz w:val="16"/>
          <w:szCs w:val="16"/>
        </w:rPr>
        <w:t xml:space="preserve">X. Shi, Z. Chen, H. Wang, D.-Y. Yeung, W.-K. Wong, and W.-C. Woo, “Convolutional LSTM network: A machine learning approach for precipitation nowcasting,” arXiv:1506.04214, 2015, doi: 10.48550/arXiv.1506.04214.</w:t>
      </w:r>
    </w:p>
    <w:p>
      <w:pPr>
        <w:spacing w:after="90" w:line="240"/>
        <w:ind w:left="260" w:hanging="260"/>
        <w:jc w:val="both"/>
      </w:pPr>
      <w:r>
        <w:rPr>
          <w:rFonts w:ascii="Times New Roman" w:cs="Times New Roman" w:eastAsia="Times New Roman" w:hAnsi="Times New Roman"/>
          <w:sz w:val="16"/>
          <w:szCs w:val="16"/>
        </w:rPr>
        <w:t xml:space="preserve">[21]	</w:t>
      </w:r>
      <w:r>
        <w:rPr>
          <w:rFonts w:ascii="Times New Roman" w:cs="Times New Roman" w:eastAsia="Times New Roman" w:hAnsi="Times New Roman"/>
          <w:sz w:val="16"/>
          <w:szCs w:val="16"/>
        </w:rPr>
        <w:t xml:space="preserve">Element 84, “Sentinel-2 Cloud-Optimized GeoTIFFs,” AWS Open Data Registry, 2024. [Online]. Available: https://registry.opendata.aws/sentinel-2-l2a-cogs/</w:t>
      </w:r>
    </w:p>
    <w:p>
      <w:pPr>
        <w:spacing w:after="90" w:line="240"/>
        <w:ind w:left="260" w:hanging="260"/>
        <w:jc w:val="both"/>
      </w:pPr>
      <w:r>
        <w:rPr>
          <w:rFonts w:ascii="Times New Roman" w:cs="Times New Roman" w:eastAsia="Times New Roman" w:hAnsi="Times New Roman"/>
          <w:sz w:val="16"/>
          <w:szCs w:val="16"/>
        </w:rPr>
        <w:t xml:space="preserve">[22]	</w:t>
      </w:r>
      <w:r>
        <w:rPr>
          <w:rFonts w:ascii="Times New Roman" w:cs="Times New Roman" w:eastAsia="Times New Roman" w:hAnsi="Times New Roman"/>
          <w:sz w:val="16"/>
          <w:szCs w:val="16"/>
        </w:rPr>
        <w:t xml:space="preserve">T. Selea, “AgriSen-COG, a multicountry, multitemporal large-scale Sentinel-2 benchmark dataset for crop mapping using deep learning,” Remote Sens., vol. 15, no. 12, p. 2980, 2023, doi: 10.3390/rs15122980.</w:t>
      </w:r>
    </w:p>
    <w:p>
      <w:pPr>
        <w:spacing w:after="90" w:line="240"/>
        <w:ind w:left="260" w:hanging="260"/>
        <w:jc w:val="both"/>
      </w:pPr>
      <w:r>
        <w:rPr>
          <w:rFonts w:ascii="Times New Roman" w:cs="Times New Roman" w:eastAsia="Times New Roman" w:hAnsi="Times New Roman"/>
          <w:sz w:val="16"/>
          <w:szCs w:val="16"/>
        </w:rPr>
        <w:t xml:space="preserve">[23]	</w:t>
      </w:r>
      <w:r>
        <w:rPr>
          <w:rFonts w:ascii="Times New Roman" w:cs="Times New Roman" w:eastAsia="Times New Roman" w:hAnsi="Times New Roman"/>
          <w:sz w:val="16"/>
          <w:szCs w:val="16"/>
        </w:rPr>
        <w:t xml:space="preserve">V. Fotakidis, T. Roustanis, K. Panayiotou, et al., “The EL-BIOS Earth observation data cube for supporting biodiversity monitoring in Greece,” Remote Sens., vol. 16, no. 20, p. 3771, 2024, doi: 10.3390/rs16203771.</w:t>
      </w:r>
    </w:p>
    <w:p>
      <w:pPr>
        <w:spacing w:after="90" w:line="240"/>
        <w:ind w:left="260" w:hanging="260"/>
        <w:jc w:val="both"/>
      </w:pPr>
      <w:r>
        <w:rPr>
          <w:rFonts w:ascii="Times New Roman" w:cs="Times New Roman" w:eastAsia="Times New Roman" w:hAnsi="Times New Roman"/>
          <w:sz w:val="16"/>
          <w:szCs w:val="16"/>
        </w:rPr>
        <w:t xml:space="preserve">[24]	</w:t>
      </w:r>
      <w:r>
        <w:rPr>
          <w:rFonts w:ascii="Times New Roman" w:cs="Times New Roman" w:eastAsia="Times New Roman" w:hAnsi="Times New Roman"/>
          <w:sz w:val="16"/>
          <w:szCs w:val="16"/>
        </w:rPr>
        <w:t xml:space="preserve">L. Baetens, C. Desjardins, and O. Hagolle, “Validation of Copernicus Sentinel-2 cloud masks obtained from MAJA, Sen2Cor, and FMask processors using reference cloud masks generated with a supervised active learning procedure,” Remote Sens., vol. 11, no. 4, p. 433, 2019, doi: 10.3390/rs11040433.</w:t>
      </w:r>
    </w:p>
    <w:p>
      <w:pPr>
        <w:spacing w:after="90" w:line="240"/>
        <w:ind w:left="260" w:hanging="260"/>
        <w:jc w:val="both"/>
      </w:pPr>
      <w:r>
        <w:rPr>
          <w:rFonts w:ascii="Times New Roman" w:cs="Times New Roman" w:eastAsia="Times New Roman" w:hAnsi="Times New Roman"/>
          <w:sz w:val="16"/>
          <w:szCs w:val="16"/>
        </w:rPr>
        <w:t xml:space="preserve">[25]	</w:t>
      </w:r>
      <w:r>
        <w:rPr>
          <w:rFonts w:ascii="Times New Roman" w:cs="Times New Roman" w:eastAsia="Times New Roman" w:hAnsi="Times New Roman"/>
          <w:sz w:val="16"/>
          <w:szCs w:val="16"/>
        </w:rPr>
        <w:t xml:space="preserve">J. Louis, B. Pflug, V. Debaecker, et al., “Evolutions of Sentinel-2 Level-2A cloud masking algorithm Sen2Cor prototype,” in Proc. IEEE Int. Geosci. Remote Sens. Symp. (IGARSS), 2021, doi: 10.1109/igarss47720.2021.9553445.</w:t>
      </w:r>
    </w:p>
    <w:p>
      <w:pPr>
        <w:spacing w:after="90" w:line="240"/>
        <w:ind w:left="260" w:hanging="260"/>
        <w:jc w:val="both"/>
      </w:pPr>
      <w:r>
        <w:rPr>
          <w:rFonts w:ascii="Times New Roman" w:cs="Times New Roman" w:eastAsia="Times New Roman" w:hAnsi="Times New Roman"/>
          <w:sz w:val="16"/>
          <w:szCs w:val="16"/>
        </w:rPr>
        <w:t xml:space="preserve">[26]	</w:t>
      </w:r>
      <w:r>
        <w:rPr>
          <w:rFonts w:ascii="Times New Roman" w:cs="Times New Roman" w:eastAsia="Times New Roman" w:hAnsi="Times New Roman"/>
          <w:sz w:val="16"/>
          <w:szCs w:val="16"/>
        </w:rPr>
        <w:t xml:space="preserve">P. S. Chavez Jr., “An improved dark-object subtraction technique for atmospheric scattering correction of multispectral data,” Remote Sens. Environ., vol. 24, no. 3, pp. 459–479, 1988, doi: 10.1016/0034-4257(88)90019-3.</w:t>
      </w:r>
    </w:p>
    <w:p>
      <w:pPr>
        <w:spacing w:after="90" w:line="240"/>
        <w:ind w:left="260" w:hanging="260"/>
        <w:jc w:val="both"/>
      </w:pPr>
      <w:r>
        <w:rPr>
          <w:rFonts w:ascii="Times New Roman" w:cs="Times New Roman" w:eastAsia="Times New Roman" w:hAnsi="Times New Roman"/>
          <w:sz w:val="16"/>
          <w:szCs w:val="16"/>
        </w:rPr>
        <w:t xml:space="preserve">[27]	</w:t>
      </w:r>
      <w:r>
        <w:rPr>
          <w:rFonts w:ascii="Times New Roman" w:cs="Times New Roman" w:eastAsia="Times New Roman" w:hAnsi="Times New Roman"/>
          <w:sz w:val="16"/>
          <w:szCs w:val="16"/>
        </w:rPr>
        <w:t xml:space="preserve">R. G. Congalton and K. Green, Assessing the Accuracy of Remotely Sensed Data: Principles and Practices, 3rd ed. Boca Raton, FL, USA: CRC Press, 2019.</w:t>
      </w:r>
    </w:p>
    <w:p>
      <w:pPr>
        <w:spacing w:after="90" w:line="240"/>
        <w:ind w:left="260" w:hanging="260"/>
        <w:jc w:val="both"/>
      </w:pPr>
      <w:r>
        <w:rPr>
          <w:rFonts w:ascii="Times New Roman" w:cs="Times New Roman" w:eastAsia="Times New Roman" w:hAnsi="Times New Roman"/>
          <w:sz w:val="16"/>
          <w:szCs w:val="16"/>
        </w:rPr>
        <w:t xml:space="preserve">[28]	</w:t>
      </w:r>
      <w:r>
        <w:rPr>
          <w:rFonts w:ascii="Times New Roman" w:cs="Times New Roman" w:eastAsia="Times New Roman" w:hAnsi="Times New Roman"/>
          <w:sz w:val="16"/>
          <w:szCs w:val="16"/>
        </w:rPr>
        <w:t xml:space="preserve">R. G. Pontius Jr., W. Boersma, J.-C. Castella, et al., “Comparing the input, output, and validation maps for several models of land change,” Ann. Reg. Sci., vol. 42, no. 1, pp. 11–37, 2007, doi: 10.1007/s00168-007-0138-2.</w:t>
      </w:r>
    </w:p>
    <w:p>
      <w:pPr>
        <w:spacing w:after="90" w:line="240"/>
        <w:ind w:left="260" w:hanging="260"/>
        <w:jc w:val="both"/>
      </w:pPr>
      <w:r>
        <w:rPr>
          <w:rFonts w:ascii="Times New Roman" w:cs="Times New Roman" w:eastAsia="Times New Roman" w:hAnsi="Times New Roman"/>
          <w:sz w:val="16"/>
          <w:szCs w:val="16"/>
        </w:rPr>
        <w:t xml:space="preserve">[29]	</w:t>
      </w:r>
      <w:r>
        <w:rPr>
          <w:rFonts w:ascii="Times New Roman" w:cs="Times New Roman" w:eastAsia="Times New Roman" w:hAnsi="Times New Roman"/>
          <w:sz w:val="16"/>
          <w:szCs w:val="16"/>
        </w:rPr>
        <w:t xml:space="preserve">European Space Agency, Sentinel-2 User Handbook. Paris, France: ESA Copernicus Programme, 2021.</w:t>
      </w:r>
    </w:p>
    <w:p>
      <w:pPr>
        <w:spacing w:after="90" w:line="240"/>
        <w:ind w:left="260" w:hanging="260"/>
        <w:jc w:val="both"/>
      </w:pPr>
      <w:r>
        <w:rPr>
          <w:rFonts w:ascii="Times New Roman" w:cs="Times New Roman" w:eastAsia="Times New Roman" w:hAnsi="Times New Roman"/>
          <w:sz w:val="16"/>
          <w:szCs w:val="16"/>
        </w:rPr>
        <w:t xml:space="preserve">[30]	</w:t>
      </w:r>
      <w:r>
        <w:rPr>
          <w:rFonts w:ascii="Times New Roman" w:cs="Times New Roman" w:eastAsia="Times New Roman" w:hAnsi="Times New Roman"/>
          <w:sz w:val="16"/>
          <w:szCs w:val="16"/>
        </w:rPr>
        <w:t xml:space="preserve">Denyherianto, “Indonesia GeoJSON/TopoJSON Maps with 38 Provinces,” GitHub repository, 2023. [Online]. Available: https://github.com/denyherianto/indonesia-geojson-topojson-maps-with-38-provinces</w:t>
      </w:r>
    </w:p>
    <w:p>
      <w:pPr>
        <w:spacing w:after="90" w:line="240"/>
        <w:ind w:left="260" w:hanging="260"/>
        <w:jc w:val="both"/>
      </w:pPr>
      <w:r>
        <w:rPr>
          <w:rFonts w:ascii="Times New Roman" w:cs="Times New Roman" w:eastAsia="Times New Roman" w:hAnsi="Times New Roman"/>
          <w:sz w:val="16"/>
          <w:szCs w:val="16"/>
        </w:rPr>
        <w:t xml:space="preserve">[31]	</w:t>
      </w:r>
      <w:r>
        <w:rPr>
          <w:rFonts w:ascii="Times New Roman" w:cs="Times New Roman" w:eastAsia="Times New Roman" w:hAnsi="Times New Roman"/>
          <w:sz w:val="16"/>
          <w:szCs w:val="16"/>
        </w:rPr>
        <w:t xml:space="preserve">T. Zhang, C. Cheng, X. Wu, et al., “Mapping the spatial heterogeneity of global land use and land cover from 2020 to 2100 at a 1 km resolution,” Sci. Data, vol. 10, no. 1, 2023, doi: 10.1038/s41597-023-02637-7.</w:t>
      </w:r>
    </w:p>
    <w:p>
      <w:pPr>
        <w:spacing w:after="90" w:line="240"/>
        <w:ind w:left="260" w:hanging="260"/>
        <w:jc w:val="both"/>
      </w:pPr>
      <w:r>
        <w:rPr>
          <w:rFonts w:ascii="Times New Roman" w:cs="Times New Roman" w:eastAsia="Times New Roman" w:hAnsi="Times New Roman"/>
          <w:sz w:val="16"/>
          <w:szCs w:val="16"/>
        </w:rPr>
        <w:t xml:space="preserve">[32]	</w:t>
      </w:r>
      <w:r>
        <w:rPr>
          <w:rFonts w:ascii="Times New Roman" w:cs="Times New Roman" w:eastAsia="Times New Roman" w:hAnsi="Times New Roman"/>
          <w:sz w:val="16"/>
          <w:szCs w:val="16"/>
        </w:rPr>
        <w:t xml:space="preserve">D. Ramadhani, S. Susanto, and C. Setyawan, “Application of NDVI Sentinel-2A imagery for agricultural land development in food buffer area of new capital city Indonesia,” IOP Conf. Ser. Earth Environ. Sci., vol. 1290, no. 1, p. 012016, 2024, doi: 10.1088/1755-1315/1290/1/012016.</w:t>
      </w:r>
    </w:p>
    <w:p>
      <w:pPr>
        <w:spacing w:after="90" w:line="240"/>
        <w:ind w:left="260" w:hanging="260"/>
        <w:jc w:val="both"/>
      </w:pPr>
      <w:r>
        <w:rPr>
          <w:rFonts w:ascii="Times New Roman" w:cs="Times New Roman" w:eastAsia="Times New Roman" w:hAnsi="Times New Roman"/>
          <w:sz w:val="16"/>
          <w:szCs w:val="16"/>
        </w:rPr>
        <w:t xml:space="preserve">[33]	</w:t>
      </w:r>
      <w:r>
        <w:rPr>
          <w:rFonts w:ascii="Times New Roman" w:cs="Times New Roman" w:eastAsia="Times New Roman" w:hAnsi="Times New Roman"/>
          <w:sz w:val="16"/>
          <w:szCs w:val="16"/>
        </w:rPr>
        <w:t xml:space="preserve">P. Aryastana, M. I. G. Mosa, and W. Widiana, “Application of normalized difference vegetation index in classifying land cover change over Bangli regency by using Landsat 8 imagery,” J. Infrastruct. Plan. Eng., vol. 1, no. 1, pp. 8–14, 2022, doi: 10.22225/jipe.1.1.2022.8-14.</w:t>
      </w:r>
    </w:p>
    <w:p>
      <w:pPr>
        <w:spacing w:after="90" w:line="240"/>
        <w:ind w:left="260" w:hanging="260"/>
        <w:jc w:val="both"/>
      </w:pPr>
      <w:r>
        <w:rPr>
          <w:rFonts w:ascii="Times New Roman" w:cs="Times New Roman" w:eastAsia="Times New Roman" w:hAnsi="Times New Roman"/>
          <w:sz w:val="16"/>
          <w:szCs w:val="16"/>
        </w:rPr>
        <w:t xml:space="preserve">[34]	</w:t>
      </w:r>
      <w:r>
        <w:rPr>
          <w:rFonts w:ascii="Times New Roman" w:cs="Times New Roman" w:eastAsia="Times New Roman" w:hAnsi="Times New Roman"/>
          <w:sz w:val="16"/>
          <w:szCs w:val="16"/>
        </w:rPr>
        <w:t xml:space="preserve">Q. McNemar, “Note on the sampling error of the difference between correlated proportions or percentages,” Psychometrika, vol. 12, no. 2, pp. 153–157, 1947, doi: 10.1007/BF02295996.</w:t>
      </w:r>
    </w:p>
    <w:p>
      <w:pPr>
        <w:spacing w:after="90" w:line="240"/>
        <w:ind w:left="260" w:hanging="260"/>
        <w:jc w:val="both"/>
      </w:pPr>
      <w:r>
        <w:rPr>
          <w:rFonts w:ascii="Times New Roman" w:cs="Times New Roman" w:eastAsia="Times New Roman" w:hAnsi="Times New Roman"/>
          <w:sz w:val="16"/>
          <w:szCs w:val="16"/>
        </w:rPr>
        <w:t xml:space="preserve">[35]	</w:t>
      </w:r>
      <w:r>
        <w:rPr>
          <w:rFonts w:ascii="Times New Roman" w:cs="Times New Roman" w:eastAsia="Times New Roman" w:hAnsi="Times New Roman"/>
          <w:sz w:val="16"/>
          <w:szCs w:val="16"/>
        </w:rPr>
        <w:t xml:space="preserve">B. Efron and R. J. Tibshirani, An Introduction to the Bootstrap. New York, NY, USA: Chapman &amp; Hall/CRC, 1994.</w:t>
      </w:r>
    </w:p>
    <w:p>
      <w:pPr>
        <w:spacing w:after="90" w:line="240"/>
        <w:ind w:left="260" w:hanging="260"/>
        <w:jc w:val="both"/>
      </w:pPr>
      <w:r>
        <w:rPr>
          <w:rFonts w:ascii="Times New Roman" w:cs="Times New Roman" w:eastAsia="Times New Roman" w:hAnsi="Times New Roman"/>
          <w:sz w:val="16"/>
          <w:szCs w:val="16"/>
        </w:rPr>
        <w:t xml:space="preserve">[36]	</w:t>
      </w:r>
      <w:r>
        <w:rPr>
          <w:rFonts w:ascii="Times New Roman" w:cs="Times New Roman" w:eastAsia="Times New Roman" w:hAnsi="Times New Roman"/>
          <w:sz w:val="16"/>
          <w:szCs w:val="16"/>
        </w:rPr>
        <w:t xml:space="preserve">B.-C. Gao, “NDWI—A normalized difference water index for remote sensing of vegetation liquid water from space,” Remote Sens. Environ., vol. 58, no. 3, pp. 257–266, 1996, doi: 10.1016/S0034-4257(96)00067-3.</w:t>
      </w:r>
    </w:p>
    <w:p>
      <w:pPr>
        <w:spacing w:after="90" w:line="240"/>
        <w:ind w:left="260" w:hanging="260"/>
        <w:jc w:val="both"/>
      </w:pPr>
      <w:r>
        <w:rPr>
          <w:rFonts w:ascii="Times New Roman" w:cs="Times New Roman" w:eastAsia="Times New Roman" w:hAnsi="Times New Roman"/>
          <w:sz w:val="16"/>
          <w:szCs w:val="16"/>
        </w:rPr>
        <w:t xml:space="preserve">[37]	</w:t>
      </w:r>
      <w:r>
        <w:rPr>
          <w:rFonts w:ascii="Times New Roman" w:cs="Times New Roman" w:eastAsia="Times New Roman" w:hAnsi="Times New Roman"/>
          <w:sz w:val="16"/>
          <w:szCs w:val="16"/>
        </w:rPr>
        <w:t xml:space="preserve">E. H. Wilson and S. A. Sader, “Detection of forest harvest type using multiple dates of Landsat TM imagery,” Remote Sens. Environ., vol. 80, no. 3, pp. 385–396, 2002, doi: 10.1016/S0034-4257(01)00318-2.</w:t>
      </w:r>
    </w:p>
    <w:p>
      <w:pPr>
        <w:spacing w:before="200"/>
      </w:pPr>
      <w:r>
        <w:rPr>
          <w:rFonts w:ascii="Times New Roman" w:cs="Times New Roman" w:eastAsia="Times New Roman" w:hAnsi="Times New Roman"/>
          <w:b/>
          <w:bCs/>
          <w:i/>
          <w:iCs/>
          <w:sz w:val="18"/>
          <w:szCs w:val="18"/>
        </w:rPr>
        <w:t xml:space="preserve">Publisher’s Note: </w:t>
      </w:r>
      <w:r>
        <w:rPr>
          <w:rFonts w:ascii="Times New Roman" w:cs="Times New Roman" w:eastAsia="Times New Roman" w:hAnsi="Times New Roman"/>
          <w:i/>
          <w:iCs/>
          <w:sz w:val="18"/>
          <w:szCs w:val="18"/>
        </w:rPr>
        <w:t xml:space="preserve">Publisher stays neutral with regard to jurisdictional claims in published maps and institutional affiliations.</w:t>
      </w:r>
    </w:p>
    <w:sectPr>
      <w:headerReference w:type="default" r:id="rId7"/>
      <w:headerReference w:type="first" r:id="rId8"/>
      <w:footerReference w:type="default" r:id="rId9"/>
      <w:pgSz w:w="12240" w:h="15840" w:orient="portrait"/>
      <w:pgMar w:top="1440" w:right="1440" w:bottom="1440" w:left="1440" w:header="432" w:footer="432"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sz w:val="16"/>
        <w:szCs w:val="16"/>
      </w:rPr>
      <w:t xml:space="preserve">Journal of Information Systems Engineering and Business Intelligence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image" Target="media/d289d752ff0d453b0178d22b640a3140a4abd39a.jpg"/><Relationship Id="rId11" Type="http://schemas.openxmlformats.org/officeDocument/2006/relationships/image" Target="media/46d25faff78e963a1014aeb552abdc3ff5411038.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2026-09-05T11:16:21.775Z</dcterms:created>
  <dcterms:modified xsi:type="dcterms:W3CDTF">2026-09-05T11:16:21.783Z</dcterms:modified>
</cp:coreProperties>
</file>

<file path=docProps/custom.xml><?xml version="1.0" encoding="utf-8"?>
<Properties xmlns="http://schemas.openxmlformats.org/officeDocument/2006/custom-properties" xmlns:vt="http://schemas.openxmlformats.org/officeDocument/2006/docPropsVTypes"/>
</file>