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5D336" w14:textId="793056CA" w:rsidR="000A7EF1" w:rsidRPr="00A51909" w:rsidRDefault="00A51909">
      <w:pPr>
        <w:pBdr>
          <w:top w:val="nil"/>
          <w:left w:val="nil"/>
          <w:bottom w:val="nil"/>
          <w:right w:val="nil"/>
          <w:between w:val="nil"/>
        </w:pBdr>
        <w:spacing w:before="480" w:after="480"/>
        <w:jc w:val="both"/>
        <w:rPr>
          <w:rFonts w:ascii="Times New Roman" w:eastAsia="Times New Roman" w:hAnsi="Times New Roman" w:cs="Times New Roman"/>
          <w:b/>
          <w:bCs/>
          <w:color w:val="000000"/>
          <w:sz w:val="34"/>
          <w:szCs w:val="34"/>
          <w:lang w:val="sv-SE"/>
        </w:rPr>
      </w:pPr>
      <w:r w:rsidRPr="00A51909">
        <w:rPr>
          <w:rFonts w:ascii="Times New Roman" w:eastAsia="Times New Roman" w:hAnsi="Times New Roman" w:cs="Times New Roman"/>
          <w:b/>
          <w:bCs/>
          <w:color w:val="000000"/>
          <w:sz w:val="34"/>
          <w:szCs w:val="34"/>
          <w:lang w:val="sv-SE"/>
        </w:rPr>
        <w:t xml:space="preserve">ANALISIS DATA AGREGAT PERGURUAN TINGGI NEGERI BADAN LAYANAN </w:t>
      </w:r>
      <w:r w:rsidR="00E96021">
        <w:rPr>
          <w:rFonts w:ascii="Times New Roman" w:eastAsia="Times New Roman" w:hAnsi="Times New Roman" w:cs="Times New Roman"/>
          <w:b/>
          <w:bCs/>
          <w:color w:val="000000"/>
          <w:sz w:val="34"/>
          <w:szCs w:val="34"/>
          <w:lang w:val="sv-SE"/>
        </w:rPr>
        <w:t xml:space="preserve">  </w:t>
      </w:r>
      <w:r w:rsidRPr="00A51909">
        <w:rPr>
          <w:rFonts w:ascii="Times New Roman" w:eastAsia="Times New Roman" w:hAnsi="Times New Roman" w:cs="Times New Roman"/>
          <w:b/>
          <w:bCs/>
          <w:color w:val="000000"/>
          <w:sz w:val="34"/>
          <w:szCs w:val="34"/>
          <w:lang w:val="sv-SE"/>
        </w:rPr>
        <w:t>UMUM</w:t>
      </w:r>
      <w:r w:rsidR="00E731A5">
        <w:rPr>
          <w:rFonts w:ascii="Times New Roman" w:eastAsia="Times New Roman" w:hAnsi="Times New Roman" w:cs="Times New Roman"/>
          <w:b/>
          <w:bCs/>
          <w:color w:val="000000"/>
          <w:sz w:val="34"/>
          <w:szCs w:val="34"/>
          <w:lang w:val="sv-SE"/>
        </w:rPr>
        <w:t xml:space="preserve"> </w:t>
      </w:r>
      <w:r w:rsidRPr="00A51909">
        <w:rPr>
          <w:rFonts w:ascii="Times New Roman" w:eastAsia="Times New Roman" w:hAnsi="Times New Roman" w:cs="Times New Roman"/>
          <w:b/>
          <w:bCs/>
          <w:color w:val="000000"/>
          <w:sz w:val="34"/>
          <w:szCs w:val="34"/>
          <w:lang w:val="sv-SE"/>
        </w:rPr>
        <w:t>MENGGUNAKAN PENDEKATAN BUSINESS INTELLIGENCE</w:t>
      </w:r>
    </w:p>
    <w:p w14:paraId="0454C68B" w14:textId="7AFE4589" w:rsidR="000A7EF1" w:rsidRPr="00CF2D28" w:rsidRDefault="00CF2D28">
      <w:pPr>
        <w:pBdr>
          <w:top w:val="nil"/>
          <w:left w:val="nil"/>
          <w:bottom w:val="nil"/>
          <w:right w:val="nil"/>
          <w:between w:val="nil"/>
        </w:pBdr>
        <w:spacing w:after="113"/>
        <w:rPr>
          <w:rFonts w:ascii="Times New Roman" w:eastAsia="Times New Roman" w:hAnsi="Times New Roman" w:cs="Times New Roman"/>
          <w:b/>
          <w:bCs/>
          <w:color w:val="000000"/>
          <w:vertAlign w:val="superscript"/>
          <w:lang w:val="en-ID"/>
        </w:rPr>
      </w:pPr>
      <w:r>
        <w:rPr>
          <w:rFonts w:ascii="Times New Roman" w:eastAsia="Times New Roman" w:hAnsi="Times New Roman" w:cs="Times New Roman"/>
          <w:b/>
          <w:bCs/>
          <w:color w:val="000000"/>
          <w:lang w:val="en-ID"/>
        </w:rPr>
        <w:t>Fauzi Noorsyabani</w:t>
      </w:r>
      <w:r w:rsidRPr="00CF2D28">
        <w:rPr>
          <w:rFonts w:ascii="Times New Roman" w:eastAsia="Times New Roman" w:hAnsi="Times New Roman" w:cs="Times New Roman"/>
          <w:b/>
          <w:bCs/>
          <w:color w:val="000000"/>
          <w:vertAlign w:val="superscript"/>
          <w:lang w:val="en-ID"/>
        </w:rPr>
        <w:t>1</w:t>
      </w:r>
      <w:r w:rsidRPr="00CF2D28">
        <w:rPr>
          <w:rFonts w:ascii="Times New Roman" w:eastAsia="Times New Roman" w:hAnsi="Times New Roman" w:cs="Times New Roman"/>
          <w:b/>
          <w:bCs/>
          <w:color w:val="000000"/>
          <w:lang w:val="en-ID"/>
        </w:rPr>
        <w:t>, Acep Irham Gufroni</w:t>
      </w:r>
      <w:r w:rsidRPr="00CF2D28">
        <w:rPr>
          <w:rFonts w:ascii="Times New Roman" w:eastAsia="Times New Roman" w:hAnsi="Times New Roman" w:cs="Times New Roman"/>
          <w:b/>
          <w:bCs/>
          <w:color w:val="000000"/>
          <w:vertAlign w:val="superscript"/>
          <w:lang w:val="en-ID"/>
        </w:rPr>
        <w:t>2</w:t>
      </w:r>
      <w:r w:rsidRPr="00CF2D28">
        <w:rPr>
          <w:rFonts w:ascii="Times New Roman" w:eastAsia="Times New Roman" w:hAnsi="Times New Roman" w:cs="Times New Roman"/>
          <w:b/>
          <w:bCs/>
          <w:color w:val="000000"/>
          <w:lang w:val="en-ID"/>
        </w:rPr>
        <w:t>, Andi Nur Rachman</w:t>
      </w:r>
      <w:r w:rsidRPr="00CF2D28">
        <w:rPr>
          <w:rFonts w:ascii="Times New Roman" w:eastAsia="Times New Roman" w:hAnsi="Times New Roman" w:cs="Times New Roman"/>
          <w:b/>
          <w:bCs/>
          <w:color w:val="000000"/>
          <w:vertAlign w:val="superscript"/>
          <w:lang w:val="en-ID"/>
        </w:rPr>
        <w:t>3</w:t>
      </w:r>
    </w:p>
    <w:p w14:paraId="0304D054" w14:textId="65050AC5" w:rsidR="00363C0D" w:rsidRPr="00B03503" w:rsidRDefault="00000000">
      <w:pPr>
        <w:pBdr>
          <w:top w:val="nil"/>
          <w:left w:val="nil"/>
          <w:bottom w:val="nil"/>
          <w:right w:val="nil"/>
          <w:between w:val="nil"/>
        </w:pBdr>
        <w:spacing w:after="454"/>
        <w:rPr>
          <w:rFonts w:ascii="Times New Roman" w:eastAsia="Times New Roman" w:hAnsi="Times New Roman" w:cs="Times New Roman"/>
          <w:color w:val="000000"/>
          <w:lang w:val="sv-SE"/>
        </w:rPr>
      </w:pPr>
      <w:r w:rsidRPr="00363C0D">
        <w:rPr>
          <w:rFonts w:ascii="Times New Roman" w:eastAsia="Times New Roman" w:hAnsi="Times New Roman" w:cs="Times New Roman"/>
          <w:color w:val="000000"/>
          <w:vertAlign w:val="superscript"/>
          <w:lang w:val="sv-SE"/>
        </w:rPr>
        <w:t>1</w:t>
      </w:r>
      <w:r w:rsidR="0022475D">
        <w:rPr>
          <w:rFonts w:ascii="Times New Roman" w:eastAsia="Times New Roman" w:hAnsi="Times New Roman" w:cs="Times New Roman"/>
          <w:color w:val="000000"/>
          <w:vertAlign w:val="superscript"/>
          <w:lang w:val="sv-SE"/>
        </w:rPr>
        <w:t>,2,3</w:t>
      </w:r>
      <w:r w:rsidR="00363C0D" w:rsidRPr="00363C0D">
        <w:rPr>
          <w:rFonts w:ascii="Times New Roman" w:eastAsia="Times New Roman" w:hAnsi="Times New Roman" w:cs="Times New Roman"/>
          <w:color w:val="000000"/>
          <w:lang w:val="sv-SE"/>
        </w:rPr>
        <w:t>Program Studi Sistem Informasi, Fakultas Teknik, Universitas Siliwangi</w:t>
      </w:r>
      <w:r w:rsidR="000E759F">
        <w:rPr>
          <w:rFonts w:ascii="Times New Roman" w:eastAsia="Times New Roman" w:hAnsi="Times New Roman" w:cs="Times New Roman"/>
          <w:color w:val="000000"/>
          <w:lang w:val="sv-SE"/>
        </w:rPr>
        <w:t xml:space="preserve">, </w:t>
      </w:r>
      <w:r w:rsidR="000E759F" w:rsidRPr="00B03503">
        <w:rPr>
          <w:rFonts w:ascii="Times New Roman" w:eastAsia="Times New Roman" w:hAnsi="Times New Roman" w:cs="Times New Roman"/>
          <w:color w:val="000000"/>
          <w:lang w:val="sv-SE"/>
        </w:rPr>
        <w:t>Mugarsari, Kota Tasikmalaya, 46196, Indonesia</w:t>
      </w:r>
    </w:p>
    <w:tbl>
      <w:tblPr>
        <w:tblStyle w:val="a0"/>
        <w:tblW w:w="9071" w:type="dxa"/>
        <w:tblInd w:w="-115" w:type="dxa"/>
        <w:tblLayout w:type="fixed"/>
        <w:tblLook w:val="0000" w:firstRow="0" w:lastRow="0" w:firstColumn="0" w:lastColumn="0" w:noHBand="0" w:noVBand="0"/>
      </w:tblPr>
      <w:tblGrid>
        <w:gridCol w:w="2641"/>
        <w:gridCol w:w="6430"/>
      </w:tblGrid>
      <w:tr w:rsidR="000A7EF1" w:rsidRPr="00C42E6F" w14:paraId="66D9DD8E" w14:textId="77777777">
        <w:trPr>
          <w:trHeight w:val="70"/>
        </w:trPr>
        <w:tc>
          <w:tcPr>
            <w:tcW w:w="2641" w:type="dxa"/>
            <w:tcBorders>
              <w:top w:val="single" w:sz="4" w:space="0" w:color="000000"/>
            </w:tcBorders>
          </w:tcPr>
          <w:p w14:paraId="2447C43D" w14:textId="77777777" w:rsidR="000A7EF1" w:rsidRPr="00363C0D" w:rsidRDefault="000A7EF1">
            <w:pPr>
              <w:rPr>
                <w:rFonts w:ascii="Times New Roman" w:eastAsia="Times New Roman" w:hAnsi="Times New Roman" w:cs="Times New Roman"/>
                <w:sz w:val="16"/>
                <w:szCs w:val="16"/>
                <w:lang w:val="sv-SE"/>
              </w:rPr>
            </w:pPr>
          </w:p>
        </w:tc>
        <w:tc>
          <w:tcPr>
            <w:tcW w:w="6430" w:type="dxa"/>
            <w:tcBorders>
              <w:top w:val="single" w:sz="4" w:space="0" w:color="000000"/>
              <w:bottom w:val="single" w:sz="4" w:space="0" w:color="000000"/>
            </w:tcBorders>
          </w:tcPr>
          <w:p w14:paraId="70401E5E" w14:textId="77777777" w:rsidR="000A7EF1" w:rsidRPr="00363C0D" w:rsidRDefault="000A7EF1">
            <w:pPr>
              <w:rPr>
                <w:rFonts w:ascii="Times New Roman" w:eastAsia="Times New Roman" w:hAnsi="Times New Roman" w:cs="Times New Roman"/>
                <w:sz w:val="16"/>
                <w:szCs w:val="16"/>
                <w:lang w:val="sv-SE"/>
              </w:rPr>
            </w:pPr>
          </w:p>
        </w:tc>
      </w:tr>
      <w:tr w:rsidR="000A7EF1" w:rsidRPr="00C42E6F" w14:paraId="3295543A" w14:textId="77777777">
        <w:tc>
          <w:tcPr>
            <w:tcW w:w="2641" w:type="dxa"/>
            <w:vMerge w:val="restart"/>
          </w:tcPr>
          <w:p w14:paraId="4F156F85" w14:textId="6AECC686" w:rsidR="000A7EF1" w:rsidRDefault="00000000">
            <w:pPr>
              <w:pBdr>
                <w:top w:val="nil"/>
                <w:left w:val="nil"/>
                <w:bottom w:val="nil"/>
                <w:right w:val="nil"/>
                <w:between w:val="nil"/>
              </w:pBdr>
              <w:spacing w:before="120" w:after="24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Keywords: </w:t>
            </w:r>
            <w:r>
              <w:rPr>
                <w:rFonts w:ascii="Times New Roman" w:eastAsia="Times New Roman" w:hAnsi="Times New Roman" w:cs="Times New Roman"/>
                <w:b/>
                <w:bCs/>
                <w:color w:val="000000"/>
                <w:sz w:val="20"/>
                <w:szCs w:val="20"/>
              </w:rPr>
              <w:br/>
            </w:r>
            <w:r w:rsidR="00A51909" w:rsidRPr="00A51909">
              <w:rPr>
                <w:rFonts w:ascii="Times New Roman" w:eastAsia="Times New Roman" w:hAnsi="Times New Roman" w:cs="Times New Roman"/>
                <w:color w:val="000000"/>
                <w:sz w:val="20"/>
                <w:szCs w:val="20"/>
              </w:rPr>
              <w:t>Business Intelligence;</w:t>
            </w:r>
            <w:r w:rsidR="009B3F18">
              <w:rPr>
                <w:rFonts w:ascii="Times New Roman" w:eastAsia="Times New Roman" w:hAnsi="Times New Roman" w:cs="Times New Roman"/>
                <w:color w:val="000000"/>
                <w:sz w:val="20"/>
                <w:szCs w:val="20"/>
              </w:rPr>
              <w:t xml:space="preserve"> </w:t>
            </w:r>
            <w:r w:rsidR="00A51909" w:rsidRPr="00A51909">
              <w:rPr>
                <w:rFonts w:ascii="Times New Roman" w:eastAsia="Times New Roman" w:hAnsi="Times New Roman" w:cs="Times New Roman"/>
                <w:color w:val="000000"/>
                <w:sz w:val="20"/>
                <w:szCs w:val="20"/>
              </w:rPr>
              <w:t>Data Warehouse;</w:t>
            </w:r>
            <w:r w:rsidR="009B3F18">
              <w:rPr>
                <w:rFonts w:ascii="Times New Roman" w:eastAsia="Times New Roman" w:hAnsi="Times New Roman" w:cs="Times New Roman"/>
                <w:color w:val="000000"/>
                <w:sz w:val="20"/>
                <w:szCs w:val="20"/>
              </w:rPr>
              <w:t xml:space="preserve"> </w:t>
            </w:r>
            <w:r w:rsidR="00A51909" w:rsidRPr="00A51909">
              <w:rPr>
                <w:rFonts w:ascii="Times New Roman" w:eastAsia="Times New Roman" w:hAnsi="Times New Roman" w:cs="Times New Roman"/>
                <w:color w:val="000000"/>
                <w:sz w:val="20"/>
                <w:szCs w:val="20"/>
              </w:rPr>
              <w:t>Institutional Capacity</w:t>
            </w:r>
            <w:r w:rsidR="009B3F18">
              <w:rPr>
                <w:rFonts w:ascii="Times New Roman" w:eastAsia="Times New Roman" w:hAnsi="Times New Roman" w:cs="Times New Roman"/>
                <w:color w:val="000000"/>
                <w:sz w:val="20"/>
                <w:szCs w:val="20"/>
              </w:rPr>
              <w:t xml:space="preserve"> </w:t>
            </w:r>
            <w:r w:rsidR="00A51909" w:rsidRPr="00A51909">
              <w:rPr>
                <w:rFonts w:ascii="Times New Roman" w:eastAsia="Times New Roman" w:hAnsi="Times New Roman" w:cs="Times New Roman"/>
                <w:color w:val="000000"/>
                <w:sz w:val="20"/>
                <w:szCs w:val="20"/>
              </w:rPr>
              <w:t>Analytics; PDDikti; Higher Education Data Governance.</w:t>
            </w:r>
          </w:p>
          <w:p w14:paraId="0464207B" w14:textId="77777777" w:rsidR="000A7EF1" w:rsidRDefault="000A7EF1">
            <w:pPr>
              <w:pBdr>
                <w:top w:val="nil"/>
                <w:left w:val="nil"/>
                <w:bottom w:val="nil"/>
                <w:right w:val="nil"/>
                <w:between w:val="nil"/>
              </w:pBdr>
              <w:rPr>
                <w:rFonts w:ascii="Times New Roman" w:eastAsia="Times New Roman" w:hAnsi="Times New Roman" w:cs="Times New Roman"/>
                <w:color w:val="000000"/>
                <w:sz w:val="20"/>
                <w:szCs w:val="20"/>
              </w:rPr>
            </w:pPr>
          </w:p>
          <w:p w14:paraId="103EB606" w14:textId="077902DA" w:rsidR="000A7EF1" w:rsidRPr="00A51909" w:rsidRDefault="00000000">
            <w:pPr>
              <w:pBdr>
                <w:top w:val="nil"/>
                <w:left w:val="nil"/>
                <w:bottom w:val="nil"/>
                <w:right w:val="nil"/>
                <w:between w:val="nil"/>
              </w:pBdr>
              <w:spacing w:before="120" w:after="240"/>
              <w:rPr>
                <w:rFonts w:ascii="Times New Roman" w:eastAsia="Times New Roman" w:hAnsi="Times New Roman" w:cs="Times New Roman"/>
                <w:color w:val="000000"/>
                <w:sz w:val="18"/>
                <w:szCs w:val="18"/>
              </w:rPr>
            </w:pPr>
            <w:r w:rsidRPr="00A51909">
              <w:rPr>
                <w:rFonts w:ascii="Times New Roman" w:eastAsia="Times New Roman" w:hAnsi="Times New Roman" w:cs="Times New Roman"/>
                <w:b/>
                <w:bCs/>
                <w:color w:val="000000"/>
                <w:sz w:val="18"/>
                <w:szCs w:val="18"/>
              </w:rPr>
              <w:t>Corespondent Email:</w:t>
            </w:r>
            <w:r w:rsidRPr="00A51909">
              <w:rPr>
                <w:rFonts w:ascii="Times New Roman" w:eastAsia="Times New Roman" w:hAnsi="Times New Roman" w:cs="Times New Roman"/>
                <w:color w:val="000000"/>
                <w:sz w:val="18"/>
                <w:szCs w:val="18"/>
              </w:rPr>
              <w:br/>
            </w:r>
            <w:hyperlink r:id="rId8" w:history="1">
              <w:r w:rsidR="00A51909" w:rsidRPr="00A51909">
                <w:rPr>
                  <w:rStyle w:val="Hyperlink"/>
                  <w:rFonts w:ascii="Times New Roman" w:eastAsia="Times New Roman" w:hAnsi="Times New Roman" w:cs="Times New Roman"/>
                  <w:sz w:val="18"/>
                  <w:szCs w:val="18"/>
                </w:rPr>
                <w:t>227007042@</w:t>
              </w:r>
            </w:hyperlink>
            <w:r w:rsidR="00A51909" w:rsidRPr="00A51909">
              <w:rPr>
                <w:rFonts w:ascii="Times New Roman" w:eastAsia="Times New Roman" w:hAnsi="Times New Roman" w:cs="Times New Roman"/>
                <w:sz w:val="18"/>
                <w:szCs w:val="18"/>
              </w:rPr>
              <w:t>student.uns</w:t>
            </w:r>
            <w:r w:rsidR="00CF2D28">
              <w:rPr>
                <w:rFonts w:ascii="Times New Roman" w:eastAsia="Times New Roman" w:hAnsi="Times New Roman" w:cs="Times New Roman"/>
                <w:sz w:val="18"/>
                <w:szCs w:val="18"/>
              </w:rPr>
              <w:t>il</w:t>
            </w:r>
            <w:r w:rsidR="00A51909" w:rsidRPr="00A51909">
              <w:rPr>
                <w:rFonts w:ascii="Times New Roman" w:eastAsia="Times New Roman" w:hAnsi="Times New Roman" w:cs="Times New Roman"/>
                <w:sz w:val="18"/>
                <w:szCs w:val="18"/>
              </w:rPr>
              <w:t>.ac.id</w:t>
            </w:r>
          </w:p>
          <w:p w14:paraId="50D9C584" w14:textId="77777777" w:rsidR="000A7EF1" w:rsidRDefault="000A7EF1">
            <w:pPr>
              <w:pBdr>
                <w:top w:val="nil"/>
                <w:left w:val="nil"/>
                <w:bottom w:val="nil"/>
                <w:right w:val="nil"/>
                <w:between w:val="nil"/>
              </w:pBdr>
              <w:rPr>
                <w:rFonts w:ascii="Times New Roman" w:eastAsia="Times New Roman" w:hAnsi="Times New Roman" w:cs="Times New Roman"/>
                <w:color w:val="000000"/>
                <w:sz w:val="20"/>
                <w:szCs w:val="20"/>
              </w:rPr>
            </w:pPr>
          </w:p>
          <w:p w14:paraId="4D7B41C7" w14:textId="77777777" w:rsidR="000A7EF1" w:rsidRDefault="00000000">
            <w:pPr>
              <w:pBdr>
                <w:top w:val="nil"/>
                <w:left w:val="nil"/>
                <w:bottom w:val="nil"/>
                <w:right w:val="nil"/>
                <w:between w:val="nil"/>
              </w:pBdr>
              <w:spacing w:before="120" w:after="240"/>
              <w:jc w:val="both"/>
              <w:rPr>
                <w:rFonts w:ascii="Arial" w:eastAsia="Arial" w:hAnsi="Arial" w:cs="Arial"/>
                <w:sz w:val="16"/>
                <w:szCs w:val="16"/>
                <w:highlight w:val="white"/>
              </w:rPr>
            </w:pPr>
            <w:bookmarkStart w:id="0" w:name="_heading=h.gjdgxs" w:colFirst="0" w:colLast="0"/>
            <w:bookmarkEnd w:id="0"/>
            <w:r>
              <w:rPr>
                <w:rFonts w:ascii="Tahoma" w:eastAsia="Tahoma" w:hAnsi="Tahoma" w:cs="Tahoma"/>
                <w:noProof/>
                <w:color w:val="007AB2"/>
                <w:sz w:val="20"/>
                <w:szCs w:val="20"/>
                <w:highlight w:val="white"/>
              </w:rPr>
              <w:drawing>
                <wp:inline distT="0" distB="0" distL="0" distR="0" wp14:anchorId="7FCDA445" wp14:editId="0F23E162">
                  <wp:extent cx="838200" cy="297180"/>
                  <wp:effectExtent l="0" t="0" r="0" b="0"/>
                  <wp:docPr id="1230582149" name="image2.png" descr="Creative Commons License"/>
                  <wp:cNvGraphicFramePr/>
                  <a:graphic xmlns:a="http://schemas.openxmlformats.org/drawingml/2006/main">
                    <a:graphicData uri="http://schemas.openxmlformats.org/drawingml/2006/picture">
                      <pic:pic xmlns:pic="http://schemas.openxmlformats.org/drawingml/2006/picture">
                        <pic:nvPicPr>
                          <pic:cNvPr id="0" name="image2.png" descr="Creative Commons License"/>
                          <pic:cNvPicPr preferRelativeResize="0"/>
                        </pic:nvPicPr>
                        <pic:blipFill>
                          <a:blip r:embed="rId9"/>
                          <a:srcRect/>
                          <a:stretch>
                            <a:fillRect/>
                          </a:stretch>
                        </pic:blipFill>
                        <pic:spPr>
                          <a:xfrm>
                            <a:off x="0" y="0"/>
                            <a:ext cx="838200" cy="297180"/>
                          </a:xfrm>
                          <a:prstGeom prst="rect">
                            <a:avLst/>
                          </a:prstGeom>
                          <a:ln/>
                        </pic:spPr>
                      </pic:pic>
                    </a:graphicData>
                  </a:graphic>
                </wp:inline>
              </w:drawing>
            </w:r>
            <w:r>
              <w:rPr>
                <w:rFonts w:ascii="Tahoma" w:eastAsia="Tahoma" w:hAnsi="Tahoma" w:cs="Tahoma"/>
                <w:sz w:val="20"/>
                <w:szCs w:val="20"/>
              </w:rPr>
              <w:br/>
            </w:r>
            <w:r>
              <w:rPr>
                <w:rFonts w:ascii="Tahoma" w:eastAsia="Tahoma" w:hAnsi="Tahoma" w:cs="Tahoma"/>
                <w:sz w:val="16"/>
                <w:szCs w:val="16"/>
              </w:rPr>
              <w:t>Copyright © 2026 The Author(s), Published by Jurnal Informatika dan Teknik Elektro Terapan. This is an open-access article distributed under the terms of the Creative Commons Attribution-NonCommercial 4.0 International License (CC BY-NC 4.0).</w:t>
            </w:r>
          </w:p>
          <w:p w14:paraId="0C974D8E" w14:textId="77777777" w:rsidR="000A7EF1" w:rsidRDefault="000A7EF1">
            <w:pPr>
              <w:pBdr>
                <w:top w:val="nil"/>
                <w:left w:val="nil"/>
                <w:bottom w:val="nil"/>
                <w:right w:val="nil"/>
                <w:between w:val="nil"/>
              </w:pBdr>
              <w:spacing w:before="120" w:after="240"/>
              <w:jc w:val="both"/>
              <w:rPr>
                <w:rFonts w:ascii="Tahoma" w:eastAsia="Tahoma" w:hAnsi="Tahoma" w:cs="Tahoma"/>
                <w:sz w:val="20"/>
                <w:szCs w:val="20"/>
                <w:highlight w:val="white"/>
              </w:rPr>
            </w:pPr>
            <w:bookmarkStart w:id="1" w:name="_heading=h.e5nf5nsh0nuv" w:colFirst="0" w:colLast="0"/>
            <w:bookmarkEnd w:id="1"/>
          </w:p>
        </w:tc>
        <w:tc>
          <w:tcPr>
            <w:tcW w:w="6430" w:type="dxa"/>
            <w:tcBorders>
              <w:top w:val="single" w:sz="4" w:space="0" w:color="000000"/>
            </w:tcBorders>
          </w:tcPr>
          <w:p w14:paraId="67E0B53A" w14:textId="7DDB6F1A" w:rsidR="000A7EF1" w:rsidRPr="0091185E" w:rsidRDefault="00000000" w:rsidP="00DB64CC">
            <w:pPr>
              <w:pBdr>
                <w:top w:val="nil"/>
                <w:left w:val="nil"/>
                <w:bottom w:val="nil"/>
                <w:right w:val="nil"/>
                <w:between w:val="nil"/>
              </w:pBdr>
              <w:tabs>
                <w:tab w:val="left" w:pos="4742"/>
              </w:tabs>
              <w:spacing w:before="120" w:after="240"/>
              <w:jc w:val="both"/>
              <w:rPr>
                <w:rFonts w:ascii="Times New Roman" w:eastAsia="Times New Roman" w:hAnsi="Times New Roman" w:cs="Times New Roman"/>
                <w:color w:val="000000"/>
                <w:sz w:val="20"/>
                <w:szCs w:val="20"/>
                <w:lang w:val="sv-SE"/>
              </w:rPr>
            </w:pPr>
            <w:r w:rsidRPr="00AD6F2F">
              <w:rPr>
                <w:rFonts w:ascii="Times New Roman" w:eastAsia="Times New Roman" w:hAnsi="Times New Roman" w:cs="Times New Roman"/>
                <w:b/>
                <w:bCs/>
                <w:color w:val="000000"/>
                <w:sz w:val="20"/>
                <w:szCs w:val="20"/>
              </w:rPr>
              <w:t xml:space="preserve">Abstrak. </w:t>
            </w:r>
            <w:r w:rsidR="0091185E">
              <w:rPr>
                <w:rFonts w:ascii="Times New Roman" w:eastAsia="Times New Roman" w:hAnsi="Times New Roman" w:cs="Times New Roman"/>
                <w:color w:val="000000"/>
                <w:sz w:val="20"/>
                <w:szCs w:val="20"/>
              </w:rPr>
              <w:t>P</w:t>
            </w:r>
            <w:r w:rsidR="0091185E" w:rsidRPr="0091185E">
              <w:rPr>
                <w:rFonts w:ascii="Times New Roman" w:eastAsia="Times New Roman" w:hAnsi="Times New Roman" w:cs="Times New Roman"/>
                <w:color w:val="000000"/>
                <w:sz w:val="20"/>
                <w:szCs w:val="20"/>
              </w:rPr>
              <w:t xml:space="preserve">angkalan Data Pendidikan Tinggi (PDDikti) menyediakan data agregat yang penting bagi tata kelola pendidikan tinggi, namun penyajian data yang bersifat statis menyulitkan analisis longitudinal untuk evaluasi kapasitas akademik. Penelitian ini mengimplementasikan pendekatan Business Intelligence (BI) untuk menganalisis rasio dosen terhadap mahasiswa menggunakan data agregat PDDikti Universitas Siliwangi sebagai Perguruan Tinggi Negeri Badan Layanan Umum (PTN BLU). Metodologi BI Roadmap digunakan untuk membangun proses Extract, Transform, Load (ETL), Data Warehouse berskema bintang (star schema), dan dashboard analitik. Data yang dianalisis mencakup 35 program studi selama lima periode pelaporan (Ganjil 2023–Ganjil 2025). Hasil penelitian menunjukkan bahwa rasio institusi secara agregat berada pada rentang 22,84–24,91 dan masih berada di bawah batas regulasi 1:45. </w:t>
            </w:r>
            <w:r w:rsidR="0091185E" w:rsidRPr="0091185E">
              <w:rPr>
                <w:rFonts w:ascii="Times New Roman" w:eastAsia="Times New Roman" w:hAnsi="Times New Roman" w:cs="Times New Roman"/>
                <w:color w:val="000000"/>
                <w:sz w:val="20"/>
                <w:szCs w:val="20"/>
                <w:lang w:val="sv-SE"/>
              </w:rPr>
              <w:t>Namun, analisis pada tingkat program studi mengungkap adanya disparitas kapasitas akademik, di mana tiga program studi teridentifikasi melampaui batas rasio, yaitu Pendidikan Sejarah (1:54,0), Pendidikan Masyarakat (1:50,9), dan Akuntansi (1:45,7). Penelitian ini menunjukkan bahwa integrasi Data Warehouse dan dashboard analitik mampu mendukung pemantauan kapasitas akademik serta pengambilan keputusan berbasis data di perguruan tinggi.</w:t>
            </w:r>
          </w:p>
        </w:tc>
      </w:tr>
      <w:tr w:rsidR="000A7EF1" w14:paraId="618785A8" w14:textId="77777777">
        <w:tc>
          <w:tcPr>
            <w:tcW w:w="2641" w:type="dxa"/>
            <w:vMerge/>
          </w:tcPr>
          <w:p w14:paraId="25CD0CF7" w14:textId="77777777" w:rsidR="000A7EF1" w:rsidRPr="0091185E" w:rsidRDefault="000A7EF1">
            <w:pPr>
              <w:widowControl w:val="0"/>
              <w:pBdr>
                <w:top w:val="nil"/>
                <w:left w:val="nil"/>
                <w:bottom w:val="nil"/>
                <w:right w:val="nil"/>
                <w:between w:val="nil"/>
              </w:pBdr>
              <w:spacing w:line="276" w:lineRule="auto"/>
              <w:rPr>
                <w:rFonts w:ascii="Times New Roman" w:eastAsia="Times New Roman" w:hAnsi="Times New Roman" w:cs="Times New Roman"/>
                <w:sz w:val="20"/>
                <w:szCs w:val="20"/>
                <w:lang w:val="sv-SE"/>
              </w:rPr>
            </w:pPr>
          </w:p>
        </w:tc>
        <w:tc>
          <w:tcPr>
            <w:tcW w:w="6430" w:type="dxa"/>
          </w:tcPr>
          <w:p w14:paraId="467715AE" w14:textId="7822828D" w:rsidR="000A7EF1" w:rsidRDefault="00000000">
            <w:pPr>
              <w:pBdr>
                <w:top w:val="nil"/>
                <w:left w:val="nil"/>
                <w:bottom w:val="nil"/>
                <w:right w:val="nil"/>
                <w:between w:val="nil"/>
              </w:pBdr>
              <w:spacing w:before="120" w:after="240"/>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Abstract.</w:t>
            </w:r>
            <w:r w:rsidR="00A51909">
              <w:rPr>
                <w:rFonts w:ascii="Times New Roman" w:eastAsia="Times New Roman" w:hAnsi="Times New Roman" w:cs="Times New Roman"/>
                <w:color w:val="000000"/>
                <w:sz w:val="20"/>
                <w:szCs w:val="20"/>
              </w:rPr>
              <w:t xml:space="preserve"> </w:t>
            </w:r>
            <w:r w:rsidR="0091185E" w:rsidRPr="0091185E">
              <w:rPr>
                <w:rFonts w:ascii="Times New Roman" w:eastAsia="Times New Roman" w:hAnsi="Times New Roman" w:cs="Times New Roman"/>
                <w:color w:val="000000"/>
                <w:sz w:val="20"/>
                <w:szCs w:val="20"/>
              </w:rPr>
              <w:t>The Higher Education Database (PDDikti) provides aggregate data that are essential for higher education governance; however, its static presentation limits longitudinal analysis for evaluating academic capacity. This study implements a Business Intelligence (BI) approach to analyze lecturer-to-student ratios using aggregate PDDikti data from Universitas Siliwangi, a Public University with Public Service Agency status (PTN BLU). The BI Roadmap methodology was employed to develop the Extract, Transform, Load (ETL) process, a star-schema Data Warehouse, and an analytical dashboard. The dataset covers 35 study programs across five reporting periods (Odd Semester 2023 to Odd Semester 2025). The results indicate that the institutional ratio remained within the range of 22.84–24.91, below the regulatory threshold of 1:45. However, program-level analysis revealed disparities in academic capacity, with three study programs exceeding the ratio limit: Pendidikan Sejarah (1:54.0), Pendidikan Masyarakat (1:50.9), and Akuntansi (1:45.7). The study demonstrates that integrating a Data Warehouse and analytical dashboard can support academic capacity monitoring and data-driven decision making in higher education institutions.</w:t>
            </w:r>
          </w:p>
        </w:tc>
      </w:tr>
      <w:tr w:rsidR="000A7EF1" w14:paraId="64211324" w14:textId="77777777">
        <w:trPr>
          <w:trHeight w:val="80"/>
        </w:trPr>
        <w:tc>
          <w:tcPr>
            <w:tcW w:w="2641" w:type="dxa"/>
            <w:tcBorders>
              <w:bottom w:val="single" w:sz="4" w:space="0" w:color="000000"/>
            </w:tcBorders>
          </w:tcPr>
          <w:p w14:paraId="271F68E1" w14:textId="77777777" w:rsidR="000A7EF1" w:rsidRDefault="000A7EF1">
            <w:pPr>
              <w:rPr>
                <w:rFonts w:ascii="Times New Roman" w:eastAsia="Times New Roman" w:hAnsi="Times New Roman" w:cs="Times New Roman"/>
                <w:sz w:val="2"/>
                <w:szCs w:val="2"/>
              </w:rPr>
            </w:pPr>
          </w:p>
        </w:tc>
        <w:tc>
          <w:tcPr>
            <w:tcW w:w="6430" w:type="dxa"/>
            <w:tcBorders>
              <w:bottom w:val="single" w:sz="4" w:space="0" w:color="000000"/>
            </w:tcBorders>
          </w:tcPr>
          <w:p w14:paraId="7B075A53" w14:textId="77777777" w:rsidR="000A7EF1" w:rsidRDefault="000A7EF1">
            <w:pPr>
              <w:rPr>
                <w:rFonts w:ascii="Times New Roman" w:eastAsia="Times New Roman" w:hAnsi="Times New Roman" w:cs="Times New Roman"/>
                <w:sz w:val="2"/>
                <w:szCs w:val="2"/>
              </w:rPr>
            </w:pPr>
          </w:p>
        </w:tc>
      </w:tr>
    </w:tbl>
    <w:p w14:paraId="63E848FB" w14:textId="43F71B7C" w:rsidR="00C42E6F" w:rsidRDefault="00C42E6F">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9E63724" w14:textId="77777777" w:rsidR="000A7EF1" w:rsidRDefault="000A7EF1">
      <w:pPr>
        <w:pBdr>
          <w:top w:val="nil"/>
          <w:left w:val="nil"/>
          <w:bottom w:val="nil"/>
          <w:right w:val="nil"/>
          <w:between w:val="nil"/>
        </w:pBdr>
        <w:tabs>
          <w:tab w:val="left" w:pos="567"/>
        </w:tabs>
        <w:ind w:firstLine="284"/>
        <w:jc w:val="both"/>
        <w:rPr>
          <w:rFonts w:ascii="Times New Roman" w:eastAsia="Times New Roman" w:hAnsi="Times New Roman" w:cs="Times New Roman"/>
          <w:color w:val="000000"/>
        </w:rPr>
        <w:sectPr w:rsidR="000A7EF1">
          <w:headerReference w:type="even" r:id="rId10"/>
          <w:headerReference w:type="default" r:id="rId11"/>
          <w:footerReference w:type="even" r:id="rId12"/>
          <w:footerReference w:type="default" r:id="rId13"/>
          <w:headerReference w:type="first" r:id="rId14"/>
          <w:footerReference w:type="first" r:id="rId15"/>
          <w:pgSz w:w="11907" w:h="16840"/>
          <w:pgMar w:top="1985" w:right="1418" w:bottom="1418" w:left="1418" w:header="1020" w:footer="794" w:gutter="0"/>
          <w:pgNumType w:start="1"/>
          <w:cols w:space="720"/>
          <w:titlePg/>
        </w:sectPr>
      </w:pPr>
    </w:p>
    <w:p w14:paraId="6144BD84" w14:textId="77777777" w:rsidR="000A7EF1" w:rsidRDefault="00000000">
      <w:pPr>
        <w:pStyle w:val="Heading1"/>
        <w:numPr>
          <w:ilvl w:val="0"/>
          <w:numId w:val="1"/>
        </w:numPr>
        <w:spacing w:before="0"/>
        <w:rPr>
          <w:rFonts w:ascii="Times New Roman" w:eastAsia="Times New Roman" w:hAnsi="Times New Roman" w:cs="Times New Roman"/>
        </w:rPr>
      </w:pPr>
      <w:r>
        <w:rPr>
          <w:rFonts w:ascii="Times New Roman" w:eastAsia="Times New Roman" w:hAnsi="Times New Roman" w:cs="Times New Roman"/>
        </w:rPr>
        <w:lastRenderedPageBreak/>
        <w:t xml:space="preserve">PENDAHULUAN </w:t>
      </w:r>
    </w:p>
    <w:p w14:paraId="4862C306" w14:textId="5A0D4C86" w:rsidR="00A51909" w:rsidRDefault="00A51909">
      <w:pPr>
        <w:pBdr>
          <w:top w:val="nil"/>
          <w:left w:val="nil"/>
          <w:bottom w:val="nil"/>
          <w:right w:val="nil"/>
          <w:between w:val="nil"/>
        </w:pBdr>
        <w:tabs>
          <w:tab w:val="left" w:pos="567"/>
        </w:tabs>
        <w:ind w:firstLine="284"/>
        <w:jc w:val="both"/>
      </w:pPr>
      <w:r w:rsidRPr="00A51909">
        <w:rPr>
          <w:rFonts w:ascii="Times New Roman" w:eastAsia="Times New Roman" w:hAnsi="Times New Roman" w:cs="Times New Roman"/>
          <w:color w:val="000000"/>
        </w:rPr>
        <w:t>Perguruan tinggi modern secara kontinu menghasilkan data akademik dalam volume besar yang esensial untuk dimanfaatkan sebagai landasan tata kelola data pendidikan tinggi (Higher Education Data Governance) dan pengambilan keputusan strategis [1]. Dalam konteks Perguruan Tinggi Negeri berstatus Badan Layanan Umum (PTN BLU),</w:t>
      </w:r>
      <w:r w:rsidR="009B3F18">
        <w:rPr>
          <w:rFonts w:ascii="Times New Roman" w:eastAsia="Times New Roman" w:hAnsi="Times New Roman" w:cs="Times New Roman"/>
          <w:color w:val="000000"/>
        </w:rPr>
        <w:t xml:space="preserve"> </w:t>
      </w:r>
      <w:r w:rsidRPr="00A51909">
        <w:rPr>
          <w:rFonts w:ascii="Times New Roman" w:eastAsia="Times New Roman" w:hAnsi="Times New Roman" w:cs="Times New Roman"/>
          <w:color w:val="000000"/>
        </w:rPr>
        <w:t>Institutional Capacity Analytics</w:t>
      </w:r>
      <w:r w:rsidR="009B3F18">
        <w:rPr>
          <w:rFonts w:ascii="Times New Roman" w:eastAsia="Times New Roman" w:hAnsi="Times New Roman" w:cs="Times New Roman"/>
          <w:color w:val="000000"/>
        </w:rPr>
        <w:t xml:space="preserve"> </w:t>
      </w:r>
      <w:r w:rsidRPr="00A51909">
        <w:rPr>
          <w:rFonts w:ascii="Times New Roman" w:eastAsia="Times New Roman" w:hAnsi="Times New Roman" w:cs="Times New Roman"/>
          <w:color w:val="000000"/>
        </w:rPr>
        <w:t>khususnya</w:t>
      </w:r>
      <w:r w:rsidR="009B3F18">
        <w:rPr>
          <w:rFonts w:ascii="Times New Roman" w:eastAsia="Times New Roman" w:hAnsi="Times New Roman" w:cs="Times New Roman"/>
          <w:color w:val="000000"/>
        </w:rPr>
        <w:t xml:space="preserve"> </w:t>
      </w:r>
      <w:r w:rsidRPr="00A51909">
        <w:rPr>
          <w:rFonts w:ascii="Times New Roman" w:eastAsia="Times New Roman" w:hAnsi="Times New Roman" w:cs="Times New Roman"/>
          <w:color w:val="000000"/>
        </w:rPr>
        <w:t>terkait pemantauan kapasitas akademik</w:t>
      </w:r>
      <w:r w:rsidR="009B3F18">
        <w:rPr>
          <w:rFonts w:ascii="Times New Roman" w:eastAsia="Times New Roman" w:hAnsi="Times New Roman" w:cs="Times New Roman"/>
          <w:color w:val="000000"/>
        </w:rPr>
        <w:t xml:space="preserve"> </w:t>
      </w:r>
      <w:r w:rsidRPr="00A51909">
        <w:rPr>
          <w:rFonts w:ascii="Times New Roman" w:eastAsia="Times New Roman" w:hAnsi="Times New Roman" w:cs="Times New Roman"/>
          <w:color w:val="000000"/>
        </w:rPr>
        <w:t>memiliki implikasi langsung terhadap efektivitas layanan pendidikan, akuntabilitas kinerja, serta perencanaan sumber daya. Keseimbangan rasio antara jumlah dosen dan mahasiswa merupakan metrik vital; ketidakseimbangan pada rasio ini berpotensi menurunkan kualitas pembelajaran dan mendistorsi distribusi beban akademik secara tidak proporsional [2]. Oleh karena itu, evaluasi objektif mengenai keseimbangan kapasitas institusi menjadi prasyarat mutlak agar institusi dapat mematuhi standar mutu pendidikan yang ditetapkan oleh regulasi pemerintah [3].</w:t>
      </w:r>
      <w:r w:rsidRPr="00A51909">
        <w:t xml:space="preserve"> </w:t>
      </w:r>
    </w:p>
    <w:p w14:paraId="71A083CC" w14:textId="489E407D" w:rsidR="0091185E" w:rsidRPr="0091185E" w:rsidRDefault="0091185E">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91185E">
        <w:rPr>
          <w:rFonts w:ascii="Times New Roman" w:eastAsia="Times New Roman" w:hAnsi="Times New Roman" w:cs="Times New Roman"/>
          <w:color w:val="000000"/>
          <w:lang w:val="sv-SE"/>
        </w:rPr>
        <w:t>Secara nasional, Pangkalan Data Pendidikan Tinggi (PDDikti) telah menjadi repositori utama yang menyediakan data agregat institusi pendidikan tinggi secara terbuka. Salah satu institusi yang dapat memanfaatkan data tersebut adalah Universitas Siliwangi sebagai Perguruan Tinggi Negeri Badan Layanan Umum (PTN BLU). Meskipun data akademik tersedia secara publik, penyajiannya masih bersifat statis dan deskriptif sehingga menyulitkan analisis longitudinal untuk mengevaluasi kapasitas akademik secara berkelanjutan. Kondisi ini menyebabkan informasi yang tersedia belum dapat dimanfaatkan secara optimal untuk mengidentifikasi tren rasio dosen terhadap mahasiswa maupun mendukung proses pengambilan keputusan berbasis data.</w:t>
      </w:r>
    </w:p>
    <w:p w14:paraId="410534B6" w14:textId="4DAD2503" w:rsidR="0091185E" w:rsidRPr="0091185E" w:rsidRDefault="0091185E">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91185E">
        <w:rPr>
          <w:rFonts w:ascii="Times New Roman" w:eastAsia="Times New Roman" w:hAnsi="Times New Roman" w:cs="Times New Roman"/>
          <w:color w:val="000000"/>
          <w:lang w:val="sv-SE"/>
        </w:rPr>
        <w:t>Di sisi lain, penelitian terdahulu menunjukkan bahwa implementasi Business Intelligence di sektor pendidikan tinggi telah diterapkan untuk berbagai kebutuhan, seperti analisis data pelacakan alumni [4], evaluasi sistem penerimaan mahasiswa baru [5], dan pemantauan indikator penjaminan mutu [6]. Namun, sebagian besar penelitian masih berfokus pada pemanfaatan data internal institusi dan belum banyak mengeksplorasi penggunaan data agregat PDDikti untuk analisis kapasitas akademik secara longitudinal. Selain itu, integrasi proses ETL, Data Warehouse, dan dashboard analitik dalam satu kerangka Business Intelligence yang terstruktur masih relatif terbatas. Kondisi tersebut menjadi celah penelitian yang mendasari pelaksanaan studi ini.</w:t>
      </w:r>
    </w:p>
    <w:p w14:paraId="36DE4CE4" w14:textId="01879A18" w:rsidR="0091185E" w:rsidRPr="0091185E" w:rsidRDefault="0091185E" w:rsidP="00A51909">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91185E">
        <w:rPr>
          <w:rFonts w:ascii="Times New Roman" w:eastAsia="Times New Roman" w:hAnsi="Times New Roman" w:cs="Times New Roman"/>
          <w:color w:val="000000"/>
          <w:lang w:val="sv-SE"/>
        </w:rPr>
        <w:t>Kebaruan penelitian ini terletak pada pemanfaatan data agregat PDDikti sebagai sumber utama untuk analisis kapasitas akademik melalui integrasi proses ETL, Data Warehouse, dan dashboard analitik dalam satu arsitektur Business Intelligence. Pendekatan ini memungkinkan analisis rasio dosen terhadap mahasiswa secara longitudinal pada tingkat program studi maupun institusi. Selain menghasilkan infrastruktur data yang terstruktur, penelitian ini juga memberikan temuan empiris mengenai variasi kapasitas akademik antar program studi yang tidak terlihat pada tingkat agregat institusi.</w:t>
      </w:r>
    </w:p>
    <w:p w14:paraId="2C50CFAC" w14:textId="514B1217" w:rsidR="0091185E" w:rsidRPr="0091185E" w:rsidRDefault="00A51909" w:rsidP="0091185E">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A51909">
        <w:rPr>
          <w:rFonts w:ascii="Times New Roman" w:eastAsia="Times New Roman" w:hAnsi="Times New Roman" w:cs="Times New Roman"/>
          <w:color w:val="000000"/>
          <w:lang w:val="sv-SE"/>
        </w:rPr>
        <w:t>Dengan demikian, tujuan dari penelitian ini adalah untuk mengimplementasikan pendekatan Business Intelligence berbasis integrasi Data Warehouse dan proses ETL guna mengevaluasi tren rasio dosen terhadap mahasiswa secara longitudinal menggunakan data agregat PDDikti, sehingga</w:t>
      </w:r>
      <w:r w:rsidR="0091185E">
        <w:rPr>
          <w:rFonts w:ascii="Times New Roman" w:eastAsia="Times New Roman" w:hAnsi="Times New Roman" w:cs="Times New Roman"/>
          <w:color w:val="000000"/>
          <w:lang w:val="sv-SE"/>
        </w:rPr>
        <w:t xml:space="preserve"> </w:t>
      </w:r>
      <w:r w:rsidR="0091185E" w:rsidRPr="0091185E">
        <w:rPr>
          <w:rFonts w:ascii="Times New Roman" w:eastAsia="Times New Roman" w:hAnsi="Times New Roman" w:cs="Times New Roman"/>
          <w:color w:val="000000"/>
          <w:lang w:val="sv-SE"/>
        </w:rPr>
        <w:t>menyediakan informasi yang mendukung proses pengambilan keputusan berbasis data terkait pemantauan kapasitas akademik.</w:t>
      </w:r>
    </w:p>
    <w:p w14:paraId="7106893E" w14:textId="77777777" w:rsidR="000A7EF1" w:rsidRDefault="00000000" w:rsidP="00ED625D">
      <w:pPr>
        <w:pStyle w:val="Heading1"/>
        <w:numPr>
          <w:ilvl w:val="0"/>
          <w:numId w:val="1"/>
        </w:numPr>
        <w:spacing w:line="360" w:lineRule="auto"/>
        <w:ind w:left="284" w:hanging="284"/>
        <w:rPr>
          <w:rFonts w:ascii="Times New Roman" w:eastAsia="Times New Roman" w:hAnsi="Times New Roman" w:cs="Times New Roman"/>
        </w:rPr>
      </w:pPr>
      <w:r>
        <w:rPr>
          <w:rFonts w:ascii="Times New Roman" w:eastAsia="Times New Roman" w:hAnsi="Times New Roman" w:cs="Times New Roman"/>
        </w:rPr>
        <w:t>TINJAUAN PUSTAKA</w:t>
      </w:r>
    </w:p>
    <w:p w14:paraId="23CDD788" w14:textId="77777777" w:rsidR="00ED625D" w:rsidRPr="00ED625D" w:rsidRDefault="00ED625D" w:rsidP="00ED625D">
      <w:pPr>
        <w:pStyle w:val="ListParagraph"/>
        <w:numPr>
          <w:ilvl w:val="0"/>
          <w:numId w:val="4"/>
        </w:numPr>
        <w:tabs>
          <w:tab w:val="left" w:pos="567"/>
        </w:tabs>
        <w:spacing w:before="240"/>
        <w:contextualSpacing w:val="0"/>
        <w:outlineLvl w:val="0"/>
        <w:rPr>
          <w:rFonts w:ascii="Minion Pro" w:hAnsi="Minion Pro"/>
          <w:b/>
          <w:vanish/>
          <w:color w:val="000000"/>
          <w:lang w:val="sv-SE"/>
        </w:rPr>
      </w:pPr>
    </w:p>
    <w:p w14:paraId="6112CE44" w14:textId="77777777" w:rsidR="00ED625D" w:rsidRPr="00ED625D" w:rsidRDefault="00ED625D" w:rsidP="00ED625D">
      <w:pPr>
        <w:pStyle w:val="ListParagraph"/>
        <w:numPr>
          <w:ilvl w:val="0"/>
          <w:numId w:val="4"/>
        </w:numPr>
        <w:tabs>
          <w:tab w:val="left" w:pos="567"/>
        </w:tabs>
        <w:spacing w:before="240"/>
        <w:contextualSpacing w:val="0"/>
        <w:outlineLvl w:val="0"/>
        <w:rPr>
          <w:rFonts w:ascii="Minion Pro" w:hAnsi="Minion Pro"/>
          <w:b/>
          <w:vanish/>
          <w:color w:val="000000"/>
          <w:lang w:val="sv-SE"/>
        </w:rPr>
      </w:pPr>
    </w:p>
    <w:p w14:paraId="7E606A25" w14:textId="2AD24E4E" w:rsidR="00A51909" w:rsidRPr="00A51909" w:rsidRDefault="00A51909" w:rsidP="00ED625D">
      <w:pPr>
        <w:pStyle w:val="Heading2"/>
        <w:spacing w:before="0"/>
        <w:rPr>
          <w:lang w:val="sv-SE"/>
        </w:rPr>
      </w:pPr>
      <w:r w:rsidRPr="00A51909">
        <w:rPr>
          <w:lang w:val="sv-SE"/>
        </w:rPr>
        <w:t>B</w:t>
      </w:r>
      <w:r>
        <w:rPr>
          <w:lang w:val="sv-SE"/>
        </w:rPr>
        <w:t>usiness Intelligence</w:t>
      </w:r>
    </w:p>
    <w:p w14:paraId="5B2E1E9D" w14:textId="63422C33" w:rsidR="00A51909" w:rsidRDefault="00E731A5" w:rsidP="00ED625D">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Pr>
          <w:rFonts w:ascii="Times New Roman" w:eastAsia="Times New Roman" w:hAnsi="Times New Roman" w:cs="Times New Roman"/>
          <w:color w:val="000000"/>
          <w:lang w:val="sv-SE"/>
        </w:rPr>
        <w:t xml:space="preserve">     </w:t>
      </w:r>
      <w:r w:rsidR="00A51909" w:rsidRPr="00A51909">
        <w:rPr>
          <w:rFonts w:ascii="Times New Roman" w:eastAsia="Times New Roman" w:hAnsi="Times New Roman" w:cs="Times New Roman"/>
          <w:color w:val="000000"/>
          <w:lang w:val="sv-SE"/>
        </w:rPr>
        <w:t>Business Intelligence (BI) merupakan kerangka kerja komprehensif yang mengintegrasikan metodologi, arsitektur, dan teknologi untuk mengubah data mentah menjadi wawasan bermakna guna mendorong tindakan strategis [8]. Dalam domain pendidikan tinggi, BI melampaui sekadar visualisasi data; BI adalah serangkaian proses sistematis yang mengekstraksi nilai dari aset data institusi untuk mentransformasi manajemen reaktif menjadi proaktif [9].</w:t>
      </w:r>
    </w:p>
    <w:p w14:paraId="47858485" w14:textId="4535F0AC" w:rsidR="00ED625D" w:rsidRDefault="00ED625D" w:rsidP="00ED625D">
      <w:pPr>
        <w:pStyle w:val="Heading2"/>
        <w:spacing w:before="0"/>
        <w:rPr>
          <w:lang w:val="sv-SE"/>
        </w:rPr>
      </w:pPr>
      <w:r>
        <w:rPr>
          <w:lang w:val="sv-SE"/>
        </w:rPr>
        <w:t>Data Warehouse</w:t>
      </w:r>
    </w:p>
    <w:p w14:paraId="7E0F71F5" w14:textId="5DB2F143" w:rsidR="00ED625D" w:rsidRPr="00F71C1A" w:rsidRDefault="00E731A5" w:rsidP="00ED625D">
      <w:pPr>
        <w:pBdr>
          <w:top w:val="nil"/>
          <w:left w:val="nil"/>
          <w:bottom w:val="nil"/>
          <w:right w:val="nil"/>
          <w:between w:val="nil"/>
        </w:pBdr>
        <w:tabs>
          <w:tab w:val="left" w:pos="567"/>
        </w:tabs>
        <w:jc w:val="both"/>
        <w:rPr>
          <w:rFonts w:ascii="Times New Roman" w:eastAsia="Times New Roman" w:hAnsi="Times New Roman" w:cs="Times New Roman"/>
          <w:lang w:val="en-ID"/>
        </w:rPr>
      </w:pPr>
      <w:r>
        <w:rPr>
          <w:rFonts w:ascii="Times New Roman" w:eastAsia="Times New Roman" w:hAnsi="Times New Roman" w:cs="Times New Roman"/>
          <w:color w:val="000000"/>
          <w:lang w:val="sv-SE"/>
        </w:rPr>
        <w:t xml:space="preserve">     </w:t>
      </w:r>
      <w:r w:rsidR="00ED625D" w:rsidRPr="00ED625D">
        <w:rPr>
          <w:rFonts w:ascii="Times New Roman" w:eastAsia="Times New Roman" w:hAnsi="Times New Roman" w:cs="Times New Roman"/>
          <w:color w:val="000000"/>
          <w:lang w:val="sv-SE"/>
        </w:rPr>
        <w:t xml:space="preserve">Data Warehouse (DW) bertindak sebagai infrastruktur fundamental di dalam arsitektur BI yang mensentralisasi data ke dalam satu repositori analitik [10]. Dalam penelitian ini, DW dirancang menggunakan pendekatan pemodelan dimensional (star schema), yang secara logis memisahkan fakta kuantitatif dari dimensi deskriptif guna mengoptimalkan agregasi data [11]. </w:t>
      </w:r>
      <w:r w:rsidR="00F71C1A" w:rsidRPr="00F71C1A">
        <w:rPr>
          <w:rFonts w:ascii="Times New Roman" w:eastAsia="Times New Roman" w:hAnsi="Times New Roman" w:cs="Times New Roman"/>
          <w:lang w:val="en-ID"/>
        </w:rPr>
        <w:t>Kehadiran Data Warehouse mendukung konsep Single Version of the Truth (SVOT), yaitu penyediaan sumber data terpusat yang konsisten bagi seluruh pemangku kepentingan.</w:t>
      </w:r>
    </w:p>
    <w:p w14:paraId="595BED36" w14:textId="2BBD2136" w:rsidR="00ED625D" w:rsidRPr="00ED625D" w:rsidRDefault="00ED625D" w:rsidP="00ED625D">
      <w:pPr>
        <w:pStyle w:val="Heading2"/>
        <w:spacing w:before="0"/>
        <w:rPr>
          <w:lang w:val="sv-SE"/>
        </w:rPr>
      </w:pPr>
      <w:r w:rsidRPr="00ED625D">
        <w:rPr>
          <w:lang w:val="sv-SE"/>
        </w:rPr>
        <w:t>Decision Support System</w:t>
      </w:r>
    </w:p>
    <w:p w14:paraId="360C31AF" w14:textId="03133FD4" w:rsidR="00F71C1A" w:rsidRPr="00F71C1A" w:rsidRDefault="00E731A5" w:rsidP="00ED625D">
      <w:pPr>
        <w:pBdr>
          <w:top w:val="nil"/>
          <w:left w:val="nil"/>
          <w:bottom w:val="nil"/>
          <w:right w:val="nil"/>
          <w:between w:val="nil"/>
        </w:pBdr>
        <w:tabs>
          <w:tab w:val="left" w:pos="567"/>
        </w:tabs>
        <w:jc w:val="both"/>
        <w:rPr>
          <w:rFonts w:ascii="Times New Roman" w:eastAsia="Times New Roman" w:hAnsi="Times New Roman" w:cs="Times New Roman"/>
          <w:lang w:val="sv-SE"/>
        </w:rPr>
      </w:pPr>
      <w:r>
        <w:rPr>
          <w:rFonts w:ascii="Times New Roman" w:eastAsia="Times New Roman" w:hAnsi="Times New Roman" w:cs="Times New Roman"/>
          <w:color w:val="000000"/>
          <w:lang w:val="sv-SE"/>
        </w:rPr>
        <w:t xml:space="preserve">     </w:t>
      </w:r>
      <w:r w:rsidR="00ED625D" w:rsidRPr="00ED625D">
        <w:rPr>
          <w:rFonts w:ascii="Times New Roman" w:eastAsia="Times New Roman" w:hAnsi="Times New Roman" w:cs="Times New Roman"/>
          <w:color w:val="000000"/>
          <w:lang w:val="sv-SE"/>
        </w:rPr>
        <w:t xml:space="preserve">Decision Support System (DSS) adalah entitas komputasional yang mendukung pimpinan dalam memecahkan permasalahan manajerial semi-terstruktur [1]. Dalam konteks kapasitas akademik, integrasi antara Data Warehouse sebagai penyuplai data terstruktur dan antarmuka analitik </w:t>
      </w:r>
      <w:r w:rsidR="00F71C1A" w:rsidRPr="00F71C1A">
        <w:rPr>
          <w:rFonts w:ascii="Times New Roman" w:eastAsia="Times New Roman" w:hAnsi="Times New Roman" w:cs="Times New Roman"/>
          <w:lang w:val="sv-SE"/>
        </w:rPr>
        <w:t>menghasilkan kerangka pendukung pengambilan keputusan yang menyediakan informasi terstruktur mengenai rasio dosen terhadap mahasiswa.</w:t>
      </w:r>
    </w:p>
    <w:p w14:paraId="6A99FA29" w14:textId="54831C58" w:rsidR="00ED625D" w:rsidRPr="00ED625D" w:rsidRDefault="00ED625D" w:rsidP="00ED625D">
      <w:pPr>
        <w:pStyle w:val="Heading2"/>
        <w:spacing w:before="0"/>
        <w:rPr>
          <w:lang w:val="sv-SE"/>
        </w:rPr>
      </w:pPr>
      <w:r w:rsidRPr="00ED625D">
        <w:rPr>
          <w:lang w:val="sv-SE"/>
        </w:rPr>
        <w:t>Data Agregat PDDikti</w:t>
      </w:r>
    </w:p>
    <w:p w14:paraId="301EECFC" w14:textId="198DFB04" w:rsidR="00ED625D" w:rsidRPr="00ED625D" w:rsidRDefault="00E731A5" w:rsidP="00ED625D">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Pr>
          <w:rFonts w:ascii="Times New Roman" w:eastAsia="Times New Roman" w:hAnsi="Times New Roman" w:cs="Times New Roman"/>
          <w:color w:val="000000"/>
          <w:lang w:val="sv-SE"/>
        </w:rPr>
        <w:t xml:space="preserve">     </w:t>
      </w:r>
      <w:r w:rsidR="00ED625D" w:rsidRPr="00ED625D">
        <w:rPr>
          <w:rFonts w:ascii="Times New Roman" w:eastAsia="Times New Roman" w:hAnsi="Times New Roman" w:cs="Times New Roman"/>
          <w:color w:val="000000"/>
          <w:lang w:val="sv-SE"/>
        </w:rPr>
        <w:t>Data agregat merupakan metrik tingkat makro hasil konsolidasi observasi individu, yang memungkinkan penemuan tren tanpa mengungkap data granular [13]. Pangkalan Data Pendidikan Tinggi (PDDikti) berfungsi sebagai sentra data agregat nasional yang krusial bagi Higher Education Data Governance. Data PDDikti menjadi fondasi standar yang sah untuk mengevaluasi kepatuhan institusi terhadap ambang batas regulasi rasio pendidikan [2].</w:t>
      </w:r>
    </w:p>
    <w:p w14:paraId="2D763D37" w14:textId="322C7089" w:rsidR="00ED625D" w:rsidRPr="00ED625D" w:rsidRDefault="00ED625D" w:rsidP="00ED625D">
      <w:pPr>
        <w:pStyle w:val="Heading2"/>
        <w:spacing w:before="0"/>
        <w:rPr>
          <w:lang w:val="sv-SE"/>
        </w:rPr>
      </w:pPr>
      <w:r w:rsidRPr="00ED625D">
        <w:rPr>
          <w:lang w:val="sv-SE"/>
        </w:rPr>
        <w:t>Research Gap Analysis</w:t>
      </w:r>
    </w:p>
    <w:p w14:paraId="1324F63C" w14:textId="50A3AEFB" w:rsidR="00F71C1A" w:rsidRPr="00F71C1A" w:rsidRDefault="00F71C1A" w:rsidP="00F71C1A">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Pr>
          <w:rFonts w:ascii="Times New Roman" w:eastAsia="Times New Roman" w:hAnsi="Times New Roman" w:cs="Times New Roman"/>
          <w:color w:val="000000"/>
          <w:lang w:val="sv-SE"/>
        </w:rPr>
        <w:t xml:space="preserve">     </w:t>
      </w:r>
      <w:r w:rsidRPr="00F71C1A">
        <w:rPr>
          <w:rFonts w:ascii="Times New Roman" w:eastAsia="Times New Roman" w:hAnsi="Times New Roman" w:cs="Times New Roman"/>
          <w:color w:val="000000"/>
          <w:lang w:val="sv-SE"/>
        </w:rPr>
        <w:t>Penelitian terdahulu menunjukkan bahwa implementasi Business Intelligence di lingkungan pendidikan tinggi telah diterapkan untuk berbagai kebutuhan, seperti analisis data alumni [4], visualisasi data penerimaan mahasiswa baru [5], penjaminan mutu pendidikan [6], serta pengelolaan data penelitian dosen [15]. Meskipun demikian, sebagian besar penelitian masih berfokus pada pemanfaatan data internal institusi dan belum banyak memanfaatkan data agregat PDDikti sebagai sumber utama analisis.</w:t>
      </w:r>
    </w:p>
    <w:p w14:paraId="0C071E43" w14:textId="77777777" w:rsidR="00F71C1A" w:rsidRPr="00F71C1A" w:rsidRDefault="00F71C1A" w:rsidP="00F71C1A">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sidRPr="00F71C1A">
        <w:rPr>
          <w:rFonts w:ascii="Times New Roman" w:eastAsia="Times New Roman" w:hAnsi="Times New Roman" w:cs="Times New Roman"/>
          <w:color w:val="000000"/>
          <w:lang w:val="sv-SE"/>
        </w:rPr>
        <w:t>Di sisi lain, penelitian yang berkaitan dengan PDDikti umumnya membahas aspek tata kelola data dan penerimaan pengguna terhadap sistem [2], [16], tanpa mengembangkan arsitektur analitik yang mampu mengintegrasikan data tersebut ke dalam Data Warehouse untuk analisis longitudinal. Oleh karena itu, masih terdapat peluang penelitian dalam penerapan Business Intelligence berbasis Data Warehouse yang memanfaatkan data agregat PDDikti untuk mendukung analisis kapasitas akademik pada tingkat institusi maupun program studi.</w:t>
      </w:r>
    </w:p>
    <w:p w14:paraId="2756881B" w14:textId="327CB950" w:rsidR="00F71C1A" w:rsidRPr="00ED625D" w:rsidRDefault="00F71C1A" w:rsidP="00ED625D">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sidRPr="00F71C1A">
        <w:rPr>
          <w:rFonts w:ascii="Times New Roman" w:eastAsia="Times New Roman" w:hAnsi="Times New Roman" w:cs="Times New Roman"/>
          <w:color w:val="000000"/>
          <w:lang w:val="sv-SE"/>
        </w:rPr>
        <w:t>Penelitian ini mengisi celah tersebut dengan mengintegrasikan proses ETL, Data Warehouse, dan dashboard analitik untuk menganalisis rasio dosen terhadap mahasiswa secara longitudinal menggunakan data agregat PDDikti Universitas Siliwangi.</w:t>
      </w:r>
    </w:p>
    <w:p w14:paraId="0556D46E" w14:textId="77777777" w:rsidR="000A7EF1" w:rsidRDefault="00000000">
      <w:pPr>
        <w:pStyle w:val="Heading1"/>
        <w:numPr>
          <w:ilvl w:val="0"/>
          <w:numId w:val="1"/>
        </w:numPr>
        <w:rPr>
          <w:rFonts w:ascii="Times New Roman" w:eastAsia="Times New Roman" w:hAnsi="Times New Roman" w:cs="Times New Roman"/>
        </w:rPr>
      </w:pPr>
      <w:r>
        <w:rPr>
          <w:rFonts w:ascii="Times New Roman" w:eastAsia="Times New Roman" w:hAnsi="Times New Roman" w:cs="Times New Roman"/>
        </w:rPr>
        <w:t xml:space="preserve">METODE PENELITIAN </w:t>
      </w:r>
    </w:p>
    <w:p w14:paraId="53343704" w14:textId="77777777" w:rsidR="00ED625D" w:rsidRPr="00ED625D" w:rsidRDefault="00ED625D" w:rsidP="00ED625D">
      <w:pPr>
        <w:pStyle w:val="ListParagraph"/>
        <w:numPr>
          <w:ilvl w:val="0"/>
          <w:numId w:val="4"/>
        </w:numPr>
        <w:tabs>
          <w:tab w:val="left" w:pos="567"/>
        </w:tabs>
        <w:spacing w:before="240"/>
        <w:contextualSpacing w:val="0"/>
        <w:outlineLvl w:val="0"/>
        <w:rPr>
          <w:rFonts w:ascii="Minion Pro" w:hAnsi="Minion Pro"/>
          <w:b/>
          <w:vanish/>
          <w:color w:val="000000"/>
          <w:lang w:val="sv-SE"/>
        </w:rPr>
      </w:pPr>
    </w:p>
    <w:p w14:paraId="4E68A8BC" w14:textId="451BB67A" w:rsidR="00ED625D" w:rsidRPr="00ED625D" w:rsidRDefault="00ED625D" w:rsidP="00ED625D">
      <w:pPr>
        <w:pStyle w:val="Heading2"/>
        <w:spacing w:before="0"/>
        <w:rPr>
          <w:lang w:val="sv-SE"/>
        </w:rPr>
      </w:pPr>
      <w:r w:rsidRPr="00ED625D">
        <w:rPr>
          <w:lang w:val="sv-SE"/>
        </w:rPr>
        <w:t>Research Design</w:t>
      </w:r>
    </w:p>
    <w:p w14:paraId="201E21EB" w14:textId="2D7E986B" w:rsidR="00ED625D" w:rsidRPr="00ED625D" w:rsidRDefault="00ED625D" w:rsidP="00ED625D">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ED625D">
        <w:rPr>
          <w:rFonts w:ascii="Times New Roman" w:eastAsia="Times New Roman" w:hAnsi="Times New Roman" w:cs="Times New Roman"/>
          <w:color w:val="000000"/>
          <w:lang w:val="sv-SE"/>
        </w:rPr>
        <w:t>Penelitian ini menggunakan pendekatan kuantitatif yang mengadopsi kerangka kerja Business Intelligence untuk mengevaluasi kapasitas akademik Universitas Siliwangi (PTN BLU). Variabel utama yang dianalisis mencakup jumlah mahasiswa aktif, jumlah dosen penghitung rasio, dan rasio dosen terhadap mahasiswa pada tingkat program studi. Analisis dilakukan secara longitudinal yang mencakup lima periode pelaporan beruntun (Ganjil 2023 hingga Ganjil 2025).</w:t>
      </w:r>
    </w:p>
    <w:p w14:paraId="3F08043F" w14:textId="09EE1A6D" w:rsidR="00ED625D" w:rsidRPr="00ED625D" w:rsidRDefault="00ED625D" w:rsidP="00ED625D">
      <w:pPr>
        <w:pStyle w:val="Heading2"/>
        <w:spacing w:before="0"/>
        <w:rPr>
          <w:lang w:val="sv-SE"/>
        </w:rPr>
      </w:pPr>
      <w:r w:rsidRPr="00ED625D">
        <w:rPr>
          <w:lang w:val="sv-SE"/>
        </w:rPr>
        <w:t>Business Intelligence Roadmap</w:t>
      </w:r>
    </w:p>
    <w:p w14:paraId="1A25753D" w14:textId="6CAA0E7F" w:rsidR="00ED625D" w:rsidRDefault="00ED625D" w:rsidP="00ED625D">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ED625D">
        <w:rPr>
          <w:rFonts w:ascii="Times New Roman" w:eastAsia="Times New Roman" w:hAnsi="Times New Roman" w:cs="Times New Roman"/>
          <w:color w:val="000000"/>
          <w:lang w:val="sv-SE"/>
        </w:rPr>
        <w:t>Pengembangan arsitektur analitik disusun berdasarkan metodologi Business Intelligence Roadmap [11] yang terstruktur atas enam fase sekuensial: Justification (penentuan urgensi analitik kapasitas), Planning (perencanaan arsitektur data), Business Analysis (penetapan kebutuhan informasi dan metrik rasio), Design (perancangan model struktural), Construction (implementasi pipeline pemrosesan data), dan Deployment (pengembangan dashboard dan uji coba).</w:t>
      </w:r>
    </w:p>
    <w:p w14:paraId="491F7442" w14:textId="55C764D4" w:rsidR="00E731A5" w:rsidRDefault="006508B4" w:rsidP="00E731A5">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Pr>
          <w:noProof/>
        </w:rPr>
        <w:drawing>
          <wp:inline distT="0" distB="0" distL="0" distR="0" wp14:anchorId="5D73FEFE" wp14:editId="4E156BB0">
            <wp:extent cx="2651125" cy="385852"/>
            <wp:effectExtent l="0" t="0" r="0" b="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7015" b="36311"/>
                    <a:stretch>
                      <a:fillRect/>
                    </a:stretch>
                  </pic:blipFill>
                  <pic:spPr bwMode="auto">
                    <a:xfrm>
                      <a:off x="0" y="0"/>
                      <a:ext cx="2651125" cy="385852"/>
                    </a:xfrm>
                    <a:prstGeom prst="rect">
                      <a:avLst/>
                    </a:prstGeom>
                    <a:noFill/>
                    <a:ln>
                      <a:noFill/>
                    </a:ln>
                    <a:extLst>
                      <a:ext uri="{53640926-AAD7-44D8-BBD7-CCE9431645EC}">
                        <a14:shadowObscured xmlns:a14="http://schemas.microsoft.com/office/drawing/2010/main"/>
                      </a:ext>
                    </a:extLst>
                  </pic:spPr>
                </pic:pic>
              </a:graphicData>
            </a:graphic>
          </wp:inline>
        </w:drawing>
      </w:r>
    </w:p>
    <w:p w14:paraId="2C51D9A9" w14:textId="30FFF784" w:rsidR="00ED625D" w:rsidRDefault="00ED625D">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ED625D">
        <w:rPr>
          <w:rFonts w:ascii="Times New Roman" w:eastAsia="Times New Roman" w:hAnsi="Times New Roman" w:cs="Times New Roman"/>
          <w:color w:val="000000"/>
          <w:lang w:val="sv-SE"/>
        </w:rPr>
        <w:t>Gambar 1. Kerangka Metodologi Business Intelligence Roadmap [11]</w:t>
      </w:r>
      <w:r w:rsidR="00437506">
        <w:rPr>
          <w:rFonts w:ascii="Times New Roman" w:eastAsia="Times New Roman" w:hAnsi="Times New Roman" w:cs="Times New Roman"/>
          <w:color w:val="000000"/>
          <w:lang w:val="sv-SE"/>
        </w:rPr>
        <w:t xml:space="preserve"> </w:t>
      </w:r>
    </w:p>
    <w:p w14:paraId="648ACB94" w14:textId="3D383497" w:rsidR="00E731A5" w:rsidRPr="00E731A5" w:rsidRDefault="00E731A5" w:rsidP="00E731A5">
      <w:pPr>
        <w:pStyle w:val="Heading2"/>
        <w:spacing w:before="0"/>
        <w:rPr>
          <w:lang w:val="sv-SE"/>
        </w:rPr>
      </w:pPr>
      <w:r w:rsidRPr="00E731A5">
        <w:rPr>
          <w:lang w:val="sv-SE"/>
        </w:rPr>
        <w:t>Data Collection</w:t>
      </w:r>
    </w:p>
    <w:p w14:paraId="37BE2B59" w14:textId="449D36B1" w:rsidR="009B3F18" w:rsidRDefault="006461C5" w:rsidP="006461C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6461C5">
        <w:rPr>
          <w:rFonts w:ascii="Times New Roman" w:eastAsia="Times New Roman" w:hAnsi="Times New Roman" w:cs="Times New Roman"/>
          <w:color w:val="000000"/>
          <w:lang w:val="sv-SE"/>
        </w:rPr>
        <w:t>Sumber data primer diperoleh dari portal Pangkalan Data Pendidikan Tinggi (PDDikti). Karena tidak tersedia Application Programming Interface (API) publik, proses pengumpulan data dilakukan menggunakan teknik web scraping berbasis Selenium WebDriver pada bahasa pemrograman Python. Data yang dikumpulkan mencakup informasi jumlah mahasiswa, jumlah dosen penghitung rasio, dan rasio dosen terhadap mahasiswa pada seluruh program studi dan periode pelaporan yang menjadi objek penelitian.</w:t>
      </w:r>
      <w:r w:rsidR="009B3F18">
        <w:rPr>
          <w:rFonts w:ascii="Times New Roman" w:eastAsia="Times New Roman" w:hAnsi="Times New Roman" w:cs="Times New Roman"/>
          <w:color w:val="000000"/>
          <w:lang w:val="sv-SE"/>
        </w:rPr>
        <w:br w:type="page"/>
      </w:r>
    </w:p>
    <w:p w14:paraId="08EDCC68" w14:textId="2BBABC02" w:rsidR="00E731A5" w:rsidRPr="00E731A5" w:rsidRDefault="00E731A5" w:rsidP="00E731A5">
      <w:pPr>
        <w:pStyle w:val="Heading2"/>
        <w:spacing w:before="0"/>
        <w:rPr>
          <w:lang w:val="sv-SE"/>
        </w:rPr>
      </w:pPr>
      <w:r w:rsidRPr="00E731A5">
        <w:rPr>
          <w:lang w:val="sv-SE"/>
        </w:rPr>
        <w:t>ETL Process</w:t>
      </w:r>
    </w:p>
    <w:p w14:paraId="25DB7FCC" w14:textId="77777777" w:rsidR="006461C5" w:rsidRPr="006461C5" w:rsidRDefault="006461C5" w:rsidP="006461C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r w:rsidRPr="008248DA">
        <w:rPr>
          <w:rFonts w:ascii="Times New Roman" w:eastAsia="Times New Roman" w:hAnsi="Times New Roman" w:cs="Times New Roman"/>
          <w:color w:val="000000"/>
          <w:lang w:val="sv-SE"/>
        </w:rPr>
        <w:t xml:space="preserve">Tahap Construction direalisasikan melalui proses Extract, Transform, Load (ETL) menggunakan pustaka Pandas pada Python. Proses extract dilakukan dengan membaca data hasil web scraping, sedangkan tahap transform mencakup pembersihan data, standarisasi atribut, konversi tipe data, dan normalisasi format rasio. </w:t>
      </w:r>
      <w:r w:rsidRPr="006461C5">
        <w:rPr>
          <w:rFonts w:ascii="Times New Roman" w:eastAsia="Times New Roman" w:hAnsi="Times New Roman" w:cs="Times New Roman"/>
          <w:color w:val="000000"/>
          <w:lang w:val="en-ID"/>
        </w:rPr>
        <w:t>Selanjutnya, data yang telah ditransformasi dimuat ke dalam Data Warehouse sebagai sumber utama analisis.</w:t>
      </w:r>
    </w:p>
    <w:p w14:paraId="59E31341" w14:textId="77777777" w:rsidR="006461C5" w:rsidRPr="00E731A5" w:rsidRDefault="006461C5" w:rsidP="00E731A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p>
    <w:p w14:paraId="6BD819EA" w14:textId="3CC7D478" w:rsidR="00E731A5" w:rsidRPr="00E731A5" w:rsidRDefault="00E731A5" w:rsidP="00E731A5">
      <w:pPr>
        <w:pStyle w:val="Heading2"/>
        <w:spacing w:before="0"/>
        <w:rPr>
          <w:lang w:val="en-ID"/>
        </w:rPr>
      </w:pPr>
      <w:r w:rsidRPr="00E731A5">
        <w:rPr>
          <w:lang w:val="en-ID"/>
        </w:rPr>
        <w:t>Data Warehouse Design</w:t>
      </w:r>
    </w:p>
    <w:p w14:paraId="15909DE0" w14:textId="77777777" w:rsidR="006461C5" w:rsidRDefault="00E731A5" w:rsidP="006461C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r w:rsidRPr="00E731A5">
        <w:rPr>
          <w:rFonts w:ascii="Times New Roman" w:eastAsia="Times New Roman" w:hAnsi="Times New Roman" w:cs="Times New Roman"/>
          <w:color w:val="000000"/>
          <w:lang w:val="en-ID"/>
        </w:rPr>
        <w:t>Data Warehouse didesain menggunakan pendekatan pemodelan dimensional untuk mempercepat kueri analitik multidimensi. Sebagaimana praktik terbaik integrasi data pada penelitian terdahulu, pemodelan dimensional terbukti sangat efektif dalam menyederhanakan kompleksitas basis data relasional dan mengoptimalkan performa arsitektur data warehouse [17].</w:t>
      </w:r>
    </w:p>
    <w:p w14:paraId="09F60C45" w14:textId="68054741" w:rsidR="006461C5" w:rsidRPr="00E731A5" w:rsidRDefault="006461C5" w:rsidP="006461C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6461C5">
        <w:rPr>
          <w:rFonts w:ascii="Times New Roman" w:eastAsia="Times New Roman" w:hAnsi="Times New Roman" w:cs="Times New Roman"/>
          <w:color w:val="000000"/>
          <w:lang w:val="sv-SE"/>
        </w:rPr>
        <w:t>Tingkat granularitas (grain) data ditetapkan pada satu program studi untuk setiap periode pelaporan. Penetapan grain ini bertujuan untuk menjaga konsistensi proses agregasi dan analisis pada dashboard.</w:t>
      </w:r>
    </w:p>
    <w:p w14:paraId="7C2917AC" w14:textId="65B085C1" w:rsidR="00E731A5" w:rsidRPr="00E731A5" w:rsidRDefault="00C175C5" w:rsidP="00C175C5">
      <w:pPr>
        <w:pStyle w:val="Heading2"/>
        <w:spacing w:before="0"/>
        <w:rPr>
          <w:lang w:val="sv-SE"/>
        </w:rPr>
      </w:pPr>
      <w:r>
        <w:rPr>
          <w:lang w:val="sv-SE"/>
        </w:rPr>
        <w:t xml:space="preserve"> </w:t>
      </w:r>
      <w:r w:rsidR="00E731A5" w:rsidRPr="00E731A5">
        <w:rPr>
          <w:lang w:val="sv-SE"/>
        </w:rPr>
        <w:t>Star Schema Design</w:t>
      </w:r>
    </w:p>
    <w:p w14:paraId="5BEA38A8" w14:textId="2BFD204E" w:rsidR="006461C5" w:rsidRPr="00E731A5" w:rsidRDefault="006461C5" w:rsidP="006461C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6461C5">
        <w:rPr>
          <w:rFonts w:ascii="Times New Roman" w:eastAsia="Times New Roman" w:hAnsi="Times New Roman" w:cs="Times New Roman"/>
          <w:color w:val="000000"/>
          <w:lang w:val="sv-SE"/>
        </w:rPr>
        <w:t>Arsitektur Data Warehouse diimplementasikan menggunakan pola Star Schema yang terdiri atas satu tabel fakta (Fact_Kapasitas_Pendidikan) dan tiga tabel dimensi (Dim_Waktu, Dim_Universitas, dan Dim_Prodi). Tabel fakta menyimpan metrik utama berupa jumlah mahasiswa, jumlah dosen penghitung rasio, dan nilai rasio dosen terhadap mahasiswa yang digunakan dalam proses analisis.</w:t>
      </w:r>
    </w:p>
    <w:p w14:paraId="2433CAAA" w14:textId="404F287A" w:rsidR="00E731A5" w:rsidRDefault="00E731A5" w:rsidP="00E731A5">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r w:rsidRPr="00AB7E35">
        <w:rPr>
          <w:iCs/>
          <w:noProof/>
        </w:rPr>
        <w:drawing>
          <wp:inline distT="0" distB="0" distL="0" distR="0" wp14:anchorId="37D0AB82" wp14:editId="1D5FC47C">
            <wp:extent cx="2651125" cy="1790353"/>
            <wp:effectExtent l="0" t="0" r="0" b="635"/>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1125" cy="1790353"/>
                    </a:xfrm>
                    <a:prstGeom prst="rect">
                      <a:avLst/>
                    </a:prstGeom>
                    <a:noFill/>
                    <a:ln>
                      <a:noFill/>
                    </a:ln>
                  </pic:spPr>
                </pic:pic>
              </a:graphicData>
            </a:graphic>
          </wp:inline>
        </w:drawing>
      </w:r>
    </w:p>
    <w:p w14:paraId="6ECD746A" w14:textId="184FBE9E" w:rsidR="009B3F18" w:rsidRDefault="00E731A5" w:rsidP="00E731A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r w:rsidRPr="00AD6F2F">
        <w:rPr>
          <w:rFonts w:ascii="Times New Roman" w:eastAsia="Times New Roman" w:hAnsi="Times New Roman" w:cs="Times New Roman"/>
          <w:color w:val="000000"/>
          <w:lang w:val="en-ID"/>
        </w:rPr>
        <w:t xml:space="preserve">Gambar 2. </w:t>
      </w:r>
      <w:r w:rsidRPr="00E731A5">
        <w:rPr>
          <w:rFonts w:ascii="Times New Roman" w:eastAsia="Times New Roman" w:hAnsi="Times New Roman" w:cs="Times New Roman"/>
          <w:color w:val="000000"/>
          <w:lang w:val="en-ID"/>
        </w:rPr>
        <w:t>Desain Star Schema Data Warehouse</w:t>
      </w:r>
    </w:p>
    <w:p w14:paraId="03227532" w14:textId="77777777" w:rsidR="009B3F18" w:rsidRDefault="009B3F18" w:rsidP="00E731A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p>
    <w:p w14:paraId="5AF8080F" w14:textId="0B378EB1" w:rsidR="00E731A5" w:rsidRPr="00E731A5" w:rsidRDefault="00E731A5" w:rsidP="00E731A5">
      <w:pPr>
        <w:pStyle w:val="Heading2"/>
        <w:spacing w:before="0"/>
        <w:rPr>
          <w:lang w:val="en-ID"/>
        </w:rPr>
      </w:pPr>
      <w:r w:rsidRPr="00E731A5">
        <w:rPr>
          <w:lang w:val="en-ID"/>
        </w:rPr>
        <w:t>Dashboard Development</w:t>
      </w:r>
    </w:p>
    <w:p w14:paraId="5F8D6C66" w14:textId="6E92C724" w:rsidR="006461C5" w:rsidRPr="008248DA" w:rsidRDefault="006461C5" w:rsidP="00E731A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en-ID"/>
        </w:rPr>
      </w:pPr>
      <w:r w:rsidRPr="008248DA">
        <w:rPr>
          <w:rFonts w:ascii="Times New Roman" w:eastAsia="Times New Roman" w:hAnsi="Times New Roman" w:cs="Times New Roman"/>
          <w:color w:val="000000"/>
          <w:lang w:val="en-ID"/>
        </w:rPr>
        <w:t>Tahap Deployment diwujudkan melalui integrasi Data Warehouse dengan Google Looker Studio untuk menghasilkan dashboard analitik interaktif. Dashboard dirancang untuk menyajikan ringkasan indikator institusi, analisis rasio pada tingkat program studi, dan pemantauan tren kapasitas akademik secara longitudinal. Selain itu, visualisasi tambahan menggunakan Matplotlib dan Seaborn digunakan untuk mendukung analisis yang memerlukan eksplorasi lebih lanjut.</w:t>
      </w:r>
    </w:p>
    <w:p w14:paraId="304681AD" w14:textId="72AC9622" w:rsidR="00E731A5" w:rsidRPr="00E731A5" w:rsidRDefault="00E731A5" w:rsidP="00E731A5">
      <w:pPr>
        <w:pStyle w:val="Heading2"/>
        <w:spacing w:before="0"/>
        <w:rPr>
          <w:lang w:val="sv-SE"/>
        </w:rPr>
      </w:pPr>
      <w:r w:rsidRPr="00E731A5">
        <w:rPr>
          <w:lang w:val="sv-SE"/>
        </w:rPr>
        <w:t>Data Validation</w:t>
      </w:r>
    </w:p>
    <w:p w14:paraId="38DA768A" w14:textId="0911EE8E" w:rsidR="006461C5" w:rsidRPr="006461C5" w:rsidRDefault="006461C5" w:rsidP="00E731A5">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6461C5">
        <w:rPr>
          <w:rFonts w:ascii="Times New Roman" w:eastAsia="Times New Roman" w:hAnsi="Times New Roman" w:cs="Times New Roman"/>
          <w:color w:val="000000"/>
          <w:lang w:val="sv-SE"/>
        </w:rPr>
        <w:t>Tahap validasi dilakukan dengan membandingkan nilai yang dihasilkan pada Data Warehouse dengan nilai yang ditampilkan pada dashboard Looker Studio. Hasil validasi menunjukkan kesesuaian antara data sumber dan hasil visualisasi pada seluruh sampel yang diuji, sehingga dashboard dapat merepresentasikan informasi yang tersimpan dalam Data Warehouse secara konsisten.</w:t>
      </w:r>
    </w:p>
    <w:p w14:paraId="33BBD150" w14:textId="77777777" w:rsidR="000A7EF1" w:rsidRDefault="00000000">
      <w:pPr>
        <w:pStyle w:val="Heading1"/>
        <w:numPr>
          <w:ilvl w:val="0"/>
          <w:numId w:val="1"/>
        </w:numPr>
        <w:ind w:left="284" w:hanging="284"/>
        <w:rPr>
          <w:rFonts w:ascii="Times New Roman" w:eastAsia="Times New Roman" w:hAnsi="Times New Roman" w:cs="Times New Roman"/>
        </w:rPr>
      </w:pPr>
      <w:r>
        <w:rPr>
          <w:rFonts w:ascii="Times New Roman" w:eastAsia="Times New Roman" w:hAnsi="Times New Roman" w:cs="Times New Roman"/>
        </w:rPr>
        <w:t xml:space="preserve">HASIL DAN PEMBAHASAN </w:t>
      </w:r>
    </w:p>
    <w:p w14:paraId="6C77AC74" w14:textId="77777777" w:rsidR="00E731A5" w:rsidRPr="00E731A5" w:rsidRDefault="00E731A5" w:rsidP="00E731A5">
      <w:pPr>
        <w:pStyle w:val="ListParagraph"/>
        <w:numPr>
          <w:ilvl w:val="0"/>
          <w:numId w:val="4"/>
        </w:numPr>
        <w:tabs>
          <w:tab w:val="left" w:pos="567"/>
        </w:tabs>
        <w:spacing w:before="240"/>
        <w:contextualSpacing w:val="0"/>
        <w:outlineLvl w:val="0"/>
        <w:rPr>
          <w:rFonts w:ascii="Minion Pro" w:hAnsi="Minion Pro"/>
          <w:b/>
          <w:vanish/>
          <w:color w:val="000000"/>
        </w:rPr>
      </w:pPr>
    </w:p>
    <w:p w14:paraId="074940B9" w14:textId="4CD19C98" w:rsidR="00E731A5" w:rsidRPr="00E731A5" w:rsidRDefault="00E731A5" w:rsidP="00C175C5">
      <w:pPr>
        <w:pStyle w:val="Heading2"/>
        <w:spacing w:before="0"/>
      </w:pPr>
      <w:r w:rsidRPr="00E731A5">
        <w:t>Implementasi ETL</w:t>
      </w:r>
    </w:p>
    <w:p w14:paraId="339811E0" w14:textId="28900F8B" w:rsidR="00851E61" w:rsidRPr="008248DA" w:rsidRDefault="00851E61" w:rsidP="00851E61">
      <w:pPr>
        <w:pBdr>
          <w:top w:val="nil"/>
          <w:left w:val="nil"/>
          <w:bottom w:val="nil"/>
          <w:right w:val="nil"/>
          <w:between w:val="nil"/>
        </w:pBdr>
        <w:tabs>
          <w:tab w:val="left" w:pos="567"/>
        </w:tabs>
        <w:spacing w:after="240"/>
        <w:ind w:firstLine="284"/>
        <w:jc w:val="both"/>
        <w:rPr>
          <w:rFonts w:ascii="Times New Roman" w:eastAsia="Times New Roman" w:hAnsi="Times New Roman" w:cs="Times New Roman"/>
          <w:color w:val="000000"/>
          <w:lang w:val="sv-SE"/>
        </w:rPr>
      </w:pPr>
      <w:r w:rsidRPr="00851E61">
        <w:rPr>
          <w:rFonts w:ascii="Times New Roman" w:eastAsia="Times New Roman" w:hAnsi="Times New Roman" w:cs="Times New Roman"/>
          <w:color w:val="000000"/>
          <w:lang w:val="en-ID"/>
        </w:rPr>
        <w:t xml:space="preserve">Proses Extract, Transform, Load (ETL) digunakan untuk mengintegrasikan data agregat dari PDDikti ke dalam Data Warehouse. Pada tahap Extract, proses web scraping berhasil menghimpun data agregat yang diperlukan dari portal PDDikti sebagai sumber data penelitian. </w:t>
      </w:r>
      <w:r w:rsidRPr="00851E61">
        <w:rPr>
          <w:rFonts w:ascii="Times New Roman" w:eastAsia="Times New Roman" w:hAnsi="Times New Roman" w:cs="Times New Roman"/>
          <w:color w:val="000000"/>
          <w:lang w:val="sv-SE"/>
        </w:rPr>
        <w:t xml:space="preserve">Tahap Transform kemudian menyaring ruang lingkup data hanya untuk Universitas Siliwangi, mengeliminasi observasi yang berstatus null, dan mengonversi format teks rasio “1” menjadi nilai numerik. Transformasi ini menghasilkan dataset bersih sejumlah 202 baris data yang merepresentasikan 35 program studi selama lima periode pelaporan berturut-turut. </w:t>
      </w:r>
      <w:r w:rsidRPr="008248DA">
        <w:rPr>
          <w:rFonts w:ascii="Times New Roman" w:eastAsia="Times New Roman" w:hAnsi="Times New Roman" w:cs="Times New Roman"/>
          <w:color w:val="000000"/>
          <w:lang w:val="sv-SE"/>
        </w:rPr>
        <w:t>Ringkasan hasil transformasi disajikan pada Tabel 1.</w:t>
      </w:r>
    </w:p>
    <w:p w14:paraId="5CBD0175" w14:textId="08A3EFF0" w:rsidR="00C175C5" w:rsidRPr="00AD6F2F" w:rsidRDefault="00C175C5" w:rsidP="00C175C5">
      <w:pPr>
        <w:pStyle w:val="Caption"/>
        <w:keepNext/>
        <w:spacing w:after="0"/>
        <w:rPr>
          <w:i w:val="0"/>
          <w:iCs w:val="0"/>
          <w:color w:val="auto"/>
          <w:sz w:val="22"/>
          <w:szCs w:val="22"/>
          <w:lang w:val="sv-SE"/>
        </w:rPr>
      </w:pPr>
      <w:r w:rsidRPr="00AD6F2F">
        <w:rPr>
          <w:i w:val="0"/>
          <w:iCs w:val="0"/>
          <w:color w:val="auto"/>
          <w:sz w:val="22"/>
          <w:szCs w:val="22"/>
          <w:lang w:val="sv-SE"/>
        </w:rPr>
        <w:t xml:space="preserve">Table </w:t>
      </w:r>
      <w:r w:rsidRPr="00C175C5">
        <w:rPr>
          <w:i w:val="0"/>
          <w:iCs w:val="0"/>
          <w:color w:val="auto"/>
          <w:sz w:val="22"/>
          <w:szCs w:val="22"/>
        </w:rPr>
        <w:fldChar w:fldCharType="begin"/>
      </w:r>
      <w:r w:rsidRPr="00AD6F2F">
        <w:rPr>
          <w:i w:val="0"/>
          <w:iCs w:val="0"/>
          <w:color w:val="auto"/>
          <w:sz w:val="22"/>
          <w:szCs w:val="22"/>
          <w:lang w:val="sv-SE"/>
        </w:rPr>
        <w:instrText xml:space="preserve"> SEQ Table \* ARABIC </w:instrText>
      </w:r>
      <w:r w:rsidRPr="00C175C5">
        <w:rPr>
          <w:i w:val="0"/>
          <w:iCs w:val="0"/>
          <w:color w:val="auto"/>
          <w:sz w:val="22"/>
          <w:szCs w:val="22"/>
        </w:rPr>
        <w:fldChar w:fldCharType="separate"/>
      </w:r>
      <w:r w:rsidRPr="00AD6F2F">
        <w:rPr>
          <w:i w:val="0"/>
          <w:iCs w:val="0"/>
          <w:noProof/>
          <w:color w:val="auto"/>
          <w:sz w:val="22"/>
          <w:szCs w:val="22"/>
          <w:lang w:val="sv-SE"/>
        </w:rPr>
        <w:t>1</w:t>
      </w:r>
      <w:r w:rsidRPr="00C175C5">
        <w:rPr>
          <w:i w:val="0"/>
          <w:iCs w:val="0"/>
          <w:color w:val="auto"/>
          <w:sz w:val="22"/>
          <w:szCs w:val="22"/>
        </w:rPr>
        <w:fldChar w:fldCharType="end"/>
      </w:r>
      <w:r w:rsidRPr="00AD6F2F">
        <w:rPr>
          <w:i w:val="0"/>
          <w:iCs w:val="0"/>
          <w:color w:val="auto"/>
          <w:sz w:val="22"/>
          <w:szCs w:val="22"/>
          <w:lang w:val="sv-SE"/>
        </w:rPr>
        <w:t xml:space="preserve">. </w:t>
      </w:r>
      <w:r w:rsidRPr="00C175C5">
        <w:rPr>
          <w:rFonts w:ascii="Times New Roman" w:eastAsia="Times New Roman" w:hAnsi="Times New Roman" w:cs="Times New Roman"/>
          <w:i w:val="0"/>
          <w:iCs w:val="0"/>
          <w:color w:val="auto"/>
          <w:sz w:val="22"/>
          <w:szCs w:val="22"/>
          <w:lang w:val="sv-SE"/>
        </w:rPr>
        <w:t>Ringkasan Hasil Pemrosesan Transformasi Data</w:t>
      </w:r>
    </w:p>
    <w:tbl>
      <w:tblPr>
        <w:tblW w:w="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505"/>
      </w:tblGrid>
      <w:tr w:rsidR="00C175C5" w:rsidRPr="00387179" w14:paraId="4D9B20F9" w14:textId="77777777" w:rsidTr="007A4DFF">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7FBD6E5" w14:textId="77777777" w:rsidR="00C175C5" w:rsidRPr="00387179" w:rsidRDefault="00C175C5" w:rsidP="00C175C5">
            <w:pPr>
              <w:rPr>
                <w:sz w:val="18"/>
                <w:szCs w:val="18"/>
              </w:rPr>
            </w:pPr>
            <w:r w:rsidRPr="00387179">
              <w:rPr>
                <w:rFonts w:ascii="Times New Roman" w:eastAsia="Times New Roman" w:hAnsi="Times New Roman" w:cs="Times New Roman"/>
                <w:b/>
                <w:bCs/>
                <w:sz w:val="18"/>
                <w:szCs w:val="18"/>
              </w:rPr>
              <w:t>Langkah Pemrosesan</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3701325" w14:textId="77777777" w:rsidR="00C175C5" w:rsidRPr="00387179" w:rsidRDefault="00C175C5" w:rsidP="00C175C5">
            <w:pPr>
              <w:rPr>
                <w:sz w:val="18"/>
                <w:szCs w:val="18"/>
              </w:rPr>
            </w:pPr>
            <w:r w:rsidRPr="00387179">
              <w:rPr>
                <w:rFonts w:ascii="Times New Roman" w:eastAsia="Times New Roman" w:hAnsi="Times New Roman" w:cs="Times New Roman"/>
                <w:b/>
                <w:bCs/>
                <w:sz w:val="18"/>
                <w:szCs w:val="18"/>
              </w:rPr>
              <w:t>Hasil Luaran</w:t>
            </w:r>
          </w:p>
        </w:tc>
      </w:tr>
      <w:tr w:rsidR="00C175C5" w:rsidRPr="00C42E6F" w14:paraId="7AD8E3CE" w14:textId="77777777" w:rsidTr="007A4DFF">
        <w:tc>
          <w:tcPr>
            <w:tcW w:w="1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4CC294" w14:textId="77777777" w:rsidR="00C175C5" w:rsidRPr="00387179" w:rsidRDefault="00C175C5" w:rsidP="00C175C5">
            <w:pPr>
              <w:rPr>
                <w:sz w:val="18"/>
                <w:szCs w:val="18"/>
              </w:rPr>
            </w:pPr>
            <w:r w:rsidRPr="00387179">
              <w:rPr>
                <w:rFonts w:ascii="Times New Roman" w:eastAsia="Times New Roman" w:hAnsi="Times New Roman" w:cs="Times New Roman"/>
                <w:sz w:val="18"/>
                <w:szCs w:val="18"/>
              </w:rPr>
              <w:t>Penyaringan Ruang Lingkup</w:t>
            </w:r>
          </w:p>
        </w:tc>
        <w:tc>
          <w:tcPr>
            <w:tcW w:w="25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D1849A" w14:textId="77777777" w:rsidR="00C175C5" w:rsidRPr="00387179" w:rsidRDefault="00C175C5" w:rsidP="00C175C5">
            <w:pPr>
              <w:rPr>
                <w:sz w:val="18"/>
                <w:szCs w:val="18"/>
                <w:lang w:val="sv-SE"/>
              </w:rPr>
            </w:pPr>
            <w:r w:rsidRPr="00387179">
              <w:rPr>
                <w:rFonts w:ascii="Times New Roman" w:eastAsia="Times New Roman" w:hAnsi="Times New Roman" w:cs="Times New Roman"/>
                <w:sz w:val="18"/>
                <w:szCs w:val="18"/>
                <w:lang w:val="sv-SE"/>
              </w:rPr>
              <w:t>Mengisolasi data khusus Universitas Siliwangi dari dataset nasional.</w:t>
            </w:r>
          </w:p>
        </w:tc>
      </w:tr>
      <w:tr w:rsidR="00C175C5" w:rsidRPr="00C42E6F" w14:paraId="0A8901F3" w14:textId="77777777" w:rsidTr="007A4DFF">
        <w:tc>
          <w:tcPr>
            <w:tcW w:w="1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A84A32" w14:textId="77777777" w:rsidR="00C175C5" w:rsidRPr="00387179" w:rsidRDefault="00C175C5" w:rsidP="00C175C5">
            <w:pPr>
              <w:rPr>
                <w:sz w:val="18"/>
                <w:szCs w:val="18"/>
              </w:rPr>
            </w:pPr>
            <w:r w:rsidRPr="00387179">
              <w:rPr>
                <w:rFonts w:ascii="Times New Roman" w:eastAsia="Times New Roman" w:hAnsi="Times New Roman" w:cs="Times New Roman"/>
                <w:sz w:val="18"/>
                <w:szCs w:val="18"/>
              </w:rPr>
              <w:t>Eliminasi Null</w:t>
            </w:r>
          </w:p>
        </w:tc>
        <w:tc>
          <w:tcPr>
            <w:tcW w:w="25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3363D0" w14:textId="77777777" w:rsidR="00C175C5" w:rsidRPr="00387179" w:rsidRDefault="00C175C5" w:rsidP="00C175C5">
            <w:pPr>
              <w:rPr>
                <w:sz w:val="18"/>
                <w:szCs w:val="18"/>
                <w:lang w:val="sv-SE"/>
              </w:rPr>
            </w:pPr>
            <w:r w:rsidRPr="00387179">
              <w:rPr>
                <w:rFonts w:ascii="Times New Roman" w:eastAsia="Times New Roman" w:hAnsi="Times New Roman" w:cs="Times New Roman"/>
                <w:sz w:val="18"/>
                <w:szCs w:val="18"/>
                <w:lang w:val="sv-SE"/>
              </w:rPr>
              <w:t>Menghapus baris tanpa kode prodi, periode, atau rasio.</w:t>
            </w:r>
          </w:p>
        </w:tc>
      </w:tr>
      <w:tr w:rsidR="00C175C5" w:rsidRPr="00C42E6F" w14:paraId="4F453A82" w14:textId="77777777" w:rsidTr="007A4DFF">
        <w:tc>
          <w:tcPr>
            <w:tcW w:w="1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1C8398" w14:textId="77777777" w:rsidR="00C175C5" w:rsidRPr="00387179" w:rsidRDefault="00C175C5" w:rsidP="00C175C5">
            <w:pPr>
              <w:rPr>
                <w:sz w:val="18"/>
                <w:szCs w:val="18"/>
              </w:rPr>
            </w:pPr>
            <w:r w:rsidRPr="00387179">
              <w:rPr>
                <w:rFonts w:ascii="Times New Roman" w:eastAsia="Times New Roman" w:hAnsi="Times New Roman" w:cs="Times New Roman"/>
                <w:sz w:val="18"/>
                <w:szCs w:val="18"/>
              </w:rPr>
              <w:t>Konversi Format Rasio</w:t>
            </w:r>
          </w:p>
        </w:tc>
        <w:tc>
          <w:tcPr>
            <w:tcW w:w="25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F14086" w14:textId="77777777" w:rsidR="00C175C5" w:rsidRPr="00387179" w:rsidRDefault="00C175C5" w:rsidP="00C175C5">
            <w:pPr>
              <w:rPr>
                <w:sz w:val="18"/>
                <w:szCs w:val="18"/>
                <w:lang w:val="sv-SE"/>
              </w:rPr>
            </w:pPr>
            <w:r w:rsidRPr="00387179">
              <w:rPr>
                <w:rFonts w:ascii="Times New Roman" w:eastAsia="Times New Roman" w:hAnsi="Times New Roman" w:cs="Times New Roman"/>
                <w:sz w:val="18"/>
                <w:szCs w:val="18"/>
                <w:lang w:val="sv-SE"/>
              </w:rPr>
              <w:t>Mengekstraksi teks format “1:X” menjadi nilai absolut float.</w:t>
            </w:r>
          </w:p>
        </w:tc>
      </w:tr>
      <w:tr w:rsidR="00C175C5" w:rsidRPr="00C42E6F" w14:paraId="00769689" w14:textId="77777777" w:rsidTr="007A4DFF">
        <w:tc>
          <w:tcPr>
            <w:tcW w:w="16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E2615F" w14:textId="77777777" w:rsidR="00C175C5" w:rsidRPr="00387179" w:rsidRDefault="00C175C5" w:rsidP="00C175C5">
            <w:pPr>
              <w:rPr>
                <w:sz w:val="18"/>
                <w:szCs w:val="18"/>
              </w:rPr>
            </w:pPr>
            <w:r w:rsidRPr="00387179">
              <w:rPr>
                <w:rFonts w:ascii="Times New Roman" w:eastAsia="Times New Roman" w:hAnsi="Times New Roman" w:cs="Times New Roman"/>
                <w:sz w:val="18"/>
                <w:szCs w:val="18"/>
              </w:rPr>
              <w:t>Standarisasi Metadata</w:t>
            </w:r>
          </w:p>
        </w:tc>
        <w:tc>
          <w:tcPr>
            <w:tcW w:w="25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BE52AD" w14:textId="77777777" w:rsidR="00C175C5" w:rsidRPr="00387179" w:rsidRDefault="00C175C5" w:rsidP="00C175C5">
            <w:pPr>
              <w:rPr>
                <w:sz w:val="18"/>
                <w:szCs w:val="18"/>
                <w:lang w:val="sv-SE"/>
              </w:rPr>
            </w:pPr>
            <w:r w:rsidRPr="00387179">
              <w:rPr>
                <w:rFonts w:ascii="Times New Roman" w:eastAsia="Times New Roman" w:hAnsi="Times New Roman" w:cs="Times New Roman"/>
                <w:sz w:val="18"/>
                <w:szCs w:val="18"/>
                <w:lang w:val="sv-SE"/>
              </w:rPr>
              <w:t>Membakukan nama universitas, status PTN, dan akreditasi.</w:t>
            </w:r>
          </w:p>
        </w:tc>
      </w:tr>
    </w:tbl>
    <w:p w14:paraId="3B5BC1F3" w14:textId="77777777" w:rsidR="00C175C5" w:rsidRPr="00C175C5" w:rsidRDefault="00C175C5" w:rsidP="00C175C5">
      <w:pPr>
        <w:pBdr>
          <w:top w:val="nil"/>
          <w:left w:val="nil"/>
          <w:bottom w:val="nil"/>
          <w:right w:val="nil"/>
          <w:between w:val="nil"/>
        </w:pBdr>
        <w:tabs>
          <w:tab w:val="left" w:pos="567"/>
        </w:tabs>
        <w:jc w:val="both"/>
        <w:rPr>
          <w:rFonts w:ascii="Times New Roman" w:eastAsia="Times New Roman" w:hAnsi="Times New Roman" w:cs="Times New Roman"/>
          <w:color w:val="000000"/>
          <w:sz w:val="24"/>
          <w:szCs w:val="24"/>
          <w:lang w:val="sv-SE"/>
        </w:rPr>
      </w:pPr>
    </w:p>
    <w:p w14:paraId="572B6206" w14:textId="2A5824F4" w:rsidR="00851E61" w:rsidRPr="00851E61" w:rsidRDefault="009B3F18" w:rsidP="00387179">
      <w:pPr>
        <w:spacing w:after="60"/>
        <w:jc w:val="both"/>
        <w:rPr>
          <w:rFonts w:ascii="Times New Roman" w:hAnsi="Times New Roman" w:cs="Times New Roman"/>
          <w:lang w:val="sv-SE"/>
        </w:rPr>
      </w:pPr>
      <w:r>
        <w:rPr>
          <w:rFonts w:ascii="Times New Roman" w:hAnsi="Times New Roman" w:cs="Times New Roman"/>
          <w:lang w:val="sv-SE"/>
        </w:rPr>
        <w:t xml:space="preserve">     </w:t>
      </w:r>
      <w:r w:rsidR="00851E61" w:rsidRPr="00851E61">
        <w:rPr>
          <w:rFonts w:ascii="Times New Roman" w:hAnsi="Times New Roman" w:cs="Times New Roman"/>
          <w:lang w:val="sv-SE"/>
        </w:rPr>
        <w:t xml:space="preserve">Pada tahap Load, data yang telah ditransformasi direstrukturisasi ke dalam arsitektur Star Schema Data Warehouse. Struktur yang terbentuk terdiri atas empat tabel utama, yaitu Fact_Kapasitas_Pendidikan (202 baris), Dim_Prodi (41 baris), Dim_Waktu (5 baris), dan Dim_Universitas (1 baris). Keseluruhan tabel tersebut membentuk repositori data terintegrasi yang digunakan sebagai sumber utama analisis dan visualisasi pada dashboard. </w:t>
      </w:r>
      <w:r w:rsidR="00851E61" w:rsidRPr="008248DA">
        <w:rPr>
          <w:rFonts w:ascii="Times New Roman" w:hAnsi="Times New Roman" w:cs="Times New Roman"/>
          <w:lang w:val="sv-SE"/>
        </w:rPr>
        <w:t>Spesifikasi struktur Data Warehouse yang terbentuk disajikan pada Tabel 2.</w:t>
      </w:r>
    </w:p>
    <w:p w14:paraId="158D6BE3" w14:textId="77777777" w:rsidR="00387179" w:rsidRPr="008248DA" w:rsidRDefault="00387179" w:rsidP="00387179">
      <w:pPr>
        <w:spacing w:before="240"/>
        <w:rPr>
          <w:lang w:val="en-ID"/>
        </w:rPr>
      </w:pPr>
      <w:r w:rsidRPr="00AD6F2F">
        <w:rPr>
          <w:rFonts w:ascii="Times New Roman" w:eastAsia="Times New Roman" w:hAnsi="Times New Roman" w:cs="Times New Roman"/>
          <w:lang w:val="sv-SE"/>
        </w:rPr>
        <w:t xml:space="preserve">Tabel 2. </w:t>
      </w:r>
      <w:r w:rsidRPr="008248DA">
        <w:rPr>
          <w:rFonts w:ascii="Times New Roman" w:eastAsia="Times New Roman" w:hAnsi="Times New Roman" w:cs="Times New Roman"/>
          <w:lang w:val="en-ID"/>
        </w:rPr>
        <w:t>Spesifikasi Star Schema Data Warehouse yang Terbentuk</w:t>
      </w:r>
    </w:p>
    <w:tbl>
      <w:tblPr>
        <w:tblW w:w="4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972"/>
        <w:gridCol w:w="900"/>
        <w:gridCol w:w="840"/>
      </w:tblGrid>
      <w:tr w:rsidR="00387179" w:rsidRPr="00387179" w14:paraId="08E7446E" w14:textId="77777777" w:rsidTr="009B3F18">
        <w:tc>
          <w:tcPr>
            <w:tcW w:w="14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D709CA2"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Nama Tabel</w:t>
            </w:r>
          </w:p>
        </w:tc>
        <w:tc>
          <w:tcPr>
            <w:tcW w:w="9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435E366"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Jenis Model</w:t>
            </w:r>
          </w:p>
        </w:tc>
        <w:tc>
          <w:tcPr>
            <w:tcW w:w="9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72616CEF"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Jml. Atribut</w:t>
            </w:r>
          </w:p>
        </w:tc>
        <w:tc>
          <w:tcPr>
            <w:tcW w:w="7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E9D0576"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Rekaman Baris</w:t>
            </w:r>
          </w:p>
        </w:tc>
      </w:tr>
      <w:tr w:rsidR="00387179" w:rsidRPr="00387179" w14:paraId="1DFEB425" w14:textId="77777777" w:rsidTr="009B3F18">
        <w:tc>
          <w:tcPr>
            <w:tcW w:w="14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38EB28" w14:textId="20BDCB66" w:rsidR="00387179" w:rsidRPr="00387179" w:rsidRDefault="00387179" w:rsidP="00387179">
            <w:pPr>
              <w:rPr>
                <w:sz w:val="18"/>
                <w:szCs w:val="18"/>
              </w:rPr>
            </w:pPr>
            <w:r w:rsidRPr="00387179">
              <w:rPr>
                <w:rFonts w:ascii="Times New Roman" w:eastAsia="Times New Roman" w:hAnsi="Times New Roman" w:cs="Times New Roman"/>
                <w:sz w:val="18"/>
                <w:szCs w:val="18"/>
              </w:rPr>
              <w:t>Fact_Kapasitas</w:t>
            </w:r>
            <w:r w:rsidRPr="00387179">
              <w:rPr>
                <w:rFonts w:ascii="Times New Roman" w:eastAsia="Times New Roman" w:hAnsi="Times New Roman" w:cs="Times New Roman"/>
                <w:sz w:val="18"/>
                <w:szCs w:val="18"/>
              </w:rPr>
              <w:br/>
              <w:t>_Pendidikan</w:t>
            </w:r>
          </w:p>
        </w:tc>
        <w:tc>
          <w:tcPr>
            <w:tcW w:w="980" w:type="dxa"/>
            <w:tcBorders>
              <w:top w:val="single" w:sz="4" w:space="0" w:color="000000"/>
              <w:left w:val="single" w:sz="4" w:space="0" w:color="000000"/>
              <w:bottom w:val="single" w:sz="4" w:space="0" w:color="auto"/>
              <w:right w:val="single" w:sz="4" w:space="0" w:color="000000"/>
            </w:tcBorders>
            <w:tcMar>
              <w:top w:w="60" w:type="dxa"/>
              <w:left w:w="80" w:type="dxa"/>
              <w:bottom w:w="60" w:type="dxa"/>
              <w:right w:w="80" w:type="dxa"/>
            </w:tcMar>
          </w:tcPr>
          <w:p w14:paraId="41A2240A"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Fact Table</w:t>
            </w:r>
          </w:p>
        </w:tc>
        <w:tc>
          <w:tcPr>
            <w:tcW w:w="9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4D6A8E"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10 Kolom</w:t>
            </w:r>
          </w:p>
        </w:tc>
        <w:tc>
          <w:tcPr>
            <w:tcW w:w="7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FD71AD"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202 Baris</w:t>
            </w:r>
          </w:p>
        </w:tc>
      </w:tr>
      <w:tr w:rsidR="00387179" w:rsidRPr="00387179" w14:paraId="472F2755" w14:textId="77777777" w:rsidTr="009B3F18">
        <w:tc>
          <w:tcPr>
            <w:tcW w:w="1436" w:type="dxa"/>
            <w:tcBorders>
              <w:top w:val="single" w:sz="4" w:space="0" w:color="000000"/>
              <w:left w:val="single" w:sz="4" w:space="0" w:color="000000"/>
              <w:bottom w:val="single" w:sz="4" w:space="0" w:color="000000"/>
              <w:right w:val="single" w:sz="4" w:space="0" w:color="auto"/>
            </w:tcBorders>
            <w:tcMar>
              <w:top w:w="60" w:type="dxa"/>
              <w:left w:w="80" w:type="dxa"/>
              <w:bottom w:w="60" w:type="dxa"/>
              <w:right w:w="80" w:type="dxa"/>
            </w:tcMar>
          </w:tcPr>
          <w:p w14:paraId="4F51AF0E"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Dim_Prodi</w:t>
            </w:r>
          </w:p>
        </w:tc>
        <w:tc>
          <w:tcPr>
            <w:tcW w:w="98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0BB58E18"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Dimension Table</w:t>
            </w:r>
          </w:p>
        </w:tc>
        <w:tc>
          <w:tcPr>
            <w:tcW w:w="981" w:type="dxa"/>
            <w:tcBorders>
              <w:top w:val="single" w:sz="4" w:space="0" w:color="000000"/>
              <w:left w:val="single" w:sz="4" w:space="0" w:color="auto"/>
              <w:bottom w:val="single" w:sz="4" w:space="0" w:color="000000"/>
              <w:right w:val="single" w:sz="4" w:space="0" w:color="000000"/>
            </w:tcBorders>
            <w:tcMar>
              <w:top w:w="60" w:type="dxa"/>
              <w:left w:w="80" w:type="dxa"/>
              <w:bottom w:w="60" w:type="dxa"/>
              <w:right w:w="80" w:type="dxa"/>
            </w:tcMar>
          </w:tcPr>
          <w:p w14:paraId="4F18F8AC"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5 Kolom</w:t>
            </w:r>
          </w:p>
        </w:tc>
        <w:tc>
          <w:tcPr>
            <w:tcW w:w="7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08C30B"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41 Baris</w:t>
            </w:r>
          </w:p>
        </w:tc>
      </w:tr>
      <w:tr w:rsidR="00387179" w:rsidRPr="00387179" w14:paraId="046D3855" w14:textId="77777777" w:rsidTr="009B3F18">
        <w:tc>
          <w:tcPr>
            <w:tcW w:w="1436" w:type="dxa"/>
            <w:tcBorders>
              <w:top w:val="single" w:sz="4" w:space="0" w:color="000000"/>
              <w:left w:val="single" w:sz="4" w:space="0" w:color="000000"/>
              <w:bottom w:val="single" w:sz="4" w:space="0" w:color="auto"/>
              <w:right w:val="single" w:sz="4" w:space="0" w:color="000000"/>
            </w:tcBorders>
            <w:tcMar>
              <w:top w:w="60" w:type="dxa"/>
              <w:left w:w="80" w:type="dxa"/>
              <w:bottom w:w="60" w:type="dxa"/>
              <w:right w:w="80" w:type="dxa"/>
            </w:tcMar>
          </w:tcPr>
          <w:p w14:paraId="7704B367"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Dim_Waktu</w:t>
            </w:r>
          </w:p>
        </w:tc>
        <w:tc>
          <w:tcPr>
            <w:tcW w:w="980" w:type="dxa"/>
            <w:tcBorders>
              <w:top w:val="single" w:sz="4" w:space="0" w:color="auto"/>
              <w:left w:val="single" w:sz="4" w:space="0" w:color="000000"/>
              <w:bottom w:val="single" w:sz="4" w:space="0" w:color="000000"/>
              <w:right w:val="single" w:sz="4" w:space="0" w:color="000000"/>
            </w:tcBorders>
            <w:tcMar>
              <w:top w:w="60" w:type="dxa"/>
              <w:left w:w="80" w:type="dxa"/>
              <w:bottom w:w="60" w:type="dxa"/>
              <w:right w:w="80" w:type="dxa"/>
            </w:tcMar>
          </w:tcPr>
          <w:p w14:paraId="0A637A38"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Dimension Table</w:t>
            </w:r>
          </w:p>
        </w:tc>
        <w:tc>
          <w:tcPr>
            <w:tcW w:w="9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547D4E"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4 Kolom</w:t>
            </w:r>
          </w:p>
        </w:tc>
        <w:tc>
          <w:tcPr>
            <w:tcW w:w="7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57CD56"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5 Baris</w:t>
            </w:r>
          </w:p>
        </w:tc>
      </w:tr>
      <w:tr w:rsidR="00387179" w:rsidRPr="00387179" w14:paraId="2BB6B388" w14:textId="77777777" w:rsidTr="009B3F18">
        <w:tc>
          <w:tcPr>
            <w:tcW w:w="143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6D16D16B"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Dim_Universitas</w:t>
            </w:r>
          </w:p>
        </w:tc>
        <w:tc>
          <w:tcPr>
            <w:tcW w:w="980" w:type="dxa"/>
            <w:tcBorders>
              <w:top w:val="single" w:sz="4" w:space="0" w:color="000000"/>
              <w:left w:val="single" w:sz="4" w:space="0" w:color="auto"/>
              <w:bottom w:val="single" w:sz="4" w:space="0" w:color="000000"/>
              <w:right w:val="single" w:sz="4" w:space="0" w:color="000000"/>
            </w:tcBorders>
            <w:tcMar>
              <w:top w:w="60" w:type="dxa"/>
              <w:left w:w="80" w:type="dxa"/>
              <w:bottom w:w="60" w:type="dxa"/>
              <w:right w:w="80" w:type="dxa"/>
            </w:tcMar>
          </w:tcPr>
          <w:p w14:paraId="1F6CED16"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Dimension Table</w:t>
            </w:r>
          </w:p>
        </w:tc>
        <w:tc>
          <w:tcPr>
            <w:tcW w:w="9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D0182B"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6 Kolom</w:t>
            </w:r>
          </w:p>
        </w:tc>
        <w:tc>
          <w:tcPr>
            <w:tcW w:w="73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3C05C9" w14:textId="77777777" w:rsidR="00387179" w:rsidRPr="00387179" w:rsidRDefault="00387179" w:rsidP="00387179">
            <w:pPr>
              <w:rPr>
                <w:sz w:val="18"/>
                <w:szCs w:val="18"/>
              </w:rPr>
            </w:pPr>
            <w:r w:rsidRPr="00387179">
              <w:rPr>
                <w:rFonts w:ascii="Times New Roman" w:eastAsia="Times New Roman" w:hAnsi="Times New Roman" w:cs="Times New Roman"/>
                <w:sz w:val="18"/>
                <w:szCs w:val="18"/>
              </w:rPr>
              <w:t>1 Baris</w:t>
            </w:r>
          </w:p>
        </w:tc>
      </w:tr>
    </w:tbl>
    <w:p w14:paraId="248D3331" w14:textId="72E9DCE4" w:rsidR="00387179" w:rsidRPr="00387179" w:rsidRDefault="00387179" w:rsidP="00387179">
      <w:pPr>
        <w:pStyle w:val="Heading2"/>
      </w:pPr>
      <w:r w:rsidRPr="00387179">
        <w:t>Hasil Dashboard Analitik</w:t>
      </w:r>
    </w:p>
    <w:p w14:paraId="4A5E15DC" w14:textId="77777777" w:rsidR="009B3F18" w:rsidRDefault="00851E61" w:rsidP="00851E61">
      <w:pPr>
        <w:jc w:val="both"/>
        <w:rPr>
          <w:lang w:val="en-ID"/>
        </w:rPr>
      </w:pPr>
      <w:r>
        <w:t xml:space="preserve">      </w:t>
      </w:r>
      <w:r w:rsidRPr="00851E61">
        <w:rPr>
          <w:lang w:val="en-ID"/>
        </w:rPr>
        <w:t>Hasil implementasi Business Intelligence divisualisasikan melalui dashboard interaktif menggunakan Google Looker Studio. Dashboard dibangun berdasarkan data yang tersimpan pada Data Warehouse dan terdiri atas dua halaman utama, yaitu Executive Overview dan Analisis Detail Per Program Studi.</w:t>
      </w:r>
      <w:r w:rsidR="009B3F18">
        <w:rPr>
          <w:lang w:val="en-ID"/>
        </w:rPr>
        <w:t xml:space="preserve"> </w:t>
      </w:r>
    </w:p>
    <w:p w14:paraId="2423686D" w14:textId="699C553B" w:rsidR="00851E61" w:rsidRPr="009B3F18" w:rsidRDefault="009B3F18" w:rsidP="00851E61">
      <w:pPr>
        <w:jc w:val="both"/>
        <w:rPr>
          <w:lang w:val="en-ID"/>
        </w:rPr>
      </w:pPr>
      <w:r>
        <w:rPr>
          <w:lang w:val="en-ID"/>
        </w:rPr>
        <w:t xml:space="preserve">     </w:t>
      </w:r>
      <w:r w:rsidR="00851E61" w:rsidRPr="007103A0">
        <w:rPr>
          <w:rFonts w:ascii="Times New Roman" w:hAnsi="Times New Roman" w:cs="Times New Roman"/>
          <w:lang w:val="en-ID"/>
        </w:rPr>
        <w:t xml:space="preserve">Halaman Executive Overview menyajikan ringkasan kondisi kapasitas akademik Universitas Siliwangi melalui beberapa indikator utama, yaitu total mahasiswa, total dosen, rata-rata rasio dosen terhadap mahasiswa, dan jumlah program studi yang tercakup dalam data. </w:t>
      </w:r>
      <w:r w:rsidR="00851E61" w:rsidRPr="007103A0">
        <w:rPr>
          <w:rFonts w:ascii="Times New Roman" w:hAnsi="Times New Roman" w:cs="Times New Roman"/>
          <w:lang w:val="sv-SE"/>
        </w:rPr>
        <w:t>Selain itu, halaman ini dilengkapi dengan grafik tren rasio dosen terhadap mahasiswa pada tingkat institusi, distribusi program studi berdasarkan jenjang pendidikan, serta perbandingan jumlah mahasiswa antar program studi.</w:t>
      </w:r>
    </w:p>
    <w:p w14:paraId="72A78FD1" w14:textId="77777777" w:rsidR="00851E61" w:rsidRPr="00851E61" w:rsidRDefault="00851E61" w:rsidP="00387179">
      <w:pPr>
        <w:jc w:val="both"/>
        <w:rPr>
          <w:lang w:val="sv-SE"/>
        </w:rPr>
      </w:pPr>
    </w:p>
    <w:p w14:paraId="24AC4964" w14:textId="008835B5" w:rsidR="00387179" w:rsidRDefault="00387179" w:rsidP="00387179">
      <w:pPr>
        <w:rPr>
          <w:rFonts w:ascii="Times New Roman" w:eastAsia="Times New Roman" w:hAnsi="Times New Roman" w:cs="Times New Roman"/>
          <w:i/>
          <w:iCs/>
        </w:rPr>
      </w:pPr>
      <w:r w:rsidRPr="00EF73D7">
        <w:rPr>
          <w:noProof/>
        </w:rPr>
        <w:drawing>
          <wp:inline distT="0" distB="0" distL="0" distR="0" wp14:anchorId="048112F6" wp14:editId="40FE2116">
            <wp:extent cx="2651125" cy="1985421"/>
            <wp:effectExtent l="0" t="0" r="0" b="0"/>
            <wp:docPr id="18963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4978" name=""/>
                    <pic:cNvPicPr/>
                  </pic:nvPicPr>
                  <pic:blipFill>
                    <a:blip r:embed="rId18"/>
                    <a:stretch>
                      <a:fillRect/>
                    </a:stretch>
                  </pic:blipFill>
                  <pic:spPr>
                    <a:xfrm>
                      <a:off x="0" y="0"/>
                      <a:ext cx="2651125" cy="1985421"/>
                    </a:xfrm>
                    <a:prstGeom prst="rect">
                      <a:avLst/>
                    </a:prstGeom>
                  </pic:spPr>
                </pic:pic>
              </a:graphicData>
            </a:graphic>
          </wp:inline>
        </w:drawing>
      </w:r>
    </w:p>
    <w:p w14:paraId="21FA555F" w14:textId="65C07DF0" w:rsidR="00387179" w:rsidRPr="00387179" w:rsidRDefault="00387179" w:rsidP="00387179">
      <w:pPr>
        <w:jc w:val="center"/>
      </w:pPr>
      <w:r w:rsidRPr="00387179">
        <w:rPr>
          <w:rFonts w:ascii="Times New Roman" w:eastAsia="Times New Roman" w:hAnsi="Times New Roman" w:cs="Times New Roman"/>
          <w:i/>
          <w:iCs/>
        </w:rPr>
        <w:t>Gambar 3. Panel Executive Overview Dashboard Google Looker Studio</w:t>
      </w:r>
    </w:p>
    <w:p w14:paraId="38CDF5C6" w14:textId="2C0580BD" w:rsidR="007103A0" w:rsidRPr="007103A0" w:rsidRDefault="007103A0" w:rsidP="007103A0">
      <w:pPr>
        <w:jc w:val="both"/>
        <w:rPr>
          <w:rFonts w:ascii="Times New Roman" w:eastAsia="Times New Roman" w:hAnsi="Times New Roman" w:cs="Times New Roman"/>
          <w:lang w:val="sv-SE"/>
        </w:rPr>
      </w:pPr>
      <w:r w:rsidRPr="008248DA">
        <w:rPr>
          <w:rFonts w:ascii="Times New Roman" w:eastAsia="Times New Roman" w:hAnsi="Times New Roman" w:cs="Times New Roman"/>
          <w:lang w:val="en-ID"/>
        </w:rPr>
        <w:t xml:space="preserve">     </w:t>
      </w:r>
      <w:r w:rsidRPr="007103A0">
        <w:rPr>
          <w:rFonts w:ascii="Times New Roman" w:eastAsia="Times New Roman" w:hAnsi="Times New Roman" w:cs="Times New Roman"/>
          <w:lang w:val="sv-SE"/>
        </w:rPr>
        <w:t>Halaman Analisis Detail Per Program Studi digunakan untuk melakukan analisis pada tingkat program studi. Visualisasi utama pada halaman ini berupa heatmap yang menampilkan nilai rasio dosen terhadap mahasiswa untuk setiap program studi dan periode pelaporan. Selain itu, scatter plot digunakan untuk memperlihatkan hubungan antara jumlah mahasiswa dan nilai rasio pada masing-masing program studi.</w:t>
      </w:r>
    </w:p>
    <w:p w14:paraId="505A85CB" w14:textId="5527A9F1" w:rsidR="007103A0" w:rsidRPr="007103A0" w:rsidRDefault="007103A0" w:rsidP="007103A0">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Pr="007103A0">
        <w:rPr>
          <w:rFonts w:ascii="Times New Roman" w:eastAsia="Times New Roman" w:hAnsi="Times New Roman" w:cs="Times New Roman"/>
          <w:lang w:val="sv-SE"/>
        </w:rPr>
        <w:t>Melalui visualisasi tersebut, pengguna dapat mengidentifikasi program studi yang memiliki nilai rasio relatif lebih tinggi dibandingkan program studi lainnya. Dashboard juga menyediakan fitur filter interaktif berdasarkan periode pelaporan, jenjang pendidikan, dan program studi untuk mendukung eksplorasi data sesuai kebutuhan pengguna.</w:t>
      </w:r>
    </w:p>
    <w:p w14:paraId="3883C9CB" w14:textId="77777777" w:rsidR="007103A0" w:rsidRPr="00851E61" w:rsidRDefault="007103A0" w:rsidP="00851E61">
      <w:pPr>
        <w:jc w:val="both"/>
        <w:rPr>
          <w:rFonts w:ascii="Times New Roman" w:eastAsia="Times New Roman" w:hAnsi="Times New Roman" w:cs="Times New Roman"/>
          <w:lang w:val="sv-SE"/>
        </w:rPr>
      </w:pPr>
    </w:p>
    <w:p w14:paraId="02B7667D" w14:textId="77777777" w:rsidR="00387179" w:rsidRPr="00AD6F2F" w:rsidRDefault="00387179" w:rsidP="00387179">
      <w:pPr>
        <w:jc w:val="center"/>
        <w:rPr>
          <w:rFonts w:ascii="Times New Roman" w:eastAsia="Times New Roman" w:hAnsi="Times New Roman" w:cs="Times New Roman"/>
          <w:i/>
          <w:iCs/>
          <w:lang w:val="sv-SE"/>
        </w:rPr>
      </w:pPr>
    </w:p>
    <w:p w14:paraId="42660033" w14:textId="1EB19803" w:rsidR="00387179" w:rsidRDefault="00387179" w:rsidP="00387179">
      <w:pPr>
        <w:jc w:val="center"/>
        <w:rPr>
          <w:rFonts w:ascii="Times New Roman" w:eastAsia="Times New Roman" w:hAnsi="Times New Roman" w:cs="Times New Roman"/>
          <w:i/>
          <w:iCs/>
        </w:rPr>
      </w:pPr>
      <w:r w:rsidRPr="00EF73D7">
        <w:rPr>
          <w:noProof/>
          <w:lang w:val="sv-SE"/>
        </w:rPr>
        <w:drawing>
          <wp:inline distT="0" distB="0" distL="0" distR="0" wp14:anchorId="0F694B5F" wp14:editId="1E217EB6">
            <wp:extent cx="2651125" cy="2013813"/>
            <wp:effectExtent l="0" t="0" r="0" b="5715"/>
            <wp:docPr id="8921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65325" name=""/>
                    <pic:cNvPicPr/>
                  </pic:nvPicPr>
                  <pic:blipFill>
                    <a:blip r:embed="rId19"/>
                    <a:stretch>
                      <a:fillRect/>
                    </a:stretch>
                  </pic:blipFill>
                  <pic:spPr>
                    <a:xfrm>
                      <a:off x="0" y="0"/>
                      <a:ext cx="2651125" cy="2013813"/>
                    </a:xfrm>
                    <a:prstGeom prst="rect">
                      <a:avLst/>
                    </a:prstGeom>
                  </pic:spPr>
                </pic:pic>
              </a:graphicData>
            </a:graphic>
          </wp:inline>
        </w:drawing>
      </w:r>
    </w:p>
    <w:p w14:paraId="5E506B9A" w14:textId="50E37E02" w:rsidR="00387179" w:rsidRDefault="00387179" w:rsidP="00387179">
      <w:pPr>
        <w:jc w:val="center"/>
        <w:rPr>
          <w:rFonts w:ascii="Times New Roman" w:eastAsia="Times New Roman" w:hAnsi="Times New Roman" w:cs="Times New Roman"/>
          <w:i/>
          <w:iCs/>
        </w:rPr>
      </w:pPr>
      <w:r w:rsidRPr="00387179">
        <w:rPr>
          <w:rFonts w:ascii="Times New Roman" w:eastAsia="Times New Roman" w:hAnsi="Times New Roman" w:cs="Times New Roman"/>
          <w:i/>
          <w:iCs/>
        </w:rPr>
        <w:t>Gambar 4. Panel Heatmap dan Scatter Plot Analisis Per Program Studi</w:t>
      </w:r>
    </w:p>
    <w:p w14:paraId="50074CD1" w14:textId="77777777" w:rsidR="008248DA" w:rsidRDefault="008248DA" w:rsidP="00387179">
      <w:pPr>
        <w:jc w:val="center"/>
        <w:rPr>
          <w:rFonts w:ascii="Times New Roman" w:eastAsia="Times New Roman" w:hAnsi="Times New Roman" w:cs="Times New Roman"/>
          <w:i/>
          <w:iCs/>
        </w:rPr>
      </w:pPr>
    </w:p>
    <w:p w14:paraId="7CD6EA38" w14:textId="03FA3F98" w:rsidR="007103A0" w:rsidRPr="007103A0" w:rsidRDefault="00387179" w:rsidP="007103A0">
      <w:pPr>
        <w:pStyle w:val="Heading2"/>
      </w:pPr>
      <w:r w:rsidRPr="00387179">
        <w:t>Temuan Analitik (Analytical Findings)</w:t>
      </w:r>
    </w:p>
    <w:p w14:paraId="03DB36F3" w14:textId="77777777" w:rsidR="007103A0" w:rsidRPr="008248DA" w:rsidRDefault="007103A0" w:rsidP="007103A0">
      <w:pPr>
        <w:jc w:val="both"/>
        <w:rPr>
          <w:lang w:val="sv-SE"/>
        </w:rPr>
      </w:pPr>
      <w:r>
        <w:t xml:space="preserve">      </w:t>
      </w:r>
      <w:r w:rsidRPr="007103A0">
        <w:t xml:space="preserve">Berdasarkan hasil analisis terhadap data yang tersimpan pada Data Warehouse, rasio dosen terhadap mahasiswa pada tingkat institusi berada pada rentang 22,84 hingga 24,91 selama lima periode pelaporan (Ganjil 2023–Ganjil 2025). </w:t>
      </w:r>
      <w:r w:rsidRPr="008248DA">
        <w:rPr>
          <w:lang w:val="sv-SE"/>
        </w:rPr>
        <w:t>Nilai tersebut masih berada di bawah batas rasio 1:45 yang digunakan dalam penelitian, sehingga secara agregat kondisi kapasitas akademik institusi masih berada pada tingkat yang terkendali.</w:t>
      </w:r>
    </w:p>
    <w:p w14:paraId="2FFB8E32" w14:textId="77777777" w:rsidR="007103A0" w:rsidRDefault="007103A0" w:rsidP="007103A0">
      <w:pPr>
        <w:jc w:val="both"/>
        <w:rPr>
          <w:lang w:val="sv-SE"/>
        </w:rPr>
      </w:pPr>
      <w:r w:rsidRPr="007103A0">
        <w:rPr>
          <w:lang w:val="sv-SE"/>
        </w:rPr>
        <w:t xml:space="preserve"> </w:t>
      </w:r>
      <w:r>
        <w:rPr>
          <w:lang w:val="sv-SE"/>
        </w:rPr>
        <w:t xml:space="preserve">     </w:t>
      </w:r>
      <w:r w:rsidRPr="007103A0">
        <w:rPr>
          <w:lang w:val="sv-SE"/>
        </w:rPr>
        <w:t>Meskipun demikian, analisis pada tingkat program studi menunjukkan adanya variasi rasio yang cukup besar antar program studi. Pada periode Ganjil 2025 terdapat tiga program studi yang memiliki nilai rasio di atas batas yang digunakan dalam penelitian, yaitu Pendidikan Sejarah (1:54,00), Pendidikan Masyarakat (1:50,92), dan Akuntansi (1:45,71). Selain itu, beberapa program studi lain memiliki nilai rasio yang relatif tinggi dan berada pada rentang 35–45, seperti Ilmu Politik, Pendidikan Ekonomi, Ekonomi Pembangunan, dan Ekonomi Syariah.</w:t>
      </w:r>
    </w:p>
    <w:p w14:paraId="6392625D" w14:textId="769EC8CD" w:rsidR="007103A0" w:rsidRPr="00387179" w:rsidRDefault="007103A0" w:rsidP="007103A0">
      <w:pPr>
        <w:jc w:val="both"/>
        <w:rPr>
          <w:lang w:val="sv-SE"/>
        </w:rPr>
      </w:pPr>
      <w:r>
        <w:rPr>
          <w:lang w:val="sv-SE"/>
        </w:rPr>
        <w:t xml:space="preserve">      </w:t>
      </w:r>
      <w:r w:rsidRPr="007103A0">
        <w:rPr>
          <w:lang w:val="sv-SE"/>
        </w:rPr>
        <w:t>Analisis longitudinal menunjukkan bahwa Program Studi Pendidikan Masyarakat memiliki nilai rasio yang relatif tinggi secara konsisten pada seluruh periode pengamatan. Temuan ini menunjukkan bahwa analisis pada tingkat institusi saja belum cukup untuk menggambarkan kondisi kapasitas akademik secara menyeluruh karena terdapat variasi rasio yang cukup besar pada tingkat program studi.</w:t>
      </w:r>
    </w:p>
    <w:p w14:paraId="199DE3EF" w14:textId="7DD716D7" w:rsidR="00387179" w:rsidRPr="00387179" w:rsidRDefault="00387179" w:rsidP="00387179">
      <w:pPr>
        <w:pStyle w:val="Heading2"/>
        <w:rPr>
          <w:lang w:val="sv-SE"/>
        </w:rPr>
      </w:pPr>
      <w:r w:rsidRPr="00387179">
        <w:rPr>
          <w:lang w:val="sv-SE"/>
        </w:rPr>
        <w:t>Pembahasan (Discussion)</w:t>
      </w:r>
    </w:p>
    <w:p w14:paraId="24A8933E" w14:textId="5120778F" w:rsidR="009B3F18" w:rsidRDefault="009B3F18" w:rsidP="003E12B9">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3E12B9" w:rsidRPr="003E12B9">
        <w:rPr>
          <w:rFonts w:ascii="Times New Roman" w:eastAsia="Times New Roman" w:hAnsi="Times New Roman" w:cs="Times New Roman"/>
          <w:lang w:val="sv-SE"/>
        </w:rPr>
        <w:t>Hasil penelitian menunjukkan bahwa pendekatan Business Intelligence mampu memberikan gambaran yang lebih komprehensif mengenai kondisi kapasitas akademik Universitas Siliwangi dibandingkan penyajian data agregat konvensional. Meskipun rasio dosen terhadap mahasiswa pada tingkat institusi berada di bawah batas maksimum yang ditetapkan DIKTI (1:45), analisis pada tingkat program studi menunjukkan adanya variasi yang cukup besar antar program studi. Temuan ini mengindikasikan bahwa nilai rata-rata institusi belum sepenuhnya merepresentasikan kondisi kapasitas akademik pada setiap unit akademik.</w:t>
      </w:r>
    </w:p>
    <w:p w14:paraId="4188D503" w14:textId="77777777" w:rsidR="009B3F18" w:rsidRDefault="009B3F18" w:rsidP="003E12B9">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3E12B9" w:rsidRPr="003E12B9">
        <w:rPr>
          <w:rFonts w:ascii="Times New Roman" w:eastAsia="Times New Roman" w:hAnsi="Times New Roman" w:cs="Times New Roman"/>
          <w:lang w:val="sv-SE"/>
        </w:rPr>
        <w:t>Analisis longitudinal selama lima periode pelaporan menunjukkan bahwa beberapa program studi memiliki rasio dosen terhadap mahasiswa yang relatif tinggi dan cenderung konsisten dari waktu ke waktu. Pada periode Ganjil 2025, terdapat tiga program studi yang memiliki rasio di atas batas DIKTI, yaitu Pendidikan Sejarah, Pendidikan Masyarakat, dan Akuntansi. Selain itu, Program Studi Pendidikan Masyarakat menunjukkan rasio yang berada di atas batas tersebut pada seluruh periode pengamatan. Temuan ini menunjukkan adanya potensi ketidakseimbangan kapasitas akademik yang perlu diperhatikan dalam proses perencanaan dan pengelolaan sumber daya institusi.</w:t>
      </w:r>
    </w:p>
    <w:p w14:paraId="3EE9B592" w14:textId="77777777" w:rsidR="009B3F18" w:rsidRDefault="009B3F18" w:rsidP="003E12B9">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3E12B9" w:rsidRPr="003E12B9">
        <w:rPr>
          <w:rFonts w:ascii="Times New Roman" w:eastAsia="Times New Roman" w:hAnsi="Times New Roman" w:cs="Times New Roman"/>
          <w:lang w:val="sv-SE"/>
        </w:rPr>
        <w:t>Dari sisi implementasi sistem, penelitian ini menunjukkan bahwa integrasi proses ETL, Data Warehouse, dan dashboard analitik mampu mengubah data agregat PDDikti yang sebelumnya bersifat terpisah per periode menjadi sumber informasi yang terintegrasi dan dapat dianalisis secara historis. Dengan adanya repositori data terpusat (single source of truth), proses pemantauan rasio dosen terhadap mahasiswa dapat dilakukan secara lebih efisien dibandingkan melalui rekapitulasi manual.</w:t>
      </w:r>
    </w:p>
    <w:p w14:paraId="2962956A" w14:textId="77777777" w:rsidR="009B3F18" w:rsidRDefault="009B3F18" w:rsidP="00387179">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3E12B9" w:rsidRPr="003E12B9">
        <w:rPr>
          <w:rFonts w:ascii="Times New Roman" w:eastAsia="Times New Roman" w:hAnsi="Times New Roman" w:cs="Times New Roman"/>
          <w:lang w:val="sv-SE"/>
        </w:rPr>
        <w:t>Hasil penelitian ini juga memperlihatkan bahwa peran utama Business Intelligence tidak hanya terletak pada penyajian visualisasi melalui dashboard, tetapi pada kemampuan pengelolaan data yang memungkinkan proses integrasi, penyimpanan, dan analisis data secara sistematis. Dashboard berfungsi sebagai media penyampaian informasi, sedangkan Data Warehouse dan proses ETL menjadi fondasi utama yang mendukung tersedianya informasi yang konsisten untuk kebutuhan pengambilan keputusan.</w:t>
      </w:r>
    </w:p>
    <w:p w14:paraId="19781D76" w14:textId="4B2DBA70" w:rsidR="003E12B9" w:rsidRDefault="009B3F18" w:rsidP="00387179">
      <w:pPr>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     </w:t>
      </w:r>
      <w:r w:rsidR="003E12B9" w:rsidRPr="003E12B9">
        <w:rPr>
          <w:rFonts w:ascii="Times New Roman" w:eastAsia="Times New Roman" w:hAnsi="Times New Roman" w:cs="Times New Roman"/>
          <w:lang w:val="sv-SE"/>
        </w:rPr>
        <w:t>Temuan tersebut sejalan dengan penelitian-penelitian sebelumnya yang menunjukkan bahwa Business Intelligence dapat mendukung pengambilan keputusan di lingkungan pendidikan tinggi. Namun, berbeda dengan penelitian terdahulu yang umumnya memanfaatkan data internal institusi untuk kebutuhan operasional tertentu, penelitian ini menunjukkan bahwa data agregat publik dari PDDikti juga dapat dimanfaatkan sebagai sumber data untuk membangun sistem analitik institusional yang mendukung pemantauan kapasitas akademik secara longitudinal.</w:t>
      </w:r>
      <w:r w:rsidR="00387179">
        <w:rPr>
          <w:rFonts w:ascii="Times New Roman" w:eastAsia="Times New Roman" w:hAnsi="Times New Roman" w:cs="Times New Roman"/>
          <w:lang w:val="sv-SE"/>
        </w:rPr>
        <w:t xml:space="preserve">      </w:t>
      </w:r>
    </w:p>
    <w:p w14:paraId="4885E1CD" w14:textId="77777777" w:rsidR="000A7EF1" w:rsidRDefault="00000000">
      <w:pPr>
        <w:pStyle w:val="Heading1"/>
        <w:numPr>
          <w:ilvl w:val="0"/>
          <w:numId w:val="1"/>
        </w:numPr>
        <w:rPr>
          <w:rFonts w:ascii="Times New Roman" w:eastAsia="Times New Roman" w:hAnsi="Times New Roman" w:cs="Times New Roman"/>
        </w:rPr>
      </w:pPr>
      <w:r>
        <w:rPr>
          <w:rFonts w:ascii="Times New Roman" w:eastAsia="Times New Roman" w:hAnsi="Times New Roman" w:cs="Times New Roman"/>
        </w:rPr>
        <w:t xml:space="preserve">KESIMPULAN </w:t>
      </w:r>
    </w:p>
    <w:p w14:paraId="4BCC700D" w14:textId="3E0202D6" w:rsidR="003E12B9" w:rsidRPr="003E12B9" w:rsidRDefault="003E12B9" w:rsidP="003E12B9">
      <w:pPr>
        <w:pStyle w:val="ListParagraph"/>
        <w:numPr>
          <w:ilvl w:val="0"/>
          <w:numId w:val="5"/>
        </w:numPr>
        <w:pBdr>
          <w:top w:val="nil"/>
          <w:left w:val="nil"/>
          <w:bottom w:val="nil"/>
          <w:right w:val="nil"/>
          <w:between w:val="nil"/>
        </w:pBdr>
        <w:tabs>
          <w:tab w:val="left" w:pos="567"/>
        </w:tabs>
        <w:jc w:val="both"/>
        <w:rPr>
          <w:rFonts w:ascii="Times New Roman" w:eastAsia="Times New Roman" w:hAnsi="Times New Roman" w:cs="Times New Roman"/>
          <w:lang w:val="sv-SE"/>
        </w:rPr>
      </w:pPr>
      <w:r w:rsidRPr="003E12B9">
        <w:rPr>
          <w:rFonts w:ascii="Times New Roman" w:eastAsia="Times New Roman" w:hAnsi="Times New Roman" w:cs="Times New Roman"/>
          <w:lang w:val="sv-SE"/>
        </w:rPr>
        <w:t>Hasil analisis menunjukkan bahwa rasio dosen terhadap mahasiswa Universitas Siliwangi pada tingkat institusi berada di bawah batas maksimum DIKTI (1:45) selama lima periode pelaporan. Namun, pada tingkat program studi masih ditemukan disparitas kapasitas akademik, di mana terdapat tiga program studi yang melampaui batas rasio pada periode Ganjil 2025 serta beberapa program studi yang berada dalam kategori waspada.</w:t>
      </w:r>
    </w:p>
    <w:p w14:paraId="7CF37DFB" w14:textId="06B04593" w:rsidR="003E12B9" w:rsidRPr="003E12B9" w:rsidRDefault="003E12B9" w:rsidP="003E12B9">
      <w:pPr>
        <w:pStyle w:val="ListNumber4"/>
        <w:numPr>
          <w:ilvl w:val="0"/>
          <w:numId w:val="5"/>
        </w:numPr>
        <w:jc w:val="both"/>
        <w:rPr>
          <w:rFonts w:ascii="Times New Roman" w:eastAsia="Times New Roman" w:hAnsi="Times New Roman" w:cs="Times New Roman"/>
          <w:lang w:val="sv-SE"/>
        </w:rPr>
      </w:pPr>
      <w:r w:rsidRPr="003E12B9">
        <w:rPr>
          <w:rFonts w:ascii="Times New Roman" w:eastAsia="Times New Roman" w:hAnsi="Times New Roman" w:cs="Times New Roman"/>
          <w:lang w:val="sv-SE"/>
        </w:rPr>
        <w:t>Implementasi Business Intelligence menggunakan pendekatan BI Roadmap berhasil mengintegrasikan data agregat PDDikti ke dalam Data Warehouse berbasis Star Schema yang mampu mendukung analisis historis dan pemantauan rasio dosen terhadap mahasiswa secara terstruktur.</w:t>
      </w:r>
    </w:p>
    <w:p w14:paraId="299BFE23" w14:textId="72AA5F64" w:rsidR="003E12B9" w:rsidRPr="003E12B9" w:rsidRDefault="003E12B9" w:rsidP="003E12B9">
      <w:pPr>
        <w:pStyle w:val="ListNumber4"/>
        <w:numPr>
          <w:ilvl w:val="0"/>
          <w:numId w:val="5"/>
        </w:numPr>
        <w:jc w:val="both"/>
        <w:rPr>
          <w:rFonts w:ascii="Times New Roman" w:eastAsia="Times New Roman" w:hAnsi="Times New Roman" w:cs="Times New Roman"/>
          <w:lang w:val="sv-SE"/>
        </w:rPr>
      </w:pPr>
      <w:r w:rsidRPr="003E12B9">
        <w:rPr>
          <w:rFonts w:ascii="Times New Roman" w:eastAsia="Times New Roman" w:hAnsi="Times New Roman" w:cs="Times New Roman"/>
          <w:lang w:val="sv-SE"/>
        </w:rPr>
        <w:t>Dashboard analitik yang</w:t>
      </w:r>
      <w:r>
        <w:rPr>
          <w:rFonts w:ascii="Times New Roman" w:eastAsia="Times New Roman" w:hAnsi="Times New Roman" w:cs="Times New Roman"/>
          <w:lang w:val="sv-SE"/>
        </w:rPr>
        <w:t xml:space="preserve"> </w:t>
      </w:r>
      <w:r w:rsidRPr="003E12B9">
        <w:rPr>
          <w:rFonts w:ascii="Times New Roman" w:eastAsia="Times New Roman" w:hAnsi="Times New Roman" w:cs="Times New Roman"/>
          <w:lang w:val="sv-SE"/>
        </w:rPr>
        <w:t>dikembangkan mampu menyajikan informasi kapasitas akademik secara interaktif dan mendukung identifikasi program studi yang memerlukan perhatian khusus. Hasil validasi menunjukkan konsistensi data antara Data Warehouse dan dashboard sebesar 100%, sehingga sistem dapat digunakan sebagai pendukung pengambilan keputusan terkait perencanaan kapasitas akademik.</w:t>
      </w:r>
    </w:p>
    <w:p w14:paraId="56582CD3" w14:textId="4D778777" w:rsidR="003E12B9" w:rsidRPr="00363C0D" w:rsidRDefault="003E12B9" w:rsidP="003E12B9">
      <w:pPr>
        <w:pStyle w:val="ListNumber4"/>
        <w:numPr>
          <w:ilvl w:val="0"/>
          <w:numId w:val="5"/>
        </w:numPr>
        <w:jc w:val="both"/>
        <w:rPr>
          <w:rFonts w:ascii="Times New Roman" w:eastAsia="Times New Roman" w:hAnsi="Times New Roman" w:cs="Times New Roman"/>
          <w:lang w:val="sv-SE"/>
        </w:rPr>
      </w:pPr>
      <w:r w:rsidRPr="003E12B9">
        <w:rPr>
          <w:rFonts w:ascii="Times New Roman" w:eastAsia="Times New Roman" w:hAnsi="Times New Roman" w:cs="Times New Roman"/>
          <w:lang w:val="sv-SE"/>
        </w:rPr>
        <w:t>Penelitian ini menunjukkan bahwa pendekatan Business Intelligence dapat dimanfaatkan untuk mengubah data agregat pendidikan tinggi menjadi informasi yang lebih mudah dianalisis, sehingga mendukung proses monitoring kapasitas akademik secara berkelanjutan.</w:t>
      </w:r>
    </w:p>
    <w:p w14:paraId="52762CFE" w14:textId="77777777" w:rsidR="000A7EF1" w:rsidRDefault="00000000">
      <w:pPr>
        <w:pStyle w:val="Heading1"/>
        <w:rPr>
          <w:rFonts w:ascii="Times New Roman" w:eastAsia="Times New Roman" w:hAnsi="Times New Roman" w:cs="Times New Roman"/>
        </w:rPr>
      </w:pPr>
      <w:r>
        <w:rPr>
          <w:rFonts w:ascii="Times New Roman" w:eastAsia="Times New Roman" w:hAnsi="Times New Roman" w:cs="Times New Roman"/>
        </w:rPr>
        <w:t xml:space="preserve">UCAPAN TERIMA KASIH </w:t>
      </w:r>
    </w:p>
    <w:p w14:paraId="170D2C9D" w14:textId="557EAABF" w:rsidR="00CB1937" w:rsidRPr="00CB1937" w:rsidRDefault="00CB1937">
      <w:pPr>
        <w:pBdr>
          <w:top w:val="nil"/>
          <w:left w:val="nil"/>
          <w:bottom w:val="nil"/>
          <w:right w:val="nil"/>
          <w:between w:val="nil"/>
        </w:pBdr>
        <w:tabs>
          <w:tab w:val="left" w:pos="567"/>
        </w:tabs>
        <w:ind w:firstLine="284"/>
        <w:jc w:val="both"/>
        <w:rPr>
          <w:rFonts w:ascii="Times New Roman" w:eastAsia="Times New Roman" w:hAnsi="Times New Roman" w:cs="Times New Roman"/>
          <w:color w:val="000000"/>
          <w:lang w:val="sv-SE"/>
        </w:rPr>
      </w:pPr>
      <w:r w:rsidRPr="00CB1937">
        <w:rPr>
          <w:rFonts w:ascii="Times New Roman" w:eastAsia="Times New Roman" w:hAnsi="Times New Roman" w:cs="Times New Roman"/>
          <w:color w:val="000000"/>
          <w:lang w:val="sv-SE"/>
        </w:rPr>
        <w:t>Penulis memanjatkan puji dan syukur ke hadirat Allah SWT atas segala rahmat dan karunia-Nya sehingga penelitian ini dapat diselesaikan. Penulis menyampaikan terima kasih kepada Program Studi Sistem Informasi, Fakultas Teknik, Universitas Siliwangi, atas dukungan yang diberikan selama pelaksanaan penelitian. Penulis juga mengucapkan terima kasih kepada seluruh pihak yang telah memberikan bantuan, masukan, dan dukungan selama proses penelitian dan penyusunan artikel ini.</w:t>
      </w:r>
    </w:p>
    <w:p w14:paraId="5E1D665C" w14:textId="77777777" w:rsidR="000A7EF1" w:rsidRDefault="00000000">
      <w:pPr>
        <w:pStyle w:val="Heading1"/>
        <w:rPr>
          <w:rFonts w:ascii="Times New Roman" w:eastAsia="Times New Roman" w:hAnsi="Times New Roman" w:cs="Times New Roman"/>
        </w:rPr>
      </w:pPr>
      <w:r>
        <w:rPr>
          <w:rFonts w:ascii="Times New Roman" w:eastAsia="Times New Roman" w:hAnsi="Times New Roman" w:cs="Times New Roman"/>
        </w:rPr>
        <w:t xml:space="preserve">DAFTAR PUSTAKA </w:t>
      </w:r>
    </w:p>
    <w:p w14:paraId="2E3677F5" w14:textId="77777777" w:rsidR="00363C0D" w:rsidRPr="00363C0D" w:rsidRDefault="00363C0D" w:rsidP="00363C0D">
      <w:pPr>
        <w:ind w:left="540" w:hanging="540"/>
        <w:jc w:val="both"/>
      </w:pPr>
      <w:r w:rsidRPr="00363C0D">
        <w:t>[1]</w:t>
      </w:r>
      <w:r w:rsidRPr="00363C0D">
        <w:tab/>
        <w:t>J. Zhang and S. B. Goyal, “AI-Driven Decision Support System Innovations to Empower Higher Education Administration,” Journal of Computers, Mechanical and Management, vol. 3, no. 2, pp. 35–41, 2024.</w:t>
      </w:r>
    </w:p>
    <w:p w14:paraId="7AA4B91C" w14:textId="77777777" w:rsidR="00363C0D" w:rsidRPr="00363C0D" w:rsidRDefault="00363C0D" w:rsidP="00363C0D">
      <w:pPr>
        <w:ind w:left="540" w:hanging="540"/>
        <w:jc w:val="both"/>
      </w:pPr>
      <w:r w:rsidRPr="00363C0D">
        <w:t>[2]</w:t>
      </w:r>
      <w:r w:rsidRPr="00363C0D">
        <w:tab/>
        <w:t>H. M. Astuti, R. P. Wibowo, and A. Herdiyanti, “Towards the National Higher Education Database in Indonesia: Challenges to Data Governance Implementation from The Perspective of a Public University,” Procedia Computer Science, vol. 234, pp. 1322–1331, 2024.</w:t>
      </w:r>
    </w:p>
    <w:p w14:paraId="1C5E4F79" w14:textId="77777777" w:rsidR="00363C0D" w:rsidRPr="00363C0D" w:rsidRDefault="00363C0D" w:rsidP="00363C0D">
      <w:pPr>
        <w:ind w:left="540" w:hanging="540"/>
        <w:jc w:val="both"/>
      </w:pPr>
      <w:r w:rsidRPr="00363C0D">
        <w:t>[3]</w:t>
      </w:r>
      <w:r w:rsidRPr="00363C0D">
        <w:tab/>
        <w:t>S. Gaftandzhieva, S. Hussain, S. Hilcenko, R. Doneva, and K. Boykova, “Data-driven Decision Making in Higher Education Institutions: State-of-play,” International Journal of Advanced Computer Science and Applications, vol. 14, no. 6, 2023.</w:t>
      </w:r>
    </w:p>
    <w:p w14:paraId="691BA8CD" w14:textId="77777777" w:rsidR="00363C0D" w:rsidRPr="00363C0D" w:rsidRDefault="00363C0D" w:rsidP="00363C0D">
      <w:pPr>
        <w:ind w:left="540" w:hanging="540"/>
        <w:jc w:val="both"/>
      </w:pPr>
      <w:r w:rsidRPr="00363C0D">
        <w:t>[4]</w:t>
      </w:r>
      <w:r w:rsidRPr="00363C0D">
        <w:tab/>
        <w:t>F. Sinlae, M. Yasir, and A. Muhajirin, “Application of Business Intelligence in the Analysis and Visualization of XYZ University Alumni Data Using the Tableau Platform,” JURTEKSI (Jurnal Teknologi dan Sistem Informasi), vol. 10, no. 2, pp. 209–216, 2024.</w:t>
      </w:r>
    </w:p>
    <w:p w14:paraId="6527A420" w14:textId="77777777" w:rsidR="00363C0D" w:rsidRPr="00363C0D" w:rsidRDefault="00363C0D" w:rsidP="00363C0D">
      <w:pPr>
        <w:ind w:left="540" w:hanging="540"/>
        <w:jc w:val="both"/>
      </w:pPr>
      <w:r w:rsidRPr="00363C0D">
        <w:t>[5]</w:t>
      </w:r>
      <w:r w:rsidRPr="00363C0D">
        <w:tab/>
        <w:t>Y. MZ, J. E. Bororing, S. Rahayu, and T. A. Ramadhani, “Aplikasi Dashboard Visualisasi Data Calon Mahasiswa Baru mengunakan Metabase,” Edumatic: Jurnal Pendidikan Informatika, vol. 6, no. 1, pp. 116–125, 2022.</w:t>
      </w:r>
    </w:p>
    <w:p w14:paraId="3CD04FCB" w14:textId="77777777" w:rsidR="00363C0D" w:rsidRPr="00363C0D" w:rsidRDefault="00363C0D" w:rsidP="00363C0D">
      <w:pPr>
        <w:ind w:left="540" w:hanging="540"/>
        <w:jc w:val="both"/>
      </w:pPr>
      <w:r w:rsidRPr="00363C0D">
        <w:t>[6]</w:t>
      </w:r>
      <w:r w:rsidRPr="00363C0D">
        <w:tab/>
        <w:t>A. Sorour and A. Atkins, “Developing BI Scorecards for Assessing Higher Education Quality Dashboards Using Human-Computer Interaction Concept: A Case Study,” Cloud Computing and Data Science, pp. 35–53, 2024.</w:t>
      </w:r>
    </w:p>
    <w:p w14:paraId="1E91F55E" w14:textId="77777777" w:rsidR="00363C0D" w:rsidRPr="00363C0D" w:rsidRDefault="00363C0D" w:rsidP="00363C0D">
      <w:pPr>
        <w:ind w:left="540" w:hanging="540"/>
        <w:jc w:val="both"/>
      </w:pPr>
      <w:r w:rsidRPr="00363C0D">
        <w:t>[7]</w:t>
      </w:r>
      <w:r w:rsidRPr="00363C0D">
        <w:tab/>
        <w:t>H. S. Sharma and H. D. Joshi, “Pooling Business Intelligence and Dashboard Technology for Decisions Making in Higher Education Institutions,” Towards Excellence, pp. 36–48, 2022.</w:t>
      </w:r>
    </w:p>
    <w:p w14:paraId="607EC9B9" w14:textId="77777777" w:rsidR="00363C0D" w:rsidRPr="00363C0D" w:rsidRDefault="00363C0D" w:rsidP="00363C0D">
      <w:pPr>
        <w:ind w:left="540" w:hanging="540"/>
        <w:jc w:val="both"/>
      </w:pPr>
      <w:r w:rsidRPr="00363C0D">
        <w:t>[8]</w:t>
      </w:r>
      <w:r w:rsidRPr="00363C0D">
        <w:tab/>
        <w:t>C. L. Stewart and M. A. A. Dewan, “A Systemic Mapping Study of Business Intelligence Maturity Models for Higher Education Institutions,” Computers, vol. 11, no. 11, p. 153, 2022.</w:t>
      </w:r>
    </w:p>
    <w:p w14:paraId="7B0DAF58" w14:textId="77777777" w:rsidR="00363C0D" w:rsidRPr="00363C0D" w:rsidRDefault="00363C0D" w:rsidP="00363C0D">
      <w:pPr>
        <w:ind w:left="540" w:hanging="540"/>
        <w:jc w:val="both"/>
      </w:pPr>
      <w:r w:rsidRPr="00363C0D">
        <w:t>[9]</w:t>
      </w:r>
      <w:r w:rsidRPr="00363C0D">
        <w:tab/>
        <w:t>E. Cardoso and X. Su, “Designing a Business Intelligence and Analytics Maturity Model for Higher Education: A Design Science Approach,” Applied Sciences, vol. 12, no. 9, p. 4625, 2022.</w:t>
      </w:r>
    </w:p>
    <w:p w14:paraId="570CCDCF" w14:textId="77777777" w:rsidR="00363C0D" w:rsidRPr="00363C0D" w:rsidRDefault="00363C0D" w:rsidP="00363C0D">
      <w:pPr>
        <w:ind w:left="540" w:hanging="540"/>
        <w:jc w:val="both"/>
      </w:pPr>
      <w:r w:rsidRPr="00363C0D">
        <w:t>[10]</w:t>
      </w:r>
      <w:r w:rsidRPr="00363C0D">
        <w:tab/>
        <w:t>S. Chaudhuri, U. Dayal, and V. Narasayya, “An overview of business intelligence technology,” Communications of the ACM, vol. 54, no. 8, pp. 88–98, 2011.</w:t>
      </w:r>
    </w:p>
    <w:p w14:paraId="21406E5E" w14:textId="77777777" w:rsidR="00363C0D" w:rsidRPr="00363C0D" w:rsidRDefault="00363C0D" w:rsidP="00363C0D">
      <w:pPr>
        <w:ind w:left="540" w:hanging="540"/>
        <w:jc w:val="both"/>
      </w:pPr>
      <w:r w:rsidRPr="00363C0D">
        <w:t>[11]</w:t>
      </w:r>
      <w:r w:rsidRPr="00363C0D">
        <w:tab/>
        <w:t>L. T. Moss and S. Atre, Business Intelligence Roadmap: The Complete Project Lifecycle for Decision-Support Applications. Addison-Wesley Professional, 2003.</w:t>
      </w:r>
    </w:p>
    <w:p w14:paraId="3FD6E2C4" w14:textId="77777777" w:rsidR="00363C0D" w:rsidRPr="00363C0D" w:rsidRDefault="00363C0D" w:rsidP="00363C0D">
      <w:pPr>
        <w:ind w:left="540" w:hanging="540"/>
        <w:jc w:val="both"/>
      </w:pPr>
      <w:r w:rsidRPr="00363C0D">
        <w:t>[12]</w:t>
      </w:r>
      <w:r w:rsidRPr="00363C0D">
        <w:tab/>
        <w:t>R. Kimball and M. Ross, The Data Warehouse Toolkit: The Definitive Guide to Dimensional Modeling, 3rd ed. John Wiley &amp; Sons, 2013.</w:t>
      </w:r>
    </w:p>
    <w:p w14:paraId="31C65225" w14:textId="77777777" w:rsidR="00363C0D" w:rsidRPr="00363C0D" w:rsidRDefault="00363C0D" w:rsidP="00363C0D">
      <w:pPr>
        <w:ind w:left="540" w:hanging="540"/>
        <w:jc w:val="both"/>
      </w:pPr>
      <w:r w:rsidRPr="00363C0D">
        <w:t>[13]</w:t>
      </w:r>
      <w:r w:rsidRPr="00363C0D">
        <w:tab/>
        <w:t>G. T. Murti and S. Mulyani, “The determinant of business intelligence systems quality on Indonesian higher education information center,” Linguistics and Culture Review, vol. 6, pp. 581–595, 2022.</w:t>
      </w:r>
    </w:p>
    <w:p w14:paraId="204A2039" w14:textId="77777777" w:rsidR="00363C0D" w:rsidRPr="00363C0D" w:rsidRDefault="00363C0D" w:rsidP="00363C0D">
      <w:pPr>
        <w:ind w:left="540" w:hanging="540"/>
        <w:jc w:val="both"/>
      </w:pPr>
      <w:r w:rsidRPr="00363C0D">
        <w:t>[14]</w:t>
      </w:r>
      <w:r w:rsidRPr="00363C0D">
        <w:tab/>
        <w:t>G. Mellyka, I. Islamiyah, and P. P. Widagdo, “Penerapan Business Intelligence dalam Dashboard Data Alumni Universitas Mulawarman,” Jutisi: Jurnal Ilmiah Teknik Informatika dan Sistem Informasi, vol. 14, no. 1, p. 189, 2025.</w:t>
      </w:r>
    </w:p>
    <w:p w14:paraId="56C2E8D2" w14:textId="77777777" w:rsidR="00363C0D" w:rsidRPr="00363C0D" w:rsidRDefault="00363C0D" w:rsidP="00363C0D">
      <w:pPr>
        <w:ind w:left="540" w:hanging="540"/>
        <w:jc w:val="both"/>
      </w:pPr>
      <w:r w:rsidRPr="00363C0D">
        <w:t>[15]</w:t>
      </w:r>
      <w:r w:rsidRPr="00363C0D">
        <w:tab/>
        <w:t>F. N. Hasan, “Implementasi Sistem Business Intelligence Untuk Data Penelitian di Perguruan Tinggi,” Prosiding Seminar Nasional Teknoka, vol. 4, pp. I1–I10, 2019.</w:t>
      </w:r>
    </w:p>
    <w:p w14:paraId="0E6AB063" w14:textId="77777777" w:rsidR="00363C0D" w:rsidRPr="00363C0D" w:rsidRDefault="00363C0D" w:rsidP="00363C0D">
      <w:pPr>
        <w:ind w:left="540" w:hanging="540"/>
        <w:jc w:val="both"/>
      </w:pPr>
      <w:r w:rsidRPr="00363C0D">
        <w:t>[16]</w:t>
      </w:r>
      <w:r w:rsidRPr="00363C0D">
        <w:tab/>
        <w:t xml:space="preserve">A. Ady Bakri et al., “The Evaluation of PDDIKTI User Acceptance Using </w:t>
      </w:r>
      <w:proofErr w:type="gramStart"/>
      <w:r w:rsidRPr="00363C0D">
        <w:t>The</w:t>
      </w:r>
      <w:proofErr w:type="gramEnd"/>
      <w:r w:rsidRPr="00363C0D">
        <w:t xml:space="preserve"> Unified Theory of Acceptance and Use of Technology Approach,” Jurnal Informasi dan Teknologi, vol. 5, no. 3, pp. 31–35, 2023.</w:t>
      </w:r>
    </w:p>
    <w:p w14:paraId="2DFD6F40" w14:textId="77777777" w:rsidR="00363C0D" w:rsidRPr="00363C0D" w:rsidRDefault="00363C0D" w:rsidP="00363C0D">
      <w:pPr>
        <w:ind w:left="540" w:hanging="540"/>
        <w:jc w:val="both"/>
        <w:rPr>
          <w:lang w:val="sv-SE"/>
        </w:rPr>
      </w:pPr>
      <w:r w:rsidRPr="00363C0D">
        <w:rPr>
          <w:lang w:val="sv-SE"/>
        </w:rPr>
        <w:t>[17]</w:t>
      </w:r>
      <w:r w:rsidRPr="00363C0D">
        <w:rPr>
          <w:lang w:val="sv-SE"/>
        </w:rPr>
        <w:tab/>
        <w:t>R. A. Pradipta, P. B. Wintoro, and D. Budiyanto, “Perancangan Pemodelan Basis Data Sistem Informasi Secara Konseptual dan Logikal,” Jurnal Informatika dan Teknik Elektro Terapan (JITET), vol. 10, no. 2, 2022.</w:t>
      </w:r>
    </w:p>
    <w:p w14:paraId="1B0DE9C3" w14:textId="77777777" w:rsidR="000A7EF1" w:rsidRPr="00A51909" w:rsidRDefault="000A7EF1">
      <w:pPr>
        <w:pBdr>
          <w:top w:val="nil"/>
          <w:left w:val="nil"/>
          <w:bottom w:val="nil"/>
          <w:right w:val="nil"/>
          <w:between w:val="nil"/>
        </w:pBdr>
        <w:tabs>
          <w:tab w:val="left" w:pos="567"/>
        </w:tabs>
        <w:jc w:val="both"/>
        <w:rPr>
          <w:rFonts w:ascii="Times New Roman" w:eastAsia="Times New Roman" w:hAnsi="Times New Roman" w:cs="Times New Roman"/>
          <w:color w:val="000000"/>
          <w:lang w:val="sv-SE"/>
        </w:rPr>
      </w:pPr>
    </w:p>
    <w:sectPr w:rsidR="000A7EF1" w:rsidRPr="00A51909">
      <w:type w:val="continuous"/>
      <w:pgSz w:w="11907" w:h="16840"/>
      <w:pgMar w:top="1985" w:right="1418" w:bottom="1418" w:left="1418" w:header="1020" w:footer="794" w:gutter="0"/>
      <w:cols w:num="2" w:space="720" w:equalWidth="0">
        <w:col w:w="4175" w:space="720"/>
        <w:col w:w="4175"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D1926" w14:textId="77777777" w:rsidR="001850BA" w:rsidRDefault="001850BA">
      <w:r>
        <w:separator/>
      </w:r>
    </w:p>
  </w:endnote>
  <w:endnote w:type="continuationSeparator" w:id="0">
    <w:p w14:paraId="298CC9AD" w14:textId="77777777" w:rsidR="001850BA" w:rsidRDefault="00185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539B76EC-4E22-4BB9-98F4-92EB458E78D5}"/>
    <w:embedBold r:id="rId2" w:fontKey="{42E9A51C-BB46-4912-B0A5-26AD94EB458B}"/>
    <w:embedItalic r:id="rId3" w:fontKey="{55F753FF-81F1-48A1-BED9-947257808780}"/>
    <w:embedBoldItalic r:id="rId4" w:fontKey="{BBC0EF93-0A38-4FF2-B628-3C1AA194AF29}"/>
  </w:font>
  <w:font w:name="Sabon">
    <w:altName w:val="Cambria"/>
    <w:panose1 w:val="00000000000000000000"/>
    <w:charset w:val="00"/>
    <w:family w:val="roman"/>
    <w:notTrueType/>
    <w:pitch w:val="default"/>
  </w:font>
  <w:font w:name="Minion Pr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87295E3A-62BD-4E69-ADDD-8F18073B11CE}"/>
    <w:embedBold r:id="rId6" w:fontKey="{27F8F549-58D7-4360-B800-8F3E95B3979A}"/>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embedRegular r:id="rId7" w:fontKey="{68E35A1B-8ADC-45BF-A057-D2BE54528FBE}"/>
    <w:embedBold r:id="rId8" w:fontKey="{3C33CF4C-5DC3-48E9-8A9B-AA6D22EB8436}"/>
  </w:font>
  <w:font w:name="Tahoma">
    <w:panose1 w:val="020B0604030504040204"/>
    <w:charset w:val="00"/>
    <w:family w:val="swiss"/>
    <w:pitch w:val="variable"/>
    <w:sig w:usb0="E1002EFF" w:usb1="C000605B" w:usb2="00000029" w:usb3="00000000" w:csb0="000101FF" w:csb1="00000000"/>
    <w:embedRegular r:id="rId9" w:fontKey="{1F18C047-0FA1-4AA7-902E-2DF57E959FD1}"/>
  </w:font>
  <w:font w:name="Georgia">
    <w:panose1 w:val="02040502050405020303"/>
    <w:charset w:val="00"/>
    <w:family w:val="roman"/>
    <w:pitch w:val="variable"/>
    <w:sig w:usb0="00000287" w:usb1="00000000" w:usb2="00000000" w:usb3="00000000" w:csb0="0000009F" w:csb1="00000000"/>
    <w:embedItalic r:id="rId10" w:fontKey="{2C0F01F7-AC28-4F36-8B57-8DD08AA63E02}"/>
  </w:font>
  <w:font w:name="Calibri">
    <w:panose1 w:val="020F0502020204030204"/>
    <w:charset w:val="00"/>
    <w:family w:val="swiss"/>
    <w:pitch w:val="variable"/>
    <w:sig w:usb0="E4002EFF" w:usb1="C200247B" w:usb2="00000009" w:usb3="00000000" w:csb0="000001FF" w:csb1="00000000"/>
    <w:embedRegular r:id="rId11" w:fontKey="{CBBE49F9-FC50-4D32-B1E3-3129C1A38F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A97E" w14:textId="77777777" w:rsidR="000A7EF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A51909">
      <w:rPr>
        <w:rFonts w:ascii="EB Garamond" w:hAnsi="EB Garamond"/>
        <w:noProof/>
        <w:color w:val="000000"/>
        <w:sz w:val="14"/>
        <w:szCs w:val="14"/>
      </w:rPr>
      <w:t>2</w:t>
    </w:r>
    <w:r>
      <w:rPr>
        <w:rFonts w:ascii="EB Garamond" w:hAnsi="EB Garamond"/>
        <w:color w:val="000000"/>
        <w:sz w:val="14"/>
        <w:szCs w:val="14"/>
      </w:rPr>
      <w:fldChar w:fldCharType="end"/>
    </w:r>
    <w:r>
      <w:rPr>
        <w:rFonts w:ascii="EB Garamond" w:hAnsi="EB Garamond"/>
        <w:color w:val="00000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DAA6" w14:textId="220CC512" w:rsidR="000A7EF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A51909">
      <w:rPr>
        <w:rFonts w:ascii="EB Garamond" w:hAnsi="EB Garamond"/>
        <w:noProof/>
        <w:color w:val="000000"/>
        <w:sz w:val="14"/>
        <w:szCs w:val="14"/>
      </w:rPr>
      <w:t>3</w:t>
    </w:r>
    <w:r>
      <w:rPr>
        <w:rFonts w:ascii="EB Garamond" w:hAnsi="EB Garamond"/>
        <w:color w:val="000000"/>
        <w:sz w:val="14"/>
        <w:szCs w:val="14"/>
      </w:rPr>
      <w:fldChar w:fldCharType="end"/>
    </w:r>
    <w:r>
      <w:rPr>
        <w:rFonts w:ascii="EB Garamond" w:hAnsi="EB Garamond"/>
        <w:color w:val="00000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6E58" w14:textId="77777777" w:rsidR="000A7EF1" w:rsidRDefault="00000000">
    <w:pPr>
      <w:pBdr>
        <w:top w:val="nil"/>
        <w:left w:val="nil"/>
        <w:bottom w:val="nil"/>
        <w:right w:val="nil"/>
        <w:between w:val="nil"/>
      </w:pBdr>
      <w:tabs>
        <w:tab w:val="center" w:pos="4320"/>
        <w:tab w:val="right" w:pos="8640"/>
        <w:tab w:val="center" w:pos="4535"/>
        <w:tab w:val="right" w:pos="9071"/>
      </w:tabs>
      <w:jc w:val="center"/>
      <w:rPr>
        <w:rFonts w:ascii="Calibri" w:eastAsia="Calibri" w:hAnsi="Calibri" w:cs="Calibri"/>
        <w:color w:val="000000"/>
      </w:rPr>
    </w:pPr>
    <w:r>
      <w:rPr>
        <w:rFonts w:ascii="EB Garamond" w:hAnsi="EB Garamond"/>
        <w:color w:val="000000"/>
      </w:rPr>
      <w:tab/>
      <w:t xml:space="preserve"> </w:t>
    </w:r>
    <w:r>
      <w:rPr>
        <w:rFonts w:ascii="EB Garamond" w:hAnsi="EB Garamond"/>
        <w:color w:val="000000"/>
        <w:sz w:val="14"/>
        <w:szCs w:val="14"/>
      </w:rPr>
      <w:fldChar w:fldCharType="begin"/>
    </w:r>
    <w:r>
      <w:rPr>
        <w:rFonts w:ascii="EB Garamond" w:hAnsi="EB Garamond"/>
        <w:color w:val="000000"/>
        <w:sz w:val="14"/>
        <w:szCs w:val="14"/>
      </w:rPr>
      <w:instrText>PAGE</w:instrText>
    </w:r>
    <w:r>
      <w:rPr>
        <w:rFonts w:ascii="EB Garamond" w:hAnsi="EB Garamond"/>
        <w:color w:val="000000"/>
        <w:sz w:val="14"/>
        <w:szCs w:val="14"/>
      </w:rPr>
      <w:fldChar w:fldCharType="separate"/>
    </w:r>
    <w:r w:rsidR="00A51909">
      <w:rPr>
        <w:rFonts w:ascii="EB Garamond" w:hAnsi="EB Garamond"/>
        <w:noProof/>
        <w:color w:val="000000"/>
        <w:sz w:val="14"/>
        <w:szCs w:val="14"/>
      </w:rPr>
      <w:t>1</w:t>
    </w:r>
    <w:r>
      <w:rPr>
        <w:rFonts w:ascii="EB Garamond" w:hAnsi="EB Garamond"/>
        <w:color w:val="000000"/>
        <w:sz w:val="14"/>
        <w:szCs w:val="14"/>
      </w:rPr>
      <w:fldChar w:fldCharType="end"/>
    </w:r>
    <w:r>
      <w:rPr>
        <w:rFonts w:ascii="EB Garamond" w:hAnsi="EB Garamond"/>
        <w:color w:val="000000"/>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B6EBA" w14:textId="77777777" w:rsidR="001850BA" w:rsidRDefault="001850BA">
      <w:r>
        <w:separator/>
      </w:r>
    </w:p>
  </w:footnote>
  <w:footnote w:type="continuationSeparator" w:id="0">
    <w:p w14:paraId="4262C59A" w14:textId="77777777" w:rsidR="001850BA" w:rsidRDefault="00185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8AA6" w14:textId="77777777" w:rsidR="000A7EF1" w:rsidRDefault="000A7EF1">
    <w:pPr>
      <w:pBdr>
        <w:top w:val="nil"/>
        <w:left w:val="nil"/>
        <w:bottom w:val="single" w:sz="4" w:space="1" w:color="000000"/>
        <w:right w:val="nil"/>
        <w:between w:val="nil"/>
      </w:pBdr>
      <w:tabs>
        <w:tab w:val="center" w:pos="4513"/>
        <w:tab w:val="right" w:pos="9026"/>
        <w:tab w:val="right" w:pos="9071"/>
      </w:tabs>
      <w:rPr>
        <w:rFonts w:ascii="EB Garamond" w:hAnsi="EB Garamond"/>
        <w:color w:val="000000"/>
      </w:rPr>
    </w:pPr>
  </w:p>
  <w:p w14:paraId="2515DA0C" w14:textId="77777777" w:rsidR="000A7EF1" w:rsidRPr="00A51909"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lang w:val="sv-SE"/>
      </w:rPr>
    </w:pPr>
    <w:r w:rsidRPr="00A51909">
      <w:rPr>
        <w:rFonts w:ascii="EB Garamond" w:hAnsi="EB Garamond"/>
        <w:color w:val="000000"/>
        <w:lang w:val="sv-SE"/>
      </w:rPr>
      <w:t>JITET (Jurnal Informatika dan Teknik Elektro Terapan)</w:t>
    </w:r>
    <w:r w:rsidRPr="00A51909">
      <w:rPr>
        <w:rFonts w:ascii="EB Garamond" w:hAnsi="EB Garamond"/>
        <w:b/>
        <w:bCs/>
        <w:color w:val="000000"/>
        <w:lang w:val="sv-SE"/>
      </w:rPr>
      <w:t xml:space="preserve"> XX</w:t>
    </w:r>
    <w:r w:rsidRPr="00A51909">
      <w:rPr>
        <w:rFonts w:ascii="EB Garamond" w:hAnsi="EB Garamond"/>
        <w:color w:val="000000"/>
        <w:lang w:val="sv-SE"/>
      </w:rPr>
      <w:t xml:space="preserve"> (XXXX) XXXXXX</w:t>
    </w:r>
    <w:r w:rsidRPr="00A51909">
      <w:rPr>
        <w:rFonts w:ascii="EB Garamond" w:hAnsi="EB Garamond"/>
        <w:color w:val="000000"/>
        <w:lang w:val="sv-SE"/>
      </w:rPr>
      <w:tab/>
      <w:t xml:space="preserve"> Author </w:t>
    </w:r>
    <w:r w:rsidRPr="00A51909">
      <w:rPr>
        <w:rFonts w:ascii="EB Garamond" w:hAnsi="EB Garamond"/>
        <w:i/>
        <w:iCs/>
        <w:color w:val="000000"/>
        <w:lang w:val="sv-SE"/>
      </w:rPr>
      <w:t>et al</w:t>
    </w:r>
    <w:r w:rsidRPr="00A51909">
      <w:rPr>
        <w:rFonts w:ascii="EB Garamond" w:hAnsi="EB Garamond"/>
        <w:color w:val="000000"/>
        <w:lang w:val="sv-S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21FE" w14:textId="77777777" w:rsidR="000A7EF1" w:rsidRDefault="000A7EF1"/>
  <w:p w14:paraId="75BDAAA4" w14:textId="77777777" w:rsidR="000A7EF1" w:rsidRPr="00A51909"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lang w:val="sv-SE"/>
      </w:rPr>
    </w:pPr>
    <w:r w:rsidRPr="00A51909">
      <w:rPr>
        <w:rFonts w:ascii="EB Garamond" w:hAnsi="EB Garamond"/>
        <w:color w:val="000000"/>
        <w:lang w:val="sv-SE"/>
      </w:rPr>
      <w:t>JITET (Jurnal Informatika dan Teknik Elektro Terapan)</w:t>
    </w:r>
    <w:r w:rsidRPr="00A51909">
      <w:rPr>
        <w:rFonts w:ascii="EB Garamond" w:hAnsi="EB Garamond"/>
        <w:b/>
        <w:bCs/>
        <w:color w:val="000000"/>
        <w:lang w:val="sv-SE"/>
      </w:rPr>
      <w:t xml:space="preserve"> XX</w:t>
    </w:r>
    <w:r w:rsidRPr="00A51909">
      <w:rPr>
        <w:rFonts w:ascii="EB Garamond" w:hAnsi="EB Garamond"/>
        <w:color w:val="000000"/>
        <w:lang w:val="sv-SE"/>
      </w:rPr>
      <w:t xml:space="preserve"> (XXXX) XXXXXX</w:t>
    </w:r>
    <w:r w:rsidRPr="00A51909">
      <w:rPr>
        <w:rFonts w:ascii="EB Garamond" w:hAnsi="EB Garamond"/>
        <w:color w:val="000000"/>
        <w:lang w:val="sv-SE"/>
      </w:rPr>
      <w:tab/>
      <w:t xml:space="preserve"> Author </w:t>
    </w:r>
    <w:r w:rsidRPr="00A51909">
      <w:rPr>
        <w:rFonts w:ascii="EB Garamond" w:hAnsi="EB Garamond"/>
        <w:i/>
        <w:iCs/>
        <w:color w:val="000000"/>
        <w:lang w:val="sv-SE"/>
      </w:rPr>
      <w:t>et al</w:t>
    </w:r>
    <w:r w:rsidRPr="00A51909">
      <w:rPr>
        <w:rFonts w:ascii="EB Garamond" w:hAnsi="EB Garamond"/>
        <w:color w:val="000000"/>
        <w:lang w:val="sv-S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B37F" w14:textId="77777777" w:rsidR="000A7EF1" w:rsidRPr="00A51909" w:rsidRDefault="00000000">
    <w:pPr>
      <w:pBdr>
        <w:top w:val="nil"/>
        <w:left w:val="nil"/>
        <w:bottom w:val="single" w:sz="4" w:space="1" w:color="000000"/>
        <w:right w:val="nil"/>
        <w:between w:val="nil"/>
      </w:pBdr>
      <w:tabs>
        <w:tab w:val="center" w:pos="4513"/>
        <w:tab w:val="right" w:pos="9026"/>
        <w:tab w:val="right" w:pos="9071"/>
      </w:tabs>
      <w:rPr>
        <w:rFonts w:ascii="Calibri" w:eastAsia="Calibri" w:hAnsi="Calibri" w:cs="Calibri"/>
        <w:color w:val="000000"/>
        <w:lang w:val="sv-SE"/>
      </w:rPr>
    </w:pPr>
    <w:r w:rsidRPr="00A51909">
      <w:rPr>
        <w:rFonts w:ascii="EB Garamond" w:hAnsi="EB Garamond"/>
        <w:color w:val="000000"/>
        <w:lang w:val="sv-SE"/>
      </w:rPr>
      <w:t>JITET (Jurnal Informatika dan Teknik Elektro Terapan)</w:t>
    </w:r>
    <w:r w:rsidRPr="00A51909">
      <w:rPr>
        <w:rFonts w:ascii="EB Garamond" w:hAnsi="EB Garamond"/>
        <w:color w:val="000000"/>
        <w:lang w:val="sv-SE"/>
      </w:rPr>
      <w:tab/>
    </w:r>
    <w:r>
      <w:rPr>
        <w:noProof/>
      </w:rPr>
      <w:drawing>
        <wp:anchor distT="0" distB="0" distL="114300" distR="114300" simplePos="0" relativeHeight="251658240" behindDoc="0" locked="0" layoutInCell="1" hidden="0" allowOverlap="1" wp14:anchorId="69C560EF" wp14:editId="5424A9C2">
          <wp:simplePos x="0" y="0"/>
          <wp:positionH relativeFrom="column">
            <wp:posOffset>3526790</wp:posOffset>
          </wp:positionH>
          <wp:positionV relativeFrom="paragraph">
            <wp:posOffset>-220977</wp:posOffset>
          </wp:positionV>
          <wp:extent cx="2702659" cy="380830"/>
          <wp:effectExtent l="0" t="0" r="0" b="0"/>
          <wp:wrapNone/>
          <wp:docPr id="9277420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02659" cy="380830"/>
                  </a:xfrm>
                  <a:prstGeom prst="rect">
                    <a:avLst/>
                  </a:prstGeom>
                  <a:ln/>
                </pic:spPr>
              </pic:pic>
            </a:graphicData>
          </a:graphic>
        </wp:anchor>
      </w:drawing>
    </w:r>
  </w:p>
  <w:p w14:paraId="761CE53A" w14:textId="77777777" w:rsidR="000A7EF1" w:rsidRDefault="00000000">
    <w:pPr>
      <w:tabs>
        <w:tab w:val="right" w:pos="9071"/>
      </w:tabs>
    </w:pPr>
    <w:r>
      <w:t>Vol. xx No. xx, xxxxxx xxx (xxx-xxx)</w:t>
    </w:r>
    <w:r>
      <w:tab/>
      <w:t>https://doi.org/10.23960/jitet</w:t>
    </w:r>
  </w:p>
  <w:p w14:paraId="4D92D6F5" w14:textId="77777777" w:rsidR="000A7EF1" w:rsidRDefault="000A7E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8F0C862"/>
    <w:lvl w:ilvl="0">
      <w:start w:val="1"/>
      <w:numFmt w:val="decimal"/>
      <w:lvlText w:val="%1."/>
      <w:lvlJc w:val="left"/>
      <w:pPr>
        <w:tabs>
          <w:tab w:val="num" w:pos="1209"/>
        </w:tabs>
        <w:ind w:left="1209" w:hanging="360"/>
      </w:pPr>
    </w:lvl>
  </w:abstractNum>
  <w:abstractNum w:abstractNumId="1" w15:restartNumberingAfterBreak="0">
    <w:nsid w:val="01055C2A"/>
    <w:multiLevelType w:val="multilevel"/>
    <w:tmpl w:val="2A02DB7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i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FB9755B"/>
    <w:multiLevelType w:val="multilevel"/>
    <w:tmpl w:val="08308FFE"/>
    <w:lvl w:ilvl="0">
      <w:start w:val="1"/>
      <w:numFmt w:val="lowerLetter"/>
      <w:pStyle w:val="ListNumber4"/>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65110EDA"/>
    <w:multiLevelType w:val="hybridMultilevel"/>
    <w:tmpl w:val="C4544DF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A494C78"/>
    <w:multiLevelType w:val="multilevel"/>
    <w:tmpl w:val="0380922C"/>
    <w:lvl w:ilvl="0">
      <w:start w:val="1"/>
      <w:numFmt w:val="decimal"/>
      <w:lvlText w:val="%1."/>
      <w:lvlJc w:val="left"/>
      <w:pPr>
        <w:ind w:left="0" w:firstLine="0"/>
      </w:pPr>
      <w:rPr>
        <w:sz w:val="22"/>
        <w:szCs w:val="22"/>
      </w:rPr>
    </w:lvl>
    <w:lvl w:ilvl="1">
      <w:start w:val="1"/>
      <w:numFmt w:val="decimal"/>
      <w:lvlText w:val="%1.%2."/>
      <w:lvlJc w:val="left"/>
      <w:pPr>
        <w:ind w:left="0" w:firstLine="0"/>
      </w:pPr>
    </w:lvl>
    <w:lvl w:ilvl="2">
      <w:start w:val="1"/>
      <w:numFmt w:val="decimal"/>
      <w:lvlText w:val="%1.%2.%3."/>
      <w:lvlJc w:val="left"/>
      <w:pPr>
        <w:ind w:left="993" w:hanging="851"/>
      </w:pPr>
      <w:rPr>
        <w:i/>
        <w:iC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E734CEB"/>
    <w:multiLevelType w:val="multilevel"/>
    <w:tmpl w:val="373ED01A"/>
    <w:lvl w:ilvl="0">
      <w:start w:val="1"/>
      <w:numFmt w:val="bullet"/>
      <w:pStyle w:val="ListBullet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9617979">
    <w:abstractNumId w:val="4"/>
  </w:num>
  <w:num w:numId="2" w16cid:durableId="514149902">
    <w:abstractNumId w:val="2"/>
  </w:num>
  <w:num w:numId="3" w16cid:durableId="793912612">
    <w:abstractNumId w:val="5"/>
  </w:num>
  <w:num w:numId="4" w16cid:durableId="623193707">
    <w:abstractNumId w:val="1"/>
  </w:num>
  <w:num w:numId="5" w16cid:durableId="125323164">
    <w:abstractNumId w:val="3"/>
  </w:num>
  <w:num w:numId="6" w16cid:durableId="1170216798">
    <w:abstractNumId w:val="0"/>
  </w:num>
  <w:num w:numId="7" w16cid:durableId="159790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EF1"/>
    <w:rsid w:val="00043FF5"/>
    <w:rsid w:val="000A1035"/>
    <w:rsid w:val="000A5188"/>
    <w:rsid w:val="000A7EF1"/>
    <w:rsid w:val="000E759F"/>
    <w:rsid w:val="001850BA"/>
    <w:rsid w:val="001F17EB"/>
    <w:rsid w:val="0022475D"/>
    <w:rsid w:val="00235EF9"/>
    <w:rsid w:val="00340999"/>
    <w:rsid w:val="00363C0D"/>
    <w:rsid w:val="00375BCD"/>
    <w:rsid w:val="00387179"/>
    <w:rsid w:val="003E12B9"/>
    <w:rsid w:val="003F1162"/>
    <w:rsid w:val="00437506"/>
    <w:rsid w:val="004429D6"/>
    <w:rsid w:val="006461C5"/>
    <w:rsid w:val="006508B4"/>
    <w:rsid w:val="006C3CEE"/>
    <w:rsid w:val="007103A0"/>
    <w:rsid w:val="008248DA"/>
    <w:rsid w:val="00851E61"/>
    <w:rsid w:val="00906EAA"/>
    <w:rsid w:val="0091185E"/>
    <w:rsid w:val="009129C9"/>
    <w:rsid w:val="00936800"/>
    <w:rsid w:val="009B3F18"/>
    <w:rsid w:val="00A30BAB"/>
    <w:rsid w:val="00A51909"/>
    <w:rsid w:val="00A84F00"/>
    <w:rsid w:val="00AD6F2F"/>
    <w:rsid w:val="00B03503"/>
    <w:rsid w:val="00C175C5"/>
    <w:rsid w:val="00C2685D"/>
    <w:rsid w:val="00C42E6F"/>
    <w:rsid w:val="00CB1937"/>
    <w:rsid w:val="00CF1691"/>
    <w:rsid w:val="00CF2D28"/>
    <w:rsid w:val="00D63C04"/>
    <w:rsid w:val="00DB64CC"/>
    <w:rsid w:val="00DF5F2A"/>
    <w:rsid w:val="00E731A5"/>
    <w:rsid w:val="00E96021"/>
    <w:rsid w:val="00ED625D"/>
    <w:rsid w:val="00F71C1A"/>
    <w:rsid w:val="00FC30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096F9"/>
  <w15:docId w15:val="{85BAC21E-CE4D-49A4-BEFB-2A1BAB36F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sz w:val="22"/>
        <w:szCs w:val="22"/>
        <w:lang w:val="en-GB"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25D"/>
    <w:rPr>
      <w:rFonts w:ascii="Sabon" w:hAnsi="Sabon"/>
    </w:rPr>
  </w:style>
  <w:style w:type="paragraph" w:styleId="Heading1">
    <w:name w:val="heading 1"/>
    <w:aliases w:val="Section"/>
    <w:basedOn w:val="Normal"/>
    <w:next w:val="Normal"/>
    <w:uiPriority w:val="9"/>
    <w:qFormat/>
    <w:rsid w:val="00005136"/>
    <w:pPr>
      <w:numPr>
        <w:numId w:val="4"/>
      </w:numPr>
      <w:tabs>
        <w:tab w:val="left" w:pos="567"/>
      </w:tabs>
      <w:spacing w:before="240"/>
      <w:outlineLvl w:val="0"/>
    </w:pPr>
    <w:rPr>
      <w:rFonts w:ascii="Minion Pro" w:hAnsi="Minion Pro"/>
      <w:b/>
      <w:color w:val="000000"/>
    </w:rPr>
  </w:style>
  <w:style w:type="paragraph" w:styleId="Heading2">
    <w:name w:val="heading 2"/>
    <w:aliases w:val="Subsection"/>
    <w:basedOn w:val="Heading1"/>
    <w:next w:val="Normal"/>
    <w:uiPriority w:val="9"/>
    <w:unhideWhenUsed/>
    <w:qFormat/>
    <w:rsid w:val="00C175C5"/>
    <w:pPr>
      <w:numPr>
        <w:ilvl w:val="1"/>
      </w:numPr>
      <w:outlineLvl w:val="1"/>
    </w:pPr>
    <w:rPr>
      <w:i/>
      <w:iCs/>
    </w:rPr>
  </w:style>
  <w:style w:type="paragraph" w:styleId="Heading3">
    <w:name w:val="heading 3"/>
    <w:aliases w:val="Subsubsection"/>
    <w:basedOn w:val="Normal"/>
    <w:next w:val="Normal"/>
    <w:uiPriority w:val="9"/>
    <w:unhideWhenUsed/>
    <w:qFormat/>
    <w:rsid w:val="00844311"/>
    <w:pPr>
      <w:numPr>
        <w:ilvl w:val="2"/>
        <w:numId w:val="4"/>
      </w:numPr>
      <w:tabs>
        <w:tab w:val="left" w:pos="567"/>
      </w:tabs>
      <w:jc w:val="both"/>
      <w:outlineLvl w:val="2"/>
    </w:pPr>
    <w:rPr>
      <w:rFonts w:ascii="Minion Pro" w:hAnsi="Minion Pro"/>
      <w:b/>
      <w:i/>
      <w:iCs/>
      <w:color w:val="000000"/>
      <w:lang w:val="en-US"/>
    </w:rPr>
  </w:style>
  <w:style w:type="paragraph" w:styleId="Heading4">
    <w:name w:val="heading 4"/>
    <w:basedOn w:val="Normal"/>
    <w:next w:val="Normal"/>
    <w:uiPriority w:val="9"/>
    <w:semiHidden/>
    <w:unhideWhenUsed/>
    <w:qFormat/>
    <w:pPr>
      <w:keepNext/>
      <w:numPr>
        <w:ilvl w:val="3"/>
        <w:numId w:val="4"/>
      </w:numPr>
      <w:tabs>
        <w:tab w:val="left" w:pos="864"/>
      </w:tabs>
      <w:spacing w:before="240" w:after="60"/>
      <w:outlineLvl w:val="3"/>
    </w:pPr>
    <w:rPr>
      <w:rFonts w:ascii="Times New Roman" w:hAnsi="Times New Roman"/>
      <w:b/>
      <w:bCs/>
      <w:sz w:val="28"/>
      <w:szCs w:val="28"/>
    </w:rPr>
  </w:style>
  <w:style w:type="paragraph" w:styleId="Heading5">
    <w:name w:val="heading 5"/>
    <w:basedOn w:val="Normal"/>
    <w:next w:val="Normal"/>
    <w:uiPriority w:val="9"/>
    <w:semiHidden/>
    <w:unhideWhenUsed/>
    <w:qFormat/>
    <w:pPr>
      <w:numPr>
        <w:ilvl w:val="4"/>
        <w:numId w:val="4"/>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4"/>
      </w:numPr>
      <w:tabs>
        <w:tab w:val="left" w:pos="1152"/>
      </w:tabs>
      <w:spacing w:before="240" w:after="60"/>
      <w:outlineLvl w:val="5"/>
    </w:pPr>
    <w:rPr>
      <w:rFonts w:ascii="Times New Roman" w:hAnsi="Times New Roman"/>
      <w:b/>
      <w:bCs/>
    </w:rPr>
  </w:style>
  <w:style w:type="paragraph" w:styleId="Heading7">
    <w:name w:val="heading 7"/>
    <w:basedOn w:val="Normal"/>
    <w:next w:val="Normal"/>
    <w:pPr>
      <w:numPr>
        <w:ilvl w:val="6"/>
        <w:numId w:val="4"/>
      </w:numPr>
      <w:tabs>
        <w:tab w:val="left" w:pos="1296"/>
      </w:tabs>
      <w:spacing w:before="240" w:after="60"/>
      <w:outlineLvl w:val="6"/>
    </w:pPr>
    <w:rPr>
      <w:rFonts w:ascii="Times New Roman" w:hAnsi="Times New Roman"/>
      <w:sz w:val="24"/>
      <w:szCs w:val="24"/>
    </w:rPr>
  </w:style>
  <w:style w:type="paragraph" w:styleId="Heading8">
    <w:name w:val="heading 8"/>
    <w:basedOn w:val="Normal"/>
    <w:next w:val="Normal"/>
    <w:pPr>
      <w:numPr>
        <w:ilvl w:val="7"/>
        <w:numId w:val="4"/>
      </w:numPr>
      <w:tabs>
        <w:tab w:val="left" w:pos="1440"/>
      </w:tabs>
      <w:spacing w:before="240" w:after="60"/>
      <w:outlineLvl w:val="7"/>
    </w:pPr>
    <w:rPr>
      <w:rFonts w:ascii="Times New Roman" w:hAnsi="Times New Roman"/>
      <w:i/>
      <w:iCs/>
      <w:sz w:val="24"/>
      <w:szCs w:val="24"/>
    </w:rPr>
  </w:style>
  <w:style w:type="paragraph" w:styleId="Heading9">
    <w:name w:val="heading 9"/>
    <w:basedOn w:val="Normal"/>
    <w:next w:val="Normal"/>
    <w:pPr>
      <w:numPr>
        <w:ilvl w:val="8"/>
        <w:numId w:val="4"/>
      </w:numPr>
      <w:tabs>
        <w:tab w:val="left" w:pos="1584"/>
      </w:tabs>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91EEA"/>
    <w:pPr>
      <w:spacing w:before="240" w:after="60"/>
      <w:jc w:val="center"/>
      <w:outlineLvl w:val="0"/>
    </w:pPr>
    <w:rPr>
      <w:rFonts w:ascii="Calibri Light" w:hAnsi="Calibri Light"/>
      <w:b/>
      <w:bCs/>
      <w:kern w:val="28"/>
      <w:sz w:val="32"/>
      <w:szCs w:val="32"/>
    </w:rPr>
  </w:style>
  <w:style w:type="character" w:styleId="LineNumber">
    <w:name w:val="line number"/>
    <w:basedOn w:val="DefaultParagraphFont"/>
    <w:semiHidden/>
  </w:style>
  <w:style w:type="character" w:styleId="FollowedHyperlink">
    <w:name w:val="FollowedHyperlink"/>
    <w:semiHidden/>
    <w:rPr>
      <w:color w:val="800080"/>
      <w:u w:val="single"/>
    </w:rPr>
  </w:style>
  <w:style w:type="character" w:styleId="HTMLSample">
    <w:name w:val="HTML Sample"/>
    <w:semiHidden/>
    <w:rPr>
      <w:rFonts w:ascii="Courier New" w:hAnsi="Courier New" w:cs="Courier New"/>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character" w:styleId="PageNumber">
    <w:name w:val="page number"/>
    <w:basedOn w:val="DefaultParagraphFont"/>
    <w:semiHidden/>
  </w:style>
  <w:style w:type="character" w:styleId="HTMLAcronym">
    <w:name w:val="HTML Acronym"/>
    <w:basedOn w:val="DefaultParagraphFont"/>
    <w:semiHidden/>
  </w:style>
  <w:style w:type="character" w:styleId="EndnoteReference">
    <w:name w:val="endnote reference"/>
    <w:semiHidden/>
    <w:rPr>
      <w:vertAlign w:val="superscript"/>
    </w:rPr>
  </w:style>
  <w:style w:type="character" w:styleId="CommentReference">
    <w:name w:val="annotation reference"/>
    <w:semiHidden/>
    <w:rPr>
      <w:sz w:val="16"/>
      <w:szCs w:val="16"/>
    </w:rPr>
  </w:style>
  <w:style w:type="character" w:styleId="HTMLVariable">
    <w:name w:val="HTML Variable"/>
    <w:semiHidden/>
    <w:rPr>
      <w:i/>
      <w:iCs/>
    </w:rPr>
  </w:style>
  <w:style w:type="character" w:styleId="HTMLTypewriter">
    <w:name w:val="HTML Typewriter"/>
    <w:semiHidden/>
    <w:rPr>
      <w:rFonts w:ascii="Courier New" w:hAnsi="Courier New" w:cs="Courier New"/>
      <w:sz w:val="20"/>
      <w:szCs w:val="20"/>
    </w:rPr>
  </w:style>
  <w:style w:type="character" w:styleId="HTMLCode">
    <w:name w:val="HTML Code"/>
    <w:semiHidden/>
    <w:rPr>
      <w:rFonts w:ascii="Courier New" w:hAnsi="Courier New" w:cs="Courier New"/>
      <w:sz w:val="20"/>
      <w:szCs w:val="20"/>
    </w:rPr>
  </w:style>
  <w:style w:type="character" w:styleId="FootnoteReference">
    <w:name w:val="footnote reference"/>
    <w:semiHidden/>
    <w:rPr>
      <w:rFonts w:ascii="Times New Roman" w:hAnsi="Times New Roman"/>
      <w:sz w:val="22"/>
      <w:szCs w:val="22"/>
      <w:vertAlign w:val="superscript"/>
    </w:rPr>
  </w:style>
  <w:style w:type="character" w:styleId="HTMLCite">
    <w:name w:val="HTML Cite"/>
    <w:semiHidden/>
    <w:rPr>
      <w:i/>
      <w:iCs/>
    </w:rPr>
  </w:style>
  <w:style w:type="character" w:styleId="Hyperlink">
    <w:name w:val="Hyperlink"/>
    <w:semiHidden/>
    <w:rPr>
      <w:color w:val="0000FF"/>
      <w:u w:val="single"/>
    </w:rPr>
  </w:style>
  <w:style w:type="character" w:customStyle="1" w:styleId="BodyCharChar">
    <w:name w:val="Body Char Char"/>
    <w:link w:val="BodyChar"/>
    <w:rsid w:val="0051271B"/>
    <w:rPr>
      <w:rFonts w:ascii="Minion Pro" w:hAnsi="Minion Pro"/>
      <w:color w:val="000000"/>
      <w:sz w:val="22"/>
      <w:szCs w:val="22"/>
      <w:lang w:val="en-GB"/>
    </w:rPr>
  </w:style>
  <w:style w:type="paragraph" w:customStyle="1" w:styleId="BodyChar">
    <w:name w:val="Body Char"/>
    <w:link w:val="BodyCharChar"/>
    <w:qFormat/>
    <w:rsid w:val="0051271B"/>
    <w:pPr>
      <w:tabs>
        <w:tab w:val="left" w:pos="567"/>
      </w:tabs>
      <w:ind w:firstLine="284"/>
      <w:jc w:val="both"/>
    </w:pPr>
    <w:rPr>
      <w:rFonts w:ascii="Minion Pro" w:hAnsi="Minion Pro"/>
      <w:color w:val="000000"/>
    </w:rPr>
  </w:style>
  <w:style w:type="character" w:customStyle="1" w:styleId="JGEHeaderChar">
    <w:name w:val="JGEHeader Char"/>
    <w:link w:val="JGEHeader"/>
    <w:locked/>
    <w:rPr>
      <w:rFonts w:ascii="Sabon" w:hAnsi="Sabon"/>
      <w:sz w:val="22"/>
      <w:lang w:eastAsia="en-US"/>
    </w:rPr>
  </w:style>
  <w:style w:type="paragraph" w:customStyle="1" w:styleId="JGEHeader">
    <w:name w:val="JGEHeader"/>
    <w:basedOn w:val="Header"/>
    <w:link w:val="JGEHeaderChar"/>
    <w:pPr>
      <w:pBdr>
        <w:bottom w:val="single" w:sz="4" w:space="1" w:color="auto"/>
      </w:pBdr>
      <w:tabs>
        <w:tab w:val="clear" w:pos="4320"/>
        <w:tab w:val="clear" w:pos="8640"/>
        <w:tab w:val="center" w:pos="4513"/>
        <w:tab w:val="right" w:pos="9026"/>
      </w:tabs>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rPr>
      <w:rFonts w:ascii="Sabon" w:hAnsi="Sabon"/>
      <w:sz w:val="22"/>
      <w:lang w:eastAsia="en-US"/>
    </w:rPr>
  </w:style>
  <w:style w:type="character" w:customStyle="1" w:styleId="times">
    <w:name w:val="times"/>
    <w:basedOn w:val="DefaultParagraphFont"/>
    <w:semiHidden/>
  </w:style>
  <w:style w:type="paragraph" w:customStyle="1" w:styleId="TableContent">
    <w:name w:val="TableContent"/>
    <w:basedOn w:val="BodyChar"/>
    <w:qFormat/>
    <w:rsid w:val="00555172"/>
    <w:pPr>
      <w:ind w:firstLine="0"/>
      <w:jc w:val="center"/>
    </w:pPr>
    <w:rPr>
      <w:sz w:val="20"/>
      <w:szCs w:val="20"/>
    </w:rPr>
  </w:style>
  <w:style w:type="character" w:customStyle="1" w:styleId="StyleBodyCharNotBoldItalicChar">
    <w:name w:val="Style Body Char + Not Bold Italic Char"/>
    <w:link w:val="StyleBodyCharNotBoldItalic"/>
    <w:rPr>
      <w:i/>
      <w:iCs/>
      <w:color w:val="000000"/>
      <w:sz w:val="22"/>
      <w:szCs w:val="22"/>
      <w:lang w:val="en-GB" w:eastAsia="en-US" w:bidi="ar-SA"/>
    </w:rPr>
  </w:style>
  <w:style w:type="paragraph" w:customStyle="1" w:styleId="StyleBodyCharNotBoldItalic">
    <w:name w:val="Style Body Char + Not Bold Italic"/>
    <w:link w:val="StyleBodyCharNotBoldItalicChar"/>
    <w:semiHidden/>
    <w:rPr>
      <w:i/>
      <w:iCs/>
      <w:color w:val="000000"/>
    </w:rPr>
  </w:style>
  <w:style w:type="character" w:customStyle="1" w:styleId="MTEquationSection">
    <w:name w:val="MTEquationSection"/>
    <w:semiHidden/>
    <w:rPr>
      <w:vanish/>
      <w:color w:val="FF0000"/>
      <w:lang w:val="en-US"/>
    </w:rPr>
  </w:style>
  <w:style w:type="paragraph" w:customStyle="1" w:styleId="Kesimpulan">
    <w:name w:val="Kesimpulan"/>
    <w:basedOn w:val="BodyChar"/>
    <w:qFormat/>
    <w:rsid w:val="00844311"/>
    <w:pPr>
      <w:tabs>
        <w:tab w:val="clear" w:pos="567"/>
        <w:tab w:val="num" w:pos="720"/>
      </w:tabs>
      <w:ind w:left="284" w:hanging="284"/>
    </w:pPr>
  </w:style>
  <w:style w:type="character" w:customStyle="1" w:styleId="FooterChar">
    <w:name w:val="Footer Char"/>
    <w:link w:val="Footer"/>
    <w:uiPriority w:val="99"/>
    <w:semiHidden/>
    <w:rPr>
      <w:rFonts w:ascii="Sabon" w:hAnsi="Sabon"/>
      <w:sz w:val="22"/>
      <w:lang w:eastAsia="en-US"/>
    </w:rPr>
  </w:style>
  <w:style w:type="paragraph" w:styleId="Footer">
    <w:name w:val="footer"/>
    <w:basedOn w:val="Normal"/>
    <w:link w:val="FooterChar"/>
    <w:uiPriority w:val="99"/>
    <w:semiHidden/>
    <w:pPr>
      <w:tabs>
        <w:tab w:val="center" w:pos="4320"/>
        <w:tab w:val="right" w:pos="8640"/>
      </w:tabs>
    </w:pPr>
  </w:style>
  <w:style w:type="paragraph" w:styleId="Signature">
    <w:name w:val="Signature"/>
    <w:basedOn w:val="Normal"/>
    <w:semiHidden/>
    <w:pPr>
      <w:ind w:left="4252"/>
    </w:pPr>
  </w:style>
  <w:style w:type="paragraph" w:styleId="ListContinue">
    <w:name w:val="List Continue"/>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List4">
    <w:name w:val="List 4"/>
    <w:basedOn w:val="Normal"/>
    <w:semiHidden/>
    <w:pPr>
      <w:ind w:left="1132" w:hanging="283"/>
    </w:pPr>
  </w:style>
  <w:style w:type="paragraph" w:styleId="BodyText3">
    <w:name w:val="Body Text 3"/>
    <w:basedOn w:val="Normal"/>
    <w:semiHidden/>
    <w:pPr>
      <w:spacing w:after="120"/>
    </w:pPr>
    <w:rPr>
      <w:sz w:val="16"/>
      <w:szCs w:val="16"/>
    </w:rPr>
  </w:style>
  <w:style w:type="paragraph" w:styleId="FootnoteText">
    <w:name w:val="footnote text"/>
    <w:basedOn w:val="Normal"/>
    <w:semiHidden/>
    <w:rPr>
      <w:rFonts w:ascii="Times" w:hAnsi="Times"/>
      <w:sz w:val="20"/>
    </w:rPr>
  </w:style>
  <w:style w:type="paragraph" w:styleId="Closing">
    <w:name w:val="Closing"/>
    <w:basedOn w:val="Normal"/>
    <w:semiHidden/>
    <w:pPr>
      <w:ind w:left="4252"/>
    </w:pPr>
  </w:style>
  <w:style w:type="paragraph" w:styleId="List3">
    <w:name w:val="List 3"/>
    <w:basedOn w:val="Normal"/>
    <w:semiHidden/>
    <w:pPr>
      <w:ind w:left="849" w:hanging="283"/>
    </w:pPr>
  </w:style>
  <w:style w:type="paragraph" w:styleId="Salutation">
    <w:name w:val="Salutation"/>
    <w:basedOn w:val="Normal"/>
    <w:next w:val="Normal"/>
    <w:semiHidden/>
  </w:style>
  <w:style w:type="paragraph" w:styleId="HTMLAddress">
    <w:name w:val="HTML Address"/>
    <w:basedOn w:val="Normal"/>
    <w:semiHidden/>
    <w:rPr>
      <w:i/>
      <w:iCs/>
    </w:rPr>
  </w:style>
  <w:style w:type="paragraph" w:styleId="CommentSubject">
    <w:name w:val="annotation subject"/>
    <w:basedOn w:val="CommentText"/>
    <w:next w:val="CommentText"/>
    <w:semiHidden/>
    <w:rPr>
      <w:b/>
      <w:bCs/>
    </w:rPr>
  </w:style>
  <w:style w:type="paragraph" w:styleId="CommentText">
    <w:name w:val="annotation text"/>
    <w:basedOn w:val="Normal"/>
    <w:semiHidden/>
    <w:rPr>
      <w:sz w:val="20"/>
    </w:rPr>
  </w:style>
  <w:style w:type="paragraph" w:styleId="ListNumber4">
    <w:name w:val="List Number 4"/>
    <w:basedOn w:val="Normal"/>
    <w:semiHidden/>
    <w:pPr>
      <w:numPr>
        <w:numId w:val="2"/>
      </w:numPr>
      <w:tabs>
        <w:tab w:val="left" w:pos="1209"/>
      </w:tabs>
    </w:pPr>
  </w:style>
  <w:style w:type="paragraph" w:styleId="ListContinue5">
    <w:name w:val="List Continue 5"/>
    <w:basedOn w:val="Normal"/>
    <w:semiHidden/>
    <w:pPr>
      <w:spacing w:after="120"/>
      <w:ind w:left="1415"/>
    </w:pPr>
  </w:style>
  <w:style w:type="paragraph" w:styleId="ListBullet5">
    <w:name w:val="List Bullet 5"/>
    <w:basedOn w:val="Normal"/>
    <w:semiHidden/>
    <w:pPr>
      <w:numPr>
        <w:numId w:val="3"/>
      </w:numPr>
      <w:tabs>
        <w:tab w:val="left" w:pos="1492"/>
      </w:tabs>
    </w:pPr>
  </w:style>
  <w:style w:type="paragraph" w:styleId="E-mailSignature">
    <w:name w:val="E-mail Signature"/>
    <w:basedOn w:val="Normal"/>
    <w:semiHidden/>
  </w:style>
  <w:style w:type="paragraph" w:styleId="NoteHeading">
    <w:name w:val="Note Heading"/>
    <w:basedOn w:val="Normal"/>
    <w:next w:val="Normal"/>
    <w:semiHidden/>
  </w:style>
  <w:style w:type="paragraph" w:styleId="BodyTextIndent">
    <w:name w:val="Body Text Indent"/>
    <w:basedOn w:val="Normal"/>
    <w:semiHidden/>
    <w:pPr>
      <w:spacing w:after="120"/>
      <w:ind w:left="283"/>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BlockText">
    <w:name w:val="Block Text"/>
    <w:basedOn w:val="Normal"/>
    <w:semiHidden/>
    <w:pPr>
      <w:spacing w:after="120"/>
      <w:ind w:left="1440" w:right="1440"/>
    </w:pPr>
  </w:style>
  <w:style w:type="paragraph" w:styleId="ListNumber">
    <w:name w:val="List Number"/>
    <w:basedOn w:val="Normal"/>
    <w:semiHidden/>
    <w:pPr>
      <w:tabs>
        <w:tab w:val="left" w:pos="360"/>
        <w:tab w:val="num" w:pos="720"/>
      </w:tabs>
      <w:ind w:left="720" w:hanging="720"/>
    </w:pPr>
  </w:style>
  <w:style w:type="paragraph" w:styleId="Date">
    <w:name w:val="Date"/>
    <w:basedOn w:val="Normal"/>
    <w:next w:val="Normal"/>
    <w:semiHidden/>
  </w:style>
  <w:style w:type="paragraph" w:styleId="ListBullet3">
    <w:name w:val="List Bullet 3"/>
    <w:basedOn w:val="Normal"/>
    <w:semiHidden/>
    <w:pPr>
      <w:tabs>
        <w:tab w:val="num" w:pos="720"/>
        <w:tab w:val="left" w:pos="926"/>
      </w:tabs>
      <w:ind w:left="720" w:hanging="720"/>
    </w:pPr>
  </w:style>
  <w:style w:type="paragraph" w:styleId="List2">
    <w:name w:val="List 2"/>
    <w:basedOn w:val="Normal"/>
    <w:semiHidden/>
    <w:pPr>
      <w:ind w:left="566" w:hanging="283"/>
    </w:pPr>
  </w:style>
  <w:style w:type="paragraph" w:styleId="EnvelopeAddress">
    <w:name w:val="envelope address"/>
    <w:basedOn w:val="Normal"/>
    <w:semiHidden/>
    <w:pPr>
      <w:framePr w:w="7920" w:h="1980" w:hRule="exact" w:hSpace="180" w:wrap="around" w:hAnchor="page" w:xAlign="center" w:yAlign="bottom"/>
      <w:ind w:left="2880"/>
    </w:pPr>
    <w:rPr>
      <w:rFonts w:ascii="Arial" w:hAnsi="Arial" w:cs="Arial"/>
      <w:sz w:val="24"/>
      <w:szCs w:val="24"/>
    </w:rPr>
  </w:style>
  <w:style w:type="paragraph" w:styleId="EndnoteText">
    <w:name w:val="endnote text"/>
    <w:basedOn w:val="Normal"/>
    <w:semiHidden/>
    <w:rPr>
      <w:sz w:val="20"/>
    </w:rPr>
  </w:style>
  <w:style w:type="paragraph" w:styleId="BodyTextFirstIndent">
    <w:name w:val="Body Text First Indent"/>
    <w:basedOn w:val="BodyText"/>
    <w:semiHidden/>
    <w:pPr>
      <w:ind w:firstLine="210"/>
    </w:pPr>
  </w:style>
  <w:style w:type="paragraph" w:styleId="BodyText">
    <w:name w:val="Body Text"/>
    <w:basedOn w:val="Normal"/>
    <w:semiHidden/>
    <w:pPr>
      <w:spacing w:after="120"/>
    </w:pPr>
  </w:style>
  <w:style w:type="paragraph" w:styleId="List5">
    <w:name w:val="List 5"/>
    <w:basedOn w:val="Normal"/>
    <w:semiHidden/>
    <w:pPr>
      <w:ind w:left="1415" w:hanging="283"/>
    </w:pPr>
  </w:style>
  <w:style w:type="paragraph" w:styleId="ListBullet">
    <w:name w:val="List Bullet"/>
    <w:basedOn w:val="Normal"/>
    <w:semiHidden/>
    <w:pPr>
      <w:tabs>
        <w:tab w:val="left" w:pos="360"/>
        <w:tab w:val="num" w:pos="720"/>
      </w:tabs>
      <w:ind w:left="720" w:hanging="720"/>
    </w:pPr>
  </w:style>
  <w:style w:type="paragraph" w:styleId="NormalIndent">
    <w:name w:val="Normal Indent"/>
    <w:basedOn w:val="Normal"/>
    <w:semiHidden/>
    <w:pPr>
      <w:ind w:left="720"/>
    </w:pPr>
  </w:style>
  <w:style w:type="paragraph" w:styleId="BodyTextFirstIndent2">
    <w:name w:val="Body Text First Indent 2"/>
    <w:basedOn w:val="BodyTextIndent"/>
    <w:semiHidden/>
    <w:pPr>
      <w:ind w:firstLine="210"/>
    </w:pPr>
  </w:style>
  <w:style w:type="paragraph" w:styleId="NormalWeb">
    <w:name w:val="Normal (Web)"/>
    <w:basedOn w:val="Normal"/>
    <w:uiPriority w:val="99"/>
    <w:semiHidden/>
    <w:pPr>
      <w:spacing w:before="100" w:beforeAutospacing="1" w:after="100" w:afterAutospacing="1"/>
    </w:pPr>
    <w:rPr>
      <w:rFonts w:ascii="Arial" w:hAnsi="Arial" w:cs="Arial"/>
      <w:color w:val="000000"/>
      <w:sz w:val="24"/>
      <w:szCs w:val="24"/>
      <w:lang w:val="en-US"/>
    </w:rPr>
  </w:style>
  <w:style w:type="paragraph" w:styleId="ListBullet4">
    <w:name w:val="List Bullet 4"/>
    <w:basedOn w:val="Normal"/>
    <w:semiHidden/>
    <w:pPr>
      <w:tabs>
        <w:tab w:val="num" w:pos="720"/>
        <w:tab w:val="left" w:pos="1209"/>
      </w:tabs>
      <w:ind w:left="720" w:hanging="720"/>
    </w:pPr>
  </w:style>
  <w:style w:type="paragraph" w:styleId="BalloonText">
    <w:name w:val="Balloon Text"/>
    <w:basedOn w:val="Normal"/>
    <w:semiHidden/>
    <w:rPr>
      <w:rFonts w:ascii="Tahoma" w:hAnsi="Tahoma" w:cs="Tahoma"/>
      <w:sz w:val="16"/>
      <w:szCs w:val="16"/>
    </w:rPr>
  </w:style>
  <w:style w:type="paragraph" w:styleId="ListNumber3">
    <w:name w:val="List Number 3"/>
    <w:basedOn w:val="Normal"/>
    <w:semiHidden/>
    <w:pPr>
      <w:tabs>
        <w:tab w:val="num" w:pos="720"/>
        <w:tab w:val="left" w:pos="926"/>
      </w:tabs>
      <w:ind w:left="720" w:hanging="720"/>
    </w:pPr>
  </w:style>
  <w:style w:type="paragraph" w:styleId="ListContinue4">
    <w:name w:val="List Continue 4"/>
    <w:basedOn w:val="Normal"/>
    <w:semiHidden/>
    <w:pPr>
      <w:spacing w:after="120"/>
      <w:ind w:left="1132"/>
    </w:pPr>
  </w:style>
  <w:style w:type="paragraph" w:styleId="PlainText">
    <w:name w:val="Plain Text"/>
    <w:basedOn w:val="Normal"/>
    <w:semiHidden/>
    <w:rPr>
      <w:rFonts w:ascii="Courier New" w:hAnsi="Courier New" w:cs="Courier New"/>
      <w:sz w:val="20"/>
    </w:rPr>
  </w:style>
  <w:style w:type="paragraph" w:styleId="ListBullet2">
    <w:name w:val="List Bullet 2"/>
    <w:basedOn w:val="Normal"/>
    <w:semiHidden/>
    <w:pPr>
      <w:tabs>
        <w:tab w:val="left" w:pos="643"/>
        <w:tab w:val="num" w:pos="720"/>
      </w:tabs>
      <w:ind w:left="720" w:hanging="720"/>
    </w:p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283"/>
    </w:pPr>
    <w:rPr>
      <w:sz w:val="16"/>
      <w:szCs w:val="16"/>
    </w:rPr>
  </w:style>
  <w:style w:type="paragraph" w:styleId="ListNumber5">
    <w:name w:val="List Number 5"/>
    <w:basedOn w:val="Normal"/>
    <w:semiHidden/>
    <w:pPr>
      <w:tabs>
        <w:tab w:val="num" w:pos="720"/>
        <w:tab w:val="left" w:pos="1492"/>
      </w:tabs>
      <w:ind w:left="720" w:hanging="720"/>
    </w:pPr>
  </w:style>
  <w:style w:type="paragraph" w:styleId="ListNumber2">
    <w:name w:val="List Number 2"/>
    <w:basedOn w:val="Normal"/>
    <w:semiHidden/>
    <w:pPr>
      <w:tabs>
        <w:tab w:val="left" w:pos="643"/>
        <w:tab w:val="num" w:pos="720"/>
      </w:tabs>
      <w:ind w:left="720" w:hanging="720"/>
    </w:pPr>
  </w:style>
  <w:style w:type="paragraph" w:styleId="HTMLPreformatted">
    <w:name w:val="HTML Preformatted"/>
    <w:basedOn w:val="Normal"/>
    <w:link w:val="HTMLPreformattedChar"/>
    <w:uiPriority w:val="99"/>
    <w:semiHidden/>
    <w:rPr>
      <w:rFonts w:ascii="Courier New" w:hAnsi="Courier New" w:cs="Courier New"/>
      <w:sz w:val="20"/>
    </w:rPr>
  </w:style>
  <w:style w:type="character" w:customStyle="1" w:styleId="HTMLPreformattedChar">
    <w:name w:val="HTML Preformatted Char"/>
    <w:link w:val="HTMLPreformatted"/>
    <w:uiPriority w:val="99"/>
    <w:semiHidden/>
    <w:rsid w:val="00635FF6"/>
    <w:rPr>
      <w:rFonts w:ascii="Courier New" w:hAnsi="Courier New" w:cs="Courier New"/>
      <w:lang w:val="en-GB" w:eastAsia="en-US"/>
    </w:rPr>
  </w:style>
  <w:style w:type="paragraph" w:styleId="ListContinue3">
    <w:name w:val="List Continue 3"/>
    <w:basedOn w:val="Normal"/>
    <w:semiHidden/>
    <w:pPr>
      <w:spacing w:after="120"/>
      <w:ind w:left="849"/>
    </w:pPr>
  </w:style>
  <w:style w:type="paragraph" w:styleId="EnvelopeReturn">
    <w:name w:val="envelope return"/>
    <w:basedOn w:val="Normal"/>
    <w:semiHidden/>
    <w:rPr>
      <w:rFonts w:ascii="Arial" w:hAnsi="Arial" w:cs="Arial"/>
      <w:sz w:val="20"/>
    </w:rPr>
  </w:style>
  <w:style w:type="paragraph" w:styleId="ListContinue2">
    <w:name w:val="List Continue 2"/>
    <w:basedOn w:val="Normal"/>
    <w:semiHidden/>
    <w:pPr>
      <w:spacing w:after="120"/>
      <w:ind w:left="566"/>
    </w:pPr>
  </w:style>
  <w:style w:type="paragraph" w:styleId="List">
    <w:name w:val="List"/>
    <w:basedOn w:val="Normal"/>
    <w:semiHidden/>
    <w:pPr>
      <w:ind w:left="283" w:hanging="283"/>
    </w:pPr>
  </w:style>
  <w:style w:type="paragraph" w:customStyle="1" w:styleId="TableCaptionCentred">
    <w:name w:val="Table.Caption.Centred"/>
    <w:basedOn w:val="TableCaption"/>
    <w:qFormat/>
    <w:rsid w:val="00556C7D"/>
    <w:pPr>
      <w:jc w:val="center"/>
    </w:pPr>
  </w:style>
  <w:style w:type="paragraph" w:customStyle="1" w:styleId="TableCaption">
    <w:name w:val="Table.Caption"/>
    <w:qFormat/>
    <w:rsid w:val="005F5FF3"/>
    <w:pPr>
      <w:spacing w:after="120"/>
      <w:jc w:val="both"/>
    </w:pPr>
    <w:rPr>
      <w:rFonts w:ascii="Minion Pro" w:hAnsi="Minion Pro"/>
      <w:color w:val="000000"/>
    </w:rPr>
  </w:style>
  <w:style w:type="paragraph" w:customStyle="1" w:styleId="Abstractmisc">
    <w:name w:val="Abstract misc"/>
    <w:basedOn w:val="Abstract"/>
    <w:qFormat/>
    <w:pPr>
      <w:jc w:val="left"/>
    </w:pPr>
    <w:rPr>
      <w:lang w:val="en-US"/>
    </w:rPr>
  </w:style>
  <w:style w:type="paragraph" w:customStyle="1" w:styleId="Abstract">
    <w:name w:val="Abstract"/>
    <w:qFormat/>
    <w:rsid w:val="0051271B"/>
    <w:pPr>
      <w:spacing w:before="120" w:after="240"/>
      <w:jc w:val="both"/>
    </w:pPr>
    <w:rPr>
      <w:rFonts w:ascii="Minion Pro" w:hAnsi="Minion Pro"/>
      <w:color w:val="000000"/>
    </w:rPr>
  </w:style>
  <w:style w:type="paragraph" w:customStyle="1" w:styleId="FigureCaption-Wide">
    <w:name w:val="FigureCaption - Wide"/>
    <w:basedOn w:val="FigureCaption"/>
    <w:qFormat/>
    <w:rsid w:val="00556C7D"/>
    <w:pPr>
      <w:spacing w:before="120"/>
      <w:jc w:val="both"/>
    </w:pPr>
  </w:style>
  <w:style w:type="paragraph" w:customStyle="1" w:styleId="FigureCaption">
    <w:name w:val="FigureCaption"/>
    <w:qFormat/>
    <w:rsid w:val="00556C7D"/>
    <w:pPr>
      <w:spacing w:before="170"/>
      <w:ind w:left="28"/>
      <w:jc w:val="center"/>
    </w:pPr>
    <w:rPr>
      <w:rFonts w:ascii="Minion Pro" w:hAnsi="Minion Pro"/>
      <w:color w:val="000000"/>
    </w:rPr>
  </w:style>
  <w:style w:type="paragraph" w:customStyle="1" w:styleId="wfxRecipient">
    <w:name w:val="wfxRecipient"/>
    <w:basedOn w:val="Normal"/>
    <w:semiHidden/>
  </w:style>
  <w:style w:type="paragraph" w:customStyle="1" w:styleId="wfxFaxNum">
    <w:name w:val="wfxFaxNum"/>
    <w:basedOn w:val="Normal"/>
    <w:semiHidden/>
  </w:style>
  <w:style w:type="paragraph" w:customStyle="1" w:styleId="wfxDate">
    <w:name w:val="wfxDate"/>
    <w:basedOn w:val="Normal"/>
    <w:semiHidden/>
  </w:style>
  <w:style w:type="paragraph" w:customStyle="1" w:styleId="wfxTime">
    <w:name w:val="wfxTime"/>
    <w:basedOn w:val="Normal"/>
    <w:semiHidden/>
  </w:style>
  <w:style w:type="paragraph" w:customStyle="1" w:styleId="MTDisplayEquation">
    <w:name w:val="MTDisplayEquation"/>
    <w:basedOn w:val="Normal"/>
    <w:semiHidden/>
    <w:pPr>
      <w:tabs>
        <w:tab w:val="center" w:pos="4560"/>
        <w:tab w:val="right" w:pos="9120"/>
      </w:tabs>
    </w:pPr>
    <w:rPr>
      <w:lang w:val="en-US"/>
    </w:rPr>
  </w:style>
  <w:style w:type="paragraph" w:customStyle="1" w:styleId="Equation">
    <w:name w:val="Equation"/>
    <w:basedOn w:val="BodyChar"/>
    <w:rsid w:val="0051271B"/>
    <w:pPr>
      <w:tabs>
        <w:tab w:val="clear" w:pos="567"/>
        <w:tab w:val="right" w:pos="4111"/>
      </w:tabs>
      <w:spacing w:before="120" w:after="120"/>
      <w:jc w:val="left"/>
    </w:pPr>
    <w:rPr>
      <w:lang w:val="en-US"/>
    </w:rPr>
  </w:style>
  <w:style w:type="paragraph" w:customStyle="1" w:styleId="JudulInggris">
    <w:name w:val="Judul Inggris"/>
    <w:basedOn w:val="Normal"/>
    <w:qFormat/>
    <w:rsid w:val="00033870"/>
    <w:pPr>
      <w:spacing w:before="480" w:after="480"/>
    </w:pPr>
    <w:rPr>
      <w:rFonts w:ascii="Minion Pro" w:hAnsi="Minion Pro"/>
      <w:b/>
      <w:bCs/>
      <w:i/>
      <w:iCs/>
      <w:sz w:val="34"/>
      <w:lang w:val="en"/>
    </w:rPr>
  </w:style>
  <w:style w:type="paragraph" w:customStyle="1" w:styleId="Authors">
    <w:name w:val="Authors"/>
    <w:next w:val="Affilitationandaddresses"/>
    <w:qFormat/>
    <w:pPr>
      <w:spacing w:after="113"/>
    </w:pPr>
    <w:rPr>
      <w:rFonts w:ascii="Times" w:hAnsi="Times"/>
      <w:b/>
    </w:rPr>
  </w:style>
  <w:style w:type="paragraph" w:customStyle="1" w:styleId="Affilitationandaddresses">
    <w:name w:val="Affilitation and addresses"/>
    <w:qFormat/>
    <w:rsid w:val="0051271B"/>
    <w:pPr>
      <w:spacing w:after="454"/>
    </w:pPr>
    <w:rPr>
      <w:rFonts w:ascii="Minion Pro" w:hAnsi="Minion Pro"/>
    </w:rPr>
  </w:style>
  <w:style w:type="paragraph" w:customStyle="1" w:styleId="Reference">
    <w:name w:val="Reference"/>
    <w:qFormat/>
    <w:rsid w:val="0051271B"/>
    <w:pPr>
      <w:tabs>
        <w:tab w:val="left" w:pos="709"/>
      </w:tabs>
      <w:ind w:left="284" w:hanging="284"/>
      <w:jc w:val="both"/>
    </w:pPr>
    <w:rPr>
      <w:rFonts w:ascii="Minion Pro" w:hAnsi="Minion Pro"/>
      <w:color w:val="000000"/>
    </w:rPr>
  </w:style>
  <w:style w:type="paragraph" w:styleId="Revision">
    <w:name w:val="Revision"/>
    <w:uiPriority w:val="99"/>
    <w:semiHidden/>
    <w:rPr>
      <w:rFonts w:ascii="Sabon" w:hAnsi="Sabon"/>
    </w:rPr>
  </w:style>
  <w:style w:type="paragraph" w:customStyle="1" w:styleId="Keywords">
    <w:name w:val="Keywords"/>
    <w:basedOn w:val="Abstract"/>
    <w:qFormat/>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semiHidden/>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Columns2">
    <w:name w:val="Table Columns 2"/>
    <w:basedOn w:val="TableNormal"/>
    <w:semiHidden/>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semiHidden/>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semiHidden/>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paragraph" w:customStyle="1" w:styleId="JudulIndonesia">
    <w:name w:val="Judul Indonesia"/>
    <w:basedOn w:val="Title"/>
    <w:qFormat/>
    <w:rsid w:val="00033870"/>
    <w:pPr>
      <w:spacing w:before="480" w:after="480"/>
      <w:jc w:val="left"/>
    </w:pPr>
    <w:rPr>
      <w:rFonts w:ascii="Minion Pro" w:hAnsi="Minion Pro"/>
      <w:sz w:val="34"/>
      <w:szCs w:val="16"/>
    </w:rPr>
  </w:style>
  <w:style w:type="character" w:customStyle="1" w:styleId="TitleChar">
    <w:name w:val="Title Char"/>
    <w:link w:val="Title"/>
    <w:rsid w:val="00191EEA"/>
    <w:rPr>
      <w:rFonts w:ascii="Calibri Light" w:eastAsia="Times New Roman" w:hAnsi="Calibri Light" w:cs="Times New Roman"/>
      <w:b/>
      <w:bCs/>
      <w:kern w:val="28"/>
      <w:sz w:val="32"/>
      <w:szCs w:val="32"/>
      <w:lang w:val="en-GB"/>
    </w:rPr>
  </w:style>
  <w:style w:type="character" w:styleId="PlaceholderText">
    <w:name w:val="Placeholder Text"/>
    <w:basedOn w:val="DefaultParagraphFont"/>
    <w:uiPriority w:val="99"/>
    <w:unhideWhenUsed/>
    <w:rsid w:val="006D007E"/>
    <w:rPr>
      <w:color w:val="808080"/>
    </w:rPr>
  </w:style>
  <w:style w:type="character" w:customStyle="1" w:styleId="Maintext">
    <w:name w:val="Main text"/>
    <w:basedOn w:val="DefaultParagraphFont"/>
    <w:uiPriority w:val="1"/>
    <w:rsid w:val="002E7138"/>
    <w:rPr>
      <w:rFonts w:ascii="Times New Roman" w:hAnsi="Times New Roman"/>
      <w:spacing w:val="0"/>
      <w:w w:val="100"/>
      <w:position w:val="0"/>
      <w:sz w:val="24"/>
    </w:rPr>
  </w:style>
  <w:style w:type="character" w:customStyle="1" w:styleId="Style1">
    <w:name w:val="Style1"/>
    <w:basedOn w:val="DefaultParagraphFont"/>
    <w:uiPriority w:val="1"/>
    <w:rsid w:val="00E80303"/>
    <w:rPr>
      <w:spacing w:val="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A51909"/>
    <w:rPr>
      <w:color w:val="605E5C"/>
      <w:shd w:val="clear" w:color="auto" w:fill="E1DFDD"/>
    </w:rPr>
  </w:style>
  <w:style w:type="paragraph" w:styleId="ListParagraph">
    <w:name w:val="List Paragraph"/>
    <w:basedOn w:val="Normal"/>
    <w:uiPriority w:val="34"/>
    <w:qFormat/>
    <w:rsid w:val="00ED625D"/>
    <w:pPr>
      <w:ind w:left="720"/>
      <w:contextualSpacing/>
    </w:pPr>
  </w:style>
  <w:style w:type="paragraph" w:styleId="Caption">
    <w:name w:val="caption"/>
    <w:basedOn w:val="Normal"/>
    <w:next w:val="Normal"/>
    <w:uiPriority w:val="35"/>
    <w:unhideWhenUsed/>
    <w:qFormat/>
    <w:rsid w:val="00C175C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7007042@student.unsil.ac.id@" TargetMode="Externa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21p/wjorn29EVu3QCgOqYUMyw==">CgMxLjAyCGguZ2pkZ3hzMg5oLmU1bmY1bnNoMG51djgAciExRGpoQi0wZkFESkRzSmd4VE8zeXczejE0dVlxXzRxSHc=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4021</Words>
  <Characters>22922</Characters>
  <Application>Microsoft Office Word</Application>
  <DocSecurity>0</DocSecurity>
  <Lines>191</Lines>
  <Paragraphs>53</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PENDAHULUAN </vt:lpstr>
      <vt:lpstr>TINJAUAN PUSTAKA</vt:lpstr>
      <vt:lpstr/>
      <vt:lpstr/>
      <vt:lpstr>    Business Intelligence</vt:lpstr>
      <vt:lpstr>    Data Warehouse</vt:lpstr>
      <vt:lpstr>    Decision Support System</vt:lpstr>
      <vt:lpstr>    Data Agregat PDDikti</vt:lpstr>
      <vt:lpstr>    Research Gap Analysis</vt:lpstr>
      <vt:lpstr>METODE PENELITIAN </vt:lpstr>
      <vt:lpstr/>
      <vt:lpstr>    Research Design</vt:lpstr>
      <vt:lpstr>    Business Intelligence Roadmap</vt:lpstr>
      <vt:lpstr>    Data Collection</vt:lpstr>
      <vt:lpstr>    ETL Process</vt:lpstr>
      <vt:lpstr>    Data Warehouse Design</vt:lpstr>
      <vt:lpstr>    Star Schema Design</vt:lpstr>
      <vt:lpstr>    Dashboard Development</vt:lpstr>
      <vt:lpstr>    Data Validation</vt:lpstr>
      <vt:lpstr>HASIL DAN PEMBAHASAN </vt:lpstr>
      <vt:lpstr/>
      <vt:lpstr>    Implementasi ETL</vt:lpstr>
      <vt:lpstr>    Hasil Dashboard Analitik</vt:lpstr>
      <vt:lpstr>    Temuan Analitik (Analytical Findings)</vt:lpstr>
      <vt:lpstr>    Pembahasan (Discussion)</vt:lpstr>
      <vt:lpstr>KESIMPULAN </vt:lpstr>
      <vt:lpstr>UCAPAN TERIMA KASIH </vt:lpstr>
      <vt:lpstr>DAFTAR PUSTAKA </vt:lpstr>
    </vt:vector>
  </TitlesOfParts>
  <Company/>
  <LinksUpToDate>false</LinksUpToDate>
  <CharactersWithSpaces>26890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Fauzi Noorsyabani</dc:creator>
  <cp:lastModifiedBy>Fauzi Noorsyabani</cp:lastModifiedBy>
  <cp:revision>19</cp:revision>
  <cp:lastPrinted>2026-06-29T03:06:00Z</cp:lastPrinted>
  <dcterms:created xsi:type="dcterms:W3CDTF">2026-06-29T03:05:00Z</dcterms:created>
  <dcterms:modified xsi:type="dcterms:W3CDTF">2026-06-29T05:03:00Z</dcterms:modified>
</cp:coreProperties>
</file>