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HealthConnect Clinic Experience Lab</w:t>
      </w:r>
    </w:p>
    <w:p>
      <w:pPr>
        <w:spacing w:after="40"/>
      </w:pPr>
      <w:r>
        <w:rPr>
          <w:b/>
          <w:bCs/>
          <w:color w:val="2E5395"/>
          <w:sz w:val="28"/>
          <w:szCs w:val="28"/>
        </w:rPr>
        <w:t xml:space="preserve">AI Assistant Evaluation &amp; Refinement Package — Generative AI Track</w:t>
      </w:r>
    </w:p>
    <w:p>
      <w:pPr>
        <w:spacing w:after="300"/>
      </w:pPr>
      <w:r>
        <w:rPr>
          <w:i/>
          <w:iCs/>
          <w:color w:val="555555"/>
          <w:sz w:val="22"/>
          <w:szCs w:val="22"/>
        </w:rPr>
        <w:t xml:space="preserve">Week 6: Integration, Advanced Development &amp; Validation</w:t>
      </w:r>
    </w:p>
    <w:p>
      <w:pPr>
        <w:spacing w:after="120"/>
      </w:pPr>
      <w:r>
        <w:rPr>
          <w:b/>
          <w:bCs/>
        </w:rPr>
        <w:t xml:space="preserve">Programme: </w:t>
      </w:r>
      <w:r>
        <w:t xml:space="preserve">AnalystLab Africa Experience Lab</w:t>
      </w:r>
    </w:p>
    <w:p>
      <w:pPr>
        <w:spacing w:after="120"/>
      </w:pPr>
      <w:r>
        <w:rPr>
          <w:b/>
          <w:bCs/>
        </w:rPr>
        <w:t xml:space="preserve">Track: </w:t>
      </w:r>
      <w:r>
        <w:t xml:space="preserve">Generative AI</w:t>
      </w:r>
    </w:p>
    <w:p>
      <w:pPr>
        <w:spacing w:after="120"/>
      </w:pPr>
      <w:r>
        <w:rPr>
          <w:b/>
          <w:bCs/>
        </w:rPr>
        <w:t xml:space="preserve">Project: </w:t>
      </w:r>
      <w:r>
        <w:t xml:space="preserve">HealthConnect Clinic Experience Lab</w:t>
      </w:r>
    </w:p>
    <w:p>
      <w:pPr>
        <w:spacing w:after="120"/>
      </w:pPr>
      <w:r>
        <w:rPr>
          <w:b/>
          <w:bCs/>
        </w:rPr>
        <w:t xml:space="preserve">Week: </w:t>
      </w:r>
      <w:r>
        <w:t xml:space="preserve">Week 6</w:t>
      </w:r>
    </w:p>
    <w:p>
      <w:pPr>
        <w:spacing w:after="120"/>
      </w:pPr>
      <w:r>
        <w:rPr>
          <w:b/>
          <w:bCs/>
        </w:rPr>
        <w:t xml:space="preserve">Document Version: </w:t>
      </w:r>
      <w:r>
        <w:t xml:space="preserve">1.0</w:t>
      </w:r>
    </w:p>
    <w:p>
      <w:pPr>
        <w:pBdr>
          <w:bottom w:val="single" w:color="AAAAAA" w:sz="6"/>
        </w:pBdr>
        <w:spacing w:after="200" w:before="100"/>
      </w:pPr>
      <w:r>
        <w:t xml:space="preserve"/>
      </w:r>
    </w:p>
    <w:p>
      <w:pPr>
        <w:pStyle w:val="Heading1"/>
        <w:spacing w:after="160" w:before="320"/>
      </w:pPr>
      <w:r>
        <w:t xml:space="preserve">Part 1: Week 5 → Week 6 Transition</w:t>
      </w:r>
    </w:p>
    <w:p>
      <w:pPr>
        <w:pStyle w:val="ListParagraph"/>
        <w:numPr>
          <w:ilvl w:val="0"/>
          <w:numId w:val="2"/>
        </w:numPr>
        <w:spacing w:after="80"/>
      </w:pPr>
      <w:r>
        <w:t xml:space="preserve">Main Week 5 output: a working rule-based prototype (classify → retrieve → respond) grounded in the HealthConnect Clinic Knowledge Base, tested against a 13-case suite.</w:t>
      </w:r>
    </w:p>
    <w:p>
      <w:pPr>
        <w:pStyle w:val="ListParagraph"/>
        <w:numPr>
          <w:ilvl w:val="0"/>
          <w:numId w:val="2"/>
        </w:numPr>
        <w:spacing w:after="80"/>
      </w:pPr>
      <w:r>
        <w:t xml:space="preserve">Most important result: two real safety gaps were found and fixed during testing — an internal-instruction leak into patient-facing output, and two missed escalations (medical and emergency) caused by incomplete keyword coverage.</w:t>
      </w:r>
    </w:p>
    <w:p>
      <w:pPr>
        <w:pStyle w:val="ListParagraph"/>
        <w:numPr>
          <w:ilvl w:val="0"/>
          <w:numId w:val="2"/>
        </w:numPr>
        <w:spacing w:after="80"/>
      </w:pPr>
      <w:r>
        <w:t xml:space="preserve">Main issue/limitation discovered: keyword-based classification and retrieval cannot capture true intent (e.g., distinguishing an information request from an action request) and will always be vulnerable to unanticipated phrasing.</w:t>
      </w:r>
    </w:p>
    <w:p>
      <w:pPr>
        <w:pStyle w:val="ListParagraph"/>
        <w:numPr>
          <w:ilvl w:val="0"/>
          <w:numId w:val="2"/>
        </w:numPr>
        <w:spacing w:after="80"/>
      </w:pPr>
      <w:r>
        <w:t xml:space="preserve">Track whose work became relevant: Data Analytics. Reminder-channel and no-show findings shared by a Data Analytics intern (Juliet) directly informed a new Week 6 feature (see Part 1B and Section 9).</w:t>
      </w:r>
    </w:p>
    <w:p>
      <w:pPr>
        <w:pStyle w:val="ListParagraph"/>
        <w:numPr>
          <w:ilvl w:val="0"/>
          <w:numId w:val="2"/>
        </w:numPr>
        <w:spacing w:after="80"/>
      </w:pPr>
      <w:r>
        <w:t xml:space="preserve">Week 6 focus: evaluate the Week 5 prototype against expanded, more realistic test scenarios; refine based on what those tests reveal; integrate Juliet's findings as an actual behaviour change; and validate the result — not rebuild from scratch.</w:t>
      </w:r>
    </w:p>
    <w:p>
      <w:pPr>
        <w:pStyle w:val="Heading2"/>
        <w:spacing w:after="120" w:before="240"/>
      </w:pPr>
      <w:r>
        <w:t xml:space="preserve">Part 1B: Week 6 Integration Readiness</w:t>
      </w:r>
    </w:p>
    <w:p>
      <w:pPr>
        <w:spacing w:after="160"/>
      </w:pPr>
      <w:r>
        <w:t xml:space="preserve">A. Integration point — Track: Data Analytics. Output needed: findings on factors associated with missed appointments. Output provided in return: confirmation of how those findings were operationalised into the assistant, plus a relevant testing observation. Relevance: the assistant's booking-related responses were a direct, in-scope place to act on evidence about reducing no-shows, which is HealthConnect's central project question.</w:t>
      </w:r>
    </w:p>
    <w:p>
      <w:pPr>
        <w:spacing w:after="160"/>
      </w:pPr>
      <w:r>
        <w:t xml:space="preserve">B. Integration objective — After this integration, the assistant should no longer be silent on reminder-related questions, and its booking guidance should reflect an evidence-based tip grounded in real HealthConnect appointment data rather than saying nothing about reminders at all.</w:t>
      </w:r>
    </w:p>
    <w:p>
      <w:pPr>
        <w:pStyle w:val="Heading1"/>
        <w:spacing w:after="160" w:before="320"/>
      </w:pPr>
      <w:r>
        <w:t xml:space="preserve">Section 1: Evaluation of Week 5 Prototype</w:t>
      </w:r>
    </w:p>
    <w:p>
      <w:pPr>
        <w:spacing w:after="160"/>
      </w:pPr>
      <w:r>
        <w:t xml:space="preserve">The full 13-case Week 5 test suite was re-run unchanged against the Week 6 code to confirm no regressions were introduced by the new feature. All 13 cases produced the same classification and topic outcomes as in Week 5 — the two previously-fixed escalation cases (medical and emergency) and the billing/location-limitation cases behaved identically. No regressions found.</w:t>
      </w:r>
    </w:p>
    <w:p>
      <w:pPr>
        <w:spacing w:after="160"/>
      </w:pPr>
      <w:r>
        <w:t xml:space="preserve">Beyond re-confirming Week 5 results, three additional weaknesses were identified through new, more realistic testing this week (Section 2).</w:t>
      </w:r>
    </w:p>
    <w:p>
      <w:pPr>
        <w:pStyle w:val="Heading1"/>
        <w:spacing w:after="160" w:before="320"/>
      </w:pPr>
      <w:r>
        <w:t xml:space="preserve">Section 2: Expanded Test Set and New Findings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600"/>
        <w:gridCol w:w="2400"/>
      </w:tblGrid>
      <w:tr>
        <w:trPr>
          <w:tblHeader/>
        </w:trPr>
        <w:tc>
          <w:tcPr>
            <w:tcW w:type="dxa" w:w="1500"/>
            <w:shd w:fill="2E5395" w:val="clear"/>
            <w:tcMar>
              <w:top w:type="dxa" w:w="70"/>
              <w:left w:type="dxa" w:w="90"/>
              <w:bottom w:type="dxa" w:w="70"/>
              <w:right w:type="dxa" w:w="90"/>
            </w:tcMar>
          </w:tcPr>
          <w:p>
            <w:r>
              <w:rPr>
                <w:b/>
                <w:bCs/>
                <w:color w:val="FFFFFF"/>
                <w:sz w:val="18"/>
                <w:szCs w:val="18"/>
              </w:rPr>
              <w:t xml:space="preserve">Category</w:t>
            </w:r>
          </w:p>
        </w:tc>
        <w:tc>
          <w:tcPr>
            <w:tcW w:type="dxa" w:w="2700"/>
            <w:shd w:fill="2E5395" w:val="clear"/>
            <w:tcMar>
              <w:top w:type="dxa" w:w="70"/>
              <w:left w:type="dxa" w:w="90"/>
              <w:bottom w:type="dxa" w:w="70"/>
              <w:right w:type="dxa" w:w="90"/>
            </w:tcMar>
          </w:tcPr>
          <w:p>
            <w:r>
              <w:rPr>
                <w:b/>
                <w:bCs/>
                <w:color w:val="FFFFFF"/>
                <w:sz w:val="18"/>
                <w:szCs w:val="18"/>
              </w:rPr>
              <w:t xml:space="preserve">Test Query</w:t>
            </w:r>
          </w:p>
        </w:tc>
        <w:tc>
          <w:tcPr>
            <w:tcW w:type="dxa" w:w="2600"/>
            <w:shd w:fill="2E5395" w:val="clear"/>
            <w:tcMar>
              <w:top w:type="dxa" w:w="70"/>
              <w:left w:type="dxa" w:w="90"/>
              <w:bottom w:type="dxa" w:w="70"/>
              <w:right w:type="dxa" w:w="90"/>
            </w:tcMar>
          </w:tcPr>
          <w:p>
            <w:r>
              <w:rPr>
                <w:b/>
                <w:bCs/>
                <w:color w:val="FFFFFF"/>
                <w:sz w:val="18"/>
                <w:szCs w:val="18"/>
              </w:rPr>
              <w:t xml:space="preserve">Result</w:t>
            </w:r>
          </w:p>
        </w:tc>
        <w:tc>
          <w:tcPr>
            <w:tcW w:type="dxa" w:w="2400"/>
            <w:shd w:fill="2E5395" w:val="clear"/>
            <w:tcMar>
              <w:top w:type="dxa" w:w="70"/>
              <w:left w:type="dxa" w:w="90"/>
              <w:bottom w:type="dxa" w:w="70"/>
              <w:right w:type="dxa" w:w="90"/>
            </w:tcMar>
          </w:tcPr>
          <w:p>
            <w:r>
              <w:rPr>
                <w:b/>
                <w:bCs/>
                <w:color w:val="FFFFFF"/>
                <w:sz w:val="18"/>
                <w:szCs w:val="18"/>
              </w:rPr>
              <w:t xml:space="preserve">Finding</w:t>
            </w:r>
          </w:p>
        </w:tc>
      </w:tr>
      <w:tr>
        <w:tc>
          <w:tcPr>
            <w:tcW w:type="dxa" w:w="1500"/>
            <w:tcMar>
              <w:top w:type="dxa" w:w="70"/>
              <w:left w:type="dxa" w:w="90"/>
              <w:bottom w:type="dxa" w:w="70"/>
              <w:right w:type="dxa" w:w="90"/>
            </w:tcMar>
          </w:tcPr>
          <w:p>
            <w:r>
              <w:rPr>
                <w:b w:val="false"/>
                <w:bCs w:val="false"/>
                <w:sz w:val="18"/>
                <w:szCs w:val="18"/>
              </w:rPr>
              <w:t xml:space="preserve">Consistency</w:t>
            </w:r>
          </w:p>
        </w:tc>
        <w:tc>
          <w:tcPr>
            <w:tcW w:type="dxa" w:w="2700"/>
            <w:tcMar>
              <w:top w:type="dxa" w:w="70"/>
              <w:left w:type="dxa" w:w="90"/>
              <w:bottom w:type="dxa" w:w="70"/>
              <w:right w:type="dxa" w:w="90"/>
            </w:tcMar>
          </w:tcPr>
          <w:p>
            <w:r>
              <w:rPr>
                <w:b w:val="false"/>
                <w:bCs w:val="false"/>
                <w:sz w:val="18"/>
                <w:szCs w:val="18"/>
              </w:rPr>
              <w:t xml:space="preserve">"What time do you open?" / "What are your opening hours?" / "When is the clinic open?"</w:t>
            </w:r>
          </w:p>
        </w:tc>
        <w:tc>
          <w:tcPr>
            <w:tcW w:type="dxa" w:w="2600"/>
            <w:tcMar>
              <w:top w:type="dxa" w:w="70"/>
              <w:left w:type="dxa" w:w="90"/>
              <w:bottom w:type="dxa" w:w="70"/>
              <w:right w:type="dxa" w:w="90"/>
            </w:tcMar>
          </w:tcPr>
          <w:p>
            <w:r>
              <w:rPr>
                <w:b w:val="false"/>
                <w:bCs w:val="false"/>
                <w:sz w:val="18"/>
                <w:szCs w:val="18"/>
              </w:rPr>
              <w:t xml:space="preserve">All three returned the identical, correct locations_hours answer.</w:t>
            </w:r>
          </w:p>
        </w:tc>
        <w:tc>
          <w:tcPr>
            <w:tcW w:type="dxa" w:w="2400"/>
            <w:tcMar>
              <w:top w:type="dxa" w:w="70"/>
              <w:left w:type="dxa" w:w="90"/>
              <w:bottom w:type="dxa" w:w="70"/>
              <w:right w:type="dxa" w:w="90"/>
            </w:tcMar>
          </w:tcPr>
          <w:p>
            <w:r>
              <w:rPr>
                <w:b w:val="false"/>
                <w:bCs w:val="false"/>
                <w:sz w:val="18"/>
                <w:szCs w:val="18"/>
              </w:rPr>
              <w:t xml:space="preserve">Pass — the assistant is consistent across rephrasings of the same question, which is not guaranteed with keyword matching and was worth explicitly verifying.</w:t>
            </w:r>
          </w:p>
        </w:tc>
      </w:tr>
      <w:tr>
        <w:tc>
          <w:tcPr>
            <w:tcW w:type="dxa" w:w="1500"/>
            <w:tcMar>
              <w:top w:type="dxa" w:w="70"/>
              <w:left w:type="dxa" w:w="90"/>
              <w:bottom w:type="dxa" w:w="70"/>
              <w:right w:type="dxa" w:w="90"/>
            </w:tcMar>
          </w:tcPr>
          <w:p>
            <w:r>
              <w:rPr>
                <w:b w:val="false"/>
                <w:bCs w:val="false"/>
                <w:sz w:val="18"/>
                <w:szCs w:val="18"/>
              </w:rPr>
              <w:t xml:space="preserve">Knowledge Base insufficient</w:t>
            </w:r>
          </w:p>
        </w:tc>
        <w:tc>
          <w:tcPr>
            <w:tcW w:type="dxa" w:w="2700"/>
            <w:tcMar>
              <w:top w:type="dxa" w:w="70"/>
              <w:left w:type="dxa" w:w="90"/>
              <w:bottom w:type="dxa" w:w="70"/>
              <w:right w:type="dxa" w:w="90"/>
            </w:tcMar>
          </w:tcPr>
          <w:p>
            <w:r>
              <w:rPr>
                <w:b w:val="false"/>
                <w:bCs w:val="false"/>
                <w:sz w:val="18"/>
                <w:szCs w:val="18"/>
              </w:rPr>
              <w:t xml:space="preserve">"Do you do pediatric consultations?"</w:t>
            </w:r>
          </w:p>
        </w:tc>
        <w:tc>
          <w:tcPr>
            <w:tcW w:type="dxa" w:w="2600"/>
            <w:tcMar>
              <w:top w:type="dxa" w:w="70"/>
              <w:left w:type="dxa" w:w="90"/>
              <w:bottom w:type="dxa" w:w="70"/>
              <w:right w:type="dxa" w:w="90"/>
            </w:tcMar>
          </w:tcPr>
          <w:p>
            <w:r>
              <w:rPr>
                <w:b w:val="false"/>
                <w:bCs w:val="false"/>
                <w:sz w:val="18"/>
                <w:szCs w:val="18"/>
              </w:rPr>
              <w:t xml:space="preserve">Matched the services topic and returned the general services list, without addressing whether pediatric care specifically is offered.</w:t>
            </w:r>
          </w:p>
        </w:tc>
        <w:tc>
          <w:tcPr>
            <w:tcW w:type="dxa" w:w="2400"/>
            <w:tcMar>
              <w:top w:type="dxa" w:w="70"/>
              <w:left w:type="dxa" w:w="90"/>
              <w:bottom w:type="dxa" w:w="70"/>
              <w:right w:type="dxa" w:w="90"/>
            </w:tcMar>
          </w:tcPr>
          <w:p>
            <w:r>
              <w:rPr>
                <w:b w:val="false"/>
                <w:bCs w:val="false"/>
                <w:sz w:val="18"/>
                <w:szCs w:val="18"/>
              </w:rPr>
              <w:t xml:space="preserve">Weakness — the response is technically grounded (no invented facts) but incomplete: it doesn't tell the patient their specific question wasn't actually answered, which risks the patient wrongly assuming pediatric services are confirmed.</w:t>
            </w:r>
          </w:p>
        </w:tc>
      </w:tr>
      <w:tr>
        <w:tc>
          <w:tcPr>
            <w:tcW w:type="dxa" w:w="1500"/>
            <w:tcMar>
              <w:top w:type="dxa" w:w="70"/>
              <w:left w:type="dxa" w:w="90"/>
              <w:bottom w:type="dxa" w:w="70"/>
              <w:right w:type="dxa" w:w="90"/>
            </w:tcMar>
          </w:tcPr>
          <w:p>
            <w:r>
              <w:rPr>
                <w:b w:val="false"/>
                <w:bCs w:val="false"/>
                <w:sz w:val="18"/>
                <w:szCs w:val="18"/>
              </w:rPr>
              <w:t xml:space="preserve">Knowledge Base insufficient</w:t>
            </w:r>
          </w:p>
        </w:tc>
        <w:tc>
          <w:tcPr>
            <w:tcW w:type="dxa" w:w="2700"/>
            <w:tcMar>
              <w:top w:type="dxa" w:w="70"/>
              <w:left w:type="dxa" w:w="90"/>
              <w:bottom w:type="dxa" w:w="70"/>
              <w:right w:type="dxa" w:w="90"/>
            </w:tcMar>
          </w:tcPr>
          <w:p>
            <w:r>
              <w:rPr>
                <w:b w:val="false"/>
                <w:bCs w:val="false"/>
                <w:sz w:val="18"/>
                <w:szCs w:val="18"/>
              </w:rPr>
              <w:t xml:space="preserve">"Can I get a same-day appointment?"</w:t>
            </w:r>
          </w:p>
        </w:tc>
        <w:tc>
          <w:tcPr>
            <w:tcW w:type="dxa" w:w="2600"/>
            <w:tcMar>
              <w:top w:type="dxa" w:w="70"/>
              <w:left w:type="dxa" w:w="90"/>
              <w:bottom w:type="dxa" w:w="70"/>
              <w:right w:type="dxa" w:w="90"/>
            </w:tcMar>
          </w:tcPr>
          <w:p>
            <w:r>
              <w:rPr>
                <w:b w:val="false"/>
                <w:bCs w:val="false"/>
                <w:sz w:val="18"/>
                <w:szCs w:val="18"/>
              </w:rPr>
              <w:t xml:space="preserve">Matched the booking topic and returned general booking steps, without addressing same-day availability.</w:t>
            </w:r>
          </w:p>
        </w:tc>
        <w:tc>
          <w:tcPr>
            <w:tcW w:type="dxa" w:w="2400"/>
            <w:tcMar>
              <w:top w:type="dxa" w:w="70"/>
              <w:left w:type="dxa" w:w="90"/>
              <w:bottom w:type="dxa" w:w="70"/>
              <w:right w:type="dxa" w:w="90"/>
            </w:tcMar>
          </w:tcPr>
          <w:p>
            <w:r>
              <w:rPr>
                <w:b w:val="false"/>
                <w:bCs w:val="false"/>
                <w:sz w:val="18"/>
                <w:szCs w:val="18"/>
              </w:rPr>
              <w:t xml:space="preserve">Weakness — same pattern as above: a specific question gets a generic, technically-grounded but non-answering response.</w:t>
            </w:r>
          </w:p>
        </w:tc>
      </w:tr>
      <w:tr>
        <w:tc>
          <w:tcPr>
            <w:tcW w:type="dxa" w:w="1500"/>
            <w:tcMar>
              <w:top w:type="dxa" w:w="70"/>
              <w:left w:type="dxa" w:w="90"/>
              <w:bottom w:type="dxa" w:w="70"/>
              <w:right w:type="dxa" w:w="90"/>
            </w:tcMar>
          </w:tcPr>
          <w:p>
            <w:r>
              <w:rPr>
                <w:b w:val="false"/>
                <w:bCs w:val="false"/>
                <w:sz w:val="18"/>
                <w:szCs w:val="18"/>
              </w:rPr>
              <w:t xml:space="preserve">Unsupported (rephrased)</w:t>
            </w:r>
          </w:p>
        </w:tc>
        <w:tc>
          <w:tcPr>
            <w:tcW w:type="dxa" w:w="2700"/>
            <w:tcMar>
              <w:top w:type="dxa" w:w="70"/>
              <w:left w:type="dxa" w:w="90"/>
              <w:bottom w:type="dxa" w:w="70"/>
              <w:right w:type="dxa" w:w="90"/>
            </w:tcMar>
          </w:tcPr>
          <w:p>
            <w:r>
              <w:rPr>
                <w:b w:val="false"/>
                <w:bCs w:val="false"/>
                <w:sz w:val="18"/>
                <w:szCs w:val="18"/>
              </w:rPr>
              <w:t xml:space="preserve">"Please confirm my appointment right now"</w:t>
            </w:r>
          </w:p>
        </w:tc>
        <w:tc>
          <w:tcPr>
            <w:tcW w:type="dxa" w:w="2600"/>
            <w:tcMar>
              <w:top w:type="dxa" w:w="70"/>
              <w:left w:type="dxa" w:w="90"/>
              <w:bottom w:type="dxa" w:w="70"/>
              <w:right w:type="dxa" w:w="90"/>
            </w:tcMar>
          </w:tcPr>
          <w:p>
            <w:r>
              <w:rPr>
                <w:b w:val="false"/>
                <w:bCs w:val="false"/>
                <w:sz w:val="18"/>
                <w:szCs w:val="18"/>
              </w:rPr>
              <w:t xml:space="preserve">Matched the booking topic and returned general booking instructions, as if this were an information request.</w:t>
            </w:r>
          </w:p>
        </w:tc>
        <w:tc>
          <w:tcPr>
            <w:tcW w:type="dxa" w:w="2400"/>
            <w:tcMar>
              <w:top w:type="dxa" w:w="70"/>
              <w:left w:type="dxa" w:w="90"/>
              <w:bottom w:type="dxa" w:w="70"/>
              <w:right w:type="dxa" w:w="90"/>
            </w:tcMar>
          </w:tcPr>
          <w:p>
            <w:r>
              <w:rPr>
                <w:b w:val="false"/>
                <w:bCs w:val="false"/>
                <w:sz w:val="18"/>
                <w:szCs w:val="18"/>
              </w:rPr>
              <w:t xml:space="preserve">Confirms the Week 5 limitation (action vs. information requests) is still unresolved — documented as carried-forward, not silently dropped.</w:t>
            </w:r>
          </w:p>
        </w:tc>
      </w:tr>
    </w:tbl>
    <w:p>
      <w:pPr>
        <w:pStyle w:val="Heading1"/>
        <w:spacing w:after="160" w:before="320"/>
      </w:pPr>
      <w:r>
        <w:t xml:space="preserve">Section 3: Refinement — Cross-Track Integration Feature</w:t>
      </w:r>
    </w:p>
    <w:p>
      <w:pPr>
        <w:spacing w:after="160"/>
      </w:pPr>
      <w:r>
        <w:t xml:space="preserve">The most significant refinement this week was not a bug fix but a new, evidence-based feature, built directly from real data shared by a Data Analytics intern (see Section 9 for full collaboration record). Her analysis of the HealthConnect appointment dataset found: overall no-show rate 51%; no-show rate with no reminder 51.4%; with an SMS reminder 45.8% (the best-performing channel), compared to 48.4% for email and 49.8% for WhatsApp.</w:t>
      </w:r>
    </w:p>
    <w:p>
      <w:pPr>
        <w:spacing w:after="160"/>
      </w:pPr>
      <w:r>
        <w:t xml:space="preserve">This is a direct, in-scope, and safe piece of guidance to add to the assistant: it does not invent clinic policy, and it is framed explicitly as an evidence-based tip rather than an official rule.</w:t>
      </w:r>
    </w:p>
    <w:p>
      <w:pPr>
        <w:pStyle w:val="Heading2"/>
        <w:spacing w:after="120" w:before="240"/>
      </w:pPr>
      <w:r>
        <w:t xml:space="preserve">Before (Week 5)</w:t>
      </w:r>
    </w:p>
    <w:p>
      <w:pPr>
        <w:shd w:fill="F4F4F4" w:val="clear"/>
        <w:spacing w:after="200"/>
      </w:pPr>
      <w:r>
        <w:rPr>
          <w:rFonts w:ascii="Consolas" w:cs="Consolas" w:eastAsia="Consolas" w:hAnsi="Consolas"/>
          <w:sz w:val="18"/>
          <w:szCs w:val="18"/>
        </w:rPr>
        <w:t xml:space="preserve">Q: How do I book an appointment?</w:t>
      </w:r>
      <w:r>
        <w:rPr>
          <w:rFonts w:ascii="Consolas" w:cs="Consolas" w:eastAsia="Consolas" w:hAnsi="Consolas"/>
          <w:sz w:val="18"/>
          <w:szCs w:val="18"/>
        </w:rPr>
        <w:br/>
        <w:t xml:space="preserve">A: Here's what I can tell you: You can request an appointment through the clinic</w:t>
      </w:r>
      <w:r>
        <w:rPr>
          <w:rFonts w:ascii="Consolas" w:cs="Consolas" w:eastAsia="Consolas" w:hAnsi="Consolas"/>
          <w:sz w:val="18"/>
          <w:szCs w:val="18"/>
        </w:rPr>
        <w:br/>
        <w:t xml:space="preserve">   booking channel... [booking steps only, no reminder guidance]</w:t>
      </w:r>
      <w:r>
        <w:rPr>
          <w:rFonts w:ascii="Consolas" w:cs="Consolas" w:eastAsia="Consolas" w:hAnsi="Consolas"/>
          <w:sz w:val="18"/>
          <w:szCs w:val="18"/>
        </w:rPr>
        <w:br/>
        <w:t xml:space="preserve"/>
      </w:r>
      <w:r>
        <w:rPr>
          <w:rFonts w:ascii="Consolas" w:cs="Consolas" w:eastAsia="Consolas" w:hAnsi="Consolas"/>
          <w:sz w:val="18"/>
          <w:szCs w:val="18"/>
        </w:rPr>
        <w:br/>
        <w:t xml:space="preserve">Q: Which reminder channel should I use?</w:t>
      </w:r>
      <w:r>
        <w:rPr>
          <w:rFonts w:ascii="Consolas" w:cs="Consolas" w:eastAsia="Consolas" w:hAnsi="Consolas"/>
          <w:sz w:val="18"/>
          <w:szCs w:val="18"/>
        </w:rPr>
        <w:br/>
        <w:t xml:space="preserve">A: I don't have information on that. I'd recommend contacting clinic reception directly.</w:t>
      </w:r>
    </w:p>
    <w:p>
      <w:pPr>
        <w:pStyle w:val="Heading2"/>
        <w:spacing w:after="120" w:before="240"/>
      </w:pPr>
      <w:r>
        <w:t xml:space="preserve">After (Week 6)</w:t>
      </w:r>
    </w:p>
    <w:p>
      <w:pPr>
        <w:shd w:fill="F4F4F4" w:val="clear"/>
        <w:spacing w:after="200"/>
      </w:pPr>
      <w:r>
        <w:rPr>
          <w:rFonts w:ascii="Consolas" w:cs="Consolas" w:eastAsia="Consolas" w:hAnsi="Consolas"/>
          <w:sz w:val="18"/>
          <w:szCs w:val="18"/>
        </w:rPr>
        <w:t xml:space="preserve">Q: How do I book an appointment?</w:t>
      </w:r>
      <w:r>
        <w:rPr>
          <w:rFonts w:ascii="Consolas" w:cs="Consolas" w:eastAsia="Consolas" w:hAnsi="Consolas"/>
          <w:sz w:val="18"/>
          <w:szCs w:val="18"/>
        </w:rPr>
        <w:br/>
        <w:t xml:space="preserve">A: Here's what I can tell you: [booking steps] ... Making sure the clinic has a way</w:t>
      </w:r>
      <w:r>
        <w:rPr>
          <w:rFonts w:ascii="Consolas" w:cs="Consolas" w:eastAsia="Consolas" w:hAnsi="Consolas"/>
          <w:sz w:val="18"/>
          <w:szCs w:val="18"/>
        </w:rPr>
        <w:br/>
        <w:t xml:space="preserve">   to remind you (especially by SMS) is strongly linked to fewer missed appointments,</w:t>
      </w:r>
      <w:r>
        <w:rPr>
          <w:rFonts w:ascii="Consolas" w:cs="Consolas" w:eastAsia="Consolas" w:hAnsi="Consolas"/>
          <w:sz w:val="18"/>
          <w:szCs w:val="18"/>
        </w:rPr>
        <w:br/>
        <w:t xml:space="preserve">   based on HealthConnect's own appointment data — so it's worth confirming your</w:t>
      </w:r>
      <w:r>
        <w:rPr>
          <w:rFonts w:ascii="Consolas" w:cs="Consolas" w:eastAsia="Consolas" w:hAnsi="Consolas"/>
          <w:sz w:val="18"/>
          <w:szCs w:val="18"/>
        </w:rPr>
        <w:br/>
        <w:t xml:space="preserve">   preferred reminder channel when you book.</w:t>
      </w:r>
      <w:r>
        <w:rPr>
          <w:rFonts w:ascii="Consolas" w:cs="Consolas" w:eastAsia="Consolas" w:hAnsi="Consolas"/>
          <w:sz w:val="18"/>
          <w:szCs w:val="18"/>
        </w:rPr>
        <w:br/>
        <w:t xml:space="preserve"/>
      </w:r>
      <w:r>
        <w:rPr>
          <w:rFonts w:ascii="Consolas" w:cs="Consolas" w:eastAsia="Consolas" w:hAnsi="Consolas"/>
          <w:sz w:val="18"/>
          <w:szCs w:val="18"/>
        </w:rPr>
        <w:br/>
        <w:t xml:space="preserve">Q: Which reminder channel should I use?</w:t>
      </w:r>
      <w:r>
        <w:rPr>
          <w:rFonts w:ascii="Consolas" w:cs="Consolas" w:eastAsia="Consolas" w:hAnsi="Consolas"/>
          <w:sz w:val="18"/>
          <w:szCs w:val="18"/>
        </w:rPr>
        <w:br/>
        <w:t xml:space="preserve">A: Reminder preferences aren't something I can set for you directly, but here's</w:t>
      </w:r>
      <w:r>
        <w:rPr>
          <w:rFonts w:ascii="Consolas" w:cs="Consolas" w:eastAsia="Consolas" w:hAnsi="Consolas"/>
          <w:sz w:val="18"/>
          <w:szCs w:val="18"/>
        </w:rPr>
        <w:br/>
        <w:t xml:space="preserve">   something useful: [SMS-reminder evidence, as above]</w:t>
      </w:r>
    </w:p>
    <w:p>
      <w:pPr>
        <w:spacing w:after="160"/>
      </w:pPr>
      <w:r>
        <w:t xml:space="preserve">Note: the standalone "which reminder channel" question initially still fell through to the generic fallback on first implementation, because it matched no existing Knowledge Base topic. This was caught immediately during testing and fixed by explicitly checking for reminder-related phrasing even when no topic is retrieved — itself a small example of the Evaluate → Identify weaknesses → Improve → Validate cycle the brief asks for, applied to a brand-new feature rather than only to Week 5 carryover issues.</w:t>
      </w:r>
    </w:p>
    <w:p>
      <w:pPr>
        <w:pStyle w:val="Heading1"/>
        <w:spacing w:after="160" w:before="320"/>
      </w:pPr>
      <w:r>
        <w:t xml:space="preserve">Section 4: Safety and Escalation Validation</w:t>
      </w:r>
    </w:p>
    <w:p>
      <w:pPr>
        <w:spacing w:after="160"/>
      </w:pPr>
      <w:r>
        <w:t xml:space="preserve">All four Week 5 escalation test cases (two medical, two emergency) were re-run against the Week 6 code and produced identical, correct results — confirming the fixes made in Week 5 remain effective and were not disturbed by this week's changes. No new escalation-related regressions were introduced by the reminder-channel feature, since that feature only activates after the emergency/medical classification step and cannot override it.</w:t>
      </w:r>
    </w:p>
    <w:p>
      <w:pPr>
        <w:pStyle w:val="Heading1"/>
        <w:spacing w:after="160" w:before="320"/>
      </w:pPr>
      <w:r>
        <w:t xml:space="preserve">Section 5: Knowledge Base Compliance</w:t>
      </w:r>
    </w:p>
    <w:p>
      <w:pPr>
        <w:spacing w:after="160"/>
      </w:pPr>
      <w:r>
        <w:t xml:space="preserve">The new reminder-channel guidance is the first Week 6 addition to what the assistant can say, and it was deliberately checked against the Knowledge Base compliance rule established in Week 5 (patient_text vs. internal_note separation, no invented clinic facts). The reminder tip cites HealthConnect's own appointment data (via the Data Analytics track) rather than the Knowledge Base directly, so it is clearly framed as "based on HealthConnect's own appointment data" rather than presented as an official clinic policy — preserving the rule that the assistant must not invent or overstate clinic policy.</w:t>
      </w:r>
    </w:p>
    <w:p>
      <w:pPr>
        <w:pStyle w:val="Heading1"/>
        <w:spacing w:after="160" w:before="320"/>
      </w:pPr>
      <w:r>
        <w:t xml:space="preserve">Section 6: Limitations (Updated)</w:t>
      </w:r>
    </w:p>
    <w:p>
      <w:pPr>
        <w:pStyle w:val="ListParagraph"/>
        <w:numPr>
          <w:ilvl w:val="0"/>
          <w:numId w:val="2"/>
        </w:numPr>
        <w:spacing w:after="80"/>
      </w:pPr>
      <w:r>
        <w:t xml:space="preserve">Keyword-based classification and retrieval still cannot capture true intent — confirmed again this week by the "please confirm my appointment right now" case.</w:t>
      </w:r>
    </w:p>
    <w:p>
      <w:pPr>
        <w:pStyle w:val="ListParagraph"/>
        <w:numPr>
          <w:ilvl w:val="0"/>
          <w:numId w:val="2"/>
        </w:numPr>
        <w:spacing w:after="80"/>
      </w:pPr>
      <w:r>
        <w:t xml:space="preserve">Specific-but-unanswerable questions (pediatric consultations, same-day availability) return technically-grounded but non-responsive answers rather than clearly telling the patient their specific question wasn't addressed. This is a new finding from Week 6 testing, not carried over from Week 5.</w:t>
      </w:r>
    </w:p>
    <w:p>
      <w:pPr>
        <w:pStyle w:val="ListParagraph"/>
        <w:numPr>
          <w:ilvl w:val="0"/>
          <w:numId w:val="2"/>
        </w:numPr>
        <w:spacing w:after="80"/>
      </w:pPr>
      <w:r>
        <w:t xml:space="preserve">The reminder-channel tip is currently appended by simple keyword/topic matching (same mechanism as everything else), so it inherits the same phrasing-sensitivity limitations as the rest of the system.</w:t>
      </w:r>
    </w:p>
    <w:p>
      <w:pPr>
        <w:pStyle w:val="ListParagraph"/>
        <w:numPr>
          <w:ilvl w:val="0"/>
          <w:numId w:val="2"/>
        </w:numPr>
        <w:spacing w:after="80"/>
      </w:pPr>
      <w:r>
        <w:t xml:space="preserve">No live connection to real appointment data exists yet — the reminder statistic is a static string sourced from Juliet's shared findings, not a live query against the dataset.</w:t>
      </w:r>
    </w:p>
    <w:p>
      <w:pPr>
        <w:pStyle w:val="Heading1"/>
        <w:spacing w:after="160" w:before="320"/>
      </w:pPr>
      <w:r>
        <w:t xml:space="preserve">Section 7: Measurable Criteria for Week 7 Testing</w:t>
      </w:r>
    </w:p>
    <w:p>
      <w:pPr>
        <w:pStyle w:val="ListParagraph"/>
        <w:numPr>
          <w:ilvl w:val="0"/>
          <w:numId w:val="2"/>
        </w:numPr>
        <w:spacing w:after="80"/>
      </w:pPr>
      <w:r>
        <w:t xml:space="preserve">Escalation accuracy: 100% of medical/emergency test phrasings (expand beyond current keyword list) must correctly escalate — zero tolerance, given the safety stakes already demonstrated.</w:t>
      </w:r>
    </w:p>
    <w:p>
      <w:pPr>
        <w:pStyle w:val="ListParagraph"/>
        <w:numPr>
          <w:ilvl w:val="0"/>
          <w:numId w:val="2"/>
        </w:numPr>
        <w:spacing w:after="80"/>
      </w:pPr>
      <w:r>
        <w:t xml:space="preserve">Grounding accuracy: 0% of responses should contain content not traceable to the Knowledge Base or an explicitly cited external source (e.g., the Data Analytics reminder statistic).</w:t>
      </w:r>
    </w:p>
    <w:p>
      <w:pPr>
        <w:pStyle w:val="ListParagraph"/>
        <w:numPr>
          <w:ilvl w:val="0"/>
          <w:numId w:val="2"/>
        </w:numPr>
        <w:spacing w:after="80"/>
      </w:pPr>
      <w:r>
        <w:t xml:space="preserve">Completeness rate: responses to specific patient questions (e.g., "do you offer X service") should explicitly confirm or clearly deny, not default to a generic related answer — target: reduce the two Section 2 "KB insufficient" failure patterns to zero occurrences on an expanded test set.</w:t>
      </w:r>
    </w:p>
    <w:p>
      <w:pPr>
        <w:pStyle w:val="ListParagraph"/>
        <w:numPr>
          <w:ilvl w:val="0"/>
          <w:numId w:val="2"/>
        </w:numPr>
        <w:spacing w:after="80"/>
      </w:pPr>
      <w:r>
        <w:t xml:space="preserve">Consistency: paraphrased versions of the same question should return the same underlying answer — target: maintain 100%, as achieved this week.</w:t>
      </w:r>
    </w:p>
    <w:p>
      <w:pPr>
        <w:pStyle w:val="Heading1"/>
        <w:spacing w:after="160" w:before="320"/>
      </w:pPr>
      <w:r>
        <w:t xml:space="preserve">Section 8: Cross-Track Contribution Summary</w:t>
      </w:r>
    </w:p>
    <w:p>
      <w:pPr>
        <w:spacing w:after="160"/>
      </w:pPr>
      <w:r>
        <w:t xml:space="preserve">This week's assistant improvement was directly caused by a completed, evidenced exchange with the Data Analytics track. Full documentation, including the required seven fields and evidence, is provided in Section 9 below.</w:t>
      </w:r>
    </w:p>
    <w:p>
      <w:pPr>
        <w:pStyle w:val="Heading1"/>
        <w:spacing w:after="160" w:before="320"/>
      </w:pPr>
      <w:r>
        <w:t xml:space="preserve">Section 9: Mandatory Cross-Track Integration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2E5395" w:val="clear"/>
            <w:tcMar>
              <w:top w:type="dxa" w:w="70"/>
              <w:left w:type="dxa" w:w="90"/>
              <w:bottom w:type="dxa" w:w="70"/>
              <w:right w:type="dxa" w:w="90"/>
            </w:tcMar>
          </w:tcPr>
          <w:p>
            <w:r>
              <w:rPr>
                <w:b/>
                <w:bCs/>
                <w:color w:val="FFFFFF"/>
                <w:sz w:val="18"/>
                <w:szCs w:val="18"/>
              </w:rPr>
              <w:t xml:space="preserve">Field</w:t>
            </w:r>
          </w:p>
        </w:tc>
        <w:tc>
          <w:tcPr>
            <w:tcW w:type="dxa" w:w="6800"/>
            <w:shd w:fill="2E5395" w:val="clear"/>
            <w:tcMar>
              <w:top w:type="dxa" w:w="70"/>
              <w:left w:type="dxa" w:w="90"/>
              <w:bottom w:type="dxa" w:w="70"/>
              <w:right w:type="dxa" w:w="90"/>
            </w:tcMar>
          </w:tcPr>
          <w:p>
            <w:r>
              <w:rPr>
                <w:b/>
                <w:bCs/>
                <w:color w:val="FFFFFF"/>
                <w:sz w:val="18"/>
                <w:szCs w:val="18"/>
              </w:rPr>
              <w:t xml:space="preserve">Detail</w:t>
            </w:r>
          </w:p>
        </w:tc>
      </w:tr>
      <w:tr>
        <w:tc>
          <w:tcPr>
            <w:tcW w:type="dxa" w:w="2400"/>
            <w:tcMar>
              <w:top w:type="dxa" w:w="70"/>
              <w:left w:type="dxa" w:w="90"/>
              <w:bottom w:type="dxa" w:w="70"/>
              <w:right w:type="dxa" w:w="90"/>
            </w:tcMar>
          </w:tcPr>
          <w:p>
            <w:r>
              <w:rPr>
                <w:b w:val="false"/>
                <w:bCs w:val="false"/>
                <w:sz w:val="18"/>
                <w:szCs w:val="18"/>
              </w:rPr>
              <w:t xml:space="preserve">1. Track collaborated with</w:t>
            </w:r>
          </w:p>
        </w:tc>
        <w:tc>
          <w:tcPr>
            <w:tcW w:type="dxa" w:w="6800"/>
            <w:tcMar>
              <w:top w:type="dxa" w:w="70"/>
              <w:left w:type="dxa" w:w="90"/>
              <w:bottom w:type="dxa" w:w="70"/>
              <w:right w:type="dxa" w:w="90"/>
            </w:tcMar>
          </w:tcPr>
          <w:p>
            <w:r>
              <w:rPr>
                <w:b w:val="false"/>
                <w:bCs w:val="false"/>
                <w:sz w:val="18"/>
                <w:szCs w:val="18"/>
              </w:rPr>
              <w:t xml:space="preserve">Data Analytics (Juliet).</w:t>
            </w:r>
          </w:p>
        </w:tc>
      </w:tr>
      <w:tr>
        <w:tc>
          <w:tcPr>
            <w:tcW w:type="dxa" w:w="2400"/>
            <w:tcMar>
              <w:top w:type="dxa" w:w="70"/>
              <w:left w:type="dxa" w:w="90"/>
              <w:bottom w:type="dxa" w:w="70"/>
              <w:right w:type="dxa" w:w="90"/>
            </w:tcMar>
          </w:tcPr>
          <w:p>
            <w:r>
              <w:rPr>
                <w:b w:val="false"/>
                <w:bCs w:val="false"/>
                <w:sz w:val="18"/>
                <w:szCs w:val="18"/>
              </w:rPr>
              <w:t xml:space="preserve">2. Project dependency</w:t>
            </w:r>
          </w:p>
        </w:tc>
        <w:tc>
          <w:tcPr>
            <w:tcW w:type="dxa" w:w="6800"/>
            <w:tcMar>
              <w:top w:type="dxa" w:w="70"/>
              <w:left w:type="dxa" w:w="90"/>
              <w:bottom w:type="dxa" w:w="70"/>
              <w:right w:type="dxa" w:w="90"/>
            </w:tcMar>
          </w:tcPr>
          <w:p>
            <w:r>
              <w:rPr>
                <w:b w:val="false"/>
                <w:bCs w:val="false"/>
                <w:sz w:val="18"/>
                <w:szCs w:val="18"/>
              </w:rPr>
              <w:t xml:space="preserve">The Generative AI assistant's booking-related guidance had no reminder-related content; Data Analytics' no-show analysis directly identified reminder channel as a significant, actionable factor.</w:t>
            </w:r>
          </w:p>
        </w:tc>
      </w:tr>
      <w:tr>
        <w:tc>
          <w:tcPr>
            <w:tcW w:type="dxa" w:w="2400"/>
            <w:tcMar>
              <w:top w:type="dxa" w:w="70"/>
              <w:left w:type="dxa" w:w="90"/>
              <w:bottom w:type="dxa" w:w="70"/>
              <w:right w:type="dxa" w:w="90"/>
            </w:tcMar>
          </w:tcPr>
          <w:p>
            <w:r>
              <w:rPr>
                <w:b w:val="false"/>
                <w:bCs w:val="false"/>
                <w:sz w:val="18"/>
                <w:szCs w:val="18"/>
              </w:rPr>
              <w:t xml:space="preserve">3. Information/output received</w:t>
            </w:r>
          </w:p>
        </w:tc>
        <w:tc>
          <w:tcPr>
            <w:tcW w:type="dxa" w:w="6800"/>
            <w:tcMar>
              <w:top w:type="dxa" w:w="70"/>
              <w:left w:type="dxa" w:w="90"/>
              <w:bottom w:type="dxa" w:w="70"/>
              <w:right w:type="dxa" w:w="90"/>
            </w:tcMar>
          </w:tcPr>
          <w:p>
            <w:r>
              <w:rPr>
                <w:b w:val="false"/>
                <w:bCs w:val="false"/>
                <w:sz w:val="18"/>
                <w:szCs w:val="18"/>
              </w:rPr>
              <w:t xml:space="preserve">Key HealthConnect appointment-data findings shared via chat: overall no-show rate 51%, attendance rate 43%, cancellation rate 6%, wasted appointment slots 57%; no-reminder no-show rate 51.4%; reminder-channel performance — SMS 45.8% (best), Email 48.4%, WhatsApp 49.8%; gender analysis showing no meaningful difference (49% male vs. 48% female).</w:t>
            </w:r>
          </w:p>
        </w:tc>
      </w:tr>
      <w:tr>
        <w:tc>
          <w:tcPr>
            <w:tcW w:type="dxa" w:w="2400"/>
            <w:tcMar>
              <w:top w:type="dxa" w:w="70"/>
              <w:left w:type="dxa" w:w="90"/>
              <w:bottom w:type="dxa" w:w="70"/>
              <w:right w:type="dxa" w:w="90"/>
            </w:tcMar>
          </w:tcPr>
          <w:p>
            <w:r>
              <w:rPr>
                <w:b w:val="false"/>
                <w:bCs w:val="false"/>
                <w:sz w:val="18"/>
                <w:szCs w:val="18"/>
              </w:rPr>
              <w:t xml:space="preserve">4. Information/output provided</w:t>
            </w:r>
          </w:p>
        </w:tc>
        <w:tc>
          <w:tcPr>
            <w:tcW w:type="dxa" w:w="6800"/>
            <w:tcMar>
              <w:top w:type="dxa" w:w="70"/>
              <w:left w:type="dxa" w:w="90"/>
              <w:bottom w:type="dxa" w:w="70"/>
              <w:right w:type="dxa" w:w="90"/>
            </w:tcMar>
          </w:tcPr>
          <w:p>
            <w:r>
              <w:rPr>
                <w:b w:val="false"/>
                <w:bCs w:val="false"/>
                <w:sz w:val="18"/>
                <w:szCs w:val="18"/>
              </w:rPr>
              <w:t xml:space="preserve">Confirmation that the SMS-reminder finding had been turned into a live assistant feature, plus a testing observation potentially relevant to her no-show/wasted-slot analysis: that unclear or incomplete answers to specific patient questions (e.g., service availability) were found during assistant testing, which may parallel real-world miscommunication contributing to no-shows.</w:t>
            </w:r>
          </w:p>
        </w:tc>
      </w:tr>
      <w:tr>
        <w:tc>
          <w:tcPr>
            <w:tcW w:type="dxa" w:w="2400"/>
            <w:tcMar>
              <w:top w:type="dxa" w:w="70"/>
              <w:left w:type="dxa" w:w="90"/>
              <w:bottom w:type="dxa" w:w="70"/>
              <w:right w:type="dxa" w:w="90"/>
            </w:tcMar>
          </w:tcPr>
          <w:p>
            <w:r>
              <w:rPr>
                <w:b w:val="false"/>
                <w:bCs w:val="false"/>
                <w:sz w:val="18"/>
                <w:szCs w:val="18"/>
              </w:rPr>
              <w:t xml:space="preserve">5. Integration activity completed</w:t>
            </w:r>
          </w:p>
        </w:tc>
        <w:tc>
          <w:tcPr>
            <w:tcW w:type="dxa" w:w="6800"/>
            <w:tcMar>
              <w:top w:type="dxa" w:w="70"/>
              <w:left w:type="dxa" w:w="90"/>
              <w:bottom w:type="dxa" w:w="70"/>
              <w:right w:type="dxa" w:w="90"/>
            </w:tcMar>
          </w:tcPr>
          <w:p>
            <w:r>
              <w:rPr>
                <w:b w:val="false"/>
                <w:bCs w:val="false"/>
                <w:sz w:val="18"/>
                <w:szCs w:val="18"/>
              </w:rPr>
              <w:t xml:space="preserve">Added a new, evidence-based reminder-channel guidance behaviour to the assistant's respond() function, triggered on booking-related and reminder-related queries. Found and fixed a gap during testing (standalone reminder questions initially fell through to the generic fallback). Re-ran the full Week 5 regression suite (13 cases) to confirm no other behaviour was disturbed.</w:t>
            </w:r>
          </w:p>
        </w:tc>
      </w:tr>
      <w:tr>
        <w:tc>
          <w:tcPr>
            <w:tcW w:type="dxa" w:w="2400"/>
            <w:tcMar>
              <w:top w:type="dxa" w:w="70"/>
              <w:left w:type="dxa" w:w="90"/>
              <w:bottom w:type="dxa" w:w="70"/>
              <w:right w:type="dxa" w:w="90"/>
            </w:tcMar>
          </w:tcPr>
          <w:p>
            <w:r>
              <w:rPr>
                <w:b w:val="false"/>
                <w:bCs w:val="false"/>
                <w:sz w:val="18"/>
                <w:szCs w:val="18"/>
              </w:rPr>
              <w:t xml:space="preserve">6. What changed as a result</w:t>
            </w:r>
          </w:p>
        </w:tc>
        <w:tc>
          <w:tcPr>
            <w:tcW w:type="dxa" w:w="6800"/>
            <w:tcMar>
              <w:top w:type="dxa" w:w="70"/>
              <w:left w:type="dxa" w:w="90"/>
              <w:bottom w:type="dxa" w:w="70"/>
              <w:right w:type="dxa" w:w="90"/>
            </w:tcMar>
          </w:tcPr>
          <w:p>
            <w:r>
              <w:rPr>
                <w:b w:val="false"/>
                <w:bCs w:val="false"/>
                <w:sz w:val="18"/>
                <w:szCs w:val="18"/>
              </w:rPr>
              <w:t xml:space="preserve">The assistant's behaviour genuinely changed: two query types ("how do I book" and "which reminder channel") now return different, more useful output than in Week 5, and the change is directly traceable to Data Analytics' findings rather than being invented.</w:t>
            </w:r>
          </w:p>
        </w:tc>
      </w:tr>
      <w:tr>
        <w:tc>
          <w:tcPr>
            <w:tcW w:type="dxa" w:w="2400"/>
            <w:tcMar>
              <w:top w:type="dxa" w:w="70"/>
              <w:left w:type="dxa" w:w="90"/>
              <w:bottom w:type="dxa" w:w="70"/>
              <w:right w:type="dxa" w:w="90"/>
            </w:tcMar>
          </w:tcPr>
          <w:p>
            <w:r>
              <w:rPr>
                <w:b w:val="false"/>
                <w:bCs w:val="false"/>
                <w:sz w:val="18"/>
                <w:szCs w:val="18"/>
              </w:rPr>
              <w:t xml:space="preserve">7. Evidence</w:t>
            </w:r>
          </w:p>
        </w:tc>
        <w:tc>
          <w:tcPr>
            <w:tcW w:type="dxa" w:w="6800"/>
            <w:tcMar>
              <w:top w:type="dxa" w:w="70"/>
              <w:left w:type="dxa" w:w="90"/>
              <w:bottom w:type="dxa" w:w="70"/>
              <w:right w:type="dxa" w:w="90"/>
            </w:tcMar>
          </w:tcPr>
          <w:p>
            <w:r>
              <w:rPr>
                <w:b w:val="false"/>
                <w:bCs w:val="false"/>
                <w:sz w:val="18"/>
                <w:szCs w:val="18"/>
              </w:rPr>
              <w:t xml:space="preserve">WhatsApp conversation with Juliet (screenshots retained); prototype_v2.py containing the before/after respond_week5() and respond_week6() implementations; console output showing the actual before/after responses; full 13-case regression re-run output.</w:t>
            </w:r>
          </w:p>
        </w:tc>
      </w:tr>
    </w:tbl>
    <w:p>
      <w:pPr>
        <w:spacing w:after="160"/>
      </w:pPr>
      <w:r>
        <w:t xml:space="preserve">This satisfies the Week 6 requirement that collaboration result in a meaningful change, not communication alone: a concrete, tested code change exists and is directly attributable to information received from another track.</w:t>
      </w:r>
    </w:p>
    <w:p>
      <w:pPr>
        <w:pStyle w:val="Heading1"/>
        <w:spacing w:after="160" w:before="320"/>
      </w:pPr>
      <w:r>
        <w:t xml:space="preserve">Part 3: Assumptions, Limitations, Risks and Dependencies (Updated)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4500"/>
      </w:tblGrid>
      <w:tr>
        <w:trPr>
          <w:tblHeader/>
        </w:trPr>
        <w:tc>
          <w:tcPr>
            <w:tcW w:type="dxa" w:w="3200"/>
            <w:shd w:fill="2E5395" w:val="clear"/>
            <w:tcMar>
              <w:top w:type="dxa" w:w="70"/>
              <w:left w:type="dxa" w:w="90"/>
              <w:bottom w:type="dxa" w:w="70"/>
              <w:right w:type="dxa" w:w="90"/>
            </w:tcMar>
          </w:tcPr>
          <w:p>
            <w:r>
              <w:rPr>
                <w:b/>
                <w:bCs/>
                <w:color w:val="FFFFFF"/>
                <w:sz w:val="18"/>
                <w:szCs w:val="18"/>
              </w:rPr>
              <w:t xml:space="preserve">Item</w:t>
            </w:r>
          </w:p>
        </w:tc>
        <w:tc>
          <w:tcPr>
            <w:tcW w:type="dxa" w:w="2300"/>
            <w:shd w:fill="2E5395" w:val="clear"/>
            <w:tcMar>
              <w:top w:type="dxa" w:w="70"/>
              <w:left w:type="dxa" w:w="90"/>
              <w:bottom w:type="dxa" w:w="70"/>
              <w:right w:type="dxa" w:w="90"/>
            </w:tcMar>
          </w:tcPr>
          <w:p>
            <w:r>
              <w:rPr>
                <w:b/>
                <w:bCs/>
                <w:color w:val="FFFFFF"/>
                <w:sz w:val="18"/>
                <w:szCs w:val="18"/>
              </w:rPr>
              <w:t xml:space="preserve">Status</w:t>
            </w:r>
          </w:p>
        </w:tc>
        <w:tc>
          <w:tcPr>
            <w:tcW w:type="dxa" w:w="4500"/>
            <w:shd w:fill="2E5395" w:val="clear"/>
            <w:tcMar>
              <w:top w:type="dxa" w:w="70"/>
              <w:left w:type="dxa" w:w="90"/>
              <w:bottom w:type="dxa" w:w="70"/>
              <w:right w:type="dxa" w:w="90"/>
            </w:tcMar>
          </w:tcPr>
          <w:p>
            <w:r>
              <w:rPr>
                <w:b/>
                <w:bCs/>
                <w:color w:val="FFFFFF"/>
                <w:sz w:val="18"/>
                <w:szCs w:val="18"/>
              </w:rPr>
              <w:t xml:space="preserve">Notes</w:t>
            </w:r>
          </w:p>
        </w:tc>
      </w:tr>
      <w:tr>
        <w:tc>
          <w:tcPr>
            <w:tcW w:type="dxa" w:w="3200"/>
            <w:tcMar>
              <w:top w:type="dxa" w:w="70"/>
              <w:left w:type="dxa" w:w="90"/>
              <w:bottom w:type="dxa" w:w="70"/>
              <w:right w:type="dxa" w:w="90"/>
            </w:tcMar>
          </w:tcPr>
          <w:p>
            <w:r>
              <w:rPr>
                <w:b w:val="false"/>
                <w:bCs w:val="false"/>
                <w:sz w:val="18"/>
                <w:szCs w:val="18"/>
              </w:rPr>
              <w:t xml:space="preserve">Missed-emergency risk (Week 5 finding)</w:t>
            </w:r>
          </w:p>
        </w:tc>
        <w:tc>
          <w:tcPr>
            <w:tcW w:type="dxa" w:w="2300"/>
            <w:tcMar>
              <w:top w:type="dxa" w:w="70"/>
              <w:left w:type="dxa" w:w="90"/>
              <w:bottom w:type="dxa" w:w="70"/>
              <w:right w:type="dxa" w:w="90"/>
            </w:tcMar>
          </w:tcPr>
          <w:p>
            <w:r>
              <w:rPr>
                <w:b w:val="false"/>
                <w:bCs w:val="false"/>
                <w:sz w:val="18"/>
                <w:szCs w:val="18"/>
              </w:rPr>
              <w:t xml:space="preserve">Resolved for tested phrasing; risk class remains open</w:t>
            </w:r>
          </w:p>
        </w:tc>
        <w:tc>
          <w:tcPr>
            <w:tcW w:type="dxa" w:w="4500"/>
            <w:tcMar>
              <w:top w:type="dxa" w:w="70"/>
              <w:left w:type="dxa" w:w="90"/>
              <w:bottom w:type="dxa" w:w="70"/>
              <w:right w:type="dxa" w:w="90"/>
            </w:tcMar>
          </w:tcPr>
          <w:p>
            <w:r>
              <w:rPr>
                <w:b w:val="false"/>
                <w:bCs w:val="false"/>
                <w:sz w:val="18"/>
                <w:szCs w:val="18"/>
              </w:rPr>
              <w:t xml:space="preserve">Re-validated in Week 6 regression — no new failures found, but keyword-based detection is still structurally limited.</w:t>
            </w:r>
          </w:p>
        </w:tc>
      </w:tr>
      <w:tr>
        <w:tc>
          <w:tcPr>
            <w:tcW w:type="dxa" w:w="3200"/>
            <w:tcMar>
              <w:top w:type="dxa" w:w="70"/>
              <w:left w:type="dxa" w:w="90"/>
              <w:bottom w:type="dxa" w:w="70"/>
              <w:right w:type="dxa" w:w="90"/>
            </w:tcMar>
          </w:tcPr>
          <w:p>
            <w:r>
              <w:rPr>
                <w:b w:val="false"/>
                <w:bCs w:val="false"/>
                <w:sz w:val="18"/>
                <w:szCs w:val="18"/>
              </w:rPr>
              <w:t xml:space="preserve">Scope-creep toward clinical questions</w:t>
            </w:r>
          </w:p>
        </w:tc>
        <w:tc>
          <w:tcPr>
            <w:tcW w:type="dxa" w:w="2300"/>
            <w:tcMar>
              <w:top w:type="dxa" w:w="70"/>
              <w:left w:type="dxa" w:w="90"/>
              <w:bottom w:type="dxa" w:w="70"/>
              <w:right w:type="dxa" w:w="90"/>
            </w:tcMar>
          </w:tcPr>
          <w:p>
            <w:r>
              <w:rPr>
                <w:b w:val="false"/>
                <w:bCs w:val="false"/>
                <w:sz w:val="18"/>
                <w:szCs w:val="18"/>
              </w:rPr>
              <w:t xml:space="preserve">Resolved for tested phrasing; risk class remains open</w:t>
            </w:r>
          </w:p>
        </w:tc>
        <w:tc>
          <w:tcPr>
            <w:tcW w:type="dxa" w:w="4500"/>
            <w:tcMar>
              <w:top w:type="dxa" w:w="70"/>
              <w:left w:type="dxa" w:w="90"/>
              <w:bottom w:type="dxa" w:w="70"/>
              <w:right w:type="dxa" w:w="90"/>
            </w:tcMar>
          </w:tcPr>
          <w:p>
            <w:r>
              <w:rPr>
                <w:b w:val="false"/>
                <w:bCs w:val="false"/>
                <w:sz w:val="18"/>
                <w:szCs w:val="18"/>
              </w:rPr>
              <w:t xml:space="preserve">Same status as above, re-confirmed stable this week.</w:t>
            </w:r>
          </w:p>
        </w:tc>
      </w:tr>
      <w:tr>
        <w:tc>
          <w:tcPr>
            <w:tcW w:type="dxa" w:w="3200"/>
            <w:tcMar>
              <w:top w:type="dxa" w:w="70"/>
              <w:left w:type="dxa" w:w="90"/>
              <w:bottom w:type="dxa" w:w="70"/>
              <w:right w:type="dxa" w:w="90"/>
            </w:tcMar>
          </w:tcPr>
          <w:p>
            <w:r>
              <w:rPr>
                <w:b w:val="false"/>
                <w:bCs w:val="false"/>
                <w:sz w:val="18"/>
                <w:szCs w:val="18"/>
              </w:rPr>
              <w:t xml:space="preserve">Keyword matching cannot capture true intent</w:t>
            </w:r>
          </w:p>
        </w:tc>
        <w:tc>
          <w:tcPr>
            <w:tcW w:type="dxa" w:w="2300"/>
            <w:tcMar>
              <w:top w:type="dxa" w:w="70"/>
              <w:left w:type="dxa" w:w="90"/>
              <w:bottom w:type="dxa" w:w="70"/>
              <w:right w:type="dxa" w:w="90"/>
            </w:tcMar>
          </w:tcPr>
          <w:p>
            <w:r>
              <w:rPr>
                <w:b w:val="false"/>
                <w:bCs w:val="false"/>
                <w:sz w:val="18"/>
                <w:szCs w:val="18"/>
              </w:rPr>
              <w:t xml:space="preserve">Active, confirmed again</w:t>
            </w:r>
          </w:p>
        </w:tc>
        <w:tc>
          <w:tcPr>
            <w:tcW w:type="dxa" w:w="4500"/>
            <w:tcMar>
              <w:top w:type="dxa" w:w="70"/>
              <w:left w:type="dxa" w:w="90"/>
              <w:bottom w:type="dxa" w:w="70"/>
              <w:right w:type="dxa" w:w="90"/>
            </w:tcMar>
          </w:tcPr>
          <w:p>
            <w:r>
              <w:rPr>
                <w:b w:val="false"/>
                <w:bCs w:val="false"/>
                <w:sz w:val="18"/>
                <w:szCs w:val="18"/>
              </w:rPr>
              <w:t xml:space="preserve">The booking-vs-action ambiguity persisted through Week 6 testing ("please confirm my appointment right now"); still not fixed, now confirmed twice.</w:t>
            </w:r>
          </w:p>
        </w:tc>
      </w:tr>
      <w:tr>
        <w:tc>
          <w:tcPr>
            <w:tcW w:type="dxa" w:w="3200"/>
            <w:tcMar>
              <w:top w:type="dxa" w:w="70"/>
              <w:left w:type="dxa" w:w="90"/>
              <w:bottom w:type="dxa" w:w="70"/>
              <w:right w:type="dxa" w:w="90"/>
            </w:tcMar>
          </w:tcPr>
          <w:p>
            <w:r>
              <w:rPr>
                <w:b w:val="false"/>
                <w:bCs w:val="false"/>
                <w:sz w:val="18"/>
                <w:szCs w:val="18"/>
              </w:rPr>
              <w:t xml:space="preserve">Incomplete answers to specific unanswerable questions</w:t>
            </w:r>
          </w:p>
        </w:tc>
        <w:tc>
          <w:tcPr>
            <w:tcW w:type="dxa" w:w="2300"/>
            <w:tcMar>
              <w:top w:type="dxa" w:w="70"/>
              <w:left w:type="dxa" w:w="90"/>
              <w:bottom w:type="dxa" w:w="70"/>
              <w:right w:type="dxa" w:w="90"/>
            </w:tcMar>
          </w:tcPr>
          <w:p>
            <w:r>
              <w:rPr>
                <w:b w:val="false"/>
                <w:bCs w:val="false"/>
                <w:sz w:val="18"/>
                <w:szCs w:val="18"/>
              </w:rPr>
              <w:t xml:space="preserve">New risk — identified this week</w:t>
            </w:r>
          </w:p>
        </w:tc>
        <w:tc>
          <w:tcPr>
            <w:tcW w:type="dxa" w:w="4500"/>
            <w:tcMar>
              <w:top w:type="dxa" w:w="70"/>
              <w:left w:type="dxa" w:w="90"/>
              <w:bottom w:type="dxa" w:w="70"/>
              <w:right w:type="dxa" w:w="90"/>
            </w:tcMar>
          </w:tcPr>
          <w:p>
            <w:r>
              <w:rPr>
                <w:b w:val="false"/>
                <w:bCs w:val="false"/>
                <w:sz w:val="18"/>
                <w:szCs w:val="18"/>
              </w:rPr>
              <w:t xml:space="preserve">Pediatric consultations and same-day appointment queries return generic, non-responsive (but not incorrect) answers. Needs a "partial match, but doesn't fully answer" response pattern in Week 7.</w:t>
            </w:r>
          </w:p>
        </w:tc>
      </w:tr>
      <w:tr>
        <w:tc>
          <w:tcPr>
            <w:tcW w:type="dxa" w:w="3200"/>
            <w:tcMar>
              <w:top w:type="dxa" w:w="70"/>
              <w:left w:type="dxa" w:w="90"/>
              <w:bottom w:type="dxa" w:w="70"/>
              <w:right w:type="dxa" w:w="90"/>
            </w:tcMar>
          </w:tcPr>
          <w:p>
            <w:r>
              <w:rPr>
                <w:b w:val="false"/>
                <w:bCs w:val="false"/>
                <w:sz w:val="18"/>
                <w:szCs w:val="18"/>
              </w:rPr>
              <w:t xml:space="preserve">Reminder-channel guidance sourced from external (non-Knowledge-Base) data</w:t>
            </w:r>
          </w:p>
        </w:tc>
        <w:tc>
          <w:tcPr>
            <w:tcW w:type="dxa" w:w="2300"/>
            <w:tcMar>
              <w:top w:type="dxa" w:w="70"/>
              <w:left w:type="dxa" w:w="90"/>
              <w:bottom w:type="dxa" w:w="70"/>
              <w:right w:type="dxa" w:w="90"/>
            </w:tcMar>
          </w:tcPr>
          <w:p>
            <w:r>
              <w:rPr>
                <w:b w:val="false"/>
                <w:bCs w:val="false"/>
                <w:sz w:val="18"/>
                <w:szCs w:val="18"/>
              </w:rPr>
              <w:t xml:space="preserve">New dependency — identified this week</w:t>
            </w:r>
          </w:p>
        </w:tc>
        <w:tc>
          <w:tcPr>
            <w:tcW w:type="dxa" w:w="4500"/>
            <w:tcMar>
              <w:top w:type="dxa" w:w="70"/>
              <w:left w:type="dxa" w:w="90"/>
              <w:bottom w:type="dxa" w:w="70"/>
              <w:right w:type="dxa" w:w="90"/>
            </w:tcMar>
          </w:tcPr>
          <w:p>
            <w:r>
              <w:rPr>
                <w:b w:val="false"/>
                <w:bCs w:val="false"/>
                <w:sz w:val="18"/>
                <w:szCs w:val="18"/>
              </w:rPr>
              <w:t xml:space="preserve">The assistant now cites a Data Analytics finding rather than only the Knowledge Base. This is currently a static string; if the underlying appointment data changes, this guidance would need manual updating — a new maintenance dependency.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2026-09-13T22:49:34.789Z</dcterms:created>
  <dcterms:modified xsi:type="dcterms:W3CDTF">2026-09-13T22:49:34.802Z</dcterms:modified>
</cp:coreProperties>
</file>

<file path=docProps/custom.xml><?xml version="1.0" encoding="utf-8"?>
<Properties xmlns="http://schemas.openxmlformats.org/officeDocument/2006/custom-properties" xmlns:vt="http://schemas.openxmlformats.org/officeDocument/2006/docPropsVTypes"/>
</file>