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HealthConnect Clinic Experience Lab</w:t>
      </w:r>
    </w:p>
    <w:p>
      <w:pPr>
        <w:spacing w:after="300"/>
      </w:pPr>
      <w:r>
        <w:rPr>
          <w:b/>
          <w:bCs/>
          <w:color w:val="2E5395"/>
          <w:sz w:val="28"/>
          <w:szCs w:val="28"/>
        </w:rPr>
        <w:t xml:space="preserve">Week 7 Project Summary — Generative AI Track</w:t>
      </w:r>
    </w:p>
    <w:p>
      <w:pPr>
        <w:spacing w:after="120"/>
      </w:pPr>
      <w:r>
        <w:rPr>
          <w:b/>
          <w:bCs/>
        </w:rPr>
        <w:t xml:space="preserve">Programme: </w:t>
      </w:r>
      <w:r>
        <w:t xml:space="preserve">AnalystLab Africa Experience Lab</w:t>
      </w:r>
    </w:p>
    <w:p>
      <w:pPr>
        <w:spacing w:after="120"/>
      </w:pPr>
      <w:r>
        <w:rPr>
          <w:b/>
          <w:bCs/>
        </w:rPr>
        <w:t xml:space="preserve">Track: </w:t>
      </w:r>
      <w:r>
        <w:t xml:space="preserve">Generative AI</w:t>
      </w:r>
    </w:p>
    <w:p>
      <w:pPr>
        <w:spacing w:after="120"/>
      </w:pPr>
      <w:r>
        <w:rPr>
          <w:b/>
          <w:bCs/>
        </w:rPr>
        <w:t xml:space="preserve">Week: </w:t>
      </w:r>
      <w:r>
        <w:t xml:space="preserve">Week 7</w:t>
      </w:r>
    </w:p>
    <w:p>
      <w:pPr>
        <w:pBdr>
          <w:bottom w:val="single" w:color="AAAAAA" w:sz="6"/>
        </w:pBdr>
        <w:spacing w:after="200" w:before="100"/>
      </w:pPr>
      <w:r>
        <w:t xml:space="preserve"/>
      </w:r>
    </w:p>
    <w:p>
      <w:pPr>
        <w:pStyle w:val="Heading1"/>
        <w:spacing w:after="140" w:before="300"/>
      </w:pPr>
      <w:r>
        <w:t xml:space="preserve">1. What Was Planned to Test</w:t>
      </w:r>
    </w:p>
    <w:p>
      <w:pPr>
        <w:spacing w:after="160"/>
      </w:pPr>
      <w:r>
        <w:t xml:space="preserve">The two unresolved weaknesses documented at the end of Week 6 — action-vs-information request ambiguity, and generic non-answers to specific unconfirmed questions — plus the factual accuracy of the Week 6 Data-Analytics-informed reminder-channel feature.</w:t>
      </w:r>
    </w:p>
    <w:p>
      <w:pPr>
        <w:pStyle w:val="Heading1"/>
        <w:spacing w:after="140" w:before="300"/>
      </w:pPr>
      <w:r>
        <w:t xml:space="preserve">2. What Was Actually Tested</w:t>
      </w:r>
    </w:p>
    <w:p>
      <w:pPr>
        <w:pStyle w:val="ListParagraph"/>
        <w:numPr>
          <w:ilvl w:val="0"/>
          <w:numId w:val="2"/>
        </w:numPr>
        <w:spacing w:after="80"/>
      </w:pPr>
      <w:r>
        <w:t xml:space="preserve">Full regression: 16 cases from Weeks 5–6, re-run against Week 7 code.</w:t>
      </w:r>
    </w:p>
    <w:p>
      <w:pPr>
        <w:pStyle w:val="ListParagraph"/>
        <w:numPr>
          <w:ilvl w:val="0"/>
          <w:numId w:val="2"/>
        </w:numPr>
        <w:spacing w:after="80"/>
      </w:pPr>
      <w:r>
        <w:t xml:space="preserve">8 new targeted tests: 3 new phrasings each for the two fixes, plus 2 regression guards to confirm normal behaviour was preserved.</w:t>
      </w:r>
    </w:p>
    <w:p>
      <w:pPr>
        <w:pStyle w:val="ListParagraph"/>
        <w:numPr>
          <w:ilvl w:val="0"/>
          <w:numId w:val="2"/>
        </w:numPr>
        <w:spacing w:after="80"/>
      </w:pPr>
      <w:r>
        <w:t xml:space="preserve">A factual self-audit of the reminder-channel guidance text against Data Analytics' original source figures.</w:t>
      </w:r>
    </w:p>
    <w:p>
      <w:pPr>
        <w:pStyle w:val="Heading1"/>
        <w:spacing w:after="140" w:before="300"/>
      </w:pPr>
      <w:r>
        <w:t xml:space="preserve">3. Most Important Testing Results</w:t>
      </w:r>
    </w:p>
    <w:p>
      <w:pPr>
        <w:pStyle w:val="ListParagraph"/>
        <w:numPr>
          <w:ilvl w:val="0"/>
          <w:numId w:val="2"/>
        </w:numPr>
        <w:spacing w:after="80"/>
      </w:pPr>
      <w:r>
        <w:t xml:space="preserve">Both Week 6 weaknesses were confirmed reproducible, then fixed and validated — 100% pass rate across all new and regression tests.</w:t>
      </w:r>
    </w:p>
    <w:p>
      <w:pPr>
        <w:pStyle w:val="ListParagraph"/>
        <w:numPr>
          <w:ilvl w:val="0"/>
          <w:numId w:val="2"/>
        </w:numPr>
        <w:spacing w:after="80"/>
      </w:pPr>
      <w:r>
        <w:t xml:space="preserve">The cross-track integration's wording was found to be directionally correct but imprecise, and was corrected to cite exact source figures.</w:t>
      </w:r>
    </w:p>
    <w:p>
      <w:pPr>
        <w:pStyle w:val="Heading1"/>
        <w:spacing w:after="140" w:before="300"/>
      </w:pPr>
      <w:r>
        <w:t xml:space="preserve">4. Issues or Weaknesses Identified</w:t>
      </w:r>
    </w:p>
    <w:p>
      <w:pPr>
        <w:pStyle w:val="ListParagraph"/>
        <w:numPr>
          <w:ilvl w:val="0"/>
          <w:numId w:val="2"/>
        </w:numPr>
        <w:spacing w:after="80"/>
      </w:pPr>
      <w:r>
        <w:t xml:space="preserve">Original reminder-channel wording ("strongly linked to fewer missed appointments") slightly overstated a real but modest ~5.6 percentage-point difference in the underlying data.</w:t>
      </w:r>
    </w:p>
    <w:p>
      <w:pPr>
        <w:pStyle w:val="ListParagraph"/>
        <w:numPr>
          <w:ilvl w:val="0"/>
          <w:numId w:val="2"/>
        </w:numPr>
        <w:spacing w:after="80"/>
      </w:pPr>
      <w:r>
        <w:t xml:space="preserve">A new, narrower version of the Fix 2 pattern was found: naming an incorrect specific location (e.g., "a location in Ikeja") still returns a generic locations list rather than an explicit denial — flagged as a remaining limitation, not fixed this week.</w:t>
      </w:r>
    </w:p>
    <w:p>
      <w:pPr>
        <w:pStyle w:val="Heading1"/>
        <w:spacing w:after="140" w:before="300"/>
      </w:pPr>
      <w:r>
        <w:t xml:space="preserve">5. Improvements/Refinements Made</w:t>
      </w:r>
    </w:p>
    <w:p>
      <w:pPr>
        <w:pStyle w:val="ListParagraph"/>
        <w:numPr>
          <w:ilvl w:val="0"/>
          <w:numId w:val="2"/>
        </w:numPr>
        <w:spacing w:after="80"/>
      </w:pPr>
      <w:r>
        <w:t xml:space="preserve">Fix 1: action requests (e.g., "book this for me right now") now receive an explicit decline-and-redirect response instead of being treated as information requests.</w:t>
      </w:r>
    </w:p>
    <w:p>
      <w:pPr>
        <w:pStyle w:val="ListParagraph"/>
        <w:numPr>
          <w:ilvl w:val="0"/>
          <w:numId w:val="2"/>
        </w:numPr>
        <w:spacing w:after="80"/>
      </w:pPr>
      <w:r>
        <w:t xml:space="preserve">Fix 2: specific questions the Knowledge Base doesn't confirm or deny (pediatric consultations, same-day availability, walk-ins) now receive an honest "I don't have specific confirmation" response instead of a generic non-answer.</w:t>
      </w:r>
    </w:p>
    <w:p>
      <w:pPr>
        <w:pStyle w:val="ListParagraph"/>
        <w:numPr>
          <w:ilvl w:val="0"/>
          <w:numId w:val="2"/>
        </w:numPr>
        <w:spacing w:after="80"/>
      </w:pPr>
      <w:r>
        <w:t xml:space="preserve">Reminder-channel guidance reworded to state Juliet's exact figures (45.8% vs. 51.4%) rather than a paraphrased qualitative claim.</w:t>
      </w:r>
    </w:p>
    <w:p>
      <w:pPr>
        <w:pStyle w:val="Heading1"/>
        <w:spacing w:after="140" w:before="300"/>
      </w:pPr>
      <w:r>
        <w:t xml:space="preserve">6. Retesting Results</w:t>
      </w:r>
    </w:p>
    <w:p>
      <w:pPr>
        <w:spacing w:after="160"/>
      </w:pPr>
      <w:r>
        <w:t xml:space="preserve">All three refinements were retested together in a single full regression pass (16 legacy cases + 8 new targeted cases) — 100% pass, zero regressions introduced.</w:t>
      </w:r>
    </w:p>
    <w:p>
      <w:pPr>
        <w:pStyle w:val="Heading1"/>
        <w:spacing w:after="140" w:before="300"/>
      </w:pPr>
      <w:r>
        <w:t xml:space="preserve">7. Track(s) Collaborated With</w:t>
      </w:r>
    </w:p>
    <w:p>
      <w:pPr>
        <w:spacing w:after="160"/>
      </w:pPr>
      <w:r>
        <w:t xml:space="preserve">Data Analytics (Juliet) — continuing the Week 6 relationship, this week focused on testing/validating that integration's accuracy rather than building something new.</w:t>
      </w:r>
    </w:p>
    <w:p>
      <w:pPr>
        <w:pStyle w:val="Heading1"/>
        <w:spacing w:after="140" w:before="300"/>
      </w:pPr>
      <w:r>
        <w:t xml:space="preserve">8. What Was Tested Collaboratively</w:t>
      </w:r>
    </w:p>
    <w:p>
      <w:pPr>
        <w:spacing w:after="160"/>
      </w:pPr>
      <w:r>
        <w:t xml:space="preserve">The factual accuracy of the assistant's reminder-channel guidance, checked against Juliet's original shared findings, with a live validation request sent for independent confirmation.</w:t>
      </w:r>
    </w:p>
    <w:p>
      <w:pPr>
        <w:pStyle w:val="Heading1"/>
        <w:spacing w:after="140" w:before="300"/>
      </w:pPr>
      <w:r>
        <w:t xml:space="preserve">9. What Changed as a Result</w:t>
      </w:r>
    </w:p>
    <w:p>
      <w:pPr>
        <w:spacing w:after="160"/>
      </w:pPr>
      <w:r>
        <w:t xml:space="preserve">The reminder-channel guidance now cites precise figures instead of a qualitative claim, reducing the risk of the assistant overstating evidence to patients.</w:t>
      </w:r>
    </w:p>
    <w:p>
      <w:pPr>
        <w:pStyle w:val="Heading1"/>
        <w:spacing w:after="140" w:before="300"/>
      </w:pPr>
      <w:r>
        <w:t xml:space="preserve">10. Key Findings / Validation Outcomes</w:t>
      </w:r>
    </w:p>
    <w:p>
      <w:pPr>
        <w:pStyle w:val="ListParagraph"/>
        <w:numPr>
          <w:ilvl w:val="0"/>
          <w:numId w:val="2"/>
        </w:numPr>
        <w:spacing w:after="80"/>
      </w:pPr>
      <w:r>
        <w:t xml:space="preserve">Both carried-forward Week 6 weaknesses were genuine and fixable, not one-off artifacts of the original test phrasing — confirmed by testing multiple new phrasings of each, not just the original bug reports.</w:t>
      </w:r>
    </w:p>
    <w:p>
      <w:pPr>
        <w:pStyle w:val="ListParagraph"/>
        <w:numPr>
          <w:ilvl w:val="0"/>
          <w:numId w:val="2"/>
        </w:numPr>
        <w:spacing w:after="80"/>
      </w:pPr>
      <w:r>
        <w:t xml:space="preserve">Cross-track data flowing into the assistant needs the same ongoing scrutiny as any other content source; a one-time integration (Week 6) is not the same as a validated, accurate integration (Week 7).</w:t>
      </w:r>
    </w:p>
    <w:p>
      <w:pPr>
        <w:pStyle w:val="Heading1"/>
        <w:spacing w:after="140" w:before="300"/>
      </w:pPr>
      <w:r>
        <w:t xml:space="preserve">11. Major Challenges Encountered</w:t>
      </w:r>
    </w:p>
    <w:p>
      <w:pPr>
        <w:spacing w:after="160"/>
      </w:pPr>
      <w:r>
        <w:t xml:space="preserve">The collaborator's reply did not arrive before the submission deadline. Rather than treat this as blocking, the validation was completed as far as possible using the data already available, with the live request documented honestly as pending rather than fabricated as confirmed.</w:t>
      </w:r>
    </w:p>
    <w:p>
      <w:pPr>
        <w:pStyle w:val="Heading1"/>
        <w:spacing w:after="140" w:before="300"/>
      </w:pPr>
      <w:r>
        <w:t xml:space="preserve">12. Important Decisions Made</w:t>
      </w:r>
    </w:p>
    <w:p>
      <w:pPr>
        <w:pStyle w:val="ListParagraph"/>
        <w:numPr>
          <w:ilvl w:val="0"/>
          <w:numId w:val="2"/>
        </w:numPr>
        <w:spacing w:after="80"/>
      </w:pPr>
      <w:r>
        <w:t xml:space="preserve">Chose to self-audit the integration's accuracy against already-available source data rather than wait indefinitely for a live reply, to meet the deadline without compromising honesty about what was and wasn't independently confirmed.</w:t>
      </w:r>
    </w:p>
    <w:p>
      <w:pPr>
        <w:pStyle w:val="ListParagraph"/>
        <w:numPr>
          <w:ilvl w:val="0"/>
          <w:numId w:val="2"/>
        </w:numPr>
        <w:spacing w:after="80"/>
      </w:pPr>
      <w:r>
        <w:t xml:space="preserve">Chose not to attempt a general solution to the location-denial gap this week, since a robust fix would require broader entity-matching design work better scoped for Week 8.</w:t>
      </w:r>
    </w:p>
    <w:p>
      <w:pPr>
        <w:pStyle w:val="Heading1"/>
        <w:spacing w:after="140" w:before="300"/>
      </w:pPr>
      <w:r>
        <w:t xml:space="preserve">13. Remaining Limitations</w:t>
      </w:r>
    </w:p>
    <w:p>
      <w:pPr>
        <w:pStyle w:val="ListParagraph"/>
        <w:numPr>
          <w:ilvl w:val="0"/>
          <w:numId w:val="2"/>
        </w:numPr>
        <w:spacing w:after="80"/>
      </w:pPr>
      <w:r>
        <w:t xml:space="preserve">Both fixes remain phrase-matching based and could miss further unanticipated phrasings.</w:t>
      </w:r>
    </w:p>
    <w:p>
      <w:pPr>
        <w:pStyle w:val="ListParagraph"/>
        <w:numPr>
          <w:ilvl w:val="0"/>
          <w:numId w:val="2"/>
        </w:numPr>
        <w:spacing w:after="80"/>
      </w:pPr>
      <w:r>
        <w:t xml:space="preserve">Independent (non-self-conducted) confirmation of the reminder-channel wording from Data Analytics is still outstanding.</w:t>
      </w:r>
    </w:p>
    <w:p>
      <w:pPr>
        <w:pStyle w:val="ListParagraph"/>
        <w:numPr>
          <w:ilvl w:val="0"/>
          <w:numId w:val="2"/>
        </w:numPr>
        <w:spacing w:after="80"/>
      </w:pPr>
      <w:r>
        <w:t xml:space="preserve">The location-denial gap (Ikeja-type queries) remains unaddressed.</w:t>
      </w:r>
    </w:p>
    <w:p>
      <w:pPr>
        <w:pStyle w:val="Heading1"/>
        <w:spacing w:after="140" w:before="300"/>
      </w:pPr>
      <w:r>
        <w:t xml:space="preserve">14. Remaining Issues or Dependencies</w:t>
      </w:r>
    </w:p>
    <w:p>
      <w:pPr>
        <w:spacing w:after="160"/>
      </w:pPr>
      <w:r>
        <w:t xml:space="preserve">Dependent on Juliet's eventual reply to confirm the revised wording independently; this is a documentation dependency for Week 8, not a blocker to this week's submission.</w:t>
      </w:r>
    </w:p>
    <w:p>
      <w:pPr>
        <w:pStyle w:val="Heading1"/>
        <w:spacing w:after="140" w:before="300"/>
      </w:pPr>
      <w:r>
        <w:t xml:space="preserve">15. Contribution to the Overall HealthConnect Project</w:t>
      </w:r>
    </w:p>
    <w:p>
      <w:pPr>
        <w:spacing w:after="160"/>
      </w:pPr>
      <w:r>
        <w:t xml:space="preserve">This week moved the Generative AI track's contribution from "has an integration" to "has a tested and refined integration" — directly addressing the Week 7 programme-wide requirement to validate, not just build, cross-track work, while also closing two real reliability gaps in the assistant itself.</w:t>
      </w:r>
    </w:p>
    <w:p>
      <w:pPr>
        <w:pStyle w:val="Heading1"/>
        <w:spacing w:after="140" w:before="300"/>
      </w:pPr>
      <w:r>
        <w:t xml:space="preserve">16. What Must Be Completed Before Week 8</w:t>
      </w:r>
    </w:p>
    <w:p>
      <w:pPr>
        <w:pStyle w:val="ListParagraph"/>
        <w:numPr>
          <w:ilvl w:val="0"/>
          <w:numId w:val="2"/>
        </w:numPr>
        <w:spacing w:after="80"/>
      </w:pPr>
      <w:r>
        <w:t xml:space="preserve">Incorporate Juliet's reply once received.</w:t>
      </w:r>
    </w:p>
    <w:p>
      <w:pPr>
        <w:pStyle w:val="ListParagraph"/>
        <w:numPr>
          <w:ilvl w:val="0"/>
          <w:numId w:val="2"/>
        </w:numPr>
        <w:spacing w:after="80"/>
      </w:pPr>
      <w:r>
        <w:t xml:space="preserve">Scope a general approach to the location/entity-denial gap.</w:t>
      </w:r>
    </w:p>
    <w:p>
      <w:pPr>
        <w:pStyle w:val="ListParagraph"/>
        <w:numPr>
          <w:ilvl w:val="0"/>
          <w:numId w:val="2"/>
        </w:numPr>
        <w:spacing w:after="80"/>
      </w:pPr>
      <w:r>
        <w:t xml:space="preserve">Continue expanding phrase coverage for both Week 7 fixes based on further testing.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2026-09-19T07:57:10.388Z</dcterms:created>
  <dcterms:modified xsi:type="dcterms:W3CDTF">2026-09-19T07:57:10.388Z</dcterms:modified>
</cp:coreProperties>
</file>

<file path=docProps/custom.xml><?xml version="1.0" encoding="utf-8"?>
<Properties xmlns="http://schemas.openxmlformats.org/officeDocument/2006/custom-properties" xmlns:vt="http://schemas.openxmlformats.org/officeDocument/2006/docPropsVTypes"/>
</file>