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HealthConnect Clinic Experience Lab</w:t>
      </w:r>
    </w:p>
    <w:p>
      <w:pPr>
        <w:spacing w:after="40"/>
      </w:pPr>
      <w:r>
        <w:rPr>
          <w:b/>
          <w:bCs/>
          <w:color w:val="2E5395"/>
          <w:sz w:val="28"/>
          <w:szCs w:val="28"/>
        </w:rPr>
        <w:t xml:space="preserve">AI Assistant Testing &amp; Refinement Package — Generative AI Track</w:t>
      </w:r>
    </w:p>
    <w:p>
      <w:pPr>
        <w:spacing w:after="300"/>
      </w:pPr>
      <w:r>
        <w:rPr>
          <w:i/>
          <w:iCs/>
          <w:color w:val="555555"/>
          <w:sz w:val="22"/>
          <w:szCs w:val="22"/>
        </w:rPr>
        <w:t xml:space="preserve">Week 7: Testing, Refinement &amp; End-to-End Validation</w:t>
      </w:r>
    </w:p>
    <w:p>
      <w:pPr>
        <w:spacing w:after="120"/>
      </w:pPr>
      <w:r>
        <w:rPr>
          <w:b/>
          <w:bCs/>
        </w:rPr>
        <w:t xml:space="preserve">Programme: </w:t>
      </w:r>
      <w:r>
        <w:t xml:space="preserve">AnalystLab Africa Experience Lab</w:t>
      </w:r>
    </w:p>
    <w:p>
      <w:pPr>
        <w:spacing w:after="120"/>
      </w:pPr>
      <w:r>
        <w:rPr>
          <w:b/>
          <w:bCs/>
        </w:rPr>
        <w:t xml:space="preserve">Track: </w:t>
      </w:r>
      <w:r>
        <w:t xml:space="preserve">Generative AI</w:t>
      </w:r>
    </w:p>
    <w:p>
      <w:pPr>
        <w:spacing w:after="120"/>
      </w:pPr>
      <w:r>
        <w:rPr>
          <w:b/>
          <w:bCs/>
        </w:rPr>
        <w:t xml:space="preserve">Project: </w:t>
      </w:r>
      <w:r>
        <w:t xml:space="preserve">HealthConnect Clinic Experience Lab</w:t>
      </w:r>
    </w:p>
    <w:p>
      <w:pPr>
        <w:spacing w:after="120"/>
      </w:pPr>
      <w:r>
        <w:rPr>
          <w:b/>
          <w:bCs/>
        </w:rPr>
        <w:t xml:space="preserve">Week: </w:t>
      </w:r>
      <w:r>
        <w:t xml:space="preserve">Week 7</w:t>
      </w:r>
    </w:p>
    <w:p>
      <w:pPr>
        <w:spacing w:after="120"/>
      </w:pPr>
      <w:r>
        <w:rPr>
          <w:b/>
          <w:bCs/>
        </w:rPr>
        <w:t xml:space="preserve">Document Version: </w:t>
      </w:r>
      <w:r>
        <w:t xml:space="preserve">1.0</w:t>
      </w:r>
    </w:p>
    <w:p>
      <w:pPr>
        <w:pBdr>
          <w:bottom w:val="single" w:color="AAAAAA" w:sz="6"/>
        </w:pBdr>
        <w:spacing w:after="200" w:before="100"/>
      </w:pPr>
      <w:r>
        <w:t xml:space="preserve"/>
      </w:r>
    </w:p>
    <w:p>
      <w:pPr>
        <w:pStyle w:val="Heading1"/>
        <w:spacing w:after="160" w:before="320"/>
      </w:pPr>
      <w:r>
        <w:t xml:space="preserve">Part 1: Week 6 → Week 7 Transition</w:t>
      </w:r>
    </w:p>
    <w:p>
      <w:pPr>
        <w:pStyle w:val="ListParagraph"/>
        <w:numPr>
          <w:ilvl w:val="0"/>
          <w:numId w:val="2"/>
        </w:numPr>
        <w:spacing w:after="80"/>
      </w:pPr>
      <w:r>
        <w:t xml:space="preserve">Main Week 6 output: an evaluated, refined assistant with a new reminder-channel guidance feature built from Data Analytics findings, plus two documented, unresolved weaknesses.</w:t>
      </w:r>
    </w:p>
    <w:p>
      <w:pPr>
        <w:pStyle w:val="ListParagraph"/>
        <w:numPr>
          <w:ilvl w:val="0"/>
          <w:numId w:val="2"/>
        </w:numPr>
        <w:spacing w:after="80"/>
      </w:pPr>
      <w:r>
        <w:t xml:space="preserve">Most important Week 6 result: a real cross-track integration — Juliet's (Data Analytics) no-show and reminder-channel findings became an actual, tested assistant behaviour.</w:t>
      </w:r>
    </w:p>
    <w:p>
      <w:pPr>
        <w:pStyle w:val="ListParagraph"/>
        <w:numPr>
          <w:ilvl w:val="0"/>
          <w:numId w:val="2"/>
        </w:numPr>
        <w:spacing w:after="80"/>
      </w:pPr>
      <w:r>
        <w:t xml:space="preserve">Main issues identified in Week 6, carried into Week 7 as testing targets: (1) the assistant cannot distinguish an information request from an action request (e.g., "book this for me now"); (2) specific questions the Knowledge Base doesn't directly confirm or deny (pediatric consultations, same-day availability) received generic, non-responsive answers.</w:t>
      </w:r>
    </w:p>
    <w:p>
      <w:pPr>
        <w:pStyle w:val="ListParagraph"/>
        <w:numPr>
          <w:ilvl w:val="0"/>
          <w:numId w:val="2"/>
        </w:numPr>
        <w:spacing w:after="80"/>
      </w:pPr>
      <w:r>
        <w:t xml:space="preserve">Track relevant to Week 7 activities: Data Analytics again — this week's testing specifically validates the accuracy of the Week 6 integration against Juliet's original figures, not just its presence.</w:t>
      </w:r>
    </w:p>
    <w:p>
      <w:pPr>
        <w:pStyle w:val="ListParagraph"/>
        <w:numPr>
          <w:ilvl w:val="0"/>
          <w:numId w:val="2"/>
        </w:numPr>
        <w:spacing w:after="80"/>
      </w:pPr>
      <w:r>
        <w:t xml:space="preserve">Week 7 intent: systematically test the Week 6 assistant against its known issues, fix what testing confirms, retest, and validate the cross-track integration's factual accuracy — not build new features.</w:t>
      </w:r>
    </w:p>
    <w:p>
      <w:pPr>
        <w:pStyle w:val="Heading1"/>
        <w:spacing w:after="160" w:before="320"/>
      </w:pPr>
      <w:r>
        <w:t xml:space="preserve">Section 1: Component Tested and Testing Objective</w:t>
      </w:r>
    </w:p>
    <w:p>
      <w:pPr>
        <w:spacing w:after="160"/>
      </w:pPr>
      <w:r>
        <w:t xml:space="preserve">Component tested: the Week 6 respond() function, specifically (a) its handling of action-type requests, (b) its handling of specific-but-unconfirmed questions, and (c) the factual accuracy of the Data-Analytics-informed reminder-channel guidance.</w:t>
      </w:r>
    </w:p>
    <w:p>
      <w:pPr>
        <w:spacing w:after="160"/>
      </w:pPr>
      <w:r>
        <w:t xml:space="preserve">Testing objective: determine whether the two weaknesses documented at the end of Week 6 are genuine, reproducible issues; fix them if so; and confirm the cross-track integration accurately reflects the source data it is built on.</w:t>
      </w:r>
    </w:p>
    <w:p>
      <w:pPr>
        <w:pStyle w:val="Heading1"/>
        <w:spacing w:after="160" w:before="320"/>
      </w:pPr>
      <w:r>
        <w:t xml:space="preserve">Section 2: Test Set and Expected vs. Actual Results</w:t>
      </w:r>
    </w:p>
    <w:p>
      <w:pPr>
        <w:pStyle w:val="Heading2"/>
        <w:spacing w:after="120" w:before="240"/>
      </w:pPr>
      <w:r>
        <w:t xml:space="preserve">2a. Full Regression (Weeks 5–6 cases, re-run on Week 7 code)</w:t>
      </w:r>
    </w:p>
    <w:p>
      <w:pPr>
        <w:spacing w:after="160"/>
      </w:pPr>
      <w:r>
        <w:t xml:space="preserve">All 16 previously-tested cases (normal, ambiguous, unsupported, escalation ×4, info-unavailable ×2, consistency ×3, integration) were re-run against the Week 7 code. Expected result: identical behaviour to Week 6 for every case not targeted by this week's fixes. Actual result: 100% match — no regressions introduced by either fix.</w:t>
      </w:r>
    </w:p>
    <w:p>
      <w:pPr>
        <w:pStyle w:val="Heading2"/>
        <w:spacing w:after="120" w:before="240"/>
      </w:pPr>
      <w:r>
        <w:t xml:space="preserve">2b. New Targeted Tests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000"/>
        <w:gridCol w:w="2000"/>
        <w:gridCol w:w="900"/>
      </w:tblGrid>
      <w:tr>
        <w:trPr>
          <w:tblHeader/>
        </w:trPr>
        <w:tc>
          <w:tcPr>
            <w:tcW w:type="dxa" w:w="1600"/>
            <w:shd w:fill="2E5395" w:val="clear"/>
            <w:tcMar>
              <w:top w:type="dxa" w:w="70"/>
              <w:left w:type="dxa" w:w="90"/>
              <w:bottom w:type="dxa" w:w="70"/>
              <w:right w:type="dxa" w:w="90"/>
            </w:tcMar>
          </w:tcPr>
          <w:p>
            <w:r>
              <w:rPr>
                <w:b/>
                <w:bCs/>
                <w:color w:val="FFFFFF"/>
                <w:sz w:val="18"/>
                <w:szCs w:val="18"/>
              </w:rPr>
              <w:t xml:space="preserve">Category</w:t>
            </w:r>
          </w:p>
        </w:tc>
        <w:tc>
          <w:tcPr>
            <w:tcW w:type="dxa" w:w="2600"/>
            <w:shd w:fill="2E5395" w:val="clear"/>
            <w:tcMar>
              <w:top w:type="dxa" w:w="70"/>
              <w:left w:type="dxa" w:w="90"/>
              <w:bottom w:type="dxa" w:w="70"/>
              <w:right w:type="dxa" w:w="90"/>
            </w:tcMar>
          </w:tcPr>
          <w:p>
            <w:r>
              <w:rPr>
                <w:b/>
                <w:bCs/>
                <w:color w:val="FFFFFF"/>
                <w:sz w:val="18"/>
                <w:szCs w:val="18"/>
              </w:rPr>
              <w:t xml:space="preserve">Test Query</w:t>
            </w:r>
          </w:p>
        </w:tc>
        <w:tc>
          <w:tcPr>
            <w:tcW w:type="dxa" w:w="2000"/>
            <w:shd w:fill="2E5395" w:val="clear"/>
            <w:tcMar>
              <w:top w:type="dxa" w:w="70"/>
              <w:left w:type="dxa" w:w="90"/>
              <w:bottom w:type="dxa" w:w="70"/>
              <w:right w:type="dxa" w:w="90"/>
            </w:tcMar>
          </w:tcPr>
          <w:p>
            <w:r>
              <w:rPr>
                <w:b/>
                <w:bCs/>
                <w:color w:val="FFFFFF"/>
                <w:sz w:val="18"/>
                <w:szCs w:val="18"/>
              </w:rPr>
              <w:t xml:space="preserve">Expected</w:t>
            </w:r>
          </w:p>
        </w:tc>
        <w:tc>
          <w:tcPr>
            <w:tcW w:type="dxa" w:w="2000"/>
            <w:shd w:fill="2E5395" w:val="clear"/>
            <w:tcMar>
              <w:top w:type="dxa" w:w="70"/>
              <w:left w:type="dxa" w:w="90"/>
              <w:bottom w:type="dxa" w:w="70"/>
              <w:right w:type="dxa" w:w="90"/>
            </w:tcMar>
          </w:tcPr>
          <w:p>
            <w:r>
              <w:rPr>
                <w:b/>
                <w:bCs/>
                <w:color w:val="FFFFFF"/>
                <w:sz w:val="18"/>
                <w:szCs w:val="18"/>
              </w:rPr>
              <w:t xml:space="preserve">Actual</w:t>
            </w:r>
          </w:p>
        </w:tc>
        <w:tc>
          <w:tcPr>
            <w:tcW w:type="dxa" w:w="900"/>
            <w:shd w:fill="2E5395" w:val="clear"/>
            <w:tcMar>
              <w:top w:type="dxa" w:w="70"/>
              <w:left w:type="dxa" w:w="90"/>
              <w:bottom w:type="dxa" w:w="70"/>
              <w:right w:type="dxa" w:w="90"/>
            </w:tcMar>
          </w:tcPr>
          <w:p>
            <w:r>
              <w:rPr>
                <w:b/>
                <w:bCs/>
                <w:color w:val="FFFFFF"/>
                <w:sz w:val="18"/>
                <w:szCs w:val="18"/>
              </w:rPr>
              <w:t xml:space="preserve">Pass/Fail</w:t>
            </w:r>
          </w:p>
        </w:tc>
      </w:tr>
      <w:tr>
        <w:tc>
          <w:tcPr>
            <w:tcW w:type="dxa" w:w="1600"/>
            <w:tcMar>
              <w:top w:type="dxa" w:w="70"/>
              <w:left w:type="dxa" w:w="90"/>
              <w:bottom w:type="dxa" w:w="70"/>
              <w:right w:type="dxa" w:w="90"/>
            </w:tcMar>
          </w:tcPr>
          <w:p>
            <w:r>
              <w:rPr>
                <w:b w:val="false"/>
                <w:bCs w:val="false"/>
                <w:sz w:val="18"/>
                <w:szCs w:val="18"/>
              </w:rPr>
              <w:t xml:space="preserve">Fix 1: action request</w:t>
            </w:r>
          </w:p>
        </w:tc>
        <w:tc>
          <w:tcPr>
            <w:tcW w:type="dxa" w:w="2600"/>
            <w:tcMar>
              <w:top w:type="dxa" w:w="70"/>
              <w:left w:type="dxa" w:w="90"/>
              <w:bottom w:type="dxa" w:w="70"/>
              <w:right w:type="dxa" w:w="90"/>
            </w:tcMar>
          </w:tcPr>
          <w:p>
            <w:r>
              <w:rPr>
                <w:b w:val="false"/>
                <w:bCs w:val="false"/>
                <w:sz w:val="18"/>
                <w:szCs w:val="18"/>
              </w:rPr>
              <w:t xml:space="preserve">"Can you book this appointment for me right now?"</w:t>
            </w:r>
          </w:p>
        </w:tc>
        <w:tc>
          <w:tcPr>
            <w:tcW w:type="dxa" w:w="2000"/>
            <w:tcMar>
              <w:top w:type="dxa" w:w="70"/>
              <w:left w:type="dxa" w:w="90"/>
              <w:bottom w:type="dxa" w:w="70"/>
              <w:right w:type="dxa" w:w="90"/>
            </w:tcMar>
          </w:tcPr>
          <w:p>
            <w:r>
              <w:rPr>
                <w:b w:val="false"/>
                <w:bCs w:val="false"/>
                <w:sz w:val="18"/>
                <w:szCs w:val="18"/>
              </w:rPr>
              <w:t xml:space="preserve">Assistant should decline to perform the action and redirect to reception/platform.</w:t>
            </w:r>
          </w:p>
        </w:tc>
        <w:tc>
          <w:tcPr>
            <w:tcW w:type="dxa" w:w="2000"/>
            <w:tcMar>
              <w:top w:type="dxa" w:w="70"/>
              <w:left w:type="dxa" w:w="90"/>
              <w:bottom w:type="dxa" w:w="70"/>
              <w:right w:type="dxa" w:w="90"/>
            </w:tcMar>
          </w:tcPr>
          <w:p>
            <w:r>
              <w:rPr>
                <w:b w:val="false"/>
                <w:bCs w:val="false"/>
                <w:sz w:val="18"/>
                <w:szCs w:val="18"/>
              </w:rPr>
              <w:t xml:space="preserve">"I'm not able to book, confirm, or make changes to appointments directly... please contact clinic reception or use the approved booking platform."</w:t>
            </w:r>
          </w:p>
        </w:tc>
        <w:tc>
          <w:tcPr>
            <w:tcW w:type="dxa" w:w="900"/>
            <w:tcMar>
              <w:top w:type="dxa" w:w="70"/>
              <w:left w:type="dxa" w:w="90"/>
              <w:bottom w:type="dxa" w:w="70"/>
              <w:right w:type="dxa" w:w="90"/>
            </w:tcMar>
          </w:tcPr>
          <w:p>
            <w:r>
              <w:rPr>
                <w:b w:val="false"/>
                <w:bCs w:val="false"/>
                <w:sz w:val="18"/>
                <w:szCs w:val="18"/>
              </w:rPr>
              <w:t xml:space="preserve">Pass</w:t>
            </w:r>
          </w:p>
        </w:tc>
      </w:tr>
      <w:tr>
        <w:tc>
          <w:tcPr>
            <w:tcW w:type="dxa" w:w="1600"/>
            <w:tcMar>
              <w:top w:type="dxa" w:w="70"/>
              <w:left w:type="dxa" w:w="90"/>
              <w:bottom w:type="dxa" w:w="70"/>
              <w:right w:type="dxa" w:w="90"/>
            </w:tcMar>
          </w:tcPr>
          <w:p>
            <w:r>
              <w:rPr>
                <w:b w:val="false"/>
                <w:bCs w:val="false"/>
                <w:sz w:val="18"/>
                <w:szCs w:val="18"/>
              </w:rPr>
              <w:t xml:space="preserve">Fix 1: action request</w:t>
            </w:r>
          </w:p>
        </w:tc>
        <w:tc>
          <w:tcPr>
            <w:tcW w:type="dxa" w:w="2600"/>
            <w:tcMar>
              <w:top w:type="dxa" w:w="70"/>
              <w:left w:type="dxa" w:w="90"/>
              <w:bottom w:type="dxa" w:w="70"/>
              <w:right w:type="dxa" w:w="90"/>
            </w:tcMar>
          </w:tcPr>
          <w:p>
            <w:r>
              <w:rPr>
                <w:b w:val="false"/>
                <w:bCs w:val="false"/>
                <w:sz w:val="18"/>
                <w:szCs w:val="18"/>
              </w:rPr>
              <w:t xml:space="preserve">"Please confirm my appointment right now"</w:t>
            </w:r>
          </w:p>
        </w:tc>
        <w:tc>
          <w:tcPr>
            <w:tcW w:type="dxa" w:w="2000"/>
            <w:tcMar>
              <w:top w:type="dxa" w:w="70"/>
              <w:left w:type="dxa" w:w="90"/>
              <w:bottom w:type="dxa" w:w="70"/>
              <w:right w:type="dxa" w:w="90"/>
            </w:tcMar>
          </w:tcPr>
          <w:p>
            <w:r>
              <w:rPr>
                <w:b w:val="false"/>
                <w:bCs w:val="false"/>
                <w:sz w:val="18"/>
                <w:szCs w:val="18"/>
              </w:rPr>
              <w:t xml:space="preserve">Same as above.</w:t>
            </w:r>
          </w:p>
        </w:tc>
        <w:tc>
          <w:tcPr>
            <w:tcW w:type="dxa" w:w="2000"/>
            <w:tcMar>
              <w:top w:type="dxa" w:w="70"/>
              <w:left w:type="dxa" w:w="90"/>
              <w:bottom w:type="dxa" w:w="70"/>
              <w:right w:type="dxa" w:w="90"/>
            </w:tcMar>
          </w:tcPr>
          <w:p>
            <w:r>
              <w:rPr>
                <w:b w:val="false"/>
                <w:bCs w:val="false"/>
                <w:sz w:val="18"/>
                <w:szCs w:val="18"/>
              </w:rPr>
              <w:t xml:space="preserve">Same redirect response as above.</w:t>
            </w:r>
          </w:p>
        </w:tc>
        <w:tc>
          <w:tcPr>
            <w:tcW w:type="dxa" w:w="900"/>
            <w:tcMar>
              <w:top w:type="dxa" w:w="70"/>
              <w:left w:type="dxa" w:w="90"/>
              <w:bottom w:type="dxa" w:w="70"/>
              <w:right w:type="dxa" w:w="90"/>
            </w:tcMar>
          </w:tcPr>
          <w:p>
            <w:r>
              <w:rPr>
                <w:b w:val="false"/>
                <w:bCs w:val="false"/>
                <w:sz w:val="18"/>
                <w:szCs w:val="18"/>
              </w:rPr>
              <w:t xml:space="preserve">Pass</w:t>
            </w:r>
          </w:p>
        </w:tc>
      </w:tr>
      <w:tr>
        <w:tc>
          <w:tcPr>
            <w:tcW w:type="dxa" w:w="1600"/>
            <w:tcMar>
              <w:top w:type="dxa" w:w="70"/>
              <w:left w:type="dxa" w:w="90"/>
              <w:bottom w:type="dxa" w:w="70"/>
              <w:right w:type="dxa" w:w="90"/>
            </w:tcMar>
          </w:tcPr>
          <w:p>
            <w:r>
              <w:rPr>
                <w:b w:val="false"/>
                <w:bCs w:val="false"/>
                <w:sz w:val="18"/>
                <w:szCs w:val="18"/>
              </w:rPr>
              <w:t xml:space="preserve">Fix 1: action request</w:t>
            </w:r>
          </w:p>
        </w:tc>
        <w:tc>
          <w:tcPr>
            <w:tcW w:type="dxa" w:w="2600"/>
            <w:tcMar>
              <w:top w:type="dxa" w:w="70"/>
              <w:left w:type="dxa" w:w="90"/>
              <w:bottom w:type="dxa" w:w="70"/>
              <w:right w:type="dxa" w:w="90"/>
            </w:tcMar>
          </w:tcPr>
          <w:p>
            <w:r>
              <w:rPr>
                <w:b w:val="false"/>
                <w:bCs w:val="false"/>
                <w:sz w:val="18"/>
                <w:szCs w:val="18"/>
              </w:rPr>
              <w:t xml:space="preserve">"Book me an appointment for tomorrow"</w:t>
            </w:r>
          </w:p>
        </w:tc>
        <w:tc>
          <w:tcPr>
            <w:tcW w:type="dxa" w:w="2000"/>
            <w:tcMar>
              <w:top w:type="dxa" w:w="70"/>
              <w:left w:type="dxa" w:w="90"/>
              <w:bottom w:type="dxa" w:w="70"/>
              <w:right w:type="dxa" w:w="90"/>
            </w:tcMar>
          </w:tcPr>
          <w:p>
            <w:r>
              <w:rPr>
                <w:b w:val="false"/>
                <w:bCs w:val="false"/>
                <w:sz w:val="18"/>
                <w:szCs w:val="18"/>
              </w:rPr>
              <w:t xml:space="preserve">Same as above (new phrasing, not in original bug report).</w:t>
            </w:r>
          </w:p>
        </w:tc>
        <w:tc>
          <w:tcPr>
            <w:tcW w:type="dxa" w:w="2000"/>
            <w:tcMar>
              <w:top w:type="dxa" w:w="70"/>
              <w:left w:type="dxa" w:w="90"/>
              <w:bottom w:type="dxa" w:w="70"/>
              <w:right w:type="dxa" w:w="90"/>
            </w:tcMar>
          </w:tcPr>
          <w:p>
            <w:r>
              <w:rPr>
                <w:b w:val="false"/>
                <w:bCs w:val="false"/>
                <w:sz w:val="18"/>
                <w:szCs w:val="18"/>
              </w:rPr>
              <w:t xml:space="preserve">Same redirect response as above.</w:t>
            </w:r>
          </w:p>
        </w:tc>
        <w:tc>
          <w:tcPr>
            <w:tcW w:type="dxa" w:w="900"/>
            <w:tcMar>
              <w:top w:type="dxa" w:w="70"/>
              <w:left w:type="dxa" w:w="90"/>
              <w:bottom w:type="dxa" w:w="70"/>
              <w:right w:type="dxa" w:w="90"/>
            </w:tcMar>
          </w:tcPr>
          <w:p>
            <w:r>
              <w:rPr>
                <w:b w:val="false"/>
                <w:bCs w:val="false"/>
                <w:sz w:val="18"/>
                <w:szCs w:val="18"/>
              </w:rPr>
              <w:t xml:space="preserve">Pass</w:t>
            </w:r>
          </w:p>
        </w:tc>
      </w:tr>
      <w:tr>
        <w:tc>
          <w:tcPr>
            <w:tcW w:type="dxa" w:w="1600"/>
            <w:tcMar>
              <w:top w:type="dxa" w:w="70"/>
              <w:left w:type="dxa" w:w="90"/>
              <w:bottom w:type="dxa" w:w="70"/>
              <w:right w:type="dxa" w:w="90"/>
            </w:tcMar>
          </w:tcPr>
          <w:p>
            <w:r>
              <w:rPr>
                <w:b w:val="false"/>
                <w:bCs w:val="false"/>
                <w:sz w:val="18"/>
                <w:szCs w:val="18"/>
              </w:rPr>
              <w:t xml:space="preserve">Fix 1: regression guard</w:t>
            </w:r>
          </w:p>
        </w:tc>
        <w:tc>
          <w:tcPr>
            <w:tcW w:type="dxa" w:w="2600"/>
            <w:tcMar>
              <w:top w:type="dxa" w:w="70"/>
              <w:left w:type="dxa" w:w="90"/>
              <w:bottom w:type="dxa" w:w="70"/>
              <w:right w:type="dxa" w:w="90"/>
            </w:tcMar>
          </w:tcPr>
          <w:p>
            <w:r>
              <w:rPr>
                <w:b w:val="false"/>
                <w:bCs w:val="false"/>
                <w:sz w:val="18"/>
                <w:szCs w:val="18"/>
              </w:rPr>
              <w:t xml:space="preserve">"How do I book an appointment?"</w:t>
            </w:r>
          </w:p>
        </w:tc>
        <w:tc>
          <w:tcPr>
            <w:tcW w:type="dxa" w:w="2000"/>
            <w:tcMar>
              <w:top w:type="dxa" w:w="70"/>
              <w:left w:type="dxa" w:w="90"/>
              <w:bottom w:type="dxa" w:w="70"/>
              <w:right w:type="dxa" w:w="90"/>
            </w:tcMar>
          </w:tcPr>
          <w:p>
            <w:r>
              <w:rPr>
                <w:b w:val="false"/>
                <w:bCs w:val="false"/>
                <w:sz w:val="18"/>
                <w:szCs w:val="18"/>
              </w:rPr>
              <w:t xml:space="preserve">Must still return normal booking information, not the action-decline message.</w:t>
            </w:r>
          </w:p>
        </w:tc>
        <w:tc>
          <w:tcPr>
            <w:tcW w:type="dxa" w:w="2000"/>
            <w:tcMar>
              <w:top w:type="dxa" w:w="70"/>
              <w:left w:type="dxa" w:w="90"/>
              <w:bottom w:type="dxa" w:w="70"/>
              <w:right w:type="dxa" w:w="90"/>
            </w:tcMar>
          </w:tcPr>
          <w:p>
            <w:r>
              <w:rPr>
                <w:b w:val="false"/>
                <w:bCs w:val="false"/>
                <w:sz w:val="18"/>
                <w:szCs w:val="18"/>
              </w:rPr>
              <w:t xml:space="preserve">Returned full booking steps + reminder tip, as expected.</w:t>
            </w:r>
          </w:p>
        </w:tc>
        <w:tc>
          <w:tcPr>
            <w:tcW w:type="dxa" w:w="900"/>
            <w:tcMar>
              <w:top w:type="dxa" w:w="70"/>
              <w:left w:type="dxa" w:w="90"/>
              <w:bottom w:type="dxa" w:w="70"/>
              <w:right w:type="dxa" w:w="90"/>
            </w:tcMar>
          </w:tcPr>
          <w:p>
            <w:r>
              <w:rPr>
                <w:b w:val="false"/>
                <w:bCs w:val="false"/>
                <w:sz w:val="18"/>
                <w:szCs w:val="18"/>
              </w:rPr>
              <w:t xml:space="preserve">Pass</w:t>
            </w:r>
          </w:p>
        </w:tc>
      </w:tr>
      <w:tr>
        <w:tc>
          <w:tcPr>
            <w:tcW w:type="dxa" w:w="1600"/>
            <w:tcMar>
              <w:top w:type="dxa" w:w="70"/>
              <w:left w:type="dxa" w:w="90"/>
              <w:bottom w:type="dxa" w:w="70"/>
              <w:right w:type="dxa" w:w="90"/>
            </w:tcMar>
          </w:tcPr>
          <w:p>
            <w:r>
              <w:rPr>
                <w:b w:val="false"/>
                <w:bCs w:val="false"/>
                <w:sz w:val="18"/>
                <w:szCs w:val="18"/>
              </w:rPr>
              <w:t xml:space="preserve">Fix 2: unconfirmed specific</w:t>
            </w:r>
          </w:p>
        </w:tc>
        <w:tc>
          <w:tcPr>
            <w:tcW w:type="dxa" w:w="2600"/>
            <w:tcMar>
              <w:top w:type="dxa" w:w="70"/>
              <w:left w:type="dxa" w:w="90"/>
              <w:bottom w:type="dxa" w:w="70"/>
              <w:right w:type="dxa" w:w="90"/>
            </w:tcMar>
          </w:tcPr>
          <w:p>
            <w:r>
              <w:rPr>
                <w:b w:val="false"/>
                <w:bCs w:val="false"/>
                <w:sz w:val="18"/>
                <w:szCs w:val="18"/>
              </w:rPr>
              <w:t xml:space="preserve">"Do you do pediatric consultations?"</w:t>
            </w:r>
          </w:p>
        </w:tc>
        <w:tc>
          <w:tcPr>
            <w:tcW w:type="dxa" w:w="2000"/>
            <w:tcMar>
              <w:top w:type="dxa" w:w="70"/>
              <w:left w:type="dxa" w:w="90"/>
              <w:bottom w:type="dxa" w:w="70"/>
              <w:right w:type="dxa" w:w="90"/>
            </w:tcMar>
          </w:tcPr>
          <w:p>
            <w:r>
              <w:rPr>
                <w:b w:val="false"/>
                <w:bCs w:val="false"/>
                <w:sz w:val="18"/>
                <w:szCs w:val="18"/>
              </w:rPr>
              <w:t xml:space="preserve">Assistant should say it cannot confirm this specific detail, not give a generic services answer.</w:t>
            </w:r>
          </w:p>
        </w:tc>
        <w:tc>
          <w:tcPr>
            <w:tcW w:type="dxa" w:w="2000"/>
            <w:tcMar>
              <w:top w:type="dxa" w:w="70"/>
              <w:left w:type="dxa" w:w="90"/>
              <w:bottom w:type="dxa" w:w="70"/>
              <w:right w:type="dxa" w:w="90"/>
            </w:tcMar>
          </w:tcPr>
          <w:p>
            <w:r>
              <w:rPr>
                <w:b w:val="false"/>
                <w:bCs w:val="false"/>
                <w:sz w:val="18"/>
                <w:szCs w:val="18"/>
              </w:rPr>
              <w:t xml:space="preserve">"I don't have specific confirmation about pediatric or child-specific consultations... contacting clinic reception directly to check this."</w:t>
            </w:r>
          </w:p>
        </w:tc>
        <w:tc>
          <w:tcPr>
            <w:tcW w:type="dxa" w:w="900"/>
            <w:tcMar>
              <w:top w:type="dxa" w:w="70"/>
              <w:left w:type="dxa" w:w="90"/>
              <w:bottom w:type="dxa" w:w="70"/>
              <w:right w:type="dxa" w:w="90"/>
            </w:tcMar>
          </w:tcPr>
          <w:p>
            <w:r>
              <w:rPr>
                <w:b w:val="false"/>
                <w:bCs w:val="false"/>
                <w:sz w:val="18"/>
                <w:szCs w:val="18"/>
              </w:rPr>
              <w:t xml:space="preserve">Pass</w:t>
            </w:r>
          </w:p>
        </w:tc>
      </w:tr>
      <w:tr>
        <w:tc>
          <w:tcPr>
            <w:tcW w:type="dxa" w:w="1600"/>
            <w:tcMar>
              <w:top w:type="dxa" w:w="70"/>
              <w:left w:type="dxa" w:w="90"/>
              <w:bottom w:type="dxa" w:w="70"/>
              <w:right w:type="dxa" w:w="90"/>
            </w:tcMar>
          </w:tcPr>
          <w:p>
            <w:r>
              <w:rPr>
                <w:b w:val="false"/>
                <w:bCs w:val="false"/>
                <w:sz w:val="18"/>
                <w:szCs w:val="18"/>
              </w:rPr>
              <w:t xml:space="preserve">Fix 2: unconfirmed specific</w:t>
            </w:r>
          </w:p>
        </w:tc>
        <w:tc>
          <w:tcPr>
            <w:tcW w:type="dxa" w:w="2600"/>
            <w:tcMar>
              <w:top w:type="dxa" w:w="70"/>
              <w:left w:type="dxa" w:w="90"/>
              <w:bottom w:type="dxa" w:w="70"/>
              <w:right w:type="dxa" w:w="90"/>
            </w:tcMar>
          </w:tcPr>
          <w:p>
            <w:r>
              <w:rPr>
                <w:b w:val="false"/>
                <w:bCs w:val="false"/>
                <w:sz w:val="18"/>
                <w:szCs w:val="18"/>
              </w:rPr>
              <w:t xml:space="preserve">"Can I get a same-day appointment?"</w:t>
            </w:r>
          </w:p>
        </w:tc>
        <w:tc>
          <w:tcPr>
            <w:tcW w:type="dxa" w:w="2000"/>
            <w:tcMar>
              <w:top w:type="dxa" w:w="70"/>
              <w:left w:type="dxa" w:w="90"/>
              <w:bottom w:type="dxa" w:w="70"/>
              <w:right w:type="dxa" w:w="90"/>
            </w:tcMar>
          </w:tcPr>
          <w:p>
            <w:r>
              <w:rPr>
                <w:b w:val="false"/>
                <w:bCs w:val="false"/>
                <w:sz w:val="18"/>
                <w:szCs w:val="18"/>
              </w:rPr>
              <w:t xml:space="preserve">Same pattern as above.</w:t>
            </w:r>
          </w:p>
        </w:tc>
        <w:tc>
          <w:tcPr>
            <w:tcW w:type="dxa" w:w="2000"/>
            <w:tcMar>
              <w:top w:type="dxa" w:w="70"/>
              <w:left w:type="dxa" w:w="90"/>
              <w:bottom w:type="dxa" w:w="70"/>
              <w:right w:type="dxa" w:w="90"/>
            </w:tcMar>
          </w:tcPr>
          <w:p>
            <w:r>
              <w:rPr>
                <w:b w:val="false"/>
                <w:bCs w:val="false"/>
                <w:sz w:val="18"/>
                <w:szCs w:val="18"/>
              </w:rPr>
              <w:t xml:space="preserve">Correctly flagged as unconfirmed, redirected to reception.</w:t>
            </w:r>
          </w:p>
        </w:tc>
        <w:tc>
          <w:tcPr>
            <w:tcW w:type="dxa" w:w="900"/>
            <w:tcMar>
              <w:top w:type="dxa" w:w="70"/>
              <w:left w:type="dxa" w:w="90"/>
              <w:bottom w:type="dxa" w:w="70"/>
              <w:right w:type="dxa" w:w="90"/>
            </w:tcMar>
          </w:tcPr>
          <w:p>
            <w:r>
              <w:rPr>
                <w:b w:val="false"/>
                <w:bCs w:val="false"/>
                <w:sz w:val="18"/>
                <w:szCs w:val="18"/>
              </w:rPr>
              <w:t xml:space="preserve">Pass</w:t>
            </w:r>
          </w:p>
        </w:tc>
      </w:tr>
      <w:tr>
        <w:tc>
          <w:tcPr>
            <w:tcW w:type="dxa" w:w="1600"/>
            <w:tcMar>
              <w:top w:type="dxa" w:w="70"/>
              <w:left w:type="dxa" w:w="90"/>
              <w:bottom w:type="dxa" w:w="70"/>
              <w:right w:type="dxa" w:w="90"/>
            </w:tcMar>
          </w:tcPr>
          <w:p>
            <w:r>
              <w:rPr>
                <w:b w:val="false"/>
                <w:bCs w:val="false"/>
                <w:sz w:val="18"/>
                <w:szCs w:val="18"/>
              </w:rPr>
              <w:t xml:space="preserve">Fix 2: unconfirmed specific</w:t>
            </w:r>
          </w:p>
        </w:tc>
        <w:tc>
          <w:tcPr>
            <w:tcW w:type="dxa" w:w="2600"/>
            <w:tcMar>
              <w:top w:type="dxa" w:w="70"/>
              <w:left w:type="dxa" w:w="90"/>
              <w:bottom w:type="dxa" w:w="70"/>
              <w:right w:type="dxa" w:w="90"/>
            </w:tcMar>
          </w:tcPr>
          <w:p>
            <w:r>
              <w:rPr>
                <w:b w:val="false"/>
                <w:bCs w:val="false"/>
                <w:sz w:val="18"/>
                <w:szCs w:val="18"/>
              </w:rPr>
              <w:t xml:space="preserve">"Do you have walk-in appointments?"</w:t>
            </w:r>
          </w:p>
        </w:tc>
        <w:tc>
          <w:tcPr>
            <w:tcW w:type="dxa" w:w="2000"/>
            <w:tcMar>
              <w:top w:type="dxa" w:w="70"/>
              <w:left w:type="dxa" w:w="90"/>
              <w:bottom w:type="dxa" w:w="70"/>
              <w:right w:type="dxa" w:w="90"/>
            </w:tcMar>
          </w:tcPr>
          <w:p>
            <w:r>
              <w:rPr>
                <w:b w:val="false"/>
                <w:bCs w:val="false"/>
                <w:sz w:val="18"/>
                <w:szCs w:val="18"/>
              </w:rPr>
              <w:t xml:space="preserve">Same pattern (new phrasing, not in original bug report).</w:t>
            </w:r>
          </w:p>
        </w:tc>
        <w:tc>
          <w:tcPr>
            <w:tcW w:type="dxa" w:w="2000"/>
            <w:tcMar>
              <w:top w:type="dxa" w:w="70"/>
              <w:left w:type="dxa" w:w="90"/>
              <w:bottom w:type="dxa" w:w="70"/>
              <w:right w:type="dxa" w:w="90"/>
            </w:tcMar>
          </w:tcPr>
          <w:p>
            <w:r>
              <w:rPr>
                <w:b w:val="false"/>
                <w:bCs w:val="false"/>
                <w:sz w:val="18"/>
                <w:szCs w:val="18"/>
              </w:rPr>
              <w:t xml:space="preserve">Correctly flagged as unconfirmed, redirected to reception.</w:t>
            </w:r>
          </w:p>
        </w:tc>
        <w:tc>
          <w:tcPr>
            <w:tcW w:type="dxa" w:w="900"/>
            <w:tcMar>
              <w:top w:type="dxa" w:w="70"/>
              <w:left w:type="dxa" w:w="90"/>
              <w:bottom w:type="dxa" w:w="70"/>
              <w:right w:type="dxa" w:w="90"/>
            </w:tcMar>
          </w:tcPr>
          <w:p>
            <w:r>
              <w:rPr>
                <w:b w:val="false"/>
                <w:bCs w:val="false"/>
                <w:sz w:val="18"/>
                <w:szCs w:val="18"/>
              </w:rPr>
              <w:t xml:space="preserve">Pass</w:t>
            </w:r>
          </w:p>
        </w:tc>
      </w:tr>
      <w:tr>
        <w:tc>
          <w:tcPr>
            <w:tcW w:type="dxa" w:w="1600"/>
            <w:tcMar>
              <w:top w:type="dxa" w:w="70"/>
              <w:left w:type="dxa" w:w="90"/>
              <w:bottom w:type="dxa" w:w="70"/>
              <w:right w:type="dxa" w:w="90"/>
            </w:tcMar>
          </w:tcPr>
          <w:p>
            <w:r>
              <w:rPr>
                <w:b w:val="false"/>
                <w:bCs w:val="false"/>
                <w:sz w:val="18"/>
                <w:szCs w:val="18"/>
              </w:rPr>
              <w:t xml:space="preserve">Fix 2: regression guard</w:t>
            </w:r>
          </w:p>
        </w:tc>
        <w:tc>
          <w:tcPr>
            <w:tcW w:type="dxa" w:w="2600"/>
            <w:tcMar>
              <w:top w:type="dxa" w:w="70"/>
              <w:left w:type="dxa" w:w="90"/>
              <w:bottom w:type="dxa" w:w="70"/>
              <w:right w:type="dxa" w:w="90"/>
            </w:tcMar>
          </w:tcPr>
          <w:p>
            <w:r>
              <w:rPr>
                <w:b w:val="false"/>
                <w:bCs w:val="false"/>
                <w:sz w:val="18"/>
                <w:szCs w:val="18"/>
              </w:rPr>
              <w:t xml:space="preserve">"What services do you offer?"</w:t>
            </w:r>
          </w:p>
        </w:tc>
        <w:tc>
          <w:tcPr>
            <w:tcW w:type="dxa" w:w="2000"/>
            <w:tcMar>
              <w:top w:type="dxa" w:w="70"/>
              <w:left w:type="dxa" w:w="90"/>
              <w:bottom w:type="dxa" w:w="70"/>
              <w:right w:type="dxa" w:w="90"/>
            </w:tcMar>
          </w:tcPr>
          <w:p>
            <w:r>
              <w:rPr>
                <w:b w:val="false"/>
                <w:bCs w:val="false"/>
                <w:sz w:val="18"/>
                <w:szCs w:val="18"/>
              </w:rPr>
              <w:t xml:space="preserve">Must still return the normal services list, not an unconfirmed-flag response.</w:t>
            </w:r>
          </w:p>
        </w:tc>
        <w:tc>
          <w:tcPr>
            <w:tcW w:type="dxa" w:w="2000"/>
            <w:tcMar>
              <w:top w:type="dxa" w:w="70"/>
              <w:left w:type="dxa" w:w="90"/>
              <w:bottom w:type="dxa" w:w="70"/>
              <w:right w:type="dxa" w:w="90"/>
            </w:tcMar>
          </w:tcPr>
          <w:p>
            <w:r>
              <w:rPr>
                <w:b w:val="false"/>
                <w:bCs w:val="false"/>
                <w:sz w:val="18"/>
                <w:szCs w:val="18"/>
              </w:rPr>
              <w:t xml:space="preserve">Returned full services list as expected.</w:t>
            </w:r>
          </w:p>
        </w:tc>
        <w:tc>
          <w:tcPr>
            <w:tcW w:type="dxa" w:w="900"/>
            <w:tcMar>
              <w:top w:type="dxa" w:w="70"/>
              <w:left w:type="dxa" w:w="90"/>
              <w:bottom w:type="dxa" w:w="70"/>
              <w:right w:type="dxa" w:w="90"/>
            </w:tcMar>
          </w:tcPr>
          <w:p>
            <w:r>
              <w:rPr>
                <w:b w:val="false"/>
                <w:bCs w:val="false"/>
                <w:sz w:val="18"/>
                <w:szCs w:val="18"/>
              </w:rPr>
              <w:t xml:space="preserve">Pass</w:t>
            </w:r>
          </w:p>
        </w:tc>
      </w:tr>
    </w:tbl>
    <w:p>
      <w:pPr>
        <w:pStyle w:val="Heading1"/>
        <w:spacing w:after="160" w:before="320"/>
      </w:pPr>
      <w:r>
        <w:t xml:space="preserve">Section 3: Before / After Evidence</w:t>
      </w:r>
    </w:p>
    <w:p>
      <w:pPr>
        <w:pStyle w:val="Heading2"/>
        <w:spacing w:after="120" w:before="240"/>
      </w:pPr>
      <w:r>
        <w:t xml:space="preserve">Fix 1 — Action vs. Information Requests</w:t>
      </w:r>
    </w:p>
    <w:p>
      <w:pPr>
        <w:shd w:fill="F4F4F4" w:val="clear"/>
        <w:spacing w:after="200"/>
      </w:pPr>
      <w:r>
        <w:rPr>
          <w:rFonts w:ascii="Consolas" w:cs="Consolas" w:eastAsia="Consolas" w:hAnsi="Consolas"/>
          <w:sz w:val="18"/>
          <w:szCs w:val="18"/>
        </w:rPr>
        <w:t xml:space="preserve">Q: Can you book this appointment for me right now?</w:t>
      </w:r>
      <w:r>
        <w:rPr>
          <w:rFonts w:ascii="Consolas" w:cs="Consolas" w:eastAsia="Consolas" w:hAnsi="Consolas"/>
          <w:sz w:val="18"/>
          <w:szCs w:val="18"/>
        </w:rPr>
        <w:br/>
        <w:t xml:space="preserve">  BEFORE (Week 6): Here's what I can tell you: You can request an appointment</w:t>
      </w:r>
      <w:r>
        <w:rPr>
          <w:rFonts w:ascii="Consolas" w:cs="Consolas" w:eastAsia="Consolas" w:hAnsi="Consolas"/>
          <w:sz w:val="18"/>
          <w:szCs w:val="18"/>
        </w:rPr>
        <w:br/>
        <w:t xml:space="preserve">                   through the booking channel... [treated as an info request]</w:t>
      </w:r>
      <w:r>
        <w:rPr>
          <w:rFonts w:ascii="Consolas" w:cs="Consolas" w:eastAsia="Consolas" w:hAnsi="Consolas"/>
          <w:sz w:val="18"/>
          <w:szCs w:val="18"/>
        </w:rPr>
        <w:br/>
        <w:t xml:space="preserve">  AFTER  (Week 7): I'm not able to book, confirm, or make changes to appointments</w:t>
      </w:r>
      <w:r>
        <w:rPr>
          <w:rFonts w:ascii="Consolas" w:cs="Consolas" w:eastAsia="Consolas" w:hAnsi="Consolas"/>
          <w:sz w:val="18"/>
          <w:szCs w:val="18"/>
        </w:rPr>
        <w:br/>
        <w:t xml:space="preserve">                   directly — I can only provide information. To actually book or</w:t>
      </w:r>
      <w:r>
        <w:rPr>
          <w:rFonts w:ascii="Consolas" w:cs="Consolas" w:eastAsia="Consolas" w:hAnsi="Consolas"/>
          <w:sz w:val="18"/>
          <w:szCs w:val="18"/>
        </w:rPr>
        <w:br/>
        <w:t xml:space="preserve">                   confirm an appointment, please contact clinic reception or use</w:t>
      </w:r>
      <w:r>
        <w:rPr>
          <w:rFonts w:ascii="Consolas" w:cs="Consolas" w:eastAsia="Consolas" w:hAnsi="Consolas"/>
          <w:sz w:val="18"/>
          <w:szCs w:val="18"/>
        </w:rPr>
        <w:br/>
        <w:t xml:space="preserve">                   the approved booking platform.</w:t>
      </w:r>
    </w:p>
    <w:p>
      <w:pPr>
        <w:pStyle w:val="Heading2"/>
        <w:spacing w:after="120" w:before="240"/>
      </w:pPr>
      <w:r>
        <w:t xml:space="preserve">Fix 2 — Unconfirmed Specific Questions</w:t>
      </w:r>
    </w:p>
    <w:p>
      <w:pPr>
        <w:shd w:fill="F4F4F4" w:val="clear"/>
        <w:spacing w:after="200"/>
      </w:pPr>
      <w:r>
        <w:rPr>
          <w:rFonts w:ascii="Consolas" w:cs="Consolas" w:eastAsia="Consolas" w:hAnsi="Consolas"/>
          <w:sz w:val="18"/>
          <w:szCs w:val="18"/>
        </w:rPr>
        <w:t xml:space="preserve">Q: Do you do pediatric consultations?</w:t>
      </w:r>
      <w:r>
        <w:rPr>
          <w:rFonts w:ascii="Consolas" w:cs="Consolas" w:eastAsia="Consolas" w:hAnsi="Consolas"/>
          <w:sz w:val="18"/>
          <w:szCs w:val="18"/>
        </w:rPr>
        <w:br/>
        <w:t xml:space="preserve">  BEFORE (Week 6): Here's what I can tell you: HealthConnect offers general</w:t>
      </w:r>
      <w:r>
        <w:rPr>
          <w:rFonts w:ascii="Consolas" w:cs="Consolas" w:eastAsia="Consolas" w:hAnsi="Consolas"/>
          <w:sz w:val="18"/>
          <w:szCs w:val="18"/>
        </w:rPr>
        <w:br/>
        <w:t xml:space="preserve">                   outpatient consultations... [generic list, doesn't answer]</w:t>
      </w:r>
      <w:r>
        <w:rPr>
          <w:rFonts w:ascii="Consolas" w:cs="Consolas" w:eastAsia="Consolas" w:hAnsi="Consolas"/>
          <w:sz w:val="18"/>
          <w:szCs w:val="18"/>
        </w:rPr>
        <w:br/>
        <w:t xml:space="preserve">  AFTER  (Week 7): I don't have specific confirmation about pediatric or</w:t>
      </w:r>
      <w:r>
        <w:rPr>
          <w:rFonts w:ascii="Consolas" w:cs="Consolas" w:eastAsia="Consolas" w:hAnsi="Consolas"/>
          <w:sz w:val="18"/>
          <w:szCs w:val="18"/>
        </w:rPr>
        <w:br/>
        <w:t xml:space="preserve">                   child-specific consultations in what I'm approved to answer</w:t>
      </w:r>
      <w:r>
        <w:rPr>
          <w:rFonts w:ascii="Consolas" w:cs="Consolas" w:eastAsia="Consolas" w:hAnsi="Consolas"/>
          <w:sz w:val="18"/>
          <w:szCs w:val="18"/>
        </w:rPr>
        <w:br/>
        <w:t xml:space="preserve">                   from. I'd recommend contacting clinic reception directly.</w:t>
      </w:r>
    </w:p>
    <w:p>
      <w:pPr>
        <w:pStyle w:val="Heading1"/>
        <w:spacing w:after="160" w:before="320"/>
      </w:pPr>
      <w:r>
        <w:t xml:space="preserve">Section 4: Safety and Escalation Testing (Re-validated)</w:t>
      </w:r>
    </w:p>
    <w:p>
      <w:pPr>
        <w:spacing w:after="160"/>
      </w:pPr>
      <w:r>
        <w:t xml:space="preserve">All four escalation test cases (two medical, two emergency) were re-run and produced identical, correct results to Weeks 5 and 6. Both new fixes are checked before topic retrieval but after emergency/medical classification, so neither fix can interfere with escalation behaviour. No new safety issues found.</w:t>
      </w:r>
    </w:p>
    <w:p>
      <w:pPr>
        <w:pStyle w:val="Heading1"/>
        <w:spacing w:after="160" w:before="320"/>
      </w:pPr>
      <w:r>
        <w:t xml:space="preserve">Section 5: Knowledge Base Compliance</w:t>
      </w:r>
    </w:p>
    <w:p>
      <w:pPr>
        <w:spacing w:after="160"/>
      </w:pPr>
      <w:r>
        <w:t xml:space="preserve">Fix 2 strengthens Knowledge Base compliance rather than risking it: previously, unconfirmed questions could produce answers that sounded complete but weren't, which risked implying confirmed information the Knowledge Base doesn't actually contain. The fix makes the assistant explicitly say what it cannot confirm, which is a more conservative and more compliant behaviour.</w:t>
      </w:r>
    </w:p>
    <w:p>
      <w:pPr>
        <w:pStyle w:val="Heading1"/>
        <w:spacing w:after="160" w:before="320"/>
      </w:pPr>
      <w:r>
        <w:t xml:space="preserve">Section 6: Mandatory HC-POD Cross-Track Testing &amp; Refinement</w:t>
      </w:r>
    </w:p>
    <w:p>
      <w:pPr>
        <w:spacing w:after="160"/>
      </w:pPr>
      <w:r>
        <w:t xml:space="preserve">This week's cross-track activity tested the factual accuracy of the Week 6 Data-Analytics-informed feature, not just its presence — moving from "integrate" (Week 6) to "test and refine the integration" (Week 7), as required.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2E5395" w:val="clear"/>
            <w:tcMar>
              <w:top w:type="dxa" w:w="70"/>
              <w:left w:type="dxa" w:w="90"/>
              <w:bottom w:type="dxa" w:w="70"/>
              <w:right w:type="dxa" w:w="90"/>
            </w:tcMar>
          </w:tcPr>
          <w:p>
            <w:r>
              <w:rPr>
                <w:b/>
                <w:bCs/>
                <w:color w:val="FFFFFF"/>
                <w:sz w:val="18"/>
                <w:szCs w:val="18"/>
              </w:rPr>
              <w:t xml:space="preserve">Field</w:t>
            </w:r>
          </w:p>
        </w:tc>
        <w:tc>
          <w:tcPr>
            <w:tcW w:type="dxa" w:w="6600"/>
            <w:shd w:fill="2E5395" w:val="clear"/>
            <w:tcMar>
              <w:top w:type="dxa" w:w="70"/>
              <w:left w:type="dxa" w:w="90"/>
              <w:bottom w:type="dxa" w:w="70"/>
              <w:right w:type="dxa" w:w="90"/>
            </w:tcMar>
          </w:tcPr>
          <w:p>
            <w:r>
              <w:rPr>
                <w:b/>
                <w:bCs/>
                <w:color w:val="FFFFFF"/>
                <w:sz w:val="18"/>
                <w:szCs w:val="18"/>
              </w:rPr>
              <w:t xml:space="preserve">Detail</w:t>
            </w:r>
          </w:p>
        </w:tc>
      </w:tr>
      <w:tr>
        <w:tc>
          <w:tcPr>
            <w:tcW w:type="dxa" w:w="2600"/>
            <w:tcMar>
              <w:top w:type="dxa" w:w="70"/>
              <w:left w:type="dxa" w:w="90"/>
              <w:bottom w:type="dxa" w:w="70"/>
              <w:right w:type="dxa" w:w="90"/>
            </w:tcMar>
          </w:tcPr>
          <w:p>
            <w:r>
              <w:rPr>
                <w:b w:val="false"/>
                <w:bCs w:val="false"/>
                <w:sz w:val="18"/>
                <w:szCs w:val="18"/>
              </w:rPr>
              <w:t xml:space="preserve">1. Track collaborated with</w:t>
            </w:r>
          </w:p>
        </w:tc>
        <w:tc>
          <w:tcPr>
            <w:tcW w:type="dxa" w:w="6600"/>
            <w:tcMar>
              <w:top w:type="dxa" w:w="70"/>
              <w:left w:type="dxa" w:w="90"/>
              <w:bottom w:type="dxa" w:w="70"/>
              <w:right w:type="dxa" w:w="90"/>
            </w:tcMar>
          </w:tcPr>
          <w:p>
            <w:r>
              <w:rPr>
                <w:b w:val="false"/>
                <w:bCs w:val="false"/>
                <w:sz w:val="18"/>
                <w:szCs w:val="18"/>
              </w:rPr>
              <w:t xml:space="preserve">Data Analytics (Juliet).</w:t>
            </w:r>
          </w:p>
        </w:tc>
      </w:tr>
      <w:tr>
        <w:tc>
          <w:tcPr>
            <w:tcW w:type="dxa" w:w="2600"/>
            <w:tcMar>
              <w:top w:type="dxa" w:w="70"/>
              <w:left w:type="dxa" w:w="90"/>
              <w:bottom w:type="dxa" w:w="70"/>
              <w:right w:type="dxa" w:w="90"/>
            </w:tcMar>
          </w:tcPr>
          <w:p>
            <w:r>
              <w:rPr>
                <w:b w:val="false"/>
                <w:bCs w:val="false"/>
                <w:sz w:val="18"/>
                <w:szCs w:val="18"/>
              </w:rPr>
              <w:t xml:space="preserve">2. Project dependency</w:t>
            </w:r>
          </w:p>
        </w:tc>
        <w:tc>
          <w:tcPr>
            <w:tcW w:type="dxa" w:w="6600"/>
            <w:tcMar>
              <w:top w:type="dxa" w:w="70"/>
              <w:left w:type="dxa" w:w="90"/>
              <w:bottom w:type="dxa" w:w="70"/>
              <w:right w:type="dxa" w:w="90"/>
            </w:tcMar>
          </w:tcPr>
          <w:p>
            <w:r>
              <w:rPr>
                <w:b w:val="false"/>
                <w:bCs w:val="false"/>
                <w:sz w:val="18"/>
                <w:szCs w:val="18"/>
              </w:rPr>
              <w:t xml:space="preserve">The Week 6 reminder-channel guidance feature depends entirely on the accuracy of Juliet's shared appointment-data findings; if the wording misrepresents her numbers, the assistant would be giving patients a subtly incorrect claim.</w:t>
            </w:r>
          </w:p>
        </w:tc>
      </w:tr>
      <w:tr>
        <w:tc>
          <w:tcPr>
            <w:tcW w:type="dxa" w:w="2600"/>
            <w:tcMar>
              <w:top w:type="dxa" w:w="70"/>
              <w:left w:type="dxa" w:w="90"/>
              <w:bottom w:type="dxa" w:w="70"/>
              <w:right w:type="dxa" w:w="90"/>
            </w:tcMar>
          </w:tcPr>
          <w:p>
            <w:r>
              <w:rPr>
                <w:b w:val="false"/>
                <w:bCs w:val="false"/>
                <w:sz w:val="18"/>
                <w:szCs w:val="18"/>
              </w:rPr>
              <w:t xml:space="preserve">3. Component/output being tested</w:t>
            </w:r>
          </w:p>
        </w:tc>
        <w:tc>
          <w:tcPr>
            <w:tcW w:type="dxa" w:w="6600"/>
            <w:tcMar>
              <w:top w:type="dxa" w:w="70"/>
              <w:left w:type="dxa" w:w="90"/>
              <w:bottom w:type="dxa" w:w="70"/>
              <w:right w:type="dxa" w:w="90"/>
            </w:tcMar>
          </w:tcPr>
          <w:p>
            <w:r>
              <w:rPr>
                <w:b w:val="false"/>
                <w:bCs w:val="false"/>
                <w:sz w:val="18"/>
                <w:szCs w:val="18"/>
              </w:rPr>
              <w:t xml:space="preserve">The REMINDER_TIP string used in respond_week7(), specifically its factual claims about SMS-reminder effectiveness.</w:t>
            </w:r>
          </w:p>
        </w:tc>
      </w:tr>
      <w:tr>
        <w:tc>
          <w:tcPr>
            <w:tcW w:type="dxa" w:w="2600"/>
            <w:tcMar>
              <w:top w:type="dxa" w:w="70"/>
              <w:left w:type="dxa" w:w="90"/>
              <w:bottom w:type="dxa" w:w="70"/>
              <w:right w:type="dxa" w:w="90"/>
            </w:tcMar>
          </w:tcPr>
          <w:p>
            <w:r>
              <w:rPr>
                <w:b w:val="false"/>
                <w:bCs w:val="false"/>
                <w:sz w:val="18"/>
                <w:szCs w:val="18"/>
              </w:rPr>
              <w:t xml:space="preserve">4. Information/output received</w:t>
            </w:r>
          </w:p>
        </w:tc>
        <w:tc>
          <w:tcPr>
            <w:tcW w:type="dxa" w:w="6600"/>
            <w:tcMar>
              <w:top w:type="dxa" w:w="70"/>
              <w:left w:type="dxa" w:w="90"/>
              <w:bottom w:type="dxa" w:w="70"/>
              <w:right w:type="dxa" w:w="90"/>
            </w:tcMar>
          </w:tcPr>
          <w:p>
            <w:r>
              <w:rPr>
                <w:b w:val="false"/>
                <w:bCs w:val="false"/>
                <w:sz w:val="18"/>
                <w:szCs w:val="18"/>
              </w:rPr>
              <w:t xml:space="preserve">Juliet's original Week 6 findings (retained from prior collaboration): no-reminder no-show rate 51.4%; SMS 45.8% (best channel); Email 48.4%; WhatsApp 49.8%.</w:t>
            </w:r>
          </w:p>
        </w:tc>
      </w:tr>
      <w:tr>
        <w:tc>
          <w:tcPr>
            <w:tcW w:type="dxa" w:w="2600"/>
            <w:tcMar>
              <w:top w:type="dxa" w:w="70"/>
              <w:left w:type="dxa" w:w="90"/>
              <w:bottom w:type="dxa" w:w="70"/>
              <w:right w:type="dxa" w:w="90"/>
            </w:tcMar>
          </w:tcPr>
          <w:p>
            <w:r>
              <w:rPr>
                <w:b w:val="false"/>
                <w:bCs w:val="false"/>
                <w:sz w:val="18"/>
                <w:szCs w:val="18"/>
              </w:rPr>
              <w:t xml:space="preserve">5. Information/output provided</w:t>
            </w:r>
          </w:p>
        </w:tc>
        <w:tc>
          <w:tcPr>
            <w:tcW w:type="dxa" w:w="6600"/>
            <w:tcMar>
              <w:top w:type="dxa" w:w="70"/>
              <w:left w:type="dxa" w:w="90"/>
              <w:bottom w:type="dxa" w:w="70"/>
              <w:right w:type="dxa" w:w="90"/>
            </w:tcMar>
          </w:tcPr>
          <w:p>
            <w:r>
              <w:rPr>
                <w:b w:val="false"/>
                <w:bCs w:val="false"/>
                <w:sz w:val="18"/>
                <w:szCs w:val="18"/>
              </w:rPr>
              <w:t xml:space="preserve">A direct validation request sent this week, quoting the exact assistant wording and asking Juliet to confirm accuracy or flag any misrepresentation; also re-shared the Week 6 testing observation about incomplete answers, now resolved (Fix 2), in case it's useful for her wasted-slots analysis.</w:t>
            </w:r>
          </w:p>
        </w:tc>
      </w:tr>
      <w:tr>
        <w:tc>
          <w:tcPr>
            <w:tcW w:type="dxa" w:w="2600"/>
            <w:tcMar>
              <w:top w:type="dxa" w:w="70"/>
              <w:left w:type="dxa" w:w="90"/>
              <w:bottom w:type="dxa" w:w="70"/>
              <w:right w:type="dxa" w:w="90"/>
            </w:tcMar>
          </w:tcPr>
          <w:p>
            <w:r>
              <w:rPr>
                <w:b w:val="false"/>
                <w:bCs w:val="false"/>
                <w:sz w:val="18"/>
                <w:szCs w:val="18"/>
              </w:rPr>
              <w:t xml:space="preserve">6. Testing activity completed</w:t>
            </w:r>
          </w:p>
        </w:tc>
        <w:tc>
          <w:tcPr>
            <w:tcW w:type="dxa" w:w="6600"/>
            <w:tcMar>
              <w:top w:type="dxa" w:w="70"/>
              <w:left w:type="dxa" w:w="90"/>
              <w:bottom w:type="dxa" w:w="70"/>
              <w:right w:type="dxa" w:w="90"/>
            </w:tcMar>
          </w:tcPr>
          <w:p>
            <w:r>
              <w:rPr>
                <w:b w:val="false"/>
                <w:bCs w:val="false"/>
                <w:sz w:val="18"/>
                <w:szCs w:val="18"/>
              </w:rPr>
              <w:t xml:space="preserve">Self-audit: compared the Week 6 wording ("strongly linked to fewer missed appointments") against Juliet's actual figures. Found the phrase implied a stronger effect than the ~5.6 percentage-point difference the data actually shows. Sent a live validation request to Juliet (screenshot evidence retained); as of submission, no reply received.</w:t>
            </w:r>
          </w:p>
        </w:tc>
      </w:tr>
      <w:tr>
        <w:tc>
          <w:tcPr>
            <w:tcW w:type="dxa" w:w="2600"/>
            <w:tcMar>
              <w:top w:type="dxa" w:w="70"/>
              <w:left w:type="dxa" w:w="90"/>
              <w:bottom w:type="dxa" w:w="70"/>
              <w:right w:type="dxa" w:w="90"/>
            </w:tcMar>
          </w:tcPr>
          <w:p>
            <w:r>
              <w:rPr>
                <w:b w:val="false"/>
                <w:bCs w:val="false"/>
                <w:sz w:val="18"/>
                <w:szCs w:val="18"/>
              </w:rPr>
              <w:t xml:space="preserve">7. Issue or finding identified</w:t>
            </w:r>
          </w:p>
        </w:tc>
        <w:tc>
          <w:tcPr>
            <w:tcW w:type="dxa" w:w="6600"/>
            <w:tcMar>
              <w:top w:type="dxa" w:w="70"/>
              <w:left w:type="dxa" w:w="90"/>
              <w:bottom w:type="dxa" w:w="70"/>
              <w:right w:type="dxa" w:w="90"/>
            </w:tcMar>
          </w:tcPr>
          <w:p>
            <w:r>
              <w:rPr>
                <w:b w:val="false"/>
                <w:bCs w:val="false"/>
                <w:sz w:val="18"/>
                <w:szCs w:val="18"/>
              </w:rPr>
              <w:t xml:space="preserve">The original wording was directionally correct (SMS is the best-performing channel) but imprecise — a qualitative claim ("strongly linked") without the actual figures risked overstating the effect.</w:t>
            </w:r>
          </w:p>
        </w:tc>
      </w:tr>
      <w:tr>
        <w:tc>
          <w:tcPr>
            <w:tcW w:type="dxa" w:w="2600"/>
            <w:tcMar>
              <w:top w:type="dxa" w:w="70"/>
              <w:left w:type="dxa" w:w="90"/>
              <w:bottom w:type="dxa" w:w="70"/>
              <w:right w:type="dxa" w:w="90"/>
            </w:tcMar>
          </w:tcPr>
          <w:p>
            <w:r>
              <w:rPr>
                <w:b w:val="false"/>
                <w:bCs w:val="false"/>
                <w:sz w:val="18"/>
                <w:szCs w:val="18"/>
              </w:rPr>
              <w:t xml:space="preserve">8. Refinement/action taken</w:t>
            </w:r>
          </w:p>
        </w:tc>
        <w:tc>
          <w:tcPr>
            <w:tcW w:type="dxa" w:w="6600"/>
            <w:tcMar>
              <w:top w:type="dxa" w:w="70"/>
              <w:left w:type="dxa" w:w="90"/>
              <w:bottom w:type="dxa" w:w="70"/>
              <w:right w:type="dxa" w:w="90"/>
            </w:tcMar>
          </w:tcPr>
          <w:p>
            <w:r>
              <w:rPr>
                <w:b w:val="false"/>
                <w:bCs w:val="false"/>
                <w:sz w:val="18"/>
                <w:szCs w:val="18"/>
              </w:rPr>
              <w:t xml:space="preserve">Reworded the guidance to cite Juliet's exact figures directly (45.8% vs. 51.4%) instead of a vague qualitative claim, removing any risk of overstatement.</w:t>
            </w:r>
          </w:p>
        </w:tc>
      </w:tr>
      <w:tr>
        <w:tc>
          <w:tcPr>
            <w:tcW w:type="dxa" w:w="2600"/>
            <w:tcMar>
              <w:top w:type="dxa" w:w="70"/>
              <w:left w:type="dxa" w:w="90"/>
              <w:bottom w:type="dxa" w:w="70"/>
              <w:right w:type="dxa" w:w="90"/>
            </w:tcMar>
          </w:tcPr>
          <w:p>
            <w:r>
              <w:rPr>
                <w:b w:val="false"/>
                <w:bCs w:val="false"/>
                <w:sz w:val="18"/>
                <w:szCs w:val="18"/>
              </w:rPr>
              <w:t xml:space="preserve">9. Retest result</w:t>
            </w:r>
          </w:p>
        </w:tc>
        <w:tc>
          <w:tcPr>
            <w:tcW w:type="dxa" w:w="6600"/>
            <w:tcMar>
              <w:top w:type="dxa" w:w="70"/>
              <w:left w:type="dxa" w:w="90"/>
              <w:bottom w:type="dxa" w:w="70"/>
              <w:right w:type="dxa" w:w="90"/>
            </w:tcMar>
          </w:tcPr>
          <w:p>
            <w:r>
              <w:rPr>
                <w:b w:val="false"/>
                <w:bCs w:val="false"/>
                <w:sz w:val="18"/>
                <w:szCs w:val="18"/>
              </w:rPr>
              <w:t xml:space="preserve">Full regression (16 cases) and both new targeted test sets re-run against the refined wording — 100% pass, no regressions, refined text confirmed displaying correctly in the reminder-channel response path.</w:t>
            </w:r>
          </w:p>
        </w:tc>
      </w:tr>
      <w:tr>
        <w:tc>
          <w:tcPr>
            <w:tcW w:type="dxa" w:w="2600"/>
            <w:tcMar>
              <w:top w:type="dxa" w:w="70"/>
              <w:left w:type="dxa" w:w="90"/>
              <w:bottom w:type="dxa" w:w="70"/>
              <w:right w:type="dxa" w:w="90"/>
            </w:tcMar>
          </w:tcPr>
          <w:p>
            <w:r>
              <w:rPr>
                <w:b w:val="false"/>
                <w:bCs w:val="false"/>
                <w:sz w:val="18"/>
                <w:szCs w:val="18"/>
              </w:rPr>
              <w:t xml:space="preserve">10. What changed as a result</w:t>
            </w:r>
          </w:p>
        </w:tc>
        <w:tc>
          <w:tcPr>
            <w:tcW w:type="dxa" w:w="6600"/>
            <w:tcMar>
              <w:top w:type="dxa" w:w="70"/>
              <w:left w:type="dxa" w:w="90"/>
              <w:bottom w:type="dxa" w:w="70"/>
              <w:right w:type="dxa" w:w="90"/>
            </w:tcMar>
          </w:tcPr>
          <w:p>
            <w:r>
              <w:rPr>
                <w:b w:val="false"/>
                <w:bCs w:val="false"/>
                <w:sz w:val="18"/>
                <w:szCs w:val="18"/>
              </w:rPr>
              <w:t xml:space="preserve">The assistant's reminder-channel guidance now states Juliet's findings precisely, in her own numbers, rather than a paraphrased characterisation of them.</w:t>
            </w:r>
          </w:p>
        </w:tc>
      </w:tr>
      <w:tr>
        <w:tc>
          <w:tcPr>
            <w:tcW w:type="dxa" w:w="2600"/>
            <w:tcMar>
              <w:top w:type="dxa" w:w="70"/>
              <w:left w:type="dxa" w:w="90"/>
              <w:bottom w:type="dxa" w:w="70"/>
              <w:right w:type="dxa" w:w="90"/>
            </w:tcMar>
          </w:tcPr>
          <w:p>
            <w:r>
              <w:rPr>
                <w:b w:val="false"/>
                <w:bCs w:val="false"/>
                <w:sz w:val="18"/>
                <w:szCs w:val="18"/>
              </w:rPr>
              <w:t xml:space="preserve">11. Evidence</w:t>
            </w:r>
          </w:p>
        </w:tc>
        <w:tc>
          <w:tcPr>
            <w:tcW w:type="dxa" w:w="6600"/>
            <w:tcMar>
              <w:top w:type="dxa" w:w="70"/>
              <w:left w:type="dxa" w:w="90"/>
              <w:bottom w:type="dxa" w:w="70"/>
              <w:right w:type="dxa" w:w="90"/>
            </w:tcMar>
          </w:tcPr>
          <w:p>
            <w:r>
              <w:rPr>
                <w:b w:val="false"/>
                <w:bCs w:val="false"/>
                <w:sz w:val="18"/>
                <w:szCs w:val="18"/>
              </w:rPr>
              <w:t xml:space="preserve">prototype_v3.py (before/after REMINDER_TIP strings); console output showing old vs. new wording; WhatsApp screenshot of the validation request sent to Juliet; original Week 6 data screenshots (source of the figures being validated).</w:t>
            </w:r>
          </w:p>
        </w:tc>
      </w:tr>
      <w:tr>
        <w:tc>
          <w:tcPr>
            <w:tcW w:type="dxa" w:w="2600"/>
            <w:tcMar>
              <w:top w:type="dxa" w:w="70"/>
              <w:left w:type="dxa" w:w="90"/>
              <w:bottom w:type="dxa" w:w="70"/>
              <w:right w:type="dxa" w:w="90"/>
            </w:tcMar>
          </w:tcPr>
          <w:p>
            <w:r>
              <w:rPr>
                <w:b w:val="false"/>
                <w:bCs w:val="false"/>
                <w:sz w:val="18"/>
                <w:szCs w:val="18"/>
              </w:rPr>
              <w:t xml:space="preserve">12. How this improved the overall HealthConnect solution</w:t>
            </w:r>
          </w:p>
        </w:tc>
        <w:tc>
          <w:tcPr>
            <w:tcW w:type="dxa" w:w="6600"/>
            <w:tcMar>
              <w:top w:type="dxa" w:w="70"/>
              <w:left w:type="dxa" w:w="90"/>
              <w:bottom w:type="dxa" w:w="70"/>
              <w:right w:type="dxa" w:w="90"/>
            </w:tcMar>
          </w:tcPr>
          <w:p>
            <w:r>
              <w:rPr>
                <w:b w:val="false"/>
                <w:bCs w:val="false"/>
                <w:sz w:val="18"/>
                <w:szCs w:val="18"/>
              </w:rPr>
              <w:t xml:space="preserve">Reduces the risk of the assistant subtly overstating evidence to patients — directly relevant to HealthConnect's need for trustworthy, accurate patient-facing information, and demonstrates that cross-track data flowing into the assistant is being actively checked for fidelity, not just used once and left alone.</w:t>
            </w:r>
          </w:p>
        </w:tc>
      </w:tr>
    </w:tbl>
    <w:p>
      <w:pPr>
        <w:spacing w:after="160"/>
      </w:pPr>
      <w:r>
        <w:t xml:space="preserve">Note: a live reply from Juliet confirming the revised wording had not been received by the submission deadline. This section is honestly documented as a self-conducted validation against her previously-shared, verifiable data, combined with a good-faith live validation request — not communication alone, and not fabricated confirmation. Her reply, if received after submission, will be incorporated into Week 8 documentation.</w:t>
      </w:r>
    </w:p>
    <w:p>
      <w:pPr>
        <w:pStyle w:val="Heading1"/>
        <w:spacing w:after="160" w:before="320"/>
      </w:pPr>
      <w:r>
        <w:t xml:space="preserve">Section 7: Remaining Limitations</w:t>
      </w:r>
    </w:p>
    <w:p>
      <w:pPr>
        <w:pStyle w:val="ListParagraph"/>
        <w:numPr>
          <w:ilvl w:val="0"/>
          <w:numId w:val="2"/>
        </w:numPr>
        <w:spacing w:after="80"/>
      </w:pPr>
      <w:r>
        <w:t xml:space="preserve">Location-specific questions naming a place the clinic doesn't have (e.g., "a location in Ikeja") still return the general locations list rather than an explicit denial — the same underlying pattern as Fix 2, but not practically fixable by enumerating every possible incorrect place name. Flagged, not fixed, this week.</w:t>
      </w:r>
    </w:p>
    <w:p>
      <w:pPr>
        <w:pStyle w:val="ListParagraph"/>
        <w:numPr>
          <w:ilvl w:val="0"/>
          <w:numId w:val="2"/>
        </w:numPr>
        <w:spacing w:after="80"/>
      </w:pPr>
      <w:r>
        <w:t xml:space="preserve">Both fixes still rely on keyword/phrase matching, so entirely novel phrasings of action requests or unconfirmed-specific questions beyond this week's test set could still slip through undetected.</w:t>
      </w:r>
    </w:p>
    <w:p>
      <w:pPr>
        <w:pStyle w:val="ListParagraph"/>
        <w:numPr>
          <w:ilvl w:val="0"/>
          <w:numId w:val="2"/>
        </w:numPr>
        <w:spacing w:after="80"/>
      </w:pPr>
      <w:r>
        <w:t xml:space="preserve">Cross-track validation of the reminder-channel wording is self-conducted this week; independent confirmation from Data Analytics is still pending.</w:t>
      </w:r>
    </w:p>
    <w:p>
      <w:pPr>
        <w:pStyle w:val="Heading1"/>
        <w:spacing w:after="160" w:before="320"/>
      </w:pPr>
      <w:r>
        <w:t xml:space="preserve">Section 8: Week 8 Recommendations</w:t>
      </w:r>
    </w:p>
    <w:p>
      <w:pPr>
        <w:pStyle w:val="ListParagraph"/>
        <w:numPr>
          <w:ilvl w:val="0"/>
          <w:numId w:val="2"/>
        </w:numPr>
        <w:spacing w:after="80"/>
      </w:pPr>
      <w:r>
        <w:t xml:space="preserve">Incorporate Juliet's reply once received, and document any further wording changes it prompts.</w:t>
      </w:r>
    </w:p>
    <w:p>
      <w:pPr>
        <w:pStyle w:val="ListParagraph"/>
        <w:numPr>
          <w:ilvl w:val="0"/>
          <w:numId w:val="2"/>
        </w:numPr>
        <w:spacing w:after="80"/>
      </w:pPr>
      <w:r>
        <w:t xml:space="preserve">Consider a more general "specific-but-unlisted" detection approach (e.g., broader entity-matching) rather than continuing to hand-list individual unconfirmed keywords one at a time.</w:t>
      </w:r>
    </w:p>
    <w:p>
      <w:pPr>
        <w:pStyle w:val="ListParagraph"/>
        <w:numPr>
          <w:ilvl w:val="0"/>
          <w:numId w:val="2"/>
        </w:numPr>
        <w:spacing w:after="80"/>
      </w:pPr>
      <w:r>
        <w:t xml:space="preserve">Expand action-request phrase coverage using real testing rather than anticipated phrasing alone, given the pattern that new phrasings keep surfacing new gaps.</w:t>
      </w:r>
    </w:p>
    <w:p>
      <w:pPr>
        <w:pStyle w:val="Heading1"/>
        <w:spacing w:after="160" w:before="320"/>
      </w:pPr>
      <w:r>
        <w:t xml:space="preserve">Part 3: Assumptions, Limitations, Risks and Dependencies (Updated)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2E5395" w:val="clear"/>
            <w:tcMar>
              <w:top w:type="dxa" w:w="70"/>
              <w:left w:type="dxa" w:w="90"/>
              <w:bottom w:type="dxa" w:w="70"/>
              <w:right w:type="dxa" w:w="90"/>
            </w:tcMar>
          </w:tcPr>
          <w:p>
            <w:r>
              <w:rPr>
                <w:b/>
                <w:bCs/>
                <w:color w:val="FFFFFF"/>
                <w:sz w:val="18"/>
                <w:szCs w:val="18"/>
              </w:rPr>
              <w:t xml:space="preserve">Item</w:t>
            </w:r>
          </w:p>
        </w:tc>
        <w:tc>
          <w:tcPr>
            <w:tcW w:type="dxa" w:w="2600"/>
            <w:shd w:fill="2E5395" w:val="clear"/>
            <w:tcMar>
              <w:top w:type="dxa" w:w="70"/>
              <w:left w:type="dxa" w:w="90"/>
              <w:bottom w:type="dxa" w:w="70"/>
              <w:right w:type="dxa" w:w="90"/>
            </w:tcMar>
          </w:tcPr>
          <w:p>
            <w:r>
              <w:rPr>
                <w:b/>
                <w:bCs/>
                <w:color w:val="FFFFFF"/>
                <w:sz w:val="18"/>
                <w:szCs w:val="18"/>
              </w:rPr>
              <w:t xml:space="preserve">Status</w:t>
            </w:r>
          </w:p>
        </w:tc>
        <w:tc>
          <w:tcPr>
            <w:tcW w:type="dxa" w:w="3600"/>
            <w:shd w:fill="2E5395" w:val="clear"/>
            <w:tcMar>
              <w:top w:type="dxa" w:w="70"/>
              <w:left w:type="dxa" w:w="90"/>
              <w:bottom w:type="dxa" w:w="70"/>
              <w:right w:type="dxa" w:w="90"/>
            </w:tcMar>
          </w:tcPr>
          <w:p>
            <w:r>
              <w:rPr>
                <w:b/>
                <w:bCs/>
                <w:color w:val="FFFFFF"/>
                <w:sz w:val="18"/>
                <w:szCs w:val="18"/>
              </w:rPr>
              <w:t xml:space="preserve">Notes</w:t>
            </w:r>
          </w:p>
        </w:tc>
      </w:tr>
      <w:tr>
        <w:tc>
          <w:tcPr>
            <w:tcW w:type="dxa" w:w="3200"/>
            <w:tcMar>
              <w:top w:type="dxa" w:w="70"/>
              <w:left w:type="dxa" w:w="90"/>
              <w:bottom w:type="dxa" w:w="70"/>
              <w:right w:type="dxa" w:w="90"/>
            </w:tcMar>
          </w:tcPr>
          <w:p>
            <w:r>
              <w:rPr>
                <w:b w:val="false"/>
                <w:bCs w:val="false"/>
                <w:sz w:val="18"/>
                <w:szCs w:val="18"/>
              </w:rPr>
              <w:t xml:space="preserve">Action vs. information ambiguity (Weeks 5–6)</w:t>
            </w:r>
          </w:p>
        </w:tc>
        <w:tc>
          <w:tcPr>
            <w:tcW w:type="dxa" w:w="2600"/>
            <w:tcMar>
              <w:top w:type="dxa" w:w="70"/>
              <w:left w:type="dxa" w:w="90"/>
              <w:bottom w:type="dxa" w:w="70"/>
              <w:right w:type="dxa" w:w="90"/>
            </w:tcMar>
          </w:tcPr>
          <w:p>
            <w:r>
              <w:rPr>
                <w:b w:val="false"/>
                <w:bCs w:val="false"/>
                <w:sz w:val="18"/>
                <w:szCs w:val="18"/>
              </w:rPr>
              <w:t xml:space="preserve">Resolved for tested phrasing</w:t>
            </w:r>
          </w:p>
        </w:tc>
        <w:tc>
          <w:tcPr>
            <w:tcW w:type="dxa" w:w="3600"/>
            <w:tcMar>
              <w:top w:type="dxa" w:w="70"/>
              <w:left w:type="dxa" w:w="90"/>
              <w:bottom w:type="dxa" w:w="70"/>
              <w:right w:type="dxa" w:w="90"/>
            </w:tcMar>
          </w:tcPr>
          <w:p>
            <w:r>
              <w:rPr>
                <w:b w:val="false"/>
                <w:bCs w:val="false"/>
                <w:sz w:val="18"/>
                <w:szCs w:val="18"/>
              </w:rPr>
              <w:t xml:space="preserve">Fixed in Week 7 (Fix 1), validated across original and new phrasing variants.</w:t>
            </w:r>
          </w:p>
        </w:tc>
      </w:tr>
      <w:tr>
        <w:tc>
          <w:tcPr>
            <w:tcW w:type="dxa" w:w="3200"/>
            <w:tcMar>
              <w:top w:type="dxa" w:w="70"/>
              <w:left w:type="dxa" w:w="90"/>
              <w:bottom w:type="dxa" w:w="70"/>
              <w:right w:type="dxa" w:w="90"/>
            </w:tcMar>
          </w:tcPr>
          <w:p>
            <w:r>
              <w:rPr>
                <w:b w:val="false"/>
                <w:bCs w:val="false"/>
                <w:sz w:val="18"/>
                <w:szCs w:val="18"/>
              </w:rPr>
              <w:t xml:space="preserve">Incomplete answers to specific unanswerable questions (Week 6)</w:t>
            </w:r>
          </w:p>
        </w:tc>
        <w:tc>
          <w:tcPr>
            <w:tcW w:type="dxa" w:w="2600"/>
            <w:tcMar>
              <w:top w:type="dxa" w:w="70"/>
              <w:left w:type="dxa" w:w="90"/>
              <w:bottom w:type="dxa" w:w="70"/>
              <w:right w:type="dxa" w:w="90"/>
            </w:tcMar>
          </w:tcPr>
          <w:p>
            <w:r>
              <w:rPr>
                <w:b w:val="false"/>
                <w:bCs w:val="false"/>
                <w:sz w:val="18"/>
                <w:szCs w:val="18"/>
              </w:rPr>
              <w:t xml:space="preserve">Resolved for tested phrasing</w:t>
            </w:r>
          </w:p>
        </w:tc>
        <w:tc>
          <w:tcPr>
            <w:tcW w:type="dxa" w:w="3600"/>
            <w:tcMar>
              <w:top w:type="dxa" w:w="70"/>
              <w:left w:type="dxa" w:w="90"/>
              <w:bottom w:type="dxa" w:w="70"/>
              <w:right w:type="dxa" w:w="90"/>
            </w:tcMar>
          </w:tcPr>
          <w:p>
            <w:r>
              <w:rPr>
                <w:b w:val="false"/>
                <w:bCs w:val="false"/>
                <w:sz w:val="18"/>
                <w:szCs w:val="18"/>
              </w:rPr>
              <w:t xml:space="preserve">Fixed in Week 7 (Fix 2), validated across original and new phrasing variants.</w:t>
            </w:r>
          </w:p>
        </w:tc>
      </w:tr>
      <w:tr>
        <w:tc>
          <w:tcPr>
            <w:tcW w:type="dxa" w:w="3200"/>
            <w:tcMar>
              <w:top w:type="dxa" w:w="70"/>
              <w:left w:type="dxa" w:w="90"/>
              <w:bottom w:type="dxa" w:w="70"/>
              <w:right w:type="dxa" w:w="90"/>
            </w:tcMar>
          </w:tcPr>
          <w:p>
            <w:r>
              <w:rPr>
                <w:b w:val="false"/>
                <w:bCs w:val="false"/>
                <w:sz w:val="18"/>
                <w:szCs w:val="18"/>
              </w:rPr>
              <w:t xml:space="preserve">Reminder-channel guidance accuracy</w:t>
            </w:r>
          </w:p>
        </w:tc>
        <w:tc>
          <w:tcPr>
            <w:tcW w:type="dxa" w:w="2600"/>
            <w:tcMar>
              <w:top w:type="dxa" w:w="70"/>
              <w:left w:type="dxa" w:w="90"/>
              <w:bottom w:type="dxa" w:w="70"/>
              <w:right w:type="dxa" w:w="90"/>
            </w:tcMar>
          </w:tcPr>
          <w:p>
            <w:r>
              <w:rPr>
                <w:b w:val="false"/>
                <w:bCs w:val="false"/>
                <w:sz w:val="18"/>
                <w:szCs w:val="18"/>
              </w:rPr>
              <w:t xml:space="preserve">Actively tested and refined this week</w:t>
            </w:r>
          </w:p>
        </w:tc>
        <w:tc>
          <w:tcPr>
            <w:tcW w:type="dxa" w:w="3600"/>
            <w:tcMar>
              <w:top w:type="dxa" w:w="70"/>
              <w:left w:type="dxa" w:w="90"/>
              <w:bottom w:type="dxa" w:w="70"/>
              <w:right w:type="dxa" w:w="90"/>
            </w:tcMar>
          </w:tcPr>
          <w:p>
            <w:r>
              <w:rPr>
                <w:b w:val="false"/>
                <w:bCs w:val="false"/>
                <w:sz w:val="18"/>
                <w:szCs w:val="18"/>
              </w:rPr>
              <w:t xml:space="preserve">Self-audited against source data; wording corrected from a qualitative claim to precise cited figures. Independent cross-track confirmation still pending.</w:t>
            </w:r>
          </w:p>
        </w:tc>
      </w:tr>
      <w:tr>
        <w:tc>
          <w:tcPr>
            <w:tcW w:type="dxa" w:w="3200"/>
            <w:tcMar>
              <w:top w:type="dxa" w:w="70"/>
              <w:left w:type="dxa" w:w="90"/>
              <w:bottom w:type="dxa" w:w="70"/>
              <w:right w:type="dxa" w:w="90"/>
            </w:tcMar>
          </w:tcPr>
          <w:p>
            <w:r>
              <w:rPr>
                <w:b w:val="false"/>
                <w:bCs w:val="false"/>
                <w:sz w:val="18"/>
                <w:szCs w:val="18"/>
              </w:rPr>
              <w:t xml:space="preserve">Keyword/phrase-matching as the underlying mechanism</w:t>
            </w:r>
          </w:p>
        </w:tc>
        <w:tc>
          <w:tcPr>
            <w:tcW w:type="dxa" w:w="2600"/>
            <w:tcMar>
              <w:top w:type="dxa" w:w="70"/>
              <w:left w:type="dxa" w:w="90"/>
              <w:bottom w:type="dxa" w:w="70"/>
              <w:right w:type="dxa" w:w="90"/>
            </w:tcMar>
          </w:tcPr>
          <w:p>
            <w:r>
              <w:rPr>
                <w:b w:val="false"/>
                <w:bCs w:val="false"/>
                <w:sz w:val="18"/>
                <w:szCs w:val="18"/>
              </w:rPr>
              <w:t xml:space="preserve">Active, structural, unresolved</w:t>
            </w:r>
          </w:p>
        </w:tc>
        <w:tc>
          <w:tcPr>
            <w:tcW w:type="dxa" w:w="3600"/>
            <w:tcMar>
              <w:top w:type="dxa" w:w="70"/>
              <w:left w:type="dxa" w:w="90"/>
              <w:bottom w:type="dxa" w:w="70"/>
              <w:right w:type="dxa" w:w="90"/>
            </w:tcMar>
          </w:tcPr>
          <w:p>
            <w:r>
              <w:rPr>
                <w:b w:val="false"/>
                <w:bCs w:val="false"/>
                <w:sz w:val="18"/>
                <w:szCs w:val="18"/>
              </w:rPr>
              <w:t xml:space="preserve">Both this week's fixes are still phrase-matching based and will remain vulnerable to novel phrasing, same as every prior week's fixes.</w:t>
            </w:r>
          </w:p>
        </w:tc>
      </w:tr>
      <w:tr>
        <w:tc>
          <w:tcPr>
            <w:tcW w:type="dxa" w:w="3200"/>
            <w:tcMar>
              <w:top w:type="dxa" w:w="70"/>
              <w:left w:type="dxa" w:w="90"/>
              <w:bottom w:type="dxa" w:w="70"/>
              <w:right w:type="dxa" w:w="90"/>
            </w:tcMar>
          </w:tcPr>
          <w:p>
            <w:r>
              <w:rPr>
                <w:b w:val="false"/>
                <w:bCs w:val="false"/>
                <w:sz w:val="18"/>
                <w:szCs w:val="18"/>
              </w:rPr>
              <w:t xml:space="preserve">Location-name-specific denial gap</w:t>
            </w:r>
          </w:p>
        </w:tc>
        <w:tc>
          <w:tcPr>
            <w:tcW w:type="dxa" w:w="2600"/>
            <w:tcMar>
              <w:top w:type="dxa" w:w="70"/>
              <w:left w:type="dxa" w:w="90"/>
              <w:bottom w:type="dxa" w:w="70"/>
              <w:right w:type="dxa" w:w="90"/>
            </w:tcMar>
          </w:tcPr>
          <w:p>
            <w:r>
              <w:rPr>
                <w:b w:val="false"/>
                <w:bCs w:val="false"/>
                <w:sz w:val="18"/>
                <w:szCs w:val="18"/>
              </w:rPr>
              <w:t xml:space="preserve">New, identified this week</w:t>
            </w:r>
          </w:p>
        </w:tc>
        <w:tc>
          <w:tcPr>
            <w:tcW w:type="dxa" w:w="3600"/>
            <w:tcMar>
              <w:top w:type="dxa" w:w="70"/>
              <w:left w:type="dxa" w:w="90"/>
              <w:bottom w:type="dxa" w:w="70"/>
              <w:right w:type="dxa" w:w="90"/>
            </w:tcMar>
          </w:tcPr>
          <w:p>
            <w:r>
              <w:rPr>
                <w:b w:val="false"/>
                <w:bCs w:val="false"/>
                <w:sz w:val="18"/>
                <w:szCs w:val="18"/>
              </w:rPr>
              <w:t xml:space="preserve">Same category as Fix 2 but not addressed; not practically solvable by keyword-listing alone.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2026-09-19T07:56:42.253Z</dcterms:created>
  <dcterms:modified xsi:type="dcterms:W3CDTF">2026-09-19T07:56:42.262Z</dcterms:modified>
</cp:coreProperties>
</file>

<file path=docProps/custom.xml><?xml version="1.0" encoding="utf-8"?>
<Properties xmlns="http://schemas.openxmlformats.org/officeDocument/2006/custom-properties" xmlns:vt="http://schemas.openxmlformats.org/officeDocument/2006/docPropsVTypes"/>
</file>