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4097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Primo Modulo</w:t>
      </w: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: </w:t>
      </w:r>
    </w:p>
    <w:p w14:paraId="295C347E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1) L’architettura tra “arte” e “scienza”. </w:t>
      </w:r>
    </w:p>
    <w:p w14:paraId="00E8D639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2) La distinzione dei saperi e la separazione delle competenze e delle professioni: la formazione dell’architetto nelle Accademie e dell’ingegnere nell’École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des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Ponts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et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Chaussées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 nell’École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Polytechnique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tra affinamento del processo di “imitazione” e sperimentazioni tecniche. </w:t>
      </w:r>
    </w:p>
    <w:p w14:paraId="5FDBC819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3) Le ipotesi dell’architettura per una società ideale. Gli architetti rivoluzionari: E.L.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Boullée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C.N. Ledoux. </w:t>
      </w:r>
    </w:p>
    <w:p w14:paraId="2954FD7D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4) La diffusione dell’impiego del ferro in Europa. </w:t>
      </w:r>
    </w:p>
    <w:p w14:paraId="7996415F" w14:textId="0A953724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5) Le Esposizioni: sperimentazione tecnica e teatro dell’effimero. </w:t>
      </w:r>
    </w:p>
    <w:p w14:paraId="21C0237E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3191128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Secondo Modulo</w:t>
      </w: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: </w:t>
      </w:r>
    </w:p>
    <w:p w14:paraId="548E7435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6) Le trasformazioni urbane tra ricerca di uno “stile nazionale” e interventi di salvaguardia del patrimonio architettonico. </w:t>
      </w: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  <w:t xml:space="preserve">7) Economia industriale e complessità sociale. La conciliazione tra artigianato e produzione industriale nel movimento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Arts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and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Crafts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I problemi dell’edilizia sociale. </w:t>
      </w:r>
    </w:p>
    <w:p w14:paraId="22F8407F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8) La Scuola di Chicago (1871-1893) tra innovazione e revival storicista. F. L. Wright e le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prairie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houses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</w:t>
      </w:r>
    </w:p>
    <w:p w14:paraId="2ADEE1F2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9) L’architettura come rappresentazione dell’élite borghese: dall’Art Nouveau alla Secessione viennese. La polemica di Adolf Loos. </w:t>
      </w:r>
    </w:p>
    <w:p w14:paraId="583D48E0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10) L’applicazione del cemento armato: dalla diffusione del brevetto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Hennebique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alle sperimentazioni di Auguste Perret. </w:t>
      </w:r>
    </w:p>
    <w:p w14:paraId="1C1C8209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23F181D5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Terzo Modulo</w:t>
      </w: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: </w:t>
      </w:r>
    </w:p>
    <w:p w14:paraId="61C8A327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11) La nascita delle avanguardie: il Futurismo italiano e il Costruttivismo russo ovvero le capacità della “macchina” architettonica di modellare il comportamento dell’individuo. </w:t>
      </w:r>
    </w:p>
    <w:p w14:paraId="403BDFB0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12) l’Espressionismo tedesco. L’influenza degli studi della psicologia e della percezione visiva sulla concezione architettonica. </w:t>
      </w:r>
    </w:p>
    <w:p w14:paraId="4E6B9121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13) Il neoplasticismo olandese (De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Stijl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): la scomposizione della “scatola architettonica” e il rapporto interno-esterno. </w:t>
      </w:r>
    </w:p>
    <w:p w14:paraId="400511AA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14) Le Corbusier e l’Esprit Nouveau: il percorso verso la definizione dei cinque principi. </w:t>
      </w:r>
    </w:p>
    <w:p w14:paraId="55CD0313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15) Dal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Deutscher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Werkbund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alla Bauhaus. </w:t>
      </w:r>
    </w:p>
    <w:p w14:paraId="3EBE7E6C" w14:textId="77777777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16) La casa e la fabbrica. Edilizia sociale e crisi europea. I casi di “Vienna Rossa” e del </w:t>
      </w:r>
      <w:proofErr w:type="spellStart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Weissenhof</w:t>
      </w:r>
      <w:proofErr w:type="spellEnd"/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di Stoccarda. </w:t>
      </w:r>
    </w:p>
    <w:p w14:paraId="682AF9C9" w14:textId="34FBE64A" w:rsidR="00BB7723" w:rsidRPr="00BB7723" w:rsidRDefault="00BB772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B7723">
        <w:rPr>
          <w:rFonts w:ascii="Arial" w:hAnsi="Arial" w:cs="Arial"/>
          <w:color w:val="333333"/>
          <w:sz w:val="18"/>
          <w:szCs w:val="18"/>
          <w:shd w:val="clear" w:color="auto" w:fill="FFFFFF"/>
        </w:rPr>
        <w:t>17) Architettura e regimi totalitari. Due capitali a confronto. La grande Berlino: Hitler e Speer. Roma Eur: Mussolini e Piacentini.</w:t>
      </w:r>
    </w:p>
    <w:p w14:paraId="239AF427" w14:textId="77777777" w:rsidR="00BB7723" w:rsidRPr="00BB7723" w:rsidRDefault="00BB7723">
      <w:pPr>
        <w:rPr>
          <w:rFonts w:ascii="Arial" w:hAnsi="Arial" w:cs="Arial"/>
          <w:b/>
          <w:bCs/>
          <w:sz w:val="18"/>
          <w:szCs w:val="18"/>
        </w:rPr>
      </w:pPr>
    </w:p>
    <w:p w14:paraId="044B705E" w14:textId="4E6213B5" w:rsidR="00BB7723" w:rsidRPr="00BB7723" w:rsidRDefault="00BB7723">
      <w:pPr>
        <w:rPr>
          <w:rFonts w:ascii="Arial" w:hAnsi="Arial" w:cs="Arial"/>
          <w:sz w:val="18"/>
          <w:szCs w:val="18"/>
        </w:rPr>
      </w:pPr>
      <w:r w:rsidRPr="00BB7723">
        <w:rPr>
          <w:rFonts w:ascii="Arial" w:hAnsi="Arial" w:cs="Arial"/>
          <w:b/>
          <w:bCs/>
          <w:sz w:val="18"/>
          <w:szCs w:val="18"/>
        </w:rPr>
        <w:t>Quarto Modulo</w:t>
      </w:r>
      <w:r w:rsidRPr="00BB7723">
        <w:rPr>
          <w:rFonts w:ascii="Arial" w:hAnsi="Arial" w:cs="Arial"/>
          <w:sz w:val="18"/>
          <w:szCs w:val="18"/>
        </w:rPr>
        <w:t>:</w:t>
      </w:r>
    </w:p>
    <w:p w14:paraId="0E840218" w14:textId="77777777" w:rsidR="00BB7723" w:rsidRPr="00BB7723" w:rsidRDefault="00BB7723">
      <w:pPr>
        <w:rPr>
          <w:rFonts w:ascii="Arial" w:hAnsi="Arial" w:cs="Arial"/>
          <w:sz w:val="18"/>
          <w:szCs w:val="18"/>
        </w:rPr>
      </w:pPr>
      <w:r w:rsidRPr="00BB7723">
        <w:rPr>
          <w:rFonts w:ascii="Arial" w:hAnsi="Arial" w:cs="Arial"/>
          <w:sz w:val="18"/>
          <w:szCs w:val="18"/>
        </w:rPr>
        <w:t xml:space="preserve">18) Architettura italiana tra anni </w:t>
      </w:r>
      <w:proofErr w:type="gramStart"/>
      <w:r w:rsidRPr="00BB7723">
        <w:rPr>
          <w:rFonts w:ascii="Arial" w:hAnsi="Arial" w:cs="Arial"/>
          <w:sz w:val="18"/>
          <w:szCs w:val="18"/>
        </w:rPr>
        <w:t>trenta</w:t>
      </w:r>
      <w:proofErr w:type="gramEnd"/>
      <w:r w:rsidRPr="00BB7723">
        <w:rPr>
          <w:rFonts w:ascii="Arial" w:hAnsi="Arial" w:cs="Arial"/>
          <w:sz w:val="18"/>
          <w:szCs w:val="18"/>
        </w:rPr>
        <w:t xml:space="preserve"> e cinquanta del Novecento: </w:t>
      </w:r>
      <w:proofErr w:type="spellStart"/>
      <w:r w:rsidRPr="00BB7723">
        <w:rPr>
          <w:rFonts w:ascii="Arial" w:hAnsi="Arial" w:cs="Arial"/>
          <w:sz w:val="18"/>
          <w:szCs w:val="18"/>
        </w:rPr>
        <w:t>Gio</w:t>
      </w:r>
      <w:proofErr w:type="spellEnd"/>
      <w:r w:rsidRPr="00BB7723">
        <w:rPr>
          <w:rFonts w:ascii="Arial" w:hAnsi="Arial" w:cs="Arial"/>
          <w:sz w:val="18"/>
          <w:szCs w:val="18"/>
        </w:rPr>
        <w:t xml:space="preserve"> Ponti, Carlo Scarpa, Franco Albini, Carlo Mollino. </w:t>
      </w:r>
    </w:p>
    <w:p w14:paraId="34C379B3" w14:textId="77777777" w:rsidR="00BB7723" w:rsidRPr="00BB7723" w:rsidRDefault="00BB7723">
      <w:pPr>
        <w:rPr>
          <w:rFonts w:ascii="Arial" w:hAnsi="Arial" w:cs="Arial"/>
          <w:sz w:val="18"/>
          <w:szCs w:val="18"/>
        </w:rPr>
      </w:pPr>
      <w:r w:rsidRPr="00BB7723">
        <w:rPr>
          <w:rFonts w:ascii="Arial" w:hAnsi="Arial" w:cs="Arial"/>
          <w:sz w:val="18"/>
          <w:szCs w:val="18"/>
        </w:rPr>
        <w:t xml:space="preserve">19) La revisione critica del Movimento Moderno nel Secondo Dopoguerra. </w:t>
      </w:r>
    </w:p>
    <w:p w14:paraId="5E5F30CE" w14:textId="77777777" w:rsidR="00BB7723" w:rsidRPr="00BB7723" w:rsidRDefault="00BB7723">
      <w:pPr>
        <w:rPr>
          <w:rFonts w:ascii="Arial" w:hAnsi="Arial" w:cs="Arial"/>
          <w:sz w:val="18"/>
          <w:szCs w:val="18"/>
        </w:rPr>
      </w:pPr>
      <w:r w:rsidRPr="00BB7723">
        <w:rPr>
          <w:rFonts w:ascii="Arial" w:hAnsi="Arial" w:cs="Arial"/>
          <w:sz w:val="18"/>
          <w:szCs w:val="18"/>
        </w:rPr>
        <w:t xml:space="preserve">20) La fine del Movimento Moderno e la sua eredità: Otterlo 1959. </w:t>
      </w:r>
    </w:p>
    <w:p w14:paraId="294866B5" w14:textId="77777777" w:rsidR="00BB7723" w:rsidRPr="00BB7723" w:rsidRDefault="00BB7723">
      <w:pPr>
        <w:rPr>
          <w:rFonts w:ascii="Arial" w:hAnsi="Arial" w:cs="Arial"/>
          <w:sz w:val="18"/>
          <w:szCs w:val="18"/>
        </w:rPr>
      </w:pPr>
      <w:r w:rsidRPr="00BB7723">
        <w:rPr>
          <w:rFonts w:ascii="Arial" w:hAnsi="Arial" w:cs="Arial"/>
          <w:sz w:val="18"/>
          <w:szCs w:val="18"/>
        </w:rPr>
        <w:t xml:space="preserve">21) Architettura Postmoderna in Italia e USA. </w:t>
      </w:r>
    </w:p>
    <w:p w14:paraId="2CE1F991" w14:textId="04E03B1C" w:rsidR="00BB7723" w:rsidRDefault="00BB7723">
      <w:pPr>
        <w:rPr>
          <w:rFonts w:ascii="Arial" w:hAnsi="Arial" w:cs="Arial"/>
          <w:sz w:val="18"/>
          <w:szCs w:val="18"/>
        </w:rPr>
      </w:pPr>
      <w:r w:rsidRPr="00BB7723">
        <w:rPr>
          <w:rFonts w:ascii="Arial" w:hAnsi="Arial" w:cs="Arial"/>
          <w:sz w:val="18"/>
          <w:szCs w:val="18"/>
        </w:rPr>
        <w:t xml:space="preserve">22) Il rapporto tra architettura e città alla fine del XX secolo: l'IBA di Berlino e i Grand </w:t>
      </w:r>
      <w:proofErr w:type="spellStart"/>
      <w:r w:rsidRPr="00BB7723">
        <w:rPr>
          <w:rFonts w:ascii="Arial" w:hAnsi="Arial" w:cs="Arial"/>
          <w:sz w:val="18"/>
          <w:szCs w:val="18"/>
        </w:rPr>
        <w:t>Projets</w:t>
      </w:r>
      <w:proofErr w:type="spellEnd"/>
      <w:r w:rsidRPr="00BB7723">
        <w:rPr>
          <w:rFonts w:ascii="Arial" w:hAnsi="Arial" w:cs="Arial"/>
          <w:sz w:val="18"/>
          <w:szCs w:val="18"/>
        </w:rPr>
        <w:t xml:space="preserve"> di Parigi</w:t>
      </w:r>
    </w:p>
    <w:p w14:paraId="5A476CBE" w14:textId="77777777" w:rsidR="007544E7" w:rsidRDefault="007544E7">
      <w:pPr>
        <w:rPr>
          <w:rFonts w:ascii="Arial" w:hAnsi="Arial" w:cs="Arial"/>
          <w:sz w:val="18"/>
          <w:szCs w:val="18"/>
        </w:rPr>
      </w:pPr>
    </w:p>
    <w:p w14:paraId="17BB1D0F" w14:textId="7BC3ADA7" w:rsidR="007544E7" w:rsidRDefault="007544E7">
      <w:pPr>
        <w:rPr>
          <w:rFonts w:ascii="Arial" w:hAnsi="Arial" w:cs="Arial"/>
          <w:sz w:val="18"/>
          <w:szCs w:val="18"/>
        </w:rPr>
      </w:pPr>
      <w:r w:rsidRPr="007544E7">
        <w:rPr>
          <w:rFonts w:ascii="Arial" w:hAnsi="Arial" w:cs="Arial"/>
          <w:b/>
          <w:bCs/>
          <w:sz w:val="18"/>
          <w:szCs w:val="18"/>
        </w:rPr>
        <w:t xml:space="preserve">To </w:t>
      </w:r>
      <w:proofErr w:type="spellStart"/>
      <w:r w:rsidRPr="007544E7">
        <w:rPr>
          <w:rFonts w:ascii="Arial" w:hAnsi="Arial" w:cs="Arial"/>
          <w:b/>
          <w:bCs/>
          <w:sz w:val="18"/>
          <w:szCs w:val="18"/>
        </w:rPr>
        <w:t>add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194EF655" w14:textId="6E13F08C" w:rsidR="007544E7" w:rsidRDefault="007544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Amate l’architettura: l’architettura è un cristallo.</w:t>
      </w:r>
    </w:p>
    <w:p w14:paraId="367B4241" w14:textId="61D00075" w:rsidR="007544E7" w:rsidRDefault="007544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Documentari Rai Play: Wright, Mies Van </w:t>
      </w:r>
      <w:proofErr w:type="spellStart"/>
      <w:r>
        <w:rPr>
          <w:rFonts w:ascii="Arial" w:hAnsi="Arial" w:cs="Arial"/>
          <w:sz w:val="18"/>
          <w:szCs w:val="18"/>
        </w:rPr>
        <w:t>der</w:t>
      </w:r>
      <w:proofErr w:type="spellEnd"/>
      <w:r>
        <w:rPr>
          <w:rFonts w:ascii="Arial" w:hAnsi="Arial" w:cs="Arial"/>
          <w:sz w:val="18"/>
          <w:szCs w:val="18"/>
        </w:rPr>
        <w:t xml:space="preserve"> Rohe e </w:t>
      </w:r>
      <w:proofErr w:type="spellStart"/>
      <w:r>
        <w:rPr>
          <w:rFonts w:ascii="Arial" w:hAnsi="Arial" w:cs="Arial"/>
          <w:sz w:val="18"/>
          <w:szCs w:val="18"/>
        </w:rPr>
        <w:t>Gio</w:t>
      </w:r>
      <w:proofErr w:type="spellEnd"/>
      <w:r>
        <w:rPr>
          <w:rFonts w:ascii="Arial" w:hAnsi="Arial" w:cs="Arial"/>
          <w:sz w:val="18"/>
          <w:szCs w:val="18"/>
        </w:rPr>
        <w:t xml:space="preserve"> Ponti</w:t>
      </w:r>
    </w:p>
    <w:p w14:paraId="5718F7F2" w14:textId="5AF498A1" w:rsidR="007544E7" w:rsidRPr="00BB7723" w:rsidRDefault="007544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Film: My Architect, William Turner, Frank Gehry Il creatore di sogni</w:t>
      </w:r>
    </w:p>
    <w:sectPr w:rsidR="007544E7" w:rsidRPr="00BB77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8D"/>
    <w:rsid w:val="001C05F4"/>
    <w:rsid w:val="007544E7"/>
    <w:rsid w:val="00BB7723"/>
    <w:rsid w:val="00DE5C8D"/>
    <w:rsid w:val="00EA3550"/>
    <w:rsid w:val="00F8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3F24"/>
  <w15:chartTrackingRefBased/>
  <w15:docId w15:val="{B36DAFA3-64CC-4792-B6CA-800676C3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Favano</dc:creator>
  <cp:keywords/>
  <dc:description/>
  <cp:lastModifiedBy>Daria Favano</cp:lastModifiedBy>
  <cp:revision>3</cp:revision>
  <dcterms:created xsi:type="dcterms:W3CDTF">2024-01-23T15:04:00Z</dcterms:created>
  <dcterms:modified xsi:type="dcterms:W3CDTF">2024-01-30T14:33:00Z</dcterms:modified>
</cp:coreProperties>
</file>