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Dependent variable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360" w:firstLine="0"/>
        <w:jc w:val="center"/>
        <w:rPr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popularity = (average star -3)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log (number of reviews)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57325" cy="1809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818" l="17193" r="22476" t="68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Independent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Review: text, review stars, (polarity, subjectivity)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review_count, since_year, (X elite)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152400</wp:posOffset>
            </wp:positionV>
            <wp:extent cx="3452813" cy="259412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403" l="0" r="4222" t="2163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94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Restaurant: review counts based on cities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Weights: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useful+funny+cool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Assumption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371" l="0" r="0" t="-23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Models</w:t>
      </w:r>
    </w:p>
    <w:p w:rsidR="00000000" w:rsidDel="00000000" w:rsidP="00000000" w:rsidRDefault="00000000" w:rsidRPr="00000000" w14:paraId="00000017">
      <w:pPr>
        <w:rPr/>
      </w:pPr>
      <w:commentRangeStart w:id="0"/>
      <w:r w:rsidDel="00000000" w:rsidR="00000000" w:rsidRPr="00000000">
        <w:rPr>
          <w:rtl w:val="0"/>
        </w:rPr>
        <w:t xml:space="preserve">Naive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Bayes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Bagging (random forest)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1B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XGBoost - Choya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Estimation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 restaurants that exist before 2018 and are still open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inyi Yang" w:id="0" w:date="2020-05-27T22:54:1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on numeric, and NB on 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