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rFonts w:ascii="Poppins" w:cs="Poppins" w:eastAsia="Poppins" w:hAnsi="Poppins"/>
          <w:b/>
          <w:bCs/>
          <w:color w:val="001C31"/>
          <w:sz w:val="24"/>
          <w:szCs w:val="24"/>
        </w:rPr>
        <w:t xml:space="preserve">UNIVERSIDAD TECNOLÓGICA ECOTEC</w:t>
      </w:r>
    </w:p>
    <w:p>
      <w:pPr>
        <w:spacing w:after="400"/>
        <w:jc w:val="center"/>
      </w:pPr>
      <w:r>
        <w:rPr>
          <w:rFonts w:ascii="Poppins" w:cs="Poppins" w:eastAsia="Poppins" w:hAnsi="Poppins"/>
          <w:color w:val="555555"/>
          <w:sz w:val="20"/>
          <w:szCs w:val="20"/>
        </w:rPr>
        <w:t xml:space="preserve">Facultad de Ciencias de la Salud y Desarrollo Humano — Carrera de Enfermería</w:t>
      </w:r>
    </w:p>
    <w:p>
      <w:pPr>
        <w:spacing w:after="200" w:before="600"/>
        <w:jc w:val="center"/>
      </w:pPr>
      <w:r>
        <w:rPr>
          <w:rFonts w:ascii="Poppins" w:cs="Poppins" w:eastAsia="Poppins" w:hAnsi="Poppins"/>
          <w:b/>
          <w:bCs/>
          <w:color w:val="001C31"/>
          <w:sz w:val="40"/>
          <w:szCs w:val="40"/>
        </w:rPr>
        <w:t xml:space="preserve">BANCO DE PREGUNTAS EHEP / CACES</w:t>
      </w:r>
    </w:p>
    <w:p>
      <w:pPr>
        <w:spacing w:after="200"/>
        <w:jc w:val="center"/>
      </w:pPr>
      <w:r>
        <w:rPr>
          <w:rFonts w:ascii="Poppins" w:cs="Poppins" w:eastAsia="Poppins" w:hAnsi="Poppins"/>
          <w:b/>
          <w:bCs/>
          <w:color w:val="B08D3F"/>
          <w:sz w:val="26"/>
          <w:szCs w:val="26"/>
        </w:rPr>
        <w:t xml:space="preserve">Infección de vías urinarias en el embarazo</w:t>
      </w:r>
    </w:p>
    <w:p>
      <w:pPr>
        <w:spacing w:after="600"/>
        <w:jc w:val="center"/>
      </w:pPr>
      <w:r>
        <w:rPr>
          <w:rFonts w:ascii="Poppins" w:cs="Poppins" w:eastAsia="Poppins" w:hAnsi="Poppins"/>
          <w:i/>
          <w:iCs/>
          <w:sz w:val="22"/>
          <w:szCs w:val="22"/>
        </w:rPr>
        <w:t xml:space="preserve">100 preguntas de opción múltiple con clave de respuestas y justificación</w:t>
      </w:r>
    </w:p>
    <w:p>
      <w:pPr>
        <w:spacing w:after="100"/>
        <w:jc w:val="center"/>
      </w:pPr>
      <w:r>
        <w:rPr>
          <w:rFonts w:ascii="Poppins" w:cs="Poppins" w:eastAsia="Poppins" w:hAnsi="Poppins"/>
          <w:b/>
          <w:bCs/>
          <w:color w:val="B00020"/>
          <w:sz w:val="22"/>
          <w:szCs w:val="22"/>
        </w:rPr>
        <w:t xml:space="preserve">VERSIÓN DOCENTE — INCLUYE CLAVE Y JUSTIFICACIONES</w:t>
      </w:r>
    </w:p>
    <w:p>
      <w:pPr>
        <w:spacing w:before="800"/>
        <w:jc w:val="center"/>
      </w:pPr>
      <w:r>
        <w:rPr>
          <w:rFonts w:ascii="Poppins" w:cs="Poppins" w:eastAsia="Poppins" w:hAnsi="Poppins"/>
          <w:color w:val="777777"/>
          <w:sz w:val="18"/>
          <w:szCs w:val="18"/>
        </w:rPr>
        <w:t xml:space="preserve">Fuente exclusiva: Ministerio de Salud Pública del Ecuador. Infección de vías urinarias en el embarazo, Guía de Práctica Clínica (GPC). Quito, septiembre 2013. Dirección Nacional de Normatización.</w:t>
      </w:r>
    </w:p>
    <w:p>
      <w:pPr>
        <w:spacing w:before="100"/>
        <w:jc w:val="center"/>
      </w:pPr>
      <w:r>
        <w:rPr>
          <w:rFonts w:ascii="Poppins" w:cs="Poppins" w:eastAsia="Poppins" w:hAnsi="Poppins"/>
          <w:color w:val="777777"/>
          <w:sz w:val="18"/>
          <w:szCs w:val="18"/>
        </w:rPr>
        <w:t xml:space="preserve">Elaborado con base exclusivamente en el contenido de la GPC. No se incorpora información de otras fuentes.</w:t>
      </w:r>
    </w:p>
    <w:p>
      <w:r>
        <w:br w:type="page"/>
      </w:r>
    </w:p>
    <w:p>
      <w:pPr>
        <w:pStyle w:val="Heading1"/>
        <w:spacing w:after="200"/>
      </w:pPr>
      <w:r>
        <w:rPr>
          <w:rFonts w:ascii="Poppins" w:cs="Poppins" w:eastAsia="Poppins" w:hAnsi="Poppins"/>
          <w:b/>
          <w:bCs/>
          <w:color w:val="001C31"/>
          <w:sz w:val="26"/>
          <w:szCs w:val="26"/>
        </w:rPr>
        <w:t xml:space="preserve">Distribución temática del banco de preguntas</w:t>
      </w:r>
    </w:p>
    <w:p>
      <w:pPr>
        <w:spacing w:after="80"/>
      </w:pPr>
      <w:r>
        <w:rPr>
          <w:rFonts w:ascii="Poppins" w:cs="Poppins" w:eastAsia="Poppins" w:hAnsi="Poppins"/>
          <w:b/>
          <w:bCs/>
          <w:color w:val="001C31"/>
          <w:sz w:val="21"/>
          <w:szCs w:val="21"/>
        </w:rPr>
        <w:t xml:space="preserve">•  Descripción de la GPC, CIE-10 y objetivos: </w:t>
      </w:r>
      <w:r>
        <w:rPr>
          <w:rFonts w:ascii="Poppins" w:cs="Poppins" w:eastAsia="Poppins" w:hAnsi="Poppins"/>
          <w:sz w:val="21"/>
          <w:szCs w:val="21"/>
        </w:rPr>
        <w:t xml:space="preserve">Preguntas 1–6</w:t>
      </w:r>
    </w:p>
    <w:p>
      <w:pPr>
        <w:spacing w:after="80"/>
      </w:pPr>
      <w:r>
        <w:rPr>
          <w:rFonts w:ascii="Poppins" w:cs="Poppins" w:eastAsia="Poppins" w:hAnsi="Poppins"/>
          <w:b/>
          <w:bCs/>
          <w:color w:val="001C31"/>
          <w:sz w:val="21"/>
          <w:szCs w:val="21"/>
        </w:rPr>
        <w:t xml:space="preserve">•  Historia natural y pronóstico / Introducción: </w:t>
      </w:r>
      <w:r>
        <w:rPr>
          <w:rFonts w:ascii="Poppins" w:cs="Poppins" w:eastAsia="Poppins" w:hAnsi="Poppins"/>
          <w:sz w:val="21"/>
          <w:szCs w:val="21"/>
        </w:rPr>
        <w:t xml:space="preserve">Preguntas 7–12</w:t>
      </w:r>
    </w:p>
    <w:p>
      <w:pPr>
        <w:spacing w:after="80"/>
      </w:pPr>
      <w:r>
        <w:rPr>
          <w:rFonts w:ascii="Poppins" w:cs="Poppins" w:eastAsia="Poppins" w:hAnsi="Poppins"/>
          <w:b/>
          <w:bCs/>
          <w:color w:val="001C31"/>
          <w:sz w:val="21"/>
          <w:szCs w:val="21"/>
        </w:rPr>
        <w:t xml:space="preserve">•  Definiciones, clasificación y epidemiología (BA, cistitis, pielonefritis): </w:t>
      </w:r>
      <w:r>
        <w:rPr>
          <w:rFonts w:ascii="Poppins" w:cs="Poppins" w:eastAsia="Poppins" w:hAnsi="Poppins"/>
          <w:sz w:val="21"/>
          <w:szCs w:val="21"/>
        </w:rPr>
        <w:t xml:space="preserve">Preguntas 13–22</w:t>
      </w:r>
    </w:p>
    <w:p>
      <w:pPr>
        <w:spacing w:after="80"/>
      </w:pPr>
      <w:r>
        <w:rPr>
          <w:rFonts w:ascii="Poppins" w:cs="Poppins" w:eastAsia="Poppins" w:hAnsi="Poppins"/>
          <w:b/>
          <w:bCs/>
          <w:color w:val="001C31"/>
          <w:sz w:val="21"/>
          <w:szCs w:val="21"/>
        </w:rPr>
        <w:t xml:space="preserve">•  Niveles de evidencia y grados de recomendación (SIGN/NICE, OCEBM): </w:t>
      </w:r>
      <w:r>
        <w:rPr>
          <w:rFonts w:ascii="Poppins" w:cs="Poppins" w:eastAsia="Poppins" w:hAnsi="Poppins"/>
          <w:sz w:val="21"/>
          <w:szCs w:val="21"/>
        </w:rPr>
        <w:t xml:space="preserve">Preguntas 23–28</w:t>
      </w:r>
    </w:p>
    <w:p>
      <w:pPr>
        <w:spacing w:after="80"/>
      </w:pPr>
      <w:r>
        <w:rPr>
          <w:rFonts w:ascii="Poppins" w:cs="Poppins" w:eastAsia="Poppins" w:hAnsi="Poppins"/>
          <w:b/>
          <w:bCs/>
          <w:color w:val="001C31"/>
          <w:sz w:val="21"/>
          <w:szCs w:val="21"/>
        </w:rPr>
        <w:t xml:space="preserve">•  Prevención de IVU en embarazadas: </w:t>
      </w:r>
      <w:r>
        <w:rPr>
          <w:rFonts w:ascii="Poppins" w:cs="Poppins" w:eastAsia="Poppins" w:hAnsi="Poppins"/>
          <w:sz w:val="21"/>
          <w:szCs w:val="21"/>
        </w:rPr>
        <w:t xml:space="preserve">Preguntas 29–34</w:t>
      </w:r>
    </w:p>
    <w:p>
      <w:pPr>
        <w:spacing w:after="80"/>
      </w:pPr>
      <w:r>
        <w:rPr>
          <w:rFonts w:ascii="Poppins" w:cs="Poppins" w:eastAsia="Poppins" w:hAnsi="Poppins"/>
          <w:b/>
          <w:bCs/>
          <w:color w:val="001C31"/>
          <w:sz w:val="21"/>
          <w:szCs w:val="21"/>
        </w:rPr>
        <w:t xml:space="preserve">•  Diagnóstico de bacteriuria asintomática (BA): </w:t>
      </w:r>
      <w:r>
        <w:rPr>
          <w:rFonts w:ascii="Poppins" w:cs="Poppins" w:eastAsia="Poppins" w:hAnsi="Poppins"/>
          <w:sz w:val="21"/>
          <w:szCs w:val="21"/>
        </w:rPr>
        <w:t xml:space="preserve">Preguntas 35–46</w:t>
      </w:r>
    </w:p>
    <w:p>
      <w:pPr>
        <w:spacing w:after="80"/>
      </w:pPr>
      <w:r>
        <w:rPr>
          <w:rFonts w:ascii="Poppins" w:cs="Poppins" w:eastAsia="Poppins" w:hAnsi="Poppins"/>
          <w:b/>
          <w:bCs/>
          <w:color w:val="001C31"/>
          <w:sz w:val="21"/>
          <w:szCs w:val="21"/>
        </w:rPr>
        <w:t xml:space="preserve">•  Diagnóstico de cistitis: </w:t>
      </w:r>
      <w:r>
        <w:rPr>
          <w:rFonts w:ascii="Poppins" w:cs="Poppins" w:eastAsia="Poppins" w:hAnsi="Poppins"/>
          <w:sz w:val="21"/>
          <w:szCs w:val="21"/>
        </w:rPr>
        <w:t xml:space="preserve">Preguntas 47–54</w:t>
      </w:r>
    </w:p>
    <w:p>
      <w:pPr>
        <w:spacing w:after="80"/>
      </w:pPr>
      <w:r>
        <w:rPr>
          <w:rFonts w:ascii="Poppins" w:cs="Poppins" w:eastAsia="Poppins" w:hAnsi="Poppins"/>
          <w:b/>
          <w:bCs/>
          <w:color w:val="001C31"/>
          <w:sz w:val="21"/>
          <w:szCs w:val="21"/>
        </w:rPr>
        <w:t xml:space="preserve">•  Tratamiento de la bacteriuria asintomática (esquemas y farmacología): </w:t>
      </w:r>
      <w:r>
        <w:rPr>
          <w:rFonts w:ascii="Poppins" w:cs="Poppins" w:eastAsia="Poppins" w:hAnsi="Poppins"/>
          <w:sz w:val="21"/>
          <w:szCs w:val="21"/>
        </w:rPr>
        <w:t xml:space="preserve">Preguntas 55–72</w:t>
      </w:r>
    </w:p>
    <w:p>
      <w:pPr>
        <w:spacing w:after="80"/>
      </w:pPr>
      <w:r>
        <w:rPr>
          <w:rFonts w:ascii="Poppins" w:cs="Poppins" w:eastAsia="Poppins" w:hAnsi="Poppins"/>
          <w:b/>
          <w:bCs/>
          <w:color w:val="001C31"/>
          <w:sz w:val="21"/>
          <w:szCs w:val="21"/>
        </w:rPr>
        <w:t xml:space="preserve">•  Tratamiento de cistitis y seguimiento: </w:t>
      </w:r>
      <w:r>
        <w:rPr>
          <w:rFonts w:ascii="Poppins" w:cs="Poppins" w:eastAsia="Poppins" w:hAnsi="Poppins"/>
          <w:sz w:val="21"/>
          <w:szCs w:val="21"/>
        </w:rPr>
        <w:t xml:space="preserve">Preguntas 73–78</w:t>
      </w:r>
    </w:p>
    <w:p>
      <w:pPr>
        <w:spacing w:after="80"/>
      </w:pPr>
      <w:r>
        <w:rPr>
          <w:rFonts w:ascii="Poppins" w:cs="Poppins" w:eastAsia="Poppins" w:hAnsi="Poppins"/>
          <w:b/>
          <w:bCs/>
          <w:color w:val="001C31"/>
          <w:sz w:val="21"/>
          <w:szCs w:val="21"/>
        </w:rPr>
        <w:t xml:space="preserve">•  Criterios de referencia, contrarreferencia y monitoreo de calidad: </w:t>
      </w:r>
      <w:r>
        <w:rPr>
          <w:rFonts w:ascii="Poppins" w:cs="Poppins" w:eastAsia="Poppins" w:hAnsi="Poppins"/>
          <w:sz w:val="21"/>
          <w:szCs w:val="21"/>
        </w:rPr>
        <w:t xml:space="preserve">Preguntas 79–90</w:t>
      </w:r>
    </w:p>
    <w:p>
      <w:pPr>
        <w:spacing w:after="80"/>
      </w:pPr>
      <w:r>
        <w:rPr>
          <w:rFonts w:ascii="Poppins" w:cs="Poppins" w:eastAsia="Poppins" w:hAnsi="Poppins"/>
          <w:b/>
          <w:bCs/>
          <w:color w:val="001C31"/>
          <w:sz w:val="21"/>
          <w:szCs w:val="21"/>
        </w:rPr>
        <w:t xml:space="preserve">•  Anexos 1 y 2: Flujogramas de diagnóstico y tratamiento: </w:t>
      </w:r>
      <w:r>
        <w:rPr>
          <w:rFonts w:ascii="Poppins" w:cs="Poppins" w:eastAsia="Poppins" w:hAnsi="Poppins"/>
          <w:sz w:val="21"/>
          <w:szCs w:val="21"/>
        </w:rPr>
        <w:t xml:space="preserve">Preguntas 91–94</w:t>
      </w:r>
    </w:p>
    <w:p>
      <w:pPr>
        <w:spacing w:after="80"/>
      </w:pPr>
      <w:r>
        <w:rPr>
          <w:rFonts w:ascii="Poppins" w:cs="Poppins" w:eastAsia="Poppins" w:hAnsi="Poppins"/>
          <w:b/>
          <w:bCs/>
          <w:color w:val="001C31"/>
          <w:sz w:val="21"/>
          <w:szCs w:val="21"/>
        </w:rPr>
        <w:t xml:space="preserve">•  Anexo 3: Medicamentos (nitrofurantoína, fosfomicina, cefalexina): </w:t>
      </w:r>
      <w:r>
        <w:rPr>
          <w:rFonts w:ascii="Poppins" w:cs="Poppins" w:eastAsia="Poppins" w:hAnsi="Poppins"/>
          <w:sz w:val="21"/>
          <w:szCs w:val="21"/>
        </w:rPr>
        <w:t xml:space="preserve">Preguntas 95–100</w:t>
      </w:r>
    </w:p>
    <w:p>
      <w:r>
        <w:br w:type="page"/>
      </w:r>
    </w:p>
    <w:p>
      <w:pPr>
        <w:shd w:fill="001C31" w:val="clear"/>
        <w:spacing w:after="100" w:before="300"/>
      </w:pPr>
      <w:r>
        <w:rPr>
          <w:rFonts w:ascii="Poppins" w:cs="Poppins" w:eastAsia="Poppins" w:hAnsi="Poppins"/>
          <w:b/>
          <w:bCs/>
          <w:color w:val="FFFFFF"/>
          <w:sz w:val="24"/>
          <w:szCs w:val="24"/>
        </w:rPr>
        <w:t xml:space="preserve">PREGUNTA 1</w:t>
      </w:r>
    </w:p>
    <w:p>
      <w:pPr>
        <w:spacing w:after="120"/>
      </w:pPr>
      <w:r>
        <w:rPr>
          <w:rFonts w:ascii="Poppins" w:cs="Poppins" w:eastAsia="Poppins" w:hAnsi="Poppins"/>
          <w:b/>
          <w:bCs/>
          <w:color w:val="001C31"/>
          <w:sz w:val="21"/>
          <w:szCs w:val="21"/>
        </w:rPr>
        <w:t xml:space="preserve">Pregunta: </w:t>
      </w:r>
      <w:r>
        <w:rPr>
          <w:rFonts w:ascii="Poppins" w:cs="Poppins" w:eastAsia="Poppins" w:hAnsi="Poppins"/>
          <w:sz w:val="21"/>
          <w:szCs w:val="21"/>
        </w:rPr>
        <w:t xml:space="preserve">Según la descripción general de la GPC, ¿cuál es la población blanco de esta guía?</w:t>
      </w:r>
    </w:p>
    <w:p>
      <w:pPr>
        <w:spacing w:after="60"/>
      </w:pPr>
      <w:r>
        <w:rPr>
          <w:rFonts w:ascii="Poppins" w:cs="Poppins" w:eastAsia="Poppins" w:hAnsi="Poppins"/>
          <w:b/>
          <w:bCs/>
          <w:color w:val="B08D3F"/>
          <w:sz w:val="21"/>
          <w:szCs w:val="21"/>
        </w:rPr>
        <w:t xml:space="preserve">A. </w:t>
      </w:r>
      <w:r>
        <w:rPr>
          <w:rFonts w:ascii="Poppins" w:cs="Poppins" w:eastAsia="Poppins" w:hAnsi="Poppins"/>
          <w:b/>
          <w:bCs/>
          <w:color w:val="B08D3F"/>
          <w:sz w:val="21"/>
          <w:szCs w:val="21"/>
        </w:rPr>
        <w:t xml:space="preserve">Embarazadas</w:t>
      </w:r>
    </w:p>
    <w:p>
      <w:pPr>
        <w:spacing w:after="60"/>
      </w:pPr>
      <w:r>
        <w:rPr>
          <w:rFonts w:ascii="Poppins" w:cs="Poppins" w:eastAsia="Poppins" w:hAnsi="Poppins"/>
          <w:b/>
          <w:bCs/>
          <w:color w:val="000000"/>
          <w:sz w:val="21"/>
          <w:szCs w:val="21"/>
        </w:rPr>
        <w:t xml:space="preserve">B. </w:t>
      </w:r>
      <w:r>
        <w:rPr>
          <w:rFonts w:ascii="Poppins" w:cs="Poppins" w:eastAsia="Poppins" w:hAnsi="Poppins"/>
          <w:b w:val="false"/>
          <w:bCs w:val="false"/>
          <w:color w:val="000000"/>
          <w:sz w:val="21"/>
          <w:szCs w:val="21"/>
        </w:rPr>
        <w:t xml:space="preserve">Mujeres en edad fértil, estén o no embarazadas</w:t>
      </w:r>
    </w:p>
    <w:p>
      <w:pPr>
        <w:spacing w:after="60"/>
      </w:pPr>
      <w:r>
        <w:rPr>
          <w:rFonts w:ascii="Poppins" w:cs="Poppins" w:eastAsia="Poppins" w:hAnsi="Poppins"/>
          <w:b/>
          <w:bCs/>
          <w:color w:val="000000"/>
          <w:sz w:val="21"/>
          <w:szCs w:val="21"/>
        </w:rPr>
        <w:t xml:space="preserve">C. </w:t>
      </w:r>
      <w:r>
        <w:rPr>
          <w:rFonts w:ascii="Poppins" w:cs="Poppins" w:eastAsia="Poppins" w:hAnsi="Poppins"/>
          <w:b w:val="false"/>
          <w:bCs w:val="false"/>
          <w:color w:val="000000"/>
          <w:sz w:val="21"/>
          <w:szCs w:val="21"/>
        </w:rPr>
        <w:t xml:space="preserve">Recién nacidos con sospecha de infección urinaria</w:t>
      </w:r>
    </w:p>
    <w:p>
      <w:pPr>
        <w:spacing w:after="60"/>
      </w:pPr>
      <w:r>
        <w:rPr>
          <w:rFonts w:ascii="Poppins" w:cs="Poppins" w:eastAsia="Poppins" w:hAnsi="Poppins"/>
          <w:b/>
          <w:bCs/>
          <w:color w:val="000000"/>
          <w:sz w:val="21"/>
          <w:szCs w:val="21"/>
        </w:rPr>
        <w:t xml:space="preserve">D. </w:t>
      </w:r>
      <w:r>
        <w:rPr>
          <w:rFonts w:ascii="Poppins" w:cs="Poppins" w:eastAsia="Poppins" w:hAnsi="Poppins"/>
          <w:b w:val="false"/>
          <w:bCs w:val="false"/>
          <w:color w:val="000000"/>
          <w:sz w:val="21"/>
          <w:szCs w:val="21"/>
        </w:rPr>
        <w:t xml:space="preserve">Mujeres en período de climaterio</w:t>
      </w:r>
    </w:p>
    <w:p>
      <w:pPr>
        <w:spacing w:after="100" w:before="120"/>
      </w:pPr>
      <w:r>
        <w:rPr>
          <w:rFonts w:ascii="Poppins" w:cs="Poppins" w:eastAsia="Poppins" w:hAnsi="Poppins"/>
          <w:b/>
          <w:bCs/>
          <w:color w:val="001C31"/>
          <w:sz w:val="21"/>
          <w:szCs w:val="21"/>
        </w:rPr>
        <w:t xml:space="preserve">Respuesta correcta: A</w:t>
      </w:r>
    </w:p>
    <w:p>
      <w:pPr>
        <w:spacing w:after="60"/>
      </w:pPr>
      <w:r>
        <w:rPr>
          <w:rFonts w:ascii="Poppins" w:cs="Poppins" w:eastAsia="Poppins" w:hAnsi="Poppins"/>
          <w:b/>
          <w:bCs/>
          <w:color w:val="001C31"/>
          <w:sz w:val="21"/>
          <w:szCs w:val="21"/>
          <w:u w:val="single"/>
        </w:rPr>
        <w:t xml:space="preserve">Justificación de la respuesta correcta</w:t>
      </w:r>
    </w:p>
    <w:p>
      <w:pPr>
        <w:spacing w:after="150"/>
      </w:pPr>
      <w:r>
        <w:rPr>
          <w:rFonts w:ascii="Poppins" w:cs="Poppins" w:eastAsia="Poppins" w:hAnsi="Poppins"/>
          <w:sz w:val="21"/>
          <w:szCs w:val="21"/>
        </w:rPr>
        <w:t xml:space="preserve">La tabla de Descripción general de esta GPC establece explícitamente que la población blanco de la guía son las embarazadas.</w:t>
      </w:r>
    </w:p>
    <w:p>
      <w:pPr>
        <w:spacing w:after="60"/>
      </w:pPr>
      <w:r>
        <w:rPr>
          <w:rFonts w:ascii="Poppins" w:cs="Poppins" w:eastAsia="Poppins" w:hAnsi="Poppins"/>
          <w:b/>
          <w:bCs/>
          <w:color w:val="001C31"/>
          <w:sz w:val="21"/>
          <w:szCs w:val="21"/>
          <w:u w:val="single"/>
        </w:rPr>
        <w:t xml:space="preserve">Justificación de las opciones incorrectas</w:t>
      </w:r>
    </w:p>
    <w:p>
      <w:pPr>
        <w:spacing w:after="60"/>
      </w:pPr>
      <w:r>
        <w:rPr>
          <w:rFonts w:ascii="Poppins" w:cs="Poppins" w:eastAsia="Poppins" w:hAnsi="Poppins"/>
          <w:b/>
          <w:bCs/>
          <w:sz w:val="21"/>
          <w:szCs w:val="21"/>
        </w:rPr>
        <w:t xml:space="preserve">Opción B: </w:t>
      </w:r>
      <w:r>
        <w:rPr>
          <w:rFonts w:ascii="Poppins" w:cs="Poppins" w:eastAsia="Poppins" w:hAnsi="Poppins"/>
          <w:sz w:val="21"/>
          <w:szCs w:val="21"/>
        </w:rPr>
        <w:t xml:space="preserve">La guía no extiende su población blanco a todas las mujeres en edad fértil; la delimita específicamente a las embarazadas.</w:t>
      </w:r>
    </w:p>
    <w:p>
      <w:pPr>
        <w:spacing w:after="60"/>
      </w:pPr>
      <w:r>
        <w:rPr>
          <w:rFonts w:ascii="Poppins" w:cs="Poppins" w:eastAsia="Poppins" w:hAnsi="Poppins"/>
          <w:b/>
          <w:bCs/>
          <w:sz w:val="21"/>
          <w:szCs w:val="21"/>
        </w:rPr>
        <w:t xml:space="preserve">Opción C: </w:t>
      </w:r>
      <w:r>
        <w:rPr>
          <w:rFonts w:ascii="Poppins" w:cs="Poppins" w:eastAsia="Poppins" w:hAnsi="Poppins"/>
          <w:sz w:val="21"/>
          <w:szCs w:val="21"/>
        </w:rPr>
        <w:t xml:space="preserve">Los recién nacidos no constituyen la población blanco de esta GPC, que se centra en la infección de vías urinarias durante el embarazo materno.</w:t>
      </w:r>
    </w:p>
    <w:p>
      <w:pPr>
        <w:spacing w:after="60"/>
      </w:pPr>
      <w:r>
        <w:rPr>
          <w:rFonts w:ascii="Poppins" w:cs="Poppins" w:eastAsia="Poppins" w:hAnsi="Poppins"/>
          <w:b/>
          <w:bCs/>
          <w:sz w:val="21"/>
          <w:szCs w:val="21"/>
        </w:rPr>
        <w:t xml:space="preserve">Opción D: </w:t>
      </w:r>
      <w:r>
        <w:rPr>
          <w:rFonts w:ascii="Poppins" w:cs="Poppins" w:eastAsia="Poppins" w:hAnsi="Poppins"/>
          <w:sz w:val="21"/>
          <w:szCs w:val="21"/>
        </w:rPr>
        <w:t xml:space="preserve">El climaterio no se menciona en la guía como parte de la población blanco; la guía se enfoca exclusivamente en el embarazo.</w:t>
      </w:r>
    </w:p>
    <w:p>
      <w:pPr>
        <w:pBdr>
          <w:bottom w:val="single" w:color="B08D3F" w:sz="6" w:space="4"/>
        </w:pBdr>
        <w:spacing w:after="200" w:before="100"/>
      </w:pPr>
      <w:r>
        <w:rPr>
          <w:rFonts w:ascii="Poppins" w:cs="Poppins" w:eastAsia="Poppins" w:hAnsi="Poppins"/>
          <w:b/>
          <w:bCs/>
          <w:i/>
          <w:iCs/>
          <w:color w:val="B08D3F"/>
          <w:sz w:val="20"/>
          <w:szCs w:val="20"/>
        </w:rPr>
        <w:t xml:space="preserve">Referencia: </w:t>
      </w:r>
      <w:r>
        <w:rPr>
          <w:rFonts w:ascii="Poppins" w:cs="Poppins" w:eastAsia="Poppins" w:hAnsi="Poppins"/>
          <w:i/>
          <w:iCs/>
          <w:color w:val="555555"/>
          <w:sz w:val="20"/>
          <w:szCs w:val="20"/>
        </w:rPr>
        <w:t xml:space="preserve">Descripción de esta guía de práctica clínica (GPC). Página 7.</w:t>
      </w:r>
    </w:p>
    <w:p>
      <w:pPr>
        <w:shd w:fill="001C31" w:val="clear"/>
        <w:spacing w:after="100" w:before="300"/>
      </w:pPr>
      <w:r>
        <w:rPr>
          <w:rFonts w:ascii="Poppins" w:cs="Poppins" w:eastAsia="Poppins" w:hAnsi="Poppins"/>
          <w:b/>
          <w:bCs/>
          <w:color w:val="FFFFFF"/>
          <w:sz w:val="24"/>
          <w:szCs w:val="24"/>
        </w:rPr>
        <w:t xml:space="preserve">PREGUNTA 2</w:t>
      </w:r>
    </w:p>
    <w:p>
      <w:pPr>
        <w:spacing w:after="120"/>
      </w:pPr>
      <w:r>
        <w:rPr>
          <w:rFonts w:ascii="Poppins" w:cs="Poppins" w:eastAsia="Poppins" w:hAnsi="Poppins"/>
          <w:b/>
          <w:bCs/>
          <w:color w:val="001C31"/>
          <w:sz w:val="21"/>
          <w:szCs w:val="21"/>
        </w:rPr>
        <w:t xml:space="preserve">Pregunta: </w:t>
      </w:r>
      <w:r>
        <w:rPr>
          <w:rFonts w:ascii="Poppins" w:cs="Poppins" w:eastAsia="Poppins" w:hAnsi="Poppins"/>
          <w:sz w:val="21"/>
          <w:szCs w:val="21"/>
        </w:rPr>
        <w:t xml:space="preserve">Según la clasificación CIE-10 recogida en la GPC, ¿qué código corresponde a la infección del riñón en el embarazo?</w:t>
      </w:r>
    </w:p>
    <w:p>
      <w:pPr>
        <w:spacing w:after="60"/>
      </w:pPr>
      <w:r>
        <w:rPr>
          <w:rFonts w:ascii="Poppins" w:cs="Poppins" w:eastAsia="Poppins" w:hAnsi="Poppins"/>
          <w:b/>
          <w:bCs/>
          <w:color w:val="B08D3F"/>
          <w:sz w:val="21"/>
          <w:szCs w:val="21"/>
        </w:rPr>
        <w:t xml:space="preserve">A. </w:t>
      </w:r>
      <w:r>
        <w:rPr>
          <w:rFonts w:ascii="Poppins" w:cs="Poppins" w:eastAsia="Poppins" w:hAnsi="Poppins"/>
          <w:b/>
          <w:bCs/>
          <w:color w:val="B08D3F"/>
          <w:sz w:val="21"/>
          <w:szCs w:val="21"/>
        </w:rPr>
        <w:t xml:space="preserve">O23.0</w:t>
      </w:r>
    </w:p>
    <w:p>
      <w:pPr>
        <w:spacing w:after="60"/>
      </w:pPr>
      <w:r>
        <w:rPr>
          <w:rFonts w:ascii="Poppins" w:cs="Poppins" w:eastAsia="Poppins" w:hAnsi="Poppins"/>
          <w:b/>
          <w:bCs/>
          <w:color w:val="000000"/>
          <w:sz w:val="21"/>
          <w:szCs w:val="21"/>
        </w:rPr>
        <w:t xml:space="preserve">B. </w:t>
      </w:r>
      <w:r>
        <w:rPr>
          <w:rFonts w:ascii="Poppins" w:cs="Poppins" w:eastAsia="Poppins" w:hAnsi="Poppins"/>
          <w:b w:val="false"/>
          <w:bCs w:val="false"/>
          <w:color w:val="000000"/>
          <w:sz w:val="21"/>
          <w:szCs w:val="21"/>
        </w:rPr>
        <w:t xml:space="preserve">O23.1</w:t>
      </w:r>
    </w:p>
    <w:p>
      <w:pPr>
        <w:spacing w:after="60"/>
      </w:pPr>
      <w:r>
        <w:rPr>
          <w:rFonts w:ascii="Poppins" w:cs="Poppins" w:eastAsia="Poppins" w:hAnsi="Poppins"/>
          <w:b/>
          <w:bCs/>
          <w:color w:val="000000"/>
          <w:sz w:val="21"/>
          <w:szCs w:val="21"/>
        </w:rPr>
        <w:t xml:space="preserve">C. </w:t>
      </w:r>
      <w:r>
        <w:rPr>
          <w:rFonts w:ascii="Poppins" w:cs="Poppins" w:eastAsia="Poppins" w:hAnsi="Poppins"/>
          <w:b w:val="false"/>
          <w:bCs w:val="false"/>
          <w:color w:val="000000"/>
          <w:sz w:val="21"/>
          <w:szCs w:val="21"/>
        </w:rPr>
        <w:t xml:space="preserve">O23.2</w:t>
      </w:r>
    </w:p>
    <w:p>
      <w:pPr>
        <w:spacing w:after="60"/>
      </w:pPr>
      <w:r>
        <w:rPr>
          <w:rFonts w:ascii="Poppins" w:cs="Poppins" w:eastAsia="Poppins" w:hAnsi="Poppins"/>
          <w:b/>
          <w:bCs/>
          <w:color w:val="000000"/>
          <w:sz w:val="21"/>
          <w:szCs w:val="21"/>
        </w:rPr>
        <w:t xml:space="preserve">D. </w:t>
      </w:r>
      <w:r>
        <w:rPr>
          <w:rFonts w:ascii="Poppins" w:cs="Poppins" w:eastAsia="Poppins" w:hAnsi="Poppins"/>
          <w:b w:val="false"/>
          <w:bCs w:val="false"/>
          <w:color w:val="000000"/>
          <w:sz w:val="21"/>
          <w:szCs w:val="21"/>
        </w:rPr>
        <w:t xml:space="preserve">O23.5</w:t>
      </w:r>
    </w:p>
    <w:p>
      <w:pPr>
        <w:spacing w:after="100" w:before="120"/>
      </w:pPr>
      <w:r>
        <w:rPr>
          <w:rFonts w:ascii="Poppins" w:cs="Poppins" w:eastAsia="Poppins" w:hAnsi="Poppins"/>
          <w:b/>
          <w:bCs/>
          <w:color w:val="001C31"/>
          <w:sz w:val="21"/>
          <w:szCs w:val="21"/>
        </w:rPr>
        <w:t xml:space="preserve">Respuesta correcta: A</w:t>
      </w:r>
    </w:p>
    <w:p>
      <w:pPr>
        <w:spacing w:after="60"/>
      </w:pPr>
      <w:r>
        <w:rPr>
          <w:rFonts w:ascii="Poppins" w:cs="Poppins" w:eastAsia="Poppins" w:hAnsi="Poppins"/>
          <w:b/>
          <w:bCs/>
          <w:color w:val="001C31"/>
          <w:sz w:val="21"/>
          <w:szCs w:val="21"/>
          <w:u w:val="single"/>
        </w:rPr>
        <w:t xml:space="preserve">Justificación de la respuesta correcta</w:t>
      </w:r>
    </w:p>
    <w:p>
      <w:pPr>
        <w:spacing w:after="150"/>
      </w:pPr>
      <w:r>
        <w:rPr>
          <w:rFonts w:ascii="Poppins" w:cs="Poppins" w:eastAsia="Poppins" w:hAnsi="Poppins"/>
          <w:sz w:val="21"/>
          <w:szCs w:val="21"/>
        </w:rPr>
        <w:t xml:space="preserve">La guía enumera la clasificación CIE-10: O23 Infección de las vías genitourinarias en el embarazo, O23.0 Infección del riñón en el embarazo, O23.1 Infección de la vejiga urinaria en el embarazo, O23.2 Infección de la uretra en el embarazo, entre otros.</w:t>
      </w:r>
    </w:p>
    <w:p>
      <w:pPr>
        <w:spacing w:after="60"/>
      </w:pPr>
      <w:r>
        <w:rPr>
          <w:rFonts w:ascii="Poppins" w:cs="Poppins" w:eastAsia="Poppins" w:hAnsi="Poppins"/>
          <w:b/>
          <w:bCs/>
          <w:color w:val="001C31"/>
          <w:sz w:val="21"/>
          <w:szCs w:val="21"/>
          <w:u w:val="single"/>
        </w:rPr>
        <w:t xml:space="preserve">Justificación de las opciones incorrectas</w:t>
      </w:r>
    </w:p>
    <w:p>
      <w:pPr>
        <w:spacing w:after="60"/>
      </w:pPr>
      <w:r>
        <w:rPr>
          <w:rFonts w:ascii="Poppins" w:cs="Poppins" w:eastAsia="Poppins" w:hAnsi="Poppins"/>
          <w:b/>
          <w:bCs/>
          <w:sz w:val="21"/>
          <w:szCs w:val="21"/>
        </w:rPr>
        <w:t xml:space="preserve">Opción B: </w:t>
      </w:r>
      <w:r>
        <w:rPr>
          <w:rFonts w:ascii="Poppins" w:cs="Poppins" w:eastAsia="Poppins" w:hAnsi="Poppins"/>
          <w:sz w:val="21"/>
          <w:szCs w:val="21"/>
        </w:rPr>
        <w:t xml:space="preserve">El código O23.1 corresponde a la infección de la vejiga urinaria en el embarazo, no a la infección del riñón.</w:t>
      </w:r>
    </w:p>
    <w:p>
      <w:pPr>
        <w:spacing w:after="60"/>
      </w:pPr>
      <w:r>
        <w:rPr>
          <w:rFonts w:ascii="Poppins" w:cs="Poppins" w:eastAsia="Poppins" w:hAnsi="Poppins"/>
          <w:b/>
          <w:bCs/>
          <w:sz w:val="21"/>
          <w:szCs w:val="21"/>
        </w:rPr>
        <w:t xml:space="preserve">Opción C: </w:t>
      </w:r>
      <w:r>
        <w:rPr>
          <w:rFonts w:ascii="Poppins" w:cs="Poppins" w:eastAsia="Poppins" w:hAnsi="Poppins"/>
          <w:sz w:val="21"/>
          <w:szCs w:val="21"/>
        </w:rPr>
        <w:t xml:space="preserve">El código O23.2 corresponde a la infección de la uretra en el embarazo, no a la infección del riñón.</w:t>
      </w:r>
    </w:p>
    <w:p>
      <w:pPr>
        <w:spacing w:after="60"/>
      </w:pPr>
      <w:r>
        <w:rPr>
          <w:rFonts w:ascii="Poppins" w:cs="Poppins" w:eastAsia="Poppins" w:hAnsi="Poppins"/>
          <w:b/>
          <w:bCs/>
          <w:sz w:val="21"/>
          <w:szCs w:val="21"/>
        </w:rPr>
        <w:t xml:space="preserve">Opción D: </w:t>
      </w:r>
      <w:r>
        <w:rPr>
          <w:rFonts w:ascii="Poppins" w:cs="Poppins" w:eastAsia="Poppins" w:hAnsi="Poppins"/>
          <w:sz w:val="21"/>
          <w:szCs w:val="21"/>
        </w:rPr>
        <w:t xml:space="preserve">El código O23.5 corresponde a la infección genital en el embarazo, no a la infección del riñón.</w:t>
      </w:r>
    </w:p>
    <w:p>
      <w:pPr>
        <w:pBdr>
          <w:bottom w:val="single" w:color="B08D3F" w:sz="6" w:space="4"/>
        </w:pBdr>
        <w:spacing w:after="200" w:before="100"/>
      </w:pPr>
      <w:r>
        <w:rPr>
          <w:rFonts w:ascii="Poppins" w:cs="Poppins" w:eastAsia="Poppins" w:hAnsi="Poppins"/>
          <w:b/>
          <w:bCs/>
          <w:i/>
          <w:iCs/>
          <w:color w:val="B08D3F"/>
          <w:sz w:val="20"/>
          <w:szCs w:val="20"/>
        </w:rPr>
        <w:t xml:space="preserve">Referencia: </w:t>
      </w:r>
      <w:r>
        <w:rPr>
          <w:rFonts w:ascii="Poppins" w:cs="Poppins" w:eastAsia="Poppins" w:hAnsi="Poppins"/>
          <w:i/>
          <w:iCs/>
          <w:color w:val="555555"/>
          <w:sz w:val="20"/>
          <w:szCs w:val="20"/>
        </w:rPr>
        <w:t xml:space="preserve">Descripción de esta guía de práctica clínica (GPC). Clasificación de la Enfermedad – CIE 10. Página 7.</w:t>
      </w:r>
    </w:p>
    <w:p>
      <w:pPr>
        <w:shd w:fill="001C31" w:val="clear"/>
        <w:spacing w:after="100" w:before="300"/>
      </w:pPr>
      <w:r>
        <w:rPr>
          <w:rFonts w:ascii="Poppins" w:cs="Poppins" w:eastAsia="Poppins" w:hAnsi="Poppins"/>
          <w:b/>
          <w:bCs/>
          <w:color w:val="FFFFFF"/>
          <w:sz w:val="24"/>
          <w:szCs w:val="24"/>
        </w:rPr>
        <w:t xml:space="preserve">PREGUNTA 3</w:t>
      </w:r>
    </w:p>
    <w:p>
      <w:pPr>
        <w:spacing w:after="120"/>
      </w:pPr>
      <w:r>
        <w:rPr>
          <w:rFonts w:ascii="Poppins" w:cs="Poppins" w:eastAsia="Poppins" w:hAnsi="Poppins"/>
          <w:b/>
          <w:bCs/>
          <w:color w:val="001C31"/>
          <w:sz w:val="21"/>
          <w:szCs w:val="21"/>
        </w:rPr>
        <w:t xml:space="preserve">Pregunta: </w:t>
      </w:r>
      <w:r>
        <w:rPr>
          <w:rFonts w:ascii="Poppins" w:cs="Poppins" w:eastAsia="Poppins" w:hAnsi="Poppins"/>
          <w:sz w:val="21"/>
          <w:szCs w:val="21"/>
        </w:rPr>
        <w:t xml:space="preserve">Según la GPC, ¿a qué categoría de atención corresponde esta guía?</w:t>
      </w:r>
    </w:p>
    <w:p>
      <w:pPr>
        <w:spacing w:after="60"/>
      </w:pPr>
      <w:r>
        <w:rPr>
          <w:rFonts w:ascii="Poppins" w:cs="Poppins" w:eastAsia="Poppins" w:hAnsi="Poppins"/>
          <w:b/>
          <w:bCs/>
          <w:color w:val="B08D3F"/>
          <w:sz w:val="21"/>
          <w:szCs w:val="21"/>
        </w:rPr>
        <w:t xml:space="preserve">A. </w:t>
      </w:r>
      <w:r>
        <w:rPr>
          <w:rFonts w:ascii="Poppins" w:cs="Poppins" w:eastAsia="Poppins" w:hAnsi="Poppins"/>
          <w:b/>
          <w:bCs/>
          <w:color w:val="B08D3F"/>
          <w:sz w:val="21"/>
          <w:szCs w:val="21"/>
        </w:rPr>
        <w:t xml:space="preserve">Primer nivel de atención: diagnóstico y tratamiento, con acciones específicas en segundo y tercer nivel</w:t>
      </w:r>
    </w:p>
    <w:p>
      <w:pPr>
        <w:spacing w:after="60"/>
      </w:pPr>
      <w:r>
        <w:rPr>
          <w:rFonts w:ascii="Poppins" w:cs="Poppins" w:eastAsia="Poppins" w:hAnsi="Poppins"/>
          <w:b/>
          <w:bCs/>
          <w:color w:val="000000"/>
          <w:sz w:val="21"/>
          <w:szCs w:val="21"/>
        </w:rPr>
        <w:t xml:space="preserve">B. </w:t>
      </w:r>
      <w:r>
        <w:rPr>
          <w:rFonts w:ascii="Poppins" w:cs="Poppins" w:eastAsia="Poppins" w:hAnsi="Poppins"/>
          <w:b w:val="false"/>
          <w:bCs w:val="false"/>
          <w:color w:val="000000"/>
          <w:sz w:val="21"/>
          <w:szCs w:val="21"/>
        </w:rPr>
        <w:t xml:space="preserve">Exclusivamente tercer nivel de atención hospitalaria</w:t>
      </w:r>
    </w:p>
    <w:p>
      <w:pPr>
        <w:spacing w:after="60"/>
      </w:pPr>
      <w:r>
        <w:rPr>
          <w:rFonts w:ascii="Poppins" w:cs="Poppins" w:eastAsia="Poppins" w:hAnsi="Poppins"/>
          <w:b/>
          <w:bCs/>
          <w:color w:val="000000"/>
          <w:sz w:val="21"/>
          <w:szCs w:val="21"/>
        </w:rPr>
        <w:t xml:space="preserve">C. </w:t>
      </w:r>
      <w:r>
        <w:rPr>
          <w:rFonts w:ascii="Poppins" w:cs="Poppins" w:eastAsia="Poppins" w:hAnsi="Poppins"/>
          <w:b w:val="false"/>
          <w:bCs w:val="false"/>
          <w:color w:val="000000"/>
          <w:sz w:val="21"/>
          <w:szCs w:val="21"/>
        </w:rPr>
        <w:t xml:space="preserve">Exclusivamente atención domiciliaria sin intervención institucional</w:t>
      </w:r>
    </w:p>
    <w:p>
      <w:pPr>
        <w:spacing w:after="60"/>
      </w:pPr>
      <w:r>
        <w:rPr>
          <w:rFonts w:ascii="Poppins" w:cs="Poppins" w:eastAsia="Poppins" w:hAnsi="Poppins"/>
          <w:b/>
          <w:bCs/>
          <w:color w:val="000000"/>
          <w:sz w:val="21"/>
          <w:szCs w:val="21"/>
        </w:rPr>
        <w:t xml:space="preserve">D. </w:t>
      </w:r>
      <w:r>
        <w:rPr>
          <w:rFonts w:ascii="Poppins" w:cs="Poppins" w:eastAsia="Poppins" w:hAnsi="Poppins"/>
          <w:b w:val="false"/>
          <w:bCs w:val="false"/>
          <w:color w:val="000000"/>
          <w:sz w:val="21"/>
          <w:szCs w:val="21"/>
        </w:rPr>
        <w:t xml:space="preserve">Únicamente segundo nivel de atención ambulatoria especializada</w:t>
      </w:r>
    </w:p>
    <w:p>
      <w:pPr>
        <w:spacing w:after="100" w:before="120"/>
      </w:pPr>
      <w:r>
        <w:rPr>
          <w:rFonts w:ascii="Poppins" w:cs="Poppins" w:eastAsia="Poppins" w:hAnsi="Poppins"/>
          <w:b/>
          <w:bCs/>
          <w:color w:val="001C31"/>
          <w:sz w:val="21"/>
          <w:szCs w:val="21"/>
        </w:rPr>
        <w:t xml:space="preserve">Respuesta correcta: A</w:t>
      </w:r>
    </w:p>
    <w:p>
      <w:pPr>
        <w:spacing w:after="60"/>
      </w:pPr>
      <w:r>
        <w:rPr>
          <w:rFonts w:ascii="Poppins" w:cs="Poppins" w:eastAsia="Poppins" w:hAnsi="Poppins"/>
          <w:b/>
          <w:bCs/>
          <w:color w:val="001C31"/>
          <w:sz w:val="21"/>
          <w:szCs w:val="21"/>
          <w:u w:val="single"/>
        </w:rPr>
        <w:t xml:space="preserve">Justificación de la respuesta correcta</w:t>
      </w:r>
    </w:p>
    <w:p>
      <w:pPr>
        <w:spacing w:after="150"/>
      </w:pPr>
      <w:r>
        <w:rPr>
          <w:rFonts w:ascii="Poppins" w:cs="Poppins" w:eastAsia="Poppins" w:hAnsi="Poppins"/>
          <w:sz w:val="21"/>
          <w:szCs w:val="21"/>
        </w:rPr>
        <w:t xml:space="preserve">La tabla de Descripción general de esta GPC señala que la categoría de la guía corresponde al primer nivel de atención para diagnóstico y tratamiento, con acciones específicas en segundo y tercer nivel.</w:t>
      </w:r>
    </w:p>
    <w:p>
      <w:pPr>
        <w:spacing w:after="60"/>
      </w:pPr>
      <w:r>
        <w:rPr>
          <w:rFonts w:ascii="Poppins" w:cs="Poppins" w:eastAsia="Poppins" w:hAnsi="Poppins"/>
          <w:b/>
          <w:bCs/>
          <w:color w:val="001C31"/>
          <w:sz w:val="21"/>
          <w:szCs w:val="21"/>
          <w:u w:val="single"/>
        </w:rPr>
        <w:t xml:space="preserve">Justificación de las opciones incorrectas</w:t>
      </w:r>
    </w:p>
    <w:p>
      <w:pPr>
        <w:spacing w:after="60"/>
      </w:pPr>
      <w:r>
        <w:rPr>
          <w:rFonts w:ascii="Poppins" w:cs="Poppins" w:eastAsia="Poppins" w:hAnsi="Poppins"/>
          <w:b/>
          <w:bCs/>
          <w:sz w:val="21"/>
          <w:szCs w:val="21"/>
        </w:rPr>
        <w:t xml:space="preserve">Opción B: </w:t>
      </w:r>
      <w:r>
        <w:rPr>
          <w:rFonts w:ascii="Poppins" w:cs="Poppins" w:eastAsia="Poppins" w:hAnsi="Poppins"/>
          <w:sz w:val="21"/>
          <w:szCs w:val="21"/>
        </w:rPr>
        <w:t xml:space="preserve">La guía no se limita al tercer nivel; su categoría principal es el primer nivel de atención, reservando acciones específicas para niveles superiores.</w:t>
      </w:r>
    </w:p>
    <w:p>
      <w:pPr>
        <w:spacing w:after="60"/>
      </w:pPr>
      <w:r>
        <w:rPr>
          <w:rFonts w:ascii="Poppins" w:cs="Poppins" w:eastAsia="Poppins" w:hAnsi="Poppins"/>
          <w:b/>
          <w:bCs/>
          <w:sz w:val="21"/>
          <w:szCs w:val="21"/>
        </w:rPr>
        <w:t xml:space="preserve">Opción C: </w:t>
      </w:r>
      <w:r>
        <w:rPr>
          <w:rFonts w:ascii="Poppins" w:cs="Poppins" w:eastAsia="Poppins" w:hAnsi="Poppins"/>
          <w:sz w:val="21"/>
          <w:szCs w:val="21"/>
        </w:rPr>
        <w:t xml:space="preserve">La guía no plantea un enfoque de atención domiciliaria exclusiva; se enmarca en la atención institucional de primer nivel con posibilidad de referencia.</w:t>
      </w:r>
    </w:p>
    <w:p>
      <w:pPr>
        <w:spacing w:after="60"/>
      </w:pPr>
      <w:r>
        <w:rPr>
          <w:rFonts w:ascii="Poppins" w:cs="Poppins" w:eastAsia="Poppins" w:hAnsi="Poppins"/>
          <w:b/>
          <w:bCs/>
          <w:sz w:val="21"/>
          <w:szCs w:val="21"/>
        </w:rPr>
        <w:t xml:space="preserve">Opción D: </w:t>
      </w:r>
      <w:r>
        <w:rPr>
          <w:rFonts w:ascii="Poppins" w:cs="Poppins" w:eastAsia="Poppins" w:hAnsi="Poppins"/>
          <w:sz w:val="21"/>
          <w:szCs w:val="21"/>
        </w:rPr>
        <w:t xml:space="preserve">La guía no restringe su categoría al segundo nivel; su categoría principal es el primer nivel, con acciones específicas en segundo y tercer nivel.</w:t>
      </w:r>
    </w:p>
    <w:p>
      <w:pPr>
        <w:pBdr>
          <w:bottom w:val="single" w:color="B08D3F" w:sz="6" w:space="4"/>
        </w:pBdr>
        <w:spacing w:after="200" w:before="100"/>
      </w:pPr>
      <w:r>
        <w:rPr>
          <w:rFonts w:ascii="Poppins" w:cs="Poppins" w:eastAsia="Poppins" w:hAnsi="Poppins"/>
          <w:b/>
          <w:bCs/>
          <w:i/>
          <w:iCs/>
          <w:color w:val="B08D3F"/>
          <w:sz w:val="20"/>
          <w:szCs w:val="20"/>
        </w:rPr>
        <w:t xml:space="preserve">Referencia: </w:t>
      </w:r>
      <w:r>
        <w:rPr>
          <w:rFonts w:ascii="Poppins" w:cs="Poppins" w:eastAsia="Poppins" w:hAnsi="Poppins"/>
          <w:i/>
          <w:iCs/>
          <w:color w:val="555555"/>
          <w:sz w:val="20"/>
          <w:szCs w:val="20"/>
        </w:rPr>
        <w:t xml:space="preserve">Descripción de esta guía de práctica clínica (GPC). Categoría de la GPC. Página 7.</w:t>
      </w:r>
    </w:p>
    <w:p>
      <w:pPr>
        <w:shd w:fill="001C31" w:val="clear"/>
        <w:spacing w:after="100" w:before="300"/>
      </w:pPr>
      <w:r>
        <w:rPr>
          <w:rFonts w:ascii="Poppins" w:cs="Poppins" w:eastAsia="Poppins" w:hAnsi="Poppins"/>
          <w:b/>
          <w:bCs/>
          <w:color w:val="FFFFFF"/>
          <w:sz w:val="24"/>
          <w:szCs w:val="24"/>
        </w:rPr>
        <w:t xml:space="preserve">PREGUNTA 4</w:t>
      </w:r>
    </w:p>
    <w:p>
      <w:pPr>
        <w:spacing w:after="120"/>
      </w:pPr>
      <w:r>
        <w:rPr>
          <w:rFonts w:ascii="Poppins" w:cs="Poppins" w:eastAsia="Poppins" w:hAnsi="Poppins"/>
          <w:b/>
          <w:bCs/>
          <w:color w:val="001C31"/>
          <w:sz w:val="21"/>
          <w:szCs w:val="21"/>
        </w:rPr>
        <w:t xml:space="preserve">Pregunta: </w:t>
      </w:r>
      <w:r>
        <w:rPr>
          <w:rFonts w:ascii="Poppins" w:cs="Poppins" w:eastAsia="Poppins" w:hAnsi="Poppins"/>
          <w:sz w:val="21"/>
          <w:szCs w:val="21"/>
        </w:rPr>
        <w:t xml:space="preserve">¿Cuáles son las intervenciones y acciones consideradas por esta GPC, según su descripción general?</w:t>
      </w:r>
    </w:p>
    <w:p>
      <w:pPr>
        <w:spacing w:after="60"/>
      </w:pPr>
      <w:r>
        <w:rPr>
          <w:rFonts w:ascii="Poppins" w:cs="Poppins" w:eastAsia="Poppins" w:hAnsi="Poppins"/>
          <w:b/>
          <w:bCs/>
          <w:color w:val="B08D3F"/>
          <w:sz w:val="21"/>
          <w:szCs w:val="21"/>
        </w:rPr>
        <w:t xml:space="preserve">A. </w:t>
      </w:r>
      <w:r>
        <w:rPr>
          <w:rFonts w:ascii="Poppins" w:cs="Poppins" w:eastAsia="Poppins" w:hAnsi="Poppins"/>
          <w:b/>
          <w:bCs/>
          <w:color w:val="B08D3F"/>
          <w:sz w:val="21"/>
          <w:szCs w:val="21"/>
        </w:rPr>
        <w:t xml:space="preserve">Diagnóstico y tratamiento de infección de vías urinarias en el embarazo, y prevención, detección y tratamiento de complicaciones materno neonatales como pielonefritis, parto pretérmino y recién nacidos de peso bajo</w:t>
      </w:r>
    </w:p>
    <w:p>
      <w:pPr>
        <w:spacing w:after="60"/>
      </w:pPr>
      <w:r>
        <w:rPr>
          <w:rFonts w:ascii="Poppins" w:cs="Poppins" w:eastAsia="Poppins" w:hAnsi="Poppins"/>
          <w:b/>
          <w:bCs/>
          <w:color w:val="000000"/>
          <w:sz w:val="21"/>
          <w:szCs w:val="21"/>
        </w:rPr>
        <w:t xml:space="preserve">B. </w:t>
      </w:r>
      <w:r>
        <w:rPr>
          <w:rFonts w:ascii="Poppins" w:cs="Poppins" w:eastAsia="Poppins" w:hAnsi="Poppins"/>
          <w:b w:val="false"/>
          <w:bCs w:val="false"/>
          <w:color w:val="000000"/>
          <w:sz w:val="21"/>
          <w:szCs w:val="21"/>
        </w:rPr>
        <w:t xml:space="preserve">Únicamente el diagnóstico prenatal de malformaciones congénitas</w:t>
      </w:r>
    </w:p>
    <w:p>
      <w:pPr>
        <w:spacing w:after="60"/>
      </w:pPr>
      <w:r>
        <w:rPr>
          <w:rFonts w:ascii="Poppins" w:cs="Poppins" w:eastAsia="Poppins" w:hAnsi="Poppins"/>
          <w:b/>
          <w:bCs/>
          <w:color w:val="000000"/>
          <w:sz w:val="21"/>
          <w:szCs w:val="21"/>
        </w:rPr>
        <w:t xml:space="preserve">C. </w:t>
      </w:r>
      <w:r>
        <w:rPr>
          <w:rFonts w:ascii="Poppins" w:cs="Poppins" w:eastAsia="Poppins" w:hAnsi="Poppins"/>
          <w:b w:val="false"/>
          <w:bCs w:val="false"/>
          <w:color w:val="000000"/>
          <w:sz w:val="21"/>
          <w:szCs w:val="21"/>
        </w:rPr>
        <w:t xml:space="preserve">Exclusivamente el manejo quirúrgico de las complicaciones renales</w:t>
      </w:r>
    </w:p>
    <w:p>
      <w:pPr>
        <w:spacing w:after="60"/>
      </w:pPr>
      <w:r>
        <w:rPr>
          <w:rFonts w:ascii="Poppins" w:cs="Poppins" w:eastAsia="Poppins" w:hAnsi="Poppins"/>
          <w:b/>
          <w:bCs/>
          <w:color w:val="000000"/>
          <w:sz w:val="21"/>
          <w:szCs w:val="21"/>
        </w:rPr>
        <w:t xml:space="preserve">D. </w:t>
      </w:r>
      <w:r>
        <w:rPr>
          <w:rFonts w:ascii="Poppins" w:cs="Poppins" w:eastAsia="Poppins" w:hAnsi="Poppins"/>
          <w:b w:val="false"/>
          <w:bCs w:val="false"/>
          <w:color w:val="000000"/>
          <w:sz w:val="21"/>
          <w:szCs w:val="21"/>
        </w:rPr>
        <w:t xml:space="preserve">Solamente la vacunación materna contra infecciones urinarias</w:t>
      </w:r>
    </w:p>
    <w:p>
      <w:pPr>
        <w:spacing w:after="100" w:before="120"/>
      </w:pPr>
      <w:r>
        <w:rPr>
          <w:rFonts w:ascii="Poppins" w:cs="Poppins" w:eastAsia="Poppins" w:hAnsi="Poppins"/>
          <w:b/>
          <w:bCs/>
          <w:color w:val="001C31"/>
          <w:sz w:val="21"/>
          <w:szCs w:val="21"/>
        </w:rPr>
        <w:t xml:space="preserve">Respuesta correcta: A</w:t>
      </w:r>
    </w:p>
    <w:p>
      <w:pPr>
        <w:spacing w:after="60"/>
      </w:pPr>
      <w:r>
        <w:rPr>
          <w:rFonts w:ascii="Poppins" w:cs="Poppins" w:eastAsia="Poppins" w:hAnsi="Poppins"/>
          <w:b/>
          <w:bCs/>
          <w:color w:val="001C31"/>
          <w:sz w:val="21"/>
          <w:szCs w:val="21"/>
          <w:u w:val="single"/>
        </w:rPr>
        <w:t xml:space="preserve">Justificación de la respuesta correcta</w:t>
      </w:r>
    </w:p>
    <w:p>
      <w:pPr>
        <w:spacing w:after="150"/>
      </w:pPr>
      <w:r>
        <w:rPr>
          <w:rFonts w:ascii="Poppins" w:cs="Poppins" w:eastAsia="Poppins" w:hAnsi="Poppins"/>
          <w:sz w:val="21"/>
          <w:szCs w:val="21"/>
        </w:rPr>
        <w:t xml:space="preserve">La guía establece que las intervenciones y acciones consideradas son el diagnóstico y tratamiento de infección de vías urinarias en el embarazo, así como la prevención, detección y tratamiento de complicaciones materno neonatales: pielonefritis, parto pretérmino y recién nacidos de peso bajo.</w:t>
      </w:r>
    </w:p>
    <w:p>
      <w:pPr>
        <w:spacing w:after="60"/>
      </w:pPr>
      <w:r>
        <w:rPr>
          <w:rFonts w:ascii="Poppins" w:cs="Poppins" w:eastAsia="Poppins" w:hAnsi="Poppins"/>
          <w:b/>
          <w:bCs/>
          <w:color w:val="001C31"/>
          <w:sz w:val="21"/>
          <w:szCs w:val="21"/>
          <w:u w:val="single"/>
        </w:rPr>
        <w:t xml:space="preserve">Justificación de las opciones incorrectas</w:t>
      </w:r>
    </w:p>
    <w:p>
      <w:pPr>
        <w:spacing w:after="60"/>
      </w:pPr>
      <w:r>
        <w:rPr>
          <w:rFonts w:ascii="Poppins" w:cs="Poppins" w:eastAsia="Poppins" w:hAnsi="Poppins"/>
          <w:b/>
          <w:bCs/>
          <w:sz w:val="21"/>
          <w:szCs w:val="21"/>
        </w:rPr>
        <w:t xml:space="preserve">Opción B: </w:t>
      </w:r>
      <w:r>
        <w:rPr>
          <w:rFonts w:ascii="Poppins" w:cs="Poppins" w:eastAsia="Poppins" w:hAnsi="Poppins"/>
          <w:sz w:val="21"/>
          <w:szCs w:val="21"/>
        </w:rPr>
        <w:t xml:space="preserve">El diagnóstico prenatal de malformaciones congénitas no forma parte de las intervenciones consideradas por esta guía, que se centra en la infección urinaria y sus complicaciones.</w:t>
      </w:r>
    </w:p>
    <w:p>
      <w:pPr>
        <w:spacing w:after="60"/>
      </w:pPr>
      <w:r>
        <w:rPr>
          <w:rFonts w:ascii="Poppins" w:cs="Poppins" w:eastAsia="Poppins" w:hAnsi="Poppins"/>
          <w:b/>
          <w:bCs/>
          <w:sz w:val="21"/>
          <w:szCs w:val="21"/>
        </w:rPr>
        <w:t xml:space="preserve">Opción C: </w:t>
      </w:r>
      <w:r>
        <w:rPr>
          <w:rFonts w:ascii="Poppins" w:cs="Poppins" w:eastAsia="Poppins" w:hAnsi="Poppins"/>
          <w:sz w:val="21"/>
          <w:szCs w:val="21"/>
        </w:rPr>
        <w:t xml:space="preserve">La guía no contempla manejo quirúrgico de complicaciones renales entre sus intervenciones y acciones consideradas.</w:t>
      </w:r>
    </w:p>
    <w:p>
      <w:pPr>
        <w:spacing w:after="60"/>
      </w:pPr>
      <w:r>
        <w:rPr>
          <w:rFonts w:ascii="Poppins" w:cs="Poppins" w:eastAsia="Poppins" w:hAnsi="Poppins"/>
          <w:b/>
          <w:bCs/>
          <w:sz w:val="21"/>
          <w:szCs w:val="21"/>
        </w:rPr>
        <w:t xml:space="preserve">Opción D: </w:t>
      </w:r>
      <w:r>
        <w:rPr>
          <w:rFonts w:ascii="Poppins" w:cs="Poppins" w:eastAsia="Poppins" w:hAnsi="Poppins"/>
          <w:sz w:val="21"/>
          <w:szCs w:val="21"/>
        </w:rPr>
        <w:t xml:space="preserve">No existe ninguna vacuna mencionada en la guía; las intervenciones descritas son de diagnóstico, tratamiento antibiótico y prevención de complicaciones.</w:t>
      </w:r>
    </w:p>
    <w:p>
      <w:pPr>
        <w:pBdr>
          <w:bottom w:val="single" w:color="B08D3F" w:sz="6" w:space="4"/>
        </w:pBdr>
        <w:spacing w:after="200" w:before="100"/>
      </w:pPr>
      <w:r>
        <w:rPr>
          <w:rFonts w:ascii="Poppins" w:cs="Poppins" w:eastAsia="Poppins" w:hAnsi="Poppins"/>
          <w:b/>
          <w:bCs/>
          <w:i/>
          <w:iCs/>
          <w:color w:val="B08D3F"/>
          <w:sz w:val="20"/>
          <w:szCs w:val="20"/>
        </w:rPr>
        <w:t xml:space="preserve">Referencia: </w:t>
      </w:r>
      <w:r>
        <w:rPr>
          <w:rFonts w:ascii="Poppins" w:cs="Poppins" w:eastAsia="Poppins" w:hAnsi="Poppins"/>
          <w:i/>
          <w:iCs/>
          <w:color w:val="555555"/>
          <w:sz w:val="20"/>
          <w:szCs w:val="20"/>
        </w:rPr>
        <w:t xml:space="preserve">Descripción de esta guía de práctica clínica (GPC). Intervenciones y acciones consideradas. Página 7.</w:t>
      </w:r>
    </w:p>
    <w:p>
      <w:pPr>
        <w:shd w:fill="001C31" w:val="clear"/>
        <w:spacing w:after="100" w:before="300"/>
      </w:pPr>
      <w:r>
        <w:rPr>
          <w:rFonts w:ascii="Poppins" w:cs="Poppins" w:eastAsia="Poppins" w:hAnsi="Poppins"/>
          <w:b/>
          <w:bCs/>
          <w:color w:val="FFFFFF"/>
          <w:sz w:val="24"/>
          <w:szCs w:val="24"/>
        </w:rPr>
        <w:t xml:space="preserve">PREGUNTA 5</w:t>
      </w:r>
    </w:p>
    <w:p>
      <w:pPr>
        <w:spacing w:after="120"/>
      </w:pPr>
      <w:r>
        <w:rPr>
          <w:rFonts w:ascii="Poppins" w:cs="Poppins" w:eastAsia="Poppins" w:hAnsi="Poppins"/>
          <w:b/>
          <w:bCs/>
          <w:color w:val="001C31"/>
          <w:sz w:val="21"/>
          <w:szCs w:val="21"/>
        </w:rPr>
        <w:t xml:space="preserve">Pregunta: </w:t>
      </w:r>
      <w:r>
        <w:rPr>
          <w:rFonts w:ascii="Poppins" w:cs="Poppins" w:eastAsia="Poppins" w:hAnsi="Poppins"/>
          <w:sz w:val="21"/>
          <w:szCs w:val="21"/>
        </w:rPr>
        <w:t xml:space="preserve">Según la sección 'Preguntas que responde esta guía de práctica clínica', ¿cuál de las siguientes es una de las preguntas clínicas que la GPC busca responder?</w:t>
      </w:r>
    </w:p>
    <w:p>
      <w:pPr>
        <w:spacing w:after="60"/>
      </w:pPr>
      <w:r>
        <w:rPr>
          <w:rFonts w:ascii="Poppins" w:cs="Poppins" w:eastAsia="Poppins" w:hAnsi="Poppins"/>
          <w:b/>
          <w:bCs/>
          <w:color w:val="B08D3F"/>
          <w:sz w:val="21"/>
          <w:szCs w:val="21"/>
        </w:rPr>
        <w:t xml:space="preserve">A. </w:t>
      </w:r>
      <w:r>
        <w:rPr>
          <w:rFonts w:ascii="Poppins" w:cs="Poppins" w:eastAsia="Poppins" w:hAnsi="Poppins"/>
          <w:b/>
          <w:bCs/>
          <w:color w:val="B08D3F"/>
          <w:sz w:val="21"/>
          <w:szCs w:val="21"/>
        </w:rPr>
        <w:t xml:space="preserve">¿Hay suficiente evidencia para indicar el tamizaje de detección de bacteriuria asintomática en la atención prenatal?</w:t>
      </w:r>
    </w:p>
    <w:p>
      <w:pPr>
        <w:spacing w:after="60"/>
      </w:pPr>
      <w:r>
        <w:rPr>
          <w:rFonts w:ascii="Poppins" w:cs="Poppins" w:eastAsia="Poppins" w:hAnsi="Poppins"/>
          <w:b/>
          <w:bCs/>
          <w:color w:val="000000"/>
          <w:sz w:val="21"/>
          <w:szCs w:val="21"/>
        </w:rPr>
        <w:t xml:space="preserve">B. </w:t>
      </w:r>
      <w:r>
        <w:rPr>
          <w:rFonts w:ascii="Poppins" w:cs="Poppins" w:eastAsia="Poppins" w:hAnsi="Poppins"/>
          <w:b w:val="false"/>
          <w:bCs w:val="false"/>
          <w:color w:val="000000"/>
          <w:sz w:val="21"/>
          <w:szCs w:val="21"/>
        </w:rPr>
        <w:t xml:space="preserve">¿Cuál es el manejo adecuado de la hipertensión gestacional severa?</w:t>
      </w:r>
    </w:p>
    <w:p>
      <w:pPr>
        <w:spacing w:after="60"/>
      </w:pPr>
      <w:r>
        <w:rPr>
          <w:rFonts w:ascii="Poppins" w:cs="Poppins" w:eastAsia="Poppins" w:hAnsi="Poppins"/>
          <w:b/>
          <w:bCs/>
          <w:color w:val="000000"/>
          <w:sz w:val="21"/>
          <w:szCs w:val="21"/>
        </w:rPr>
        <w:t xml:space="preserve">C. </w:t>
      </w:r>
      <w:r>
        <w:rPr>
          <w:rFonts w:ascii="Poppins" w:cs="Poppins" w:eastAsia="Poppins" w:hAnsi="Poppins"/>
          <w:b w:val="false"/>
          <w:bCs w:val="false"/>
          <w:color w:val="000000"/>
          <w:sz w:val="21"/>
          <w:szCs w:val="21"/>
        </w:rPr>
        <w:t xml:space="preserve">¿Cuáles son los criterios diagnósticos de diabetes gestacional?</w:t>
      </w:r>
    </w:p>
    <w:p>
      <w:pPr>
        <w:spacing w:after="60"/>
      </w:pPr>
      <w:r>
        <w:rPr>
          <w:rFonts w:ascii="Poppins" w:cs="Poppins" w:eastAsia="Poppins" w:hAnsi="Poppins"/>
          <w:b/>
          <w:bCs/>
          <w:color w:val="000000"/>
          <w:sz w:val="21"/>
          <w:szCs w:val="21"/>
        </w:rPr>
        <w:t xml:space="preserve">D. </w:t>
      </w:r>
      <w:r>
        <w:rPr>
          <w:rFonts w:ascii="Poppins" w:cs="Poppins" w:eastAsia="Poppins" w:hAnsi="Poppins"/>
          <w:b w:val="false"/>
          <w:bCs w:val="false"/>
          <w:color w:val="000000"/>
          <w:sz w:val="21"/>
          <w:szCs w:val="21"/>
        </w:rPr>
        <w:t xml:space="preserve">¿Cuál es el esquema de vacunación antitetánica en el embarazo?</w:t>
      </w:r>
    </w:p>
    <w:p>
      <w:pPr>
        <w:spacing w:after="100" w:before="120"/>
      </w:pPr>
      <w:r>
        <w:rPr>
          <w:rFonts w:ascii="Poppins" w:cs="Poppins" w:eastAsia="Poppins" w:hAnsi="Poppins"/>
          <w:b/>
          <w:bCs/>
          <w:color w:val="001C31"/>
          <w:sz w:val="21"/>
          <w:szCs w:val="21"/>
        </w:rPr>
        <w:t xml:space="preserve">Respuesta correcta: A</w:t>
      </w:r>
    </w:p>
    <w:p>
      <w:pPr>
        <w:spacing w:after="60"/>
      </w:pPr>
      <w:r>
        <w:rPr>
          <w:rFonts w:ascii="Poppins" w:cs="Poppins" w:eastAsia="Poppins" w:hAnsi="Poppins"/>
          <w:b/>
          <w:bCs/>
          <w:color w:val="001C31"/>
          <w:sz w:val="21"/>
          <w:szCs w:val="21"/>
          <w:u w:val="single"/>
        </w:rPr>
        <w:t xml:space="preserve">Justificación de la respuesta correcta</w:t>
      </w:r>
    </w:p>
    <w:p>
      <w:pPr>
        <w:spacing w:after="150"/>
      </w:pPr>
      <w:r>
        <w:rPr>
          <w:rFonts w:ascii="Poppins" w:cs="Poppins" w:eastAsia="Poppins" w:hAnsi="Poppins"/>
          <w:sz w:val="21"/>
          <w:szCs w:val="21"/>
        </w:rPr>
        <w:t xml:space="preserve">Entre las preguntas que responde esta GPC se incluye explícitamente: '¿Hay suficiente evidencia para indicar el tamizaje de detección de bacteriuria asintomática en la atención prenatal?'.</w:t>
      </w:r>
    </w:p>
    <w:p>
      <w:pPr>
        <w:spacing w:after="60"/>
      </w:pPr>
      <w:r>
        <w:rPr>
          <w:rFonts w:ascii="Poppins" w:cs="Poppins" w:eastAsia="Poppins" w:hAnsi="Poppins"/>
          <w:b/>
          <w:bCs/>
          <w:color w:val="001C31"/>
          <w:sz w:val="21"/>
          <w:szCs w:val="21"/>
          <w:u w:val="single"/>
        </w:rPr>
        <w:t xml:space="preserve">Justificación de las opciones incorrectas</w:t>
      </w:r>
    </w:p>
    <w:p>
      <w:pPr>
        <w:spacing w:after="60"/>
      </w:pPr>
      <w:r>
        <w:rPr>
          <w:rFonts w:ascii="Poppins" w:cs="Poppins" w:eastAsia="Poppins" w:hAnsi="Poppins"/>
          <w:b/>
          <w:bCs/>
          <w:sz w:val="21"/>
          <w:szCs w:val="21"/>
        </w:rPr>
        <w:t xml:space="preserve">Opción B: </w:t>
      </w:r>
      <w:r>
        <w:rPr>
          <w:rFonts w:ascii="Poppins" w:cs="Poppins" w:eastAsia="Poppins" w:hAnsi="Poppins"/>
          <w:sz w:val="21"/>
          <w:szCs w:val="21"/>
        </w:rPr>
        <w:t xml:space="preserve">El manejo de la hipertensión gestacional no es una de las preguntas clínicas que responde esta guía, que se centra exclusivamente en la infección de vías urinarias.</w:t>
      </w:r>
    </w:p>
    <w:p>
      <w:pPr>
        <w:spacing w:after="60"/>
      </w:pPr>
      <w:r>
        <w:rPr>
          <w:rFonts w:ascii="Poppins" w:cs="Poppins" w:eastAsia="Poppins" w:hAnsi="Poppins"/>
          <w:b/>
          <w:bCs/>
          <w:sz w:val="21"/>
          <w:szCs w:val="21"/>
        </w:rPr>
        <w:t xml:space="preserve">Opción C: </w:t>
      </w:r>
      <w:r>
        <w:rPr>
          <w:rFonts w:ascii="Poppins" w:cs="Poppins" w:eastAsia="Poppins" w:hAnsi="Poppins"/>
          <w:sz w:val="21"/>
          <w:szCs w:val="21"/>
        </w:rPr>
        <w:t xml:space="preserve">Los criterios diagnósticos de diabetes gestacional no forman parte de las preguntas clínicas abordadas por esta GPC específica sobre IVU.</w:t>
      </w:r>
    </w:p>
    <w:p>
      <w:pPr>
        <w:spacing w:after="60"/>
      </w:pPr>
      <w:r>
        <w:rPr>
          <w:rFonts w:ascii="Poppins" w:cs="Poppins" w:eastAsia="Poppins" w:hAnsi="Poppins"/>
          <w:b/>
          <w:bCs/>
          <w:sz w:val="21"/>
          <w:szCs w:val="21"/>
        </w:rPr>
        <w:t xml:space="preserve">Opción D: </w:t>
      </w:r>
      <w:r>
        <w:rPr>
          <w:rFonts w:ascii="Poppins" w:cs="Poppins" w:eastAsia="Poppins" w:hAnsi="Poppins"/>
          <w:sz w:val="21"/>
          <w:szCs w:val="21"/>
        </w:rPr>
        <w:t xml:space="preserve">El esquema de vacunación antitetánica no se menciona entre las preguntas clínicas que responde esta guía.</w:t>
      </w:r>
    </w:p>
    <w:p>
      <w:pPr>
        <w:pBdr>
          <w:bottom w:val="single" w:color="B08D3F" w:sz="6" w:space="4"/>
        </w:pBdr>
        <w:spacing w:after="200" w:before="100"/>
      </w:pPr>
      <w:r>
        <w:rPr>
          <w:rFonts w:ascii="Poppins" w:cs="Poppins" w:eastAsia="Poppins" w:hAnsi="Poppins"/>
          <w:b/>
          <w:bCs/>
          <w:i/>
          <w:iCs/>
          <w:color w:val="B08D3F"/>
          <w:sz w:val="20"/>
          <w:szCs w:val="20"/>
        </w:rPr>
        <w:t xml:space="preserve">Referencia: </w:t>
      </w:r>
      <w:r>
        <w:rPr>
          <w:rFonts w:ascii="Poppins" w:cs="Poppins" w:eastAsia="Poppins" w:hAnsi="Poppins"/>
          <w:i/>
          <w:iCs/>
          <w:color w:val="555555"/>
          <w:sz w:val="20"/>
          <w:szCs w:val="20"/>
        </w:rPr>
        <w:t xml:space="preserve">Preguntas que responde esta guía de práctica clínica. Página 9.</w:t>
      </w:r>
    </w:p>
    <w:p>
      <w:pPr>
        <w:shd w:fill="001C31" w:val="clear"/>
        <w:spacing w:after="100" w:before="300"/>
      </w:pPr>
      <w:r>
        <w:rPr>
          <w:rFonts w:ascii="Poppins" w:cs="Poppins" w:eastAsia="Poppins" w:hAnsi="Poppins"/>
          <w:b/>
          <w:bCs/>
          <w:color w:val="FFFFFF"/>
          <w:sz w:val="24"/>
          <w:szCs w:val="24"/>
        </w:rPr>
        <w:t xml:space="preserve">PREGUNTA 6</w:t>
      </w:r>
    </w:p>
    <w:p>
      <w:pPr>
        <w:spacing w:after="120"/>
      </w:pPr>
      <w:r>
        <w:rPr>
          <w:rFonts w:ascii="Poppins" w:cs="Poppins" w:eastAsia="Poppins" w:hAnsi="Poppins"/>
          <w:b/>
          <w:bCs/>
          <w:color w:val="001C31"/>
          <w:sz w:val="21"/>
          <w:szCs w:val="21"/>
        </w:rPr>
        <w:t xml:space="preserve">Pregunta: </w:t>
      </w:r>
      <w:r>
        <w:rPr>
          <w:rFonts w:ascii="Poppins" w:cs="Poppins" w:eastAsia="Poppins" w:hAnsi="Poppins"/>
          <w:sz w:val="21"/>
          <w:szCs w:val="21"/>
        </w:rPr>
        <w:t xml:space="preserve">Según los objetivos específicos de la GPC, ¿cuál de los siguientes corresponde textualmente a uno de ellos?</w:t>
      </w:r>
    </w:p>
    <w:p>
      <w:pPr>
        <w:spacing w:after="60"/>
      </w:pPr>
      <w:r>
        <w:rPr>
          <w:rFonts w:ascii="Poppins" w:cs="Poppins" w:eastAsia="Poppins" w:hAnsi="Poppins"/>
          <w:b/>
          <w:bCs/>
          <w:color w:val="B08D3F"/>
          <w:sz w:val="21"/>
          <w:szCs w:val="21"/>
        </w:rPr>
        <w:t xml:space="preserve">A. </w:t>
      </w:r>
      <w:r>
        <w:rPr>
          <w:rFonts w:ascii="Poppins" w:cs="Poppins" w:eastAsia="Poppins" w:hAnsi="Poppins"/>
          <w:b/>
          <w:bCs/>
          <w:color w:val="B08D3F"/>
          <w:sz w:val="21"/>
          <w:szCs w:val="21"/>
        </w:rPr>
        <w:t xml:space="preserve">Identificar los signos y síntomas de gravedad para referir de manera oportuna y segura a las pacientes a los centros de mayor capacidad resolutiva</w:t>
      </w:r>
    </w:p>
    <w:p>
      <w:pPr>
        <w:spacing w:after="60"/>
      </w:pPr>
      <w:r>
        <w:rPr>
          <w:rFonts w:ascii="Poppins" w:cs="Poppins" w:eastAsia="Poppins" w:hAnsi="Poppins"/>
          <w:b/>
          <w:bCs/>
          <w:color w:val="000000"/>
          <w:sz w:val="21"/>
          <w:szCs w:val="21"/>
        </w:rPr>
        <w:t xml:space="preserve">B. </w:t>
      </w:r>
      <w:r>
        <w:rPr>
          <w:rFonts w:ascii="Poppins" w:cs="Poppins" w:eastAsia="Poppins" w:hAnsi="Poppins"/>
          <w:b w:val="false"/>
          <w:bCs w:val="false"/>
          <w:color w:val="000000"/>
          <w:sz w:val="21"/>
          <w:szCs w:val="21"/>
        </w:rPr>
        <w:t xml:space="preserve">Erradicar por completo la incidencia de infección urinaria en el embarazo a nivel nacional</w:t>
      </w:r>
    </w:p>
    <w:p>
      <w:pPr>
        <w:spacing w:after="60"/>
      </w:pPr>
      <w:r>
        <w:rPr>
          <w:rFonts w:ascii="Poppins" w:cs="Poppins" w:eastAsia="Poppins" w:hAnsi="Poppins"/>
          <w:b/>
          <w:bCs/>
          <w:color w:val="000000"/>
          <w:sz w:val="21"/>
          <w:szCs w:val="21"/>
        </w:rPr>
        <w:t xml:space="preserve">C. </w:t>
      </w:r>
      <w:r>
        <w:rPr>
          <w:rFonts w:ascii="Poppins" w:cs="Poppins" w:eastAsia="Poppins" w:hAnsi="Poppins"/>
          <w:b w:val="false"/>
          <w:bCs w:val="false"/>
          <w:color w:val="000000"/>
          <w:sz w:val="21"/>
          <w:szCs w:val="21"/>
        </w:rPr>
        <w:t xml:space="preserve">Establecer un protocolo único de manejo hospitalario obligatorio para toda IVU, sin distinción de gravedad</w:t>
      </w:r>
    </w:p>
    <w:p>
      <w:pPr>
        <w:spacing w:after="60"/>
      </w:pPr>
      <w:r>
        <w:rPr>
          <w:rFonts w:ascii="Poppins" w:cs="Poppins" w:eastAsia="Poppins" w:hAnsi="Poppins"/>
          <w:b/>
          <w:bCs/>
          <w:color w:val="000000"/>
          <w:sz w:val="21"/>
          <w:szCs w:val="21"/>
        </w:rPr>
        <w:t xml:space="preserve">D. </w:t>
      </w:r>
      <w:r>
        <w:rPr>
          <w:rFonts w:ascii="Poppins" w:cs="Poppins" w:eastAsia="Poppins" w:hAnsi="Poppins"/>
          <w:b w:val="false"/>
          <w:bCs w:val="false"/>
          <w:color w:val="000000"/>
          <w:sz w:val="21"/>
          <w:szCs w:val="21"/>
        </w:rPr>
        <w:t xml:space="preserve">Determinar el esquema de anticoncepción posparto más adecuado</w:t>
      </w:r>
    </w:p>
    <w:p>
      <w:pPr>
        <w:spacing w:after="100" w:before="120"/>
      </w:pPr>
      <w:r>
        <w:rPr>
          <w:rFonts w:ascii="Poppins" w:cs="Poppins" w:eastAsia="Poppins" w:hAnsi="Poppins"/>
          <w:b/>
          <w:bCs/>
          <w:color w:val="001C31"/>
          <w:sz w:val="21"/>
          <w:szCs w:val="21"/>
        </w:rPr>
        <w:t xml:space="preserve">Respuesta correcta: A</w:t>
      </w:r>
    </w:p>
    <w:p>
      <w:pPr>
        <w:spacing w:after="60"/>
      </w:pPr>
      <w:r>
        <w:rPr>
          <w:rFonts w:ascii="Poppins" w:cs="Poppins" w:eastAsia="Poppins" w:hAnsi="Poppins"/>
          <w:b/>
          <w:bCs/>
          <w:color w:val="001C31"/>
          <w:sz w:val="21"/>
          <w:szCs w:val="21"/>
          <w:u w:val="single"/>
        </w:rPr>
        <w:t xml:space="preserve">Justificación de la respuesta correcta</w:t>
      </w:r>
    </w:p>
    <w:p>
      <w:pPr>
        <w:spacing w:after="150"/>
      </w:pPr>
      <w:r>
        <w:rPr>
          <w:rFonts w:ascii="Poppins" w:cs="Poppins" w:eastAsia="Poppins" w:hAnsi="Poppins"/>
          <w:sz w:val="21"/>
          <w:szCs w:val="21"/>
        </w:rPr>
        <w:t xml:space="preserve">Los objetivos específicos de la guía incluyen: señalar las medidas de prevención efectivas y factibles, fomentar el uso de pruebas diagnósticas eficaces disponibles en Ecuador, e identificar los signos y síntomas de gravedad para referir de manera oportuna y segura a las pacientes a los centros de mayor capacidad resolutiva.</w:t>
      </w:r>
    </w:p>
    <w:p>
      <w:pPr>
        <w:spacing w:after="60"/>
      </w:pPr>
      <w:r>
        <w:rPr>
          <w:rFonts w:ascii="Poppins" w:cs="Poppins" w:eastAsia="Poppins" w:hAnsi="Poppins"/>
          <w:b/>
          <w:bCs/>
          <w:color w:val="001C31"/>
          <w:sz w:val="21"/>
          <w:szCs w:val="21"/>
          <w:u w:val="single"/>
        </w:rPr>
        <w:t xml:space="preserve">Justificación de las opciones incorrectas</w:t>
      </w:r>
    </w:p>
    <w:p>
      <w:pPr>
        <w:spacing w:after="60"/>
      </w:pPr>
      <w:r>
        <w:rPr>
          <w:rFonts w:ascii="Poppins" w:cs="Poppins" w:eastAsia="Poppins" w:hAnsi="Poppins"/>
          <w:b/>
          <w:bCs/>
          <w:sz w:val="21"/>
          <w:szCs w:val="21"/>
        </w:rPr>
        <w:t xml:space="preserve">Opción B: </w:t>
      </w:r>
      <w:r>
        <w:rPr>
          <w:rFonts w:ascii="Poppins" w:cs="Poppins" w:eastAsia="Poppins" w:hAnsi="Poppins"/>
          <w:sz w:val="21"/>
          <w:szCs w:val="21"/>
        </w:rPr>
        <w:t xml:space="preserve">La guía no plantea como objetivo la erradicación completa de la IVU en el embarazo; sus objetivos son de prevención, diagnóstico oportuno y referencia adecuada.</w:t>
      </w:r>
    </w:p>
    <w:p>
      <w:pPr>
        <w:spacing w:after="60"/>
      </w:pPr>
      <w:r>
        <w:rPr>
          <w:rFonts w:ascii="Poppins" w:cs="Poppins" w:eastAsia="Poppins" w:hAnsi="Poppins"/>
          <w:b/>
          <w:bCs/>
          <w:sz w:val="21"/>
          <w:szCs w:val="21"/>
        </w:rPr>
        <w:t xml:space="preserve">Opción C: </w:t>
      </w:r>
      <w:r>
        <w:rPr>
          <w:rFonts w:ascii="Poppins" w:cs="Poppins" w:eastAsia="Poppins" w:hAnsi="Poppins"/>
          <w:sz w:val="21"/>
          <w:szCs w:val="21"/>
        </w:rPr>
        <w:t xml:space="preserve">La guía no establece un protocolo único obligatorio de manejo hospitalario para toda IVU; distingue el manejo ambulatorio de BA y cistitis del manejo referido de pielonefritis y complicaciones.</w:t>
      </w:r>
    </w:p>
    <w:p>
      <w:pPr>
        <w:spacing w:after="60"/>
      </w:pPr>
      <w:r>
        <w:rPr>
          <w:rFonts w:ascii="Poppins" w:cs="Poppins" w:eastAsia="Poppins" w:hAnsi="Poppins"/>
          <w:b/>
          <w:bCs/>
          <w:sz w:val="21"/>
          <w:szCs w:val="21"/>
        </w:rPr>
        <w:t xml:space="preserve">Opción D: </w:t>
      </w:r>
      <w:r>
        <w:rPr>
          <w:rFonts w:ascii="Poppins" w:cs="Poppins" w:eastAsia="Poppins" w:hAnsi="Poppins"/>
          <w:sz w:val="21"/>
          <w:szCs w:val="21"/>
        </w:rPr>
        <w:t xml:space="preserve">La anticoncepción posparto no se menciona entre los objetivos específicos de esta guía, centrada en la infección de vías urinarias.</w:t>
      </w:r>
    </w:p>
    <w:p>
      <w:pPr>
        <w:pBdr>
          <w:bottom w:val="single" w:color="B08D3F" w:sz="6" w:space="4"/>
        </w:pBdr>
        <w:spacing w:after="200" w:before="100"/>
      </w:pPr>
      <w:r>
        <w:rPr>
          <w:rFonts w:ascii="Poppins" w:cs="Poppins" w:eastAsia="Poppins" w:hAnsi="Poppins"/>
          <w:b/>
          <w:bCs/>
          <w:i/>
          <w:iCs/>
          <w:color w:val="B08D3F"/>
          <w:sz w:val="20"/>
          <w:szCs w:val="20"/>
        </w:rPr>
        <w:t xml:space="preserve">Referencia: </w:t>
      </w:r>
      <w:r>
        <w:rPr>
          <w:rFonts w:ascii="Poppins" w:cs="Poppins" w:eastAsia="Poppins" w:hAnsi="Poppins"/>
          <w:i/>
          <w:iCs/>
          <w:color w:val="555555"/>
          <w:sz w:val="20"/>
          <w:szCs w:val="20"/>
        </w:rPr>
        <w:t xml:space="preserve">Objetivos específicos. Página 14.</w:t>
      </w:r>
    </w:p>
    <w:p>
      <w:pPr>
        <w:shd w:fill="001C31" w:val="clear"/>
        <w:spacing w:after="100" w:before="300"/>
      </w:pPr>
      <w:r>
        <w:rPr>
          <w:rFonts w:ascii="Poppins" w:cs="Poppins" w:eastAsia="Poppins" w:hAnsi="Poppins"/>
          <w:b/>
          <w:bCs/>
          <w:color w:val="FFFFFF"/>
          <w:sz w:val="24"/>
          <w:szCs w:val="24"/>
        </w:rPr>
        <w:t xml:space="preserve">PREGUNTA 7</w:t>
      </w:r>
    </w:p>
    <w:p>
      <w:pPr>
        <w:spacing w:after="120"/>
      </w:pPr>
      <w:r>
        <w:rPr>
          <w:rFonts w:ascii="Poppins" w:cs="Poppins" w:eastAsia="Poppins" w:hAnsi="Poppins"/>
          <w:b/>
          <w:bCs/>
          <w:color w:val="001C31"/>
          <w:sz w:val="21"/>
          <w:szCs w:val="21"/>
        </w:rPr>
        <w:t xml:space="preserve">Pregunta: </w:t>
      </w:r>
      <w:r>
        <w:rPr>
          <w:rFonts w:ascii="Poppins" w:cs="Poppins" w:eastAsia="Poppins" w:hAnsi="Poppins"/>
          <w:sz w:val="21"/>
          <w:szCs w:val="21"/>
        </w:rPr>
        <w:t xml:space="preserve">Según la introducción de la GPC, ¿cuál es el patógeno más frecuentemente aislado en las IVU durante el embarazo?</w:t>
      </w:r>
    </w:p>
    <w:p>
      <w:pPr>
        <w:spacing w:after="60"/>
      </w:pPr>
      <w:r>
        <w:rPr>
          <w:rFonts w:ascii="Poppins" w:cs="Poppins" w:eastAsia="Poppins" w:hAnsi="Poppins"/>
          <w:b/>
          <w:bCs/>
          <w:color w:val="B08D3F"/>
          <w:sz w:val="21"/>
          <w:szCs w:val="21"/>
        </w:rPr>
        <w:t xml:space="preserve">A. </w:t>
      </w:r>
      <w:r>
        <w:rPr>
          <w:rFonts w:ascii="Poppins" w:cs="Poppins" w:eastAsia="Poppins" w:hAnsi="Poppins"/>
          <w:b/>
          <w:bCs/>
          <w:color w:val="B08D3F"/>
          <w:sz w:val="21"/>
          <w:szCs w:val="21"/>
        </w:rPr>
        <w:t xml:space="preserve">Escherichia coli</w:t>
      </w:r>
    </w:p>
    <w:p>
      <w:pPr>
        <w:spacing w:after="60"/>
      </w:pPr>
      <w:r>
        <w:rPr>
          <w:rFonts w:ascii="Poppins" w:cs="Poppins" w:eastAsia="Poppins" w:hAnsi="Poppins"/>
          <w:b/>
          <w:bCs/>
          <w:color w:val="000000"/>
          <w:sz w:val="21"/>
          <w:szCs w:val="21"/>
        </w:rPr>
        <w:t xml:space="preserve">B. </w:t>
      </w:r>
      <w:r>
        <w:rPr>
          <w:rFonts w:ascii="Poppins" w:cs="Poppins" w:eastAsia="Poppins" w:hAnsi="Poppins"/>
          <w:b w:val="false"/>
          <w:bCs w:val="false"/>
          <w:color w:val="000000"/>
          <w:sz w:val="21"/>
          <w:szCs w:val="21"/>
        </w:rPr>
        <w:t xml:space="preserve">Klebsiella pneumoniae</w:t>
      </w:r>
    </w:p>
    <w:p>
      <w:pPr>
        <w:spacing w:after="60"/>
      </w:pPr>
      <w:r>
        <w:rPr>
          <w:rFonts w:ascii="Poppins" w:cs="Poppins" w:eastAsia="Poppins" w:hAnsi="Poppins"/>
          <w:b/>
          <w:bCs/>
          <w:color w:val="000000"/>
          <w:sz w:val="21"/>
          <w:szCs w:val="21"/>
        </w:rPr>
        <w:t xml:space="preserve">C. </w:t>
      </w:r>
      <w:r>
        <w:rPr>
          <w:rFonts w:ascii="Poppins" w:cs="Poppins" w:eastAsia="Poppins" w:hAnsi="Poppins"/>
          <w:b w:val="false"/>
          <w:bCs w:val="false"/>
          <w:color w:val="000000"/>
          <w:sz w:val="21"/>
          <w:szCs w:val="21"/>
        </w:rPr>
        <w:t xml:space="preserve">Staphylococcus saprophyticus</w:t>
      </w:r>
    </w:p>
    <w:p>
      <w:pPr>
        <w:spacing w:after="60"/>
      </w:pPr>
      <w:r>
        <w:rPr>
          <w:rFonts w:ascii="Poppins" w:cs="Poppins" w:eastAsia="Poppins" w:hAnsi="Poppins"/>
          <w:b/>
          <w:bCs/>
          <w:color w:val="000000"/>
          <w:sz w:val="21"/>
          <w:szCs w:val="21"/>
        </w:rPr>
        <w:t xml:space="preserve">D. </w:t>
      </w:r>
      <w:r>
        <w:rPr>
          <w:rFonts w:ascii="Poppins" w:cs="Poppins" w:eastAsia="Poppins" w:hAnsi="Poppins"/>
          <w:b w:val="false"/>
          <w:bCs w:val="false"/>
          <w:color w:val="000000"/>
          <w:sz w:val="21"/>
          <w:szCs w:val="21"/>
        </w:rPr>
        <w:t xml:space="preserve">Proteus mirabilis</w:t>
      </w:r>
    </w:p>
    <w:p>
      <w:pPr>
        <w:spacing w:after="100" w:before="120"/>
      </w:pPr>
      <w:r>
        <w:rPr>
          <w:rFonts w:ascii="Poppins" w:cs="Poppins" w:eastAsia="Poppins" w:hAnsi="Poppins"/>
          <w:b/>
          <w:bCs/>
          <w:color w:val="001C31"/>
          <w:sz w:val="21"/>
          <w:szCs w:val="21"/>
        </w:rPr>
        <w:t xml:space="preserve">Respuesta correcta: A</w:t>
      </w:r>
    </w:p>
    <w:p>
      <w:pPr>
        <w:spacing w:after="60"/>
      </w:pPr>
      <w:r>
        <w:rPr>
          <w:rFonts w:ascii="Poppins" w:cs="Poppins" w:eastAsia="Poppins" w:hAnsi="Poppins"/>
          <w:b/>
          <w:bCs/>
          <w:color w:val="001C31"/>
          <w:sz w:val="21"/>
          <w:szCs w:val="21"/>
          <w:u w:val="single"/>
        </w:rPr>
        <w:t xml:space="preserve">Justificación de la respuesta correcta</w:t>
      </w:r>
    </w:p>
    <w:p>
      <w:pPr>
        <w:spacing w:after="150"/>
      </w:pPr>
      <w:r>
        <w:rPr>
          <w:rFonts w:ascii="Poppins" w:cs="Poppins" w:eastAsia="Poppins" w:hAnsi="Poppins"/>
          <w:sz w:val="21"/>
          <w:szCs w:val="21"/>
        </w:rPr>
        <w:t xml:space="preserve">La guía establece en su introducción que Escherichia coli es el patógeno más frecuentemente aislado en IVU durante el embarazo, dato que se reitera en la sección de definiciones y en las recomendaciones de tratamiento, donde se señala que se encuentra en 80% a 90% de las infecciones iniciales.</w:t>
      </w:r>
    </w:p>
    <w:p>
      <w:pPr>
        <w:spacing w:after="60"/>
      </w:pPr>
      <w:r>
        <w:rPr>
          <w:rFonts w:ascii="Poppins" w:cs="Poppins" w:eastAsia="Poppins" w:hAnsi="Poppins"/>
          <w:b/>
          <w:bCs/>
          <w:color w:val="001C31"/>
          <w:sz w:val="21"/>
          <w:szCs w:val="21"/>
          <w:u w:val="single"/>
        </w:rPr>
        <w:t xml:space="preserve">Justificación de las opciones incorrectas</w:t>
      </w:r>
    </w:p>
    <w:p>
      <w:pPr>
        <w:spacing w:after="60"/>
      </w:pPr>
      <w:r>
        <w:rPr>
          <w:rFonts w:ascii="Poppins" w:cs="Poppins" w:eastAsia="Poppins" w:hAnsi="Poppins"/>
          <w:b/>
          <w:bCs/>
          <w:sz w:val="21"/>
          <w:szCs w:val="21"/>
        </w:rPr>
        <w:t xml:space="preserve">Opción B: </w:t>
      </w:r>
      <w:r>
        <w:rPr>
          <w:rFonts w:ascii="Poppins" w:cs="Poppins" w:eastAsia="Poppins" w:hAnsi="Poppins"/>
          <w:sz w:val="21"/>
          <w:szCs w:val="21"/>
        </w:rPr>
        <w:t xml:space="preserve">Klebsiella se menciona en la ficha de nitrofurantoína como un germen que puede requerir dosis más altas y presentar resistencia, pero no se identifica como el patógeno más frecuente en la introducción.</w:t>
      </w:r>
    </w:p>
    <w:p>
      <w:pPr>
        <w:spacing w:after="60"/>
      </w:pPr>
      <w:r>
        <w:rPr>
          <w:rFonts w:ascii="Poppins" w:cs="Poppins" w:eastAsia="Poppins" w:hAnsi="Poppins"/>
          <w:b/>
          <w:bCs/>
          <w:sz w:val="21"/>
          <w:szCs w:val="21"/>
        </w:rPr>
        <w:t xml:space="preserve">Opción C: </w:t>
      </w:r>
      <w:r>
        <w:rPr>
          <w:rFonts w:ascii="Poppins" w:cs="Poppins" w:eastAsia="Poppins" w:hAnsi="Poppins"/>
          <w:sz w:val="21"/>
          <w:szCs w:val="21"/>
        </w:rPr>
        <w:t xml:space="preserve">Staphylococcus saprophyticus no se menciona en la guía como el patógeno más frecuente en IVU durante el embarazo.</w:t>
      </w:r>
    </w:p>
    <w:p>
      <w:pPr>
        <w:spacing w:after="60"/>
      </w:pPr>
      <w:r>
        <w:rPr>
          <w:rFonts w:ascii="Poppins" w:cs="Poppins" w:eastAsia="Poppins" w:hAnsi="Poppins"/>
          <w:b/>
          <w:bCs/>
          <w:sz w:val="21"/>
          <w:szCs w:val="21"/>
        </w:rPr>
        <w:t xml:space="preserve">Opción D: </w:t>
      </w:r>
      <w:r>
        <w:rPr>
          <w:rFonts w:ascii="Poppins" w:cs="Poppins" w:eastAsia="Poppins" w:hAnsi="Poppins"/>
          <w:sz w:val="21"/>
          <w:szCs w:val="21"/>
        </w:rPr>
        <w:t xml:space="preserve">Proteus mirabilis no se menciona en la guía como el patógeno más frecuentemente aislado en las IVU durante el embarazo.</w:t>
      </w:r>
    </w:p>
    <w:p>
      <w:pPr>
        <w:pBdr>
          <w:bottom w:val="single" w:color="B08D3F" w:sz="6" w:space="4"/>
        </w:pBdr>
        <w:spacing w:after="200" w:before="100"/>
      </w:pPr>
      <w:r>
        <w:rPr>
          <w:rFonts w:ascii="Poppins" w:cs="Poppins" w:eastAsia="Poppins" w:hAnsi="Poppins"/>
          <w:b/>
          <w:bCs/>
          <w:i/>
          <w:iCs/>
          <w:color w:val="B08D3F"/>
          <w:sz w:val="20"/>
          <w:szCs w:val="20"/>
        </w:rPr>
        <w:t xml:space="preserve">Referencia: </w:t>
      </w:r>
      <w:r>
        <w:rPr>
          <w:rFonts w:ascii="Poppins" w:cs="Poppins" w:eastAsia="Poppins" w:hAnsi="Poppins"/>
          <w:i/>
          <w:iCs/>
          <w:color w:val="555555"/>
          <w:sz w:val="20"/>
          <w:szCs w:val="20"/>
        </w:rPr>
        <w:t xml:space="preserve">Introducción. Página 10.</w:t>
      </w:r>
    </w:p>
    <w:p>
      <w:pPr>
        <w:shd w:fill="001C31" w:val="clear"/>
        <w:spacing w:after="100" w:before="300"/>
      </w:pPr>
      <w:r>
        <w:rPr>
          <w:rFonts w:ascii="Poppins" w:cs="Poppins" w:eastAsia="Poppins" w:hAnsi="Poppins"/>
          <w:b/>
          <w:bCs/>
          <w:color w:val="FFFFFF"/>
          <w:sz w:val="24"/>
          <w:szCs w:val="24"/>
        </w:rPr>
        <w:t xml:space="preserve">PREGUNTA 8</w:t>
      </w:r>
    </w:p>
    <w:p>
      <w:pPr>
        <w:spacing w:after="120"/>
      </w:pPr>
      <w:r>
        <w:rPr>
          <w:rFonts w:ascii="Poppins" w:cs="Poppins" w:eastAsia="Poppins" w:hAnsi="Poppins"/>
          <w:b/>
          <w:bCs/>
          <w:color w:val="001C31"/>
          <w:sz w:val="21"/>
          <w:szCs w:val="21"/>
        </w:rPr>
        <w:t xml:space="preserve">Pregunta: </w:t>
      </w:r>
      <w:r>
        <w:rPr>
          <w:rFonts w:ascii="Poppins" w:cs="Poppins" w:eastAsia="Poppins" w:hAnsi="Poppins"/>
          <w:sz w:val="21"/>
          <w:szCs w:val="21"/>
        </w:rPr>
        <w:t xml:space="preserve">Según la GPC, ¿qué porcentaje de partos pretérmino tiene una asociación clínica con IVU?</w:t>
      </w:r>
    </w:p>
    <w:p>
      <w:pPr>
        <w:spacing w:after="60"/>
      </w:pPr>
      <w:r>
        <w:rPr>
          <w:rFonts w:ascii="Poppins" w:cs="Poppins" w:eastAsia="Poppins" w:hAnsi="Poppins"/>
          <w:b/>
          <w:bCs/>
          <w:color w:val="B08D3F"/>
          <w:sz w:val="21"/>
          <w:szCs w:val="21"/>
        </w:rPr>
        <w:t xml:space="preserve">A. </w:t>
      </w:r>
      <w:r>
        <w:rPr>
          <w:rFonts w:ascii="Poppins" w:cs="Poppins" w:eastAsia="Poppins" w:hAnsi="Poppins"/>
          <w:b/>
          <w:bCs/>
          <w:color w:val="B08D3F"/>
          <w:sz w:val="21"/>
          <w:szCs w:val="21"/>
        </w:rPr>
        <w:t xml:space="preserve">Más de 27%</w:t>
      </w:r>
    </w:p>
    <w:p>
      <w:pPr>
        <w:spacing w:after="60"/>
      </w:pPr>
      <w:r>
        <w:rPr>
          <w:rFonts w:ascii="Poppins" w:cs="Poppins" w:eastAsia="Poppins" w:hAnsi="Poppins"/>
          <w:b/>
          <w:bCs/>
          <w:color w:val="000000"/>
          <w:sz w:val="21"/>
          <w:szCs w:val="21"/>
        </w:rPr>
        <w:t xml:space="preserve">B. </w:t>
      </w:r>
      <w:r>
        <w:rPr>
          <w:rFonts w:ascii="Poppins" w:cs="Poppins" w:eastAsia="Poppins" w:hAnsi="Poppins"/>
          <w:b w:val="false"/>
          <w:bCs w:val="false"/>
          <w:color w:val="000000"/>
          <w:sz w:val="21"/>
          <w:szCs w:val="21"/>
        </w:rPr>
        <w:t xml:space="preserve">Más de 50%</w:t>
      </w:r>
    </w:p>
    <w:p>
      <w:pPr>
        <w:spacing w:after="60"/>
      </w:pPr>
      <w:r>
        <w:rPr>
          <w:rFonts w:ascii="Poppins" w:cs="Poppins" w:eastAsia="Poppins" w:hAnsi="Poppins"/>
          <w:b/>
          <w:bCs/>
          <w:color w:val="000000"/>
          <w:sz w:val="21"/>
          <w:szCs w:val="21"/>
        </w:rPr>
        <w:t xml:space="preserve">C. </w:t>
      </w:r>
      <w:r>
        <w:rPr>
          <w:rFonts w:ascii="Poppins" w:cs="Poppins" w:eastAsia="Poppins" w:hAnsi="Poppins"/>
          <w:b w:val="false"/>
          <w:bCs w:val="false"/>
          <w:color w:val="000000"/>
          <w:sz w:val="21"/>
          <w:szCs w:val="21"/>
        </w:rPr>
        <w:t xml:space="preserve">Menos de 5%</w:t>
      </w:r>
    </w:p>
    <w:p>
      <w:pPr>
        <w:spacing w:after="60"/>
      </w:pPr>
      <w:r>
        <w:rPr>
          <w:rFonts w:ascii="Poppins" w:cs="Poppins" w:eastAsia="Poppins" w:hAnsi="Poppins"/>
          <w:b/>
          <w:bCs/>
          <w:color w:val="000000"/>
          <w:sz w:val="21"/>
          <w:szCs w:val="21"/>
        </w:rPr>
        <w:t xml:space="preserve">D. </w:t>
      </w:r>
      <w:r>
        <w:rPr>
          <w:rFonts w:ascii="Poppins" w:cs="Poppins" w:eastAsia="Poppins" w:hAnsi="Poppins"/>
          <w:b w:val="false"/>
          <w:bCs w:val="false"/>
          <w:color w:val="000000"/>
          <w:sz w:val="21"/>
          <w:szCs w:val="21"/>
        </w:rPr>
        <w:t xml:space="preserve">Más de 80%</w:t>
      </w:r>
    </w:p>
    <w:p>
      <w:pPr>
        <w:spacing w:after="100" w:before="120"/>
      </w:pPr>
      <w:r>
        <w:rPr>
          <w:rFonts w:ascii="Poppins" w:cs="Poppins" w:eastAsia="Poppins" w:hAnsi="Poppins"/>
          <w:b/>
          <w:bCs/>
          <w:color w:val="001C31"/>
          <w:sz w:val="21"/>
          <w:szCs w:val="21"/>
        </w:rPr>
        <w:t xml:space="preserve">Respuesta correcta: A</w:t>
      </w:r>
    </w:p>
    <w:p>
      <w:pPr>
        <w:spacing w:after="60"/>
      </w:pPr>
      <w:r>
        <w:rPr>
          <w:rFonts w:ascii="Poppins" w:cs="Poppins" w:eastAsia="Poppins" w:hAnsi="Poppins"/>
          <w:b/>
          <w:bCs/>
          <w:color w:val="001C31"/>
          <w:sz w:val="21"/>
          <w:szCs w:val="21"/>
          <w:u w:val="single"/>
        </w:rPr>
        <w:t xml:space="preserve">Justificación de la respuesta correcta</w:t>
      </w:r>
    </w:p>
    <w:p>
      <w:pPr>
        <w:spacing w:after="150"/>
      </w:pPr>
      <w:r>
        <w:rPr>
          <w:rFonts w:ascii="Poppins" w:cs="Poppins" w:eastAsia="Poppins" w:hAnsi="Poppins"/>
          <w:sz w:val="21"/>
          <w:szCs w:val="21"/>
        </w:rPr>
        <w:t xml:space="preserve">La introducción de la guía establece que más de 27% de partos pretérmino tienen una asociación clínica con IVU, aunque la patogénesis de la contracción uterina aún no está clara.</w:t>
      </w:r>
    </w:p>
    <w:p>
      <w:pPr>
        <w:spacing w:after="60"/>
      </w:pPr>
      <w:r>
        <w:rPr>
          <w:rFonts w:ascii="Poppins" w:cs="Poppins" w:eastAsia="Poppins" w:hAnsi="Poppins"/>
          <w:b/>
          <w:bCs/>
          <w:color w:val="001C31"/>
          <w:sz w:val="21"/>
          <w:szCs w:val="21"/>
          <w:u w:val="single"/>
        </w:rPr>
        <w:t xml:space="preserve">Justificación de las opciones incorrectas</w:t>
      </w:r>
    </w:p>
    <w:p>
      <w:pPr>
        <w:spacing w:after="60"/>
      </w:pPr>
      <w:r>
        <w:rPr>
          <w:rFonts w:ascii="Poppins" w:cs="Poppins" w:eastAsia="Poppins" w:hAnsi="Poppins"/>
          <w:b/>
          <w:bCs/>
          <w:sz w:val="21"/>
          <w:szCs w:val="21"/>
        </w:rPr>
        <w:t xml:space="preserve">Opción B: </w:t>
      </w:r>
      <w:r>
        <w:rPr>
          <w:rFonts w:ascii="Poppins" w:cs="Poppins" w:eastAsia="Poppins" w:hAnsi="Poppins"/>
          <w:sz w:val="21"/>
          <w:szCs w:val="21"/>
        </w:rPr>
        <w:t xml:space="preserve">El 50% no corresponde al dato citado por la guía; el valor específico mencionado es 'más de 27%'.</w:t>
      </w:r>
    </w:p>
    <w:p>
      <w:pPr>
        <w:spacing w:after="60"/>
      </w:pPr>
      <w:r>
        <w:rPr>
          <w:rFonts w:ascii="Poppins" w:cs="Poppins" w:eastAsia="Poppins" w:hAnsi="Poppins"/>
          <w:b/>
          <w:bCs/>
          <w:sz w:val="21"/>
          <w:szCs w:val="21"/>
        </w:rPr>
        <w:t xml:space="preserve">Opción C: </w:t>
      </w:r>
      <w:r>
        <w:rPr>
          <w:rFonts w:ascii="Poppins" w:cs="Poppins" w:eastAsia="Poppins" w:hAnsi="Poppins"/>
          <w:sz w:val="21"/>
          <w:szCs w:val="21"/>
        </w:rPr>
        <w:t xml:space="preserve">Menos de 5% subestima considerablemente el dato citado por la guía sobre la asociación entre parto pretérmino e IVU.</w:t>
      </w:r>
    </w:p>
    <w:p>
      <w:pPr>
        <w:spacing w:after="60"/>
      </w:pPr>
      <w:r>
        <w:rPr>
          <w:rFonts w:ascii="Poppins" w:cs="Poppins" w:eastAsia="Poppins" w:hAnsi="Poppins"/>
          <w:b/>
          <w:bCs/>
          <w:sz w:val="21"/>
          <w:szCs w:val="21"/>
        </w:rPr>
        <w:t xml:space="preserve">Opción D: </w:t>
      </w:r>
      <w:r>
        <w:rPr>
          <w:rFonts w:ascii="Poppins" w:cs="Poppins" w:eastAsia="Poppins" w:hAnsi="Poppins"/>
          <w:sz w:val="21"/>
          <w:szCs w:val="21"/>
        </w:rPr>
        <w:t xml:space="preserve">Más de 80% sobreestima el dato reportado por la guía; el valor citado es 'más de 27%'.</w:t>
      </w:r>
    </w:p>
    <w:p>
      <w:pPr>
        <w:pBdr>
          <w:bottom w:val="single" w:color="B08D3F" w:sz="6" w:space="4"/>
        </w:pBdr>
        <w:spacing w:after="200" w:before="100"/>
      </w:pPr>
      <w:r>
        <w:rPr>
          <w:rFonts w:ascii="Poppins" w:cs="Poppins" w:eastAsia="Poppins" w:hAnsi="Poppins"/>
          <w:b/>
          <w:bCs/>
          <w:i/>
          <w:iCs/>
          <w:color w:val="B08D3F"/>
          <w:sz w:val="20"/>
          <w:szCs w:val="20"/>
        </w:rPr>
        <w:t xml:space="preserve">Referencia: </w:t>
      </w:r>
      <w:r>
        <w:rPr>
          <w:rFonts w:ascii="Poppins" w:cs="Poppins" w:eastAsia="Poppins" w:hAnsi="Poppins"/>
          <w:i/>
          <w:iCs/>
          <w:color w:val="555555"/>
          <w:sz w:val="20"/>
          <w:szCs w:val="20"/>
        </w:rPr>
        <w:t xml:space="preserve">Introducción. Página 10.</w:t>
      </w:r>
    </w:p>
    <w:p>
      <w:pPr>
        <w:shd w:fill="001C31" w:val="clear"/>
        <w:spacing w:after="100" w:before="300"/>
      </w:pPr>
      <w:r>
        <w:rPr>
          <w:rFonts w:ascii="Poppins" w:cs="Poppins" w:eastAsia="Poppins" w:hAnsi="Poppins"/>
          <w:b/>
          <w:bCs/>
          <w:color w:val="FFFFFF"/>
          <w:sz w:val="24"/>
          <w:szCs w:val="24"/>
        </w:rPr>
        <w:t xml:space="preserve">PREGUNTA 9</w:t>
      </w:r>
    </w:p>
    <w:p>
      <w:pPr>
        <w:spacing w:after="120"/>
      </w:pPr>
      <w:r>
        <w:rPr>
          <w:rFonts w:ascii="Poppins" w:cs="Poppins" w:eastAsia="Poppins" w:hAnsi="Poppins"/>
          <w:b/>
          <w:bCs/>
          <w:color w:val="001C31"/>
          <w:sz w:val="21"/>
          <w:szCs w:val="21"/>
        </w:rPr>
        <w:t xml:space="preserve">Pregunta: </w:t>
      </w:r>
      <w:r>
        <w:rPr>
          <w:rFonts w:ascii="Poppins" w:cs="Poppins" w:eastAsia="Poppins" w:hAnsi="Poppins"/>
          <w:sz w:val="21"/>
          <w:szCs w:val="21"/>
        </w:rPr>
        <w:t xml:space="preserve">Según la introducción de la GPC, ¿cuál es la principal causa de falla terapéutica en el tratamiento de las infecciones de vías urinarias bajas?</w:t>
      </w:r>
    </w:p>
    <w:p>
      <w:pPr>
        <w:spacing w:after="60"/>
      </w:pPr>
      <w:r>
        <w:rPr>
          <w:rFonts w:ascii="Poppins" w:cs="Poppins" w:eastAsia="Poppins" w:hAnsi="Poppins"/>
          <w:b/>
          <w:bCs/>
          <w:color w:val="B08D3F"/>
          <w:sz w:val="21"/>
          <w:szCs w:val="21"/>
        </w:rPr>
        <w:t xml:space="preserve">A. </w:t>
      </w:r>
      <w:r>
        <w:rPr>
          <w:rFonts w:ascii="Poppins" w:cs="Poppins" w:eastAsia="Poppins" w:hAnsi="Poppins"/>
          <w:b/>
          <w:bCs/>
          <w:color w:val="B08D3F"/>
          <w:sz w:val="21"/>
          <w:szCs w:val="21"/>
        </w:rPr>
        <w:t xml:space="preserve">El inadecuado análisis de las resistencias bacterianas locales a los antibióticos</w:t>
      </w:r>
    </w:p>
    <w:p>
      <w:pPr>
        <w:spacing w:after="60"/>
      </w:pPr>
      <w:r>
        <w:rPr>
          <w:rFonts w:ascii="Poppins" w:cs="Poppins" w:eastAsia="Poppins" w:hAnsi="Poppins"/>
          <w:b/>
          <w:bCs/>
          <w:color w:val="000000"/>
          <w:sz w:val="21"/>
          <w:szCs w:val="21"/>
        </w:rPr>
        <w:t xml:space="preserve">B. </w:t>
      </w:r>
      <w:r>
        <w:rPr>
          <w:rFonts w:ascii="Poppins" w:cs="Poppins" w:eastAsia="Poppins" w:hAnsi="Poppins"/>
          <w:b w:val="false"/>
          <w:bCs w:val="false"/>
          <w:color w:val="000000"/>
          <w:sz w:val="21"/>
          <w:szCs w:val="21"/>
        </w:rPr>
        <w:t xml:space="preserve">La falta de acceso a estudios de imagen renal</w:t>
      </w:r>
    </w:p>
    <w:p>
      <w:pPr>
        <w:spacing w:after="60"/>
      </w:pPr>
      <w:r>
        <w:rPr>
          <w:rFonts w:ascii="Poppins" w:cs="Poppins" w:eastAsia="Poppins" w:hAnsi="Poppins"/>
          <w:b/>
          <w:bCs/>
          <w:color w:val="000000"/>
          <w:sz w:val="21"/>
          <w:szCs w:val="21"/>
        </w:rPr>
        <w:t xml:space="preserve">C. </w:t>
      </w:r>
      <w:r>
        <w:rPr>
          <w:rFonts w:ascii="Poppins" w:cs="Poppins" w:eastAsia="Poppins" w:hAnsi="Poppins"/>
          <w:b w:val="false"/>
          <w:bCs w:val="false"/>
          <w:color w:val="000000"/>
          <w:sz w:val="21"/>
          <w:szCs w:val="21"/>
        </w:rPr>
        <w:t xml:space="preserve">El uso exclusivo de manejo expectante sin antibióticos</w:t>
      </w:r>
    </w:p>
    <w:p>
      <w:pPr>
        <w:spacing w:after="60"/>
      </w:pPr>
      <w:r>
        <w:rPr>
          <w:rFonts w:ascii="Poppins" w:cs="Poppins" w:eastAsia="Poppins" w:hAnsi="Poppins"/>
          <w:b/>
          <w:bCs/>
          <w:color w:val="000000"/>
          <w:sz w:val="21"/>
          <w:szCs w:val="21"/>
        </w:rPr>
        <w:t xml:space="preserve">D. </w:t>
      </w:r>
      <w:r>
        <w:rPr>
          <w:rFonts w:ascii="Poppins" w:cs="Poppins" w:eastAsia="Poppins" w:hAnsi="Poppins"/>
          <w:b w:val="false"/>
          <w:bCs w:val="false"/>
          <w:color w:val="000000"/>
          <w:sz w:val="21"/>
          <w:szCs w:val="21"/>
        </w:rPr>
        <w:t xml:space="preserve">La ausencia de vacunación materna previa al embarazo</w:t>
      </w:r>
    </w:p>
    <w:p>
      <w:pPr>
        <w:spacing w:after="100" w:before="120"/>
      </w:pPr>
      <w:r>
        <w:rPr>
          <w:rFonts w:ascii="Poppins" w:cs="Poppins" w:eastAsia="Poppins" w:hAnsi="Poppins"/>
          <w:b/>
          <w:bCs/>
          <w:color w:val="001C31"/>
          <w:sz w:val="21"/>
          <w:szCs w:val="21"/>
        </w:rPr>
        <w:t xml:space="preserve">Respuesta correcta: A</w:t>
      </w:r>
    </w:p>
    <w:p>
      <w:pPr>
        <w:spacing w:after="60"/>
      </w:pPr>
      <w:r>
        <w:rPr>
          <w:rFonts w:ascii="Poppins" w:cs="Poppins" w:eastAsia="Poppins" w:hAnsi="Poppins"/>
          <w:b/>
          <w:bCs/>
          <w:color w:val="001C31"/>
          <w:sz w:val="21"/>
          <w:szCs w:val="21"/>
          <w:u w:val="single"/>
        </w:rPr>
        <w:t xml:space="preserve">Justificación de la respuesta correcta</w:t>
      </w:r>
    </w:p>
    <w:p>
      <w:pPr>
        <w:spacing w:after="150"/>
      </w:pPr>
      <w:r>
        <w:rPr>
          <w:rFonts w:ascii="Poppins" w:cs="Poppins" w:eastAsia="Poppins" w:hAnsi="Poppins"/>
          <w:sz w:val="21"/>
          <w:szCs w:val="21"/>
        </w:rPr>
        <w:t xml:space="preserve">La introducción de la guía señala que el tratamiento adecuado de las infecciones de vías urinarias bajas requiere un adecuado análisis de las resistencias bacterianas locales a los antibióticos, ya que esta es la principal causa de falla terapéutica.</w:t>
      </w:r>
    </w:p>
    <w:p>
      <w:pPr>
        <w:spacing w:after="60"/>
      </w:pPr>
      <w:r>
        <w:rPr>
          <w:rFonts w:ascii="Poppins" w:cs="Poppins" w:eastAsia="Poppins" w:hAnsi="Poppins"/>
          <w:b/>
          <w:bCs/>
          <w:color w:val="001C31"/>
          <w:sz w:val="21"/>
          <w:szCs w:val="21"/>
          <w:u w:val="single"/>
        </w:rPr>
        <w:t xml:space="preserve">Justificación de las opciones incorrectas</w:t>
      </w:r>
    </w:p>
    <w:p>
      <w:pPr>
        <w:spacing w:after="60"/>
      </w:pPr>
      <w:r>
        <w:rPr>
          <w:rFonts w:ascii="Poppins" w:cs="Poppins" w:eastAsia="Poppins" w:hAnsi="Poppins"/>
          <w:b/>
          <w:bCs/>
          <w:sz w:val="21"/>
          <w:szCs w:val="21"/>
        </w:rPr>
        <w:t xml:space="preserve">Opción B: </w:t>
      </w:r>
      <w:r>
        <w:rPr>
          <w:rFonts w:ascii="Poppins" w:cs="Poppins" w:eastAsia="Poppins" w:hAnsi="Poppins"/>
          <w:sz w:val="21"/>
          <w:szCs w:val="21"/>
        </w:rPr>
        <w:t xml:space="preserve">Los estudios de imagen renal no se mencionan en la guía como determinantes de la falla terapéutica en el tratamiento de la IVU baja.</w:t>
      </w:r>
    </w:p>
    <w:p>
      <w:pPr>
        <w:spacing w:after="60"/>
      </w:pPr>
      <w:r>
        <w:rPr>
          <w:rFonts w:ascii="Poppins" w:cs="Poppins" w:eastAsia="Poppins" w:hAnsi="Poppins"/>
          <w:b/>
          <w:bCs/>
          <w:sz w:val="21"/>
          <w:szCs w:val="21"/>
        </w:rPr>
        <w:t xml:space="preserve">Opción C: </w:t>
      </w:r>
      <w:r>
        <w:rPr>
          <w:rFonts w:ascii="Poppins" w:cs="Poppins" w:eastAsia="Poppins" w:hAnsi="Poppins"/>
          <w:sz w:val="21"/>
          <w:szCs w:val="21"/>
        </w:rPr>
        <w:t xml:space="preserve">La guía no atribuye la falla terapéutica al manejo expectante; de hecho, indica que el tratamiento antibiótico es la base del manejo de BA y cistitis.</w:t>
      </w:r>
    </w:p>
    <w:p>
      <w:pPr>
        <w:spacing w:after="60"/>
      </w:pPr>
      <w:r>
        <w:rPr>
          <w:rFonts w:ascii="Poppins" w:cs="Poppins" w:eastAsia="Poppins" w:hAnsi="Poppins"/>
          <w:b/>
          <w:bCs/>
          <w:sz w:val="21"/>
          <w:szCs w:val="21"/>
        </w:rPr>
        <w:t xml:space="preserve">Opción D: </w:t>
      </w:r>
      <w:r>
        <w:rPr>
          <w:rFonts w:ascii="Poppins" w:cs="Poppins" w:eastAsia="Poppins" w:hAnsi="Poppins"/>
          <w:sz w:val="21"/>
          <w:szCs w:val="21"/>
        </w:rPr>
        <w:t xml:space="preserve">La vacunación materna no se menciona en la guía en relación con la infección de vías urinarias ni con la falla terapéutica del tratamiento antibiótico.</w:t>
      </w:r>
    </w:p>
    <w:p>
      <w:pPr>
        <w:pBdr>
          <w:bottom w:val="single" w:color="B08D3F" w:sz="6" w:space="4"/>
        </w:pBdr>
        <w:spacing w:after="200" w:before="100"/>
      </w:pPr>
      <w:r>
        <w:rPr>
          <w:rFonts w:ascii="Poppins" w:cs="Poppins" w:eastAsia="Poppins" w:hAnsi="Poppins"/>
          <w:b/>
          <w:bCs/>
          <w:i/>
          <w:iCs/>
          <w:color w:val="B08D3F"/>
          <w:sz w:val="20"/>
          <w:szCs w:val="20"/>
        </w:rPr>
        <w:t xml:space="preserve">Referencia: </w:t>
      </w:r>
      <w:r>
        <w:rPr>
          <w:rFonts w:ascii="Poppins" w:cs="Poppins" w:eastAsia="Poppins" w:hAnsi="Poppins"/>
          <w:i/>
          <w:iCs/>
          <w:color w:val="555555"/>
          <w:sz w:val="20"/>
          <w:szCs w:val="20"/>
        </w:rPr>
        <w:t xml:space="preserve">Introducción. Página 10.</w:t>
      </w:r>
    </w:p>
    <w:p>
      <w:pPr>
        <w:shd w:fill="001C31" w:val="clear"/>
        <w:spacing w:after="100" w:before="300"/>
      </w:pPr>
      <w:r>
        <w:rPr>
          <w:rFonts w:ascii="Poppins" w:cs="Poppins" w:eastAsia="Poppins" w:hAnsi="Poppins"/>
          <w:b/>
          <w:bCs/>
          <w:color w:val="FFFFFF"/>
          <w:sz w:val="24"/>
          <w:szCs w:val="24"/>
        </w:rPr>
        <w:t xml:space="preserve">PREGUNTA 10</w:t>
      </w:r>
    </w:p>
    <w:p>
      <w:pPr>
        <w:spacing w:after="120"/>
      </w:pPr>
      <w:r>
        <w:rPr>
          <w:rFonts w:ascii="Poppins" w:cs="Poppins" w:eastAsia="Poppins" w:hAnsi="Poppins"/>
          <w:b/>
          <w:bCs/>
          <w:color w:val="001C31"/>
          <w:sz w:val="21"/>
          <w:szCs w:val="21"/>
        </w:rPr>
        <w:t xml:space="preserve">Pregunta: </w:t>
      </w:r>
      <w:r>
        <w:rPr>
          <w:rFonts w:ascii="Poppins" w:cs="Poppins" w:eastAsia="Poppins" w:hAnsi="Poppins"/>
          <w:sz w:val="21"/>
          <w:szCs w:val="21"/>
        </w:rPr>
        <w:t xml:space="preserve">Según la GPC, ¿por qué las mujeres embarazadas desarrollan de manera fácil infecciones de vías urinarias?</w:t>
      </w:r>
    </w:p>
    <w:p>
      <w:pPr>
        <w:spacing w:after="60"/>
      </w:pPr>
      <w:r>
        <w:rPr>
          <w:rFonts w:ascii="Poppins" w:cs="Poppins" w:eastAsia="Poppins" w:hAnsi="Poppins"/>
          <w:b/>
          <w:bCs/>
          <w:color w:val="B08D3F"/>
          <w:sz w:val="21"/>
          <w:szCs w:val="21"/>
        </w:rPr>
        <w:t xml:space="preserve">A. </w:t>
      </w:r>
      <w:r>
        <w:rPr>
          <w:rFonts w:ascii="Poppins" w:cs="Poppins" w:eastAsia="Poppins" w:hAnsi="Poppins"/>
          <w:b/>
          <w:bCs/>
          <w:color w:val="B08D3F"/>
          <w:sz w:val="21"/>
          <w:szCs w:val="21"/>
        </w:rPr>
        <w:t xml:space="preserve">Debido a cambios funcionales, hormonales y anatómicos, además de la localización del meato uretral expuesta a bacterias uropatógenas y de vagina que acceden al tracto urinario bajo</w:t>
      </w:r>
    </w:p>
    <w:p>
      <w:pPr>
        <w:spacing w:after="60"/>
      </w:pPr>
      <w:r>
        <w:rPr>
          <w:rFonts w:ascii="Poppins" w:cs="Poppins" w:eastAsia="Poppins" w:hAnsi="Poppins"/>
          <w:b/>
          <w:bCs/>
          <w:color w:val="000000"/>
          <w:sz w:val="21"/>
          <w:szCs w:val="21"/>
        </w:rPr>
        <w:t xml:space="preserve">B. </w:t>
      </w:r>
      <w:r>
        <w:rPr>
          <w:rFonts w:ascii="Poppins" w:cs="Poppins" w:eastAsia="Poppins" w:hAnsi="Poppins"/>
          <w:b w:val="false"/>
          <w:bCs w:val="false"/>
          <w:color w:val="000000"/>
          <w:sz w:val="21"/>
          <w:szCs w:val="21"/>
        </w:rPr>
        <w:t xml:space="preserve">Debido exclusivamente a la disminución de la inmunidad celular en el tercer trimestre</w:t>
      </w:r>
    </w:p>
    <w:p>
      <w:pPr>
        <w:spacing w:after="60"/>
      </w:pPr>
      <w:r>
        <w:rPr>
          <w:rFonts w:ascii="Poppins" w:cs="Poppins" w:eastAsia="Poppins" w:hAnsi="Poppins"/>
          <w:b/>
          <w:bCs/>
          <w:color w:val="000000"/>
          <w:sz w:val="21"/>
          <w:szCs w:val="21"/>
        </w:rPr>
        <w:t xml:space="preserve">C. </w:t>
      </w:r>
      <w:r>
        <w:rPr>
          <w:rFonts w:ascii="Poppins" w:cs="Poppins" w:eastAsia="Poppins" w:hAnsi="Poppins"/>
          <w:b w:val="false"/>
          <w:bCs w:val="false"/>
          <w:color w:val="000000"/>
          <w:sz w:val="21"/>
          <w:szCs w:val="21"/>
        </w:rPr>
        <w:t xml:space="preserve">Debido únicamente al aumento de la frecuencia de relaciones sexuales durante el embarazo</w:t>
      </w:r>
    </w:p>
    <w:p>
      <w:pPr>
        <w:spacing w:after="60"/>
      </w:pPr>
      <w:r>
        <w:rPr>
          <w:rFonts w:ascii="Poppins" w:cs="Poppins" w:eastAsia="Poppins" w:hAnsi="Poppins"/>
          <w:b/>
          <w:bCs/>
          <w:color w:val="000000"/>
          <w:sz w:val="21"/>
          <w:szCs w:val="21"/>
        </w:rPr>
        <w:t xml:space="preserve">D. </w:t>
      </w:r>
      <w:r>
        <w:rPr>
          <w:rFonts w:ascii="Poppins" w:cs="Poppins" w:eastAsia="Poppins" w:hAnsi="Poppins"/>
          <w:b w:val="false"/>
          <w:bCs w:val="false"/>
          <w:color w:val="000000"/>
          <w:sz w:val="21"/>
          <w:szCs w:val="21"/>
        </w:rPr>
        <w:t xml:space="preserve">Debido exclusivamente al uso de anticonceptivos previos al embarazo</w:t>
      </w:r>
    </w:p>
    <w:p>
      <w:pPr>
        <w:spacing w:after="100" w:before="120"/>
      </w:pPr>
      <w:r>
        <w:rPr>
          <w:rFonts w:ascii="Poppins" w:cs="Poppins" w:eastAsia="Poppins" w:hAnsi="Poppins"/>
          <w:b/>
          <w:bCs/>
          <w:color w:val="001C31"/>
          <w:sz w:val="21"/>
          <w:szCs w:val="21"/>
        </w:rPr>
        <w:t xml:space="preserve">Respuesta correcta: A</w:t>
      </w:r>
    </w:p>
    <w:p>
      <w:pPr>
        <w:spacing w:after="60"/>
      </w:pPr>
      <w:r>
        <w:rPr>
          <w:rFonts w:ascii="Poppins" w:cs="Poppins" w:eastAsia="Poppins" w:hAnsi="Poppins"/>
          <w:b/>
          <w:bCs/>
          <w:color w:val="001C31"/>
          <w:sz w:val="21"/>
          <w:szCs w:val="21"/>
          <w:u w:val="single"/>
        </w:rPr>
        <w:t xml:space="preserve">Justificación de la respuesta correcta</w:t>
      </w:r>
    </w:p>
    <w:p>
      <w:pPr>
        <w:spacing w:after="150"/>
      </w:pPr>
      <w:r>
        <w:rPr>
          <w:rFonts w:ascii="Poppins" w:cs="Poppins" w:eastAsia="Poppins" w:hAnsi="Poppins"/>
          <w:sz w:val="21"/>
          <w:szCs w:val="21"/>
        </w:rPr>
        <w:t xml:space="preserve">La introducción de la guía explica que las mujeres embarazadas desarrollan de manera fácil IVU debido a cambios funcionales, hormonales y anatómicos, además de la localización del meato uretral expuesta a bacterias uropatógenas y de vagina que acceden al tracto urinario bajo.</w:t>
      </w:r>
    </w:p>
    <w:p>
      <w:pPr>
        <w:spacing w:after="60"/>
      </w:pPr>
      <w:r>
        <w:rPr>
          <w:rFonts w:ascii="Poppins" w:cs="Poppins" w:eastAsia="Poppins" w:hAnsi="Poppins"/>
          <w:b/>
          <w:bCs/>
          <w:color w:val="001C31"/>
          <w:sz w:val="21"/>
          <w:szCs w:val="21"/>
          <w:u w:val="single"/>
        </w:rPr>
        <w:t xml:space="preserve">Justificación de las opciones incorrectas</w:t>
      </w:r>
    </w:p>
    <w:p>
      <w:pPr>
        <w:spacing w:after="60"/>
      </w:pPr>
      <w:r>
        <w:rPr>
          <w:rFonts w:ascii="Poppins" w:cs="Poppins" w:eastAsia="Poppins" w:hAnsi="Poppins"/>
          <w:b/>
          <w:bCs/>
          <w:sz w:val="21"/>
          <w:szCs w:val="21"/>
        </w:rPr>
        <w:t xml:space="preserve">Opción B: </w:t>
      </w:r>
      <w:r>
        <w:rPr>
          <w:rFonts w:ascii="Poppins" w:cs="Poppins" w:eastAsia="Poppins" w:hAnsi="Poppins"/>
          <w:sz w:val="21"/>
          <w:szCs w:val="21"/>
        </w:rPr>
        <w:t xml:space="preserve">La guía no atribuye la susceptibilidad exclusivamente a la disminución de inmunidad celular en el tercer trimestre; describe una combinación de cambios funcionales, hormonales y anatómicos.</w:t>
      </w:r>
    </w:p>
    <w:p>
      <w:pPr>
        <w:spacing w:after="60"/>
      </w:pPr>
      <w:r>
        <w:rPr>
          <w:rFonts w:ascii="Poppins" w:cs="Poppins" w:eastAsia="Poppins" w:hAnsi="Poppins"/>
          <w:b/>
          <w:bCs/>
          <w:sz w:val="21"/>
          <w:szCs w:val="21"/>
        </w:rPr>
        <w:t xml:space="preserve">Opción C: </w:t>
      </w:r>
      <w:r>
        <w:rPr>
          <w:rFonts w:ascii="Poppins" w:cs="Poppins" w:eastAsia="Poppins" w:hAnsi="Poppins"/>
          <w:sz w:val="21"/>
          <w:szCs w:val="21"/>
        </w:rPr>
        <w:t xml:space="preserve">La frecuencia de relaciones sexuales no se menciona en la introducción como la causa de la mayor susceptibilidad a IVU durante el embarazo.</w:t>
      </w:r>
    </w:p>
    <w:p>
      <w:pPr>
        <w:spacing w:after="60"/>
      </w:pPr>
      <w:r>
        <w:rPr>
          <w:rFonts w:ascii="Poppins" w:cs="Poppins" w:eastAsia="Poppins" w:hAnsi="Poppins"/>
          <w:b/>
          <w:bCs/>
          <w:sz w:val="21"/>
          <w:szCs w:val="21"/>
        </w:rPr>
        <w:t xml:space="preserve">Opción D: </w:t>
      </w:r>
      <w:r>
        <w:rPr>
          <w:rFonts w:ascii="Poppins" w:cs="Poppins" w:eastAsia="Poppins" w:hAnsi="Poppins"/>
          <w:sz w:val="21"/>
          <w:szCs w:val="21"/>
        </w:rPr>
        <w:t xml:space="preserve">El uso previo de anticonceptivos no se menciona en la guía como causa de la mayor susceptibilidad a infecciones urinarias durante el embarazo.</w:t>
      </w:r>
    </w:p>
    <w:p>
      <w:pPr>
        <w:pBdr>
          <w:bottom w:val="single" w:color="B08D3F" w:sz="6" w:space="4"/>
        </w:pBdr>
        <w:spacing w:after="200" w:before="100"/>
      </w:pPr>
      <w:r>
        <w:rPr>
          <w:rFonts w:ascii="Poppins" w:cs="Poppins" w:eastAsia="Poppins" w:hAnsi="Poppins"/>
          <w:b/>
          <w:bCs/>
          <w:i/>
          <w:iCs/>
          <w:color w:val="B08D3F"/>
          <w:sz w:val="20"/>
          <w:szCs w:val="20"/>
        </w:rPr>
        <w:t xml:space="preserve">Referencia: </w:t>
      </w:r>
      <w:r>
        <w:rPr>
          <w:rFonts w:ascii="Poppins" w:cs="Poppins" w:eastAsia="Poppins" w:hAnsi="Poppins"/>
          <w:i/>
          <w:iCs/>
          <w:color w:val="555555"/>
          <w:sz w:val="20"/>
          <w:szCs w:val="20"/>
        </w:rPr>
        <w:t xml:space="preserve">Introducción. Página 10.</w:t>
      </w:r>
    </w:p>
    <w:p>
      <w:pPr>
        <w:shd w:fill="001C31" w:val="clear"/>
        <w:spacing w:after="100" w:before="300"/>
      </w:pPr>
      <w:r>
        <w:rPr>
          <w:rFonts w:ascii="Poppins" w:cs="Poppins" w:eastAsia="Poppins" w:hAnsi="Poppins"/>
          <w:b/>
          <w:bCs/>
          <w:color w:val="FFFFFF"/>
          <w:sz w:val="24"/>
          <w:szCs w:val="24"/>
        </w:rPr>
        <w:t xml:space="preserve">PREGUNTA 11</w:t>
      </w:r>
    </w:p>
    <w:p>
      <w:pPr>
        <w:spacing w:after="120"/>
      </w:pPr>
      <w:r>
        <w:rPr>
          <w:rFonts w:ascii="Poppins" w:cs="Poppins" w:eastAsia="Poppins" w:hAnsi="Poppins"/>
          <w:b/>
          <w:bCs/>
          <w:color w:val="001C31"/>
          <w:sz w:val="21"/>
          <w:szCs w:val="21"/>
        </w:rPr>
        <w:t xml:space="preserve">Pregunta: </w:t>
      </w:r>
      <w:r>
        <w:rPr>
          <w:rFonts w:ascii="Poppins" w:cs="Poppins" w:eastAsia="Poppins" w:hAnsi="Poppins"/>
          <w:sz w:val="21"/>
          <w:szCs w:val="21"/>
        </w:rPr>
        <w:t xml:space="preserve">Según la historia natural y pronóstico descrita en la GPC, ¿qué organismos recomiendan realizar tamizaje apropiado para detectar la bacteriuria asintomática?</w:t>
      </w:r>
    </w:p>
    <w:p>
      <w:pPr>
        <w:spacing w:after="60"/>
      </w:pPr>
      <w:r>
        <w:rPr>
          <w:rFonts w:ascii="Poppins" w:cs="Poppins" w:eastAsia="Poppins" w:hAnsi="Poppins"/>
          <w:b/>
          <w:bCs/>
          <w:color w:val="B08D3F"/>
          <w:sz w:val="21"/>
          <w:szCs w:val="21"/>
        </w:rPr>
        <w:t xml:space="preserve">A. </w:t>
      </w:r>
      <w:r>
        <w:rPr>
          <w:rFonts w:ascii="Poppins" w:cs="Poppins" w:eastAsia="Poppins" w:hAnsi="Poppins"/>
          <w:b/>
          <w:bCs/>
          <w:color w:val="B08D3F"/>
          <w:sz w:val="21"/>
          <w:szCs w:val="21"/>
        </w:rPr>
        <w:t xml:space="preserve">El American College of Obstetrics and Gynecology (ACOG) y el U.S. Preventive Services Task Force</w:t>
      </w:r>
    </w:p>
    <w:p>
      <w:pPr>
        <w:spacing w:after="60"/>
      </w:pPr>
      <w:r>
        <w:rPr>
          <w:rFonts w:ascii="Poppins" w:cs="Poppins" w:eastAsia="Poppins" w:hAnsi="Poppins"/>
          <w:b/>
          <w:bCs/>
          <w:color w:val="000000"/>
          <w:sz w:val="21"/>
          <w:szCs w:val="21"/>
        </w:rPr>
        <w:t xml:space="preserve">B. </w:t>
      </w:r>
      <w:r>
        <w:rPr>
          <w:rFonts w:ascii="Poppins" w:cs="Poppins" w:eastAsia="Poppins" w:hAnsi="Poppins"/>
          <w:b w:val="false"/>
          <w:bCs w:val="false"/>
          <w:color w:val="000000"/>
          <w:sz w:val="21"/>
          <w:szCs w:val="21"/>
        </w:rPr>
        <w:t xml:space="preserve">La Organización Mundial de la Salud (OMS) exclusivamente</w:t>
      </w:r>
    </w:p>
    <w:p>
      <w:pPr>
        <w:spacing w:after="60"/>
      </w:pPr>
      <w:r>
        <w:rPr>
          <w:rFonts w:ascii="Poppins" w:cs="Poppins" w:eastAsia="Poppins" w:hAnsi="Poppins"/>
          <w:b/>
          <w:bCs/>
          <w:color w:val="000000"/>
          <w:sz w:val="21"/>
          <w:szCs w:val="21"/>
        </w:rPr>
        <w:t xml:space="preserve">C. </w:t>
      </w:r>
      <w:r>
        <w:rPr>
          <w:rFonts w:ascii="Poppins" w:cs="Poppins" w:eastAsia="Poppins" w:hAnsi="Poppins"/>
          <w:b w:val="false"/>
          <w:bCs w:val="false"/>
          <w:color w:val="000000"/>
          <w:sz w:val="21"/>
          <w:szCs w:val="21"/>
        </w:rPr>
        <w:t xml:space="preserve">El Colegio Americano de Cardiología exclusivamente</w:t>
      </w:r>
    </w:p>
    <w:p>
      <w:pPr>
        <w:spacing w:after="60"/>
      </w:pPr>
      <w:r>
        <w:rPr>
          <w:rFonts w:ascii="Poppins" w:cs="Poppins" w:eastAsia="Poppins" w:hAnsi="Poppins"/>
          <w:b/>
          <w:bCs/>
          <w:color w:val="000000"/>
          <w:sz w:val="21"/>
          <w:szCs w:val="21"/>
        </w:rPr>
        <w:t xml:space="preserve">D. </w:t>
      </w:r>
      <w:r>
        <w:rPr>
          <w:rFonts w:ascii="Poppins" w:cs="Poppins" w:eastAsia="Poppins" w:hAnsi="Poppins"/>
          <w:b w:val="false"/>
          <w:bCs w:val="false"/>
          <w:color w:val="000000"/>
          <w:sz w:val="21"/>
          <w:szCs w:val="21"/>
        </w:rPr>
        <w:t xml:space="preserve">Ningún organismo internacional recomienda este tamizaje según la guía</w:t>
      </w:r>
    </w:p>
    <w:p>
      <w:pPr>
        <w:spacing w:after="100" w:before="120"/>
      </w:pPr>
      <w:r>
        <w:rPr>
          <w:rFonts w:ascii="Poppins" w:cs="Poppins" w:eastAsia="Poppins" w:hAnsi="Poppins"/>
          <w:b/>
          <w:bCs/>
          <w:color w:val="001C31"/>
          <w:sz w:val="21"/>
          <w:szCs w:val="21"/>
        </w:rPr>
        <w:t xml:space="preserve">Respuesta correcta: A</w:t>
      </w:r>
    </w:p>
    <w:p>
      <w:pPr>
        <w:spacing w:after="60"/>
      </w:pPr>
      <w:r>
        <w:rPr>
          <w:rFonts w:ascii="Poppins" w:cs="Poppins" w:eastAsia="Poppins" w:hAnsi="Poppins"/>
          <w:b/>
          <w:bCs/>
          <w:color w:val="001C31"/>
          <w:sz w:val="21"/>
          <w:szCs w:val="21"/>
          <w:u w:val="single"/>
        </w:rPr>
        <w:t xml:space="preserve">Justificación de la respuesta correcta</w:t>
      </w:r>
    </w:p>
    <w:p>
      <w:pPr>
        <w:spacing w:after="150"/>
      </w:pPr>
      <w:r>
        <w:rPr>
          <w:rFonts w:ascii="Poppins" w:cs="Poppins" w:eastAsia="Poppins" w:hAnsi="Poppins"/>
          <w:sz w:val="21"/>
          <w:szCs w:val="21"/>
        </w:rPr>
        <w:t xml:space="preserve">La guía establece que la bacteriuria asintomática no presenta sintomatología y puede determinar problemas obstétricos y perinatales de alto impacto, por lo que se debe realizar tamizaje apropiado para detectarla, como lo recomienda el American College of Obstetrics and Gynecology (ACOG) y el U.S. Preventive Services Task Force.</w:t>
      </w:r>
    </w:p>
    <w:p>
      <w:pPr>
        <w:spacing w:after="60"/>
      </w:pPr>
      <w:r>
        <w:rPr>
          <w:rFonts w:ascii="Poppins" w:cs="Poppins" w:eastAsia="Poppins" w:hAnsi="Poppins"/>
          <w:b/>
          <w:bCs/>
          <w:color w:val="001C31"/>
          <w:sz w:val="21"/>
          <w:szCs w:val="21"/>
          <w:u w:val="single"/>
        </w:rPr>
        <w:t xml:space="preserve">Justificación de las opciones incorrectas</w:t>
      </w:r>
    </w:p>
    <w:p>
      <w:pPr>
        <w:spacing w:after="60"/>
      </w:pPr>
      <w:r>
        <w:rPr>
          <w:rFonts w:ascii="Poppins" w:cs="Poppins" w:eastAsia="Poppins" w:hAnsi="Poppins"/>
          <w:b/>
          <w:bCs/>
          <w:sz w:val="21"/>
          <w:szCs w:val="21"/>
        </w:rPr>
        <w:t xml:space="preserve">Opción B: </w:t>
      </w:r>
      <w:r>
        <w:rPr>
          <w:rFonts w:ascii="Poppins" w:cs="Poppins" w:eastAsia="Poppins" w:hAnsi="Poppins"/>
          <w:sz w:val="21"/>
          <w:szCs w:val="21"/>
        </w:rPr>
        <w:t xml:space="preserve">La OMS no se menciona en este apartado específico como el organismo que recomienda el tamizaje de BA; la guía cita al ACOG y al U.S. Preventive Services Task Force.</w:t>
      </w:r>
    </w:p>
    <w:p>
      <w:pPr>
        <w:spacing w:after="60"/>
      </w:pPr>
      <w:r>
        <w:rPr>
          <w:rFonts w:ascii="Poppins" w:cs="Poppins" w:eastAsia="Poppins" w:hAnsi="Poppins"/>
          <w:b/>
          <w:bCs/>
          <w:sz w:val="21"/>
          <w:szCs w:val="21"/>
        </w:rPr>
        <w:t xml:space="preserve">Opción C: </w:t>
      </w:r>
      <w:r>
        <w:rPr>
          <w:rFonts w:ascii="Poppins" w:cs="Poppins" w:eastAsia="Poppins" w:hAnsi="Poppins"/>
          <w:sz w:val="21"/>
          <w:szCs w:val="21"/>
        </w:rPr>
        <w:t xml:space="preserve">El Colegio Americano de Cardiología no tiene relación con esta recomendación ni se menciona en la guía.</w:t>
      </w:r>
    </w:p>
    <w:p>
      <w:pPr>
        <w:spacing w:after="60"/>
      </w:pPr>
      <w:r>
        <w:rPr>
          <w:rFonts w:ascii="Poppins" w:cs="Poppins" w:eastAsia="Poppins" w:hAnsi="Poppins"/>
          <w:b/>
          <w:bCs/>
          <w:sz w:val="21"/>
          <w:szCs w:val="21"/>
        </w:rPr>
        <w:t xml:space="preserve">Opción D: </w:t>
      </w:r>
      <w:r>
        <w:rPr>
          <w:rFonts w:ascii="Poppins" w:cs="Poppins" w:eastAsia="Poppins" w:hAnsi="Poppins"/>
          <w:sz w:val="21"/>
          <w:szCs w:val="21"/>
        </w:rPr>
        <w:t xml:space="preserve">La guía sí cita organismos específicos que recomiendan este tamizaje, por lo que esta afirmación es incorrecta.</w:t>
      </w:r>
    </w:p>
    <w:p>
      <w:pPr>
        <w:pBdr>
          <w:bottom w:val="single" w:color="B08D3F" w:sz="6" w:space="4"/>
        </w:pBdr>
        <w:spacing w:after="200" w:before="100"/>
      </w:pPr>
      <w:r>
        <w:rPr>
          <w:rFonts w:ascii="Poppins" w:cs="Poppins" w:eastAsia="Poppins" w:hAnsi="Poppins"/>
          <w:b/>
          <w:bCs/>
          <w:i/>
          <w:iCs/>
          <w:color w:val="B08D3F"/>
          <w:sz w:val="20"/>
          <w:szCs w:val="20"/>
        </w:rPr>
        <w:t xml:space="preserve">Referencia: </w:t>
      </w:r>
      <w:r>
        <w:rPr>
          <w:rFonts w:ascii="Poppins" w:cs="Poppins" w:eastAsia="Poppins" w:hAnsi="Poppins"/>
          <w:i/>
          <w:iCs/>
          <w:color w:val="555555"/>
          <w:sz w:val="20"/>
          <w:szCs w:val="20"/>
        </w:rPr>
        <w:t xml:space="preserve">Historia natural y pronóstico de la infección de vías urinaria en el embarazo. Página 14.</w:t>
      </w:r>
    </w:p>
    <w:p>
      <w:pPr>
        <w:shd w:fill="001C31" w:val="clear"/>
        <w:spacing w:after="100" w:before="300"/>
      </w:pPr>
      <w:r>
        <w:rPr>
          <w:rFonts w:ascii="Poppins" w:cs="Poppins" w:eastAsia="Poppins" w:hAnsi="Poppins"/>
          <w:b/>
          <w:bCs/>
          <w:color w:val="FFFFFF"/>
          <w:sz w:val="24"/>
          <w:szCs w:val="24"/>
        </w:rPr>
        <w:t xml:space="preserve">PREGUNTA 12</w:t>
      </w:r>
    </w:p>
    <w:p>
      <w:pPr>
        <w:spacing w:after="120"/>
      </w:pPr>
      <w:r>
        <w:rPr>
          <w:rFonts w:ascii="Poppins" w:cs="Poppins" w:eastAsia="Poppins" w:hAnsi="Poppins"/>
          <w:b/>
          <w:bCs/>
          <w:color w:val="001C31"/>
          <w:sz w:val="21"/>
          <w:szCs w:val="21"/>
        </w:rPr>
        <w:t xml:space="preserve">Pregunta: </w:t>
      </w:r>
      <w:r>
        <w:rPr>
          <w:rFonts w:ascii="Poppins" w:cs="Poppins" w:eastAsia="Poppins" w:hAnsi="Poppins"/>
          <w:sz w:val="21"/>
          <w:szCs w:val="21"/>
        </w:rPr>
        <w:t xml:space="preserve">Según la GPC, ¿cuáles son los cambios fisiológicos del embarazo que propician la bacteriuria asintomática y su progresión a pielonefritis?</w:t>
      </w:r>
    </w:p>
    <w:p>
      <w:pPr>
        <w:spacing w:after="60"/>
      </w:pPr>
      <w:r>
        <w:rPr>
          <w:rFonts w:ascii="Poppins" w:cs="Poppins" w:eastAsia="Poppins" w:hAnsi="Poppins"/>
          <w:b/>
          <w:bCs/>
          <w:color w:val="B08D3F"/>
          <w:sz w:val="21"/>
          <w:szCs w:val="21"/>
        </w:rPr>
        <w:t xml:space="preserve">A. </w:t>
      </w:r>
      <w:r>
        <w:rPr>
          <w:rFonts w:ascii="Poppins" w:cs="Poppins" w:eastAsia="Poppins" w:hAnsi="Poppins"/>
          <w:b/>
          <w:bCs/>
          <w:color w:val="B08D3F"/>
          <w:sz w:val="21"/>
          <w:szCs w:val="21"/>
        </w:rPr>
        <w:t xml:space="preserve">Compresión mecánica por el crecimiento del útero, relajación del músculo liso inducida por la progesterona, cambios en el pH urinario, glucosuria y aminoaciduria</w:t>
      </w:r>
    </w:p>
    <w:p>
      <w:pPr>
        <w:spacing w:after="60"/>
      </w:pPr>
      <w:r>
        <w:rPr>
          <w:rFonts w:ascii="Poppins" w:cs="Poppins" w:eastAsia="Poppins" w:hAnsi="Poppins"/>
          <w:b/>
          <w:bCs/>
          <w:color w:val="000000"/>
          <w:sz w:val="21"/>
          <w:szCs w:val="21"/>
        </w:rPr>
        <w:t xml:space="preserve">B. </w:t>
      </w:r>
      <w:r>
        <w:rPr>
          <w:rFonts w:ascii="Poppins" w:cs="Poppins" w:eastAsia="Poppins" w:hAnsi="Poppins"/>
          <w:b w:val="false"/>
          <w:bCs w:val="false"/>
          <w:color w:val="000000"/>
          <w:sz w:val="21"/>
          <w:szCs w:val="21"/>
        </w:rPr>
        <w:t xml:space="preserve">Únicamente el aumento del volumen plasmático materno</w:t>
      </w:r>
    </w:p>
    <w:p>
      <w:pPr>
        <w:spacing w:after="60"/>
      </w:pPr>
      <w:r>
        <w:rPr>
          <w:rFonts w:ascii="Poppins" w:cs="Poppins" w:eastAsia="Poppins" w:hAnsi="Poppins"/>
          <w:b/>
          <w:bCs/>
          <w:color w:val="000000"/>
          <w:sz w:val="21"/>
          <w:szCs w:val="21"/>
        </w:rPr>
        <w:t xml:space="preserve">C. </w:t>
      </w:r>
      <w:r>
        <w:rPr>
          <w:rFonts w:ascii="Poppins" w:cs="Poppins" w:eastAsia="Poppins" w:hAnsi="Poppins"/>
          <w:b w:val="false"/>
          <w:bCs w:val="false"/>
          <w:color w:val="000000"/>
          <w:sz w:val="21"/>
          <w:szCs w:val="21"/>
        </w:rPr>
        <w:t xml:space="preserve">Exclusivamente la disminución de la frecuencia miccional en el tercer trimestre</w:t>
      </w:r>
    </w:p>
    <w:p>
      <w:pPr>
        <w:spacing w:after="60"/>
      </w:pPr>
      <w:r>
        <w:rPr>
          <w:rFonts w:ascii="Poppins" w:cs="Poppins" w:eastAsia="Poppins" w:hAnsi="Poppins"/>
          <w:b/>
          <w:bCs/>
          <w:color w:val="000000"/>
          <w:sz w:val="21"/>
          <w:szCs w:val="21"/>
        </w:rPr>
        <w:t xml:space="preserve">D. </w:t>
      </w:r>
      <w:r>
        <w:rPr>
          <w:rFonts w:ascii="Poppins" w:cs="Poppins" w:eastAsia="Poppins" w:hAnsi="Poppins"/>
          <w:b w:val="false"/>
          <w:bCs w:val="false"/>
          <w:color w:val="000000"/>
          <w:sz w:val="21"/>
          <w:szCs w:val="21"/>
        </w:rPr>
        <w:t xml:space="preserve">Solamente el incremento de la tasa de filtración glomerular sin otros cambios asociados</w:t>
      </w:r>
    </w:p>
    <w:p>
      <w:pPr>
        <w:spacing w:after="100" w:before="120"/>
      </w:pPr>
      <w:r>
        <w:rPr>
          <w:rFonts w:ascii="Poppins" w:cs="Poppins" w:eastAsia="Poppins" w:hAnsi="Poppins"/>
          <w:b/>
          <w:bCs/>
          <w:color w:val="001C31"/>
          <w:sz w:val="21"/>
          <w:szCs w:val="21"/>
        </w:rPr>
        <w:t xml:space="preserve">Respuesta correcta: A</w:t>
      </w:r>
    </w:p>
    <w:p>
      <w:pPr>
        <w:spacing w:after="60"/>
      </w:pPr>
      <w:r>
        <w:rPr>
          <w:rFonts w:ascii="Poppins" w:cs="Poppins" w:eastAsia="Poppins" w:hAnsi="Poppins"/>
          <w:b/>
          <w:bCs/>
          <w:color w:val="001C31"/>
          <w:sz w:val="21"/>
          <w:szCs w:val="21"/>
          <w:u w:val="single"/>
        </w:rPr>
        <w:t xml:space="preserve">Justificación de la respuesta correcta</w:t>
      </w:r>
    </w:p>
    <w:p>
      <w:pPr>
        <w:spacing w:after="150"/>
      </w:pPr>
      <w:r>
        <w:rPr>
          <w:rFonts w:ascii="Poppins" w:cs="Poppins" w:eastAsia="Poppins" w:hAnsi="Poppins"/>
          <w:sz w:val="21"/>
          <w:szCs w:val="21"/>
        </w:rPr>
        <w:t xml:space="preserve">La guía señala que los cambios fisiológicos en el embarazo que propician la bacteriuria asintomática (BA) y su progresión a pielonefritis incluyen la compresión mecánica por el crecimiento del útero, la relajación del músculo liso inducida por la progesterona, los cambios en el pH urinario, así como la glucosuria y la aminoaciduria.</w:t>
      </w:r>
    </w:p>
    <w:p>
      <w:pPr>
        <w:spacing w:after="60"/>
      </w:pPr>
      <w:r>
        <w:rPr>
          <w:rFonts w:ascii="Poppins" w:cs="Poppins" w:eastAsia="Poppins" w:hAnsi="Poppins"/>
          <w:b/>
          <w:bCs/>
          <w:color w:val="001C31"/>
          <w:sz w:val="21"/>
          <w:szCs w:val="21"/>
          <w:u w:val="single"/>
        </w:rPr>
        <w:t xml:space="preserve">Justificación de las opciones incorrectas</w:t>
      </w:r>
    </w:p>
    <w:p>
      <w:pPr>
        <w:spacing w:after="60"/>
      </w:pPr>
      <w:r>
        <w:rPr>
          <w:rFonts w:ascii="Poppins" w:cs="Poppins" w:eastAsia="Poppins" w:hAnsi="Poppins"/>
          <w:b/>
          <w:bCs/>
          <w:sz w:val="21"/>
          <w:szCs w:val="21"/>
        </w:rPr>
        <w:t xml:space="preserve">Opción B: </w:t>
      </w:r>
      <w:r>
        <w:rPr>
          <w:rFonts w:ascii="Poppins" w:cs="Poppins" w:eastAsia="Poppins" w:hAnsi="Poppins"/>
          <w:sz w:val="21"/>
          <w:szCs w:val="21"/>
        </w:rPr>
        <w:t xml:space="preserve">El aumento del volumen plasmático no se menciona en la guía como uno de los cambios fisiológicos que propician la BA; los factores descritos son de tipo mecánico, hormonal y metabólico urinario.</w:t>
      </w:r>
    </w:p>
    <w:p>
      <w:pPr>
        <w:spacing w:after="60"/>
      </w:pPr>
      <w:r>
        <w:rPr>
          <w:rFonts w:ascii="Poppins" w:cs="Poppins" w:eastAsia="Poppins" w:hAnsi="Poppins"/>
          <w:b/>
          <w:bCs/>
          <w:sz w:val="21"/>
          <w:szCs w:val="21"/>
        </w:rPr>
        <w:t xml:space="preserve">Opción C: </w:t>
      </w:r>
      <w:r>
        <w:rPr>
          <w:rFonts w:ascii="Poppins" w:cs="Poppins" w:eastAsia="Poppins" w:hAnsi="Poppins"/>
          <w:sz w:val="21"/>
          <w:szCs w:val="21"/>
        </w:rPr>
        <w:t xml:space="preserve">La guía no menciona una disminución de la frecuencia miccional como factor predisponente; describe cambios mecánicos, hormonales y bioquímicos en la orina.</w:t>
      </w:r>
    </w:p>
    <w:p>
      <w:pPr>
        <w:spacing w:after="60"/>
      </w:pPr>
      <w:r>
        <w:rPr>
          <w:rFonts w:ascii="Poppins" w:cs="Poppins" w:eastAsia="Poppins" w:hAnsi="Poppins"/>
          <w:b/>
          <w:bCs/>
          <w:sz w:val="21"/>
          <w:szCs w:val="21"/>
        </w:rPr>
        <w:t xml:space="preserve">Opción D: </w:t>
      </w:r>
      <w:r>
        <w:rPr>
          <w:rFonts w:ascii="Poppins" w:cs="Poppins" w:eastAsia="Poppins" w:hAnsi="Poppins"/>
          <w:sz w:val="21"/>
          <w:szCs w:val="21"/>
        </w:rPr>
        <w:t xml:space="preserve">La guía no atribuye el fenómeno únicamente al aumento de la filtración glomerular; describe un conjunto más amplio de cambios fisiológicos.</w:t>
      </w:r>
    </w:p>
    <w:p>
      <w:pPr>
        <w:pBdr>
          <w:bottom w:val="single" w:color="B08D3F" w:sz="6" w:space="4"/>
        </w:pBdr>
        <w:spacing w:after="200" w:before="100"/>
      </w:pPr>
      <w:r>
        <w:rPr>
          <w:rFonts w:ascii="Poppins" w:cs="Poppins" w:eastAsia="Poppins" w:hAnsi="Poppins"/>
          <w:b/>
          <w:bCs/>
          <w:i/>
          <w:iCs/>
          <w:color w:val="B08D3F"/>
          <w:sz w:val="20"/>
          <w:szCs w:val="20"/>
        </w:rPr>
        <w:t xml:space="preserve">Referencia: </w:t>
      </w:r>
      <w:r>
        <w:rPr>
          <w:rFonts w:ascii="Poppins" w:cs="Poppins" w:eastAsia="Poppins" w:hAnsi="Poppins"/>
          <w:i/>
          <w:iCs/>
          <w:color w:val="555555"/>
          <w:sz w:val="20"/>
          <w:szCs w:val="20"/>
        </w:rPr>
        <w:t xml:space="preserve">Historia natural y pronóstico de la infección de vías urinaria en el embarazo. Página 14.</w:t>
      </w:r>
    </w:p>
    <w:p>
      <w:pPr>
        <w:shd w:fill="001C31" w:val="clear"/>
        <w:spacing w:after="100" w:before="300"/>
      </w:pPr>
      <w:r>
        <w:rPr>
          <w:rFonts w:ascii="Poppins" w:cs="Poppins" w:eastAsia="Poppins" w:hAnsi="Poppins"/>
          <w:b/>
          <w:bCs/>
          <w:color w:val="FFFFFF"/>
          <w:sz w:val="24"/>
          <w:szCs w:val="24"/>
        </w:rPr>
        <w:t xml:space="preserve">PREGUNTA 13</w:t>
      </w:r>
    </w:p>
    <w:p>
      <w:pPr>
        <w:spacing w:after="120"/>
      </w:pPr>
      <w:r>
        <w:rPr>
          <w:rFonts w:ascii="Poppins" w:cs="Poppins" w:eastAsia="Poppins" w:hAnsi="Poppins"/>
          <w:b/>
          <w:bCs/>
          <w:color w:val="001C31"/>
          <w:sz w:val="21"/>
          <w:szCs w:val="21"/>
        </w:rPr>
        <w:t xml:space="preserve">Pregunta: </w:t>
      </w:r>
      <w:r>
        <w:rPr>
          <w:rFonts w:ascii="Poppins" w:cs="Poppins" w:eastAsia="Poppins" w:hAnsi="Poppins"/>
          <w:sz w:val="21"/>
          <w:szCs w:val="21"/>
        </w:rPr>
        <w:t xml:space="preserve">Según la GPC, ¿cómo se define la infección de vías urinarias (IVU)?</w:t>
      </w:r>
    </w:p>
    <w:p>
      <w:pPr>
        <w:spacing w:after="60"/>
      </w:pPr>
      <w:r>
        <w:rPr>
          <w:rFonts w:ascii="Poppins" w:cs="Poppins" w:eastAsia="Poppins" w:hAnsi="Poppins"/>
          <w:b/>
          <w:bCs/>
          <w:color w:val="B08D3F"/>
          <w:sz w:val="21"/>
          <w:szCs w:val="21"/>
        </w:rPr>
        <w:t xml:space="preserve">A. </w:t>
      </w:r>
      <w:r>
        <w:rPr>
          <w:rFonts w:ascii="Poppins" w:cs="Poppins" w:eastAsia="Poppins" w:hAnsi="Poppins"/>
          <w:b/>
          <w:bCs/>
          <w:color w:val="B08D3F"/>
          <w:sz w:val="21"/>
          <w:szCs w:val="21"/>
        </w:rPr>
        <w:t xml:space="preserve">La existencia de gérmenes patógenos en la orina por infección de la vejiga o el riñón</w:t>
      </w:r>
    </w:p>
    <w:p>
      <w:pPr>
        <w:spacing w:after="60"/>
      </w:pPr>
      <w:r>
        <w:rPr>
          <w:rFonts w:ascii="Poppins" w:cs="Poppins" w:eastAsia="Poppins" w:hAnsi="Poppins"/>
          <w:b/>
          <w:bCs/>
          <w:color w:val="000000"/>
          <w:sz w:val="21"/>
          <w:szCs w:val="21"/>
        </w:rPr>
        <w:t xml:space="preserve">B. </w:t>
      </w:r>
      <w:r>
        <w:rPr>
          <w:rFonts w:ascii="Poppins" w:cs="Poppins" w:eastAsia="Poppins" w:hAnsi="Poppins"/>
          <w:b w:val="false"/>
          <w:bCs w:val="false"/>
          <w:color w:val="000000"/>
          <w:sz w:val="21"/>
          <w:szCs w:val="21"/>
        </w:rPr>
        <w:t xml:space="preserve">La presencia exclusiva de leucocitos en orina, independientemente del urocultivo</w:t>
      </w:r>
    </w:p>
    <w:p>
      <w:pPr>
        <w:spacing w:after="60"/>
      </w:pPr>
      <w:r>
        <w:rPr>
          <w:rFonts w:ascii="Poppins" w:cs="Poppins" w:eastAsia="Poppins" w:hAnsi="Poppins"/>
          <w:b/>
          <w:bCs/>
          <w:color w:val="000000"/>
          <w:sz w:val="21"/>
          <w:szCs w:val="21"/>
        </w:rPr>
        <w:t xml:space="preserve">C. </w:t>
      </w:r>
      <w:r>
        <w:rPr>
          <w:rFonts w:ascii="Poppins" w:cs="Poppins" w:eastAsia="Poppins" w:hAnsi="Poppins"/>
          <w:b w:val="false"/>
          <w:bCs w:val="false"/>
          <w:color w:val="000000"/>
          <w:sz w:val="21"/>
          <w:szCs w:val="21"/>
        </w:rPr>
        <w:t xml:space="preserve">La presencia de proteinuria mayor a 300 mg en 24 horas</w:t>
      </w:r>
    </w:p>
    <w:p>
      <w:pPr>
        <w:spacing w:after="60"/>
      </w:pPr>
      <w:r>
        <w:rPr>
          <w:rFonts w:ascii="Poppins" w:cs="Poppins" w:eastAsia="Poppins" w:hAnsi="Poppins"/>
          <w:b/>
          <w:bCs/>
          <w:color w:val="000000"/>
          <w:sz w:val="21"/>
          <w:szCs w:val="21"/>
        </w:rPr>
        <w:t xml:space="preserve">D. </w:t>
      </w:r>
      <w:r>
        <w:rPr>
          <w:rFonts w:ascii="Poppins" w:cs="Poppins" w:eastAsia="Poppins" w:hAnsi="Poppins"/>
          <w:b w:val="false"/>
          <w:bCs w:val="false"/>
          <w:color w:val="000000"/>
          <w:sz w:val="21"/>
          <w:szCs w:val="21"/>
        </w:rPr>
        <w:t xml:space="preserve">La sensación inminente de orinar sin otro hallazgo asociado</w:t>
      </w:r>
    </w:p>
    <w:p>
      <w:pPr>
        <w:spacing w:after="100" w:before="120"/>
      </w:pPr>
      <w:r>
        <w:rPr>
          <w:rFonts w:ascii="Poppins" w:cs="Poppins" w:eastAsia="Poppins" w:hAnsi="Poppins"/>
          <w:b/>
          <w:bCs/>
          <w:color w:val="001C31"/>
          <w:sz w:val="21"/>
          <w:szCs w:val="21"/>
        </w:rPr>
        <w:t xml:space="preserve">Respuesta correcta: A</w:t>
      </w:r>
    </w:p>
    <w:p>
      <w:pPr>
        <w:spacing w:after="60"/>
      </w:pPr>
      <w:r>
        <w:rPr>
          <w:rFonts w:ascii="Poppins" w:cs="Poppins" w:eastAsia="Poppins" w:hAnsi="Poppins"/>
          <w:b/>
          <w:bCs/>
          <w:color w:val="001C31"/>
          <w:sz w:val="21"/>
          <w:szCs w:val="21"/>
          <w:u w:val="single"/>
        </w:rPr>
        <w:t xml:space="preserve">Justificación de la respuesta correcta</w:t>
      </w:r>
    </w:p>
    <w:p>
      <w:pPr>
        <w:spacing w:after="150"/>
      </w:pPr>
      <w:r>
        <w:rPr>
          <w:rFonts w:ascii="Poppins" w:cs="Poppins" w:eastAsia="Poppins" w:hAnsi="Poppins"/>
          <w:sz w:val="21"/>
          <w:szCs w:val="21"/>
        </w:rPr>
        <w:t xml:space="preserve">La guía define la infección de vías urinarias (IVU) como la existencia de gérmenes patógenos en la orina por infección de la vejiga o el riñón, señalando que los síntomas varían según el sitio de la infección, pudiendo incluso ser asintomática.</w:t>
      </w:r>
    </w:p>
    <w:p>
      <w:pPr>
        <w:spacing w:after="60"/>
      </w:pPr>
      <w:r>
        <w:rPr>
          <w:rFonts w:ascii="Poppins" w:cs="Poppins" w:eastAsia="Poppins" w:hAnsi="Poppins"/>
          <w:b/>
          <w:bCs/>
          <w:color w:val="001C31"/>
          <w:sz w:val="21"/>
          <w:szCs w:val="21"/>
          <w:u w:val="single"/>
        </w:rPr>
        <w:t xml:space="preserve">Justificación de las opciones incorrectas</w:t>
      </w:r>
    </w:p>
    <w:p>
      <w:pPr>
        <w:spacing w:after="60"/>
      </w:pPr>
      <w:r>
        <w:rPr>
          <w:rFonts w:ascii="Poppins" w:cs="Poppins" w:eastAsia="Poppins" w:hAnsi="Poppins"/>
          <w:b/>
          <w:bCs/>
          <w:sz w:val="21"/>
          <w:szCs w:val="21"/>
        </w:rPr>
        <w:t xml:space="preserve">Opción B: </w:t>
      </w:r>
      <w:r>
        <w:rPr>
          <w:rFonts w:ascii="Poppins" w:cs="Poppins" w:eastAsia="Poppins" w:hAnsi="Poppins"/>
          <w:sz w:val="21"/>
          <w:szCs w:val="21"/>
        </w:rPr>
        <w:t xml:space="preserve">La presencia aislada de leucocitos en orina no constituye, por sí sola, la definición de IVU según la guía; el diagnóstico se relaciona con la existencia de gérmenes patógenos, confirmada idealmente por urocultivo.</w:t>
      </w:r>
    </w:p>
    <w:p>
      <w:pPr>
        <w:spacing w:after="60"/>
      </w:pPr>
      <w:r>
        <w:rPr>
          <w:rFonts w:ascii="Poppins" w:cs="Poppins" w:eastAsia="Poppins" w:hAnsi="Poppins"/>
          <w:b/>
          <w:bCs/>
          <w:sz w:val="21"/>
          <w:szCs w:val="21"/>
        </w:rPr>
        <w:t xml:space="preserve">Opción C: </w:t>
      </w:r>
      <w:r>
        <w:rPr>
          <w:rFonts w:ascii="Poppins" w:cs="Poppins" w:eastAsia="Poppins" w:hAnsi="Poppins"/>
          <w:sz w:val="21"/>
          <w:szCs w:val="21"/>
        </w:rPr>
        <w:t xml:space="preserve">La proteinuria mayor a 300 mg en 24 horas corresponde a la definición de proteinuria en el glosario de términos, no a la definición de infección de vías urinarias.</w:t>
      </w:r>
    </w:p>
    <w:p>
      <w:pPr>
        <w:spacing w:after="60"/>
      </w:pPr>
      <w:r>
        <w:rPr>
          <w:rFonts w:ascii="Poppins" w:cs="Poppins" w:eastAsia="Poppins" w:hAnsi="Poppins"/>
          <w:b/>
          <w:bCs/>
          <w:sz w:val="21"/>
          <w:szCs w:val="21"/>
        </w:rPr>
        <w:t xml:space="preserve">Opción D: </w:t>
      </w:r>
      <w:r>
        <w:rPr>
          <w:rFonts w:ascii="Poppins" w:cs="Poppins" w:eastAsia="Poppins" w:hAnsi="Poppins"/>
          <w:sz w:val="21"/>
          <w:szCs w:val="21"/>
        </w:rPr>
        <w:t xml:space="preserve">La sensación inminente de orinar corresponde a la definición de urgencia urinaria en el glosario de términos, no a la definición de IVU.</w:t>
      </w:r>
    </w:p>
    <w:p>
      <w:pPr>
        <w:pBdr>
          <w:bottom w:val="single" w:color="B08D3F" w:sz="6" w:space="4"/>
        </w:pBdr>
        <w:spacing w:after="200" w:before="100"/>
      </w:pPr>
      <w:r>
        <w:rPr>
          <w:rFonts w:ascii="Poppins" w:cs="Poppins" w:eastAsia="Poppins" w:hAnsi="Poppins"/>
          <w:b/>
          <w:bCs/>
          <w:i/>
          <w:iCs/>
          <w:color w:val="B08D3F"/>
          <w:sz w:val="20"/>
          <w:szCs w:val="20"/>
        </w:rPr>
        <w:t xml:space="preserve">Referencia: </w:t>
      </w:r>
      <w:r>
        <w:rPr>
          <w:rFonts w:ascii="Poppins" w:cs="Poppins" w:eastAsia="Poppins" w:hAnsi="Poppins"/>
          <w:i/>
          <w:iCs/>
          <w:color w:val="555555"/>
          <w:sz w:val="20"/>
          <w:szCs w:val="20"/>
        </w:rPr>
        <w:t xml:space="preserve">Definiciones, clasificación y epidemiología de la infección de vías urinarias en el embarazo. Página 15.</w:t>
      </w:r>
    </w:p>
    <w:p>
      <w:pPr>
        <w:shd w:fill="001C31" w:val="clear"/>
        <w:spacing w:after="100" w:before="300"/>
      </w:pPr>
      <w:r>
        <w:rPr>
          <w:rFonts w:ascii="Poppins" w:cs="Poppins" w:eastAsia="Poppins" w:hAnsi="Poppins"/>
          <w:b/>
          <w:bCs/>
          <w:color w:val="FFFFFF"/>
          <w:sz w:val="24"/>
          <w:szCs w:val="24"/>
        </w:rPr>
        <w:t xml:space="preserve">PREGUNTA 14</w:t>
      </w:r>
    </w:p>
    <w:p>
      <w:pPr>
        <w:spacing w:after="120"/>
      </w:pPr>
      <w:r>
        <w:rPr>
          <w:rFonts w:ascii="Poppins" w:cs="Poppins" w:eastAsia="Poppins" w:hAnsi="Poppins"/>
          <w:b/>
          <w:bCs/>
          <w:color w:val="001C31"/>
          <w:sz w:val="21"/>
          <w:szCs w:val="21"/>
        </w:rPr>
        <w:t xml:space="preserve">Pregunta: </w:t>
      </w:r>
      <w:r>
        <w:rPr>
          <w:rFonts w:ascii="Poppins" w:cs="Poppins" w:eastAsia="Poppins" w:hAnsi="Poppins"/>
          <w:sz w:val="21"/>
          <w:szCs w:val="21"/>
        </w:rPr>
        <w:t xml:space="preserve">Según la GPC, ¿en qué tres presentaciones se clasifica la IVU de acuerdo al sitio de proliferación de las bacterias?</w:t>
      </w:r>
    </w:p>
    <w:p>
      <w:pPr>
        <w:spacing w:after="60"/>
      </w:pPr>
      <w:r>
        <w:rPr>
          <w:rFonts w:ascii="Poppins" w:cs="Poppins" w:eastAsia="Poppins" w:hAnsi="Poppins"/>
          <w:b/>
          <w:bCs/>
          <w:color w:val="B08D3F"/>
          <w:sz w:val="21"/>
          <w:szCs w:val="21"/>
        </w:rPr>
        <w:t xml:space="preserve">A. </w:t>
      </w:r>
      <w:r>
        <w:rPr>
          <w:rFonts w:ascii="Poppins" w:cs="Poppins" w:eastAsia="Poppins" w:hAnsi="Poppins"/>
          <w:b/>
          <w:bCs/>
          <w:color w:val="B08D3F"/>
          <w:sz w:val="21"/>
          <w:szCs w:val="21"/>
        </w:rPr>
        <w:t xml:space="preserve">Bacteriuria asintomática (orina), cistitis (vejiga) y pielonefritis (riñón)</w:t>
      </w:r>
    </w:p>
    <w:p>
      <w:pPr>
        <w:spacing w:after="60"/>
      </w:pPr>
      <w:r>
        <w:rPr>
          <w:rFonts w:ascii="Poppins" w:cs="Poppins" w:eastAsia="Poppins" w:hAnsi="Poppins"/>
          <w:b/>
          <w:bCs/>
          <w:color w:val="000000"/>
          <w:sz w:val="21"/>
          <w:szCs w:val="21"/>
        </w:rPr>
        <w:t xml:space="preserve">B. </w:t>
      </w:r>
      <w:r>
        <w:rPr>
          <w:rFonts w:ascii="Poppins" w:cs="Poppins" w:eastAsia="Poppins" w:hAnsi="Poppins"/>
          <w:b w:val="false"/>
          <w:bCs w:val="false"/>
          <w:color w:val="000000"/>
          <w:sz w:val="21"/>
          <w:szCs w:val="21"/>
        </w:rPr>
        <w:t xml:space="preserve">Uretritis, vaginitis y cervicitis</w:t>
      </w:r>
    </w:p>
    <w:p>
      <w:pPr>
        <w:spacing w:after="60"/>
      </w:pPr>
      <w:r>
        <w:rPr>
          <w:rFonts w:ascii="Poppins" w:cs="Poppins" w:eastAsia="Poppins" w:hAnsi="Poppins"/>
          <w:b/>
          <w:bCs/>
          <w:color w:val="000000"/>
          <w:sz w:val="21"/>
          <w:szCs w:val="21"/>
        </w:rPr>
        <w:t xml:space="preserve">C. </w:t>
      </w:r>
      <w:r>
        <w:rPr>
          <w:rFonts w:ascii="Poppins" w:cs="Poppins" w:eastAsia="Poppins" w:hAnsi="Poppins"/>
          <w:b w:val="false"/>
          <w:bCs w:val="false"/>
          <w:color w:val="000000"/>
          <w:sz w:val="21"/>
          <w:szCs w:val="21"/>
        </w:rPr>
        <w:t xml:space="preserve">Nefritis intersticial, glomerulonefritis y nefrolitiasis</w:t>
      </w:r>
    </w:p>
    <w:p>
      <w:pPr>
        <w:spacing w:after="60"/>
      </w:pPr>
      <w:r>
        <w:rPr>
          <w:rFonts w:ascii="Poppins" w:cs="Poppins" w:eastAsia="Poppins" w:hAnsi="Poppins"/>
          <w:b/>
          <w:bCs/>
          <w:color w:val="000000"/>
          <w:sz w:val="21"/>
          <w:szCs w:val="21"/>
        </w:rPr>
        <w:t xml:space="preserve">D. </w:t>
      </w:r>
      <w:r>
        <w:rPr>
          <w:rFonts w:ascii="Poppins" w:cs="Poppins" w:eastAsia="Poppins" w:hAnsi="Poppins"/>
          <w:b w:val="false"/>
          <w:bCs w:val="false"/>
          <w:color w:val="000000"/>
          <w:sz w:val="21"/>
          <w:szCs w:val="21"/>
        </w:rPr>
        <w:t xml:space="preserve">Infección leve, moderada y grave, según la intensidad del dolor</w:t>
      </w:r>
    </w:p>
    <w:p>
      <w:pPr>
        <w:spacing w:after="100" w:before="120"/>
      </w:pPr>
      <w:r>
        <w:rPr>
          <w:rFonts w:ascii="Poppins" w:cs="Poppins" w:eastAsia="Poppins" w:hAnsi="Poppins"/>
          <w:b/>
          <w:bCs/>
          <w:color w:val="001C31"/>
          <w:sz w:val="21"/>
          <w:szCs w:val="21"/>
        </w:rPr>
        <w:t xml:space="preserve">Respuesta correcta: A</w:t>
      </w:r>
    </w:p>
    <w:p>
      <w:pPr>
        <w:spacing w:after="60"/>
      </w:pPr>
      <w:r>
        <w:rPr>
          <w:rFonts w:ascii="Poppins" w:cs="Poppins" w:eastAsia="Poppins" w:hAnsi="Poppins"/>
          <w:b/>
          <w:bCs/>
          <w:color w:val="001C31"/>
          <w:sz w:val="21"/>
          <w:szCs w:val="21"/>
          <w:u w:val="single"/>
        </w:rPr>
        <w:t xml:space="preserve">Justificación de la respuesta correcta</w:t>
      </w:r>
    </w:p>
    <w:p>
      <w:pPr>
        <w:spacing w:after="150"/>
      </w:pPr>
      <w:r>
        <w:rPr>
          <w:rFonts w:ascii="Poppins" w:cs="Poppins" w:eastAsia="Poppins" w:hAnsi="Poppins"/>
          <w:sz w:val="21"/>
          <w:szCs w:val="21"/>
        </w:rPr>
        <w:t xml:space="preserve">La guía establece que la IVU se clasifica de acuerdo al sitio de proliferación de las bacterias en: bacteriuria asintomática (orina), cistitis (vejiga) y pielonefritis (riñón).</w:t>
      </w:r>
    </w:p>
    <w:p>
      <w:pPr>
        <w:spacing w:after="60"/>
      </w:pPr>
      <w:r>
        <w:rPr>
          <w:rFonts w:ascii="Poppins" w:cs="Poppins" w:eastAsia="Poppins" w:hAnsi="Poppins"/>
          <w:b/>
          <w:bCs/>
          <w:color w:val="001C31"/>
          <w:sz w:val="21"/>
          <w:szCs w:val="21"/>
          <w:u w:val="single"/>
        </w:rPr>
        <w:t xml:space="preserve">Justificación de las opciones incorrectas</w:t>
      </w:r>
    </w:p>
    <w:p>
      <w:pPr>
        <w:spacing w:after="60"/>
      </w:pPr>
      <w:r>
        <w:rPr>
          <w:rFonts w:ascii="Poppins" w:cs="Poppins" w:eastAsia="Poppins" w:hAnsi="Poppins"/>
          <w:b/>
          <w:bCs/>
          <w:sz w:val="21"/>
          <w:szCs w:val="21"/>
        </w:rPr>
        <w:t xml:space="preserve">Opción B: </w:t>
      </w:r>
      <w:r>
        <w:rPr>
          <w:rFonts w:ascii="Poppins" w:cs="Poppins" w:eastAsia="Poppins" w:hAnsi="Poppins"/>
          <w:sz w:val="21"/>
          <w:szCs w:val="21"/>
        </w:rPr>
        <w:t xml:space="preserve">La uretritis, vaginitis y cervicitis no son la clasificación empleada por la guía para la IVU en el embarazo; corresponden a otras entidades distintas del tracto genitourinario.</w:t>
      </w:r>
    </w:p>
    <w:p>
      <w:pPr>
        <w:spacing w:after="60"/>
      </w:pPr>
      <w:r>
        <w:rPr>
          <w:rFonts w:ascii="Poppins" w:cs="Poppins" w:eastAsia="Poppins" w:hAnsi="Poppins"/>
          <w:b/>
          <w:bCs/>
          <w:sz w:val="21"/>
          <w:szCs w:val="21"/>
        </w:rPr>
        <w:t xml:space="preserve">Opción C: </w:t>
      </w:r>
      <w:r>
        <w:rPr>
          <w:rFonts w:ascii="Poppins" w:cs="Poppins" w:eastAsia="Poppins" w:hAnsi="Poppins"/>
          <w:sz w:val="21"/>
          <w:szCs w:val="21"/>
        </w:rPr>
        <w:t xml:space="preserve">La nefritis intersticial, glomerulonefritis y nefrolitiasis no forman parte de la clasificación de IVU que emplea esta guía.</w:t>
      </w:r>
    </w:p>
    <w:p>
      <w:pPr>
        <w:spacing w:after="60"/>
      </w:pPr>
      <w:r>
        <w:rPr>
          <w:rFonts w:ascii="Poppins" w:cs="Poppins" w:eastAsia="Poppins" w:hAnsi="Poppins"/>
          <w:b/>
          <w:bCs/>
          <w:sz w:val="21"/>
          <w:szCs w:val="21"/>
        </w:rPr>
        <w:t xml:space="preserve">Opción D: </w:t>
      </w:r>
      <w:r>
        <w:rPr>
          <w:rFonts w:ascii="Poppins" w:cs="Poppins" w:eastAsia="Poppins" w:hAnsi="Poppins"/>
          <w:sz w:val="21"/>
          <w:szCs w:val="21"/>
        </w:rPr>
        <w:t xml:space="preserve">La guía no clasifica la IVU según intensidad del dolor en leve, moderada o grave; la clasificación se basa en el sitio anatómico de la infección.</w:t>
      </w:r>
    </w:p>
    <w:p>
      <w:pPr>
        <w:pBdr>
          <w:bottom w:val="single" w:color="B08D3F" w:sz="6" w:space="4"/>
        </w:pBdr>
        <w:spacing w:after="200" w:before="100"/>
      </w:pPr>
      <w:r>
        <w:rPr>
          <w:rFonts w:ascii="Poppins" w:cs="Poppins" w:eastAsia="Poppins" w:hAnsi="Poppins"/>
          <w:b/>
          <w:bCs/>
          <w:i/>
          <w:iCs/>
          <w:color w:val="B08D3F"/>
          <w:sz w:val="20"/>
          <w:szCs w:val="20"/>
        </w:rPr>
        <w:t xml:space="preserve">Referencia: </w:t>
      </w:r>
      <w:r>
        <w:rPr>
          <w:rFonts w:ascii="Poppins" w:cs="Poppins" w:eastAsia="Poppins" w:hAnsi="Poppins"/>
          <w:i/>
          <w:iCs/>
          <w:color w:val="555555"/>
          <w:sz w:val="20"/>
          <w:szCs w:val="20"/>
        </w:rPr>
        <w:t xml:space="preserve">Definiciones, clasificación y epidemiología de la infección de vías urinarias en el embarazo. Página 15.</w:t>
      </w:r>
    </w:p>
    <w:p>
      <w:pPr>
        <w:shd w:fill="001C31" w:val="clear"/>
        <w:spacing w:after="100" w:before="300"/>
      </w:pPr>
      <w:r>
        <w:rPr>
          <w:rFonts w:ascii="Poppins" w:cs="Poppins" w:eastAsia="Poppins" w:hAnsi="Poppins"/>
          <w:b/>
          <w:bCs/>
          <w:color w:val="FFFFFF"/>
          <w:sz w:val="24"/>
          <w:szCs w:val="24"/>
        </w:rPr>
        <w:t xml:space="preserve">PREGUNTA 15</w:t>
      </w:r>
    </w:p>
    <w:p>
      <w:pPr>
        <w:shd w:fill="F3ECDD" w:val="clear"/>
        <w:spacing w:after="60"/>
      </w:pPr>
      <w:r>
        <w:rPr>
          <w:rFonts w:ascii="Poppins" w:cs="Poppins" w:eastAsia="Poppins" w:hAnsi="Poppins"/>
          <w:b/>
          <w:bCs/>
          <w:i/>
          <w:iCs/>
          <w:color w:val="001C31"/>
          <w:sz w:val="21"/>
          <w:szCs w:val="21"/>
        </w:rPr>
        <w:t xml:space="preserve">Caso clínico: </w:t>
      </w:r>
      <w:r>
        <w:rPr>
          <w:rFonts w:ascii="Poppins" w:cs="Poppins" w:eastAsia="Poppins" w:hAnsi="Poppins"/>
          <w:i/>
          <w:iCs/>
          <w:sz w:val="21"/>
          <w:szCs w:val="21"/>
        </w:rPr>
        <w:t xml:space="preserve">Una paciente embarazada asintomática presenta en su urocultivo de tamizaje un resultado de 150.000 unidades formadoras de colonias/mL de un único germen.</w:t>
      </w:r>
    </w:p>
    <w:p>
      <w:pPr>
        <w:spacing w:after="120"/>
      </w:pPr>
      <w:r>
        <w:rPr>
          <w:rFonts w:ascii="Poppins" w:cs="Poppins" w:eastAsia="Poppins" w:hAnsi="Poppins"/>
          <w:b/>
          <w:bCs/>
          <w:color w:val="001C31"/>
          <w:sz w:val="21"/>
          <w:szCs w:val="21"/>
        </w:rPr>
        <w:t xml:space="preserve">Pregunta: </w:t>
      </w:r>
      <w:r>
        <w:rPr>
          <w:rFonts w:ascii="Poppins" w:cs="Poppins" w:eastAsia="Poppins" w:hAnsi="Poppins"/>
          <w:sz w:val="21"/>
          <w:szCs w:val="21"/>
        </w:rPr>
        <w:t xml:space="preserve">Según la definición de la GPC, ¿qué diagnóstico corresponde a este resultado?</w:t>
      </w:r>
    </w:p>
    <w:p>
      <w:pPr>
        <w:spacing w:after="60"/>
      </w:pPr>
      <w:r>
        <w:rPr>
          <w:rFonts w:ascii="Poppins" w:cs="Poppins" w:eastAsia="Poppins" w:hAnsi="Poppins"/>
          <w:b/>
          <w:bCs/>
          <w:color w:val="B08D3F"/>
          <w:sz w:val="21"/>
          <w:szCs w:val="21"/>
        </w:rPr>
        <w:t xml:space="preserve">A. </w:t>
      </w:r>
      <w:r>
        <w:rPr>
          <w:rFonts w:ascii="Poppins" w:cs="Poppins" w:eastAsia="Poppins" w:hAnsi="Poppins"/>
          <w:b/>
          <w:bCs/>
          <w:color w:val="B08D3F"/>
          <w:sz w:val="21"/>
          <w:szCs w:val="21"/>
        </w:rPr>
        <w:t xml:space="preserve">Bacteriuria asintomática (BA)</w:t>
      </w:r>
    </w:p>
    <w:p>
      <w:pPr>
        <w:spacing w:after="60"/>
      </w:pPr>
      <w:r>
        <w:rPr>
          <w:rFonts w:ascii="Poppins" w:cs="Poppins" w:eastAsia="Poppins" w:hAnsi="Poppins"/>
          <w:b/>
          <w:bCs/>
          <w:color w:val="000000"/>
          <w:sz w:val="21"/>
          <w:szCs w:val="21"/>
        </w:rPr>
        <w:t xml:space="preserve">B. </w:t>
      </w:r>
      <w:r>
        <w:rPr>
          <w:rFonts w:ascii="Poppins" w:cs="Poppins" w:eastAsia="Poppins" w:hAnsi="Poppins"/>
          <w:b w:val="false"/>
          <w:bCs w:val="false"/>
          <w:color w:val="000000"/>
          <w:sz w:val="21"/>
          <w:szCs w:val="21"/>
        </w:rPr>
        <w:t xml:space="preserve">Cistitis aguda</w:t>
      </w:r>
    </w:p>
    <w:p>
      <w:pPr>
        <w:spacing w:after="60"/>
      </w:pPr>
      <w:r>
        <w:rPr>
          <w:rFonts w:ascii="Poppins" w:cs="Poppins" w:eastAsia="Poppins" w:hAnsi="Poppins"/>
          <w:b/>
          <w:bCs/>
          <w:color w:val="000000"/>
          <w:sz w:val="21"/>
          <w:szCs w:val="21"/>
        </w:rPr>
        <w:t xml:space="preserve">C. </w:t>
      </w:r>
      <w:r>
        <w:rPr>
          <w:rFonts w:ascii="Poppins" w:cs="Poppins" w:eastAsia="Poppins" w:hAnsi="Poppins"/>
          <w:b w:val="false"/>
          <w:bCs w:val="false"/>
          <w:color w:val="000000"/>
          <w:sz w:val="21"/>
          <w:szCs w:val="21"/>
        </w:rPr>
        <w:t xml:space="preserve">Pielonefritis aguda</w:t>
      </w:r>
    </w:p>
    <w:p>
      <w:pPr>
        <w:spacing w:after="60"/>
      </w:pPr>
      <w:r>
        <w:rPr>
          <w:rFonts w:ascii="Poppins" w:cs="Poppins" w:eastAsia="Poppins" w:hAnsi="Poppins"/>
          <w:b/>
          <w:bCs/>
          <w:color w:val="000000"/>
          <w:sz w:val="21"/>
          <w:szCs w:val="21"/>
        </w:rPr>
        <w:t xml:space="preserve">D. </w:t>
      </w:r>
      <w:r>
        <w:rPr>
          <w:rFonts w:ascii="Poppins" w:cs="Poppins" w:eastAsia="Poppins" w:hAnsi="Poppins"/>
          <w:b w:val="false"/>
          <w:bCs w:val="false"/>
          <w:color w:val="000000"/>
          <w:sz w:val="21"/>
          <w:szCs w:val="21"/>
        </w:rPr>
        <w:t xml:space="preserve">Contaminación de la muestra, sin relevancia clínica</w:t>
      </w:r>
    </w:p>
    <w:p>
      <w:pPr>
        <w:spacing w:after="100" w:before="120"/>
      </w:pPr>
      <w:r>
        <w:rPr>
          <w:rFonts w:ascii="Poppins" w:cs="Poppins" w:eastAsia="Poppins" w:hAnsi="Poppins"/>
          <w:b/>
          <w:bCs/>
          <w:color w:val="001C31"/>
          <w:sz w:val="21"/>
          <w:szCs w:val="21"/>
        </w:rPr>
        <w:t xml:space="preserve">Respuesta correcta: A</w:t>
      </w:r>
    </w:p>
    <w:p>
      <w:pPr>
        <w:spacing w:after="60"/>
      </w:pPr>
      <w:r>
        <w:rPr>
          <w:rFonts w:ascii="Poppins" w:cs="Poppins" w:eastAsia="Poppins" w:hAnsi="Poppins"/>
          <w:b/>
          <w:bCs/>
          <w:color w:val="001C31"/>
          <w:sz w:val="21"/>
          <w:szCs w:val="21"/>
          <w:u w:val="single"/>
        </w:rPr>
        <w:t xml:space="preserve">Justificación de la respuesta correcta</w:t>
      </w:r>
    </w:p>
    <w:p>
      <w:pPr>
        <w:spacing w:after="150"/>
      </w:pPr>
      <w:r>
        <w:rPr>
          <w:rFonts w:ascii="Poppins" w:cs="Poppins" w:eastAsia="Poppins" w:hAnsi="Poppins"/>
          <w:sz w:val="21"/>
          <w:szCs w:val="21"/>
        </w:rPr>
        <w:t xml:space="preserve">La guía define la bacteriuria asintomática (BA) como la presencia de bacterias en orina detectadas por urocultivo (más de 100.000 unidades formadoras de colonias/mL) sin síntomas típicos de infección aguda del tracto urinario, criterio que se cumple en este caso al tratarse de una paciente asintomática con un resultado superior a ese umbral.</w:t>
      </w:r>
    </w:p>
    <w:p>
      <w:pPr>
        <w:spacing w:after="60"/>
      </w:pPr>
      <w:r>
        <w:rPr>
          <w:rFonts w:ascii="Poppins" w:cs="Poppins" w:eastAsia="Poppins" w:hAnsi="Poppins"/>
          <w:b/>
          <w:bCs/>
          <w:color w:val="001C31"/>
          <w:sz w:val="21"/>
          <w:szCs w:val="21"/>
          <w:u w:val="single"/>
        </w:rPr>
        <w:t xml:space="preserve">Justificación de las opciones incorrectas</w:t>
      </w:r>
    </w:p>
    <w:p>
      <w:pPr>
        <w:spacing w:after="60"/>
      </w:pPr>
      <w:r>
        <w:rPr>
          <w:rFonts w:ascii="Poppins" w:cs="Poppins" w:eastAsia="Poppins" w:hAnsi="Poppins"/>
          <w:b/>
          <w:bCs/>
          <w:sz w:val="21"/>
          <w:szCs w:val="21"/>
        </w:rPr>
        <w:t xml:space="preserve">Opción B: </w:t>
      </w:r>
      <w:r>
        <w:rPr>
          <w:rFonts w:ascii="Poppins" w:cs="Poppins" w:eastAsia="Poppins" w:hAnsi="Poppins"/>
          <w:sz w:val="21"/>
          <w:szCs w:val="21"/>
        </w:rPr>
        <w:t xml:space="preserve">La cistitis aguda se define por la presencia de signos y síntomas como urgencia, frecuencia, disuria, piuria y hematuria; en este caso la paciente es asintomática, por lo que no corresponde a cistitis.</w:t>
      </w:r>
    </w:p>
    <w:p>
      <w:pPr>
        <w:spacing w:after="60"/>
      </w:pPr>
      <w:r>
        <w:rPr>
          <w:rFonts w:ascii="Poppins" w:cs="Poppins" w:eastAsia="Poppins" w:hAnsi="Poppins"/>
          <w:b/>
          <w:bCs/>
          <w:sz w:val="21"/>
          <w:szCs w:val="21"/>
        </w:rPr>
        <w:t xml:space="preserve">Opción C: </w:t>
      </w:r>
      <w:r>
        <w:rPr>
          <w:rFonts w:ascii="Poppins" w:cs="Poppins" w:eastAsia="Poppins" w:hAnsi="Poppins"/>
          <w:sz w:val="21"/>
          <w:szCs w:val="21"/>
        </w:rPr>
        <w:t xml:space="preserve">La pielonefritis aguda se acompaña de fiebre, escalofrío, malestar general y dolor costovertebral, hallazgos ausentes en esta paciente asintomática.</w:t>
      </w:r>
    </w:p>
    <w:p>
      <w:pPr>
        <w:spacing w:after="60"/>
      </w:pPr>
      <w:r>
        <w:rPr>
          <w:rFonts w:ascii="Poppins" w:cs="Poppins" w:eastAsia="Poppins" w:hAnsi="Poppins"/>
          <w:b/>
          <w:bCs/>
          <w:sz w:val="21"/>
          <w:szCs w:val="21"/>
        </w:rPr>
        <w:t xml:space="preserve">Opción D: </w:t>
      </w:r>
      <w:r>
        <w:rPr>
          <w:rFonts w:ascii="Poppins" w:cs="Poppins" w:eastAsia="Poppins" w:hAnsi="Poppins"/>
          <w:sz w:val="21"/>
          <w:szCs w:val="21"/>
        </w:rPr>
        <w:t xml:space="preserve">La guía no considera como contaminación un resultado mayor a 100.000 UFC/mL de un solo germen; este es precisamente el criterio diagnóstico de BA.</w:t>
      </w:r>
    </w:p>
    <w:p>
      <w:pPr>
        <w:pBdr>
          <w:bottom w:val="single" w:color="B08D3F" w:sz="6" w:space="4"/>
        </w:pBdr>
        <w:spacing w:after="200" w:before="100"/>
      </w:pPr>
      <w:r>
        <w:rPr>
          <w:rFonts w:ascii="Poppins" w:cs="Poppins" w:eastAsia="Poppins" w:hAnsi="Poppins"/>
          <w:b/>
          <w:bCs/>
          <w:i/>
          <w:iCs/>
          <w:color w:val="B08D3F"/>
          <w:sz w:val="20"/>
          <w:szCs w:val="20"/>
        </w:rPr>
        <w:t xml:space="preserve">Referencia: </w:t>
      </w:r>
      <w:r>
        <w:rPr>
          <w:rFonts w:ascii="Poppins" w:cs="Poppins" w:eastAsia="Poppins" w:hAnsi="Poppins"/>
          <w:i/>
          <w:iCs/>
          <w:color w:val="555555"/>
          <w:sz w:val="20"/>
          <w:szCs w:val="20"/>
        </w:rPr>
        <w:t xml:space="preserve">Definiciones, clasificación y epidemiología de la infección de vías urinarias en el embarazo. Página 15.</w:t>
      </w:r>
    </w:p>
    <w:p>
      <w:pPr>
        <w:shd w:fill="001C31" w:val="clear"/>
        <w:spacing w:after="100" w:before="300"/>
      </w:pPr>
      <w:r>
        <w:rPr>
          <w:rFonts w:ascii="Poppins" w:cs="Poppins" w:eastAsia="Poppins" w:hAnsi="Poppins"/>
          <w:b/>
          <w:bCs/>
          <w:color w:val="FFFFFF"/>
          <w:sz w:val="24"/>
          <w:szCs w:val="24"/>
        </w:rPr>
        <w:t xml:space="preserve">PREGUNTA 16</w:t>
      </w:r>
    </w:p>
    <w:p>
      <w:pPr>
        <w:shd w:fill="F3ECDD" w:val="clear"/>
        <w:spacing w:after="60"/>
      </w:pPr>
      <w:r>
        <w:rPr>
          <w:rFonts w:ascii="Poppins" w:cs="Poppins" w:eastAsia="Poppins" w:hAnsi="Poppins"/>
          <w:b/>
          <w:bCs/>
          <w:i/>
          <w:iCs/>
          <w:color w:val="001C31"/>
          <w:sz w:val="21"/>
          <w:szCs w:val="21"/>
        </w:rPr>
        <w:t xml:space="preserve">Caso clínico: </w:t>
      </w:r>
      <w:r>
        <w:rPr>
          <w:rFonts w:ascii="Poppins" w:cs="Poppins" w:eastAsia="Poppins" w:hAnsi="Poppins"/>
          <w:i/>
          <w:iCs/>
          <w:sz w:val="21"/>
          <w:szCs w:val="21"/>
        </w:rPr>
        <w:t xml:space="preserve">Una paciente embarazada refiere urgencia miccional, aumento de la frecuencia urinaria, disuria y presencia de hematuria. No presenta fiebre ni afección sistémica.</w:t>
      </w:r>
    </w:p>
    <w:p>
      <w:pPr>
        <w:spacing w:after="120"/>
      </w:pPr>
      <w:r>
        <w:rPr>
          <w:rFonts w:ascii="Poppins" w:cs="Poppins" w:eastAsia="Poppins" w:hAnsi="Poppins"/>
          <w:b/>
          <w:bCs/>
          <w:color w:val="001C31"/>
          <w:sz w:val="21"/>
          <w:szCs w:val="21"/>
        </w:rPr>
        <w:t xml:space="preserve">Pregunta: </w:t>
      </w:r>
      <w:r>
        <w:rPr>
          <w:rFonts w:ascii="Poppins" w:cs="Poppins" w:eastAsia="Poppins" w:hAnsi="Poppins"/>
          <w:sz w:val="21"/>
          <w:szCs w:val="21"/>
        </w:rPr>
        <w:t xml:space="preserve">Según la definición de la GPC, ¿qué diagnóstico corresponde a este cuadro?</w:t>
      </w:r>
    </w:p>
    <w:p>
      <w:pPr>
        <w:spacing w:after="60"/>
      </w:pPr>
      <w:r>
        <w:rPr>
          <w:rFonts w:ascii="Poppins" w:cs="Poppins" w:eastAsia="Poppins" w:hAnsi="Poppins"/>
          <w:b/>
          <w:bCs/>
          <w:color w:val="B08D3F"/>
          <w:sz w:val="21"/>
          <w:szCs w:val="21"/>
        </w:rPr>
        <w:t xml:space="preserve">A. </w:t>
      </w:r>
      <w:r>
        <w:rPr>
          <w:rFonts w:ascii="Poppins" w:cs="Poppins" w:eastAsia="Poppins" w:hAnsi="Poppins"/>
          <w:b/>
          <w:bCs/>
          <w:color w:val="B08D3F"/>
          <w:sz w:val="21"/>
          <w:szCs w:val="21"/>
        </w:rPr>
        <w:t xml:space="preserve">Cistitis aguda</w:t>
      </w:r>
    </w:p>
    <w:p>
      <w:pPr>
        <w:spacing w:after="60"/>
      </w:pPr>
      <w:r>
        <w:rPr>
          <w:rFonts w:ascii="Poppins" w:cs="Poppins" w:eastAsia="Poppins" w:hAnsi="Poppins"/>
          <w:b/>
          <w:bCs/>
          <w:color w:val="000000"/>
          <w:sz w:val="21"/>
          <w:szCs w:val="21"/>
        </w:rPr>
        <w:t xml:space="preserve">B. </w:t>
      </w:r>
      <w:r>
        <w:rPr>
          <w:rFonts w:ascii="Poppins" w:cs="Poppins" w:eastAsia="Poppins" w:hAnsi="Poppins"/>
          <w:b w:val="false"/>
          <w:bCs w:val="false"/>
          <w:color w:val="000000"/>
          <w:sz w:val="21"/>
          <w:szCs w:val="21"/>
        </w:rPr>
        <w:t xml:space="preserve">Bacteriuria asintomática</w:t>
      </w:r>
    </w:p>
    <w:p>
      <w:pPr>
        <w:spacing w:after="60"/>
      </w:pPr>
      <w:r>
        <w:rPr>
          <w:rFonts w:ascii="Poppins" w:cs="Poppins" w:eastAsia="Poppins" w:hAnsi="Poppins"/>
          <w:b/>
          <w:bCs/>
          <w:color w:val="000000"/>
          <w:sz w:val="21"/>
          <w:szCs w:val="21"/>
        </w:rPr>
        <w:t xml:space="preserve">C. </w:t>
      </w:r>
      <w:r>
        <w:rPr>
          <w:rFonts w:ascii="Poppins" w:cs="Poppins" w:eastAsia="Poppins" w:hAnsi="Poppins"/>
          <w:b w:val="false"/>
          <w:bCs w:val="false"/>
          <w:color w:val="000000"/>
          <w:sz w:val="21"/>
          <w:szCs w:val="21"/>
        </w:rPr>
        <w:t xml:space="preserve">Pielonefritis aguda</w:t>
      </w:r>
    </w:p>
    <w:p>
      <w:pPr>
        <w:spacing w:after="60"/>
      </w:pPr>
      <w:r>
        <w:rPr>
          <w:rFonts w:ascii="Poppins" w:cs="Poppins" w:eastAsia="Poppins" w:hAnsi="Poppins"/>
          <w:b/>
          <w:bCs/>
          <w:color w:val="000000"/>
          <w:sz w:val="21"/>
          <w:szCs w:val="21"/>
        </w:rPr>
        <w:t xml:space="preserve">D. </w:t>
      </w:r>
      <w:r>
        <w:rPr>
          <w:rFonts w:ascii="Poppins" w:cs="Poppins" w:eastAsia="Poppins" w:hAnsi="Poppins"/>
          <w:b w:val="false"/>
          <w:bCs w:val="false"/>
          <w:color w:val="000000"/>
          <w:sz w:val="21"/>
          <w:szCs w:val="21"/>
        </w:rPr>
        <w:t xml:space="preserve">Vaginitis</w:t>
      </w:r>
    </w:p>
    <w:p>
      <w:pPr>
        <w:spacing w:after="100" w:before="120"/>
      </w:pPr>
      <w:r>
        <w:rPr>
          <w:rFonts w:ascii="Poppins" w:cs="Poppins" w:eastAsia="Poppins" w:hAnsi="Poppins"/>
          <w:b/>
          <w:bCs/>
          <w:color w:val="001C31"/>
          <w:sz w:val="21"/>
          <w:szCs w:val="21"/>
        </w:rPr>
        <w:t xml:space="preserve">Respuesta correcta: A</w:t>
      </w:r>
    </w:p>
    <w:p>
      <w:pPr>
        <w:spacing w:after="60"/>
      </w:pPr>
      <w:r>
        <w:rPr>
          <w:rFonts w:ascii="Poppins" w:cs="Poppins" w:eastAsia="Poppins" w:hAnsi="Poppins"/>
          <w:b/>
          <w:bCs/>
          <w:color w:val="001C31"/>
          <w:sz w:val="21"/>
          <w:szCs w:val="21"/>
          <w:u w:val="single"/>
        </w:rPr>
        <w:t xml:space="preserve">Justificación de la respuesta correcta</w:t>
      </w:r>
    </w:p>
    <w:p>
      <w:pPr>
        <w:spacing w:after="150"/>
      </w:pPr>
      <w:r>
        <w:rPr>
          <w:rFonts w:ascii="Poppins" w:cs="Poppins" w:eastAsia="Poppins" w:hAnsi="Poppins"/>
          <w:sz w:val="21"/>
          <w:szCs w:val="21"/>
        </w:rPr>
        <w:t xml:space="preserve">La guía define la cistitis aguda como la infección bacteriana del tracto urinario bajo que se acompaña de urgencia, frecuencia, disuria, piuria y hematuria, sin evidencia de afección sistémica, cuadro que coincide exactamente con el caso descrito.</w:t>
      </w:r>
    </w:p>
    <w:p>
      <w:pPr>
        <w:spacing w:after="60"/>
      </w:pPr>
      <w:r>
        <w:rPr>
          <w:rFonts w:ascii="Poppins" w:cs="Poppins" w:eastAsia="Poppins" w:hAnsi="Poppins"/>
          <w:b/>
          <w:bCs/>
          <w:color w:val="001C31"/>
          <w:sz w:val="21"/>
          <w:szCs w:val="21"/>
          <w:u w:val="single"/>
        </w:rPr>
        <w:t xml:space="preserve">Justificación de las opciones incorrectas</w:t>
      </w:r>
    </w:p>
    <w:p>
      <w:pPr>
        <w:spacing w:after="60"/>
      </w:pPr>
      <w:r>
        <w:rPr>
          <w:rFonts w:ascii="Poppins" w:cs="Poppins" w:eastAsia="Poppins" w:hAnsi="Poppins"/>
          <w:b/>
          <w:bCs/>
          <w:sz w:val="21"/>
          <w:szCs w:val="21"/>
        </w:rPr>
        <w:t xml:space="preserve">Opción B: </w:t>
      </w:r>
      <w:r>
        <w:rPr>
          <w:rFonts w:ascii="Poppins" w:cs="Poppins" w:eastAsia="Poppins" w:hAnsi="Poppins"/>
          <w:sz w:val="21"/>
          <w:szCs w:val="21"/>
        </w:rPr>
        <w:t xml:space="preserve">La bacteriuria asintomática, por definición, no presenta sintomatología; en este caso la paciente presenta síntomas urinarios claros, lo que descarta este diagnóstico.</w:t>
      </w:r>
    </w:p>
    <w:p>
      <w:pPr>
        <w:spacing w:after="60"/>
      </w:pPr>
      <w:r>
        <w:rPr>
          <w:rFonts w:ascii="Poppins" w:cs="Poppins" w:eastAsia="Poppins" w:hAnsi="Poppins"/>
          <w:b/>
          <w:bCs/>
          <w:sz w:val="21"/>
          <w:szCs w:val="21"/>
        </w:rPr>
        <w:t xml:space="preserve">Opción C: </w:t>
      </w:r>
      <w:r>
        <w:rPr>
          <w:rFonts w:ascii="Poppins" w:cs="Poppins" w:eastAsia="Poppins" w:hAnsi="Poppins"/>
          <w:sz w:val="21"/>
          <w:szCs w:val="21"/>
        </w:rPr>
        <w:t xml:space="preserve">La pielonefritis aguda se acompaña de fiebre, escalofrío, malestar general y dolor costovertebral, hallazgos que no están presentes en este caso.</w:t>
      </w:r>
    </w:p>
    <w:p>
      <w:pPr>
        <w:spacing w:after="60"/>
      </w:pPr>
      <w:r>
        <w:rPr>
          <w:rFonts w:ascii="Poppins" w:cs="Poppins" w:eastAsia="Poppins" w:hAnsi="Poppins"/>
          <w:b/>
          <w:bCs/>
          <w:sz w:val="21"/>
          <w:szCs w:val="21"/>
        </w:rPr>
        <w:t xml:space="preserve">Opción D: </w:t>
      </w:r>
      <w:r>
        <w:rPr>
          <w:rFonts w:ascii="Poppins" w:cs="Poppins" w:eastAsia="Poppins" w:hAnsi="Poppins"/>
          <w:sz w:val="21"/>
          <w:szCs w:val="21"/>
        </w:rPr>
        <w:t xml:space="preserve">La vaginitis se caracteriza por síntomas vaginales como prurito, ardor, irritación y flujo anormal, no por los síntomas urinarios descritos en este caso.</w:t>
      </w:r>
    </w:p>
    <w:p>
      <w:pPr>
        <w:pBdr>
          <w:bottom w:val="single" w:color="B08D3F" w:sz="6" w:space="4"/>
        </w:pBdr>
        <w:spacing w:after="200" w:before="100"/>
      </w:pPr>
      <w:r>
        <w:rPr>
          <w:rFonts w:ascii="Poppins" w:cs="Poppins" w:eastAsia="Poppins" w:hAnsi="Poppins"/>
          <w:b/>
          <w:bCs/>
          <w:i/>
          <w:iCs/>
          <w:color w:val="B08D3F"/>
          <w:sz w:val="20"/>
          <w:szCs w:val="20"/>
        </w:rPr>
        <w:t xml:space="preserve">Referencia: </w:t>
      </w:r>
      <w:r>
        <w:rPr>
          <w:rFonts w:ascii="Poppins" w:cs="Poppins" w:eastAsia="Poppins" w:hAnsi="Poppins"/>
          <w:i/>
          <w:iCs/>
          <w:color w:val="555555"/>
          <w:sz w:val="20"/>
          <w:szCs w:val="20"/>
        </w:rPr>
        <w:t xml:space="preserve">Definiciones, clasificación y epidemiología de la infección de vías urinarias en el embarazo. Página 15.</w:t>
      </w:r>
    </w:p>
    <w:p>
      <w:pPr>
        <w:shd w:fill="001C31" w:val="clear"/>
        <w:spacing w:after="100" w:before="300"/>
      </w:pPr>
      <w:r>
        <w:rPr>
          <w:rFonts w:ascii="Poppins" w:cs="Poppins" w:eastAsia="Poppins" w:hAnsi="Poppins"/>
          <w:b/>
          <w:bCs/>
          <w:color w:val="FFFFFF"/>
          <w:sz w:val="24"/>
          <w:szCs w:val="24"/>
        </w:rPr>
        <w:t xml:space="preserve">PREGUNTA 17</w:t>
      </w:r>
    </w:p>
    <w:p>
      <w:pPr>
        <w:shd w:fill="F3ECDD" w:val="clear"/>
        <w:spacing w:after="60"/>
      </w:pPr>
      <w:r>
        <w:rPr>
          <w:rFonts w:ascii="Poppins" w:cs="Poppins" w:eastAsia="Poppins" w:hAnsi="Poppins"/>
          <w:b/>
          <w:bCs/>
          <w:i/>
          <w:iCs/>
          <w:color w:val="001C31"/>
          <w:sz w:val="21"/>
          <w:szCs w:val="21"/>
        </w:rPr>
        <w:t xml:space="preserve">Caso clínico: </w:t>
      </w:r>
      <w:r>
        <w:rPr>
          <w:rFonts w:ascii="Poppins" w:cs="Poppins" w:eastAsia="Poppins" w:hAnsi="Poppins"/>
          <w:i/>
          <w:iCs/>
          <w:sz w:val="21"/>
          <w:szCs w:val="21"/>
        </w:rPr>
        <w:t xml:space="preserve">Una paciente embarazada de 28 semanas acude por fiebre de 38.7°C, escalofrío, malestar general intenso y dolor costovertebral derecho, acompañado de náusea y vómito.</w:t>
      </w:r>
    </w:p>
    <w:p>
      <w:pPr>
        <w:spacing w:after="120"/>
      </w:pPr>
      <w:r>
        <w:rPr>
          <w:rFonts w:ascii="Poppins" w:cs="Poppins" w:eastAsia="Poppins" w:hAnsi="Poppins"/>
          <w:b/>
          <w:bCs/>
          <w:color w:val="001C31"/>
          <w:sz w:val="21"/>
          <w:szCs w:val="21"/>
        </w:rPr>
        <w:t xml:space="preserve">Pregunta: </w:t>
      </w:r>
      <w:r>
        <w:rPr>
          <w:rFonts w:ascii="Poppins" w:cs="Poppins" w:eastAsia="Poppins" w:hAnsi="Poppins"/>
          <w:sz w:val="21"/>
          <w:szCs w:val="21"/>
        </w:rPr>
        <w:t xml:space="preserve">Según la definición de la GPC, ¿qué diagnóstico corresponde a este cuadro?</w:t>
      </w:r>
    </w:p>
    <w:p>
      <w:pPr>
        <w:spacing w:after="60"/>
      </w:pPr>
      <w:r>
        <w:rPr>
          <w:rFonts w:ascii="Poppins" w:cs="Poppins" w:eastAsia="Poppins" w:hAnsi="Poppins"/>
          <w:b/>
          <w:bCs/>
          <w:color w:val="B08D3F"/>
          <w:sz w:val="21"/>
          <w:szCs w:val="21"/>
        </w:rPr>
        <w:t xml:space="preserve">A. </w:t>
      </w:r>
      <w:r>
        <w:rPr>
          <w:rFonts w:ascii="Poppins" w:cs="Poppins" w:eastAsia="Poppins" w:hAnsi="Poppins"/>
          <w:b/>
          <w:bCs/>
          <w:color w:val="B08D3F"/>
          <w:sz w:val="21"/>
          <w:szCs w:val="21"/>
        </w:rPr>
        <w:t xml:space="preserve">Pielonefritis aguda</w:t>
      </w:r>
    </w:p>
    <w:p>
      <w:pPr>
        <w:spacing w:after="60"/>
      </w:pPr>
      <w:r>
        <w:rPr>
          <w:rFonts w:ascii="Poppins" w:cs="Poppins" w:eastAsia="Poppins" w:hAnsi="Poppins"/>
          <w:b/>
          <w:bCs/>
          <w:color w:val="000000"/>
          <w:sz w:val="21"/>
          <w:szCs w:val="21"/>
        </w:rPr>
        <w:t xml:space="preserve">B. </w:t>
      </w:r>
      <w:r>
        <w:rPr>
          <w:rFonts w:ascii="Poppins" w:cs="Poppins" w:eastAsia="Poppins" w:hAnsi="Poppins"/>
          <w:b w:val="false"/>
          <w:bCs w:val="false"/>
          <w:color w:val="000000"/>
          <w:sz w:val="21"/>
          <w:szCs w:val="21"/>
        </w:rPr>
        <w:t xml:space="preserve">Bacteriuria asintomática</w:t>
      </w:r>
    </w:p>
    <w:p>
      <w:pPr>
        <w:spacing w:after="60"/>
      </w:pPr>
      <w:r>
        <w:rPr>
          <w:rFonts w:ascii="Poppins" w:cs="Poppins" w:eastAsia="Poppins" w:hAnsi="Poppins"/>
          <w:b/>
          <w:bCs/>
          <w:color w:val="000000"/>
          <w:sz w:val="21"/>
          <w:szCs w:val="21"/>
        </w:rPr>
        <w:t xml:space="preserve">C. </w:t>
      </w:r>
      <w:r>
        <w:rPr>
          <w:rFonts w:ascii="Poppins" w:cs="Poppins" w:eastAsia="Poppins" w:hAnsi="Poppins"/>
          <w:b w:val="false"/>
          <w:bCs w:val="false"/>
          <w:color w:val="000000"/>
          <w:sz w:val="21"/>
          <w:szCs w:val="21"/>
        </w:rPr>
        <w:t xml:space="preserve">Cistitis aguda no complicada</w:t>
      </w:r>
    </w:p>
    <w:p>
      <w:pPr>
        <w:spacing w:after="60"/>
      </w:pPr>
      <w:r>
        <w:rPr>
          <w:rFonts w:ascii="Poppins" w:cs="Poppins" w:eastAsia="Poppins" w:hAnsi="Poppins"/>
          <w:b/>
          <w:bCs/>
          <w:color w:val="000000"/>
          <w:sz w:val="21"/>
          <w:szCs w:val="21"/>
        </w:rPr>
        <w:t xml:space="preserve">D. </w:t>
      </w:r>
      <w:r>
        <w:rPr>
          <w:rFonts w:ascii="Poppins" w:cs="Poppins" w:eastAsia="Poppins" w:hAnsi="Poppins"/>
          <w:b w:val="false"/>
          <w:bCs w:val="false"/>
          <w:color w:val="000000"/>
          <w:sz w:val="21"/>
          <w:szCs w:val="21"/>
        </w:rPr>
        <w:t xml:space="preserve">Amenaza de parto pretérmino sin relación con IVU</w:t>
      </w:r>
    </w:p>
    <w:p>
      <w:pPr>
        <w:spacing w:after="100" w:before="120"/>
      </w:pPr>
      <w:r>
        <w:rPr>
          <w:rFonts w:ascii="Poppins" w:cs="Poppins" w:eastAsia="Poppins" w:hAnsi="Poppins"/>
          <w:b/>
          <w:bCs/>
          <w:color w:val="001C31"/>
          <w:sz w:val="21"/>
          <w:szCs w:val="21"/>
        </w:rPr>
        <w:t xml:space="preserve">Respuesta correcta: A</w:t>
      </w:r>
    </w:p>
    <w:p>
      <w:pPr>
        <w:spacing w:after="60"/>
      </w:pPr>
      <w:r>
        <w:rPr>
          <w:rFonts w:ascii="Poppins" w:cs="Poppins" w:eastAsia="Poppins" w:hAnsi="Poppins"/>
          <w:b/>
          <w:bCs/>
          <w:color w:val="001C31"/>
          <w:sz w:val="21"/>
          <w:szCs w:val="21"/>
          <w:u w:val="single"/>
        </w:rPr>
        <w:t xml:space="preserve">Justificación de la respuesta correcta</w:t>
      </w:r>
    </w:p>
    <w:p>
      <w:pPr>
        <w:spacing w:after="150"/>
      </w:pPr>
      <w:r>
        <w:rPr>
          <w:rFonts w:ascii="Poppins" w:cs="Poppins" w:eastAsia="Poppins" w:hAnsi="Poppins"/>
          <w:sz w:val="21"/>
          <w:szCs w:val="21"/>
        </w:rPr>
        <w:t xml:space="preserve">La guía define la pielonefritis aguda como la infección de la vía excretora urinaria alta y del parénquima renal de uno o ambos riñones que se acompaña de fiebre, escalofrío, malestar general, dolor costovertebral y, en ocasiones, náusea, vómito y deshidratación, cuadro que corresponde exactamente al caso descrito.</w:t>
      </w:r>
    </w:p>
    <w:p>
      <w:pPr>
        <w:spacing w:after="60"/>
      </w:pPr>
      <w:r>
        <w:rPr>
          <w:rFonts w:ascii="Poppins" w:cs="Poppins" w:eastAsia="Poppins" w:hAnsi="Poppins"/>
          <w:b/>
          <w:bCs/>
          <w:color w:val="001C31"/>
          <w:sz w:val="21"/>
          <w:szCs w:val="21"/>
          <w:u w:val="single"/>
        </w:rPr>
        <w:t xml:space="preserve">Justificación de las opciones incorrectas</w:t>
      </w:r>
    </w:p>
    <w:p>
      <w:pPr>
        <w:spacing w:after="60"/>
      </w:pPr>
      <w:r>
        <w:rPr>
          <w:rFonts w:ascii="Poppins" w:cs="Poppins" w:eastAsia="Poppins" w:hAnsi="Poppins"/>
          <w:b/>
          <w:bCs/>
          <w:sz w:val="21"/>
          <w:szCs w:val="21"/>
        </w:rPr>
        <w:t xml:space="preserve">Opción B: </w:t>
      </w:r>
      <w:r>
        <w:rPr>
          <w:rFonts w:ascii="Poppins" w:cs="Poppins" w:eastAsia="Poppins" w:hAnsi="Poppins"/>
          <w:sz w:val="21"/>
          <w:szCs w:val="21"/>
        </w:rPr>
        <w:t xml:space="preserve">La bacteriuria asintomática no cursa con fiebre ni sintomatología sistémica, por definición; el cuadro descrito con fiebre y dolor costovertebral es incompatible con este diagnóstico.</w:t>
      </w:r>
    </w:p>
    <w:p>
      <w:pPr>
        <w:spacing w:after="60"/>
      </w:pPr>
      <w:r>
        <w:rPr>
          <w:rFonts w:ascii="Poppins" w:cs="Poppins" w:eastAsia="Poppins" w:hAnsi="Poppins"/>
          <w:b/>
          <w:bCs/>
          <w:sz w:val="21"/>
          <w:szCs w:val="21"/>
        </w:rPr>
        <w:t xml:space="preserve">Opción C: </w:t>
      </w:r>
      <w:r>
        <w:rPr>
          <w:rFonts w:ascii="Poppins" w:cs="Poppins" w:eastAsia="Poppins" w:hAnsi="Poppins"/>
          <w:sz w:val="21"/>
          <w:szCs w:val="21"/>
        </w:rPr>
        <w:t xml:space="preserve">La cistitis aguda se define explícitamente como una infección sin evidencia de afección sistémica, mientras que en este caso hay fiebre, escalofrío y malestar general, propios de compromiso sistémico.</w:t>
      </w:r>
    </w:p>
    <w:p>
      <w:pPr>
        <w:spacing w:after="60"/>
      </w:pPr>
      <w:r>
        <w:rPr>
          <w:rFonts w:ascii="Poppins" w:cs="Poppins" w:eastAsia="Poppins" w:hAnsi="Poppins"/>
          <w:b/>
          <w:bCs/>
          <w:sz w:val="21"/>
          <w:szCs w:val="21"/>
        </w:rPr>
        <w:t xml:space="preserve">Opción D: </w:t>
      </w:r>
      <w:r>
        <w:rPr>
          <w:rFonts w:ascii="Poppins" w:cs="Poppins" w:eastAsia="Poppins" w:hAnsi="Poppins"/>
          <w:sz w:val="21"/>
          <w:szCs w:val="21"/>
        </w:rPr>
        <w:t xml:space="preserve">El cuadro descrito, con fiebre, dolor costovertebral y síntomas sistémicos, corresponde clínicamente a pielonefritis según las definiciones de la guía, no a un evento obstétrico aislado sin relación con IVU.</w:t>
      </w:r>
    </w:p>
    <w:p>
      <w:pPr>
        <w:pBdr>
          <w:bottom w:val="single" w:color="B08D3F" w:sz="6" w:space="4"/>
        </w:pBdr>
        <w:spacing w:after="200" w:before="100"/>
      </w:pPr>
      <w:r>
        <w:rPr>
          <w:rFonts w:ascii="Poppins" w:cs="Poppins" w:eastAsia="Poppins" w:hAnsi="Poppins"/>
          <w:b/>
          <w:bCs/>
          <w:i/>
          <w:iCs/>
          <w:color w:val="B08D3F"/>
          <w:sz w:val="20"/>
          <w:szCs w:val="20"/>
        </w:rPr>
        <w:t xml:space="preserve">Referencia: </w:t>
      </w:r>
      <w:r>
        <w:rPr>
          <w:rFonts w:ascii="Poppins" w:cs="Poppins" w:eastAsia="Poppins" w:hAnsi="Poppins"/>
          <w:i/>
          <w:iCs/>
          <w:color w:val="555555"/>
          <w:sz w:val="20"/>
          <w:szCs w:val="20"/>
        </w:rPr>
        <w:t xml:space="preserve">Definiciones, clasificación y epidemiología de la infección de vías urinarias en el embarazo. Página 15.</w:t>
      </w:r>
    </w:p>
    <w:p>
      <w:pPr>
        <w:shd w:fill="001C31" w:val="clear"/>
        <w:spacing w:after="100" w:before="300"/>
      </w:pPr>
      <w:r>
        <w:rPr>
          <w:rFonts w:ascii="Poppins" w:cs="Poppins" w:eastAsia="Poppins" w:hAnsi="Poppins"/>
          <w:b/>
          <w:bCs/>
          <w:color w:val="FFFFFF"/>
          <w:sz w:val="24"/>
          <w:szCs w:val="24"/>
        </w:rPr>
        <w:t xml:space="preserve">PREGUNTA 18</w:t>
      </w:r>
    </w:p>
    <w:p>
      <w:pPr>
        <w:spacing w:after="120"/>
      </w:pPr>
      <w:r>
        <w:rPr>
          <w:rFonts w:ascii="Poppins" w:cs="Poppins" w:eastAsia="Poppins" w:hAnsi="Poppins"/>
          <w:b/>
          <w:bCs/>
          <w:color w:val="001C31"/>
          <w:sz w:val="21"/>
          <w:szCs w:val="21"/>
        </w:rPr>
        <w:t xml:space="preserve">Pregunta: </w:t>
      </w:r>
      <w:r>
        <w:rPr>
          <w:rFonts w:ascii="Poppins" w:cs="Poppins" w:eastAsia="Poppins" w:hAnsi="Poppins"/>
          <w:sz w:val="21"/>
          <w:szCs w:val="21"/>
        </w:rPr>
        <w:t xml:space="preserve">Según la GPC, ¿cuál es la droga de elección para el tratamiento de IVU en Ecuador y por qué motivo?</w:t>
      </w:r>
    </w:p>
    <w:p>
      <w:pPr>
        <w:spacing w:after="60"/>
      </w:pPr>
      <w:r>
        <w:rPr>
          <w:rFonts w:ascii="Poppins" w:cs="Poppins" w:eastAsia="Poppins" w:hAnsi="Poppins"/>
          <w:b/>
          <w:bCs/>
          <w:color w:val="B08D3F"/>
          <w:sz w:val="21"/>
          <w:szCs w:val="21"/>
        </w:rPr>
        <w:t xml:space="preserve">A. </w:t>
      </w:r>
      <w:r>
        <w:rPr>
          <w:rFonts w:ascii="Poppins" w:cs="Poppins" w:eastAsia="Poppins" w:hAnsi="Poppins"/>
          <w:b/>
          <w:bCs/>
          <w:color w:val="B08D3F"/>
          <w:sz w:val="21"/>
          <w:szCs w:val="21"/>
        </w:rPr>
        <w:t xml:space="preserve">La nitrofurantoína, por sus bajos niveles de resistencia</w:t>
      </w:r>
    </w:p>
    <w:p>
      <w:pPr>
        <w:spacing w:after="60"/>
      </w:pPr>
      <w:r>
        <w:rPr>
          <w:rFonts w:ascii="Poppins" w:cs="Poppins" w:eastAsia="Poppins" w:hAnsi="Poppins"/>
          <w:b/>
          <w:bCs/>
          <w:color w:val="000000"/>
          <w:sz w:val="21"/>
          <w:szCs w:val="21"/>
        </w:rPr>
        <w:t xml:space="preserve">B. </w:t>
      </w:r>
      <w:r>
        <w:rPr>
          <w:rFonts w:ascii="Poppins" w:cs="Poppins" w:eastAsia="Poppins" w:hAnsi="Poppins"/>
          <w:b w:val="false"/>
          <w:bCs w:val="false"/>
          <w:color w:val="000000"/>
          <w:sz w:val="21"/>
          <w:szCs w:val="21"/>
        </w:rPr>
        <w:t xml:space="preserve">La ampicilina, por su bajo costo</w:t>
      </w:r>
    </w:p>
    <w:p>
      <w:pPr>
        <w:spacing w:after="60"/>
      </w:pPr>
      <w:r>
        <w:rPr>
          <w:rFonts w:ascii="Poppins" w:cs="Poppins" w:eastAsia="Poppins" w:hAnsi="Poppins"/>
          <w:b/>
          <w:bCs/>
          <w:color w:val="000000"/>
          <w:sz w:val="21"/>
          <w:szCs w:val="21"/>
        </w:rPr>
        <w:t xml:space="preserve">C. </w:t>
      </w:r>
      <w:r>
        <w:rPr>
          <w:rFonts w:ascii="Poppins" w:cs="Poppins" w:eastAsia="Poppins" w:hAnsi="Poppins"/>
          <w:b w:val="false"/>
          <w:bCs w:val="false"/>
          <w:color w:val="000000"/>
          <w:sz w:val="21"/>
          <w:szCs w:val="21"/>
        </w:rPr>
        <w:t xml:space="preserve">El trimetoprim con sulfametoxasol, por su amplio espectro</w:t>
      </w:r>
    </w:p>
    <w:p>
      <w:pPr>
        <w:spacing w:after="60"/>
      </w:pPr>
      <w:r>
        <w:rPr>
          <w:rFonts w:ascii="Poppins" w:cs="Poppins" w:eastAsia="Poppins" w:hAnsi="Poppins"/>
          <w:b/>
          <w:bCs/>
          <w:color w:val="000000"/>
          <w:sz w:val="21"/>
          <w:szCs w:val="21"/>
        </w:rPr>
        <w:t xml:space="preserve">D. </w:t>
      </w:r>
      <w:r>
        <w:rPr>
          <w:rFonts w:ascii="Poppins" w:cs="Poppins" w:eastAsia="Poppins" w:hAnsi="Poppins"/>
          <w:b w:val="false"/>
          <w:bCs w:val="false"/>
          <w:color w:val="000000"/>
          <w:sz w:val="21"/>
          <w:szCs w:val="21"/>
        </w:rPr>
        <w:t xml:space="preserve">La amoxicilina/clavulánico, por su disponibilidad en el primer nivel</w:t>
      </w:r>
    </w:p>
    <w:p>
      <w:pPr>
        <w:spacing w:after="100" w:before="120"/>
      </w:pPr>
      <w:r>
        <w:rPr>
          <w:rFonts w:ascii="Poppins" w:cs="Poppins" w:eastAsia="Poppins" w:hAnsi="Poppins"/>
          <w:b/>
          <w:bCs/>
          <w:color w:val="001C31"/>
          <w:sz w:val="21"/>
          <w:szCs w:val="21"/>
        </w:rPr>
        <w:t xml:space="preserve">Respuesta correcta: A</w:t>
      </w:r>
    </w:p>
    <w:p>
      <w:pPr>
        <w:spacing w:after="60"/>
      </w:pPr>
      <w:r>
        <w:rPr>
          <w:rFonts w:ascii="Poppins" w:cs="Poppins" w:eastAsia="Poppins" w:hAnsi="Poppins"/>
          <w:b/>
          <w:bCs/>
          <w:color w:val="001C31"/>
          <w:sz w:val="21"/>
          <w:szCs w:val="21"/>
          <w:u w:val="single"/>
        </w:rPr>
        <w:t xml:space="preserve">Justificación de la respuesta correcta</w:t>
      </w:r>
    </w:p>
    <w:p>
      <w:pPr>
        <w:spacing w:after="150"/>
      </w:pPr>
      <w:r>
        <w:rPr>
          <w:rFonts w:ascii="Poppins" w:cs="Poppins" w:eastAsia="Poppins" w:hAnsi="Poppins"/>
          <w:sz w:val="21"/>
          <w:szCs w:val="21"/>
        </w:rPr>
        <w:t xml:space="preserve">La guía establece que la droga de elección para el país es la nitrofurantoína por sus bajos niveles de resistencia, señalando que la fosfomicina y las cefalosporinas son alternativas a la nitrofurantoína.</w:t>
      </w:r>
    </w:p>
    <w:p>
      <w:pPr>
        <w:spacing w:after="60"/>
      </w:pPr>
      <w:r>
        <w:rPr>
          <w:rFonts w:ascii="Poppins" w:cs="Poppins" w:eastAsia="Poppins" w:hAnsi="Poppins"/>
          <w:b/>
          <w:bCs/>
          <w:color w:val="001C31"/>
          <w:sz w:val="21"/>
          <w:szCs w:val="21"/>
          <w:u w:val="single"/>
        </w:rPr>
        <w:t xml:space="preserve">Justificación de las opciones incorrectas</w:t>
      </w:r>
    </w:p>
    <w:p>
      <w:pPr>
        <w:spacing w:after="60"/>
      </w:pPr>
      <w:r>
        <w:rPr>
          <w:rFonts w:ascii="Poppins" w:cs="Poppins" w:eastAsia="Poppins" w:hAnsi="Poppins"/>
          <w:b/>
          <w:bCs/>
          <w:sz w:val="21"/>
          <w:szCs w:val="21"/>
        </w:rPr>
        <w:t xml:space="preserve">Opción B: </w:t>
      </w:r>
      <w:r>
        <w:rPr>
          <w:rFonts w:ascii="Poppins" w:cs="Poppins" w:eastAsia="Poppins" w:hAnsi="Poppins"/>
          <w:sz w:val="21"/>
          <w:szCs w:val="21"/>
        </w:rPr>
        <w:t xml:space="preserve">La ampicilina es explícitamente desaconsejada por la guía debido a sus altas tasas de resistencia local, no se presenta como droga de elección por costo.</w:t>
      </w:r>
    </w:p>
    <w:p>
      <w:pPr>
        <w:spacing w:after="60"/>
      </w:pPr>
      <w:r>
        <w:rPr>
          <w:rFonts w:ascii="Poppins" w:cs="Poppins" w:eastAsia="Poppins" w:hAnsi="Poppins"/>
          <w:b/>
          <w:bCs/>
          <w:sz w:val="21"/>
          <w:szCs w:val="21"/>
        </w:rPr>
        <w:t xml:space="preserve">Opción C: </w:t>
      </w:r>
      <w:r>
        <w:rPr>
          <w:rFonts w:ascii="Poppins" w:cs="Poppins" w:eastAsia="Poppins" w:hAnsi="Poppins"/>
          <w:sz w:val="21"/>
          <w:szCs w:val="21"/>
        </w:rPr>
        <w:t xml:space="preserve">El trimetoprim con sulfametoxasol está contraindicado en el primer trimestre y se sugiere no utilizarlo en embarazadas por su potencial teratogenicidad; no es la droga de elección.</w:t>
      </w:r>
    </w:p>
    <w:p>
      <w:pPr>
        <w:spacing w:after="60"/>
      </w:pPr>
      <w:r>
        <w:rPr>
          <w:rFonts w:ascii="Poppins" w:cs="Poppins" w:eastAsia="Poppins" w:hAnsi="Poppins"/>
          <w:b/>
          <w:bCs/>
          <w:sz w:val="21"/>
          <w:szCs w:val="21"/>
        </w:rPr>
        <w:t xml:space="preserve">Opción D: </w:t>
      </w:r>
      <w:r>
        <w:rPr>
          <w:rFonts w:ascii="Poppins" w:cs="Poppins" w:eastAsia="Poppins" w:hAnsi="Poppins"/>
          <w:sz w:val="21"/>
          <w:szCs w:val="21"/>
        </w:rPr>
        <w:t xml:space="preserve">La amoxicilina/clavulánico no se menciona como droga de elección; por el contrario, la amoxicilina se incluye entre los fármacos con altas tasas de resistencia local no recomendados para tratamiento empírico.</w:t>
      </w:r>
    </w:p>
    <w:p>
      <w:pPr>
        <w:pBdr>
          <w:bottom w:val="single" w:color="B08D3F" w:sz="6" w:space="4"/>
        </w:pBdr>
        <w:spacing w:after="200" w:before="100"/>
      </w:pPr>
      <w:r>
        <w:rPr>
          <w:rFonts w:ascii="Poppins" w:cs="Poppins" w:eastAsia="Poppins" w:hAnsi="Poppins"/>
          <w:b/>
          <w:bCs/>
          <w:i/>
          <w:iCs/>
          <w:color w:val="B08D3F"/>
          <w:sz w:val="20"/>
          <w:szCs w:val="20"/>
        </w:rPr>
        <w:t xml:space="preserve">Referencia: </w:t>
      </w:r>
      <w:r>
        <w:rPr>
          <w:rFonts w:ascii="Poppins" w:cs="Poppins" w:eastAsia="Poppins" w:hAnsi="Poppins"/>
          <w:i/>
          <w:iCs/>
          <w:color w:val="555555"/>
          <w:sz w:val="20"/>
          <w:szCs w:val="20"/>
        </w:rPr>
        <w:t xml:space="preserve">Definiciones, clasificación y epidemiología de la infección de vías urinarias en el embarazo. Página 15.</w:t>
      </w:r>
    </w:p>
    <w:p>
      <w:pPr>
        <w:shd w:fill="001C31" w:val="clear"/>
        <w:spacing w:after="100" w:before="300"/>
      </w:pPr>
      <w:r>
        <w:rPr>
          <w:rFonts w:ascii="Poppins" w:cs="Poppins" w:eastAsia="Poppins" w:hAnsi="Poppins"/>
          <w:b/>
          <w:bCs/>
          <w:color w:val="FFFFFF"/>
          <w:sz w:val="24"/>
          <w:szCs w:val="24"/>
        </w:rPr>
        <w:t xml:space="preserve">PREGUNTA 19</w:t>
      </w:r>
    </w:p>
    <w:p>
      <w:pPr>
        <w:spacing w:after="120"/>
      </w:pPr>
      <w:r>
        <w:rPr>
          <w:rFonts w:ascii="Poppins" w:cs="Poppins" w:eastAsia="Poppins" w:hAnsi="Poppins"/>
          <w:b/>
          <w:bCs/>
          <w:color w:val="001C31"/>
          <w:sz w:val="21"/>
          <w:szCs w:val="21"/>
        </w:rPr>
        <w:t xml:space="preserve">Pregunta: </w:t>
      </w:r>
      <w:r>
        <w:rPr>
          <w:rFonts w:ascii="Poppins" w:cs="Poppins" w:eastAsia="Poppins" w:hAnsi="Poppins"/>
          <w:sz w:val="21"/>
          <w:szCs w:val="21"/>
        </w:rPr>
        <w:t xml:space="preserve">Según la GPC, ¿qué se debe realizar luego de completar el tratamiento antibiótico tanto de BA como de cistitis?</w:t>
      </w:r>
    </w:p>
    <w:p>
      <w:pPr>
        <w:spacing w:after="60"/>
      </w:pPr>
      <w:r>
        <w:rPr>
          <w:rFonts w:ascii="Poppins" w:cs="Poppins" w:eastAsia="Poppins" w:hAnsi="Poppins"/>
          <w:b/>
          <w:bCs/>
          <w:color w:val="B08D3F"/>
          <w:sz w:val="21"/>
          <w:szCs w:val="21"/>
        </w:rPr>
        <w:t xml:space="preserve">A. </w:t>
      </w:r>
      <w:r>
        <w:rPr>
          <w:rFonts w:ascii="Poppins" w:cs="Poppins" w:eastAsia="Poppins" w:hAnsi="Poppins"/>
          <w:b/>
          <w:bCs/>
          <w:color w:val="B08D3F"/>
          <w:sz w:val="21"/>
          <w:szCs w:val="21"/>
        </w:rPr>
        <w:t xml:space="preserve">Urocultivo de control para documentar el éxito de la erradicación</w:t>
      </w:r>
    </w:p>
    <w:p>
      <w:pPr>
        <w:spacing w:after="60"/>
      </w:pPr>
      <w:r>
        <w:rPr>
          <w:rFonts w:ascii="Poppins" w:cs="Poppins" w:eastAsia="Poppins" w:hAnsi="Poppins"/>
          <w:b/>
          <w:bCs/>
          <w:color w:val="000000"/>
          <w:sz w:val="21"/>
          <w:szCs w:val="21"/>
        </w:rPr>
        <w:t xml:space="preserve">B. </w:t>
      </w:r>
      <w:r>
        <w:rPr>
          <w:rFonts w:ascii="Poppins" w:cs="Poppins" w:eastAsia="Poppins" w:hAnsi="Poppins"/>
          <w:b w:val="false"/>
          <w:bCs w:val="false"/>
          <w:color w:val="000000"/>
          <w:sz w:val="21"/>
          <w:szCs w:val="21"/>
        </w:rPr>
        <w:t xml:space="preserve">Una ecografía renal de control en todos los casos</w:t>
      </w:r>
    </w:p>
    <w:p>
      <w:pPr>
        <w:spacing w:after="60"/>
      </w:pPr>
      <w:r>
        <w:rPr>
          <w:rFonts w:ascii="Poppins" w:cs="Poppins" w:eastAsia="Poppins" w:hAnsi="Poppins"/>
          <w:b/>
          <w:bCs/>
          <w:color w:val="000000"/>
          <w:sz w:val="21"/>
          <w:szCs w:val="21"/>
        </w:rPr>
        <w:t xml:space="preserve">C. </w:t>
      </w:r>
      <w:r>
        <w:rPr>
          <w:rFonts w:ascii="Poppins" w:cs="Poppins" w:eastAsia="Poppins" w:hAnsi="Poppins"/>
          <w:b w:val="false"/>
          <w:bCs w:val="false"/>
          <w:color w:val="000000"/>
          <w:sz w:val="21"/>
          <w:szCs w:val="21"/>
        </w:rPr>
        <w:t xml:space="preserve">Un examen general de orina únicamente, sin urocultivo</w:t>
      </w:r>
    </w:p>
    <w:p>
      <w:pPr>
        <w:spacing w:after="60"/>
      </w:pPr>
      <w:r>
        <w:rPr>
          <w:rFonts w:ascii="Poppins" w:cs="Poppins" w:eastAsia="Poppins" w:hAnsi="Poppins"/>
          <w:b/>
          <w:bCs/>
          <w:color w:val="000000"/>
          <w:sz w:val="21"/>
          <w:szCs w:val="21"/>
        </w:rPr>
        <w:t xml:space="preserve">D. </w:t>
      </w:r>
      <w:r>
        <w:rPr>
          <w:rFonts w:ascii="Poppins" w:cs="Poppins" w:eastAsia="Poppins" w:hAnsi="Poppins"/>
          <w:b w:val="false"/>
          <w:bCs w:val="false"/>
          <w:color w:val="000000"/>
          <w:sz w:val="21"/>
          <w:szCs w:val="21"/>
        </w:rPr>
        <w:t xml:space="preserve">Ninguna prueba adicional, ya que el tratamiento se considera exitoso de forma automática</w:t>
      </w:r>
    </w:p>
    <w:p>
      <w:pPr>
        <w:spacing w:after="100" w:before="120"/>
      </w:pPr>
      <w:r>
        <w:rPr>
          <w:rFonts w:ascii="Poppins" w:cs="Poppins" w:eastAsia="Poppins" w:hAnsi="Poppins"/>
          <w:b/>
          <w:bCs/>
          <w:color w:val="001C31"/>
          <w:sz w:val="21"/>
          <w:szCs w:val="21"/>
        </w:rPr>
        <w:t xml:space="preserve">Respuesta correcta: A</w:t>
      </w:r>
    </w:p>
    <w:p>
      <w:pPr>
        <w:spacing w:after="60"/>
      </w:pPr>
      <w:r>
        <w:rPr>
          <w:rFonts w:ascii="Poppins" w:cs="Poppins" w:eastAsia="Poppins" w:hAnsi="Poppins"/>
          <w:b/>
          <w:bCs/>
          <w:color w:val="001C31"/>
          <w:sz w:val="21"/>
          <w:szCs w:val="21"/>
          <w:u w:val="single"/>
        </w:rPr>
        <w:t xml:space="preserve">Justificación de la respuesta correcta</w:t>
      </w:r>
    </w:p>
    <w:p>
      <w:pPr>
        <w:spacing w:after="150"/>
      </w:pPr>
      <w:r>
        <w:rPr>
          <w:rFonts w:ascii="Poppins" w:cs="Poppins" w:eastAsia="Poppins" w:hAnsi="Poppins"/>
          <w:sz w:val="21"/>
          <w:szCs w:val="21"/>
        </w:rPr>
        <w:t xml:space="preserve">La guía establece que, luego de completar el tratamiento antibiótico tanto de BA como de cistitis, se debe realizar urocultivo de control para documentar el éxito de la erradicación.</w:t>
      </w:r>
    </w:p>
    <w:p>
      <w:pPr>
        <w:spacing w:after="60"/>
      </w:pPr>
      <w:r>
        <w:rPr>
          <w:rFonts w:ascii="Poppins" w:cs="Poppins" w:eastAsia="Poppins" w:hAnsi="Poppins"/>
          <w:b/>
          <w:bCs/>
          <w:color w:val="001C31"/>
          <w:sz w:val="21"/>
          <w:szCs w:val="21"/>
          <w:u w:val="single"/>
        </w:rPr>
        <w:t xml:space="preserve">Justificación de las opciones incorrectas</w:t>
      </w:r>
    </w:p>
    <w:p>
      <w:pPr>
        <w:spacing w:after="60"/>
      </w:pPr>
      <w:r>
        <w:rPr>
          <w:rFonts w:ascii="Poppins" w:cs="Poppins" w:eastAsia="Poppins" w:hAnsi="Poppins"/>
          <w:b/>
          <w:bCs/>
          <w:sz w:val="21"/>
          <w:szCs w:val="21"/>
        </w:rPr>
        <w:t xml:space="preserve">Opción B: </w:t>
      </w:r>
      <w:r>
        <w:rPr>
          <w:rFonts w:ascii="Poppins" w:cs="Poppins" w:eastAsia="Poppins" w:hAnsi="Poppins"/>
          <w:sz w:val="21"/>
          <w:szCs w:val="21"/>
        </w:rPr>
        <w:t xml:space="preserve">La ecografía renal no se menciona en la guía como el estudio de control tras el tratamiento antibiótico de BA o cistitis; el estudio indicado es el urocultivo.</w:t>
      </w:r>
    </w:p>
    <w:p>
      <w:pPr>
        <w:spacing w:after="60"/>
      </w:pPr>
      <w:r>
        <w:rPr>
          <w:rFonts w:ascii="Poppins" w:cs="Poppins" w:eastAsia="Poppins" w:hAnsi="Poppins"/>
          <w:b/>
          <w:bCs/>
          <w:sz w:val="21"/>
          <w:szCs w:val="21"/>
        </w:rPr>
        <w:t xml:space="preserve">Opción C: </w:t>
      </w:r>
      <w:r>
        <w:rPr>
          <w:rFonts w:ascii="Poppins" w:cs="Poppins" w:eastAsia="Poppins" w:hAnsi="Poppins"/>
          <w:sz w:val="21"/>
          <w:szCs w:val="21"/>
        </w:rPr>
        <w:t xml:space="preserve">La guía especifica el urocultivo, no el examen general de orina, como la prueba de control para documentar la erradicación bacteriana.</w:t>
      </w:r>
    </w:p>
    <w:p>
      <w:pPr>
        <w:spacing w:after="60"/>
      </w:pPr>
      <w:r>
        <w:rPr>
          <w:rFonts w:ascii="Poppins" w:cs="Poppins" w:eastAsia="Poppins" w:hAnsi="Poppins"/>
          <w:b/>
          <w:bCs/>
          <w:sz w:val="21"/>
          <w:szCs w:val="21"/>
        </w:rPr>
        <w:t xml:space="preserve">Opción D: </w:t>
      </w:r>
      <w:r>
        <w:rPr>
          <w:rFonts w:ascii="Poppins" w:cs="Poppins" w:eastAsia="Poppins" w:hAnsi="Poppins"/>
          <w:sz w:val="21"/>
          <w:szCs w:val="21"/>
        </w:rPr>
        <w:t xml:space="preserve">La guía sí exige verificación mediante urocultivo de control; no asume el éxito del tratamiento sin esta confirmación.</w:t>
      </w:r>
    </w:p>
    <w:p>
      <w:pPr>
        <w:pBdr>
          <w:bottom w:val="single" w:color="B08D3F" w:sz="6" w:space="4"/>
        </w:pBdr>
        <w:spacing w:after="200" w:before="100"/>
      </w:pPr>
      <w:r>
        <w:rPr>
          <w:rFonts w:ascii="Poppins" w:cs="Poppins" w:eastAsia="Poppins" w:hAnsi="Poppins"/>
          <w:b/>
          <w:bCs/>
          <w:i/>
          <w:iCs/>
          <w:color w:val="B08D3F"/>
          <w:sz w:val="20"/>
          <w:szCs w:val="20"/>
        </w:rPr>
        <w:t xml:space="preserve">Referencia: </w:t>
      </w:r>
      <w:r>
        <w:rPr>
          <w:rFonts w:ascii="Poppins" w:cs="Poppins" w:eastAsia="Poppins" w:hAnsi="Poppins"/>
          <w:i/>
          <w:iCs/>
          <w:color w:val="555555"/>
          <w:sz w:val="20"/>
          <w:szCs w:val="20"/>
        </w:rPr>
        <w:t xml:space="preserve">Definiciones, clasificación y epidemiología de la infección de vías urinarias en el embarazo. Página 15.</w:t>
      </w:r>
    </w:p>
    <w:p>
      <w:pPr>
        <w:shd w:fill="001C31" w:val="clear"/>
        <w:spacing w:after="100" w:before="300"/>
      </w:pPr>
      <w:r>
        <w:rPr>
          <w:rFonts w:ascii="Poppins" w:cs="Poppins" w:eastAsia="Poppins" w:hAnsi="Poppins"/>
          <w:b/>
          <w:bCs/>
          <w:color w:val="FFFFFF"/>
          <w:sz w:val="24"/>
          <w:szCs w:val="24"/>
        </w:rPr>
        <w:t xml:space="preserve">PREGUNTA 20</w:t>
      </w:r>
    </w:p>
    <w:p>
      <w:pPr>
        <w:spacing w:after="120"/>
      </w:pPr>
      <w:r>
        <w:rPr>
          <w:rFonts w:ascii="Poppins" w:cs="Poppins" w:eastAsia="Poppins" w:hAnsi="Poppins"/>
          <w:b/>
          <w:bCs/>
          <w:color w:val="001C31"/>
          <w:sz w:val="21"/>
          <w:szCs w:val="21"/>
        </w:rPr>
        <w:t xml:space="preserve">Pregunta: </w:t>
      </w:r>
      <w:r>
        <w:rPr>
          <w:rFonts w:ascii="Poppins" w:cs="Poppins" w:eastAsia="Poppins" w:hAnsi="Poppins"/>
          <w:sz w:val="21"/>
          <w:szCs w:val="21"/>
        </w:rPr>
        <w:t xml:space="preserve">Según la GPC, ¿qué fármacos son desaconsejados para el tratamiento empírico de IVU por sus altas tasas de resistencia local?</w:t>
      </w:r>
    </w:p>
    <w:p>
      <w:pPr>
        <w:spacing w:after="60"/>
      </w:pPr>
      <w:r>
        <w:rPr>
          <w:rFonts w:ascii="Poppins" w:cs="Poppins" w:eastAsia="Poppins" w:hAnsi="Poppins"/>
          <w:b/>
          <w:bCs/>
          <w:color w:val="B08D3F"/>
          <w:sz w:val="21"/>
          <w:szCs w:val="21"/>
        </w:rPr>
        <w:t xml:space="preserve">A. </w:t>
      </w:r>
      <w:r>
        <w:rPr>
          <w:rFonts w:ascii="Poppins" w:cs="Poppins" w:eastAsia="Poppins" w:hAnsi="Poppins"/>
          <w:b/>
          <w:bCs/>
          <w:color w:val="B08D3F"/>
          <w:sz w:val="21"/>
          <w:szCs w:val="21"/>
        </w:rPr>
        <w:t xml:space="preserve">Ampicilina e inhibidores de betalactamasas</w:t>
      </w:r>
    </w:p>
    <w:p>
      <w:pPr>
        <w:spacing w:after="60"/>
      </w:pPr>
      <w:r>
        <w:rPr>
          <w:rFonts w:ascii="Poppins" w:cs="Poppins" w:eastAsia="Poppins" w:hAnsi="Poppins"/>
          <w:b/>
          <w:bCs/>
          <w:color w:val="000000"/>
          <w:sz w:val="21"/>
          <w:szCs w:val="21"/>
        </w:rPr>
        <w:t xml:space="preserve">B. </w:t>
      </w:r>
      <w:r>
        <w:rPr>
          <w:rFonts w:ascii="Poppins" w:cs="Poppins" w:eastAsia="Poppins" w:hAnsi="Poppins"/>
          <w:b w:val="false"/>
          <w:bCs w:val="false"/>
          <w:color w:val="000000"/>
          <w:sz w:val="21"/>
          <w:szCs w:val="21"/>
        </w:rPr>
        <w:t xml:space="preserve">Nitrofurantoína y fosfomicina</w:t>
      </w:r>
    </w:p>
    <w:p>
      <w:pPr>
        <w:spacing w:after="60"/>
      </w:pPr>
      <w:r>
        <w:rPr>
          <w:rFonts w:ascii="Poppins" w:cs="Poppins" w:eastAsia="Poppins" w:hAnsi="Poppins"/>
          <w:b/>
          <w:bCs/>
          <w:color w:val="000000"/>
          <w:sz w:val="21"/>
          <w:szCs w:val="21"/>
        </w:rPr>
        <w:t xml:space="preserve">C. </w:t>
      </w:r>
      <w:r>
        <w:rPr>
          <w:rFonts w:ascii="Poppins" w:cs="Poppins" w:eastAsia="Poppins" w:hAnsi="Poppins"/>
          <w:b w:val="false"/>
          <w:bCs w:val="false"/>
          <w:color w:val="000000"/>
          <w:sz w:val="21"/>
          <w:szCs w:val="21"/>
        </w:rPr>
        <w:t xml:space="preserve">Cefalexina y cefalosporinas de segunda generación</w:t>
      </w:r>
    </w:p>
    <w:p>
      <w:pPr>
        <w:spacing w:after="60"/>
      </w:pPr>
      <w:r>
        <w:rPr>
          <w:rFonts w:ascii="Poppins" w:cs="Poppins" w:eastAsia="Poppins" w:hAnsi="Poppins"/>
          <w:b/>
          <w:bCs/>
          <w:color w:val="000000"/>
          <w:sz w:val="21"/>
          <w:szCs w:val="21"/>
        </w:rPr>
        <w:t xml:space="preserve">D. </w:t>
      </w:r>
      <w:r>
        <w:rPr>
          <w:rFonts w:ascii="Poppins" w:cs="Poppins" w:eastAsia="Poppins" w:hAnsi="Poppins"/>
          <w:b w:val="false"/>
          <w:bCs w:val="false"/>
          <w:color w:val="000000"/>
          <w:sz w:val="21"/>
          <w:szCs w:val="21"/>
        </w:rPr>
        <w:t xml:space="preserve">Fosfomicina en dosis única</w:t>
      </w:r>
    </w:p>
    <w:p>
      <w:pPr>
        <w:spacing w:after="100" w:before="120"/>
      </w:pPr>
      <w:r>
        <w:rPr>
          <w:rFonts w:ascii="Poppins" w:cs="Poppins" w:eastAsia="Poppins" w:hAnsi="Poppins"/>
          <w:b/>
          <w:bCs/>
          <w:color w:val="001C31"/>
          <w:sz w:val="21"/>
          <w:szCs w:val="21"/>
        </w:rPr>
        <w:t xml:space="preserve">Respuesta correcta: A</w:t>
      </w:r>
    </w:p>
    <w:p>
      <w:pPr>
        <w:spacing w:after="60"/>
      </w:pPr>
      <w:r>
        <w:rPr>
          <w:rFonts w:ascii="Poppins" w:cs="Poppins" w:eastAsia="Poppins" w:hAnsi="Poppins"/>
          <w:b/>
          <w:bCs/>
          <w:color w:val="001C31"/>
          <w:sz w:val="21"/>
          <w:szCs w:val="21"/>
          <w:u w:val="single"/>
        </w:rPr>
        <w:t xml:space="preserve">Justificación de la respuesta correcta</w:t>
      </w:r>
    </w:p>
    <w:p>
      <w:pPr>
        <w:spacing w:after="150"/>
      </w:pPr>
      <w:r>
        <w:rPr>
          <w:rFonts w:ascii="Poppins" w:cs="Poppins" w:eastAsia="Poppins" w:hAnsi="Poppins"/>
          <w:sz w:val="21"/>
          <w:szCs w:val="21"/>
        </w:rPr>
        <w:t xml:space="preserve">La guía establece que la ampicilina e inhibidores de betalactamasas son desaconsejados por sus altas tasas de resistencia local presentadas en la reunión de consenso para la toma de decisiones respecto a la terapéutica.</w:t>
      </w:r>
    </w:p>
    <w:p>
      <w:pPr>
        <w:spacing w:after="60"/>
      </w:pPr>
      <w:r>
        <w:rPr>
          <w:rFonts w:ascii="Poppins" w:cs="Poppins" w:eastAsia="Poppins" w:hAnsi="Poppins"/>
          <w:b/>
          <w:bCs/>
          <w:color w:val="001C31"/>
          <w:sz w:val="21"/>
          <w:szCs w:val="21"/>
          <w:u w:val="single"/>
        </w:rPr>
        <w:t xml:space="preserve">Justificación de las opciones incorrectas</w:t>
      </w:r>
    </w:p>
    <w:p>
      <w:pPr>
        <w:spacing w:after="60"/>
      </w:pPr>
      <w:r>
        <w:rPr>
          <w:rFonts w:ascii="Poppins" w:cs="Poppins" w:eastAsia="Poppins" w:hAnsi="Poppins"/>
          <w:b/>
          <w:bCs/>
          <w:sz w:val="21"/>
          <w:szCs w:val="21"/>
        </w:rPr>
        <w:t xml:space="preserve">Opción B: </w:t>
      </w:r>
      <w:r>
        <w:rPr>
          <w:rFonts w:ascii="Poppins" w:cs="Poppins" w:eastAsia="Poppins" w:hAnsi="Poppins"/>
          <w:sz w:val="21"/>
          <w:szCs w:val="21"/>
        </w:rPr>
        <w:t xml:space="preserve">La nitrofurantoína y la fosfomicina son, precisamente, los fármacos recomendados por la guía debido a sus bajos niveles de resistencia, no los desaconsejados.</w:t>
      </w:r>
    </w:p>
    <w:p>
      <w:pPr>
        <w:spacing w:after="60"/>
      </w:pPr>
      <w:r>
        <w:rPr>
          <w:rFonts w:ascii="Poppins" w:cs="Poppins" w:eastAsia="Poppins" w:hAnsi="Poppins"/>
          <w:b/>
          <w:bCs/>
          <w:sz w:val="21"/>
          <w:szCs w:val="21"/>
        </w:rPr>
        <w:t xml:space="preserve">Opción C: </w:t>
      </w:r>
      <w:r>
        <w:rPr>
          <w:rFonts w:ascii="Poppins" w:cs="Poppins" w:eastAsia="Poppins" w:hAnsi="Poppins"/>
          <w:sz w:val="21"/>
          <w:szCs w:val="21"/>
        </w:rPr>
        <w:t xml:space="preserve">La cefalexina y las cefalosporinas de segunda generación se presentan en la guía como alternativas válidas de tratamiento, no como fármacos desaconsejados.</w:t>
      </w:r>
    </w:p>
    <w:p>
      <w:pPr>
        <w:spacing w:after="60"/>
      </w:pPr>
      <w:r>
        <w:rPr>
          <w:rFonts w:ascii="Poppins" w:cs="Poppins" w:eastAsia="Poppins" w:hAnsi="Poppins"/>
          <w:b/>
          <w:bCs/>
          <w:sz w:val="21"/>
          <w:szCs w:val="21"/>
        </w:rPr>
        <w:t xml:space="preserve">Opción D: </w:t>
      </w:r>
      <w:r>
        <w:rPr>
          <w:rFonts w:ascii="Poppins" w:cs="Poppins" w:eastAsia="Poppins" w:hAnsi="Poppins"/>
          <w:sz w:val="21"/>
          <w:szCs w:val="21"/>
        </w:rPr>
        <w:t xml:space="preserve">La fosfomicina en dosis única es uno de los esquemas recomendados por la guía para el tratamiento de BA y cistitis, no un fármaco desaconsejado.</w:t>
      </w:r>
    </w:p>
    <w:p>
      <w:pPr>
        <w:pBdr>
          <w:bottom w:val="single" w:color="B08D3F" w:sz="6" w:space="4"/>
        </w:pBdr>
        <w:spacing w:after="200" w:before="100"/>
      </w:pPr>
      <w:r>
        <w:rPr>
          <w:rFonts w:ascii="Poppins" w:cs="Poppins" w:eastAsia="Poppins" w:hAnsi="Poppins"/>
          <w:b/>
          <w:bCs/>
          <w:i/>
          <w:iCs/>
          <w:color w:val="B08D3F"/>
          <w:sz w:val="20"/>
          <w:szCs w:val="20"/>
        </w:rPr>
        <w:t xml:space="preserve">Referencia: </w:t>
      </w:r>
      <w:r>
        <w:rPr>
          <w:rFonts w:ascii="Poppins" w:cs="Poppins" w:eastAsia="Poppins" w:hAnsi="Poppins"/>
          <w:i/>
          <w:iCs/>
          <w:color w:val="555555"/>
          <w:sz w:val="20"/>
          <w:szCs w:val="20"/>
        </w:rPr>
        <w:t xml:space="preserve">Definiciones, clasificación y epidemiología de la infección de vías urinarias en el embarazo. Página 15.</w:t>
      </w:r>
    </w:p>
    <w:p>
      <w:pPr>
        <w:shd w:fill="001C31" w:val="clear"/>
        <w:spacing w:after="100" w:before="300"/>
      </w:pPr>
      <w:r>
        <w:rPr>
          <w:rFonts w:ascii="Poppins" w:cs="Poppins" w:eastAsia="Poppins" w:hAnsi="Poppins"/>
          <w:b/>
          <w:bCs/>
          <w:color w:val="FFFFFF"/>
          <w:sz w:val="24"/>
          <w:szCs w:val="24"/>
        </w:rPr>
        <w:t xml:space="preserve">PREGUNTA 21</w:t>
      </w:r>
    </w:p>
    <w:p>
      <w:pPr>
        <w:spacing w:after="120"/>
      </w:pPr>
      <w:r>
        <w:rPr>
          <w:rFonts w:ascii="Poppins" w:cs="Poppins" w:eastAsia="Poppins" w:hAnsi="Poppins"/>
          <w:b/>
          <w:bCs/>
          <w:color w:val="001C31"/>
          <w:sz w:val="21"/>
          <w:szCs w:val="21"/>
        </w:rPr>
        <w:t xml:space="preserve">Pregunta: </w:t>
      </w:r>
      <w:r>
        <w:rPr>
          <w:rFonts w:ascii="Poppins" w:cs="Poppins" w:eastAsia="Poppins" w:hAnsi="Poppins"/>
          <w:sz w:val="21"/>
          <w:szCs w:val="21"/>
        </w:rPr>
        <w:t xml:space="preserve">Según la GPC, la elección del antimicrobiano para el tratamiento de la IVU en el embarazo debe estar dirigida a:</w:t>
      </w:r>
    </w:p>
    <w:p>
      <w:pPr>
        <w:spacing w:after="60"/>
      </w:pPr>
      <w:r>
        <w:rPr>
          <w:rFonts w:ascii="Poppins" w:cs="Poppins" w:eastAsia="Poppins" w:hAnsi="Poppins"/>
          <w:b/>
          <w:bCs/>
          <w:color w:val="B08D3F"/>
          <w:sz w:val="21"/>
          <w:szCs w:val="21"/>
        </w:rPr>
        <w:t xml:space="preserve">A. </w:t>
      </w:r>
      <w:r>
        <w:rPr>
          <w:rFonts w:ascii="Poppins" w:cs="Poppins" w:eastAsia="Poppins" w:hAnsi="Poppins"/>
          <w:b/>
          <w:bCs/>
          <w:color w:val="B08D3F"/>
          <w:sz w:val="21"/>
          <w:szCs w:val="21"/>
        </w:rPr>
        <w:t xml:space="preserve">Los agentes etiológicos más frecuentes, siendo además el fármaco seguro para la madre y el feto</w:t>
      </w:r>
    </w:p>
    <w:p>
      <w:pPr>
        <w:spacing w:after="60"/>
      </w:pPr>
      <w:r>
        <w:rPr>
          <w:rFonts w:ascii="Poppins" w:cs="Poppins" w:eastAsia="Poppins" w:hAnsi="Poppins"/>
          <w:b/>
          <w:bCs/>
          <w:color w:val="000000"/>
          <w:sz w:val="21"/>
          <w:szCs w:val="21"/>
        </w:rPr>
        <w:t xml:space="preserve">B. </w:t>
      </w:r>
      <w:r>
        <w:rPr>
          <w:rFonts w:ascii="Poppins" w:cs="Poppins" w:eastAsia="Poppins" w:hAnsi="Poppins"/>
          <w:b w:val="false"/>
          <w:bCs w:val="false"/>
          <w:color w:val="000000"/>
          <w:sz w:val="21"/>
          <w:szCs w:val="21"/>
        </w:rPr>
        <w:t xml:space="preserve">El menor costo del fármaco, independientemente del perfil de resistencia local</w:t>
      </w:r>
    </w:p>
    <w:p>
      <w:pPr>
        <w:spacing w:after="60"/>
      </w:pPr>
      <w:r>
        <w:rPr>
          <w:rFonts w:ascii="Poppins" w:cs="Poppins" w:eastAsia="Poppins" w:hAnsi="Poppins"/>
          <w:b/>
          <w:bCs/>
          <w:color w:val="000000"/>
          <w:sz w:val="21"/>
          <w:szCs w:val="21"/>
        </w:rPr>
        <w:t xml:space="preserve">C. </w:t>
      </w:r>
      <w:r>
        <w:rPr>
          <w:rFonts w:ascii="Poppins" w:cs="Poppins" w:eastAsia="Poppins" w:hAnsi="Poppins"/>
          <w:b w:val="false"/>
          <w:bCs w:val="false"/>
          <w:color w:val="000000"/>
          <w:sz w:val="21"/>
          <w:szCs w:val="21"/>
        </w:rPr>
        <w:t xml:space="preserve">La disponibilidad exclusiva en farmacias privadas</w:t>
      </w:r>
    </w:p>
    <w:p>
      <w:pPr>
        <w:spacing w:after="60"/>
      </w:pPr>
      <w:r>
        <w:rPr>
          <w:rFonts w:ascii="Poppins" w:cs="Poppins" w:eastAsia="Poppins" w:hAnsi="Poppins"/>
          <w:b/>
          <w:bCs/>
          <w:color w:val="000000"/>
          <w:sz w:val="21"/>
          <w:szCs w:val="21"/>
        </w:rPr>
        <w:t xml:space="preserve">D. </w:t>
      </w:r>
      <w:r>
        <w:rPr>
          <w:rFonts w:ascii="Poppins" w:cs="Poppins" w:eastAsia="Poppins" w:hAnsi="Poppins"/>
          <w:b w:val="false"/>
          <w:bCs w:val="false"/>
          <w:color w:val="000000"/>
          <w:sz w:val="21"/>
          <w:szCs w:val="21"/>
        </w:rPr>
        <w:t xml:space="preserve">La preferencia personal de la paciente, sin considerar el perfil de resistencia</w:t>
      </w:r>
    </w:p>
    <w:p>
      <w:pPr>
        <w:spacing w:after="100" w:before="120"/>
      </w:pPr>
      <w:r>
        <w:rPr>
          <w:rFonts w:ascii="Poppins" w:cs="Poppins" w:eastAsia="Poppins" w:hAnsi="Poppins"/>
          <w:b/>
          <w:bCs/>
          <w:color w:val="001C31"/>
          <w:sz w:val="21"/>
          <w:szCs w:val="21"/>
        </w:rPr>
        <w:t xml:space="preserve">Respuesta correcta: A</w:t>
      </w:r>
    </w:p>
    <w:p>
      <w:pPr>
        <w:spacing w:after="60"/>
      </w:pPr>
      <w:r>
        <w:rPr>
          <w:rFonts w:ascii="Poppins" w:cs="Poppins" w:eastAsia="Poppins" w:hAnsi="Poppins"/>
          <w:b/>
          <w:bCs/>
          <w:color w:val="001C31"/>
          <w:sz w:val="21"/>
          <w:szCs w:val="21"/>
          <w:u w:val="single"/>
        </w:rPr>
        <w:t xml:space="preserve">Justificación de la respuesta correcta</w:t>
      </w:r>
    </w:p>
    <w:p>
      <w:pPr>
        <w:spacing w:after="150"/>
      </w:pPr>
      <w:r>
        <w:rPr>
          <w:rFonts w:ascii="Poppins" w:cs="Poppins" w:eastAsia="Poppins" w:hAnsi="Poppins"/>
          <w:sz w:val="21"/>
          <w:szCs w:val="21"/>
        </w:rPr>
        <w:t xml:space="preserve">La guía establece que la elección del antimicrobiano debe estar dirigida a los agentes etiológicos más frecuentes y debe ser seguro para la madre y el feto, criterios que fundamentan la selección de nitrofurantoína, fosfomicina y cefalosporinas como opciones de tratamiento.</w:t>
      </w:r>
    </w:p>
    <w:p>
      <w:pPr>
        <w:spacing w:after="60"/>
      </w:pPr>
      <w:r>
        <w:rPr>
          <w:rFonts w:ascii="Poppins" w:cs="Poppins" w:eastAsia="Poppins" w:hAnsi="Poppins"/>
          <w:b/>
          <w:bCs/>
          <w:color w:val="001C31"/>
          <w:sz w:val="21"/>
          <w:szCs w:val="21"/>
          <w:u w:val="single"/>
        </w:rPr>
        <w:t xml:space="preserve">Justificación de las opciones incorrectas</w:t>
      </w:r>
    </w:p>
    <w:p>
      <w:pPr>
        <w:spacing w:after="60"/>
      </w:pPr>
      <w:r>
        <w:rPr>
          <w:rFonts w:ascii="Poppins" w:cs="Poppins" w:eastAsia="Poppins" w:hAnsi="Poppins"/>
          <w:b/>
          <w:bCs/>
          <w:sz w:val="21"/>
          <w:szCs w:val="21"/>
        </w:rPr>
        <w:t xml:space="preserve">Opción B: </w:t>
      </w:r>
      <w:r>
        <w:rPr>
          <w:rFonts w:ascii="Poppins" w:cs="Poppins" w:eastAsia="Poppins" w:hAnsi="Poppins"/>
          <w:sz w:val="21"/>
          <w:szCs w:val="21"/>
        </w:rPr>
        <w:t xml:space="preserve">El costo no es, según la guía, el criterio primario para la elección del antimicrobiano; se prioriza el espectro de actividad, la seguridad materno-fetal y los patrones de resistencia local.</w:t>
      </w:r>
    </w:p>
    <w:p>
      <w:pPr>
        <w:spacing w:after="60"/>
      </w:pPr>
      <w:r>
        <w:rPr>
          <w:rFonts w:ascii="Poppins" w:cs="Poppins" w:eastAsia="Poppins" w:hAnsi="Poppins"/>
          <w:b/>
          <w:bCs/>
          <w:sz w:val="21"/>
          <w:szCs w:val="21"/>
        </w:rPr>
        <w:t xml:space="preserve">Opción C: </w:t>
      </w:r>
      <w:r>
        <w:rPr>
          <w:rFonts w:ascii="Poppins" w:cs="Poppins" w:eastAsia="Poppins" w:hAnsi="Poppins"/>
          <w:sz w:val="21"/>
          <w:szCs w:val="21"/>
        </w:rPr>
        <w:t xml:space="preserve">La disponibilidad en farmacias privadas no se menciona como criterio en la guía para la selección del antimicrobiano.</w:t>
      </w:r>
    </w:p>
    <w:p>
      <w:pPr>
        <w:spacing w:after="60"/>
      </w:pPr>
      <w:r>
        <w:rPr>
          <w:rFonts w:ascii="Poppins" w:cs="Poppins" w:eastAsia="Poppins" w:hAnsi="Poppins"/>
          <w:b/>
          <w:bCs/>
          <w:sz w:val="21"/>
          <w:szCs w:val="21"/>
        </w:rPr>
        <w:t xml:space="preserve">Opción D: </w:t>
      </w:r>
      <w:r>
        <w:rPr>
          <w:rFonts w:ascii="Poppins" w:cs="Poppins" w:eastAsia="Poppins" w:hAnsi="Poppins"/>
          <w:sz w:val="21"/>
          <w:szCs w:val="21"/>
        </w:rPr>
        <w:t xml:space="preserve">La guía no basa la elección del antimicrobiano en la preferencia personal de la paciente sin considerar los agentes etiológicos y la seguridad materno-fetal.</w:t>
      </w:r>
    </w:p>
    <w:p>
      <w:pPr>
        <w:pBdr>
          <w:bottom w:val="single" w:color="B08D3F" w:sz="6" w:space="4"/>
        </w:pBdr>
        <w:spacing w:after="200" w:before="100"/>
      </w:pPr>
      <w:r>
        <w:rPr>
          <w:rFonts w:ascii="Poppins" w:cs="Poppins" w:eastAsia="Poppins" w:hAnsi="Poppins"/>
          <w:b/>
          <w:bCs/>
          <w:i/>
          <w:iCs/>
          <w:color w:val="B08D3F"/>
          <w:sz w:val="20"/>
          <w:szCs w:val="20"/>
        </w:rPr>
        <w:t xml:space="preserve">Referencia: </w:t>
      </w:r>
      <w:r>
        <w:rPr>
          <w:rFonts w:ascii="Poppins" w:cs="Poppins" w:eastAsia="Poppins" w:hAnsi="Poppins"/>
          <w:i/>
          <w:iCs/>
          <w:color w:val="555555"/>
          <w:sz w:val="20"/>
          <w:szCs w:val="20"/>
        </w:rPr>
        <w:t xml:space="preserve">Definiciones, clasificación y epidemiología de la infección de vías urinarias en el embarazo. Página 15.</w:t>
      </w:r>
    </w:p>
    <w:p>
      <w:pPr>
        <w:shd w:fill="001C31" w:val="clear"/>
        <w:spacing w:after="100" w:before="300"/>
      </w:pPr>
      <w:r>
        <w:rPr>
          <w:rFonts w:ascii="Poppins" w:cs="Poppins" w:eastAsia="Poppins" w:hAnsi="Poppins"/>
          <w:b/>
          <w:bCs/>
          <w:color w:val="FFFFFF"/>
          <w:sz w:val="24"/>
          <w:szCs w:val="24"/>
        </w:rPr>
        <w:t xml:space="preserve">PREGUNTA 22</w:t>
      </w:r>
    </w:p>
    <w:p>
      <w:pPr>
        <w:spacing w:after="120"/>
      </w:pPr>
      <w:r>
        <w:rPr>
          <w:rFonts w:ascii="Poppins" w:cs="Poppins" w:eastAsia="Poppins" w:hAnsi="Poppins"/>
          <w:b/>
          <w:bCs/>
          <w:color w:val="001C31"/>
          <w:sz w:val="21"/>
          <w:szCs w:val="21"/>
        </w:rPr>
        <w:t xml:space="preserve">Pregunta: </w:t>
      </w:r>
      <w:r>
        <w:rPr>
          <w:rFonts w:ascii="Poppins" w:cs="Poppins" w:eastAsia="Poppins" w:hAnsi="Poppins"/>
          <w:sz w:val="21"/>
          <w:szCs w:val="21"/>
        </w:rPr>
        <w:t xml:space="preserve">Según la GPC, en el Ecuador, la etiología bacteriana de la BA y la cistitis en mujeres embarazadas y no embarazadas es similar, encontrando Escherichia coli en:</w:t>
      </w:r>
    </w:p>
    <w:p>
      <w:pPr>
        <w:spacing w:after="60"/>
      </w:pPr>
      <w:r>
        <w:rPr>
          <w:rFonts w:ascii="Poppins" w:cs="Poppins" w:eastAsia="Poppins" w:hAnsi="Poppins"/>
          <w:b/>
          <w:bCs/>
          <w:color w:val="B08D3F"/>
          <w:sz w:val="21"/>
          <w:szCs w:val="21"/>
        </w:rPr>
        <w:t xml:space="preserve">A. </w:t>
      </w:r>
      <w:r>
        <w:rPr>
          <w:rFonts w:ascii="Poppins" w:cs="Poppins" w:eastAsia="Poppins" w:hAnsi="Poppins"/>
          <w:b/>
          <w:bCs/>
          <w:color w:val="B08D3F"/>
          <w:sz w:val="21"/>
          <w:szCs w:val="21"/>
        </w:rPr>
        <w:t xml:space="preserve">80% a 90% de las infecciones iniciales y en 70% a 80% de las recurrentes</w:t>
      </w:r>
    </w:p>
    <w:p>
      <w:pPr>
        <w:spacing w:after="60"/>
      </w:pPr>
      <w:r>
        <w:rPr>
          <w:rFonts w:ascii="Poppins" w:cs="Poppins" w:eastAsia="Poppins" w:hAnsi="Poppins"/>
          <w:b/>
          <w:bCs/>
          <w:color w:val="000000"/>
          <w:sz w:val="21"/>
          <w:szCs w:val="21"/>
        </w:rPr>
        <w:t xml:space="preserve">B. </w:t>
      </w:r>
      <w:r>
        <w:rPr>
          <w:rFonts w:ascii="Poppins" w:cs="Poppins" w:eastAsia="Poppins" w:hAnsi="Poppins"/>
          <w:b w:val="false"/>
          <w:bCs w:val="false"/>
          <w:color w:val="000000"/>
          <w:sz w:val="21"/>
          <w:szCs w:val="21"/>
        </w:rPr>
        <w:t xml:space="preserve">Menos del 20% de las infecciones iniciales</w:t>
      </w:r>
    </w:p>
    <w:p>
      <w:pPr>
        <w:spacing w:after="60"/>
      </w:pPr>
      <w:r>
        <w:rPr>
          <w:rFonts w:ascii="Poppins" w:cs="Poppins" w:eastAsia="Poppins" w:hAnsi="Poppins"/>
          <w:b/>
          <w:bCs/>
          <w:color w:val="000000"/>
          <w:sz w:val="21"/>
          <w:szCs w:val="21"/>
        </w:rPr>
        <w:t xml:space="preserve">C. </w:t>
      </w:r>
      <w:r>
        <w:rPr>
          <w:rFonts w:ascii="Poppins" w:cs="Poppins" w:eastAsia="Poppins" w:hAnsi="Poppins"/>
          <w:b w:val="false"/>
          <w:bCs w:val="false"/>
          <w:color w:val="000000"/>
          <w:sz w:val="21"/>
          <w:szCs w:val="21"/>
        </w:rPr>
        <w:t xml:space="preserve">100% de todas las infecciones sin excepción</w:t>
      </w:r>
    </w:p>
    <w:p>
      <w:pPr>
        <w:spacing w:after="60"/>
      </w:pPr>
      <w:r>
        <w:rPr>
          <w:rFonts w:ascii="Poppins" w:cs="Poppins" w:eastAsia="Poppins" w:hAnsi="Poppins"/>
          <w:b/>
          <w:bCs/>
          <w:color w:val="000000"/>
          <w:sz w:val="21"/>
          <w:szCs w:val="21"/>
        </w:rPr>
        <w:t xml:space="preserve">D. </w:t>
      </w:r>
      <w:r>
        <w:rPr>
          <w:rFonts w:ascii="Poppins" w:cs="Poppins" w:eastAsia="Poppins" w:hAnsi="Poppins"/>
          <w:b w:val="false"/>
          <w:bCs w:val="false"/>
          <w:color w:val="000000"/>
          <w:sz w:val="21"/>
          <w:szCs w:val="21"/>
        </w:rPr>
        <w:t xml:space="preserve">Solo en infecciones recurrentes, nunca en las iniciales</w:t>
      </w:r>
    </w:p>
    <w:p>
      <w:pPr>
        <w:spacing w:after="100" w:before="120"/>
      </w:pPr>
      <w:r>
        <w:rPr>
          <w:rFonts w:ascii="Poppins" w:cs="Poppins" w:eastAsia="Poppins" w:hAnsi="Poppins"/>
          <w:b/>
          <w:bCs/>
          <w:color w:val="001C31"/>
          <w:sz w:val="21"/>
          <w:szCs w:val="21"/>
        </w:rPr>
        <w:t xml:space="preserve">Respuesta correcta: A</w:t>
      </w:r>
    </w:p>
    <w:p>
      <w:pPr>
        <w:spacing w:after="60"/>
      </w:pPr>
      <w:r>
        <w:rPr>
          <w:rFonts w:ascii="Poppins" w:cs="Poppins" w:eastAsia="Poppins" w:hAnsi="Poppins"/>
          <w:b/>
          <w:bCs/>
          <w:color w:val="001C31"/>
          <w:sz w:val="21"/>
          <w:szCs w:val="21"/>
          <w:u w:val="single"/>
        </w:rPr>
        <w:t xml:space="preserve">Justificación de la respuesta correcta</w:t>
      </w:r>
    </w:p>
    <w:p>
      <w:pPr>
        <w:spacing w:after="150"/>
      </w:pPr>
      <w:r>
        <w:rPr>
          <w:rFonts w:ascii="Poppins" w:cs="Poppins" w:eastAsia="Poppins" w:hAnsi="Poppins"/>
          <w:sz w:val="21"/>
          <w:szCs w:val="21"/>
        </w:rPr>
        <w:t xml:space="preserve">La guía establece que la etiología bacteriana de la BA y cistitis en mujeres embarazadas y no embarazadas es similar, encontrando Escherichia coli en 80% a 90% de las infecciones iniciales y en 70% a 80% de las recurrentes.</w:t>
      </w:r>
    </w:p>
    <w:p>
      <w:pPr>
        <w:spacing w:after="60"/>
      </w:pPr>
      <w:r>
        <w:rPr>
          <w:rFonts w:ascii="Poppins" w:cs="Poppins" w:eastAsia="Poppins" w:hAnsi="Poppins"/>
          <w:b/>
          <w:bCs/>
          <w:color w:val="001C31"/>
          <w:sz w:val="21"/>
          <w:szCs w:val="21"/>
          <w:u w:val="single"/>
        </w:rPr>
        <w:t xml:space="preserve">Justificación de las opciones incorrectas</w:t>
      </w:r>
    </w:p>
    <w:p>
      <w:pPr>
        <w:spacing w:after="60"/>
      </w:pPr>
      <w:r>
        <w:rPr>
          <w:rFonts w:ascii="Poppins" w:cs="Poppins" w:eastAsia="Poppins" w:hAnsi="Poppins"/>
          <w:b/>
          <w:bCs/>
          <w:sz w:val="21"/>
          <w:szCs w:val="21"/>
        </w:rPr>
        <w:t xml:space="preserve">Opción B: </w:t>
      </w:r>
      <w:r>
        <w:rPr>
          <w:rFonts w:ascii="Poppins" w:cs="Poppins" w:eastAsia="Poppins" w:hAnsi="Poppins"/>
          <w:sz w:val="21"/>
          <w:szCs w:val="21"/>
        </w:rPr>
        <w:t xml:space="preserve">Menos del 20% subestima considerablemente el dato citado por la guía sobre la frecuencia de E. coli en las infecciones iniciales.</w:t>
      </w:r>
    </w:p>
    <w:p>
      <w:pPr>
        <w:spacing w:after="60"/>
      </w:pPr>
      <w:r>
        <w:rPr>
          <w:rFonts w:ascii="Poppins" w:cs="Poppins" w:eastAsia="Poppins" w:hAnsi="Poppins"/>
          <w:b/>
          <w:bCs/>
          <w:sz w:val="21"/>
          <w:szCs w:val="21"/>
        </w:rPr>
        <w:t xml:space="preserve">Opción C: </w:t>
      </w:r>
      <w:r>
        <w:rPr>
          <w:rFonts w:ascii="Poppins" w:cs="Poppins" w:eastAsia="Poppins" w:hAnsi="Poppins"/>
          <w:sz w:val="21"/>
          <w:szCs w:val="21"/>
        </w:rPr>
        <w:t xml:space="preserve">La guía no reporta un 100% de los casos atribuibles a E. coli; establece rangos específicos (80-90% en iniciales, 70-80% en recurrentes), reconociendo la existencia de otros gérmenes.</w:t>
      </w:r>
    </w:p>
    <w:p>
      <w:pPr>
        <w:spacing w:after="60"/>
      </w:pPr>
      <w:r>
        <w:rPr>
          <w:rFonts w:ascii="Poppins" w:cs="Poppins" w:eastAsia="Poppins" w:hAnsi="Poppins"/>
          <w:b/>
          <w:bCs/>
          <w:sz w:val="21"/>
          <w:szCs w:val="21"/>
        </w:rPr>
        <w:t xml:space="preserve">Opción D: </w:t>
      </w:r>
      <w:r>
        <w:rPr>
          <w:rFonts w:ascii="Poppins" w:cs="Poppins" w:eastAsia="Poppins" w:hAnsi="Poppins"/>
          <w:sz w:val="21"/>
          <w:szCs w:val="21"/>
        </w:rPr>
        <w:t xml:space="preserve">La guía reporta la presencia de E. coli tanto en infecciones iniciales (80-90%) como en recurrentes (70-80%), no exclusivamente en estas últimas.</w:t>
      </w:r>
    </w:p>
    <w:p>
      <w:pPr>
        <w:pBdr>
          <w:bottom w:val="single" w:color="B08D3F" w:sz="6" w:space="4"/>
        </w:pBdr>
        <w:spacing w:after="200" w:before="100"/>
      </w:pPr>
      <w:r>
        <w:rPr>
          <w:rFonts w:ascii="Poppins" w:cs="Poppins" w:eastAsia="Poppins" w:hAnsi="Poppins"/>
          <w:b/>
          <w:bCs/>
          <w:i/>
          <w:iCs/>
          <w:color w:val="B08D3F"/>
          <w:sz w:val="20"/>
          <w:szCs w:val="20"/>
        </w:rPr>
        <w:t xml:space="preserve">Referencia: </w:t>
      </w:r>
      <w:r>
        <w:rPr>
          <w:rFonts w:ascii="Poppins" w:cs="Poppins" w:eastAsia="Poppins" w:hAnsi="Poppins"/>
          <w:i/>
          <w:iCs/>
          <w:color w:val="555555"/>
          <w:sz w:val="20"/>
          <w:szCs w:val="20"/>
        </w:rPr>
        <w:t xml:space="preserve">Recomendaciones para el tratamiento de IVU en el embarazo. Tratamiento de la bacteriuria asintomática. Página 18.</w:t>
      </w:r>
    </w:p>
    <w:p>
      <w:pPr>
        <w:shd w:fill="001C31" w:val="clear"/>
        <w:spacing w:after="100" w:before="300"/>
      </w:pPr>
      <w:r>
        <w:rPr>
          <w:rFonts w:ascii="Poppins" w:cs="Poppins" w:eastAsia="Poppins" w:hAnsi="Poppins"/>
          <w:b/>
          <w:bCs/>
          <w:color w:val="FFFFFF"/>
          <w:sz w:val="24"/>
          <w:szCs w:val="24"/>
        </w:rPr>
        <w:t xml:space="preserve">PREGUNTA 23</w:t>
      </w:r>
    </w:p>
    <w:p>
      <w:pPr>
        <w:spacing w:after="120"/>
      </w:pPr>
      <w:r>
        <w:rPr>
          <w:rFonts w:ascii="Poppins" w:cs="Poppins" w:eastAsia="Poppins" w:hAnsi="Poppins"/>
          <w:b/>
          <w:bCs/>
          <w:color w:val="001C31"/>
          <w:sz w:val="21"/>
          <w:szCs w:val="21"/>
        </w:rPr>
        <w:t xml:space="preserve">Pregunta: </w:t>
      </w:r>
      <w:r>
        <w:rPr>
          <w:rFonts w:ascii="Poppins" w:cs="Poppins" w:eastAsia="Poppins" w:hAnsi="Poppins"/>
          <w:sz w:val="21"/>
          <w:szCs w:val="21"/>
        </w:rPr>
        <w:t xml:space="preserve">Según la GPC, ¿de qué sistemas de clasificación se adaptaron los niveles de evidencia y grados de recomendación utilizados para criterios de tratamiento y diagnóstico?</w:t>
      </w:r>
    </w:p>
    <w:p>
      <w:pPr>
        <w:spacing w:after="60"/>
      </w:pPr>
      <w:r>
        <w:rPr>
          <w:rFonts w:ascii="Poppins" w:cs="Poppins" w:eastAsia="Poppins" w:hAnsi="Poppins"/>
          <w:b/>
          <w:bCs/>
          <w:color w:val="B08D3F"/>
          <w:sz w:val="21"/>
          <w:szCs w:val="21"/>
        </w:rPr>
        <w:t xml:space="preserve">A. </w:t>
      </w:r>
      <w:r>
        <w:rPr>
          <w:rFonts w:ascii="Poppins" w:cs="Poppins" w:eastAsia="Poppins" w:hAnsi="Poppins"/>
          <w:b/>
          <w:bCs/>
          <w:color w:val="B08D3F"/>
          <w:sz w:val="21"/>
          <w:szCs w:val="21"/>
        </w:rPr>
        <w:t xml:space="preserve">Scottish Intercollegiate Guidelines Network (SIGN) y National Institute for Health and Clinical Excellence (NICE)</w:t>
      </w:r>
    </w:p>
    <w:p>
      <w:pPr>
        <w:spacing w:after="60"/>
      </w:pPr>
      <w:r>
        <w:rPr>
          <w:rFonts w:ascii="Poppins" w:cs="Poppins" w:eastAsia="Poppins" w:hAnsi="Poppins"/>
          <w:b/>
          <w:bCs/>
          <w:color w:val="000000"/>
          <w:sz w:val="21"/>
          <w:szCs w:val="21"/>
        </w:rPr>
        <w:t xml:space="preserve">B. </w:t>
      </w:r>
      <w:r>
        <w:rPr>
          <w:rFonts w:ascii="Poppins" w:cs="Poppins" w:eastAsia="Poppins" w:hAnsi="Poppins"/>
          <w:b w:val="false"/>
          <w:bCs w:val="false"/>
          <w:color w:val="000000"/>
          <w:sz w:val="21"/>
          <w:szCs w:val="21"/>
        </w:rPr>
        <w:t xml:space="preserve">Exclusivamente la escala de Shekelle modificada</w:t>
      </w:r>
    </w:p>
    <w:p>
      <w:pPr>
        <w:spacing w:after="60"/>
      </w:pPr>
      <w:r>
        <w:rPr>
          <w:rFonts w:ascii="Poppins" w:cs="Poppins" w:eastAsia="Poppins" w:hAnsi="Poppins"/>
          <w:b/>
          <w:bCs/>
          <w:color w:val="000000"/>
          <w:sz w:val="21"/>
          <w:szCs w:val="21"/>
        </w:rPr>
        <w:t xml:space="preserve">C. </w:t>
      </w:r>
      <w:r>
        <w:rPr>
          <w:rFonts w:ascii="Poppins" w:cs="Poppins" w:eastAsia="Poppins" w:hAnsi="Poppins"/>
          <w:b w:val="false"/>
          <w:bCs w:val="false"/>
          <w:color w:val="000000"/>
          <w:sz w:val="21"/>
          <w:szCs w:val="21"/>
        </w:rPr>
        <w:t xml:space="preserve">Únicamente el sistema GRADE</w:t>
      </w:r>
    </w:p>
    <w:p>
      <w:pPr>
        <w:spacing w:after="60"/>
      </w:pPr>
      <w:r>
        <w:rPr>
          <w:rFonts w:ascii="Poppins" w:cs="Poppins" w:eastAsia="Poppins" w:hAnsi="Poppins"/>
          <w:b/>
          <w:bCs/>
          <w:color w:val="000000"/>
          <w:sz w:val="21"/>
          <w:szCs w:val="21"/>
        </w:rPr>
        <w:t xml:space="preserve">D. </w:t>
      </w:r>
      <w:r>
        <w:rPr>
          <w:rFonts w:ascii="Poppins" w:cs="Poppins" w:eastAsia="Poppins" w:hAnsi="Poppins"/>
          <w:b w:val="false"/>
          <w:bCs w:val="false"/>
          <w:color w:val="000000"/>
          <w:sz w:val="21"/>
          <w:szCs w:val="21"/>
        </w:rPr>
        <w:t xml:space="preserve">El sistema propio desarrollado por el Ministerio de Salud Pública del Ecuador sin referencia internacional</w:t>
      </w:r>
    </w:p>
    <w:p>
      <w:pPr>
        <w:spacing w:after="100" w:before="120"/>
      </w:pPr>
      <w:r>
        <w:rPr>
          <w:rFonts w:ascii="Poppins" w:cs="Poppins" w:eastAsia="Poppins" w:hAnsi="Poppins"/>
          <w:b/>
          <w:bCs/>
          <w:color w:val="001C31"/>
          <w:sz w:val="21"/>
          <w:szCs w:val="21"/>
        </w:rPr>
        <w:t xml:space="preserve">Respuesta correcta: A</w:t>
      </w:r>
    </w:p>
    <w:p>
      <w:pPr>
        <w:spacing w:after="60"/>
      </w:pPr>
      <w:r>
        <w:rPr>
          <w:rFonts w:ascii="Poppins" w:cs="Poppins" w:eastAsia="Poppins" w:hAnsi="Poppins"/>
          <w:b/>
          <w:bCs/>
          <w:color w:val="001C31"/>
          <w:sz w:val="21"/>
          <w:szCs w:val="21"/>
          <w:u w:val="single"/>
        </w:rPr>
        <w:t xml:space="preserve">Justificación de la respuesta correcta</w:t>
      </w:r>
    </w:p>
    <w:p>
      <w:pPr>
        <w:spacing w:after="150"/>
      </w:pPr>
      <w:r>
        <w:rPr>
          <w:rFonts w:ascii="Poppins" w:cs="Poppins" w:eastAsia="Poppins" w:hAnsi="Poppins"/>
          <w:sz w:val="21"/>
          <w:szCs w:val="21"/>
        </w:rPr>
        <w:t xml:space="preserve">La guía indica que la evidencia científica se presenta con niveles de evidencia y grados de recomendación adaptados de la clasificación de la Scottish Intercollegiate Guidelines Network (SIGN) y del National Institute for Health and Clinical Excellence (NICE), que son similares entre sí para niveles de recomendación y grados de evidencia en criterios de tratamiento y diagnóstico.</w:t>
      </w:r>
    </w:p>
    <w:p>
      <w:pPr>
        <w:spacing w:after="60"/>
      </w:pPr>
      <w:r>
        <w:rPr>
          <w:rFonts w:ascii="Poppins" w:cs="Poppins" w:eastAsia="Poppins" w:hAnsi="Poppins"/>
          <w:b/>
          <w:bCs/>
          <w:color w:val="001C31"/>
          <w:sz w:val="21"/>
          <w:szCs w:val="21"/>
          <w:u w:val="single"/>
        </w:rPr>
        <w:t xml:space="preserve">Justificación de las opciones incorrectas</w:t>
      </w:r>
    </w:p>
    <w:p>
      <w:pPr>
        <w:spacing w:after="60"/>
      </w:pPr>
      <w:r>
        <w:rPr>
          <w:rFonts w:ascii="Poppins" w:cs="Poppins" w:eastAsia="Poppins" w:hAnsi="Poppins"/>
          <w:b/>
          <w:bCs/>
          <w:sz w:val="21"/>
          <w:szCs w:val="21"/>
        </w:rPr>
        <w:t xml:space="preserve">Opción B: </w:t>
      </w:r>
      <w:r>
        <w:rPr>
          <w:rFonts w:ascii="Poppins" w:cs="Poppins" w:eastAsia="Poppins" w:hAnsi="Poppins"/>
          <w:sz w:val="21"/>
          <w:szCs w:val="21"/>
        </w:rPr>
        <w:t xml:space="preserve">La escala de Shekelle modificada no es el sistema utilizado en esta GPC (a diferencia de otras guías del MSP); esta guía emplea SIGN/NICE y OCEBM.</w:t>
      </w:r>
    </w:p>
    <w:p>
      <w:pPr>
        <w:spacing w:after="60"/>
      </w:pPr>
      <w:r>
        <w:rPr>
          <w:rFonts w:ascii="Poppins" w:cs="Poppins" w:eastAsia="Poppins" w:hAnsi="Poppins"/>
          <w:b/>
          <w:bCs/>
          <w:sz w:val="21"/>
          <w:szCs w:val="21"/>
        </w:rPr>
        <w:t xml:space="preserve">Opción C: </w:t>
      </w:r>
      <w:r>
        <w:rPr>
          <w:rFonts w:ascii="Poppins" w:cs="Poppins" w:eastAsia="Poppins" w:hAnsi="Poppins"/>
          <w:sz w:val="21"/>
          <w:szCs w:val="21"/>
        </w:rPr>
        <w:t xml:space="preserve">El sistema GRADE no se menciona en esta guía como el sistema de clasificación empleado.</w:t>
      </w:r>
    </w:p>
    <w:p>
      <w:pPr>
        <w:spacing w:after="60"/>
      </w:pPr>
      <w:r>
        <w:rPr>
          <w:rFonts w:ascii="Poppins" w:cs="Poppins" w:eastAsia="Poppins" w:hAnsi="Poppins"/>
          <w:b/>
          <w:bCs/>
          <w:sz w:val="21"/>
          <w:szCs w:val="21"/>
        </w:rPr>
        <w:t xml:space="preserve">Opción D: </w:t>
      </w:r>
      <w:r>
        <w:rPr>
          <w:rFonts w:ascii="Poppins" w:cs="Poppins" w:eastAsia="Poppins" w:hAnsi="Poppins"/>
          <w:sz w:val="21"/>
          <w:szCs w:val="21"/>
        </w:rPr>
        <w:t xml:space="preserve">La guía explícitamente adapta sistemas de clasificación internacionales (SIGN, NICE y OCEBM), no un sistema propio desarrollado sin referencia internacional.</w:t>
      </w:r>
    </w:p>
    <w:p>
      <w:pPr>
        <w:pBdr>
          <w:bottom w:val="single" w:color="B08D3F" w:sz="6" w:space="4"/>
        </w:pBdr>
        <w:spacing w:after="200" w:before="100"/>
      </w:pPr>
      <w:r>
        <w:rPr>
          <w:rFonts w:ascii="Poppins" w:cs="Poppins" w:eastAsia="Poppins" w:hAnsi="Poppins"/>
          <w:b/>
          <w:bCs/>
          <w:i/>
          <w:iCs/>
          <w:color w:val="B08D3F"/>
          <w:sz w:val="20"/>
          <w:szCs w:val="20"/>
        </w:rPr>
        <w:t xml:space="preserve">Referencia: </w:t>
      </w:r>
      <w:r>
        <w:rPr>
          <w:rFonts w:ascii="Poppins" w:cs="Poppins" w:eastAsia="Poppins" w:hAnsi="Poppins"/>
          <w:i/>
          <w:iCs/>
          <w:color w:val="555555"/>
          <w:sz w:val="20"/>
          <w:szCs w:val="20"/>
        </w:rPr>
        <w:t xml:space="preserve">Evidencias y grados de recomendaciones. Página 12.</w:t>
      </w:r>
    </w:p>
    <w:p>
      <w:pPr>
        <w:shd w:fill="001C31" w:val="clear"/>
        <w:spacing w:after="100" w:before="300"/>
      </w:pPr>
      <w:r>
        <w:rPr>
          <w:rFonts w:ascii="Poppins" w:cs="Poppins" w:eastAsia="Poppins" w:hAnsi="Poppins"/>
          <w:b/>
          <w:bCs/>
          <w:color w:val="FFFFFF"/>
          <w:sz w:val="24"/>
          <w:szCs w:val="24"/>
        </w:rPr>
        <w:t xml:space="preserve">PREGUNTA 24</w:t>
      </w:r>
    </w:p>
    <w:p>
      <w:pPr>
        <w:spacing w:after="120"/>
      </w:pPr>
      <w:r>
        <w:rPr>
          <w:rFonts w:ascii="Poppins" w:cs="Poppins" w:eastAsia="Poppins" w:hAnsi="Poppins"/>
          <w:b/>
          <w:bCs/>
          <w:color w:val="001C31"/>
          <w:sz w:val="21"/>
          <w:szCs w:val="21"/>
        </w:rPr>
        <w:t xml:space="preserve">Pregunta: </w:t>
      </w:r>
      <w:r>
        <w:rPr>
          <w:rFonts w:ascii="Poppins" w:cs="Poppins" w:eastAsia="Poppins" w:hAnsi="Poppins"/>
          <w:sz w:val="21"/>
          <w:szCs w:val="21"/>
        </w:rPr>
        <w:t xml:space="preserve">Según la GPC, ¿qué sistema de clasificación se utiliza para variables como prevención, etiología, daño, pronóstico, prevalencia o economía?</w:t>
      </w:r>
    </w:p>
    <w:p>
      <w:pPr>
        <w:spacing w:after="60"/>
      </w:pPr>
      <w:r>
        <w:rPr>
          <w:rFonts w:ascii="Poppins" w:cs="Poppins" w:eastAsia="Poppins" w:hAnsi="Poppins"/>
          <w:b/>
          <w:bCs/>
          <w:color w:val="B08D3F"/>
          <w:sz w:val="21"/>
          <w:szCs w:val="21"/>
        </w:rPr>
        <w:t xml:space="preserve">A. </w:t>
      </w:r>
      <w:r>
        <w:rPr>
          <w:rFonts w:ascii="Poppins" w:cs="Poppins" w:eastAsia="Poppins" w:hAnsi="Poppins"/>
          <w:b/>
          <w:bCs/>
          <w:color w:val="B08D3F"/>
          <w:sz w:val="21"/>
          <w:szCs w:val="21"/>
        </w:rPr>
        <w:t xml:space="preserve">Centre for Evidence-Based Medicine, Oxford (OCEBM)</w:t>
      </w:r>
    </w:p>
    <w:p>
      <w:pPr>
        <w:spacing w:after="60"/>
      </w:pPr>
      <w:r>
        <w:rPr>
          <w:rFonts w:ascii="Poppins" w:cs="Poppins" w:eastAsia="Poppins" w:hAnsi="Poppins"/>
          <w:b/>
          <w:bCs/>
          <w:color w:val="000000"/>
          <w:sz w:val="21"/>
          <w:szCs w:val="21"/>
        </w:rPr>
        <w:t xml:space="preserve">B. </w:t>
      </w:r>
      <w:r>
        <w:rPr>
          <w:rFonts w:ascii="Poppins" w:cs="Poppins" w:eastAsia="Poppins" w:hAnsi="Poppins"/>
          <w:b w:val="false"/>
          <w:bCs w:val="false"/>
          <w:color w:val="000000"/>
          <w:sz w:val="21"/>
          <w:szCs w:val="21"/>
        </w:rPr>
        <w:t xml:space="preserve">Scottish Intercollegiate Guidelines Network (SIGN) exclusivamente</w:t>
      </w:r>
    </w:p>
    <w:p>
      <w:pPr>
        <w:spacing w:after="60"/>
      </w:pPr>
      <w:r>
        <w:rPr>
          <w:rFonts w:ascii="Poppins" w:cs="Poppins" w:eastAsia="Poppins" w:hAnsi="Poppins"/>
          <w:b/>
          <w:bCs/>
          <w:color w:val="000000"/>
          <w:sz w:val="21"/>
          <w:szCs w:val="21"/>
        </w:rPr>
        <w:t xml:space="preserve">C. </w:t>
      </w:r>
      <w:r>
        <w:rPr>
          <w:rFonts w:ascii="Poppins" w:cs="Poppins" w:eastAsia="Poppins" w:hAnsi="Poppins"/>
          <w:b w:val="false"/>
          <w:bCs w:val="false"/>
          <w:color w:val="000000"/>
          <w:sz w:val="21"/>
          <w:szCs w:val="21"/>
        </w:rPr>
        <w:t xml:space="preserve">National Institute for Health and Clinical Excellence (NICE) exclusivamente</w:t>
      </w:r>
    </w:p>
    <w:p>
      <w:pPr>
        <w:spacing w:after="60"/>
      </w:pPr>
      <w:r>
        <w:rPr>
          <w:rFonts w:ascii="Poppins" w:cs="Poppins" w:eastAsia="Poppins" w:hAnsi="Poppins"/>
          <w:b/>
          <w:bCs/>
          <w:color w:val="000000"/>
          <w:sz w:val="21"/>
          <w:szCs w:val="21"/>
        </w:rPr>
        <w:t xml:space="preserve">D. </w:t>
      </w:r>
      <w:r>
        <w:rPr>
          <w:rFonts w:ascii="Poppins" w:cs="Poppins" w:eastAsia="Poppins" w:hAnsi="Poppins"/>
          <w:b w:val="false"/>
          <w:bCs w:val="false"/>
          <w:color w:val="000000"/>
          <w:sz w:val="21"/>
          <w:szCs w:val="21"/>
        </w:rPr>
        <w:t xml:space="preserve">Instrumento AGREE II</w:t>
      </w:r>
    </w:p>
    <w:p>
      <w:pPr>
        <w:spacing w:after="100" w:before="120"/>
      </w:pPr>
      <w:r>
        <w:rPr>
          <w:rFonts w:ascii="Poppins" w:cs="Poppins" w:eastAsia="Poppins" w:hAnsi="Poppins"/>
          <w:b/>
          <w:bCs/>
          <w:color w:val="001C31"/>
          <w:sz w:val="21"/>
          <w:szCs w:val="21"/>
        </w:rPr>
        <w:t xml:space="preserve">Respuesta correcta: A</w:t>
      </w:r>
    </w:p>
    <w:p>
      <w:pPr>
        <w:spacing w:after="60"/>
      </w:pPr>
      <w:r>
        <w:rPr>
          <w:rFonts w:ascii="Poppins" w:cs="Poppins" w:eastAsia="Poppins" w:hAnsi="Poppins"/>
          <w:b/>
          <w:bCs/>
          <w:color w:val="001C31"/>
          <w:sz w:val="21"/>
          <w:szCs w:val="21"/>
          <w:u w:val="single"/>
        </w:rPr>
        <w:t xml:space="preserve">Justificación de la respuesta correcta</w:t>
      </w:r>
    </w:p>
    <w:p>
      <w:pPr>
        <w:spacing w:after="150"/>
      </w:pPr>
      <w:r>
        <w:rPr>
          <w:rFonts w:ascii="Poppins" w:cs="Poppins" w:eastAsia="Poppins" w:hAnsi="Poppins"/>
          <w:sz w:val="21"/>
          <w:szCs w:val="21"/>
        </w:rPr>
        <w:t xml:space="preserve">La guía establece que se usarán los niveles del Centre for Evidence-Based Medicine, Oxford (OCEBM) para variables como prevención, etiología, daño, pronóstico, prevalencia o economía, mientras que para criterios de tratamiento y diagnóstico se usan los de SIGN y NICE.</w:t>
      </w:r>
    </w:p>
    <w:p>
      <w:pPr>
        <w:spacing w:after="60"/>
      </w:pPr>
      <w:r>
        <w:rPr>
          <w:rFonts w:ascii="Poppins" w:cs="Poppins" w:eastAsia="Poppins" w:hAnsi="Poppins"/>
          <w:b/>
          <w:bCs/>
          <w:color w:val="001C31"/>
          <w:sz w:val="21"/>
          <w:szCs w:val="21"/>
          <w:u w:val="single"/>
        </w:rPr>
        <w:t xml:space="preserve">Justificación de las opciones incorrectas</w:t>
      </w:r>
    </w:p>
    <w:p>
      <w:pPr>
        <w:spacing w:after="60"/>
      </w:pPr>
      <w:r>
        <w:rPr>
          <w:rFonts w:ascii="Poppins" w:cs="Poppins" w:eastAsia="Poppins" w:hAnsi="Poppins"/>
          <w:b/>
          <w:bCs/>
          <w:sz w:val="21"/>
          <w:szCs w:val="21"/>
        </w:rPr>
        <w:t xml:space="preserve">Opción B: </w:t>
      </w:r>
      <w:r>
        <w:rPr>
          <w:rFonts w:ascii="Poppins" w:cs="Poppins" w:eastAsia="Poppins" w:hAnsi="Poppins"/>
          <w:sz w:val="21"/>
          <w:szCs w:val="21"/>
        </w:rPr>
        <w:t xml:space="preserve">SIGN se emplea, según la guía, para criterios de tratamiento y diagnóstico, no específicamente para las variables de prevención, etiología, daño, pronóstico, prevalencia o economía.</w:t>
      </w:r>
    </w:p>
    <w:p>
      <w:pPr>
        <w:spacing w:after="60"/>
      </w:pPr>
      <w:r>
        <w:rPr>
          <w:rFonts w:ascii="Poppins" w:cs="Poppins" w:eastAsia="Poppins" w:hAnsi="Poppins"/>
          <w:b/>
          <w:bCs/>
          <w:sz w:val="21"/>
          <w:szCs w:val="21"/>
        </w:rPr>
        <w:t xml:space="preserve">Opción C: </w:t>
      </w:r>
      <w:r>
        <w:rPr>
          <w:rFonts w:ascii="Poppins" w:cs="Poppins" w:eastAsia="Poppins" w:hAnsi="Poppins"/>
          <w:sz w:val="21"/>
          <w:szCs w:val="21"/>
        </w:rPr>
        <w:t xml:space="preserve">NICE se emplea, al igual que SIGN, para criterios de tratamiento y diagnóstico, no es el sistema específico señalado para esas otras variables.</w:t>
      </w:r>
    </w:p>
    <w:p>
      <w:pPr>
        <w:spacing w:after="60"/>
      </w:pPr>
      <w:r>
        <w:rPr>
          <w:rFonts w:ascii="Poppins" w:cs="Poppins" w:eastAsia="Poppins" w:hAnsi="Poppins"/>
          <w:b/>
          <w:bCs/>
          <w:sz w:val="21"/>
          <w:szCs w:val="21"/>
        </w:rPr>
        <w:t xml:space="preserve">Opción D: </w:t>
      </w:r>
      <w:r>
        <w:rPr>
          <w:rFonts w:ascii="Poppins" w:cs="Poppins" w:eastAsia="Poppins" w:hAnsi="Poppins"/>
          <w:sz w:val="21"/>
          <w:szCs w:val="21"/>
        </w:rPr>
        <w:t xml:space="preserve">El instrumento AGREE II se utilizó para la evaluación independiente de las guías de práctica clínica seleccionadas durante el proceso de adaptación, no como sistema de gradación de evidencia clínica.</w:t>
      </w:r>
    </w:p>
    <w:p>
      <w:pPr>
        <w:pBdr>
          <w:bottom w:val="single" w:color="B08D3F" w:sz="6" w:space="4"/>
        </w:pBdr>
        <w:spacing w:after="200" w:before="100"/>
      </w:pPr>
      <w:r>
        <w:rPr>
          <w:rFonts w:ascii="Poppins" w:cs="Poppins" w:eastAsia="Poppins" w:hAnsi="Poppins"/>
          <w:b/>
          <w:bCs/>
          <w:i/>
          <w:iCs/>
          <w:color w:val="B08D3F"/>
          <w:sz w:val="20"/>
          <w:szCs w:val="20"/>
        </w:rPr>
        <w:t xml:space="preserve">Referencia: </w:t>
      </w:r>
      <w:r>
        <w:rPr>
          <w:rFonts w:ascii="Poppins" w:cs="Poppins" w:eastAsia="Poppins" w:hAnsi="Poppins"/>
          <w:i/>
          <w:iCs/>
          <w:color w:val="555555"/>
          <w:sz w:val="20"/>
          <w:szCs w:val="20"/>
        </w:rPr>
        <w:t xml:space="preserve">Evidencias y grados de recomendaciones. Página 12.</w:t>
      </w:r>
    </w:p>
    <w:p>
      <w:pPr>
        <w:shd w:fill="001C31" w:val="clear"/>
        <w:spacing w:after="100" w:before="300"/>
      </w:pPr>
      <w:r>
        <w:rPr>
          <w:rFonts w:ascii="Poppins" w:cs="Poppins" w:eastAsia="Poppins" w:hAnsi="Poppins"/>
          <w:b/>
          <w:bCs/>
          <w:color w:val="FFFFFF"/>
          <w:sz w:val="24"/>
          <w:szCs w:val="24"/>
        </w:rPr>
        <w:t xml:space="preserve">PREGUNTA 25</w:t>
      </w:r>
    </w:p>
    <w:p>
      <w:pPr>
        <w:spacing w:after="120"/>
      </w:pPr>
      <w:r>
        <w:rPr>
          <w:rFonts w:ascii="Poppins" w:cs="Poppins" w:eastAsia="Poppins" w:hAnsi="Poppins"/>
          <w:b/>
          <w:bCs/>
          <w:color w:val="001C31"/>
          <w:sz w:val="21"/>
          <w:szCs w:val="21"/>
        </w:rPr>
        <w:t xml:space="preserve">Pregunta: </w:t>
      </w:r>
      <w:r>
        <w:rPr>
          <w:rFonts w:ascii="Poppins" w:cs="Poppins" w:eastAsia="Poppins" w:hAnsi="Poppins"/>
          <w:sz w:val="21"/>
          <w:szCs w:val="21"/>
        </w:rPr>
        <w:t xml:space="preserve">Según la escala SIGN/NICE recogida en la GPC, ¿qué nivel de evidencia corresponde a un metaanálisis de alta calidad, revisión sistemática de ensayos clínicos o ensayo clínico de alta calidad con muy poco riesgo de sesgo?</w:t>
      </w:r>
    </w:p>
    <w:p>
      <w:pPr>
        <w:spacing w:after="60"/>
      </w:pPr>
      <w:r>
        <w:rPr>
          <w:rFonts w:ascii="Poppins" w:cs="Poppins" w:eastAsia="Poppins" w:hAnsi="Poppins"/>
          <w:b/>
          <w:bCs/>
          <w:color w:val="B08D3F"/>
          <w:sz w:val="21"/>
          <w:szCs w:val="21"/>
        </w:rPr>
        <w:t xml:space="preserve">A. </w:t>
      </w:r>
      <w:r>
        <w:rPr>
          <w:rFonts w:ascii="Poppins" w:cs="Poppins" w:eastAsia="Poppins" w:hAnsi="Poppins"/>
          <w:b/>
          <w:bCs/>
          <w:color w:val="B08D3F"/>
          <w:sz w:val="21"/>
          <w:szCs w:val="21"/>
        </w:rPr>
        <w:t xml:space="preserve">1++</w:t>
      </w:r>
    </w:p>
    <w:p>
      <w:pPr>
        <w:spacing w:after="60"/>
      </w:pPr>
      <w:r>
        <w:rPr>
          <w:rFonts w:ascii="Poppins" w:cs="Poppins" w:eastAsia="Poppins" w:hAnsi="Poppins"/>
          <w:b/>
          <w:bCs/>
          <w:color w:val="000000"/>
          <w:sz w:val="21"/>
          <w:szCs w:val="21"/>
        </w:rPr>
        <w:t xml:space="preserve">B. </w:t>
      </w:r>
      <w:r>
        <w:rPr>
          <w:rFonts w:ascii="Poppins" w:cs="Poppins" w:eastAsia="Poppins" w:hAnsi="Poppins"/>
          <w:b w:val="false"/>
          <w:bCs w:val="false"/>
          <w:color w:val="000000"/>
          <w:sz w:val="21"/>
          <w:szCs w:val="21"/>
        </w:rPr>
        <w:t xml:space="preserve">2++</w:t>
      </w:r>
    </w:p>
    <w:p>
      <w:pPr>
        <w:spacing w:after="60"/>
      </w:pPr>
      <w:r>
        <w:rPr>
          <w:rFonts w:ascii="Poppins" w:cs="Poppins" w:eastAsia="Poppins" w:hAnsi="Poppins"/>
          <w:b/>
          <w:bCs/>
          <w:color w:val="000000"/>
          <w:sz w:val="21"/>
          <w:szCs w:val="21"/>
        </w:rPr>
        <w:t xml:space="preserve">C. </w:t>
      </w:r>
      <w:r>
        <w:rPr>
          <w:rFonts w:ascii="Poppins" w:cs="Poppins" w:eastAsia="Poppins" w:hAnsi="Poppins"/>
          <w:b w:val="false"/>
          <w:bCs w:val="false"/>
          <w:color w:val="000000"/>
          <w:sz w:val="21"/>
          <w:szCs w:val="21"/>
        </w:rPr>
        <w:t xml:space="preserve">1-</w:t>
      </w:r>
    </w:p>
    <w:p>
      <w:pPr>
        <w:spacing w:after="60"/>
      </w:pPr>
      <w:r>
        <w:rPr>
          <w:rFonts w:ascii="Poppins" w:cs="Poppins" w:eastAsia="Poppins" w:hAnsi="Poppins"/>
          <w:b/>
          <w:bCs/>
          <w:color w:val="000000"/>
          <w:sz w:val="21"/>
          <w:szCs w:val="21"/>
        </w:rPr>
        <w:t xml:space="preserve">D. </w:t>
      </w:r>
      <w:r>
        <w:rPr>
          <w:rFonts w:ascii="Poppins" w:cs="Poppins" w:eastAsia="Poppins" w:hAnsi="Poppins"/>
          <w:b w:val="false"/>
          <w:bCs w:val="false"/>
          <w:color w:val="000000"/>
          <w:sz w:val="21"/>
          <w:szCs w:val="21"/>
        </w:rPr>
        <w:t xml:space="preserve">4</w:t>
      </w:r>
    </w:p>
    <w:p>
      <w:pPr>
        <w:spacing w:after="100" w:before="120"/>
      </w:pPr>
      <w:r>
        <w:rPr>
          <w:rFonts w:ascii="Poppins" w:cs="Poppins" w:eastAsia="Poppins" w:hAnsi="Poppins"/>
          <w:b/>
          <w:bCs/>
          <w:color w:val="001C31"/>
          <w:sz w:val="21"/>
          <w:szCs w:val="21"/>
        </w:rPr>
        <w:t xml:space="preserve">Respuesta correcta: A</w:t>
      </w:r>
    </w:p>
    <w:p>
      <w:pPr>
        <w:spacing w:after="60"/>
      </w:pPr>
      <w:r>
        <w:rPr>
          <w:rFonts w:ascii="Poppins" w:cs="Poppins" w:eastAsia="Poppins" w:hAnsi="Poppins"/>
          <w:b/>
          <w:bCs/>
          <w:color w:val="001C31"/>
          <w:sz w:val="21"/>
          <w:szCs w:val="21"/>
          <w:u w:val="single"/>
        </w:rPr>
        <w:t xml:space="preserve">Justificación de la respuesta correcta</w:t>
      </w:r>
    </w:p>
    <w:p>
      <w:pPr>
        <w:spacing w:after="150"/>
      </w:pPr>
      <w:r>
        <w:rPr>
          <w:rFonts w:ascii="Poppins" w:cs="Poppins" w:eastAsia="Poppins" w:hAnsi="Poppins"/>
          <w:sz w:val="21"/>
          <w:szCs w:val="21"/>
        </w:rPr>
        <w:t xml:space="preserve">La tabla SIGN/NICE de la guía asigna el nivel 1++ a metaanálisis de alta calidad, revisiones sistemáticas de ensayos clínicos (RS de EC) o ensayos clínicos (EC) de alta calidad con muy poco riesgo de sesgo.</w:t>
      </w:r>
    </w:p>
    <w:p>
      <w:pPr>
        <w:spacing w:after="60"/>
      </w:pPr>
      <w:r>
        <w:rPr>
          <w:rFonts w:ascii="Poppins" w:cs="Poppins" w:eastAsia="Poppins" w:hAnsi="Poppins"/>
          <w:b/>
          <w:bCs/>
          <w:color w:val="001C31"/>
          <w:sz w:val="21"/>
          <w:szCs w:val="21"/>
          <w:u w:val="single"/>
        </w:rPr>
        <w:t xml:space="preserve">Justificación de las opciones incorrectas</w:t>
      </w:r>
    </w:p>
    <w:p>
      <w:pPr>
        <w:spacing w:after="60"/>
      </w:pPr>
      <w:r>
        <w:rPr>
          <w:rFonts w:ascii="Poppins" w:cs="Poppins" w:eastAsia="Poppins" w:hAnsi="Poppins"/>
          <w:b/>
          <w:bCs/>
          <w:sz w:val="21"/>
          <w:szCs w:val="21"/>
        </w:rPr>
        <w:t xml:space="preserve">Opción B: </w:t>
      </w:r>
      <w:r>
        <w:rPr>
          <w:rFonts w:ascii="Poppins" w:cs="Poppins" w:eastAsia="Poppins" w:hAnsi="Poppins"/>
          <w:sz w:val="21"/>
          <w:szCs w:val="21"/>
        </w:rPr>
        <w:t xml:space="preserve">El nivel 2++ corresponde, según la tabla, a revisiones sistemáticas de alta calidad de estudios de cohortes o de casos y controles, no a metaanálisis de ensayos clínicos.</w:t>
      </w:r>
    </w:p>
    <w:p>
      <w:pPr>
        <w:spacing w:after="60"/>
      </w:pPr>
      <w:r>
        <w:rPr>
          <w:rFonts w:ascii="Poppins" w:cs="Poppins" w:eastAsia="Poppins" w:hAnsi="Poppins"/>
          <w:b/>
          <w:bCs/>
          <w:sz w:val="21"/>
          <w:szCs w:val="21"/>
        </w:rPr>
        <w:t xml:space="preserve">Opción C: </w:t>
      </w:r>
      <w:r>
        <w:rPr>
          <w:rFonts w:ascii="Poppins" w:cs="Poppins" w:eastAsia="Poppins" w:hAnsi="Poppins"/>
          <w:sz w:val="21"/>
          <w:szCs w:val="21"/>
        </w:rPr>
        <w:t xml:space="preserve">El nivel 1- corresponde a metaanálisis, revisiones sistemáticas o ensayos clínicos con alto riesgo de sesgo, lo opuesto a la descripción de muy poco riesgo de sesgo.</w:t>
      </w:r>
    </w:p>
    <w:p>
      <w:pPr>
        <w:spacing w:after="60"/>
      </w:pPr>
      <w:r>
        <w:rPr>
          <w:rFonts w:ascii="Poppins" w:cs="Poppins" w:eastAsia="Poppins" w:hAnsi="Poppins"/>
          <w:b/>
          <w:bCs/>
          <w:sz w:val="21"/>
          <w:szCs w:val="21"/>
        </w:rPr>
        <w:t xml:space="preserve">Opción D: </w:t>
      </w:r>
      <w:r>
        <w:rPr>
          <w:rFonts w:ascii="Poppins" w:cs="Poppins" w:eastAsia="Poppins" w:hAnsi="Poppins"/>
          <w:sz w:val="21"/>
          <w:szCs w:val="21"/>
        </w:rPr>
        <w:t xml:space="preserve">El nivel 4 corresponde, según la tabla, a la opinión de expertos, no a un metaanálisis de alta calidad.</w:t>
      </w:r>
    </w:p>
    <w:p>
      <w:pPr>
        <w:pBdr>
          <w:bottom w:val="single" w:color="B08D3F" w:sz="6" w:space="4"/>
        </w:pBdr>
        <w:spacing w:after="200" w:before="100"/>
      </w:pPr>
      <w:r>
        <w:rPr>
          <w:rFonts w:ascii="Poppins" w:cs="Poppins" w:eastAsia="Poppins" w:hAnsi="Poppins"/>
          <w:b/>
          <w:bCs/>
          <w:i/>
          <w:iCs/>
          <w:color w:val="B08D3F"/>
          <w:sz w:val="20"/>
          <w:szCs w:val="20"/>
        </w:rPr>
        <w:t xml:space="preserve">Referencia: </w:t>
      </w:r>
      <w:r>
        <w:rPr>
          <w:rFonts w:ascii="Poppins" w:cs="Poppins" w:eastAsia="Poppins" w:hAnsi="Poppins"/>
          <w:i/>
          <w:iCs/>
          <w:color w:val="555555"/>
          <w:sz w:val="20"/>
          <w:szCs w:val="20"/>
        </w:rPr>
        <w:t xml:space="preserve">Evidencias y grados de recomendaciones. Tabla SIGN/NICE. Página 13.</w:t>
      </w:r>
    </w:p>
    <w:p>
      <w:pPr>
        <w:shd w:fill="001C31" w:val="clear"/>
        <w:spacing w:after="100" w:before="300"/>
      </w:pPr>
      <w:r>
        <w:rPr>
          <w:rFonts w:ascii="Poppins" w:cs="Poppins" w:eastAsia="Poppins" w:hAnsi="Poppins"/>
          <w:b/>
          <w:bCs/>
          <w:color w:val="FFFFFF"/>
          <w:sz w:val="24"/>
          <w:szCs w:val="24"/>
        </w:rPr>
        <w:t xml:space="preserve">PREGUNTA 26</w:t>
      </w:r>
    </w:p>
    <w:p>
      <w:pPr>
        <w:spacing w:after="120"/>
      </w:pPr>
      <w:r>
        <w:rPr>
          <w:rFonts w:ascii="Poppins" w:cs="Poppins" w:eastAsia="Poppins" w:hAnsi="Poppins"/>
          <w:b/>
          <w:bCs/>
          <w:color w:val="001C31"/>
          <w:sz w:val="21"/>
          <w:szCs w:val="21"/>
        </w:rPr>
        <w:t xml:space="preserve">Pregunta: </w:t>
      </w:r>
      <w:r>
        <w:rPr>
          <w:rFonts w:ascii="Poppins" w:cs="Poppins" w:eastAsia="Poppins" w:hAnsi="Poppins"/>
          <w:sz w:val="21"/>
          <w:szCs w:val="21"/>
        </w:rPr>
        <w:t xml:space="preserve">Según la escala SIGN/NICE de la GPC, ¿qué grado de recomendación corresponde a un volumen de evidencia compuesta por estudios clasificados como 2++, directamente aplicable a la población diana de la guía?</w:t>
      </w:r>
    </w:p>
    <w:p>
      <w:pPr>
        <w:spacing w:after="60"/>
      </w:pPr>
      <w:r>
        <w:rPr>
          <w:rFonts w:ascii="Poppins" w:cs="Poppins" w:eastAsia="Poppins" w:hAnsi="Poppins"/>
          <w:b/>
          <w:bCs/>
          <w:color w:val="B08D3F"/>
          <w:sz w:val="21"/>
          <w:szCs w:val="21"/>
        </w:rPr>
        <w:t xml:space="preserve">A. </w:t>
      </w:r>
      <w:r>
        <w:rPr>
          <w:rFonts w:ascii="Poppins" w:cs="Poppins" w:eastAsia="Poppins" w:hAnsi="Poppins"/>
          <w:b/>
          <w:bCs/>
          <w:color w:val="B08D3F"/>
          <w:sz w:val="21"/>
          <w:szCs w:val="21"/>
        </w:rPr>
        <w:t xml:space="preserve">Grado B</w:t>
      </w:r>
    </w:p>
    <w:p>
      <w:pPr>
        <w:spacing w:after="60"/>
      </w:pPr>
      <w:r>
        <w:rPr>
          <w:rFonts w:ascii="Poppins" w:cs="Poppins" w:eastAsia="Poppins" w:hAnsi="Poppins"/>
          <w:b/>
          <w:bCs/>
          <w:color w:val="000000"/>
          <w:sz w:val="21"/>
          <w:szCs w:val="21"/>
        </w:rPr>
        <w:t xml:space="preserve">B. </w:t>
      </w:r>
      <w:r>
        <w:rPr>
          <w:rFonts w:ascii="Poppins" w:cs="Poppins" w:eastAsia="Poppins" w:hAnsi="Poppins"/>
          <w:b w:val="false"/>
          <w:bCs w:val="false"/>
          <w:color w:val="000000"/>
          <w:sz w:val="21"/>
          <w:szCs w:val="21"/>
        </w:rPr>
        <w:t xml:space="preserve">Grado A</w:t>
      </w:r>
    </w:p>
    <w:p>
      <w:pPr>
        <w:spacing w:after="60"/>
      </w:pPr>
      <w:r>
        <w:rPr>
          <w:rFonts w:ascii="Poppins" w:cs="Poppins" w:eastAsia="Poppins" w:hAnsi="Poppins"/>
          <w:b/>
          <w:bCs/>
          <w:color w:val="000000"/>
          <w:sz w:val="21"/>
          <w:szCs w:val="21"/>
        </w:rPr>
        <w:t xml:space="preserve">C. </w:t>
      </w:r>
      <w:r>
        <w:rPr>
          <w:rFonts w:ascii="Poppins" w:cs="Poppins" w:eastAsia="Poppins" w:hAnsi="Poppins"/>
          <w:b w:val="false"/>
          <w:bCs w:val="false"/>
          <w:color w:val="000000"/>
          <w:sz w:val="21"/>
          <w:szCs w:val="21"/>
        </w:rPr>
        <w:t xml:space="preserve">Grado C</w:t>
      </w:r>
    </w:p>
    <w:p>
      <w:pPr>
        <w:spacing w:after="60"/>
      </w:pPr>
      <w:r>
        <w:rPr>
          <w:rFonts w:ascii="Poppins" w:cs="Poppins" w:eastAsia="Poppins" w:hAnsi="Poppins"/>
          <w:b/>
          <w:bCs/>
          <w:color w:val="000000"/>
          <w:sz w:val="21"/>
          <w:szCs w:val="21"/>
        </w:rPr>
        <w:t xml:space="preserve">D. </w:t>
      </w:r>
      <w:r>
        <w:rPr>
          <w:rFonts w:ascii="Poppins" w:cs="Poppins" w:eastAsia="Poppins" w:hAnsi="Poppins"/>
          <w:b w:val="false"/>
          <w:bCs w:val="false"/>
          <w:color w:val="000000"/>
          <w:sz w:val="21"/>
          <w:szCs w:val="21"/>
        </w:rPr>
        <w:t xml:space="preserve">Grado D</w:t>
      </w:r>
    </w:p>
    <w:p>
      <w:pPr>
        <w:spacing w:after="100" w:before="120"/>
      </w:pPr>
      <w:r>
        <w:rPr>
          <w:rFonts w:ascii="Poppins" w:cs="Poppins" w:eastAsia="Poppins" w:hAnsi="Poppins"/>
          <w:b/>
          <w:bCs/>
          <w:color w:val="001C31"/>
          <w:sz w:val="21"/>
          <w:szCs w:val="21"/>
        </w:rPr>
        <w:t xml:space="preserve">Respuesta correcta: A</w:t>
      </w:r>
    </w:p>
    <w:p>
      <w:pPr>
        <w:spacing w:after="60"/>
      </w:pPr>
      <w:r>
        <w:rPr>
          <w:rFonts w:ascii="Poppins" w:cs="Poppins" w:eastAsia="Poppins" w:hAnsi="Poppins"/>
          <w:b/>
          <w:bCs/>
          <w:color w:val="001C31"/>
          <w:sz w:val="21"/>
          <w:szCs w:val="21"/>
          <w:u w:val="single"/>
        </w:rPr>
        <w:t xml:space="preserve">Justificación de la respuesta correcta</w:t>
      </w:r>
    </w:p>
    <w:p>
      <w:pPr>
        <w:spacing w:after="150"/>
      </w:pPr>
      <w:r>
        <w:rPr>
          <w:rFonts w:ascii="Poppins" w:cs="Poppins" w:eastAsia="Poppins" w:hAnsi="Poppins"/>
          <w:sz w:val="21"/>
          <w:szCs w:val="21"/>
        </w:rPr>
        <w:t xml:space="preserve">La tabla SIGN/NICE de grados de recomendación establece que el grado B corresponde a un volumen de evidencia científica compuesta por estudios clasificados como 2++, directamente aplicable a la población diana de la guía y que demuestran gran consistencia entre ellos, o evidencia científica extrapolada desde estudios clasificados como 1++ o 1+.</w:t>
      </w:r>
    </w:p>
    <w:p>
      <w:pPr>
        <w:spacing w:after="60"/>
      </w:pPr>
      <w:r>
        <w:rPr>
          <w:rFonts w:ascii="Poppins" w:cs="Poppins" w:eastAsia="Poppins" w:hAnsi="Poppins"/>
          <w:b/>
          <w:bCs/>
          <w:color w:val="001C31"/>
          <w:sz w:val="21"/>
          <w:szCs w:val="21"/>
          <w:u w:val="single"/>
        </w:rPr>
        <w:t xml:space="preserve">Justificación de las opciones incorrectas</w:t>
      </w:r>
    </w:p>
    <w:p>
      <w:pPr>
        <w:spacing w:after="60"/>
      </w:pPr>
      <w:r>
        <w:rPr>
          <w:rFonts w:ascii="Poppins" w:cs="Poppins" w:eastAsia="Poppins" w:hAnsi="Poppins"/>
          <w:b/>
          <w:bCs/>
          <w:sz w:val="21"/>
          <w:szCs w:val="21"/>
        </w:rPr>
        <w:t xml:space="preserve">Opción B: </w:t>
      </w:r>
      <w:r>
        <w:rPr>
          <w:rFonts w:ascii="Poppins" w:cs="Poppins" w:eastAsia="Poppins" w:hAnsi="Poppins"/>
          <w:sz w:val="21"/>
          <w:szCs w:val="21"/>
        </w:rPr>
        <w:t xml:space="preserve">El grado A corresponde a evidencia basada en al menos un metaanálisis, RS o EC clasificado como 1++, o un volumen de evidencia compuesto por estudios 1+, no al nivel 2++ descrito en la pregunta.</w:t>
      </w:r>
    </w:p>
    <w:p>
      <w:pPr>
        <w:spacing w:after="60"/>
      </w:pPr>
      <w:r>
        <w:rPr>
          <w:rFonts w:ascii="Poppins" w:cs="Poppins" w:eastAsia="Poppins" w:hAnsi="Poppins"/>
          <w:b/>
          <w:bCs/>
          <w:sz w:val="21"/>
          <w:szCs w:val="21"/>
        </w:rPr>
        <w:t xml:space="preserve">Opción C: </w:t>
      </w:r>
      <w:r>
        <w:rPr>
          <w:rFonts w:ascii="Poppins" w:cs="Poppins" w:eastAsia="Poppins" w:hAnsi="Poppins"/>
          <w:sz w:val="21"/>
          <w:szCs w:val="21"/>
        </w:rPr>
        <w:t xml:space="preserve">El grado C corresponde a un volumen de evidencia compuesta por estudios clasificados como 2+, no como 2++.</w:t>
      </w:r>
    </w:p>
    <w:p>
      <w:pPr>
        <w:spacing w:after="60"/>
      </w:pPr>
      <w:r>
        <w:rPr>
          <w:rFonts w:ascii="Poppins" w:cs="Poppins" w:eastAsia="Poppins" w:hAnsi="Poppins"/>
          <w:b/>
          <w:bCs/>
          <w:sz w:val="21"/>
          <w:szCs w:val="21"/>
        </w:rPr>
        <w:t xml:space="preserve">Opción D: </w:t>
      </w:r>
      <w:r>
        <w:rPr>
          <w:rFonts w:ascii="Poppins" w:cs="Poppins" w:eastAsia="Poppins" w:hAnsi="Poppins"/>
          <w:sz w:val="21"/>
          <w:szCs w:val="21"/>
        </w:rPr>
        <w:t xml:space="preserve">El grado D corresponde a evidencia científica de nivel 3 o 4, o extrapolada desde estudios 2+, no al nivel 2++ descrito.</w:t>
      </w:r>
    </w:p>
    <w:p>
      <w:pPr>
        <w:pBdr>
          <w:bottom w:val="single" w:color="B08D3F" w:sz="6" w:space="4"/>
        </w:pBdr>
        <w:spacing w:after="200" w:before="100"/>
      </w:pPr>
      <w:r>
        <w:rPr>
          <w:rFonts w:ascii="Poppins" w:cs="Poppins" w:eastAsia="Poppins" w:hAnsi="Poppins"/>
          <w:b/>
          <w:bCs/>
          <w:i/>
          <w:iCs/>
          <w:color w:val="B08D3F"/>
          <w:sz w:val="20"/>
          <w:szCs w:val="20"/>
        </w:rPr>
        <w:t xml:space="preserve">Referencia: </w:t>
      </w:r>
      <w:r>
        <w:rPr>
          <w:rFonts w:ascii="Poppins" w:cs="Poppins" w:eastAsia="Poppins" w:hAnsi="Poppins"/>
          <w:i/>
          <w:iCs/>
          <w:color w:val="555555"/>
          <w:sz w:val="20"/>
          <w:szCs w:val="20"/>
        </w:rPr>
        <w:t xml:space="preserve">Evidencias y grados de recomendaciones. Tabla SIGN/NICE. Página 13.</w:t>
      </w:r>
    </w:p>
    <w:p>
      <w:pPr>
        <w:shd w:fill="001C31" w:val="clear"/>
        <w:spacing w:after="100" w:before="300"/>
      </w:pPr>
      <w:r>
        <w:rPr>
          <w:rFonts w:ascii="Poppins" w:cs="Poppins" w:eastAsia="Poppins" w:hAnsi="Poppins"/>
          <w:b/>
          <w:bCs/>
          <w:color w:val="FFFFFF"/>
          <w:sz w:val="24"/>
          <w:szCs w:val="24"/>
        </w:rPr>
        <w:t xml:space="preserve">PREGUNTA 27</w:t>
      </w:r>
    </w:p>
    <w:p>
      <w:pPr>
        <w:spacing w:after="120"/>
      </w:pPr>
      <w:r>
        <w:rPr>
          <w:rFonts w:ascii="Poppins" w:cs="Poppins" w:eastAsia="Poppins" w:hAnsi="Poppins"/>
          <w:b/>
          <w:bCs/>
          <w:color w:val="001C31"/>
          <w:sz w:val="21"/>
          <w:szCs w:val="21"/>
        </w:rPr>
        <w:t xml:space="preserve">Pregunta: </w:t>
      </w:r>
      <w:r>
        <w:rPr>
          <w:rFonts w:ascii="Poppins" w:cs="Poppins" w:eastAsia="Poppins" w:hAnsi="Poppins"/>
          <w:sz w:val="21"/>
          <w:szCs w:val="21"/>
        </w:rPr>
        <w:t xml:space="preserve">Según la escala del Centre for Evidence-Based Medicine, Oxford (OCEBM) recogida en la GPC, ¿qué nivel de evidencia corresponde a un ensayo clínico aleatorizado con intervalo de confianza estrecho?</w:t>
      </w:r>
    </w:p>
    <w:p>
      <w:pPr>
        <w:spacing w:after="60"/>
      </w:pPr>
      <w:r>
        <w:rPr>
          <w:rFonts w:ascii="Poppins" w:cs="Poppins" w:eastAsia="Poppins" w:hAnsi="Poppins"/>
          <w:b/>
          <w:bCs/>
          <w:color w:val="B08D3F"/>
          <w:sz w:val="21"/>
          <w:szCs w:val="21"/>
        </w:rPr>
        <w:t xml:space="preserve">A. </w:t>
      </w:r>
      <w:r>
        <w:rPr>
          <w:rFonts w:ascii="Poppins" w:cs="Poppins" w:eastAsia="Poppins" w:hAnsi="Poppins"/>
          <w:b/>
          <w:bCs/>
          <w:color w:val="B08D3F"/>
          <w:sz w:val="21"/>
          <w:szCs w:val="21"/>
        </w:rPr>
        <w:t xml:space="preserve">1 b</w:t>
      </w:r>
    </w:p>
    <w:p>
      <w:pPr>
        <w:spacing w:after="60"/>
      </w:pPr>
      <w:r>
        <w:rPr>
          <w:rFonts w:ascii="Poppins" w:cs="Poppins" w:eastAsia="Poppins" w:hAnsi="Poppins"/>
          <w:b/>
          <w:bCs/>
          <w:color w:val="000000"/>
          <w:sz w:val="21"/>
          <w:szCs w:val="21"/>
        </w:rPr>
        <w:t xml:space="preserve">B. </w:t>
      </w:r>
      <w:r>
        <w:rPr>
          <w:rFonts w:ascii="Poppins" w:cs="Poppins" w:eastAsia="Poppins" w:hAnsi="Poppins"/>
          <w:b w:val="false"/>
          <w:bCs w:val="false"/>
          <w:color w:val="000000"/>
          <w:sz w:val="21"/>
          <w:szCs w:val="21"/>
        </w:rPr>
        <w:t xml:space="preserve">1 a</w:t>
      </w:r>
    </w:p>
    <w:p>
      <w:pPr>
        <w:spacing w:after="60"/>
      </w:pPr>
      <w:r>
        <w:rPr>
          <w:rFonts w:ascii="Poppins" w:cs="Poppins" w:eastAsia="Poppins" w:hAnsi="Poppins"/>
          <w:b/>
          <w:bCs/>
          <w:color w:val="000000"/>
          <w:sz w:val="21"/>
          <w:szCs w:val="21"/>
        </w:rPr>
        <w:t xml:space="preserve">C. </w:t>
      </w:r>
      <w:r>
        <w:rPr>
          <w:rFonts w:ascii="Poppins" w:cs="Poppins" w:eastAsia="Poppins" w:hAnsi="Poppins"/>
          <w:b w:val="false"/>
          <w:bCs w:val="false"/>
          <w:color w:val="000000"/>
          <w:sz w:val="21"/>
          <w:szCs w:val="21"/>
        </w:rPr>
        <w:t xml:space="preserve">2 a</w:t>
      </w:r>
    </w:p>
    <w:p>
      <w:pPr>
        <w:spacing w:after="60"/>
      </w:pPr>
      <w:r>
        <w:rPr>
          <w:rFonts w:ascii="Poppins" w:cs="Poppins" w:eastAsia="Poppins" w:hAnsi="Poppins"/>
          <w:b/>
          <w:bCs/>
          <w:color w:val="000000"/>
          <w:sz w:val="21"/>
          <w:szCs w:val="21"/>
        </w:rPr>
        <w:t xml:space="preserve">D. </w:t>
      </w:r>
      <w:r>
        <w:rPr>
          <w:rFonts w:ascii="Poppins" w:cs="Poppins" w:eastAsia="Poppins" w:hAnsi="Poppins"/>
          <w:b w:val="false"/>
          <w:bCs w:val="false"/>
          <w:color w:val="000000"/>
          <w:sz w:val="21"/>
          <w:szCs w:val="21"/>
        </w:rPr>
        <w:t xml:space="preserve">3 b</w:t>
      </w:r>
    </w:p>
    <w:p>
      <w:pPr>
        <w:spacing w:after="100" w:before="120"/>
      </w:pPr>
      <w:r>
        <w:rPr>
          <w:rFonts w:ascii="Poppins" w:cs="Poppins" w:eastAsia="Poppins" w:hAnsi="Poppins"/>
          <w:b/>
          <w:bCs/>
          <w:color w:val="001C31"/>
          <w:sz w:val="21"/>
          <w:szCs w:val="21"/>
        </w:rPr>
        <w:t xml:space="preserve">Respuesta correcta: A</w:t>
      </w:r>
    </w:p>
    <w:p>
      <w:pPr>
        <w:spacing w:after="60"/>
      </w:pPr>
      <w:r>
        <w:rPr>
          <w:rFonts w:ascii="Poppins" w:cs="Poppins" w:eastAsia="Poppins" w:hAnsi="Poppins"/>
          <w:b/>
          <w:bCs/>
          <w:color w:val="001C31"/>
          <w:sz w:val="21"/>
          <w:szCs w:val="21"/>
          <w:u w:val="single"/>
        </w:rPr>
        <w:t xml:space="preserve">Justificación de la respuesta correcta</w:t>
      </w:r>
    </w:p>
    <w:p>
      <w:pPr>
        <w:spacing w:after="150"/>
      </w:pPr>
      <w:r>
        <w:rPr>
          <w:rFonts w:ascii="Poppins" w:cs="Poppins" w:eastAsia="Poppins" w:hAnsi="Poppins"/>
          <w:sz w:val="21"/>
          <w:szCs w:val="21"/>
        </w:rPr>
        <w:t xml:space="preserve">La tabla OCEBM de la guía establece que el nivel 1b corresponde a un ensayo clínico aleatorizado con intervalo de confianza estrecho, distinto del nivel 1a, que corresponde a una revisión sistemática de ensayos clínicos aleatorizados con homogeneidad.</w:t>
      </w:r>
    </w:p>
    <w:p>
      <w:pPr>
        <w:spacing w:after="60"/>
      </w:pPr>
      <w:r>
        <w:rPr>
          <w:rFonts w:ascii="Poppins" w:cs="Poppins" w:eastAsia="Poppins" w:hAnsi="Poppins"/>
          <w:b/>
          <w:bCs/>
          <w:color w:val="001C31"/>
          <w:sz w:val="21"/>
          <w:szCs w:val="21"/>
          <w:u w:val="single"/>
        </w:rPr>
        <w:t xml:space="preserve">Justificación de las opciones incorrectas</w:t>
      </w:r>
    </w:p>
    <w:p>
      <w:pPr>
        <w:spacing w:after="60"/>
      </w:pPr>
      <w:r>
        <w:rPr>
          <w:rFonts w:ascii="Poppins" w:cs="Poppins" w:eastAsia="Poppins" w:hAnsi="Poppins"/>
          <w:b/>
          <w:bCs/>
          <w:sz w:val="21"/>
          <w:szCs w:val="21"/>
        </w:rPr>
        <w:t xml:space="preserve">Opción B: </w:t>
      </w:r>
      <w:r>
        <w:rPr>
          <w:rFonts w:ascii="Poppins" w:cs="Poppins" w:eastAsia="Poppins" w:hAnsi="Poppins"/>
          <w:sz w:val="21"/>
          <w:szCs w:val="21"/>
        </w:rPr>
        <w:t xml:space="preserve">El nivel 1a corresponde a la revisión sistemática de ensayos clínicos aleatorizados con homogeneidad, no a un ensayo clínico aleatorizado individual con intervalo de confianza estrecho.</w:t>
      </w:r>
    </w:p>
    <w:p>
      <w:pPr>
        <w:spacing w:after="60"/>
      </w:pPr>
      <w:r>
        <w:rPr>
          <w:rFonts w:ascii="Poppins" w:cs="Poppins" w:eastAsia="Poppins" w:hAnsi="Poppins"/>
          <w:b/>
          <w:bCs/>
          <w:sz w:val="21"/>
          <w:szCs w:val="21"/>
        </w:rPr>
        <w:t xml:space="preserve">Opción C: </w:t>
      </w:r>
      <w:r>
        <w:rPr>
          <w:rFonts w:ascii="Poppins" w:cs="Poppins" w:eastAsia="Poppins" w:hAnsi="Poppins"/>
          <w:sz w:val="21"/>
          <w:szCs w:val="21"/>
        </w:rPr>
        <w:t xml:space="preserve">El nivel 2a corresponde a la revisión sistemática de estudios de cohortes con homogeneidad, un nivel de evidencia distinto al de un ensayo clínico aleatorizado.</w:t>
      </w:r>
    </w:p>
    <w:p>
      <w:pPr>
        <w:spacing w:after="60"/>
      </w:pPr>
      <w:r>
        <w:rPr>
          <w:rFonts w:ascii="Poppins" w:cs="Poppins" w:eastAsia="Poppins" w:hAnsi="Poppins"/>
          <w:b/>
          <w:bCs/>
          <w:sz w:val="21"/>
          <w:szCs w:val="21"/>
        </w:rPr>
        <w:t xml:space="preserve">Opción D: </w:t>
      </w:r>
      <w:r>
        <w:rPr>
          <w:rFonts w:ascii="Poppins" w:cs="Poppins" w:eastAsia="Poppins" w:hAnsi="Poppins"/>
          <w:sz w:val="21"/>
          <w:szCs w:val="21"/>
        </w:rPr>
        <w:t xml:space="preserve">El nivel 3b corresponde a un estudio de casos y controles individual, un nivel de evidencia inferior al de un ensayo clínico aleatorizado con intervalo de confianza estrecho.</w:t>
      </w:r>
    </w:p>
    <w:p>
      <w:pPr>
        <w:pBdr>
          <w:bottom w:val="single" w:color="B08D3F" w:sz="6" w:space="4"/>
        </w:pBdr>
        <w:spacing w:after="200" w:before="100"/>
      </w:pPr>
      <w:r>
        <w:rPr>
          <w:rFonts w:ascii="Poppins" w:cs="Poppins" w:eastAsia="Poppins" w:hAnsi="Poppins"/>
          <w:b/>
          <w:bCs/>
          <w:i/>
          <w:iCs/>
          <w:color w:val="B08D3F"/>
          <w:sz w:val="20"/>
          <w:szCs w:val="20"/>
        </w:rPr>
        <w:t xml:space="preserve">Referencia: </w:t>
      </w:r>
      <w:r>
        <w:rPr>
          <w:rFonts w:ascii="Poppins" w:cs="Poppins" w:eastAsia="Poppins" w:hAnsi="Poppins"/>
          <w:i/>
          <w:iCs/>
          <w:color w:val="555555"/>
          <w:sz w:val="20"/>
          <w:szCs w:val="20"/>
        </w:rPr>
        <w:t xml:space="preserve">Evidencias y grados de recomendaciones. Tabla OCEBM. Página 13.</w:t>
      </w:r>
    </w:p>
    <w:p>
      <w:pPr>
        <w:shd w:fill="001C31" w:val="clear"/>
        <w:spacing w:after="100" w:before="300"/>
      </w:pPr>
      <w:r>
        <w:rPr>
          <w:rFonts w:ascii="Poppins" w:cs="Poppins" w:eastAsia="Poppins" w:hAnsi="Poppins"/>
          <w:b/>
          <w:bCs/>
          <w:color w:val="FFFFFF"/>
          <w:sz w:val="24"/>
          <w:szCs w:val="24"/>
        </w:rPr>
        <w:t xml:space="preserve">PREGUNTA 28</w:t>
      </w:r>
    </w:p>
    <w:p>
      <w:pPr>
        <w:spacing w:after="120"/>
      </w:pPr>
      <w:r>
        <w:rPr>
          <w:rFonts w:ascii="Poppins" w:cs="Poppins" w:eastAsia="Poppins" w:hAnsi="Poppins"/>
          <w:b/>
          <w:bCs/>
          <w:color w:val="001C31"/>
          <w:sz w:val="21"/>
          <w:szCs w:val="21"/>
        </w:rPr>
        <w:t xml:space="preserve">Pregunta: </w:t>
      </w:r>
      <w:r>
        <w:rPr>
          <w:rFonts w:ascii="Poppins" w:cs="Poppins" w:eastAsia="Poppins" w:hAnsi="Poppins"/>
          <w:sz w:val="21"/>
          <w:szCs w:val="21"/>
        </w:rPr>
        <w:t xml:space="preserve">Según la GPC, ¿qué representa el símbolo de verificación (ü) en el margen de las páginas de esta guía?</w:t>
      </w:r>
    </w:p>
    <w:p>
      <w:pPr>
        <w:spacing w:after="60"/>
      </w:pPr>
      <w:r>
        <w:rPr>
          <w:rFonts w:ascii="Poppins" w:cs="Poppins" w:eastAsia="Poppins" w:hAnsi="Poppins"/>
          <w:b/>
          <w:bCs/>
          <w:color w:val="B08D3F"/>
          <w:sz w:val="21"/>
          <w:szCs w:val="21"/>
        </w:rPr>
        <w:t xml:space="preserve">A. </w:t>
      </w:r>
      <w:r>
        <w:rPr>
          <w:rFonts w:ascii="Poppins" w:cs="Poppins" w:eastAsia="Poppins" w:hAnsi="Poppins"/>
          <w:b/>
          <w:bCs/>
          <w:color w:val="B08D3F"/>
          <w:sz w:val="21"/>
          <w:szCs w:val="21"/>
        </w:rPr>
        <w:t xml:space="preserve">Un consejo de buena práctica clínica sobre el cual el grupo de expertos acuerda, generalmente aspectos prácticos sin suficiente evidencia científica que los sustente</w:t>
      </w:r>
    </w:p>
    <w:p>
      <w:pPr>
        <w:spacing w:after="60"/>
      </w:pPr>
      <w:r>
        <w:rPr>
          <w:rFonts w:ascii="Poppins" w:cs="Poppins" w:eastAsia="Poppins" w:hAnsi="Poppins"/>
          <w:b/>
          <w:bCs/>
          <w:color w:val="000000"/>
          <w:sz w:val="21"/>
          <w:szCs w:val="21"/>
        </w:rPr>
        <w:t xml:space="preserve">B. </w:t>
      </w:r>
      <w:r>
        <w:rPr>
          <w:rFonts w:ascii="Poppins" w:cs="Poppins" w:eastAsia="Poppins" w:hAnsi="Poppins"/>
          <w:b w:val="false"/>
          <w:bCs w:val="false"/>
          <w:color w:val="000000"/>
          <w:sz w:val="21"/>
          <w:szCs w:val="21"/>
        </w:rPr>
        <w:t xml:space="preserve">El nivel más alto de evidencia científica disponible, equivalente al grado A</w:t>
      </w:r>
    </w:p>
    <w:p>
      <w:pPr>
        <w:spacing w:after="60"/>
      </w:pPr>
      <w:r>
        <w:rPr>
          <w:rFonts w:ascii="Poppins" w:cs="Poppins" w:eastAsia="Poppins" w:hAnsi="Poppins"/>
          <w:b/>
          <w:bCs/>
          <w:color w:val="000000"/>
          <w:sz w:val="21"/>
          <w:szCs w:val="21"/>
        </w:rPr>
        <w:t xml:space="preserve">C. </w:t>
      </w:r>
      <w:r>
        <w:rPr>
          <w:rFonts w:ascii="Poppins" w:cs="Poppins" w:eastAsia="Poppins" w:hAnsi="Poppins"/>
          <w:b w:val="false"/>
          <w:bCs w:val="false"/>
          <w:color w:val="000000"/>
          <w:sz w:val="21"/>
          <w:szCs w:val="21"/>
        </w:rPr>
        <w:t xml:space="preserve">Una recomendación obsoleta que debe ser descartada por el lector</w:t>
      </w:r>
    </w:p>
    <w:p>
      <w:pPr>
        <w:spacing w:after="60"/>
      </w:pPr>
      <w:r>
        <w:rPr>
          <w:rFonts w:ascii="Poppins" w:cs="Poppins" w:eastAsia="Poppins" w:hAnsi="Poppins"/>
          <w:b/>
          <w:bCs/>
          <w:color w:val="000000"/>
          <w:sz w:val="21"/>
          <w:szCs w:val="21"/>
        </w:rPr>
        <w:t xml:space="preserve">D. </w:t>
      </w:r>
      <w:r>
        <w:rPr>
          <w:rFonts w:ascii="Poppins" w:cs="Poppins" w:eastAsia="Poppins" w:hAnsi="Poppins"/>
          <w:b w:val="false"/>
          <w:bCs w:val="false"/>
          <w:color w:val="000000"/>
          <w:sz w:val="21"/>
          <w:szCs w:val="21"/>
        </w:rPr>
        <w:t xml:space="preserve">Un error tipográfico sin significado clínico</w:t>
      </w:r>
    </w:p>
    <w:p>
      <w:pPr>
        <w:spacing w:after="100" w:before="120"/>
      </w:pPr>
      <w:r>
        <w:rPr>
          <w:rFonts w:ascii="Poppins" w:cs="Poppins" w:eastAsia="Poppins" w:hAnsi="Poppins"/>
          <w:b/>
          <w:bCs/>
          <w:color w:val="001C31"/>
          <w:sz w:val="21"/>
          <w:szCs w:val="21"/>
        </w:rPr>
        <w:t xml:space="preserve">Respuesta correcta: A</w:t>
      </w:r>
    </w:p>
    <w:p>
      <w:pPr>
        <w:spacing w:after="60"/>
      </w:pPr>
      <w:r>
        <w:rPr>
          <w:rFonts w:ascii="Poppins" w:cs="Poppins" w:eastAsia="Poppins" w:hAnsi="Poppins"/>
          <w:b/>
          <w:bCs/>
          <w:color w:val="001C31"/>
          <w:sz w:val="21"/>
          <w:szCs w:val="21"/>
          <w:u w:val="single"/>
        </w:rPr>
        <w:t xml:space="preserve">Justificación de la respuesta correcta</w:t>
      </w:r>
    </w:p>
    <w:p>
      <w:pPr>
        <w:spacing w:after="150"/>
      </w:pPr>
      <w:r>
        <w:rPr>
          <w:rFonts w:ascii="Poppins" w:cs="Poppins" w:eastAsia="Poppins" w:hAnsi="Poppins"/>
          <w:sz w:val="21"/>
          <w:szCs w:val="21"/>
        </w:rPr>
        <w:t xml:space="preserve">La guía establece que el símbolo ü representa un consejo de buena práctica clínica sobre el cual el grupo de expertos acuerda, siendo por lo general aspectos prácticos sobre los que se quiere hacer énfasis y para los cuales probablemente no existe suficiente evidencia científica que los sustente, aclarando que estos aspectos no son una alternativa a las recomendaciones basadas en evidencia, sino que deben considerarse únicamente cuando no existe otra manera de destacar dicho aspecto.</w:t>
      </w:r>
    </w:p>
    <w:p>
      <w:pPr>
        <w:spacing w:after="60"/>
      </w:pPr>
      <w:r>
        <w:rPr>
          <w:rFonts w:ascii="Poppins" w:cs="Poppins" w:eastAsia="Poppins" w:hAnsi="Poppins"/>
          <w:b/>
          <w:bCs/>
          <w:color w:val="001C31"/>
          <w:sz w:val="21"/>
          <w:szCs w:val="21"/>
          <w:u w:val="single"/>
        </w:rPr>
        <w:t xml:space="preserve">Justificación de las opciones incorrectas</w:t>
      </w:r>
    </w:p>
    <w:p>
      <w:pPr>
        <w:spacing w:after="60"/>
      </w:pPr>
      <w:r>
        <w:rPr>
          <w:rFonts w:ascii="Poppins" w:cs="Poppins" w:eastAsia="Poppins" w:hAnsi="Poppins"/>
          <w:b/>
          <w:bCs/>
          <w:sz w:val="21"/>
          <w:szCs w:val="21"/>
        </w:rPr>
        <w:t xml:space="preserve">Opción B: </w:t>
      </w:r>
      <w:r>
        <w:rPr>
          <w:rFonts w:ascii="Poppins" w:cs="Poppins" w:eastAsia="Poppins" w:hAnsi="Poppins"/>
          <w:sz w:val="21"/>
          <w:szCs w:val="21"/>
        </w:rPr>
        <w:t xml:space="preserve">El símbolo ü no representa el nivel más alto de evidencia científica; por el contrario, se usa precisamente cuando no existe suficiente evidencia científica que sustente el punto señalado.</w:t>
      </w:r>
    </w:p>
    <w:p>
      <w:pPr>
        <w:spacing w:after="60"/>
      </w:pPr>
      <w:r>
        <w:rPr>
          <w:rFonts w:ascii="Poppins" w:cs="Poppins" w:eastAsia="Poppins" w:hAnsi="Poppins"/>
          <w:b/>
          <w:bCs/>
          <w:sz w:val="21"/>
          <w:szCs w:val="21"/>
        </w:rPr>
        <w:t xml:space="preserve">Opción C: </w:t>
      </w:r>
      <w:r>
        <w:rPr>
          <w:rFonts w:ascii="Poppins" w:cs="Poppins" w:eastAsia="Poppins" w:hAnsi="Poppins"/>
          <w:sz w:val="21"/>
          <w:szCs w:val="21"/>
        </w:rPr>
        <w:t xml:space="preserve">El símbolo ü no indica una recomendación obsoleta; representa un punto de buena práctica clínica vigente y recomendado por el grupo de expertos.</w:t>
      </w:r>
    </w:p>
    <w:p>
      <w:pPr>
        <w:spacing w:after="60"/>
      </w:pPr>
      <w:r>
        <w:rPr>
          <w:rFonts w:ascii="Poppins" w:cs="Poppins" w:eastAsia="Poppins" w:hAnsi="Poppins"/>
          <w:b/>
          <w:bCs/>
          <w:sz w:val="21"/>
          <w:szCs w:val="21"/>
        </w:rPr>
        <w:t xml:space="preserve">Opción D: </w:t>
      </w:r>
      <w:r>
        <w:rPr>
          <w:rFonts w:ascii="Poppins" w:cs="Poppins" w:eastAsia="Poppins" w:hAnsi="Poppins"/>
          <w:sz w:val="21"/>
          <w:szCs w:val="21"/>
        </w:rPr>
        <w:t xml:space="preserve">El símbolo ü tiene un significado clínico definido y explícito en la guía; no se trata de un error tipográfico.</w:t>
      </w:r>
    </w:p>
    <w:p>
      <w:pPr>
        <w:pBdr>
          <w:bottom w:val="single" w:color="B08D3F" w:sz="6" w:space="4"/>
        </w:pBdr>
        <w:spacing w:after="200" w:before="100"/>
      </w:pPr>
      <w:r>
        <w:rPr>
          <w:rFonts w:ascii="Poppins" w:cs="Poppins" w:eastAsia="Poppins" w:hAnsi="Poppins"/>
          <w:b/>
          <w:bCs/>
          <w:i/>
          <w:iCs/>
          <w:color w:val="B08D3F"/>
          <w:sz w:val="20"/>
          <w:szCs w:val="20"/>
        </w:rPr>
        <w:t xml:space="preserve">Referencia: </w:t>
      </w:r>
      <w:r>
        <w:rPr>
          <w:rFonts w:ascii="Poppins" w:cs="Poppins" w:eastAsia="Poppins" w:hAnsi="Poppins"/>
          <w:i/>
          <w:iCs/>
          <w:color w:val="555555"/>
          <w:sz w:val="20"/>
          <w:szCs w:val="20"/>
        </w:rPr>
        <w:t xml:space="preserve">Evidencias y grados de recomendaciones. Calidad de la evidencia y fuerza de las recomendaciones. Página 11.</w:t>
      </w:r>
    </w:p>
    <w:p>
      <w:pPr>
        <w:shd w:fill="001C31" w:val="clear"/>
        <w:spacing w:after="100" w:before="300"/>
      </w:pPr>
      <w:r>
        <w:rPr>
          <w:rFonts w:ascii="Poppins" w:cs="Poppins" w:eastAsia="Poppins" w:hAnsi="Poppins"/>
          <w:b/>
          <w:bCs/>
          <w:color w:val="FFFFFF"/>
          <w:sz w:val="24"/>
          <w:szCs w:val="24"/>
        </w:rPr>
        <w:t xml:space="preserve">PREGUNTA 29</w:t>
      </w:r>
    </w:p>
    <w:p>
      <w:pPr>
        <w:spacing w:after="120"/>
      </w:pPr>
      <w:r>
        <w:rPr>
          <w:rFonts w:ascii="Poppins" w:cs="Poppins" w:eastAsia="Poppins" w:hAnsi="Poppins"/>
          <w:b/>
          <w:bCs/>
          <w:color w:val="001C31"/>
          <w:sz w:val="21"/>
          <w:szCs w:val="21"/>
        </w:rPr>
        <w:t xml:space="preserve">Pregunta: </w:t>
      </w:r>
      <w:r>
        <w:rPr>
          <w:rFonts w:ascii="Poppins" w:cs="Poppins" w:eastAsia="Poppins" w:hAnsi="Poppins"/>
          <w:sz w:val="21"/>
          <w:szCs w:val="21"/>
        </w:rPr>
        <w:t xml:space="preserve">Según la GPC, ¿se dispone actualmente de una prevención primaria efectiva específica para la infección de vías urinarias en el embarazo?</w:t>
      </w:r>
    </w:p>
    <w:p>
      <w:pPr>
        <w:spacing w:after="60"/>
      </w:pPr>
      <w:r>
        <w:rPr>
          <w:rFonts w:ascii="Poppins" w:cs="Poppins" w:eastAsia="Poppins" w:hAnsi="Poppins"/>
          <w:b/>
          <w:bCs/>
          <w:color w:val="B08D3F"/>
          <w:sz w:val="21"/>
          <w:szCs w:val="21"/>
        </w:rPr>
        <w:t xml:space="preserve">A. </w:t>
      </w:r>
      <w:r>
        <w:rPr>
          <w:rFonts w:ascii="Poppins" w:cs="Poppins" w:eastAsia="Poppins" w:hAnsi="Poppins"/>
          <w:b/>
          <w:bCs/>
          <w:color w:val="B08D3F"/>
          <w:sz w:val="21"/>
          <w:szCs w:val="21"/>
        </w:rPr>
        <w:t xml:space="preserve">No, en cuanto a infección de vías urinarias en el embarazo no se dispone aún de una prevención efectiva; mientras se desarrollan estrategias, se deben tomar en cuenta ciertas evidencias generales</w:t>
      </w:r>
    </w:p>
    <w:p>
      <w:pPr>
        <w:spacing w:after="60"/>
      </w:pPr>
      <w:r>
        <w:rPr>
          <w:rFonts w:ascii="Poppins" w:cs="Poppins" w:eastAsia="Poppins" w:hAnsi="Poppins"/>
          <w:b/>
          <w:bCs/>
          <w:color w:val="000000"/>
          <w:sz w:val="21"/>
          <w:szCs w:val="21"/>
        </w:rPr>
        <w:t xml:space="preserve">B. </w:t>
      </w:r>
      <w:r>
        <w:rPr>
          <w:rFonts w:ascii="Poppins" w:cs="Poppins" w:eastAsia="Poppins" w:hAnsi="Poppins"/>
          <w:b w:val="false"/>
          <w:bCs w:val="false"/>
          <w:color w:val="000000"/>
          <w:sz w:val="21"/>
          <w:szCs w:val="21"/>
        </w:rPr>
        <w:t xml:space="preserve">Sí, existe una vacuna específica altamente efectiva avalada por esta guía</w:t>
      </w:r>
    </w:p>
    <w:p>
      <w:pPr>
        <w:spacing w:after="60"/>
      </w:pPr>
      <w:r>
        <w:rPr>
          <w:rFonts w:ascii="Poppins" w:cs="Poppins" w:eastAsia="Poppins" w:hAnsi="Poppins"/>
          <w:b/>
          <w:bCs/>
          <w:color w:val="000000"/>
          <w:sz w:val="21"/>
          <w:szCs w:val="21"/>
        </w:rPr>
        <w:t xml:space="preserve">C. </w:t>
      </w:r>
      <w:r>
        <w:rPr>
          <w:rFonts w:ascii="Poppins" w:cs="Poppins" w:eastAsia="Poppins" w:hAnsi="Poppins"/>
          <w:b w:val="false"/>
          <w:bCs w:val="false"/>
          <w:color w:val="000000"/>
          <w:sz w:val="21"/>
          <w:szCs w:val="21"/>
        </w:rPr>
        <w:t xml:space="preserve">Sí, el uso de antibióticos profilácticos continuos durante todo el embarazo previene completamente la IVU</w:t>
      </w:r>
    </w:p>
    <w:p>
      <w:pPr>
        <w:spacing w:after="60"/>
      </w:pPr>
      <w:r>
        <w:rPr>
          <w:rFonts w:ascii="Poppins" w:cs="Poppins" w:eastAsia="Poppins" w:hAnsi="Poppins"/>
          <w:b/>
          <w:bCs/>
          <w:color w:val="000000"/>
          <w:sz w:val="21"/>
          <w:szCs w:val="21"/>
        </w:rPr>
        <w:t xml:space="preserve">D. </w:t>
      </w:r>
      <w:r>
        <w:rPr>
          <w:rFonts w:ascii="Poppins" w:cs="Poppins" w:eastAsia="Poppins" w:hAnsi="Poppins"/>
          <w:b w:val="false"/>
          <w:bCs w:val="false"/>
          <w:color w:val="000000"/>
          <w:sz w:val="21"/>
          <w:szCs w:val="21"/>
        </w:rPr>
        <w:t xml:space="preserve">No se menciona ningún tipo de medida preventiva en la guía</w:t>
      </w:r>
    </w:p>
    <w:p>
      <w:pPr>
        <w:spacing w:after="100" w:before="120"/>
      </w:pPr>
      <w:r>
        <w:rPr>
          <w:rFonts w:ascii="Poppins" w:cs="Poppins" w:eastAsia="Poppins" w:hAnsi="Poppins"/>
          <w:b/>
          <w:bCs/>
          <w:color w:val="001C31"/>
          <w:sz w:val="21"/>
          <w:szCs w:val="21"/>
        </w:rPr>
        <w:t xml:space="preserve">Respuesta correcta: A</w:t>
      </w:r>
    </w:p>
    <w:p>
      <w:pPr>
        <w:spacing w:after="60"/>
      </w:pPr>
      <w:r>
        <w:rPr>
          <w:rFonts w:ascii="Poppins" w:cs="Poppins" w:eastAsia="Poppins" w:hAnsi="Poppins"/>
          <w:b/>
          <w:bCs/>
          <w:color w:val="001C31"/>
          <w:sz w:val="21"/>
          <w:szCs w:val="21"/>
          <w:u w:val="single"/>
        </w:rPr>
        <w:t xml:space="preserve">Justificación de la respuesta correcta</w:t>
      </w:r>
    </w:p>
    <w:p>
      <w:pPr>
        <w:spacing w:after="150"/>
      </w:pPr>
      <w:r>
        <w:rPr>
          <w:rFonts w:ascii="Poppins" w:cs="Poppins" w:eastAsia="Poppins" w:hAnsi="Poppins"/>
          <w:sz w:val="21"/>
          <w:szCs w:val="21"/>
        </w:rPr>
        <w:t xml:space="preserve">La guía establece que la prevención primaria de toda enfermedad es la meta de la medicina preventiva, pero que en cuanto a infección de vías urinarias en el embarazo no se dispone aún de una prevención efectiva, señalando que mientras se desarrollan estrategias efectivas se deben tomar en cuenta ciertas evidencias disponibles.</w:t>
      </w:r>
    </w:p>
    <w:p>
      <w:pPr>
        <w:spacing w:after="60"/>
      </w:pPr>
      <w:r>
        <w:rPr>
          <w:rFonts w:ascii="Poppins" w:cs="Poppins" w:eastAsia="Poppins" w:hAnsi="Poppins"/>
          <w:b/>
          <w:bCs/>
          <w:color w:val="001C31"/>
          <w:sz w:val="21"/>
          <w:szCs w:val="21"/>
          <w:u w:val="single"/>
        </w:rPr>
        <w:t xml:space="preserve">Justificación de las opciones incorrectas</w:t>
      </w:r>
    </w:p>
    <w:p>
      <w:pPr>
        <w:spacing w:after="60"/>
      </w:pPr>
      <w:r>
        <w:rPr>
          <w:rFonts w:ascii="Poppins" w:cs="Poppins" w:eastAsia="Poppins" w:hAnsi="Poppins"/>
          <w:b/>
          <w:bCs/>
          <w:sz w:val="21"/>
          <w:szCs w:val="21"/>
        </w:rPr>
        <w:t xml:space="preserve">Opción B: </w:t>
      </w:r>
      <w:r>
        <w:rPr>
          <w:rFonts w:ascii="Poppins" w:cs="Poppins" w:eastAsia="Poppins" w:hAnsi="Poppins"/>
          <w:sz w:val="21"/>
          <w:szCs w:val="21"/>
        </w:rPr>
        <w:t xml:space="preserve">La guía no menciona ninguna vacuna para la prevención de IVU en el embarazo; no existe tal intervención en el texto.</w:t>
      </w:r>
    </w:p>
    <w:p>
      <w:pPr>
        <w:spacing w:after="60"/>
      </w:pPr>
      <w:r>
        <w:rPr>
          <w:rFonts w:ascii="Poppins" w:cs="Poppins" w:eastAsia="Poppins" w:hAnsi="Poppins"/>
          <w:b/>
          <w:bCs/>
          <w:sz w:val="21"/>
          <w:szCs w:val="21"/>
        </w:rPr>
        <w:t xml:space="preserve">Opción C: </w:t>
      </w:r>
      <w:r>
        <w:rPr>
          <w:rFonts w:ascii="Poppins" w:cs="Poppins" w:eastAsia="Poppins" w:hAnsi="Poppins"/>
          <w:sz w:val="21"/>
          <w:szCs w:val="21"/>
        </w:rPr>
        <w:t xml:space="preserve">La guía no recomienda antibióticos profilácticos continuos durante todo el embarazo como medida preventiva; el tratamiento antibiótico se reserva para los casos diagnosticados de BA o cistitis.</w:t>
      </w:r>
    </w:p>
    <w:p>
      <w:pPr>
        <w:spacing w:after="60"/>
      </w:pPr>
      <w:r>
        <w:rPr>
          <w:rFonts w:ascii="Poppins" w:cs="Poppins" w:eastAsia="Poppins" w:hAnsi="Poppins"/>
          <w:b/>
          <w:bCs/>
          <w:sz w:val="21"/>
          <w:szCs w:val="21"/>
        </w:rPr>
        <w:t xml:space="preserve">Opción D: </w:t>
      </w:r>
      <w:r>
        <w:rPr>
          <w:rFonts w:ascii="Poppins" w:cs="Poppins" w:eastAsia="Poppins" w:hAnsi="Poppins"/>
          <w:sz w:val="21"/>
          <w:szCs w:val="21"/>
        </w:rPr>
        <w:t xml:space="preserve">La guía sí menciona medidas generales relacionadas con hidratación, higiene y vaciamiento vesical, aunque reconoce que no constituyen una prevención primaria plenamente efectiva.</w:t>
      </w:r>
    </w:p>
    <w:p>
      <w:pPr>
        <w:pBdr>
          <w:bottom w:val="single" w:color="B08D3F" w:sz="6" w:space="4"/>
        </w:pBdr>
        <w:spacing w:after="200" w:before="100"/>
      </w:pPr>
      <w:r>
        <w:rPr>
          <w:rFonts w:ascii="Poppins" w:cs="Poppins" w:eastAsia="Poppins" w:hAnsi="Poppins"/>
          <w:b/>
          <w:bCs/>
          <w:i/>
          <w:iCs/>
          <w:color w:val="B08D3F"/>
          <w:sz w:val="20"/>
          <w:szCs w:val="20"/>
        </w:rPr>
        <w:t xml:space="preserve">Referencia: </w:t>
      </w:r>
      <w:r>
        <w:rPr>
          <w:rFonts w:ascii="Poppins" w:cs="Poppins" w:eastAsia="Poppins" w:hAnsi="Poppins"/>
          <w:i/>
          <w:iCs/>
          <w:color w:val="555555"/>
          <w:sz w:val="20"/>
          <w:szCs w:val="20"/>
        </w:rPr>
        <w:t xml:space="preserve">Prevención de infección de vías urinarias en embarazadas. Promoción de la salud y detección de factores de riesgo. Página 16.</w:t>
      </w:r>
    </w:p>
    <w:p>
      <w:pPr>
        <w:shd w:fill="001C31" w:val="clear"/>
        <w:spacing w:after="100" w:before="300"/>
      </w:pPr>
      <w:r>
        <w:rPr>
          <w:rFonts w:ascii="Poppins" w:cs="Poppins" w:eastAsia="Poppins" w:hAnsi="Poppins"/>
          <w:b/>
          <w:bCs/>
          <w:color w:val="FFFFFF"/>
          <w:sz w:val="24"/>
          <w:szCs w:val="24"/>
        </w:rPr>
        <w:t xml:space="preserve">PREGUNTA 30</w:t>
      </w:r>
    </w:p>
    <w:p>
      <w:pPr>
        <w:spacing w:after="120"/>
      </w:pPr>
      <w:r>
        <w:rPr>
          <w:rFonts w:ascii="Poppins" w:cs="Poppins" w:eastAsia="Poppins" w:hAnsi="Poppins"/>
          <w:b/>
          <w:bCs/>
          <w:color w:val="001C31"/>
          <w:sz w:val="21"/>
          <w:szCs w:val="21"/>
        </w:rPr>
        <w:t xml:space="preserve">Pregunta: </w:t>
      </w:r>
      <w:r>
        <w:rPr>
          <w:rFonts w:ascii="Poppins" w:cs="Poppins" w:eastAsia="Poppins" w:hAnsi="Poppins"/>
          <w:sz w:val="21"/>
          <w:szCs w:val="21"/>
        </w:rPr>
        <w:t xml:space="preserve">Según la GPC, ¿qué medidas generales se recomiendan como punto de buena práctica para la prevención de IVU en el embarazo?</w:t>
      </w:r>
    </w:p>
    <w:p>
      <w:pPr>
        <w:spacing w:after="60"/>
      </w:pPr>
      <w:r>
        <w:rPr>
          <w:rFonts w:ascii="Poppins" w:cs="Poppins" w:eastAsia="Poppins" w:hAnsi="Poppins"/>
          <w:b/>
          <w:bCs/>
          <w:color w:val="B08D3F"/>
          <w:sz w:val="21"/>
          <w:szCs w:val="21"/>
        </w:rPr>
        <w:t xml:space="preserve">A. </w:t>
      </w:r>
      <w:r>
        <w:rPr>
          <w:rFonts w:ascii="Poppins" w:cs="Poppins" w:eastAsia="Poppins" w:hAnsi="Poppins"/>
          <w:b/>
          <w:bCs/>
          <w:color w:val="B08D3F"/>
          <w:sz w:val="21"/>
          <w:szCs w:val="21"/>
        </w:rPr>
        <w:t xml:space="preserve">Consumo de abundantes líquidos (&gt;2 litros/día), vaciamiento completo de la vejiga en forma frecuente y después de tener relaciones sexuales, aseo genital adecuado y uso de ropa interior de preferencia de algodón</w:t>
      </w:r>
    </w:p>
    <w:p>
      <w:pPr>
        <w:spacing w:after="60"/>
      </w:pPr>
      <w:r>
        <w:rPr>
          <w:rFonts w:ascii="Poppins" w:cs="Poppins" w:eastAsia="Poppins" w:hAnsi="Poppins"/>
          <w:b/>
          <w:bCs/>
          <w:color w:val="000000"/>
          <w:sz w:val="21"/>
          <w:szCs w:val="21"/>
        </w:rPr>
        <w:t xml:space="preserve">B. </w:t>
      </w:r>
      <w:r>
        <w:rPr>
          <w:rFonts w:ascii="Poppins" w:cs="Poppins" w:eastAsia="Poppins" w:hAnsi="Poppins"/>
          <w:b w:val="false"/>
          <w:bCs w:val="false"/>
          <w:color w:val="000000"/>
          <w:sz w:val="21"/>
          <w:szCs w:val="21"/>
        </w:rPr>
        <w:t xml:space="preserve">Restricción severa de líquidos para disminuir la producción de orina</w:t>
      </w:r>
    </w:p>
    <w:p>
      <w:pPr>
        <w:spacing w:after="60"/>
      </w:pPr>
      <w:r>
        <w:rPr>
          <w:rFonts w:ascii="Poppins" w:cs="Poppins" w:eastAsia="Poppins" w:hAnsi="Poppins"/>
          <w:b/>
          <w:bCs/>
          <w:color w:val="000000"/>
          <w:sz w:val="21"/>
          <w:szCs w:val="21"/>
        </w:rPr>
        <w:t xml:space="preserve">C. </w:t>
      </w:r>
      <w:r>
        <w:rPr>
          <w:rFonts w:ascii="Poppins" w:cs="Poppins" w:eastAsia="Poppins" w:hAnsi="Poppins"/>
          <w:b w:val="false"/>
          <w:bCs w:val="false"/>
          <w:color w:val="000000"/>
          <w:sz w:val="21"/>
          <w:szCs w:val="21"/>
        </w:rPr>
        <w:t xml:space="preserve">Uso obligatorio de ropa interior sintética ajustada</w:t>
      </w:r>
    </w:p>
    <w:p>
      <w:pPr>
        <w:spacing w:after="60"/>
      </w:pPr>
      <w:r>
        <w:rPr>
          <w:rFonts w:ascii="Poppins" w:cs="Poppins" w:eastAsia="Poppins" w:hAnsi="Poppins"/>
          <w:b/>
          <w:bCs/>
          <w:color w:val="000000"/>
          <w:sz w:val="21"/>
          <w:szCs w:val="21"/>
        </w:rPr>
        <w:t xml:space="preserve">D. </w:t>
      </w:r>
      <w:r>
        <w:rPr>
          <w:rFonts w:ascii="Poppins" w:cs="Poppins" w:eastAsia="Poppins" w:hAnsi="Poppins"/>
          <w:b w:val="false"/>
          <w:bCs w:val="false"/>
          <w:color w:val="000000"/>
          <w:sz w:val="21"/>
          <w:szCs w:val="21"/>
        </w:rPr>
        <w:t xml:space="preserve">Retención voluntaria de la orina para 'entrenar' la vejiga</w:t>
      </w:r>
    </w:p>
    <w:p>
      <w:pPr>
        <w:spacing w:after="100" w:before="120"/>
      </w:pPr>
      <w:r>
        <w:rPr>
          <w:rFonts w:ascii="Poppins" w:cs="Poppins" w:eastAsia="Poppins" w:hAnsi="Poppins"/>
          <w:b/>
          <w:bCs/>
          <w:color w:val="001C31"/>
          <w:sz w:val="21"/>
          <w:szCs w:val="21"/>
        </w:rPr>
        <w:t xml:space="preserve">Respuesta correcta: A</w:t>
      </w:r>
    </w:p>
    <w:p>
      <w:pPr>
        <w:spacing w:after="60"/>
      </w:pPr>
      <w:r>
        <w:rPr>
          <w:rFonts w:ascii="Poppins" w:cs="Poppins" w:eastAsia="Poppins" w:hAnsi="Poppins"/>
          <w:b/>
          <w:bCs/>
          <w:color w:val="001C31"/>
          <w:sz w:val="21"/>
          <w:szCs w:val="21"/>
          <w:u w:val="single"/>
        </w:rPr>
        <w:t xml:space="preserve">Justificación de la respuesta correcta</w:t>
      </w:r>
    </w:p>
    <w:p>
      <w:pPr>
        <w:spacing w:after="150"/>
      </w:pPr>
      <w:r>
        <w:rPr>
          <w:rFonts w:ascii="Poppins" w:cs="Poppins" w:eastAsia="Poppins" w:hAnsi="Poppins"/>
          <w:sz w:val="21"/>
          <w:szCs w:val="21"/>
        </w:rPr>
        <w:t xml:space="preserve">La guía recomienda, como punto de buena práctica, el consumo de abundantes líquidos (mayor a 2 litros/día), el vaciamiento completo de la vejiga en forma frecuente y después de tener relaciones sexuales, un aseo genital adecuado y el uso de ropa interior de preferencia de algodón.</w:t>
      </w:r>
    </w:p>
    <w:p>
      <w:pPr>
        <w:spacing w:after="60"/>
      </w:pPr>
      <w:r>
        <w:rPr>
          <w:rFonts w:ascii="Poppins" w:cs="Poppins" w:eastAsia="Poppins" w:hAnsi="Poppins"/>
          <w:b/>
          <w:bCs/>
          <w:color w:val="001C31"/>
          <w:sz w:val="21"/>
          <w:szCs w:val="21"/>
          <w:u w:val="single"/>
        </w:rPr>
        <w:t xml:space="preserve">Justificación de las opciones incorrectas</w:t>
      </w:r>
    </w:p>
    <w:p>
      <w:pPr>
        <w:spacing w:after="60"/>
      </w:pPr>
      <w:r>
        <w:rPr>
          <w:rFonts w:ascii="Poppins" w:cs="Poppins" w:eastAsia="Poppins" w:hAnsi="Poppins"/>
          <w:b/>
          <w:bCs/>
          <w:sz w:val="21"/>
          <w:szCs w:val="21"/>
        </w:rPr>
        <w:t xml:space="preserve">Opción B: </w:t>
      </w:r>
      <w:r>
        <w:rPr>
          <w:rFonts w:ascii="Poppins" w:cs="Poppins" w:eastAsia="Poppins" w:hAnsi="Poppins"/>
          <w:sz w:val="21"/>
          <w:szCs w:val="21"/>
        </w:rPr>
        <w:t xml:space="preserve">La guía recomienda lo contrario: el consumo de abundantes líquidos, no su restricción.</w:t>
      </w:r>
    </w:p>
    <w:p>
      <w:pPr>
        <w:spacing w:after="60"/>
      </w:pPr>
      <w:r>
        <w:rPr>
          <w:rFonts w:ascii="Poppins" w:cs="Poppins" w:eastAsia="Poppins" w:hAnsi="Poppins"/>
          <w:b/>
          <w:bCs/>
          <w:sz w:val="21"/>
          <w:szCs w:val="21"/>
        </w:rPr>
        <w:t xml:space="preserve">Opción C: </w:t>
      </w:r>
      <w:r>
        <w:rPr>
          <w:rFonts w:ascii="Poppins" w:cs="Poppins" w:eastAsia="Poppins" w:hAnsi="Poppins"/>
          <w:sz w:val="21"/>
          <w:szCs w:val="21"/>
        </w:rPr>
        <w:t xml:space="preserve">La guía recomienda ropa interior de algodón, no ropa sintética ajustada, como medida preventiva.</w:t>
      </w:r>
    </w:p>
    <w:p>
      <w:pPr>
        <w:spacing w:after="60"/>
      </w:pPr>
      <w:r>
        <w:rPr>
          <w:rFonts w:ascii="Poppins" w:cs="Poppins" w:eastAsia="Poppins" w:hAnsi="Poppins"/>
          <w:b/>
          <w:bCs/>
          <w:sz w:val="21"/>
          <w:szCs w:val="21"/>
        </w:rPr>
        <w:t xml:space="preserve">Opción D: </w:t>
      </w:r>
      <w:r>
        <w:rPr>
          <w:rFonts w:ascii="Poppins" w:cs="Poppins" w:eastAsia="Poppins" w:hAnsi="Poppins"/>
          <w:sz w:val="21"/>
          <w:szCs w:val="21"/>
        </w:rPr>
        <w:t xml:space="preserve">La guía recomienda el vaciamiento vesical completo y frecuente, no la retención voluntaria de la orina.</w:t>
      </w:r>
    </w:p>
    <w:p>
      <w:pPr>
        <w:pBdr>
          <w:bottom w:val="single" w:color="B08D3F" w:sz="6" w:space="4"/>
        </w:pBdr>
        <w:spacing w:after="200" w:before="100"/>
      </w:pPr>
      <w:r>
        <w:rPr>
          <w:rFonts w:ascii="Poppins" w:cs="Poppins" w:eastAsia="Poppins" w:hAnsi="Poppins"/>
          <w:b/>
          <w:bCs/>
          <w:i/>
          <w:iCs/>
          <w:color w:val="B08D3F"/>
          <w:sz w:val="20"/>
          <w:szCs w:val="20"/>
        </w:rPr>
        <w:t xml:space="preserve">Referencia: </w:t>
      </w:r>
      <w:r>
        <w:rPr>
          <w:rFonts w:ascii="Poppins" w:cs="Poppins" w:eastAsia="Poppins" w:hAnsi="Poppins"/>
          <w:i/>
          <w:iCs/>
          <w:color w:val="555555"/>
          <w:sz w:val="20"/>
          <w:szCs w:val="20"/>
        </w:rPr>
        <w:t xml:space="preserve">Prevención de infección de vías urinarias en embarazadas. Página 16.</w:t>
      </w:r>
    </w:p>
    <w:p>
      <w:pPr>
        <w:shd w:fill="001C31" w:val="clear"/>
        <w:spacing w:after="100" w:before="300"/>
      </w:pPr>
      <w:r>
        <w:rPr>
          <w:rFonts w:ascii="Poppins" w:cs="Poppins" w:eastAsia="Poppins" w:hAnsi="Poppins"/>
          <w:b/>
          <w:bCs/>
          <w:color w:val="FFFFFF"/>
          <w:sz w:val="24"/>
          <w:szCs w:val="24"/>
        </w:rPr>
        <w:t xml:space="preserve">PREGUNTA 31</w:t>
      </w:r>
    </w:p>
    <w:p>
      <w:pPr>
        <w:spacing w:after="120"/>
      </w:pPr>
      <w:r>
        <w:rPr>
          <w:rFonts w:ascii="Poppins" w:cs="Poppins" w:eastAsia="Poppins" w:hAnsi="Poppins"/>
          <w:b/>
          <w:bCs/>
          <w:color w:val="001C31"/>
          <w:sz w:val="21"/>
          <w:szCs w:val="21"/>
        </w:rPr>
        <w:t xml:space="preserve">Pregunta: </w:t>
      </w:r>
      <w:r>
        <w:rPr>
          <w:rFonts w:ascii="Poppins" w:cs="Poppins" w:eastAsia="Poppins" w:hAnsi="Poppins"/>
          <w:sz w:val="21"/>
          <w:szCs w:val="21"/>
        </w:rPr>
        <w:t xml:space="preserve">Según la GPC, ¿el consumo de jugo de arándano (mortiño) y lactobacilos probióticos es suficiente para prevenir las IVU recurrentes?</w:t>
      </w:r>
    </w:p>
    <w:p>
      <w:pPr>
        <w:spacing w:after="60"/>
      </w:pPr>
      <w:r>
        <w:rPr>
          <w:rFonts w:ascii="Poppins" w:cs="Poppins" w:eastAsia="Poppins" w:hAnsi="Poppins"/>
          <w:b/>
          <w:bCs/>
          <w:color w:val="B08D3F"/>
          <w:sz w:val="21"/>
          <w:szCs w:val="21"/>
        </w:rPr>
        <w:t xml:space="preserve">A. </w:t>
      </w:r>
      <w:r>
        <w:rPr>
          <w:rFonts w:ascii="Poppins" w:cs="Poppins" w:eastAsia="Poppins" w:hAnsi="Poppins"/>
          <w:b/>
          <w:bCs/>
          <w:color w:val="B08D3F"/>
          <w:sz w:val="21"/>
          <w:szCs w:val="21"/>
        </w:rPr>
        <w:t xml:space="preserve">No, estos métodos alternativos pueden contribuir, pero no son suficientes para prevenir IVU recurrentes</w:t>
      </w:r>
    </w:p>
    <w:p>
      <w:pPr>
        <w:spacing w:after="60"/>
      </w:pPr>
      <w:r>
        <w:rPr>
          <w:rFonts w:ascii="Poppins" w:cs="Poppins" w:eastAsia="Poppins" w:hAnsi="Poppins"/>
          <w:b/>
          <w:bCs/>
          <w:color w:val="000000"/>
          <w:sz w:val="21"/>
          <w:szCs w:val="21"/>
        </w:rPr>
        <w:t xml:space="preserve">B. </w:t>
      </w:r>
      <w:r>
        <w:rPr>
          <w:rFonts w:ascii="Poppins" w:cs="Poppins" w:eastAsia="Poppins" w:hAnsi="Poppins"/>
          <w:b w:val="false"/>
          <w:bCs w:val="false"/>
          <w:color w:val="000000"/>
          <w:sz w:val="21"/>
          <w:szCs w:val="21"/>
        </w:rPr>
        <w:t xml:space="preserve">Sí, son completamente suficientes y reemplazan al tratamiento antibiótico</w:t>
      </w:r>
    </w:p>
    <w:p>
      <w:pPr>
        <w:spacing w:after="60"/>
      </w:pPr>
      <w:r>
        <w:rPr>
          <w:rFonts w:ascii="Poppins" w:cs="Poppins" w:eastAsia="Poppins" w:hAnsi="Poppins"/>
          <w:b/>
          <w:bCs/>
          <w:color w:val="000000"/>
          <w:sz w:val="21"/>
          <w:szCs w:val="21"/>
        </w:rPr>
        <w:t xml:space="preserve">C. </w:t>
      </w:r>
      <w:r>
        <w:rPr>
          <w:rFonts w:ascii="Poppins" w:cs="Poppins" w:eastAsia="Poppins" w:hAnsi="Poppins"/>
          <w:b w:val="false"/>
          <w:bCs w:val="false"/>
          <w:color w:val="000000"/>
          <w:sz w:val="21"/>
          <w:szCs w:val="21"/>
        </w:rPr>
        <w:t xml:space="preserve">Sí, están avalados con evidencia de grado A como único método preventivo</w:t>
      </w:r>
    </w:p>
    <w:p>
      <w:pPr>
        <w:spacing w:after="60"/>
      </w:pPr>
      <w:r>
        <w:rPr>
          <w:rFonts w:ascii="Poppins" w:cs="Poppins" w:eastAsia="Poppins" w:hAnsi="Poppins"/>
          <w:b/>
          <w:bCs/>
          <w:color w:val="000000"/>
          <w:sz w:val="21"/>
          <w:szCs w:val="21"/>
        </w:rPr>
        <w:t xml:space="preserve">D. </w:t>
      </w:r>
      <w:r>
        <w:rPr>
          <w:rFonts w:ascii="Poppins" w:cs="Poppins" w:eastAsia="Poppins" w:hAnsi="Poppins"/>
          <w:b w:val="false"/>
          <w:bCs w:val="false"/>
          <w:color w:val="000000"/>
          <w:sz w:val="21"/>
          <w:szCs w:val="21"/>
        </w:rPr>
        <w:t xml:space="preserve">No se menciona ninguna evidencia sobre el arándano en esta guía</w:t>
      </w:r>
    </w:p>
    <w:p>
      <w:pPr>
        <w:spacing w:after="100" w:before="120"/>
      </w:pPr>
      <w:r>
        <w:rPr>
          <w:rFonts w:ascii="Poppins" w:cs="Poppins" w:eastAsia="Poppins" w:hAnsi="Poppins"/>
          <w:b/>
          <w:bCs/>
          <w:color w:val="001C31"/>
          <w:sz w:val="21"/>
          <w:szCs w:val="21"/>
        </w:rPr>
        <w:t xml:space="preserve">Respuesta correcta: A</w:t>
      </w:r>
    </w:p>
    <w:p>
      <w:pPr>
        <w:spacing w:after="60"/>
      </w:pPr>
      <w:r>
        <w:rPr>
          <w:rFonts w:ascii="Poppins" w:cs="Poppins" w:eastAsia="Poppins" w:hAnsi="Poppins"/>
          <w:b/>
          <w:bCs/>
          <w:color w:val="001C31"/>
          <w:sz w:val="21"/>
          <w:szCs w:val="21"/>
          <w:u w:val="single"/>
        </w:rPr>
        <w:t xml:space="preserve">Justificación de la respuesta correcta</w:t>
      </w:r>
    </w:p>
    <w:p>
      <w:pPr>
        <w:spacing w:after="150"/>
      </w:pPr>
      <w:r>
        <w:rPr>
          <w:rFonts w:ascii="Poppins" w:cs="Poppins" w:eastAsia="Poppins" w:hAnsi="Poppins"/>
          <w:sz w:val="21"/>
          <w:szCs w:val="21"/>
        </w:rPr>
        <w:t xml:space="preserve">La guía establece (Ib C) que métodos alternativos como el consumo de jugo de arándano y lactobacilos probióticos pueden contribuir, pero no son suficientes para prevenir IVU recurrentes, señalando además que la dosis y el método de administración del arándano aún no están claros.</w:t>
      </w:r>
    </w:p>
    <w:p>
      <w:pPr>
        <w:spacing w:after="60"/>
      </w:pPr>
      <w:r>
        <w:rPr>
          <w:rFonts w:ascii="Poppins" w:cs="Poppins" w:eastAsia="Poppins" w:hAnsi="Poppins"/>
          <w:b/>
          <w:bCs/>
          <w:color w:val="001C31"/>
          <w:sz w:val="21"/>
          <w:szCs w:val="21"/>
          <w:u w:val="single"/>
        </w:rPr>
        <w:t xml:space="preserve">Justificación de las opciones incorrectas</w:t>
      </w:r>
    </w:p>
    <w:p>
      <w:pPr>
        <w:spacing w:after="60"/>
      </w:pPr>
      <w:r>
        <w:rPr>
          <w:rFonts w:ascii="Poppins" w:cs="Poppins" w:eastAsia="Poppins" w:hAnsi="Poppins"/>
          <w:b/>
          <w:bCs/>
          <w:sz w:val="21"/>
          <w:szCs w:val="21"/>
        </w:rPr>
        <w:t xml:space="preserve">Opción B: </w:t>
      </w:r>
      <w:r>
        <w:rPr>
          <w:rFonts w:ascii="Poppins" w:cs="Poppins" w:eastAsia="Poppins" w:hAnsi="Poppins"/>
          <w:sz w:val="21"/>
          <w:szCs w:val="21"/>
        </w:rPr>
        <w:t xml:space="preserve">La guía no plantea que estos métodos reemplacen al tratamiento antibiótico; los describe como una contribución insuficiente por sí sola.</w:t>
      </w:r>
    </w:p>
    <w:p>
      <w:pPr>
        <w:spacing w:after="60"/>
      </w:pPr>
      <w:r>
        <w:rPr>
          <w:rFonts w:ascii="Poppins" w:cs="Poppins" w:eastAsia="Poppins" w:hAnsi="Poppins"/>
          <w:b/>
          <w:bCs/>
          <w:sz w:val="21"/>
          <w:szCs w:val="21"/>
        </w:rPr>
        <w:t xml:space="preserve">Opción C: </w:t>
      </w:r>
      <w:r>
        <w:rPr>
          <w:rFonts w:ascii="Poppins" w:cs="Poppins" w:eastAsia="Poppins" w:hAnsi="Poppins"/>
          <w:sz w:val="21"/>
          <w:szCs w:val="21"/>
        </w:rPr>
        <w:t xml:space="preserve">La guía no otorga evidencia de grado A a estos métodos como único método preventivo; los cita con nivel Ib C, y aclara que no son suficientes por sí solos.</w:t>
      </w:r>
    </w:p>
    <w:p>
      <w:pPr>
        <w:spacing w:after="60"/>
      </w:pPr>
      <w:r>
        <w:rPr>
          <w:rFonts w:ascii="Poppins" w:cs="Poppins" w:eastAsia="Poppins" w:hAnsi="Poppins"/>
          <w:b/>
          <w:bCs/>
          <w:sz w:val="21"/>
          <w:szCs w:val="21"/>
        </w:rPr>
        <w:t xml:space="preserve">Opción D: </w:t>
      </w:r>
      <w:r>
        <w:rPr>
          <w:rFonts w:ascii="Poppins" w:cs="Poppins" w:eastAsia="Poppins" w:hAnsi="Poppins"/>
          <w:sz w:val="21"/>
          <w:szCs w:val="21"/>
        </w:rPr>
        <w:t xml:space="preserve">La guía sí menciona explícitamente la evidencia relacionada con el jugo de arándano (mortiño en Ecuador) y su efecto sobre las IVU sintomáticas.</w:t>
      </w:r>
    </w:p>
    <w:p>
      <w:pPr>
        <w:pBdr>
          <w:bottom w:val="single" w:color="B08D3F" w:sz="6" w:space="4"/>
        </w:pBdr>
        <w:spacing w:after="200" w:before="100"/>
      </w:pPr>
      <w:r>
        <w:rPr>
          <w:rFonts w:ascii="Poppins" w:cs="Poppins" w:eastAsia="Poppins" w:hAnsi="Poppins"/>
          <w:b/>
          <w:bCs/>
          <w:i/>
          <w:iCs/>
          <w:color w:val="B08D3F"/>
          <w:sz w:val="20"/>
          <w:szCs w:val="20"/>
        </w:rPr>
        <w:t xml:space="preserve">Referencia: </w:t>
      </w:r>
      <w:r>
        <w:rPr>
          <w:rFonts w:ascii="Poppins" w:cs="Poppins" w:eastAsia="Poppins" w:hAnsi="Poppins"/>
          <w:i/>
          <w:iCs/>
          <w:color w:val="555555"/>
          <w:sz w:val="20"/>
          <w:szCs w:val="20"/>
        </w:rPr>
        <w:t xml:space="preserve">Prevención de infección de vías urinarias en embarazadas. Página 16.</w:t>
      </w:r>
    </w:p>
    <w:p>
      <w:pPr>
        <w:shd w:fill="001C31" w:val="clear"/>
        <w:spacing w:after="100" w:before="300"/>
      </w:pPr>
      <w:r>
        <w:rPr>
          <w:rFonts w:ascii="Poppins" w:cs="Poppins" w:eastAsia="Poppins" w:hAnsi="Poppins"/>
          <w:b/>
          <w:bCs/>
          <w:color w:val="FFFFFF"/>
          <w:sz w:val="24"/>
          <w:szCs w:val="24"/>
        </w:rPr>
        <w:t xml:space="preserve">PREGUNTA 32</w:t>
      </w:r>
    </w:p>
    <w:p>
      <w:pPr>
        <w:spacing w:after="120"/>
      </w:pPr>
      <w:r>
        <w:rPr>
          <w:rFonts w:ascii="Poppins" w:cs="Poppins" w:eastAsia="Poppins" w:hAnsi="Poppins"/>
          <w:b/>
          <w:bCs/>
          <w:color w:val="001C31"/>
          <w:sz w:val="21"/>
          <w:szCs w:val="21"/>
        </w:rPr>
        <w:t xml:space="preserve">Pregunta: </w:t>
      </w:r>
      <w:r>
        <w:rPr>
          <w:rFonts w:ascii="Poppins" w:cs="Poppins" w:eastAsia="Poppins" w:hAnsi="Poppins"/>
          <w:sz w:val="21"/>
          <w:szCs w:val="21"/>
        </w:rPr>
        <w:t xml:space="preserve">Según la GPC, ¿qué se ha documentado respecto al jugo de arándano y la disminución del número de IVU sintomáticas?</w:t>
      </w:r>
    </w:p>
    <w:p>
      <w:pPr>
        <w:spacing w:after="60"/>
      </w:pPr>
      <w:r>
        <w:rPr>
          <w:rFonts w:ascii="Poppins" w:cs="Poppins" w:eastAsia="Poppins" w:hAnsi="Poppins"/>
          <w:b/>
          <w:bCs/>
          <w:color w:val="B08D3F"/>
          <w:sz w:val="21"/>
          <w:szCs w:val="21"/>
        </w:rPr>
        <w:t xml:space="preserve">A. </w:t>
      </w:r>
      <w:r>
        <w:rPr>
          <w:rFonts w:ascii="Poppins" w:cs="Poppins" w:eastAsia="Poppins" w:hAnsi="Poppins"/>
          <w:b/>
          <w:bCs/>
          <w:color w:val="B08D3F"/>
          <w:sz w:val="21"/>
          <w:szCs w:val="21"/>
        </w:rPr>
        <w:t xml:space="preserve">Hay evidencia de que puede disminuir el número de IVU sintomáticas en un período de 12 meses, sobre todo en IVU recurrentes, aunque aún no está claro ni la dosis ni el método de administración</w:t>
      </w:r>
    </w:p>
    <w:p>
      <w:pPr>
        <w:spacing w:after="60"/>
      </w:pPr>
      <w:r>
        <w:rPr>
          <w:rFonts w:ascii="Poppins" w:cs="Poppins" w:eastAsia="Poppins" w:hAnsi="Poppins"/>
          <w:b/>
          <w:bCs/>
          <w:color w:val="000000"/>
          <w:sz w:val="21"/>
          <w:szCs w:val="21"/>
        </w:rPr>
        <w:t xml:space="preserve">B. </w:t>
      </w:r>
      <w:r>
        <w:rPr>
          <w:rFonts w:ascii="Poppins" w:cs="Poppins" w:eastAsia="Poppins" w:hAnsi="Poppins"/>
          <w:b w:val="false"/>
          <w:bCs w:val="false"/>
          <w:color w:val="000000"/>
          <w:sz w:val="21"/>
          <w:szCs w:val="21"/>
        </w:rPr>
        <w:t xml:space="preserve">No existe ninguna evidencia relacionada con el arándano en la literatura citada por la guía</w:t>
      </w:r>
    </w:p>
    <w:p>
      <w:pPr>
        <w:spacing w:after="60"/>
      </w:pPr>
      <w:r>
        <w:rPr>
          <w:rFonts w:ascii="Poppins" w:cs="Poppins" w:eastAsia="Poppins" w:hAnsi="Poppins"/>
          <w:b/>
          <w:bCs/>
          <w:color w:val="000000"/>
          <w:sz w:val="21"/>
          <w:szCs w:val="21"/>
        </w:rPr>
        <w:t xml:space="preserve">C. </w:t>
      </w:r>
      <w:r>
        <w:rPr>
          <w:rFonts w:ascii="Poppins" w:cs="Poppins" w:eastAsia="Poppins" w:hAnsi="Poppins"/>
          <w:b w:val="false"/>
          <w:bCs w:val="false"/>
          <w:color w:val="000000"/>
          <w:sz w:val="21"/>
          <w:szCs w:val="21"/>
        </w:rPr>
        <w:t xml:space="preserve">Se ha demostrado que aumenta significativamente el riesgo de IVU sintomáticas</w:t>
      </w:r>
    </w:p>
    <w:p>
      <w:pPr>
        <w:spacing w:after="60"/>
      </w:pPr>
      <w:r>
        <w:rPr>
          <w:rFonts w:ascii="Poppins" w:cs="Poppins" w:eastAsia="Poppins" w:hAnsi="Poppins"/>
          <w:b/>
          <w:bCs/>
          <w:color w:val="000000"/>
          <w:sz w:val="21"/>
          <w:szCs w:val="21"/>
        </w:rPr>
        <w:t xml:space="preserve">D. </w:t>
      </w:r>
      <w:r>
        <w:rPr>
          <w:rFonts w:ascii="Poppins" w:cs="Poppins" w:eastAsia="Poppins" w:hAnsi="Poppins"/>
          <w:b w:val="false"/>
          <w:bCs w:val="false"/>
          <w:color w:val="000000"/>
          <w:sz w:val="21"/>
          <w:szCs w:val="21"/>
        </w:rPr>
        <w:t xml:space="preserve">Se ha establecido una dosis y método de administración estandarizados y avalados por la guía</w:t>
      </w:r>
    </w:p>
    <w:p>
      <w:pPr>
        <w:spacing w:after="100" w:before="120"/>
      </w:pPr>
      <w:r>
        <w:rPr>
          <w:rFonts w:ascii="Poppins" w:cs="Poppins" w:eastAsia="Poppins" w:hAnsi="Poppins"/>
          <w:b/>
          <w:bCs/>
          <w:color w:val="001C31"/>
          <w:sz w:val="21"/>
          <w:szCs w:val="21"/>
        </w:rPr>
        <w:t xml:space="preserve">Respuesta correcta: A</w:t>
      </w:r>
    </w:p>
    <w:p>
      <w:pPr>
        <w:spacing w:after="60"/>
      </w:pPr>
      <w:r>
        <w:rPr>
          <w:rFonts w:ascii="Poppins" w:cs="Poppins" w:eastAsia="Poppins" w:hAnsi="Poppins"/>
          <w:b/>
          <w:bCs/>
          <w:color w:val="001C31"/>
          <w:sz w:val="21"/>
          <w:szCs w:val="21"/>
          <w:u w:val="single"/>
        </w:rPr>
        <w:t xml:space="preserve">Justificación de la respuesta correcta</w:t>
      </w:r>
    </w:p>
    <w:p>
      <w:pPr>
        <w:spacing w:after="150"/>
      </w:pPr>
      <w:r>
        <w:rPr>
          <w:rFonts w:ascii="Poppins" w:cs="Poppins" w:eastAsia="Poppins" w:hAnsi="Poppins"/>
          <w:sz w:val="21"/>
          <w:szCs w:val="21"/>
        </w:rPr>
        <w:t xml:space="preserve">La guía indica (E ü) que hay evidencia de que el jugo de arándano (mortiño en Ecuador) puede disminuir el número de IVU sintomáticas en un período de 12 meses, sobre todo en IVU recurrentes; sin embargo, aún no está claro ni la dosis ni el método de administración.</w:t>
      </w:r>
    </w:p>
    <w:p>
      <w:pPr>
        <w:spacing w:after="60"/>
      </w:pPr>
      <w:r>
        <w:rPr>
          <w:rFonts w:ascii="Poppins" w:cs="Poppins" w:eastAsia="Poppins" w:hAnsi="Poppins"/>
          <w:b/>
          <w:bCs/>
          <w:color w:val="001C31"/>
          <w:sz w:val="21"/>
          <w:szCs w:val="21"/>
          <w:u w:val="single"/>
        </w:rPr>
        <w:t xml:space="preserve">Justificación de las opciones incorrectas</w:t>
      </w:r>
    </w:p>
    <w:p>
      <w:pPr>
        <w:spacing w:after="60"/>
      </w:pPr>
      <w:r>
        <w:rPr>
          <w:rFonts w:ascii="Poppins" w:cs="Poppins" w:eastAsia="Poppins" w:hAnsi="Poppins"/>
          <w:b/>
          <w:bCs/>
          <w:sz w:val="21"/>
          <w:szCs w:val="21"/>
        </w:rPr>
        <w:t xml:space="preserve">Opción B: </w:t>
      </w:r>
      <w:r>
        <w:rPr>
          <w:rFonts w:ascii="Poppins" w:cs="Poppins" w:eastAsia="Poppins" w:hAnsi="Poppins"/>
          <w:sz w:val="21"/>
          <w:szCs w:val="21"/>
        </w:rPr>
        <w:t xml:space="preserve">La guía sí cita evidencia específica sobre el arándano, incluyendo referencias bibliográficas relacionadas con su uso en la prevención de IVU.</w:t>
      </w:r>
    </w:p>
    <w:p>
      <w:pPr>
        <w:spacing w:after="60"/>
      </w:pPr>
      <w:r>
        <w:rPr>
          <w:rFonts w:ascii="Poppins" w:cs="Poppins" w:eastAsia="Poppins" w:hAnsi="Poppins"/>
          <w:b/>
          <w:bCs/>
          <w:sz w:val="21"/>
          <w:szCs w:val="21"/>
        </w:rPr>
        <w:t xml:space="preserve">Opción C: </w:t>
      </w:r>
      <w:r>
        <w:rPr>
          <w:rFonts w:ascii="Poppins" w:cs="Poppins" w:eastAsia="Poppins" w:hAnsi="Poppins"/>
          <w:sz w:val="21"/>
          <w:szCs w:val="21"/>
        </w:rPr>
        <w:t xml:space="preserve">La guía no reporta un aumento del riesgo asociado al arándano; describe un posible efecto de disminución de IVU sintomáticas, aunque con limitaciones metodológicas.</w:t>
      </w:r>
    </w:p>
    <w:p>
      <w:pPr>
        <w:spacing w:after="60"/>
      </w:pPr>
      <w:r>
        <w:rPr>
          <w:rFonts w:ascii="Poppins" w:cs="Poppins" w:eastAsia="Poppins" w:hAnsi="Poppins"/>
          <w:b/>
          <w:bCs/>
          <w:sz w:val="21"/>
          <w:szCs w:val="21"/>
        </w:rPr>
        <w:t xml:space="preserve">Opción D: </w:t>
      </w:r>
      <w:r>
        <w:rPr>
          <w:rFonts w:ascii="Poppins" w:cs="Poppins" w:eastAsia="Poppins" w:hAnsi="Poppins"/>
          <w:sz w:val="21"/>
          <w:szCs w:val="21"/>
        </w:rPr>
        <w:t xml:space="preserve">La guía indica explícitamente que la dosis y el método de administración del arándano aún no están claros, por lo que no existe un esquema estandarizado avalado.</w:t>
      </w:r>
    </w:p>
    <w:p>
      <w:pPr>
        <w:pBdr>
          <w:bottom w:val="single" w:color="B08D3F" w:sz="6" w:space="4"/>
        </w:pBdr>
        <w:spacing w:after="200" w:before="100"/>
      </w:pPr>
      <w:r>
        <w:rPr>
          <w:rFonts w:ascii="Poppins" w:cs="Poppins" w:eastAsia="Poppins" w:hAnsi="Poppins"/>
          <w:b/>
          <w:bCs/>
          <w:i/>
          <w:iCs/>
          <w:color w:val="B08D3F"/>
          <w:sz w:val="20"/>
          <w:szCs w:val="20"/>
        </w:rPr>
        <w:t xml:space="preserve">Referencia: </w:t>
      </w:r>
      <w:r>
        <w:rPr>
          <w:rFonts w:ascii="Poppins" w:cs="Poppins" w:eastAsia="Poppins" w:hAnsi="Poppins"/>
          <w:i/>
          <w:iCs/>
          <w:color w:val="555555"/>
          <w:sz w:val="20"/>
          <w:szCs w:val="20"/>
        </w:rPr>
        <w:t xml:space="preserve">Prevención de infección de vías urinarias en embarazadas. Página 16.</w:t>
      </w:r>
    </w:p>
    <w:p>
      <w:pPr>
        <w:shd w:fill="001C31" w:val="clear"/>
        <w:spacing w:after="100" w:before="300"/>
      </w:pPr>
      <w:r>
        <w:rPr>
          <w:rFonts w:ascii="Poppins" w:cs="Poppins" w:eastAsia="Poppins" w:hAnsi="Poppins"/>
          <w:b/>
          <w:bCs/>
          <w:color w:val="FFFFFF"/>
          <w:sz w:val="24"/>
          <w:szCs w:val="24"/>
        </w:rPr>
        <w:t xml:space="preserve">PREGUNTA 33</w:t>
      </w:r>
    </w:p>
    <w:p>
      <w:pPr>
        <w:shd w:fill="F3ECDD" w:val="clear"/>
        <w:spacing w:after="60"/>
      </w:pPr>
      <w:r>
        <w:rPr>
          <w:rFonts w:ascii="Poppins" w:cs="Poppins" w:eastAsia="Poppins" w:hAnsi="Poppins"/>
          <w:b/>
          <w:bCs/>
          <w:i/>
          <w:iCs/>
          <w:color w:val="001C31"/>
          <w:sz w:val="21"/>
          <w:szCs w:val="21"/>
        </w:rPr>
        <w:t xml:space="preserve">Caso clínico: </w:t>
      </w:r>
      <w:r>
        <w:rPr>
          <w:rFonts w:ascii="Poppins" w:cs="Poppins" w:eastAsia="Poppins" w:hAnsi="Poppins"/>
          <w:i/>
          <w:iCs/>
          <w:sz w:val="21"/>
          <w:szCs w:val="21"/>
        </w:rPr>
        <w:t xml:space="preserve">Una paciente embarazada refiere haber tenido infecciones del tracto urinario confirmadas antes del embarazo actual.</w:t>
      </w:r>
    </w:p>
    <w:p>
      <w:pPr>
        <w:spacing w:after="120"/>
      </w:pPr>
      <w:r>
        <w:rPr>
          <w:rFonts w:ascii="Poppins" w:cs="Poppins" w:eastAsia="Poppins" w:hAnsi="Poppins"/>
          <w:b/>
          <w:bCs/>
          <w:color w:val="001C31"/>
          <w:sz w:val="21"/>
          <w:szCs w:val="21"/>
        </w:rPr>
        <w:t xml:space="preserve">Pregunta: </w:t>
      </w:r>
      <w:r>
        <w:rPr>
          <w:rFonts w:ascii="Poppins" w:cs="Poppins" w:eastAsia="Poppins" w:hAnsi="Poppins"/>
          <w:sz w:val="21"/>
          <w:szCs w:val="21"/>
        </w:rPr>
        <w:t xml:space="preserve">Según la GPC, ¿qué relevancia tiene este antecedente en la evaluación prenatal actual?</w:t>
      </w:r>
    </w:p>
    <w:p>
      <w:pPr>
        <w:spacing w:after="60"/>
      </w:pPr>
      <w:r>
        <w:rPr>
          <w:rFonts w:ascii="Poppins" w:cs="Poppins" w:eastAsia="Poppins" w:hAnsi="Poppins"/>
          <w:b/>
          <w:bCs/>
          <w:color w:val="B08D3F"/>
          <w:sz w:val="21"/>
          <w:szCs w:val="21"/>
        </w:rPr>
        <w:t xml:space="preserve">A. </w:t>
      </w:r>
      <w:r>
        <w:rPr>
          <w:rFonts w:ascii="Poppins" w:cs="Poppins" w:eastAsia="Poppins" w:hAnsi="Poppins"/>
          <w:b/>
          <w:bCs/>
          <w:color w:val="B08D3F"/>
          <w:sz w:val="21"/>
          <w:szCs w:val="21"/>
        </w:rPr>
        <w:t xml:space="preserve">El antecedente de IVU confirmadas es un predictor de bacteriuria asintomática durante el embarazo, por lo que se debe investigar dicho antecedente en las embarazadas</w:t>
      </w:r>
    </w:p>
    <w:p>
      <w:pPr>
        <w:spacing w:after="60"/>
      </w:pPr>
      <w:r>
        <w:rPr>
          <w:rFonts w:ascii="Poppins" w:cs="Poppins" w:eastAsia="Poppins" w:hAnsi="Poppins"/>
          <w:b/>
          <w:bCs/>
          <w:color w:val="000000"/>
          <w:sz w:val="21"/>
          <w:szCs w:val="21"/>
        </w:rPr>
        <w:t xml:space="preserve">B. </w:t>
      </w:r>
      <w:r>
        <w:rPr>
          <w:rFonts w:ascii="Poppins" w:cs="Poppins" w:eastAsia="Poppins" w:hAnsi="Poppins"/>
          <w:b w:val="false"/>
          <w:bCs w:val="false"/>
          <w:color w:val="000000"/>
          <w:sz w:val="21"/>
          <w:szCs w:val="21"/>
        </w:rPr>
        <w:t xml:space="preserve">No tiene ninguna relevancia clínica para el embarazo actual</w:t>
      </w:r>
    </w:p>
    <w:p>
      <w:pPr>
        <w:spacing w:after="60"/>
      </w:pPr>
      <w:r>
        <w:rPr>
          <w:rFonts w:ascii="Poppins" w:cs="Poppins" w:eastAsia="Poppins" w:hAnsi="Poppins"/>
          <w:b/>
          <w:bCs/>
          <w:color w:val="000000"/>
          <w:sz w:val="21"/>
          <w:szCs w:val="21"/>
        </w:rPr>
        <w:t xml:space="preserve">C. </w:t>
      </w:r>
      <w:r>
        <w:rPr>
          <w:rFonts w:ascii="Poppins" w:cs="Poppins" w:eastAsia="Poppins" w:hAnsi="Poppins"/>
          <w:b w:val="false"/>
          <w:bCs w:val="false"/>
          <w:color w:val="000000"/>
          <w:sz w:val="21"/>
          <w:szCs w:val="21"/>
        </w:rPr>
        <w:t xml:space="preserve">Solo es relevante si las infecciones previas fueron causadas por Klebsiella</w:t>
      </w:r>
    </w:p>
    <w:p>
      <w:pPr>
        <w:spacing w:after="60"/>
      </w:pPr>
      <w:r>
        <w:rPr>
          <w:rFonts w:ascii="Poppins" w:cs="Poppins" w:eastAsia="Poppins" w:hAnsi="Poppins"/>
          <w:b/>
          <w:bCs/>
          <w:color w:val="000000"/>
          <w:sz w:val="21"/>
          <w:szCs w:val="21"/>
        </w:rPr>
        <w:t xml:space="preserve">D. </w:t>
      </w:r>
      <w:r>
        <w:rPr>
          <w:rFonts w:ascii="Poppins" w:cs="Poppins" w:eastAsia="Poppins" w:hAnsi="Poppins"/>
          <w:b w:val="false"/>
          <w:bCs w:val="false"/>
          <w:color w:val="000000"/>
          <w:sz w:val="21"/>
          <w:szCs w:val="21"/>
        </w:rPr>
        <w:t xml:space="preserve">Solo debe investigarse si la paciente presenta síntomas urinarios activos en el momento de la consulta</w:t>
      </w:r>
    </w:p>
    <w:p>
      <w:pPr>
        <w:spacing w:after="100" w:before="120"/>
      </w:pPr>
      <w:r>
        <w:rPr>
          <w:rFonts w:ascii="Poppins" w:cs="Poppins" w:eastAsia="Poppins" w:hAnsi="Poppins"/>
          <w:b/>
          <w:bCs/>
          <w:color w:val="001C31"/>
          <w:sz w:val="21"/>
          <w:szCs w:val="21"/>
        </w:rPr>
        <w:t xml:space="preserve">Respuesta correcta: A</w:t>
      </w:r>
    </w:p>
    <w:p>
      <w:pPr>
        <w:spacing w:after="60"/>
      </w:pPr>
      <w:r>
        <w:rPr>
          <w:rFonts w:ascii="Poppins" w:cs="Poppins" w:eastAsia="Poppins" w:hAnsi="Poppins"/>
          <w:b/>
          <w:bCs/>
          <w:color w:val="001C31"/>
          <w:sz w:val="21"/>
          <w:szCs w:val="21"/>
          <w:u w:val="single"/>
        </w:rPr>
        <w:t xml:space="preserve">Justificación de la respuesta correcta</w:t>
      </w:r>
    </w:p>
    <w:p>
      <w:pPr>
        <w:spacing w:after="150"/>
      </w:pPr>
      <w:r>
        <w:rPr>
          <w:rFonts w:ascii="Poppins" w:cs="Poppins" w:eastAsia="Poppins" w:hAnsi="Poppins"/>
          <w:sz w:val="21"/>
          <w:szCs w:val="21"/>
        </w:rPr>
        <w:t xml:space="preserve">La guía establece (nivel 3) que el antecedente de infecciones del tracto urinario (IVU) confirmadas es un predictor de BA durante el embarazo, y recomienda (D) investigar el antecedente de IVU previas confirmadas en las embarazadas.</w:t>
      </w:r>
    </w:p>
    <w:p>
      <w:pPr>
        <w:spacing w:after="60"/>
      </w:pPr>
      <w:r>
        <w:rPr>
          <w:rFonts w:ascii="Poppins" w:cs="Poppins" w:eastAsia="Poppins" w:hAnsi="Poppins"/>
          <w:b/>
          <w:bCs/>
          <w:color w:val="001C31"/>
          <w:sz w:val="21"/>
          <w:szCs w:val="21"/>
          <w:u w:val="single"/>
        </w:rPr>
        <w:t xml:space="preserve">Justificación de las opciones incorrectas</w:t>
      </w:r>
    </w:p>
    <w:p>
      <w:pPr>
        <w:spacing w:after="60"/>
      </w:pPr>
      <w:r>
        <w:rPr>
          <w:rFonts w:ascii="Poppins" w:cs="Poppins" w:eastAsia="Poppins" w:hAnsi="Poppins"/>
          <w:b/>
          <w:bCs/>
          <w:sz w:val="21"/>
          <w:szCs w:val="21"/>
        </w:rPr>
        <w:t xml:space="preserve">Opción B: </w:t>
      </w:r>
      <w:r>
        <w:rPr>
          <w:rFonts w:ascii="Poppins" w:cs="Poppins" w:eastAsia="Poppins" w:hAnsi="Poppins"/>
          <w:sz w:val="21"/>
          <w:szCs w:val="21"/>
        </w:rPr>
        <w:t xml:space="preserve">La guía sí le otorga relevancia clínica a este antecedente, identificándolo como predictor de bacteriuria asintomática durante el embarazo actual.</w:t>
      </w:r>
    </w:p>
    <w:p>
      <w:pPr>
        <w:spacing w:after="60"/>
      </w:pPr>
      <w:r>
        <w:rPr>
          <w:rFonts w:ascii="Poppins" w:cs="Poppins" w:eastAsia="Poppins" w:hAnsi="Poppins"/>
          <w:b/>
          <w:bCs/>
          <w:sz w:val="21"/>
          <w:szCs w:val="21"/>
        </w:rPr>
        <w:t xml:space="preserve">Opción C: </w:t>
      </w:r>
      <w:r>
        <w:rPr>
          <w:rFonts w:ascii="Poppins" w:cs="Poppins" w:eastAsia="Poppins" w:hAnsi="Poppins"/>
          <w:sz w:val="21"/>
          <w:szCs w:val="21"/>
        </w:rPr>
        <w:t xml:space="preserve">La guía no restringe la relevancia de este antecedente a un germen específico como Klebsiella; el antecedente de IVU en general es el predictor mencionado.</w:t>
      </w:r>
    </w:p>
    <w:p>
      <w:pPr>
        <w:spacing w:after="60"/>
      </w:pPr>
      <w:r>
        <w:rPr>
          <w:rFonts w:ascii="Poppins" w:cs="Poppins" w:eastAsia="Poppins" w:hAnsi="Poppins"/>
          <w:b/>
          <w:bCs/>
          <w:sz w:val="21"/>
          <w:szCs w:val="21"/>
        </w:rPr>
        <w:t xml:space="preserve">Opción D: </w:t>
      </w:r>
      <w:r>
        <w:rPr>
          <w:rFonts w:ascii="Poppins" w:cs="Poppins" w:eastAsia="Poppins" w:hAnsi="Poppins"/>
          <w:sz w:val="21"/>
          <w:szCs w:val="21"/>
        </w:rPr>
        <w:t xml:space="preserve">La guía recomienda investigar el antecedente de IVU previas confirmadas de forma general en las embarazadas, no solo cuando existen síntomas urinarios activos en el momento de la consulta.</w:t>
      </w:r>
    </w:p>
    <w:p>
      <w:pPr>
        <w:pBdr>
          <w:bottom w:val="single" w:color="B08D3F" w:sz="6" w:space="4"/>
        </w:pBdr>
        <w:spacing w:after="200" w:before="100"/>
      </w:pPr>
      <w:r>
        <w:rPr>
          <w:rFonts w:ascii="Poppins" w:cs="Poppins" w:eastAsia="Poppins" w:hAnsi="Poppins"/>
          <w:b/>
          <w:bCs/>
          <w:i/>
          <w:iCs/>
          <w:color w:val="B08D3F"/>
          <w:sz w:val="20"/>
          <w:szCs w:val="20"/>
        </w:rPr>
        <w:t xml:space="preserve">Referencia: </w:t>
      </w:r>
      <w:r>
        <w:rPr>
          <w:rFonts w:ascii="Poppins" w:cs="Poppins" w:eastAsia="Poppins" w:hAnsi="Poppins"/>
          <w:i/>
          <w:iCs/>
          <w:color w:val="555555"/>
          <w:sz w:val="20"/>
          <w:szCs w:val="20"/>
        </w:rPr>
        <w:t xml:space="preserve">Prevención de infección de vías urinarias en embarazadas. Página 16.</w:t>
      </w:r>
    </w:p>
    <w:p>
      <w:pPr>
        <w:shd w:fill="001C31" w:val="clear"/>
        <w:spacing w:after="100" w:before="300"/>
      </w:pPr>
      <w:r>
        <w:rPr>
          <w:rFonts w:ascii="Poppins" w:cs="Poppins" w:eastAsia="Poppins" w:hAnsi="Poppins"/>
          <w:b/>
          <w:bCs/>
          <w:color w:val="FFFFFF"/>
          <w:sz w:val="24"/>
          <w:szCs w:val="24"/>
        </w:rPr>
        <w:t xml:space="preserve">PREGUNTA 34</w:t>
      </w:r>
    </w:p>
    <w:p>
      <w:pPr>
        <w:spacing w:after="120"/>
      </w:pPr>
      <w:r>
        <w:rPr>
          <w:rFonts w:ascii="Poppins" w:cs="Poppins" w:eastAsia="Poppins" w:hAnsi="Poppins"/>
          <w:b/>
          <w:bCs/>
          <w:color w:val="001C31"/>
          <w:sz w:val="21"/>
          <w:szCs w:val="21"/>
        </w:rPr>
        <w:t xml:space="preserve">Pregunta: </w:t>
      </w:r>
      <w:r>
        <w:rPr>
          <w:rFonts w:ascii="Poppins" w:cs="Poppins" w:eastAsia="Poppins" w:hAnsi="Poppins"/>
          <w:sz w:val="21"/>
          <w:szCs w:val="21"/>
        </w:rPr>
        <w:t xml:space="preserve">Según la GPC, ¿qué grado de evidencia y recomendación respalda la afirmación de que el antecedente de IVU confirmadas es predictor de BA durante el embarazo?</w:t>
      </w:r>
    </w:p>
    <w:p>
      <w:pPr>
        <w:spacing w:after="60"/>
      </w:pPr>
      <w:r>
        <w:rPr>
          <w:rFonts w:ascii="Poppins" w:cs="Poppins" w:eastAsia="Poppins" w:hAnsi="Poppins"/>
          <w:b/>
          <w:bCs/>
          <w:color w:val="B08D3F"/>
          <w:sz w:val="21"/>
          <w:szCs w:val="21"/>
        </w:rPr>
        <w:t xml:space="preserve">A. </w:t>
      </w:r>
      <w:r>
        <w:rPr>
          <w:rFonts w:ascii="Poppins" w:cs="Poppins" w:eastAsia="Poppins" w:hAnsi="Poppins"/>
          <w:b/>
          <w:bCs/>
          <w:color w:val="B08D3F"/>
          <w:sz w:val="21"/>
          <w:szCs w:val="21"/>
        </w:rPr>
        <w:t xml:space="preserve">Nivel de evidencia 3, con grado de recomendación D</w:t>
      </w:r>
    </w:p>
    <w:p>
      <w:pPr>
        <w:spacing w:after="60"/>
      </w:pPr>
      <w:r>
        <w:rPr>
          <w:rFonts w:ascii="Poppins" w:cs="Poppins" w:eastAsia="Poppins" w:hAnsi="Poppins"/>
          <w:b/>
          <w:bCs/>
          <w:color w:val="000000"/>
          <w:sz w:val="21"/>
          <w:szCs w:val="21"/>
        </w:rPr>
        <w:t xml:space="preserve">B. </w:t>
      </w:r>
      <w:r>
        <w:rPr>
          <w:rFonts w:ascii="Poppins" w:cs="Poppins" w:eastAsia="Poppins" w:hAnsi="Poppins"/>
          <w:b w:val="false"/>
          <w:bCs w:val="false"/>
          <w:color w:val="000000"/>
          <w:sz w:val="21"/>
          <w:szCs w:val="21"/>
        </w:rPr>
        <w:t xml:space="preserve">Nivel de evidencia 1++, con grado de recomendación A</w:t>
      </w:r>
    </w:p>
    <w:p>
      <w:pPr>
        <w:spacing w:after="60"/>
      </w:pPr>
      <w:r>
        <w:rPr>
          <w:rFonts w:ascii="Poppins" w:cs="Poppins" w:eastAsia="Poppins" w:hAnsi="Poppins"/>
          <w:b/>
          <w:bCs/>
          <w:color w:val="000000"/>
          <w:sz w:val="21"/>
          <w:szCs w:val="21"/>
        </w:rPr>
        <w:t xml:space="preserve">C. </w:t>
      </w:r>
      <w:r>
        <w:rPr>
          <w:rFonts w:ascii="Poppins" w:cs="Poppins" w:eastAsia="Poppins" w:hAnsi="Poppins"/>
          <w:b w:val="false"/>
          <w:bCs w:val="false"/>
          <w:color w:val="000000"/>
          <w:sz w:val="21"/>
          <w:szCs w:val="21"/>
        </w:rPr>
        <w:t xml:space="preserve">Nivel de evidencia 2++, con grado de recomendación B</w:t>
      </w:r>
    </w:p>
    <w:p>
      <w:pPr>
        <w:spacing w:after="60"/>
      </w:pPr>
      <w:r>
        <w:rPr>
          <w:rFonts w:ascii="Poppins" w:cs="Poppins" w:eastAsia="Poppins" w:hAnsi="Poppins"/>
          <w:b/>
          <w:bCs/>
          <w:color w:val="000000"/>
          <w:sz w:val="21"/>
          <w:szCs w:val="21"/>
        </w:rPr>
        <w:t xml:space="preserve">D. </w:t>
      </w:r>
      <w:r>
        <w:rPr>
          <w:rFonts w:ascii="Poppins" w:cs="Poppins" w:eastAsia="Poppins" w:hAnsi="Poppins"/>
          <w:b w:val="false"/>
          <w:bCs w:val="false"/>
          <w:color w:val="000000"/>
          <w:sz w:val="21"/>
          <w:szCs w:val="21"/>
        </w:rPr>
        <w:t xml:space="preserve">No se asigna ningún grado de evidencia a esta afirmación</w:t>
      </w:r>
    </w:p>
    <w:p>
      <w:pPr>
        <w:spacing w:after="100" w:before="120"/>
      </w:pPr>
      <w:r>
        <w:rPr>
          <w:rFonts w:ascii="Poppins" w:cs="Poppins" w:eastAsia="Poppins" w:hAnsi="Poppins"/>
          <w:b/>
          <w:bCs/>
          <w:color w:val="001C31"/>
          <w:sz w:val="21"/>
          <w:szCs w:val="21"/>
        </w:rPr>
        <w:t xml:space="preserve">Respuesta correcta: A</w:t>
      </w:r>
    </w:p>
    <w:p>
      <w:pPr>
        <w:spacing w:after="60"/>
      </w:pPr>
      <w:r>
        <w:rPr>
          <w:rFonts w:ascii="Poppins" w:cs="Poppins" w:eastAsia="Poppins" w:hAnsi="Poppins"/>
          <w:b/>
          <w:bCs/>
          <w:color w:val="001C31"/>
          <w:sz w:val="21"/>
          <w:szCs w:val="21"/>
          <w:u w:val="single"/>
        </w:rPr>
        <w:t xml:space="preserve">Justificación de la respuesta correcta</w:t>
      </w:r>
    </w:p>
    <w:p>
      <w:pPr>
        <w:spacing w:after="150"/>
      </w:pPr>
      <w:r>
        <w:rPr>
          <w:rFonts w:ascii="Poppins" w:cs="Poppins" w:eastAsia="Poppins" w:hAnsi="Poppins"/>
          <w:sz w:val="21"/>
          <w:szCs w:val="21"/>
        </w:rPr>
        <w:t xml:space="preserve">La guía asigna nivel de evidencia 3 a la afirmación sobre el antecedente de IVU como predictor de BA, y grado de recomendación D a la recomendación de investigar dicho antecedente en las embarazadas.</w:t>
      </w:r>
    </w:p>
    <w:p>
      <w:pPr>
        <w:spacing w:after="60"/>
      </w:pPr>
      <w:r>
        <w:rPr>
          <w:rFonts w:ascii="Poppins" w:cs="Poppins" w:eastAsia="Poppins" w:hAnsi="Poppins"/>
          <w:b/>
          <w:bCs/>
          <w:color w:val="001C31"/>
          <w:sz w:val="21"/>
          <w:szCs w:val="21"/>
          <w:u w:val="single"/>
        </w:rPr>
        <w:t xml:space="preserve">Justificación de las opciones incorrectas</w:t>
      </w:r>
    </w:p>
    <w:p>
      <w:pPr>
        <w:spacing w:after="60"/>
      </w:pPr>
      <w:r>
        <w:rPr>
          <w:rFonts w:ascii="Poppins" w:cs="Poppins" w:eastAsia="Poppins" w:hAnsi="Poppins"/>
          <w:b/>
          <w:bCs/>
          <w:sz w:val="21"/>
          <w:szCs w:val="21"/>
        </w:rPr>
        <w:t xml:space="preserve">Opción B: </w:t>
      </w:r>
      <w:r>
        <w:rPr>
          <w:rFonts w:ascii="Poppins" w:cs="Poppins" w:eastAsia="Poppins" w:hAnsi="Poppins"/>
          <w:sz w:val="21"/>
          <w:szCs w:val="21"/>
        </w:rPr>
        <w:t xml:space="preserve">El nivel 1++ y grado A no corresponden a esta afirmación; esos niveles se reservan para evidencia proveniente de metaanálisis o ensayos clínicos de alta calidad, no para este dato de tipo predictor basado en estudios de menor jerarquía.</w:t>
      </w:r>
    </w:p>
    <w:p>
      <w:pPr>
        <w:spacing w:after="60"/>
      </w:pPr>
      <w:r>
        <w:rPr>
          <w:rFonts w:ascii="Poppins" w:cs="Poppins" w:eastAsia="Poppins" w:hAnsi="Poppins"/>
          <w:b/>
          <w:bCs/>
          <w:sz w:val="21"/>
          <w:szCs w:val="21"/>
        </w:rPr>
        <w:t xml:space="preserve">Opción C: </w:t>
      </w:r>
      <w:r>
        <w:rPr>
          <w:rFonts w:ascii="Poppins" w:cs="Poppins" w:eastAsia="Poppins" w:hAnsi="Poppins"/>
          <w:sz w:val="21"/>
          <w:szCs w:val="21"/>
        </w:rPr>
        <w:t xml:space="preserve">El nivel 2++ y grado B tampoco corresponden a esta afirmación específica según la guía; el nivel asignado es 3, con grado D.</w:t>
      </w:r>
    </w:p>
    <w:p>
      <w:pPr>
        <w:spacing w:after="60"/>
      </w:pPr>
      <w:r>
        <w:rPr>
          <w:rFonts w:ascii="Poppins" w:cs="Poppins" w:eastAsia="Poppins" w:hAnsi="Poppins"/>
          <w:b/>
          <w:bCs/>
          <w:sz w:val="21"/>
          <w:szCs w:val="21"/>
        </w:rPr>
        <w:t xml:space="preserve">Opción D: </w:t>
      </w:r>
      <w:r>
        <w:rPr>
          <w:rFonts w:ascii="Poppins" w:cs="Poppins" w:eastAsia="Poppins" w:hAnsi="Poppins"/>
          <w:sz w:val="21"/>
          <w:szCs w:val="21"/>
        </w:rPr>
        <w:t xml:space="preserve">La guía sí asigna explícitamente un nivel de evidencia (3) y un grado de recomendación (D) a esta afirmación, visibles en el margen derecho del texto.</w:t>
      </w:r>
    </w:p>
    <w:p>
      <w:pPr>
        <w:pBdr>
          <w:bottom w:val="single" w:color="B08D3F" w:sz="6" w:space="4"/>
        </w:pBdr>
        <w:spacing w:after="200" w:before="100"/>
      </w:pPr>
      <w:r>
        <w:rPr>
          <w:rFonts w:ascii="Poppins" w:cs="Poppins" w:eastAsia="Poppins" w:hAnsi="Poppins"/>
          <w:b/>
          <w:bCs/>
          <w:i/>
          <w:iCs/>
          <w:color w:val="B08D3F"/>
          <w:sz w:val="20"/>
          <w:szCs w:val="20"/>
        </w:rPr>
        <w:t xml:space="preserve">Referencia: </w:t>
      </w:r>
      <w:r>
        <w:rPr>
          <w:rFonts w:ascii="Poppins" w:cs="Poppins" w:eastAsia="Poppins" w:hAnsi="Poppins"/>
          <w:i/>
          <w:iCs/>
          <w:color w:val="555555"/>
          <w:sz w:val="20"/>
          <w:szCs w:val="20"/>
        </w:rPr>
        <w:t xml:space="preserve">Prevención de infección de vías urinarias en embarazadas. Página 16.</w:t>
      </w:r>
    </w:p>
    <w:p>
      <w:pPr>
        <w:shd w:fill="001C31" w:val="clear"/>
        <w:spacing w:after="100" w:before="300"/>
      </w:pPr>
      <w:r>
        <w:rPr>
          <w:rFonts w:ascii="Poppins" w:cs="Poppins" w:eastAsia="Poppins" w:hAnsi="Poppins"/>
          <w:b/>
          <w:bCs/>
          <w:color w:val="FFFFFF"/>
          <w:sz w:val="24"/>
          <w:szCs w:val="24"/>
        </w:rPr>
        <w:t xml:space="preserve">PREGUNTA 35</w:t>
      </w:r>
    </w:p>
    <w:p>
      <w:pPr>
        <w:shd w:fill="F3ECDD" w:val="clear"/>
        <w:spacing w:after="60"/>
      </w:pPr>
      <w:r>
        <w:rPr>
          <w:rFonts w:ascii="Poppins" w:cs="Poppins" w:eastAsia="Poppins" w:hAnsi="Poppins"/>
          <w:b/>
          <w:bCs/>
          <w:i/>
          <w:iCs/>
          <w:color w:val="001C31"/>
          <w:sz w:val="21"/>
          <w:szCs w:val="21"/>
        </w:rPr>
        <w:t xml:space="preserve">Caso clínico: </w:t>
      </w:r>
      <w:r>
        <w:rPr>
          <w:rFonts w:ascii="Poppins" w:cs="Poppins" w:eastAsia="Poppins" w:hAnsi="Poppins"/>
          <w:i/>
          <w:iCs/>
          <w:sz w:val="21"/>
          <w:szCs w:val="21"/>
        </w:rPr>
        <w:t xml:space="preserve">Un profesional de salud plantea utilizar la tira reactiva (dipstick) de orina como método de tamizaje para detectar bacteriuria asintomática en todas sus pacientes embarazadas.</w:t>
      </w:r>
    </w:p>
    <w:p>
      <w:pPr>
        <w:spacing w:after="120"/>
      </w:pPr>
      <w:r>
        <w:rPr>
          <w:rFonts w:ascii="Poppins" w:cs="Poppins" w:eastAsia="Poppins" w:hAnsi="Poppins"/>
          <w:b/>
          <w:bCs/>
          <w:color w:val="001C31"/>
          <w:sz w:val="21"/>
          <w:szCs w:val="21"/>
        </w:rPr>
        <w:t xml:space="preserve">Pregunta: </w:t>
      </w:r>
      <w:r>
        <w:rPr>
          <w:rFonts w:ascii="Poppins" w:cs="Poppins" w:eastAsia="Poppins" w:hAnsi="Poppins"/>
          <w:sz w:val="21"/>
          <w:szCs w:val="21"/>
        </w:rPr>
        <w:t xml:space="preserve">Según la GPC, ¿es adecuada esta conducta?</w:t>
      </w:r>
    </w:p>
    <w:p>
      <w:pPr>
        <w:spacing w:after="60"/>
      </w:pPr>
      <w:r>
        <w:rPr>
          <w:rFonts w:ascii="Poppins" w:cs="Poppins" w:eastAsia="Poppins" w:hAnsi="Poppins"/>
          <w:b/>
          <w:bCs/>
          <w:color w:val="B08D3F"/>
          <w:sz w:val="21"/>
          <w:szCs w:val="21"/>
        </w:rPr>
        <w:t xml:space="preserve">A. </w:t>
      </w:r>
      <w:r>
        <w:rPr>
          <w:rFonts w:ascii="Poppins" w:cs="Poppins" w:eastAsia="Poppins" w:hAnsi="Poppins"/>
          <w:b/>
          <w:bCs/>
          <w:color w:val="B08D3F"/>
          <w:sz w:val="21"/>
          <w:szCs w:val="21"/>
        </w:rPr>
        <w:t xml:space="preserve">No, el examen general de orina o la prueba con tira reactiva no deben utilizarse para el tamizaje de BA, ya que tienen sensibilidad baja</w:t>
      </w:r>
    </w:p>
    <w:p>
      <w:pPr>
        <w:spacing w:after="60"/>
      </w:pPr>
      <w:r>
        <w:rPr>
          <w:rFonts w:ascii="Poppins" w:cs="Poppins" w:eastAsia="Poppins" w:hAnsi="Poppins"/>
          <w:b/>
          <w:bCs/>
          <w:color w:val="000000"/>
          <w:sz w:val="21"/>
          <w:szCs w:val="21"/>
        </w:rPr>
        <w:t xml:space="preserve">B. </w:t>
      </w:r>
      <w:r>
        <w:rPr>
          <w:rFonts w:ascii="Poppins" w:cs="Poppins" w:eastAsia="Poppins" w:hAnsi="Poppins"/>
          <w:b w:val="false"/>
          <w:bCs w:val="false"/>
          <w:color w:val="000000"/>
          <w:sz w:val="21"/>
          <w:szCs w:val="21"/>
        </w:rPr>
        <w:t xml:space="preserve">Sí, la tira reactiva es el método de tamizaje recomendado de primera línea para BA</w:t>
      </w:r>
    </w:p>
    <w:p>
      <w:pPr>
        <w:spacing w:after="60"/>
      </w:pPr>
      <w:r>
        <w:rPr>
          <w:rFonts w:ascii="Poppins" w:cs="Poppins" w:eastAsia="Poppins" w:hAnsi="Poppins"/>
          <w:b/>
          <w:bCs/>
          <w:color w:val="000000"/>
          <w:sz w:val="21"/>
          <w:szCs w:val="21"/>
        </w:rPr>
        <w:t xml:space="preserve">C. </w:t>
      </w:r>
      <w:r>
        <w:rPr>
          <w:rFonts w:ascii="Poppins" w:cs="Poppins" w:eastAsia="Poppins" w:hAnsi="Poppins"/>
          <w:b w:val="false"/>
          <w:bCs w:val="false"/>
          <w:color w:val="000000"/>
          <w:sz w:val="21"/>
          <w:szCs w:val="21"/>
        </w:rPr>
        <w:t xml:space="preserve">Sí, siempre que se repita la prueba tres veces consecutivas para mejorar su sensibilidad</w:t>
      </w:r>
    </w:p>
    <w:p>
      <w:pPr>
        <w:spacing w:after="60"/>
      </w:pPr>
      <w:r>
        <w:rPr>
          <w:rFonts w:ascii="Poppins" w:cs="Poppins" w:eastAsia="Poppins" w:hAnsi="Poppins"/>
          <w:b/>
          <w:bCs/>
          <w:color w:val="000000"/>
          <w:sz w:val="21"/>
          <w:szCs w:val="21"/>
        </w:rPr>
        <w:t xml:space="preserve">D. </w:t>
      </w:r>
      <w:r>
        <w:rPr>
          <w:rFonts w:ascii="Poppins" w:cs="Poppins" w:eastAsia="Poppins" w:hAnsi="Poppins"/>
          <w:b w:val="false"/>
          <w:bCs w:val="false"/>
          <w:color w:val="000000"/>
          <w:sz w:val="21"/>
          <w:szCs w:val="21"/>
        </w:rPr>
        <w:t xml:space="preserve">Es indiferente utilizar tira reactiva o urocultivo, ya que tienen sensibilidad equivalente</w:t>
      </w:r>
    </w:p>
    <w:p>
      <w:pPr>
        <w:spacing w:after="100" w:before="120"/>
      </w:pPr>
      <w:r>
        <w:rPr>
          <w:rFonts w:ascii="Poppins" w:cs="Poppins" w:eastAsia="Poppins" w:hAnsi="Poppins"/>
          <w:b/>
          <w:bCs/>
          <w:color w:val="001C31"/>
          <w:sz w:val="21"/>
          <w:szCs w:val="21"/>
        </w:rPr>
        <w:t xml:space="preserve">Respuesta correcta: A</w:t>
      </w:r>
    </w:p>
    <w:p>
      <w:pPr>
        <w:spacing w:after="60"/>
      </w:pPr>
      <w:r>
        <w:rPr>
          <w:rFonts w:ascii="Poppins" w:cs="Poppins" w:eastAsia="Poppins" w:hAnsi="Poppins"/>
          <w:b/>
          <w:bCs/>
          <w:color w:val="001C31"/>
          <w:sz w:val="21"/>
          <w:szCs w:val="21"/>
          <w:u w:val="single"/>
        </w:rPr>
        <w:t xml:space="preserve">Justificación de la respuesta correcta</w:t>
      </w:r>
    </w:p>
    <w:p>
      <w:pPr>
        <w:spacing w:after="150"/>
      </w:pPr>
      <w:r>
        <w:rPr>
          <w:rFonts w:ascii="Poppins" w:cs="Poppins" w:eastAsia="Poppins" w:hAnsi="Poppins"/>
          <w:sz w:val="21"/>
          <w:szCs w:val="21"/>
        </w:rPr>
        <w:t xml:space="preserve">La guía establece (A 1+) que el examen general de orina o la prueba con tira reactiva no deben utilizarse para el tamizaje de BA, señalando que la detección de BA a través del EMO o tirillas reactivas (Dipsticks) que detectan leucocituria, nitritos y bacterias tiene una sensibilidad baja, la cual disminuye ante la presencia de leucorrea.</w:t>
      </w:r>
    </w:p>
    <w:p>
      <w:pPr>
        <w:spacing w:after="60"/>
      </w:pPr>
      <w:r>
        <w:rPr>
          <w:rFonts w:ascii="Poppins" w:cs="Poppins" w:eastAsia="Poppins" w:hAnsi="Poppins"/>
          <w:b/>
          <w:bCs/>
          <w:color w:val="001C31"/>
          <w:sz w:val="21"/>
          <w:szCs w:val="21"/>
          <w:u w:val="single"/>
        </w:rPr>
        <w:t xml:space="preserve">Justificación de las opciones incorrectas</w:t>
      </w:r>
    </w:p>
    <w:p>
      <w:pPr>
        <w:spacing w:after="60"/>
      </w:pPr>
      <w:r>
        <w:rPr>
          <w:rFonts w:ascii="Poppins" w:cs="Poppins" w:eastAsia="Poppins" w:hAnsi="Poppins"/>
          <w:b/>
          <w:bCs/>
          <w:sz w:val="21"/>
          <w:szCs w:val="21"/>
        </w:rPr>
        <w:t xml:space="preserve">Opción B: </w:t>
      </w:r>
      <w:r>
        <w:rPr>
          <w:rFonts w:ascii="Poppins" w:cs="Poppins" w:eastAsia="Poppins" w:hAnsi="Poppins"/>
          <w:sz w:val="21"/>
          <w:szCs w:val="21"/>
        </w:rPr>
        <w:t xml:space="preserve">La guía indica explícitamente lo contrario: este método NO debe utilizarse para el tamizaje de BA debido a su baja sensibilidad.</w:t>
      </w:r>
    </w:p>
    <w:p>
      <w:pPr>
        <w:spacing w:after="60"/>
      </w:pPr>
      <w:r>
        <w:rPr>
          <w:rFonts w:ascii="Poppins" w:cs="Poppins" w:eastAsia="Poppins" w:hAnsi="Poppins"/>
          <w:b/>
          <w:bCs/>
          <w:sz w:val="21"/>
          <w:szCs w:val="21"/>
        </w:rPr>
        <w:t xml:space="preserve">Opción C: </w:t>
      </w:r>
      <w:r>
        <w:rPr>
          <w:rFonts w:ascii="Poppins" w:cs="Poppins" w:eastAsia="Poppins" w:hAnsi="Poppins"/>
          <w:sz w:val="21"/>
          <w:szCs w:val="21"/>
        </w:rPr>
        <w:t xml:space="preserve">La guía no plantea que repetir la tira reactiva mejore su sensibilidad hasta hacerla adecuada para el tamizaje de BA; el urocultivo sigue siendo la prueba de elección.</w:t>
      </w:r>
    </w:p>
    <w:p>
      <w:pPr>
        <w:spacing w:after="60"/>
      </w:pPr>
      <w:r>
        <w:rPr>
          <w:rFonts w:ascii="Poppins" w:cs="Poppins" w:eastAsia="Poppins" w:hAnsi="Poppins"/>
          <w:b/>
          <w:bCs/>
          <w:sz w:val="21"/>
          <w:szCs w:val="21"/>
        </w:rPr>
        <w:t xml:space="preserve">Opción D: </w:t>
      </w:r>
      <w:r>
        <w:rPr>
          <w:rFonts w:ascii="Poppins" w:cs="Poppins" w:eastAsia="Poppins" w:hAnsi="Poppins"/>
          <w:sz w:val="21"/>
          <w:szCs w:val="21"/>
        </w:rPr>
        <w:t xml:space="preserve">La guía no establece equivalencia entre ambos métodos; el urocultivo es la prueba de elección para el diagnóstico de BA, mientras que la tira reactiva tiene sensibilidad baja para este propósito.</w:t>
      </w:r>
    </w:p>
    <w:p>
      <w:pPr>
        <w:pBdr>
          <w:bottom w:val="single" w:color="B08D3F" w:sz="6" w:space="4"/>
        </w:pBdr>
        <w:spacing w:after="200" w:before="100"/>
      </w:pPr>
      <w:r>
        <w:rPr>
          <w:rFonts w:ascii="Poppins" w:cs="Poppins" w:eastAsia="Poppins" w:hAnsi="Poppins"/>
          <w:b/>
          <w:bCs/>
          <w:i/>
          <w:iCs/>
          <w:color w:val="B08D3F"/>
          <w:sz w:val="20"/>
          <w:szCs w:val="20"/>
        </w:rPr>
        <w:t xml:space="preserve">Referencia: </w:t>
      </w:r>
      <w:r>
        <w:rPr>
          <w:rFonts w:ascii="Poppins" w:cs="Poppins" w:eastAsia="Poppins" w:hAnsi="Poppins"/>
          <w:i/>
          <w:iCs/>
          <w:color w:val="555555"/>
          <w:sz w:val="20"/>
          <w:szCs w:val="20"/>
        </w:rPr>
        <w:t xml:space="preserve">Diagnóstico de IVU en el embarazo. Bacteriuria Asintomática (BA). Página 16.</w:t>
      </w:r>
    </w:p>
    <w:p>
      <w:pPr>
        <w:shd w:fill="001C31" w:val="clear"/>
        <w:spacing w:after="100" w:before="300"/>
      </w:pPr>
      <w:r>
        <w:rPr>
          <w:rFonts w:ascii="Poppins" w:cs="Poppins" w:eastAsia="Poppins" w:hAnsi="Poppins"/>
          <w:b/>
          <w:bCs/>
          <w:color w:val="FFFFFF"/>
          <w:sz w:val="24"/>
          <w:szCs w:val="24"/>
        </w:rPr>
        <w:t xml:space="preserve">PREGUNTA 36</w:t>
      </w:r>
    </w:p>
    <w:p>
      <w:pPr>
        <w:spacing w:after="120"/>
      </w:pPr>
      <w:r>
        <w:rPr>
          <w:rFonts w:ascii="Poppins" w:cs="Poppins" w:eastAsia="Poppins" w:hAnsi="Poppins"/>
          <w:b/>
          <w:bCs/>
          <w:color w:val="001C31"/>
          <w:sz w:val="21"/>
          <w:szCs w:val="21"/>
        </w:rPr>
        <w:t xml:space="preserve">Pregunta: </w:t>
      </w:r>
      <w:r>
        <w:rPr>
          <w:rFonts w:ascii="Poppins" w:cs="Poppins" w:eastAsia="Poppins" w:hAnsi="Poppins"/>
          <w:sz w:val="21"/>
          <w:szCs w:val="21"/>
        </w:rPr>
        <w:t xml:space="preserve">Según la GPC, ¿cuál es la sensibilidad y el valor predictivo negativo de la detección de bacteriuria asintomática a través del examen elemental y microscópico de orina (EMO)?</w:t>
      </w:r>
    </w:p>
    <w:p>
      <w:pPr>
        <w:spacing w:after="60"/>
      </w:pPr>
      <w:r>
        <w:rPr>
          <w:rFonts w:ascii="Poppins" w:cs="Poppins" w:eastAsia="Poppins" w:hAnsi="Poppins"/>
          <w:b/>
          <w:bCs/>
          <w:color w:val="B08D3F"/>
          <w:sz w:val="21"/>
          <w:szCs w:val="21"/>
        </w:rPr>
        <w:t xml:space="preserve">A. </w:t>
      </w:r>
      <w:r>
        <w:rPr>
          <w:rFonts w:ascii="Poppins" w:cs="Poppins" w:eastAsia="Poppins" w:hAnsi="Poppins"/>
          <w:b/>
          <w:bCs/>
          <w:color w:val="B08D3F"/>
          <w:sz w:val="21"/>
          <w:szCs w:val="21"/>
        </w:rPr>
        <w:t xml:space="preserve">Sensibilidad de 50% a 92% y valor predictivo negativo de 92%</w:t>
      </w:r>
    </w:p>
    <w:p>
      <w:pPr>
        <w:spacing w:after="60"/>
      </w:pPr>
      <w:r>
        <w:rPr>
          <w:rFonts w:ascii="Poppins" w:cs="Poppins" w:eastAsia="Poppins" w:hAnsi="Poppins"/>
          <w:b/>
          <w:bCs/>
          <w:color w:val="000000"/>
          <w:sz w:val="21"/>
          <w:szCs w:val="21"/>
        </w:rPr>
        <w:t xml:space="preserve">B. </w:t>
      </w:r>
      <w:r>
        <w:rPr>
          <w:rFonts w:ascii="Poppins" w:cs="Poppins" w:eastAsia="Poppins" w:hAnsi="Poppins"/>
          <w:b w:val="false"/>
          <w:bCs w:val="false"/>
          <w:color w:val="000000"/>
          <w:sz w:val="21"/>
          <w:szCs w:val="21"/>
        </w:rPr>
        <w:t xml:space="preserve">Sensibilidad de 99% y valor predictivo negativo de 100%</w:t>
      </w:r>
    </w:p>
    <w:p>
      <w:pPr>
        <w:spacing w:after="60"/>
      </w:pPr>
      <w:r>
        <w:rPr>
          <w:rFonts w:ascii="Poppins" w:cs="Poppins" w:eastAsia="Poppins" w:hAnsi="Poppins"/>
          <w:b/>
          <w:bCs/>
          <w:color w:val="000000"/>
          <w:sz w:val="21"/>
          <w:szCs w:val="21"/>
        </w:rPr>
        <w:t xml:space="preserve">C. </w:t>
      </w:r>
      <w:r>
        <w:rPr>
          <w:rFonts w:ascii="Poppins" w:cs="Poppins" w:eastAsia="Poppins" w:hAnsi="Poppins"/>
          <w:b w:val="false"/>
          <w:bCs w:val="false"/>
          <w:color w:val="000000"/>
          <w:sz w:val="21"/>
          <w:szCs w:val="21"/>
        </w:rPr>
        <w:t xml:space="preserve">Sensibilidad de 10% y valor predictivo negativo de 20%</w:t>
      </w:r>
    </w:p>
    <w:p>
      <w:pPr>
        <w:spacing w:after="60"/>
      </w:pPr>
      <w:r>
        <w:rPr>
          <w:rFonts w:ascii="Poppins" w:cs="Poppins" w:eastAsia="Poppins" w:hAnsi="Poppins"/>
          <w:b/>
          <w:bCs/>
          <w:color w:val="000000"/>
          <w:sz w:val="21"/>
          <w:szCs w:val="21"/>
        </w:rPr>
        <w:t xml:space="preserve">D. </w:t>
      </w:r>
      <w:r>
        <w:rPr>
          <w:rFonts w:ascii="Poppins" w:cs="Poppins" w:eastAsia="Poppins" w:hAnsi="Poppins"/>
          <w:b w:val="false"/>
          <w:bCs w:val="false"/>
          <w:color w:val="000000"/>
          <w:sz w:val="21"/>
          <w:szCs w:val="21"/>
        </w:rPr>
        <w:t xml:space="preserve">No se reporta ningún dato de sensibilidad para el EMO en esta guía</w:t>
      </w:r>
    </w:p>
    <w:p>
      <w:pPr>
        <w:spacing w:after="100" w:before="120"/>
      </w:pPr>
      <w:r>
        <w:rPr>
          <w:rFonts w:ascii="Poppins" w:cs="Poppins" w:eastAsia="Poppins" w:hAnsi="Poppins"/>
          <w:b/>
          <w:bCs/>
          <w:color w:val="001C31"/>
          <w:sz w:val="21"/>
          <w:szCs w:val="21"/>
        </w:rPr>
        <w:t xml:space="preserve">Respuesta correcta: A</w:t>
      </w:r>
    </w:p>
    <w:p>
      <w:pPr>
        <w:spacing w:after="60"/>
      </w:pPr>
      <w:r>
        <w:rPr>
          <w:rFonts w:ascii="Poppins" w:cs="Poppins" w:eastAsia="Poppins" w:hAnsi="Poppins"/>
          <w:b/>
          <w:bCs/>
          <w:color w:val="001C31"/>
          <w:sz w:val="21"/>
          <w:szCs w:val="21"/>
          <w:u w:val="single"/>
        </w:rPr>
        <w:t xml:space="preserve">Justificación de la respuesta correcta</w:t>
      </w:r>
    </w:p>
    <w:p>
      <w:pPr>
        <w:spacing w:after="150"/>
      </w:pPr>
      <w:r>
        <w:rPr>
          <w:rFonts w:ascii="Poppins" w:cs="Poppins" w:eastAsia="Poppins" w:hAnsi="Poppins"/>
          <w:sz w:val="21"/>
          <w:szCs w:val="21"/>
        </w:rPr>
        <w:t xml:space="preserve">La guía establece que la detección de bacteriuria asintomática a través del EMO (leucocituria, nitritos y bacterias) tiene una sensibilidad de 50% a 92% y un valor predictivo negativo de 92%, señalando que la sensibilidad disminuye ante la presencia de leucorrea.</w:t>
      </w:r>
    </w:p>
    <w:p>
      <w:pPr>
        <w:spacing w:after="60"/>
      </w:pPr>
      <w:r>
        <w:rPr>
          <w:rFonts w:ascii="Poppins" w:cs="Poppins" w:eastAsia="Poppins" w:hAnsi="Poppins"/>
          <w:b/>
          <w:bCs/>
          <w:color w:val="001C31"/>
          <w:sz w:val="21"/>
          <w:szCs w:val="21"/>
          <w:u w:val="single"/>
        </w:rPr>
        <w:t xml:space="preserve">Justificación de las opciones incorrectas</w:t>
      </w:r>
    </w:p>
    <w:p>
      <w:pPr>
        <w:spacing w:after="60"/>
      </w:pPr>
      <w:r>
        <w:rPr>
          <w:rFonts w:ascii="Poppins" w:cs="Poppins" w:eastAsia="Poppins" w:hAnsi="Poppins"/>
          <w:b/>
          <w:bCs/>
          <w:sz w:val="21"/>
          <w:szCs w:val="21"/>
        </w:rPr>
        <w:t xml:space="preserve">Opción B: </w:t>
      </w:r>
      <w:r>
        <w:rPr>
          <w:rFonts w:ascii="Poppins" w:cs="Poppins" w:eastAsia="Poppins" w:hAnsi="Poppins"/>
          <w:sz w:val="21"/>
          <w:szCs w:val="21"/>
        </w:rPr>
        <w:t xml:space="preserve">Los valores de 99% y 100% sobreestiman considerablemente los datos citados por la guía sobre la sensibilidad del EMO para BA.</w:t>
      </w:r>
    </w:p>
    <w:p>
      <w:pPr>
        <w:spacing w:after="60"/>
      </w:pPr>
      <w:r>
        <w:rPr>
          <w:rFonts w:ascii="Poppins" w:cs="Poppins" w:eastAsia="Poppins" w:hAnsi="Poppins"/>
          <w:b/>
          <w:bCs/>
          <w:sz w:val="21"/>
          <w:szCs w:val="21"/>
        </w:rPr>
        <w:t xml:space="preserve">Opción C: </w:t>
      </w:r>
      <w:r>
        <w:rPr>
          <w:rFonts w:ascii="Poppins" w:cs="Poppins" w:eastAsia="Poppins" w:hAnsi="Poppins"/>
          <w:sz w:val="21"/>
          <w:szCs w:val="21"/>
        </w:rPr>
        <w:t xml:space="preserve">Los valores de 10% y 20% subestiman considerablemente los datos citados por la guía.</w:t>
      </w:r>
    </w:p>
    <w:p>
      <w:pPr>
        <w:spacing w:after="60"/>
      </w:pPr>
      <w:r>
        <w:rPr>
          <w:rFonts w:ascii="Poppins" w:cs="Poppins" w:eastAsia="Poppins" w:hAnsi="Poppins"/>
          <w:b/>
          <w:bCs/>
          <w:sz w:val="21"/>
          <w:szCs w:val="21"/>
        </w:rPr>
        <w:t xml:space="preserve">Opción D: </w:t>
      </w:r>
      <w:r>
        <w:rPr>
          <w:rFonts w:ascii="Poppins" w:cs="Poppins" w:eastAsia="Poppins" w:hAnsi="Poppins"/>
          <w:sz w:val="21"/>
          <w:szCs w:val="21"/>
        </w:rPr>
        <w:t xml:space="preserve">La guía sí reporta datos específicos de sensibilidad y valor predictivo negativo para el EMO en el contexto del tamizaje de BA.</w:t>
      </w:r>
    </w:p>
    <w:p>
      <w:pPr>
        <w:pBdr>
          <w:bottom w:val="single" w:color="B08D3F" w:sz="6" w:space="4"/>
        </w:pBdr>
        <w:spacing w:after="200" w:before="100"/>
      </w:pPr>
      <w:r>
        <w:rPr>
          <w:rFonts w:ascii="Poppins" w:cs="Poppins" w:eastAsia="Poppins" w:hAnsi="Poppins"/>
          <w:b/>
          <w:bCs/>
          <w:i/>
          <w:iCs/>
          <w:color w:val="B08D3F"/>
          <w:sz w:val="20"/>
          <w:szCs w:val="20"/>
        </w:rPr>
        <w:t xml:space="preserve">Referencia: </w:t>
      </w:r>
      <w:r>
        <w:rPr>
          <w:rFonts w:ascii="Poppins" w:cs="Poppins" w:eastAsia="Poppins" w:hAnsi="Poppins"/>
          <w:i/>
          <w:iCs/>
          <w:color w:val="555555"/>
          <w:sz w:val="20"/>
          <w:szCs w:val="20"/>
        </w:rPr>
        <w:t xml:space="preserve">Diagnóstico de IVU en el embarazo. Bacteriuria Asintomática (BA). Página 16.</w:t>
      </w:r>
    </w:p>
    <w:p>
      <w:pPr>
        <w:shd w:fill="001C31" w:val="clear"/>
        <w:spacing w:after="100" w:before="300"/>
      </w:pPr>
      <w:r>
        <w:rPr>
          <w:rFonts w:ascii="Poppins" w:cs="Poppins" w:eastAsia="Poppins" w:hAnsi="Poppins"/>
          <w:b/>
          <w:bCs/>
          <w:color w:val="FFFFFF"/>
          <w:sz w:val="24"/>
          <w:szCs w:val="24"/>
        </w:rPr>
        <w:t xml:space="preserve">PREGUNTA 37</w:t>
      </w:r>
    </w:p>
    <w:p>
      <w:pPr>
        <w:spacing w:after="120"/>
      </w:pPr>
      <w:r>
        <w:rPr>
          <w:rFonts w:ascii="Poppins" w:cs="Poppins" w:eastAsia="Poppins" w:hAnsi="Poppins"/>
          <w:b/>
          <w:bCs/>
          <w:color w:val="001C31"/>
          <w:sz w:val="21"/>
          <w:szCs w:val="21"/>
        </w:rPr>
        <w:t xml:space="preserve">Pregunta: </w:t>
      </w:r>
      <w:r>
        <w:rPr>
          <w:rFonts w:ascii="Poppins" w:cs="Poppins" w:eastAsia="Poppins" w:hAnsi="Poppins"/>
          <w:sz w:val="21"/>
          <w:szCs w:val="21"/>
        </w:rPr>
        <w:t xml:space="preserve">Según la GPC, ¿cuál es la prueba de elección adecuada y más práctica para el diagnóstico de BA?</w:t>
      </w:r>
    </w:p>
    <w:p>
      <w:pPr>
        <w:spacing w:after="60"/>
      </w:pPr>
      <w:r>
        <w:rPr>
          <w:rFonts w:ascii="Poppins" w:cs="Poppins" w:eastAsia="Poppins" w:hAnsi="Poppins"/>
          <w:b/>
          <w:bCs/>
          <w:color w:val="B08D3F"/>
          <w:sz w:val="21"/>
          <w:szCs w:val="21"/>
        </w:rPr>
        <w:t xml:space="preserve">A. </w:t>
      </w:r>
      <w:r>
        <w:rPr>
          <w:rFonts w:ascii="Poppins" w:cs="Poppins" w:eastAsia="Poppins" w:hAnsi="Poppins"/>
          <w:b/>
          <w:bCs/>
          <w:color w:val="B08D3F"/>
          <w:sz w:val="21"/>
          <w:szCs w:val="21"/>
        </w:rPr>
        <w:t xml:space="preserve">El urocultivo, que se establece con el aislamiento de más de 100.000 unidades formadoras de colonias/mL de un solo germen</w:t>
      </w:r>
    </w:p>
    <w:p>
      <w:pPr>
        <w:spacing w:after="60"/>
      </w:pPr>
      <w:r>
        <w:rPr>
          <w:rFonts w:ascii="Poppins" w:cs="Poppins" w:eastAsia="Poppins" w:hAnsi="Poppins"/>
          <w:b/>
          <w:bCs/>
          <w:color w:val="000000"/>
          <w:sz w:val="21"/>
          <w:szCs w:val="21"/>
        </w:rPr>
        <w:t xml:space="preserve">B. </w:t>
      </w:r>
      <w:r>
        <w:rPr>
          <w:rFonts w:ascii="Poppins" w:cs="Poppins" w:eastAsia="Poppins" w:hAnsi="Poppins"/>
          <w:b w:val="false"/>
          <w:bCs w:val="false"/>
          <w:color w:val="000000"/>
          <w:sz w:val="21"/>
          <w:szCs w:val="21"/>
        </w:rPr>
        <w:t xml:space="preserve">La tira reactiva de orina</w:t>
      </w:r>
    </w:p>
    <w:p>
      <w:pPr>
        <w:spacing w:after="60"/>
      </w:pPr>
      <w:r>
        <w:rPr>
          <w:rFonts w:ascii="Poppins" w:cs="Poppins" w:eastAsia="Poppins" w:hAnsi="Poppins"/>
          <w:b/>
          <w:bCs/>
          <w:color w:val="000000"/>
          <w:sz w:val="21"/>
          <w:szCs w:val="21"/>
        </w:rPr>
        <w:t xml:space="preserve">C. </w:t>
      </w:r>
      <w:r>
        <w:rPr>
          <w:rFonts w:ascii="Poppins" w:cs="Poppins" w:eastAsia="Poppins" w:hAnsi="Poppins"/>
          <w:b w:val="false"/>
          <w:bCs w:val="false"/>
          <w:color w:val="000000"/>
          <w:sz w:val="21"/>
          <w:szCs w:val="21"/>
        </w:rPr>
        <w:t xml:space="preserve">La ecografía renal y de vías urinarias</w:t>
      </w:r>
    </w:p>
    <w:p>
      <w:pPr>
        <w:spacing w:after="60"/>
      </w:pPr>
      <w:r>
        <w:rPr>
          <w:rFonts w:ascii="Poppins" w:cs="Poppins" w:eastAsia="Poppins" w:hAnsi="Poppins"/>
          <w:b/>
          <w:bCs/>
          <w:color w:val="000000"/>
          <w:sz w:val="21"/>
          <w:szCs w:val="21"/>
        </w:rPr>
        <w:t xml:space="preserve">D. </w:t>
      </w:r>
      <w:r>
        <w:rPr>
          <w:rFonts w:ascii="Poppins" w:cs="Poppins" w:eastAsia="Poppins" w:hAnsi="Poppins"/>
          <w:b w:val="false"/>
          <w:bCs w:val="false"/>
          <w:color w:val="000000"/>
          <w:sz w:val="21"/>
          <w:szCs w:val="21"/>
        </w:rPr>
        <w:t xml:space="preserve">El examen general de orina exclusivamente</w:t>
      </w:r>
    </w:p>
    <w:p>
      <w:pPr>
        <w:spacing w:after="100" w:before="120"/>
      </w:pPr>
      <w:r>
        <w:rPr>
          <w:rFonts w:ascii="Poppins" w:cs="Poppins" w:eastAsia="Poppins" w:hAnsi="Poppins"/>
          <w:b/>
          <w:bCs/>
          <w:color w:val="001C31"/>
          <w:sz w:val="21"/>
          <w:szCs w:val="21"/>
        </w:rPr>
        <w:t xml:space="preserve">Respuesta correcta: A</w:t>
      </w:r>
    </w:p>
    <w:p>
      <w:pPr>
        <w:spacing w:after="60"/>
      </w:pPr>
      <w:r>
        <w:rPr>
          <w:rFonts w:ascii="Poppins" w:cs="Poppins" w:eastAsia="Poppins" w:hAnsi="Poppins"/>
          <w:b/>
          <w:bCs/>
          <w:color w:val="001C31"/>
          <w:sz w:val="21"/>
          <w:szCs w:val="21"/>
          <w:u w:val="single"/>
        </w:rPr>
        <w:t xml:space="preserve">Justificación de la respuesta correcta</w:t>
      </w:r>
    </w:p>
    <w:p>
      <w:pPr>
        <w:spacing w:after="150"/>
      </w:pPr>
      <w:r>
        <w:rPr>
          <w:rFonts w:ascii="Poppins" w:cs="Poppins" w:eastAsia="Poppins" w:hAnsi="Poppins"/>
          <w:sz w:val="21"/>
          <w:szCs w:val="21"/>
        </w:rPr>
        <w:t xml:space="preserve">La guía establece (A) que el urocultivo es la prueba de elección adecuada y más práctica para el diagnóstico de BA, el cual se establece con el aislamiento de más de 100.000 unidades formadoras de colonias/mL de un solo germen, aceptándose la detección en una sola muestra obtenida del chorro medio de orina.</w:t>
      </w:r>
    </w:p>
    <w:p>
      <w:pPr>
        <w:spacing w:after="60"/>
      </w:pPr>
      <w:r>
        <w:rPr>
          <w:rFonts w:ascii="Poppins" w:cs="Poppins" w:eastAsia="Poppins" w:hAnsi="Poppins"/>
          <w:b/>
          <w:bCs/>
          <w:color w:val="001C31"/>
          <w:sz w:val="21"/>
          <w:szCs w:val="21"/>
          <w:u w:val="single"/>
        </w:rPr>
        <w:t xml:space="preserve">Justificación de las opciones incorrectas</w:t>
      </w:r>
    </w:p>
    <w:p>
      <w:pPr>
        <w:spacing w:after="60"/>
      </w:pPr>
      <w:r>
        <w:rPr>
          <w:rFonts w:ascii="Poppins" w:cs="Poppins" w:eastAsia="Poppins" w:hAnsi="Poppins"/>
          <w:b/>
          <w:bCs/>
          <w:sz w:val="21"/>
          <w:szCs w:val="21"/>
        </w:rPr>
        <w:t xml:space="preserve">Opción B: </w:t>
      </w:r>
      <w:r>
        <w:rPr>
          <w:rFonts w:ascii="Poppins" w:cs="Poppins" w:eastAsia="Poppins" w:hAnsi="Poppins"/>
          <w:sz w:val="21"/>
          <w:szCs w:val="21"/>
        </w:rPr>
        <w:t xml:space="preserve">La tira reactiva no es la prueba de elección para el diagnóstico de BA según la guía; de hecho, se desaconseja su uso para tamizaje por su baja sensibilidad.</w:t>
      </w:r>
    </w:p>
    <w:p>
      <w:pPr>
        <w:spacing w:after="60"/>
      </w:pPr>
      <w:r>
        <w:rPr>
          <w:rFonts w:ascii="Poppins" w:cs="Poppins" w:eastAsia="Poppins" w:hAnsi="Poppins"/>
          <w:b/>
          <w:bCs/>
          <w:sz w:val="21"/>
          <w:szCs w:val="21"/>
        </w:rPr>
        <w:t xml:space="preserve">Opción C: </w:t>
      </w:r>
      <w:r>
        <w:rPr>
          <w:rFonts w:ascii="Poppins" w:cs="Poppins" w:eastAsia="Poppins" w:hAnsi="Poppins"/>
          <w:sz w:val="21"/>
          <w:szCs w:val="21"/>
        </w:rPr>
        <w:t xml:space="preserve">La ecografía renal y de vías urinarias no se menciona en la guía como prueba de elección para el diagnóstico de BA.</w:t>
      </w:r>
    </w:p>
    <w:p>
      <w:pPr>
        <w:spacing w:after="60"/>
      </w:pPr>
      <w:r>
        <w:rPr>
          <w:rFonts w:ascii="Poppins" w:cs="Poppins" w:eastAsia="Poppins" w:hAnsi="Poppins"/>
          <w:b/>
          <w:bCs/>
          <w:sz w:val="21"/>
          <w:szCs w:val="21"/>
        </w:rPr>
        <w:t xml:space="preserve">Opción D: </w:t>
      </w:r>
      <w:r>
        <w:rPr>
          <w:rFonts w:ascii="Poppins" w:cs="Poppins" w:eastAsia="Poppins" w:hAnsi="Poppins"/>
          <w:sz w:val="21"/>
          <w:szCs w:val="21"/>
        </w:rPr>
        <w:t xml:space="preserve">El examen general de orina, al igual que la tira reactiva, no debe utilizarse para el tamizaje de BA según la guía, debido a su baja sensibilidad.</w:t>
      </w:r>
    </w:p>
    <w:p>
      <w:pPr>
        <w:pBdr>
          <w:bottom w:val="single" w:color="B08D3F" w:sz="6" w:space="4"/>
        </w:pBdr>
        <w:spacing w:after="200" w:before="100"/>
      </w:pPr>
      <w:r>
        <w:rPr>
          <w:rFonts w:ascii="Poppins" w:cs="Poppins" w:eastAsia="Poppins" w:hAnsi="Poppins"/>
          <w:b/>
          <w:bCs/>
          <w:i/>
          <w:iCs/>
          <w:color w:val="B08D3F"/>
          <w:sz w:val="20"/>
          <w:szCs w:val="20"/>
        </w:rPr>
        <w:t xml:space="preserve">Referencia: </w:t>
      </w:r>
      <w:r>
        <w:rPr>
          <w:rFonts w:ascii="Poppins" w:cs="Poppins" w:eastAsia="Poppins" w:hAnsi="Poppins"/>
          <w:i/>
          <w:iCs/>
          <w:color w:val="555555"/>
          <w:sz w:val="20"/>
          <w:szCs w:val="20"/>
        </w:rPr>
        <w:t xml:space="preserve">Diagnóstico de IVU en el embarazo. Bacteriuria Asintomática (BA). Página 17.</w:t>
      </w:r>
    </w:p>
    <w:p>
      <w:pPr>
        <w:shd w:fill="001C31" w:val="clear"/>
        <w:spacing w:after="100" w:before="300"/>
      </w:pPr>
      <w:r>
        <w:rPr>
          <w:rFonts w:ascii="Poppins" w:cs="Poppins" w:eastAsia="Poppins" w:hAnsi="Poppins"/>
          <w:b/>
          <w:bCs/>
          <w:color w:val="FFFFFF"/>
          <w:sz w:val="24"/>
          <w:szCs w:val="24"/>
        </w:rPr>
        <w:t xml:space="preserve">PREGUNTA 38</w:t>
      </w:r>
    </w:p>
    <w:p>
      <w:pPr>
        <w:spacing w:after="120"/>
      </w:pPr>
      <w:r>
        <w:rPr>
          <w:rFonts w:ascii="Poppins" w:cs="Poppins" w:eastAsia="Poppins" w:hAnsi="Poppins"/>
          <w:b/>
          <w:bCs/>
          <w:color w:val="001C31"/>
          <w:sz w:val="21"/>
          <w:szCs w:val="21"/>
        </w:rPr>
        <w:t xml:space="preserve">Pregunta: </w:t>
      </w:r>
      <w:r>
        <w:rPr>
          <w:rFonts w:ascii="Poppins" w:cs="Poppins" w:eastAsia="Poppins" w:hAnsi="Poppins"/>
          <w:sz w:val="21"/>
          <w:szCs w:val="21"/>
        </w:rPr>
        <w:t xml:space="preserve">Según la GPC, ¿cuántas muestras de orina se requieren para establecer el diagnóstico de BA mediante urocultivo?</w:t>
      </w:r>
    </w:p>
    <w:p>
      <w:pPr>
        <w:spacing w:after="60"/>
      </w:pPr>
      <w:r>
        <w:rPr>
          <w:rFonts w:ascii="Poppins" w:cs="Poppins" w:eastAsia="Poppins" w:hAnsi="Poppins"/>
          <w:b/>
          <w:bCs/>
          <w:color w:val="B08D3F"/>
          <w:sz w:val="21"/>
          <w:szCs w:val="21"/>
        </w:rPr>
        <w:t xml:space="preserve">A. </w:t>
      </w:r>
      <w:r>
        <w:rPr>
          <w:rFonts w:ascii="Poppins" w:cs="Poppins" w:eastAsia="Poppins" w:hAnsi="Poppins"/>
          <w:b/>
          <w:bCs/>
          <w:color w:val="B08D3F"/>
          <w:sz w:val="21"/>
          <w:szCs w:val="21"/>
        </w:rPr>
        <w:t xml:space="preserve">Se acepta la detección en una sola muestra obtenida del chorro medio de orina</w:t>
      </w:r>
    </w:p>
    <w:p>
      <w:pPr>
        <w:spacing w:after="60"/>
      </w:pPr>
      <w:r>
        <w:rPr>
          <w:rFonts w:ascii="Poppins" w:cs="Poppins" w:eastAsia="Poppins" w:hAnsi="Poppins"/>
          <w:b/>
          <w:bCs/>
          <w:color w:val="000000"/>
          <w:sz w:val="21"/>
          <w:szCs w:val="21"/>
        </w:rPr>
        <w:t xml:space="preserve">B. </w:t>
      </w:r>
      <w:r>
        <w:rPr>
          <w:rFonts w:ascii="Poppins" w:cs="Poppins" w:eastAsia="Poppins" w:hAnsi="Poppins"/>
          <w:b w:val="false"/>
          <w:bCs w:val="false"/>
          <w:color w:val="000000"/>
          <w:sz w:val="21"/>
          <w:szCs w:val="21"/>
        </w:rPr>
        <w:t xml:space="preserve">Se requieren obligatoriamente tres muestras consecutivas en días distintos</w:t>
      </w:r>
    </w:p>
    <w:p>
      <w:pPr>
        <w:spacing w:after="60"/>
      </w:pPr>
      <w:r>
        <w:rPr>
          <w:rFonts w:ascii="Poppins" w:cs="Poppins" w:eastAsia="Poppins" w:hAnsi="Poppins"/>
          <w:b/>
          <w:bCs/>
          <w:color w:val="000000"/>
          <w:sz w:val="21"/>
          <w:szCs w:val="21"/>
        </w:rPr>
        <w:t xml:space="preserve">C. </w:t>
      </w:r>
      <w:r>
        <w:rPr>
          <w:rFonts w:ascii="Poppins" w:cs="Poppins" w:eastAsia="Poppins" w:hAnsi="Poppins"/>
          <w:b w:val="false"/>
          <w:bCs w:val="false"/>
          <w:color w:val="000000"/>
          <w:sz w:val="21"/>
          <w:szCs w:val="21"/>
        </w:rPr>
        <w:t xml:space="preserve">Se requieren dos muestras tomadas con 24 horas de diferencia como mínimo</w:t>
      </w:r>
    </w:p>
    <w:p>
      <w:pPr>
        <w:spacing w:after="60"/>
      </w:pPr>
      <w:r>
        <w:rPr>
          <w:rFonts w:ascii="Poppins" w:cs="Poppins" w:eastAsia="Poppins" w:hAnsi="Poppins"/>
          <w:b/>
          <w:bCs/>
          <w:color w:val="000000"/>
          <w:sz w:val="21"/>
          <w:szCs w:val="21"/>
        </w:rPr>
        <w:t xml:space="preserve">D. </w:t>
      </w:r>
      <w:r>
        <w:rPr>
          <w:rFonts w:ascii="Poppins" w:cs="Poppins" w:eastAsia="Poppins" w:hAnsi="Poppins"/>
          <w:b w:val="false"/>
          <w:bCs w:val="false"/>
          <w:color w:val="000000"/>
          <w:sz w:val="21"/>
          <w:szCs w:val="21"/>
        </w:rPr>
        <w:t xml:space="preserve">Se requiere una muestra obtenida exclusivamente por sondaje vesical en todos los casos</w:t>
      </w:r>
    </w:p>
    <w:p>
      <w:pPr>
        <w:spacing w:after="100" w:before="120"/>
      </w:pPr>
      <w:r>
        <w:rPr>
          <w:rFonts w:ascii="Poppins" w:cs="Poppins" w:eastAsia="Poppins" w:hAnsi="Poppins"/>
          <w:b/>
          <w:bCs/>
          <w:color w:val="001C31"/>
          <w:sz w:val="21"/>
          <w:szCs w:val="21"/>
        </w:rPr>
        <w:t xml:space="preserve">Respuesta correcta: A</w:t>
      </w:r>
    </w:p>
    <w:p>
      <w:pPr>
        <w:spacing w:after="60"/>
      </w:pPr>
      <w:r>
        <w:rPr>
          <w:rFonts w:ascii="Poppins" w:cs="Poppins" w:eastAsia="Poppins" w:hAnsi="Poppins"/>
          <w:b/>
          <w:bCs/>
          <w:color w:val="001C31"/>
          <w:sz w:val="21"/>
          <w:szCs w:val="21"/>
          <w:u w:val="single"/>
        </w:rPr>
        <w:t xml:space="preserve">Justificación de la respuesta correcta</w:t>
      </w:r>
    </w:p>
    <w:p>
      <w:pPr>
        <w:spacing w:after="150"/>
      </w:pPr>
      <w:r>
        <w:rPr>
          <w:rFonts w:ascii="Poppins" w:cs="Poppins" w:eastAsia="Poppins" w:hAnsi="Poppins"/>
          <w:sz w:val="21"/>
          <w:szCs w:val="21"/>
        </w:rPr>
        <w:t xml:space="preserve">La guía establece explícitamente que se acepta la detección en una sola muestra obtenida del chorro medio de orina para el diagnóstico de BA, a diferencia de otros protocolos internacionales que exigen dos muestras.</w:t>
      </w:r>
    </w:p>
    <w:p>
      <w:pPr>
        <w:spacing w:after="60"/>
      </w:pPr>
      <w:r>
        <w:rPr>
          <w:rFonts w:ascii="Poppins" w:cs="Poppins" w:eastAsia="Poppins" w:hAnsi="Poppins"/>
          <w:b/>
          <w:bCs/>
          <w:color w:val="001C31"/>
          <w:sz w:val="21"/>
          <w:szCs w:val="21"/>
          <w:u w:val="single"/>
        </w:rPr>
        <w:t xml:space="preserve">Justificación de las opciones incorrectas</w:t>
      </w:r>
    </w:p>
    <w:p>
      <w:pPr>
        <w:spacing w:after="60"/>
      </w:pPr>
      <w:r>
        <w:rPr>
          <w:rFonts w:ascii="Poppins" w:cs="Poppins" w:eastAsia="Poppins" w:hAnsi="Poppins"/>
          <w:b/>
          <w:bCs/>
          <w:sz w:val="21"/>
          <w:szCs w:val="21"/>
        </w:rPr>
        <w:t xml:space="preserve">Opción B: </w:t>
      </w:r>
      <w:r>
        <w:rPr>
          <w:rFonts w:ascii="Poppins" w:cs="Poppins" w:eastAsia="Poppins" w:hAnsi="Poppins"/>
          <w:sz w:val="21"/>
          <w:szCs w:val="21"/>
        </w:rPr>
        <w:t xml:space="preserve">La guía no exige tres muestras consecutivas en días distintos; acepta una sola muestra de chorro medio para el diagnóstico.</w:t>
      </w:r>
    </w:p>
    <w:p>
      <w:pPr>
        <w:spacing w:after="60"/>
      </w:pPr>
      <w:r>
        <w:rPr>
          <w:rFonts w:ascii="Poppins" w:cs="Poppins" w:eastAsia="Poppins" w:hAnsi="Poppins"/>
          <w:b/>
          <w:bCs/>
          <w:sz w:val="21"/>
          <w:szCs w:val="21"/>
        </w:rPr>
        <w:t xml:space="preserve">Opción C: </w:t>
      </w:r>
      <w:r>
        <w:rPr>
          <w:rFonts w:ascii="Poppins" w:cs="Poppins" w:eastAsia="Poppins" w:hAnsi="Poppins"/>
          <w:sz w:val="21"/>
          <w:szCs w:val="21"/>
        </w:rPr>
        <w:t xml:space="preserve">La guía no requiere dos muestras con 24 horas de diferencia; acepta el diagnóstico con una sola muestra.</w:t>
      </w:r>
    </w:p>
    <w:p>
      <w:pPr>
        <w:spacing w:after="60"/>
      </w:pPr>
      <w:r>
        <w:rPr>
          <w:rFonts w:ascii="Poppins" w:cs="Poppins" w:eastAsia="Poppins" w:hAnsi="Poppins"/>
          <w:b/>
          <w:bCs/>
          <w:sz w:val="21"/>
          <w:szCs w:val="21"/>
        </w:rPr>
        <w:t xml:space="preserve">Opción D: </w:t>
      </w:r>
      <w:r>
        <w:rPr>
          <w:rFonts w:ascii="Poppins" w:cs="Poppins" w:eastAsia="Poppins" w:hAnsi="Poppins"/>
          <w:sz w:val="21"/>
          <w:szCs w:val="21"/>
        </w:rPr>
        <w:t xml:space="preserve">La guía no exige la toma de la muestra por sondaje vesical; especifica que se acepta la muestra obtenida del chorro medio de orina.</w:t>
      </w:r>
    </w:p>
    <w:p>
      <w:pPr>
        <w:pBdr>
          <w:bottom w:val="single" w:color="B08D3F" w:sz="6" w:space="4"/>
        </w:pBdr>
        <w:spacing w:after="200" w:before="100"/>
      </w:pPr>
      <w:r>
        <w:rPr>
          <w:rFonts w:ascii="Poppins" w:cs="Poppins" w:eastAsia="Poppins" w:hAnsi="Poppins"/>
          <w:b/>
          <w:bCs/>
          <w:i/>
          <w:iCs/>
          <w:color w:val="B08D3F"/>
          <w:sz w:val="20"/>
          <w:szCs w:val="20"/>
        </w:rPr>
        <w:t xml:space="preserve">Referencia: </w:t>
      </w:r>
      <w:r>
        <w:rPr>
          <w:rFonts w:ascii="Poppins" w:cs="Poppins" w:eastAsia="Poppins" w:hAnsi="Poppins"/>
          <w:i/>
          <w:iCs/>
          <w:color w:val="555555"/>
          <w:sz w:val="20"/>
          <w:szCs w:val="20"/>
        </w:rPr>
        <w:t xml:space="preserve">Diagnóstico de IVU en el embarazo. Bacteriuria Asintomática (BA). Página 17.</w:t>
      </w:r>
    </w:p>
    <w:p>
      <w:pPr>
        <w:shd w:fill="001C31" w:val="clear"/>
        <w:spacing w:after="100" w:before="300"/>
      </w:pPr>
      <w:r>
        <w:rPr>
          <w:rFonts w:ascii="Poppins" w:cs="Poppins" w:eastAsia="Poppins" w:hAnsi="Poppins"/>
          <w:b/>
          <w:bCs/>
          <w:color w:val="FFFFFF"/>
          <w:sz w:val="24"/>
          <w:szCs w:val="24"/>
        </w:rPr>
        <w:t xml:space="preserve">PREGUNTA 39</w:t>
      </w:r>
    </w:p>
    <w:p>
      <w:pPr>
        <w:shd w:fill="F3ECDD" w:val="clear"/>
        <w:spacing w:after="60"/>
      </w:pPr>
      <w:r>
        <w:rPr>
          <w:rFonts w:ascii="Poppins" w:cs="Poppins" w:eastAsia="Poppins" w:hAnsi="Poppins"/>
          <w:b/>
          <w:bCs/>
          <w:i/>
          <w:iCs/>
          <w:color w:val="001C31"/>
          <w:sz w:val="21"/>
          <w:szCs w:val="21"/>
        </w:rPr>
        <w:t xml:space="preserve">Caso clínico: </w:t>
      </w:r>
      <w:r>
        <w:rPr>
          <w:rFonts w:ascii="Poppins" w:cs="Poppins" w:eastAsia="Poppins" w:hAnsi="Poppins"/>
          <w:i/>
          <w:iCs/>
          <w:sz w:val="21"/>
          <w:szCs w:val="21"/>
        </w:rPr>
        <w:t xml:space="preserve">Una paciente embarazada con BA no recibió tratamiento antibiótico oportuno.</w:t>
      </w:r>
    </w:p>
    <w:p>
      <w:pPr>
        <w:spacing w:after="120"/>
      </w:pPr>
      <w:r>
        <w:rPr>
          <w:rFonts w:ascii="Poppins" w:cs="Poppins" w:eastAsia="Poppins" w:hAnsi="Poppins"/>
          <w:b/>
          <w:bCs/>
          <w:color w:val="001C31"/>
          <w:sz w:val="21"/>
          <w:szCs w:val="21"/>
        </w:rPr>
        <w:t xml:space="preserve">Pregunta: </w:t>
      </w:r>
      <w:r>
        <w:rPr>
          <w:rFonts w:ascii="Poppins" w:cs="Poppins" w:eastAsia="Poppins" w:hAnsi="Poppins"/>
          <w:sz w:val="21"/>
          <w:szCs w:val="21"/>
        </w:rPr>
        <w:t xml:space="preserve">Según la GPC, ¿en qué porcentaje de los casos progresa la BA no tratada a pielonefritis?</w:t>
      </w:r>
    </w:p>
    <w:p>
      <w:pPr>
        <w:spacing w:after="60"/>
      </w:pPr>
      <w:r>
        <w:rPr>
          <w:rFonts w:ascii="Poppins" w:cs="Poppins" w:eastAsia="Poppins" w:hAnsi="Poppins"/>
          <w:b/>
          <w:bCs/>
          <w:color w:val="B08D3F"/>
          <w:sz w:val="21"/>
          <w:szCs w:val="21"/>
        </w:rPr>
        <w:t xml:space="preserve">A. </w:t>
      </w:r>
      <w:r>
        <w:rPr>
          <w:rFonts w:ascii="Poppins" w:cs="Poppins" w:eastAsia="Poppins" w:hAnsi="Poppins"/>
          <w:b/>
          <w:bCs/>
          <w:color w:val="B08D3F"/>
          <w:sz w:val="21"/>
          <w:szCs w:val="21"/>
        </w:rPr>
        <w:t xml:space="preserve">20% a 40% de los casos</w:t>
      </w:r>
    </w:p>
    <w:p>
      <w:pPr>
        <w:spacing w:after="60"/>
      </w:pPr>
      <w:r>
        <w:rPr>
          <w:rFonts w:ascii="Poppins" w:cs="Poppins" w:eastAsia="Poppins" w:hAnsi="Poppins"/>
          <w:b/>
          <w:bCs/>
          <w:color w:val="000000"/>
          <w:sz w:val="21"/>
          <w:szCs w:val="21"/>
        </w:rPr>
        <w:t xml:space="preserve">B. </w:t>
      </w:r>
      <w:r>
        <w:rPr>
          <w:rFonts w:ascii="Poppins" w:cs="Poppins" w:eastAsia="Poppins" w:hAnsi="Poppins"/>
          <w:b w:val="false"/>
          <w:bCs w:val="false"/>
          <w:color w:val="000000"/>
          <w:sz w:val="21"/>
          <w:szCs w:val="21"/>
        </w:rPr>
        <w:t xml:space="preserve">1% a 2% de los casos</w:t>
      </w:r>
    </w:p>
    <w:p>
      <w:pPr>
        <w:spacing w:after="60"/>
      </w:pPr>
      <w:r>
        <w:rPr>
          <w:rFonts w:ascii="Poppins" w:cs="Poppins" w:eastAsia="Poppins" w:hAnsi="Poppins"/>
          <w:b/>
          <w:bCs/>
          <w:color w:val="000000"/>
          <w:sz w:val="21"/>
          <w:szCs w:val="21"/>
        </w:rPr>
        <w:t xml:space="preserve">C. </w:t>
      </w:r>
      <w:r>
        <w:rPr>
          <w:rFonts w:ascii="Poppins" w:cs="Poppins" w:eastAsia="Poppins" w:hAnsi="Poppins"/>
          <w:b w:val="false"/>
          <w:bCs w:val="false"/>
          <w:color w:val="000000"/>
          <w:sz w:val="21"/>
          <w:szCs w:val="21"/>
        </w:rPr>
        <w:t xml:space="preserve">60% a 80% de los casos</w:t>
      </w:r>
    </w:p>
    <w:p>
      <w:pPr>
        <w:spacing w:after="60"/>
      </w:pPr>
      <w:r>
        <w:rPr>
          <w:rFonts w:ascii="Poppins" w:cs="Poppins" w:eastAsia="Poppins" w:hAnsi="Poppins"/>
          <w:b/>
          <w:bCs/>
          <w:color w:val="000000"/>
          <w:sz w:val="21"/>
          <w:szCs w:val="21"/>
        </w:rPr>
        <w:t xml:space="preserve">D. </w:t>
      </w:r>
      <w:r>
        <w:rPr>
          <w:rFonts w:ascii="Poppins" w:cs="Poppins" w:eastAsia="Poppins" w:hAnsi="Poppins"/>
          <w:b w:val="false"/>
          <w:bCs w:val="false"/>
          <w:color w:val="000000"/>
          <w:sz w:val="21"/>
          <w:szCs w:val="21"/>
        </w:rPr>
        <w:t xml:space="preserve">90% a 100% de los casos</w:t>
      </w:r>
    </w:p>
    <w:p>
      <w:pPr>
        <w:spacing w:after="100" w:before="120"/>
      </w:pPr>
      <w:r>
        <w:rPr>
          <w:rFonts w:ascii="Poppins" w:cs="Poppins" w:eastAsia="Poppins" w:hAnsi="Poppins"/>
          <w:b/>
          <w:bCs/>
          <w:color w:val="001C31"/>
          <w:sz w:val="21"/>
          <w:szCs w:val="21"/>
        </w:rPr>
        <w:t xml:space="preserve">Respuesta correcta: A</w:t>
      </w:r>
    </w:p>
    <w:p>
      <w:pPr>
        <w:spacing w:after="60"/>
      </w:pPr>
      <w:r>
        <w:rPr>
          <w:rFonts w:ascii="Poppins" w:cs="Poppins" w:eastAsia="Poppins" w:hAnsi="Poppins"/>
          <w:b/>
          <w:bCs/>
          <w:color w:val="001C31"/>
          <w:sz w:val="21"/>
          <w:szCs w:val="21"/>
          <w:u w:val="single"/>
        </w:rPr>
        <w:t xml:space="preserve">Justificación de la respuesta correcta</w:t>
      </w:r>
    </w:p>
    <w:p>
      <w:pPr>
        <w:spacing w:after="150"/>
      </w:pPr>
      <w:r>
        <w:rPr>
          <w:rFonts w:ascii="Poppins" w:cs="Poppins" w:eastAsia="Poppins" w:hAnsi="Poppins"/>
          <w:sz w:val="21"/>
          <w:szCs w:val="21"/>
        </w:rPr>
        <w:t xml:space="preserve">La guía establece (A 1++/2+) que la BA sin tratamiento progresa a pielonefritis en 20% a 40% de los casos, y que además se asocia con ruptura prematura de membranas, parto pretérmino y productos con bajo peso al nacer.</w:t>
      </w:r>
    </w:p>
    <w:p>
      <w:pPr>
        <w:spacing w:after="60"/>
      </w:pPr>
      <w:r>
        <w:rPr>
          <w:rFonts w:ascii="Poppins" w:cs="Poppins" w:eastAsia="Poppins" w:hAnsi="Poppins"/>
          <w:b/>
          <w:bCs/>
          <w:color w:val="001C31"/>
          <w:sz w:val="21"/>
          <w:szCs w:val="21"/>
          <w:u w:val="single"/>
        </w:rPr>
        <w:t xml:space="preserve">Justificación de las opciones incorrectas</w:t>
      </w:r>
    </w:p>
    <w:p>
      <w:pPr>
        <w:spacing w:after="60"/>
      </w:pPr>
      <w:r>
        <w:rPr>
          <w:rFonts w:ascii="Poppins" w:cs="Poppins" w:eastAsia="Poppins" w:hAnsi="Poppins"/>
          <w:b/>
          <w:bCs/>
          <w:sz w:val="21"/>
          <w:szCs w:val="21"/>
        </w:rPr>
        <w:t xml:space="preserve">Opción B: </w:t>
      </w:r>
      <w:r>
        <w:rPr>
          <w:rFonts w:ascii="Poppins" w:cs="Poppins" w:eastAsia="Poppins" w:hAnsi="Poppins"/>
          <w:sz w:val="21"/>
          <w:szCs w:val="21"/>
        </w:rPr>
        <w:t xml:space="preserve">El rango de 1% a 2% corresponde, en la guía, al porcentaje de mujeres con urocultivo de tamizaje negativo en el primer trimestre que desarrollarán pielonefritis, no a la progresión de la BA no tratada.</w:t>
      </w:r>
    </w:p>
    <w:p>
      <w:pPr>
        <w:spacing w:after="60"/>
      </w:pPr>
      <w:r>
        <w:rPr>
          <w:rFonts w:ascii="Poppins" w:cs="Poppins" w:eastAsia="Poppins" w:hAnsi="Poppins"/>
          <w:b/>
          <w:bCs/>
          <w:sz w:val="21"/>
          <w:szCs w:val="21"/>
        </w:rPr>
        <w:t xml:space="preserve">Opción C: </w:t>
      </w:r>
      <w:r>
        <w:rPr>
          <w:rFonts w:ascii="Poppins" w:cs="Poppins" w:eastAsia="Poppins" w:hAnsi="Poppins"/>
          <w:sz w:val="21"/>
          <w:szCs w:val="21"/>
        </w:rPr>
        <w:t xml:space="preserve">El rango de 60% a 80% sobreestima el dato reportado por la guía sobre la progresión de la BA no tratada a pielonefritis.</w:t>
      </w:r>
    </w:p>
    <w:p>
      <w:pPr>
        <w:spacing w:after="60"/>
      </w:pPr>
      <w:r>
        <w:rPr>
          <w:rFonts w:ascii="Poppins" w:cs="Poppins" w:eastAsia="Poppins" w:hAnsi="Poppins"/>
          <w:b/>
          <w:bCs/>
          <w:sz w:val="21"/>
          <w:szCs w:val="21"/>
        </w:rPr>
        <w:t xml:space="preserve">Opción D: </w:t>
      </w:r>
      <w:r>
        <w:rPr>
          <w:rFonts w:ascii="Poppins" w:cs="Poppins" w:eastAsia="Poppins" w:hAnsi="Poppins"/>
          <w:sz w:val="21"/>
          <w:szCs w:val="21"/>
        </w:rPr>
        <w:t xml:space="preserve">El rango de 90% a 100% sobreestima considerablemente el dato citado por la guía; la progresión reportada es de 20% a 40% de los casos.</w:t>
      </w:r>
    </w:p>
    <w:p>
      <w:pPr>
        <w:pBdr>
          <w:bottom w:val="single" w:color="B08D3F" w:sz="6" w:space="4"/>
        </w:pBdr>
        <w:spacing w:after="200" w:before="100"/>
      </w:pPr>
      <w:r>
        <w:rPr>
          <w:rFonts w:ascii="Poppins" w:cs="Poppins" w:eastAsia="Poppins" w:hAnsi="Poppins"/>
          <w:b/>
          <w:bCs/>
          <w:i/>
          <w:iCs/>
          <w:color w:val="B08D3F"/>
          <w:sz w:val="20"/>
          <w:szCs w:val="20"/>
        </w:rPr>
        <w:t xml:space="preserve">Referencia: </w:t>
      </w:r>
      <w:r>
        <w:rPr>
          <w:rFonts w:ascii="Poppins" w:cs="Poppins" w:eastAsia="Poppins" w:hAnsi="Poppins"/>
          <w:i/>
          <w:iCs/>
          <w:color w:val="555555"/>
          <w:sz w:val="20"/>
          <w:szCs w:val="20"/>
        </w:rPr>
        <w:t xml:space="preserve">Diagnóstico de IVU en el embarazo. Bacteriuria Asintomática (BA). Página 17.</w:t>
      </w:r>
    </w:p>
    <w:p>
      <w:pPr>
        <w:shd w:fill="001C31" w:val="clear"/>
        <w:spacing w:after="100" w:before="300"/>
      </w:pPr>
      <w:r>
        <w:rPr>
          <w:rFonts w:ascii="Poppins" w:cs="Poppins" w:eastAsia="Poppins" w:hAnsi="Poppins"/>
          <w:b/>
          <w:bCs/>
          <w:color w:val="FFFFFF"/>
          <w:sz w:val="24"/>
          <w:szCs w:val="24"/>
        </w:rPr>
        <w:t xml:space="preserve">PREGUNTA 40</w:t>
      </w:r>
    </w:p>
    <w:p>
      <w:pPr>
        <w:spacing w:after="120"/>
      </w:pPr>
      <w:r>
        <w:rPr>
          <w:rFonts w:ascii="Poppins" w:cs="Poppins" w:eastAsia="Poppins" w:hAnsi="Poppins"/>
          <w:b/>
          <w:bCs/>
          <w:color w:val="001C31"/>
          <w:sz w:val="21"/>
          <w:szCs w:val="21"/>
        </w:rPr>
        <w:t xml:space="preserve">Pregunta: </w:t>
      </w:r>
      <w:r>
        <w:rPr>
          <w:rFonts w:ascii="Poppins" w:cs="Poppins" w:eastAsia="Poppins" w:hAnsi="Poppins"/>
          <w:sz w:val="21"/>
          <w:szCs w:val="21"/>
        </w:rPr>
        <w:t xml:space="preserve">Según la GPC, ¿en qué semanas de gestación se recomienda solicitar el urocultivo para el tamizaje de BA?</w:t>
      </w:r>
    </w:p>
    <w:p>
      <w:pPr>
        <w:spacing w:after="60"/>
      </w:pPr>
      <w:r>
        <w:rPr>
          <w:rFonts w:ascii="Poppins" w:cs="Poppins" w:eastAsia="Poppins" w:hAnsi="Poppins"/>
          <w:b/>
          <w:bCs/>
          <w:color w:val="B08D3F"/>
          <w:sz w:val="21"/>
          <w:szCs w:val="21"/>
        </w:rPr>
        <w:t xml:space="preserve">A. </w:t>
      </w:r>
      <w:r>
        <w:rPr>
          <w:rFonts w:ascii="Poppins" w:cs="Poppins" w:eastAsia="Poppins" w:hAnsi="Poppins"/>
          <w:b/>
          <w:bCs/>
          <w:color w:val="B08D3F"/>
          <w:sz w:val="21"/>
          <w:szCs w:val="21"/>
        </w:rPr>
        <w:t xml:space="preserve">En la semana 12-16 de embarazo, según el U.S. Preventive Task Force, o en la primera consulta prenatal, según el ACOG</w:t>
      </w:r>
    </w:p>
    <w:p>
      <w:pPr>
        <w:spacing w:after="60"/>
      </w:pPr>
      <w:r>
        <w:rPr>
          <w:rFonts w:ascii="Poppins" w:cs="Poppins" w:eastAsia="Poppins" w:hAnsi="Poppins"/>
          <w:b/>
          <w:bCs/>
          <w:color w:val="000000"/>
          <w:sz w:val="21"/>
          <w:szCs w:val="21"/>
        </w:rPr>
        <w:t xml:space="preserve">B. </w:t>
      </w:r>
      <w:r>
        <w:rPr>
          <w:rFonts w:ascii="Poppins" w:cs="Poppins" w:eastAsia="Poppins" w:hAnsi="Poppins"/>
          <w:b w:val="false"/>
          <w:bCs w:val="false"/>
          <w:color w:val="000000"/>
          <w:sz w:val="21"/>
          <w:szCs w:val="21"/>
        </w:rPr>
        <w:t xml:space="preserve">Únicamente en la semana 30 a 34 de gestación</w:t>
      </w:r>
    </w:p>
    <w:p>
      <w:pPr>
        <w:spacing w:after="60"/>
      </w:pPr>
      <w:r>
        <w:rPr>
          <w:rFonts w:ascii="Poppins" w:cs="Poppins" w:eastAsia="Poppins" w:hAnsi="Poppins"/>
          <w:b/>
          <w:bCs/>
          <w:color w:val="000000"/>
          <w:sz w:val="21"/>
          <w:szCs w:val="21"/>
        </w:rPr>
        <w:t xml:space="preserve">C. </w:t>
      </w:r>
      <w:r>
        <w:rPr>
          <w:rFonts w:ascii="Poppins" w:cs="Poppins" w:eastAsia="Poppins" w:hAnsi="Poppins"/>
          <w:b w:val="false"/>
          <w:bCs w:val="false"/>
          <w:color w:val="000000"/>
          <w:sz w:val="21"/>
          <w:szCs w:val="21"/>
        </w:rPr>
        <w:t xml:space="preserve">Exclusivamente en el momento del parto</w:t>
      </w:r>
    </w:p>
    <w:p>
      <w:pPr>
        <w:spacing w:after="60"/>
      </w:pPr>
      <w:r>
        <w:rPr>
          <w:rFonts w:ascii="Poppins" w:cs="Poppins" w:eastAsia="Poppins" w:hAnsi="Poppins"/>
          <w:b/>
          <w:bCs/>
          <w:color w:val="000000"/>
          <w:sz w:val="21"/>
          <w:szCs w:val="21"/>
        </w:rPr>
        <w:t xml:space="preserve">D. </w:t>
      </w:r>
      <w:r>
        <w:rPr>
          <w:rFonts w:ascii="Poppins" w:cs="Poppins" w:eastAsia="Poppins" w:hAnsi="Poppins"/>
          <w:b w:val="false"/>
          <w:bCs w:val="false"/>
          <w:color w:val="000000"/>
          <w:sz w:val="21"/>
          <w:szCs w:val="21"/>
        </w:rPr>
        <w:t xml:space="preserve">Solo en el tercer trimestre, después de la semana 28</w:t>
      </w:r>
    </w:p>
    <w:p>
      <w:pPr>
        <w:spacing w:after="100" w:before="120"/>
      </w:pPr>
      <w:r>
        <w:rPr>
          <w:rFonts w:ascii="Poppins" w:cs="Poppins" w:eastAsia="Poppins" w:hAnsi="Poppins"/>
          <w:b/>
          <w:bCs/>
          <w:color w:val="001C31"/>
          <w:sz w:val="21"/>
          <w:szCs w:val="21"/>
        </w:rPr>
        <w:t xml:space="preserve">Respuesta correcta: A</w:t>
      </w:r>
    </w:p>
    <w:p>
      <w:pPr>
        <w:spacing w:after="60"/>
      </w:pPr>
      <w:r>
        <w:rPr>
          <w:rFonts w:ascii="Poppins" w:cs="Poppins" w:eastAsia="Poppins" w:hAnsi="Poppins"/>
          <w:b/>
          <w:bCs/>
          <w:color w:val="001C31"/>
          <w:sz w:val="21"/>
          <w:szCs w:val="21"/>
          <w:u w:val="single"/>
        </w:rPr>
        <w:t xml:space="preserve">Justificación de la respuesta correcta</w:t>
      </w:r>
    </w:p>
    <w:p>
      <w:pPr>
        <w:spacing w:after="150"/>
      </w:pPr>
      <w:r>
        <w:rPr>
          <w:rFonts w:ascii="Poppins" w:cs="Poppins" w:eastAsia="Poppins" w:hAnsi="Poppins"/>
          <w:sz w:val="21"/>
          <w:szCs w:val="21"/>
        </w:rPr>
        <w:t xml:space="preserve">La guía recomienda (C 3) solicitar el urocultivo para el tamizaje de BA en la semana 12-16 de embarazo, según el U.S. Preventive Task Force, o en la primera consulta prenatal, según el ACOG, en caso de que la paciente acuda por primera vez a control prenatal después de la fecha recomendada.</w:t>
      </w:r>
    </w:p>
    <w:p>
      <w:pPr>
        <w:spacing w:after="60"/>
      </w:pPr>
      <w:r>
        <w:rPr>
          <w:rFonts w:ascii="Poppins" w:cs="Poppins" w:eastAsia="Poppins" w:hAnsi="Poppins"/>
          <w:b/>
          <w:bCs/>
          <w:color w:val="001C31"/>
          <w:sz w:val="21"/>
          <w:szCs w:val="21"/>
          <w:u w:val="single"/>
        </w:rPr>
        <w:t xml:space="preserve">Justificación de las opciones incorrectas</w:t>
      </w:r>
    </w:p>
    <w:p>
      <w:pPr>
        <w:spacing w:after="60"/>
      </w:pPr>
      <w:r>
        <w:rPr>
          <w:rFonts w:ascii="Poppins" w:cs="Poppins" w:eastAsia="Poppins" w:hAnsi="Poppins"/>
          <w:b/>
          <w:bCs/>
          <w:sz w:val="21"/>
          <w:szCs w:val="21"/>
        </w:rPr>
        <w:t xml:space="preserve">Opción B: </w:t>
      </w:r>
      <w:r>
        <w:rPr>
          <w:rFonts w:ascii="Poppins" w:cs="Poppins" w:eastAsia="Poppins" w:hAnsi="Poppins"/>
          <w:sz w:val="21"/>
          <w:szCs w:val="21"/>
        </w:rPr>
        <w:t xml:space="preserve">El rango de 30 a 34 semanas no corresponde a la recomendación de la guía para el tamizaje inicial de BA; el momento recomendado es la semana 12-16 o la primera consulta prenatal.</w:t>
      </w:r>
    </w:p>
    <w:p>
      <w:pPr>
        <w:spacing w:after="60"/>
      </w:pPr>
      <w:r>
        <w:rPr>
          <w:rFonts w:ascii="Poppins" w:cs="Poppins" w:eastAsia="Poppins" w:hAnsi="Poppins"/>
          <w:b/>
          <w:bCs/>
          <w:sz w:val="21"/>
          <w:szCs w:val="21"/>
        </w:rPr>
        <w:t xml:space="preserve">Opción C: </w:t>
      </w:r>
      <w:r>
        <w:rPr>
          <w:rFonts w:ascii="Poppins" w:cs="Poppins" w:eastAsia="Poppins" w:hAnsi="Poppins"/>
          <w:sz w:val="21"/>
          <w:szCs w:val="21"/>
        </w:rPr>
        <w:t xml:space="preserve">La guía no recomienda esperar hasta el momento del parto para realizar el tamizaje de BA; esto contradice el objetivo de detección temprana y prevención de complicaciones.</w:t>
      </w:r>
    </w:p>
    <w:p>
      <w:pPr>
        <w:spacing w:after="60"/>
      </w:pPr>
      <w:r>
        <w:rPr>
          <w:rFonts w:ascii="Poppins" w:cs="Poppins" w:eastAsia="Poppins" w:hAnsi="Poppins"/>
          <w:b/>
          <w:bCs/>
          <w:sz w:val="21"/>
          <w:szCs w:val="21"/>
        </w:rPr>
        <w:t xml:space="preserve">Opción D: </w:t>
      </w:r>
      <w:r>
        <w:rPr>
          <w:rFonts w:ascii="Poppins" w:cs="Poppins" w:eastAsia="Poppins" w:hAnsi="Poppins"/>
          <w:sz w:val="21"/>
          <w:szCs w:val="21"/>
        </w:rPr>
        <w:t xml:space="preserve">El tercer trimestre tardío, después de la semana 28, no corresponde al momento recomendado por la guía para el tamizaje inicial; se recomienda entre las semanas 12 y 16 o en la primera consulta prenatal.</w:t>
      </w:r>
    </w:p>
    <w:p>
      <w:pPr>
        <w:pBdr>
          <w:bottom w:val="single" w:color="B08D3F" w:sz="6" w:space="4"/>
        </w:pBdr>
        <w:spacing w:after="200" w:before="100"/>
      </w:pPr>
      <w:r>
        <w:rPr>
          <w:rFonts w:ascii="Poppins" w:cs="Poppins" w:eastAsia="Poppins" w:hAnsi="Poppins"/>
          <w:b/>
          <w:bCs/>
          <w:i/>
          <w:iCs/>
          <w:color w:val="B08D3F"/>
          <w:sz w:val="20"/>
          <w:szCs w:val="20"/>
        </w:rPr>
        <w:t xml:space="preserve">Referencia: </w:t>
      </w:r>
      <w:r>
        <w:rPr>
          <w:rFonts w:ascii="Poppins" w:cs="Poppins" w:eastAsia="Poppins" w:hAnsi="Poppins"/>
          <w:i/>
          <w:iCs/>
          <w:color w:val="555555"/>
          <w:sz w:val="20"/>
          <w:szCs w:val="20"/>
        </w:rPr>
        <w:t xml:space="preserve">Diagnóstico de IVU en el embarazo. Bacteriuria Asintomática (BA). Página 17.</w:t>
      </w:r>
    </w:p>
    <w:p>
      <w:pPr>
        <w:shd w:fill="001C31" w:val="clear"/>
        <w:spacing w:after="100" w:before="300"/>
      </w:pPr>
      <w:r>
        <w:rPr>
          <w:rFonts w:ascii="Poppins" w:cs="Poppins" w:eastAsia="Poppins" w:hAnsi="Poppins"/>
          <w:b/>
          <w:bCs/>
          <w:color w:val="FFFFFF"/>
          <w:sz w:val="24"/>
          <w:szCs w:val="24"/>
        </w:rPr>
        <w:t xml:space="preserve">PREGUNTA 41</w:t>
      </w:r>
    </w:p>
    <w:p>
      <w:pPr>
        <w:spacing w:after="120"/>
      </w:pPr>
      <w:r>
        <w:rPr>
          <w:rFonts w:ascii="Poppins" w:cs="Poppins" w:eastAsia="Poppins" w:hAnsi="Poppins"/>
          <w:b/>
          <w:bCs/>
          <w:color w:val="001C31"/>
          <w:sz w:val="21"/>
          <w:szCs w:val="21"/>
        </w:rPr>
        <w:t xml:space="preserve">Pregunta: </w:t>
      </w:r>
      <w:r>
        <w:rPr>
          <w:rFonts w:ascii="Poppins" w:cs="Poppins" w:eastAsia="Poppins" w:hAnsi="Poppins"/>
          <w:sz w:val="21"/>
          <w:szCs w:val="21"/>
        </w:rPr>
        <w:t xml:space="preserve">Según la GPC, ¿qué porcentaje aproximado de pacientes con BA se detecta al realizar el urocultivo en las semanas 12-16 de gestación?</w:t>
      </w:r>
    </w:p>
    <w:p>
      <w:pPr>
        <w:spacing w:after="60"/>
      </w:pPr>
      <w:r>
        <w:rPr>
          <w:rFonts w:ascii="Poppins" w:cs="Poppins" w:eastAsia="Poppins" w:hAnsi="Poppins"/>
          <w:b/>
          <w:bCs/>
          <w:color w:val="B08D3F"/>
          <w:sz w:val="21"/>
          <w:szCs w:val="21"/>
        </w:rPr>
        <w:t xml:space="preserve">A. </w:t>
      </w:r>
      <w:r>
        <w:rPr>
          <w:rFonts w:ascii="Poppins" w:cs="Poppins" w:eastAsia="Poppins" w:hAnsi="Poppins"/>
          <w:b/>
          <w:bCs/>
          <w:color w:val="B08D3F"/>
          <w:sz w:val="21"/>
          <w:szCs w:val="21"/>
        </w:rPr>
        <w:t xml:space="preserve">Aproximadamente 80%</w:t>
      </w:r>
    </w:p>
    <w:p>
      <w:pPr>
        <w:spacing w:after="60"/>
      </w:pPr>
      <w:r>
        <w:rPr>
          <w:rFonts w:ascii="Poppins" w:cs="Poppins" w:eastAsia="Poppins" w:hAnsi="Poppins"/>
          <w:b/>
          <w:bCs/>
          <w:color w:val="000000"/>
          <w:sz w:val="21"/>
          <w:szCs w:val="21"/>
        </w:rPr>
        <w:t xml:space="preserve">B. </w:t>
      </w:r>
      <w:r>
        <w:rPr>
          <w:rFonts w:ascii="Poppins" w:cs="Poppins" w:eastAsia="Poppins" w:hAnsi="Poppins"/>
          <w:b w:val="false"/>
          <w:bCs w:val="false"/>
          <w:color w:val="000000"/>
          <w:sz w:val="21"/>
          <w:szCs w:val="21"/>
        </w:rPr>
        <w:t xml:space="preserve">Aproximadamente 20%</w:t>
      </w:r>
    </w:p>
    <w:p>
      <w:pPr>
        <w:spacing w:after="60"/>
      </w:pPr>
      <w:r>
        <w:rPr>
          <w:rFonts w:ascii="Poppins" w:cs="Poppins" w:eastAsia="Poppins" w:hAnsi="Poppins"/>
          <w:b/>
          <w:bCs/>
          <w:color w:val="000000"/>
          <w:sz w:val="21"/>
          <w:szCs w:val="21"/>
        </w:rPr>
        <w:t xml:space="preserve">C. </w:t>
      </w:r>
      <w:r>
        <w:rPr>
          <w:rFonts w:ascii="Poppins" w:cs="Poppins" w:eastAsia="Poppins" w:hAnsi="Poppins"/>
          <w:b w:val="false"/>
          <w:bCs w:val="false"/>
          <w:color w:val="000000"/>
          <w:sz w:val="21"/>
          <w:szCs w:val="21"/>
        </w:rPr>
        <w:t xml:space="preserve">Aproximadamente 50%</w:t>
      </w:r>
    </w:p>
    <w:p>
      <w:pPr>
        <w:spacing w:after="60"/>
      </w:pPr>
      <w:r>
        <w:rPr>
          <w:rFonts w:ascii="Poppins" w:cs="Poppins" w:eastAsia="Poppins" w:hAnsi="Poppins"/>
          <w:b/>
          <w:bCs/>
          <w:color w:val="000000"/>
          <w:sz w:val="21"/>
          <w:szCs w:val="21"/>
        </w:rPr>
        <w:t xml:space="preserve">D. </w:t>
      </w:r>
      <w:r>
        <w:rPr>
          <w:rFonts w:ascii="Poppins" w:cs="Poppins" w:eastAsia="Poppins" w:hAnsi="Poppins"/>
          <w:b w:val="false"/>
          <w:bCs w:val="false"/>
          <w:color w:val="000000"/>
          <w:sz w:val="21"/>
          <w:szCs w:val="21"/>
        </w:rPr>
        <w:t xml:space="preserve">100% de los casos sin excepción</w:t>
      </w:r>
    </w:p>
    <w:p>
      <w:pPr>
        <w:spacing w:after="100" w:before="120"/>
      </w:pPr>
      <w:r>
        <w:rPr>
          <w:rFonts w:ascii="Poppins" w:cs="Poppins" w:eastAsia="Poppins" w:hAnsi="Poppins"/>
          <w:b/>
          <w:bCs/>
          <w:color w:val="001C31"/>
          <w:sz w:val="21"/>
          <w:szCs w:val="21"/>
        </w:rPr>
        <w:t xml:space="preserve">Respuesta correcta: A</w:t>
      </w:r>
    </w:p>
    <w:p>
      <w:pPr>
        <w:spacing w:after="60"/>
      </w:pPr>
      <w:r>
        <w:rPr>
          <w:rFonts w:ascii="Poppins" w:cs="Poppins" w:eastAsia="Poppins" w:hAnsi="Poppins"/>
          <w:b/>
          <w:bCs/>
          <w:color w:val="001C31"/>
          <w:sz w:val="21"/>
          <w:szCs w:val="21"/>
          <w:u w:val="single"/>
        </w:rPr>
        <w:t xml:space="preserve">Justificación de la respuesta correcta</w:t>
      </w:r>
    </w:p>
    <w:p>
      <w:pPr>
        <w:spacing w:after="150"/>
      </w:pPr>
      <w:r>
        <w:rPr>
          <w:rFonts w:ascii="Poppins" w:cs="Poppins" w:eastAsia="Poppins" w:hAnsi="Poppins"/>
          <w:sz w:val="21"/>
          <w:szCs w:val="21"/>
        </w:rPr>
        <w:t xml:space="preserve">La guía indica (C 3) que, aunque aún no se conoce el momento óptimo ni la frecuencia para realizar el urocultivo, este obtenido en las semanas 12-16 de gestación detectará aproximadamente 80% de las pacientes con BA.</w:t>
      </w:r>
    </w:p>
    <w:p>
      <w:pPr>
        <w:spacing w:after="60"/>
      </w:pPr>
      <w:r>
        <w:rPr>
          <w:rFonts w:ascii="Poppins" w:cs="Poppins" w:eastAsia="Poppins" w:hAnsi="Poppins"/>
          <w:b/>
          <w:bCs/>
          <w:color w:val="001C31"/>
          <w:sz w:val="21"/>
          <w:szCs w:val="21"/>
          <w:u w:val="single"/>
        </w:rPr>
        <w:t xml:space="preserve">Justificación de las opciones incorrectas</w:t>
      </w:r>
    </w:p>
    <w:p>
      <w:pPr>
        <w:spacing w:after="60"/>
      </w:pPr>
      <w:r>
        <w:rPr>
          <w:rFonts w:ascii="Poppins" w:cs="Poppins" w:eastAsia="Poppins" w:hAnsi="Poppins"/>
          <w:b/>
          <w:bCs/>
          <w:sz w:val="21"/>
          <w:szCs w:val="21"/>
        </w:rPr>
        <w:t xml:space="preserve">Opción B: </w:t>
      </w:r>
      <w:r>
        <w:rPr>
          <w:rFonts w:ascii="Poppins" w:cs="Poppins" w:eastAsia="Poppins" w:hAnsi="Poppins"/>
          <w:sz w:val="21"/>
          <w:szCs w:val="21"/>
        </w:rPr>
        <w:t xml:space="preserve">El 20% subestima considerablemente el dato citado por la guía sobre la detección de BA en las semanas 12-16.</w:t>
      </w:r>
    </w:p>
    <w:p>
      <w:pPr>
        <w:spacing w:after="60"/>
      </w:pPr>
      <w:r>
        <w:rPr>
          <w:rFonts w:ascii="Poppins" w:cs="Poppins" w:eastAsia="Poppins" w:hAnsi="Poppins"/>
          <w:b/>
          <w:bCs/>
          <w:sz w:val="21"/>
          <w:szCs w:val="21"/>
        </w:rPr>
        <w:t xml:space="preserve">Opción C: </w:t>
      </w:r>
      <w:r>
        <w:rPr>
          <w:rFonts w:ascii="Poppins" w:cs="Poppins" w:eastAsia="Poppins" w:hAnsi="Poppins"/>
          <w:sz w:val="21"/>
          <w:szCs w:val="21"/>
        </w:rPr>
        <w:t xml:space="preserve">El 50% no corresponde al dato específico citado por la guía; el valor reportado es de aproximadamente 80%.</w:t>
      </w:r>
    </w:p>
    <w:p>
      <w:pPr>
        <w:spacing w:after="60"/>
      </w:pPr>
      <w:r>
        <w:rPr>
          <w:rFonts w:ascii="Poppins" w:cs="Poppins" w:eastAsia="Poppins" w:hAnsi="Poppins"/>
          <w:b/>
          <w:bCs/>
          <w:sz w:val="21"/>
          <w:szCs w:val="21"/>
        </w:rPr>
        <w:t xml:space="preserve">Opción D: </w:t>
      </w:r>
      <w:r>
        <w:rPr>
          <w:rFonts w:ascii="Poppins" w:cs="Poppins" w:eastAsia="Poppins" w:hAnsi="Poppins"/>
          <w:sz w:val="21"/>
          <w:szCs w:val="21"/>
        </w:rPr>
        <w:t xml:space="preserve">La guía no afirma una detección del 100% de los casos; reconoce que la detección es de aproximadamente 80%, lo que implica que un porcentaje de casos no se detecta en ese momento.</w:t>
      </w:r>
    </w:p>
    <w:p>
      <w:pPr>
        <w:pBdr>
          <w:bottom w:val="single" w:color="B08D3F" w:sz="6" w:space="4"/>
        </w:pBdr>
        <w:spacing w:after="200" w:before="100"/>
      </w:pPr>
      <w:r>
        <w:rPr>
          <w:rFonts w:ascii="Poppins" w:cs="Poppins" w:eastAsia="Poppins" w:hAnsi="Poppins"/>
          <w:b/>
          <w:bCs/>
          <w:i/>
          <w:iCs/>
          <w:color w:val="B08D3F"/>
          <w:sz w:val="20"/>
          <w:szCs w:val="20"/>
        </w:rPr>
        <w:t xml:space="preserve">Referencia: </w:t>
      </w:r>
      <w:r>
        <w:rPr>
          <w:rFonts w:ascii="Poppins" w:cs="Poppins" w:eastAsia="Poppins" w:hAnsi="Poppins"/>
          <w:i/>
          <w:iCs/>
          <w:color w:val="555555"/>
          <w:sz w:val="20"/>
          <w:szCs w:val="20"/>
        </w:rPr>
        <w:t xml:space="preserve">Diagnóstico de IVU en el embarazo. Bacteriuria Asintomática (BA). Página 17.</w:t>
      </w:r>
    </w:p>
    <w:p>
      <w:pPr>
        <w:shd w:fill="001C31" w:val="clear"/>
        <w:spacing w:after="100" w:before="300"/>
      </w:pPr>
      <w:r>
        <w:rPr>
          <w:rFonts w:ascii="Poppins" w:cs="Poppins" w:eastAsia="Poppins" w:hAnsi="Poppins"/>
          <w:b/>
          <w:bCs/>
          <w:color w:val="FFFFFF"/>
          <w:sz w:val="24"/>
          <w:szCs w:val="24"/>
        </w:rPr>
        <w:t xml:space="preserve">PREGUNTA 42</w:t>
      </w:r>
    </w:p>
    <w:p>
      <w:pPr>
        <w:shd w:fill="F3ECDD" w:val="clear"/>
        <w:spacing w:after="60"/>
      </w:pPr>
      <w:r>
        <w:rPr>
          <w:rFonts w:ascii="Poppins" w:cs="Poppins" w:eastAsia="Poppins" w:hAnsi="Poppins"/>
          <w:b/>
          <w:bCs/>
          <w:i/>
          <w:iCs/>
          <w:color w:val="001C31"/>
          <w:sz w:val="21"/>
          <w:szCs w:val="21"/>
        </w:rPr>
        <w:t xml:space="preserve">Caso clínico: </w:t>
      </w:r>
      <w:r>
        <w:rPr>
          <w:rFonts w:ascii="Poppins" w:cs="Poppins" w:eastAsia="Poppins" w:hAnsi="Poppins"/>
          <w:i/>
          <w:iCs/>
          <w:sz w:val="21"/>
          <w:szCs w:val="21"/>
        </w:rPr>
        <w:t xml:space="preserve">Una paciente presenta un urocultivo de tamizaje negativo en el primer trimestre del embarazo.</w:t>
      </w:r>
    </w:p>
    <w:p>
      <w:pPr>
        <w:spacing w:after="120"/>
      </w:pPr>
      <w:r>
        <w:rPr>
          <w:rFonts w:ascii="Poppins" w:cs="Poppins" w:eastAsia="Poppins" w:hAnsi="Poppins"/>
          <w:b/>
          <w:bCs/>
          <w:color w:val="001C31"/>
          <w:sz w:val="21"/>
          <w:szCs w:val="21"/>
        </w:rPr>
        <w:t xml:space="preserve">Pregunta: </w:t>
      </w:r>
      <w:r>
        <w:rPr>
          <w:rFonts w:ascii="Poppins" w:cs="Poppins" w:eastAsia="Poppins" w:hAnsi="Poppins"/>
          <w:sz w:val="21"/>
          <w:szCs w:val="21"/>
        </w:rPr>
        <w:t xml:space="preserve">Según la GPC, ¿se debe repetir el urocultivo de tamizaje en esta paciente durante el resto del embarazo?</w:t>
      </w:r>
    </w:p>
    <w:p>
      <w:pPr>
        <w:spacing w:after="60"/>
      </w:pPr>
      <w:r>
        <w:rPr>
          <w:rFonts w:ascii="Poppins" w:cs="Poppins" w:eastAsia="Poppins" w:hAnsi="Poppins"/>
          <w:b/>
          <w:bCs/>
          <w:color w:val="B08D3F"/>
          <w:sz w:val="21"/>
          <w:szCs w:val="21"/>
        </w:rPr>
        <w:t xml:space="preserve">A. </w:t>
      </w:r>
      <w:r>
        <w:rPr>
          <w:rFonts w:ascii="Poppins" w:cs="Poppins" w:eastAsia="Poppins" w:hAnsi="Poppins"/>
          <w:b/>
          <w:bCs/>
          <w:color w:val="B08D3F"/>
          <w:sz w:val="21"/>
          <w:szCs w:val="21"/>
        </w:rPr>
        <w:t xml:space="preserve">No, a las pacientes con urocultivo de tamizaje negativo en el primer trimestre no se les debe repetir el urocultivo para tamizaje</w:t>
      </w:r>
    </w:p>
    <w:p>
      <w:pPr>
        <w:spacing w:after="60"/>
      </w:pPr>
      <w:r>
        <w:rPr>
          <w:rFonts w:ascii="Poppins" w:cs="Poppins" w:eastAsia="Poppins" w:hAnsi="Poppins"/>
          <w:b/>
          <w:bCs/>
          <w:color w:val="000000"/>
          <w:sz w:val="21"/>
          <w:szCs w:val="21"/>
        </w:rPr>
        <w:t xml:space="preserve">B. </w:t>
      </w:r>
      <w:r>
        <w:rPr>
          <w:rFonts w:ascii="Poppins" w:cs="Poppins" w:eastAsia="Poppins" w:hAnsi="Poppins"/>
          <w:b w:val="false"/>
          <w:bCs w:val="false"/>
          <w:color w:val="000000"/>
          <w:sz w:val="21"/>
          <w:szCs w:val="21"/>
        </w:rPr>
        <w:t xml:space="preserve">Sí, se debe repetir mensualmente durante todo el embarazo sin excepción</w:t>
      </w:r>
    </w:p>
    <w:p>
      <w:pPr>
        <w:spacing w:after="60"/>
      </w:pPr>
      <w:r>
        <w:rPr>
          <w:rFonts w:ascii="Poppins" w:cs="Poppins" w:eastAsia="Poppins" w:hAnsi="Poppins"/>
          <w:b/>
          <w:bCs/>
          <w:color w:val="000000"/>
          <w:sz w:val="21"/>
          <w:szCs w:val="21"/>
        </w:rPr>
        <w:t xml:space="preserve">C. </w:t>
      </w:r>
      <w:r>
        <w:rPr>
          <w:rFonts w:ascii="Poppins" w:cs="Poppins" w:eastAsia="Poppins" w:hAnsi="Poppins"/>
          <w:b w:val="false"/>
          <w:bCs w:val="false"/>
          <w:color w:val="000000"/>
          <w:sz w:val="21"/>
          <w:szCs w:val="21"/>
        </w:rPr>
        <w:t xml:space="preserve">Sí, se debe repetir obligatoriamente en cada trimestre restante</w:t>
      </w:r>
    </w:p>
    <w:p>
      <w:pPr>
        <w:spacing w:after="60"/>
      </w:pPr>
      <w:r>
        <w:rPr>
          <w:rFonts w:ascii="Poppins" w:cs="Poppins" w:eastAsia="Poppins" w:hAnsi="Poppins"/>
          <w:b/>
          <w:bCs/>
          <w:color w:val="000000"/>
          <w:sz w:val="21"/>
          <w:szCs w:val="21"/>
        </w:rPr>
        <w:t xml:space="preserve">D. </w:t>
      </w:r>
      <w:r>
        <w:rPr>
          <w:rFonts w:ascii="Poppins" w:cs="Poppins" w:eastAsia="Poppins" w:hAnsi="Poppins"/>
          <w:b w:val="false"/>
          <w:bCs w:val="false"/>
          <w:color w:val="000000"/>
          <w:sz w:val="21"/>
          <w:szCs w:val="21"/>
        </w:rPr>
        <w:t xml:space="preserve">Solo se repite si la paciente desarrolla preeclampsia</w:t>
      </w:r>
    </w:p>
    <w:p>
      <w:pPr>
        <w:spacing w:after="100" w:before="120"/>
      </w:pPr>
      <w:r>
        <w:rPr>
          <w:rFonts w:ascii="Poppins" w:cs="Poppins" w:eastAsia="Poppins" w:hAnsi="Poppins"/>
          <w:b/>
          <w:bCs/>
          <w:color w:val="001C31"/>
          <w:sz w:val="21"/>
          <w:szCs w:val="21"/>
        </w:rPr>
        <w:t xml:space="preserve">Respuesta correcta: A</w:t>
      </w:r>
    </w:p>
    <w:p>
      <w:pPr>
        <w:spacing w:after="60"/>
      </w:pPr>
      <w:r>
        <w:rPr>
          <w:rFonts w:ascii="Poppins" w:cs="Poppins" w:eastAsia="Poppins" w:hAnsi="Poppins"/>
          <w:b/>
          <w:bCs/>
          <w:color w:val="001C31"/>
          <w:sz w:val="21"/>
          <w:szCs w:val="21"/>
          <w:u w:val="single"/>
        </w:rPr>
        <w:t xml:space="preserve">Justificación de la respuesta correcta</w:t>
      </w:r>
    </w:p>
    <w:p>
      <w:pPr>
        <w:spacing w:after="150"/>
      </w:pPr>
      <w:r>
        <w:rPr>
          <w:rFonts w:ascii="Poppins" w:cs="Poppins" w:eastAsia="Poppins" w:hAnsi="Poppins"/>
          <w:sz w:val="21"/>
          <w:szCs w:val="21"/>
        </w:rPr>
        <w:t xml:space="preserve">La guía establece (C 3) que a las pacientes con urocultivo de tamizaje negativo en el primer trimestre del embarazo no se les debe repetir el urocultivo para tamizaje, señalando que solo el 1% a 2% de las mujeres con cultivo negativo inicial desarrollarán pielonefritis durante el embarazo.</w:t>
      </w:r>
    </w:p>
    <w:p>
      <w:pPr>
        <w:spacing w:after="60"/>
      </w:pPr>
      <w:r>
        <w:rPr>
          <w:rFonts w:ascii="Poppins" w:cs="Poppins" w:eastAsia="Poppins" w:hAnsi="Poppins"/>
          <w:b/>
          <w:bCs/>
          <w:color w:val="001C31"/>
          <w:sz w:val="21"/>
          <w:szCs w:val="21"/>
          <w:u w:val="single"/>
        </w:rPr>
        <w:t xml:space="preserve">Justificación de las opciones incorrectas</w:t>
      </w:r>
    </w:p>
    <w:p>
      <w:pPr>
        <w:spacing w:after="60"/>
      </w:pPr>
      <w:r>
        <w:rPr>
          <w:rFonts w:ascii="Poppins" w:cs="Poppins" w:eastAsia="Poppins" w:hAnsi="Poppins"/>
          <w:b/>
          <w:bCs/>
          <w:sz w:val="21"/>
          <w:szCs w:val="21"/>
        </w:rPr>
        <w:t xml:space="preserve">Opción B: </w:t>
      </w:r>
      <w:r>
        <w:rPr>
          <w:rFonts w:ascii="Poppins" w:cs="Poppins" w:eastAsia="Poppins" w:hAnsi="Poppins"/>
          <w:sz w:val="21"/>
          <w:szCs w:val="21"/>
        </w:rPr>
        <w:t xml:space="preserve">La guía no recomienda repetición mensual del urocultivo tras un resultado negativo inicial; indica que no se debe repetir de manera rutinaria.</w:t>
      </w:r>
    </w:p>
    <w:p>
      <w:pPr>
        <w:spacing w:after="60"/>
      </w:pPr>
      <w:r>
        <w:rPr>
          <w:rFonts w:ascii="Poppins" w:cs="Poppins" w:eastAsia="Poppins" w:hAnsi="Poppins"/>
          <w:b/>
          <w:bCs/>
          <w:sz w:val="21"/>
          <w:szCs w:val="21"/>
        </w:rPr>
        <w:t xml:space="preserve">Opción C: </w:t>
      </w:r>
      <w:r>
        <w:rPr>
          <w:rFonts w:ascii="Poppins" w:cs="Poppins" w:eastAsia="Poppins" w:hAnsi="Poppins"/>
          <w:sz w:val="21"/>
          <w:szCs w:val="21"/>
        </w:rPr>
        <w:t xml:space="preserve">La guía no exige repetición obligatoria en cada trimestre restante tras un urocultivo de tamizaje negativo inicial.</w:t>
      </w:r>
    </w:p>
    <w:p>
      <w:pPr>
        <w:spacing w:after="60"/>
      </w:pPr>
      <w:r>
        <w:rPr>
          <w:rFonts w:ascii="Poppins" w:cs="Poppins" w:eastAsia="Poppins" w:hAnsi="Poppins"/>
          <w:b/>
          <w:bCs/>
          <w:sz w:val="21"/>
          <w:szCs w:val="21"/>
        </w:rPr>
        <w:t xml:space="preserve">Opción D: </w:t>
      </w:r>
      <w:r>
        <w:rPr>
          <w:rFonts w:ascii="Poppins" w:cs="Poppins" w:eastAsia="Poppins" w:hAnsi="Poppins"/>
          <w:sz w:val="21"/>
          <w:szCs w:val="21"/>
        </w:rPr>
        <w:t xml:space="preserve">La preeclampsia no se menciona en la guía como criterio para repetir el urocultivo de tamizaje tras un resultado negativo inicial; ese es un criterio no contemplado en este apartado.</w:t>
      </w:r>
    </w:p>
    <w:p>
      <w:pPr>
        <w:pBdr>
          <w:bottom w:val="single" w:color="B08D3F" w:sz="6" w:space="4"/>
        </w:pBdr>
        <w:spacing w:after="200" w:before="100"/>
      </w:pPr>
      <w:r>
        <w:rPr>
          <w:rFonts w:ascii="Poppins" w:cs="Poppins" w:eastAsia="Poppins" w:hAnsi="Poppins"/>
          <w:b/>
          <w:bCs/>
          <w:i/>
          <w:iCs/>
          <w:color w:val="B08D3F"/>
          <w:sz w:val="20"/>
          <w:szCs w:val="20"/>
        </w:rPr>
        <w:t xml:space="preserve">Referencia: </w:t>
      </w:r>
      <w:r>
        <w:rPr>
          <w:rFonts w:ascii="Poppins" w:cs="Poppins" w:eastAsia="Poppins" w:hAnsi="Poppins"/>
          <w:i/>
          <w:iCs/>
          <w:color w:val="555555"/>
          <w:sz w:val="20"/>
          <w:szCs w:val="20"/>
        </w:rPr>
        <w:t xml:space="preserve">Diagnóstico de IVU en el embarazo. Bacteriuria Asintomática (BA). Página 17.</w:t>
      </w:r>
    </w:p>
    <w:p>
      <w:pPr>
        <w:shd w:fill="001C31" w:val="clear"/>
        <w:spacing w:after="100" w:before="300"/>
      </w:pPr>
      <w:r>
        <w:rPr>
          <w:rFonts w:ascii="Poppins" w:cs="Poppins" w:eastAsia="Poppins" w:hAnsi="Poppins"/>
          <w:b/>
          <w:bCs/>
          <w:color w:val="FFFFFF"/>
          <w:sz w:val="24"/>
          <w:szCs w:val="24"/>
        </w:rPr>
        <w:t xml:space="preserve">PREGUNTA 43</w:t>
      </w:r>
    </w:p>
    <w:p>
      <w:pPr>
        <w:spacing w:after="120"/>
      </w:pPr>
      <w:r>
        <w:rPr>
          <w:rFonts w:ascii="Poppins" w:cs="Poppins" w:eastAsia="Poppins" w:hAnsi="Poppins"/>
          <w:b/>
          <w:bCs/>
          <w:color w:val="001C31"/>
          <w:sz w:val="21"/>
          <w:szCs w:val="21"/>
        </w:rPr>
        <w:t xml:space="preserve">Pregunta: </w:t>
      </w:r>
      <w:r>
        <w:rPr>
          <w:rFonts w:ascii="Poppins" w:cs="Poppins" w:eastAsia="Poppins" w:hAnsi="Poppins"/>
          <w:sz w:val="21"/>
          <w:szCs w:val="21"/>
        </w:rPr>
        <w:t xml:space="preserve">Según la GPC, ¿qué grado de evidencia respalda la recomendación de realizar tamizaje con urocultivo para diagnóstico y tratamiento oportuno de BA en las embarazadas?</w:t>
      </w:r>
    </w:p>
    <w:p>
      <w:pPr>
        <w:spacing w:after="60"/>
      </w:pPr>
      <w:r>
        <w:rPr>
          <w:rFonts w:ascii="Poppins" w:cs="Poppins" w:eastAsia="Poppins" w:hAnsi="Poppins"/>
          <w:b/>
          <w:bCs/>
          <w:color w:val="B08D3F"/>
          <w:sz w:val="21"/>
          <w:szCs w:val="21"/>
        </w:rPr>
        <w:t xml:space="preserve">A. </w:t>
      </w:r>
      <w:r>
        <w:rPr>
          <w:rFonts w:ascii="Poppins" w:cs="Poppins" w:eastAsia="Poppins" w:hAnsi="Poppins"/>
          <w:b/>
          <w:bCs/>
          <w:color w:val="B08D3F"/>
          <w:sz w:val="21"/>
          <w:szCs w:val="21"/>
        </w:rPr>
        <w:t xml:space="preserve">A 1++/2+</w:t>
      </w:r>
    </w:p>
    <w:p>
      <w:pPr>
        <w:spacing w:after="60"/>
      </w:pPr>
      <w:r>
        <w:rPr>
          <w:rFonts w:ascii="Poppins" w:cs="Poppins" w:eastAsia="Poppins" w:hAnsi="Poppins"/>
          <w:b/>
          <w:bCs/>
          <w:color w:val="000000"/>
          <w:sz w:val="21"/>
          <w:szCs w:val="21"/>
        </w:rPr>
        <w:t xml:space="preserve">B. </w:t>
      </w:r>
      <w:r>
        <w:rPr>
          <w:rFonts w:ascii="Poppins" w:cs="Poppins" w:eastAsia="Poppins" w:hAnsi="Poppins"/>
          <w:b w:val="false"/>
          <w:bCs w:val="false"/>
          <w:color w:val="000000"/>
          <w:sz w:val="21"/>
          <w:szCs w:val="21"/>
        </w:rPr>
        <w:t xml:space="preserve">D 4</w:t>
      </w:r>
    </w:p>
    <w:p>
      <w:pPr>
        <w:spacing w:after="60"/>
      </w:pPr>
      <w:r>
        <w:rPr>
          <w:rFonts w:ascii="Poppins" w:cs="Poppins" w:eastAsia="Poppins" w:hAnsi="Poppins"/>
          <w:b/>
          <w:bCs/>
          <w:color w:val="000000"/>
          <w:sz w:val="21"/>
          <w:szCs w:val="21"/>
        </w:rPr>
        <w:t xml:space="preserve">C. </w:t>
      </w:r>
      <w:r>
        <w:rPr>
          <w:rFonts w:ascii="Poppins" w:cs="Poppins" w:eastAsia="Poppins" w:hAnsi="Poppins"/>
          <w:b w:val="false"/>
          <w:bCs w:val="false"/>
          <w:color w:val="000000"/>
          <w:sz w:val="21"/>
          <w:szCs w:val="21"/>
        </w:rPr>
        <w:t xml:space="preserve">C 3</w:t>
      </w:r>
    </w:p>
    <w:p>
      <w:pPr>
        <w:spacing w:after="60"/>
      </w:pPr>
      <w:r>
        <w:rPr>
          <w:rFonts w:ascii="Poppins" w:cs="Poppins" w:eastAsia="Poppins" w:hAnsi="Poppins"/>
          <w:b/>
          <w:bCs/>
          <w:color w:val="000000"/>
          <w:sz w:val="21"/>
          <w:szCs w:val="21"/>
        </w:rPr>
        <w:t xml:space="preserve">D. </w:t>
      </w:r>
      <w:r>
        <w:rPr>
          <w:rFonts w:ascii="Poppins" w:cs="Poppins" w:eastAsia="Poppins" w:hAnsi="Poppins"/>
          <w:b w:val="false"/>
          <w:bCs w:val="false"/>
          <w:color w:val="000000"/>
          <w:sz w:val="21"/>
          <w:szCs w:val="21"/>
        </w:rPr>
        <w:t xml:space="preserve">No se asigna ningún grado de evidencia a esta recomendación</w:t>
      </w:r>
    </w:p>
    <w:p>
      <w:pPr>
        <w:spacing w:after="100" w:before="120"/>
      </w:pPr>
      <w:r>
        <w:rPr>
          <w:rFonts w:ascii="Poppins" w:cs="Poppins" w:eastAsia="Poppins" w:hAnsi="Poppins"/>
          <w:b/>
          <w:bCs/>
          <w:color w:val="001C31"/>
          <w:sz w:val="21"/>
          <w:szCs w:val="21"/>
        </w:rPr>
        <w:t xml:space="preserve">Respuesta correcta: A</w:t>
      </w:r>
    </w:p>
    <w:p>
      <w:pPr>
        <w:spacing w:after="60"/>
      </w:pPr>
      <w:r>
        <w:rPr>
          <w:rFonts w:ascii="Poppins" w:cs="Poppins" w:eastAsia="Poppins" w:hAnsi="Poppins"/>
          <w:b/>
          <w:bCs/>
          <w:color w:val="001C31"/>
          <w:sz w:val="21"/>
          <w:szCs w:val="21"/>
          <w:u w:val="single"/>
        </w:rPr>
        <w:t xml:space="preserve">Justificación de la respuesta correcta</w:t>
      </w:r>
    </w:p>
    <w:p>
      <w:pPr>
        <w:spacing w:after="150"/>
      </w:pPr>
      <w:r>
        <w:rPr>
          <w:rFonts w:ascii="Poppins" w:cs="Poppins" w:eastAsia="Poppins" w:hAnsi="Poppins"/>
          <w:sz w:val="21"/>
          <w:szCs w:val="21"/>
        </w:rPr>
        <w:t xml:space="preserve">La guía asigna nivel de evidencia A 1++/2+ a la recomendación de realizar tamizaje con urocultivo para diagnóstico y tratamiento oportuno de BA en las embarazadas, respaldada por los datos de progresión a pielonefritis (20-40%) y asociación con ruptura prematura de membranas, parto pretérmino y bajo peso al nacer.</w:t>
      </w:r>
    </w:p>
    <w:p>
      <w:pPr>
        <w:spacing w:after="60"/>
      </w:pPr>
      <w:r>
        <w:rPr>
          <w:rFonts w:ascii="Poppins" w:cs="Poppins" w:eastAsia="Poppins" w:hAnsi="Poppins"/>
          <w:b/>
          <w:bCs/>
          <w:color w:val="001C31"/>
          <w:sz w:val="21"/>
          <w:szCs w:val="21"/>
          <w:u w:val="single"/>
        </w:rPr>
        <w:t xml:space="preserve">Justificación de las opciones incorrectas</w:t>
      </w:r>
    </w:p>
    <w:p>
      <w:pPr>
        <w:spacing w:after="60"/>
      </w:pPr>
      <w:r>
        <w:rPr>
          <w:rFonts w:ascii="Poppins" w:cs="Poppins" w:eastAsia="Poppins" w:hAnsi="Poppins"/>
          <w:b/>
          <w:bCs/>
          <w:sz w:val="21"/>
          <w:szCs w:val="21"/>
        </w:rPr>
        <w:t xml:space="preserve">Opción B: </w:t>
      </w:r>
      <w:r>
        <w:rPr>
          <w:rFonts w:ascii="Poppins" w:cs="Poppins" w:eastAsia="Poppins" w:hAnsi="Poppins"/>
          <w:sz w:val="21"/>
          <w:szCs w:val="21"/>
        </w:rPr>
        <w:t xml:space="preserve">El grado D 4 corresponde a otra recomendación de la guía (relacionada con la duración del tratamiento antibiótico), no a la recomendación de realizar tamizaje con urocultivo.</w:t>
      </w:r>
    </w:p>
    <w:p>
      <w:pPr>
        <w:spacing w:after="60"/>
      </w:pPr>
      <w:r>
        <w:rPr>
          <w:rFonts w:ascii="Poppins" w:cs="Poppins" w:eastAsia="Poppins" w:hAnsi="Poppins"/>
          <w:b/>
          <w:bCs/>
          <w:sz w:val="21"/>
          <w:szCs w:val="21"/>
        </w:rPr>
        <w:t xml:space="preserve">Opción C: </w:t>
      </w:r>
      <w:r>
        <w:rPr>
          <w:rFonts w:ascii="Poppins" w:cs="Poppins" w:eastAsia="Poppins" w:hAnsi="Poppins"/>
          <w:sz w:val="21"/>
          <w:szCs w:val="21"/>
        </w:rPr>
        <w:t xml:space="preserve">El grado C 3 corresponde a otra recomendación de la guía (relacionada con el momento de solicitud del urocultivo), no a la recomendación general de realizar tamizaje con urocultivo para BA.</w:t>
      </w:r>
    </w:p>
    <w:p>
      <w:pPr>
        <w:spacing w:after="60"/>
      </w:pPr>
      <w:r>
        <w:rPr>
          <w:rFonts w:ascii="Poppins" w:cs="Poppins" w:eastAsia="Poppins" w:hAnsi="Poppins"/>
          <w:b/>
          <w:bCs/>
          <w:sz w:val="21"/>
          <w:szCs w:val="21"/>
        </w:rPr>
        <w:t xml:space="preserve">Opción D: </w:t>
      </w:r>
      <w:r>
        <w:rPr>
          <w:rFonts w:ascii="Poppins" w:cs="Poppins" w:eastAsia="Poppins" w:hAnsi="Poppins"/>
          <w:sz w:val="21"/>
          <w:szCs w:val="21"/>
        </w:rPr>
        <w:t xml:space="preserve">La guía sí asigna un grado de evidencia específico (A 1++/2+) a esta recomendación, visible en el margen derecho del texto.</w:t>
      </w:r>
    </w:p>
    <w:p>
      <w:pPr>
        <w:pBdr>
          <w:bottom w:val="single" w:color="B08D3F" w:sz="6" w:space="4"/>
        </w:pBdr>
        <w:spacing w:after="200" w:before="100"/>
      </w:pPr>
      <w:r>
        <w:rPr>
          <w:rFonts w:ascii="Poppins" w:cs="Poppins" w:eastAsia="Poppins" w:hAnsi="Poppins"/>
          <w:b/>
          <w:bCs/>
          <w:i/>
          <w:iCs/>
          <w:color w:val="B08D3F"/>
          <w:sz w:val="20"/>
          <w:szCs w:val="20"/>
        </w:rPr>
        <w:t xml:space="preserve">Referencia: </w:t>
      </w:r>
      <w:r>
        <w:rPr>
          <w:rFonts w:ascii="Poppins" w:cs="Poppins" w:eastAsia="Poppins" w:hAnsi="Poppins"/>
          <w:i/>
          <w:iCs/>
          <w:color w:val="555555"/>
          <w:sz w:val="20"/>
          <w:szCs w:val="20"/>
        </w:rPr>
        <w:t xml:space="preserve">Diagnóstico de IVU en el embarazo. Bacteriuria Asintomática (BA). Página 17.</w:t>
      </w:r>
    </w:p>
    <w:p>
      <w:pPr>
        <w:shd w:fill="001C31" w:val="clear"/>
        <w:spacing w:after="100" w:before="300"/>
      </w:pPr>
      <w:r>
        <w:rPr>
          <w:rFonts w:ascii="Poppins" w:cs="Poppins" w:eastAsia="Poppins" w:hAnsi="Poppins"/>
          <w:b/>
          <w:bCs/>
          <w:color w:val="FFFFFF"/>
          <w:sz w:val="24"/>
          <w:szCs w:val="24"/>
        </w:rPr>
        <w:t xml:space="preserve">PREGUNTA 44</w:t>
      </w:r>
    </w:p>
    <w:p>
      <w:pPr>
        <w:spacing w:after="120"/>
      </w:pPr>
      <w:r>
        <w:rPr>
          <w:rFonts w:ascii="Poppins" w:cs="Poppins" w:eastAsia="Poppins" w:hAnsi="Poppins"/>
          <w:b/>
          <w:bCs/>
          <w:color w:val="001C31"/>
          <w:sz w:val="21"/>
          <w:szCs w:val="21"/>
        </w:rPr>
        <w:t xml:space="preserve">Pregunta: </w:t>
      </w:r>
      <w:r>
        <w:rPr>
          <w:rFonts w:ascii="Poppins" w:cs="Poppins" w:eastAsia="Poppins" w:hAnsi="Poppins"/>
          <w:sz w:val="21"/>
          <w:szCs w:val="21"/>
        </w:rPr>
        <w:t xml:space="preserve">Según la GPC, ¿cuál es el principal objetivo de realizar el tamizaje de BA durante las visitas prenatales?</w:t>
      </w:r>
    </w:p>
    <w:p>
      <w:pPr>
        <w:spacing w:after="60"/>
      </w:pPr>
      <w:r>
        <w:rPr>
          <w:rFonts w:ascii="Poppins" w:cs="Poppins" w:eastAsia="Poppins" w:hAnsi="Poppins"/>
          <w:b/>
          <w:bCs/>
          <w:color w:val="B08D3F"/>
          <w:sz w:val="21"/>
          <w:szCs w:val="21"/>
        </w:rPr>
        <w:t xml:space="preserve">A. </w:t>
      </w:r>
      <w:r>
        <w:rPr>
          <w:rFonts w:ascii="Poppins" w:cs="Poppins" w:eastAsia="Poppins" w:hAnsi="Poppins"/>
          <w:b/>
          <w:bCs/>
          <w:color w:val="B08D3F"/>
          <w:sz w:val="21"/>
          <w:szCs w:val="21"/>
        </w:rPr>
        <w:t xml:space="preserve">Detectar oportunamente la infección, dado que la mayoría de las mujeres con BA estarán asintomáticas inicialmente</w:t>
      </w:r>
    </w:p>
    <w:p>
      <w:pPr>
        <w:spacing w:after="60"/>
      </w:pPr>
      <w:r>
        <w:rPr>
          <w:rFonts w:ascii="Poppins" w:cs="Poppins" w:eastAsia="Poppins" w:hAnsi="Poppins"/>
          <w:b/>
          <w:bCs/>
          <w:color w:val="000000"/>
          <w:sz w:val="21"/>
          <w:szCs w:val="21"/>
        </w:rPr>
        <w:t xml:space="preserve">B. </w:t>
      </w:r>
      <w:r>
        <w:rPr>
          <w:rFonts w:ascii="Poppins" w:cs="Poppins" w:eastAsia="Poppins" w:hAnsi="Poppins"/>
          <w:b w:val="false"/>
          <w:bCs w:val="false"/>
          <w:color w:val="000000"/>
          <w:sz w:val="21"/>
          <w:szCs w:val="21"/>
        </w:rPr>
        <w:t xml:space="preserve">Determinar el sexo del producto de la concepción</w:t>
      </w:r>
    </w:p>
    <w:p>
      <w:pPr>
        <w:spacing w:after="60"/>
      </w:pPr>
      <w:r>
        <w:rPr>
          <w:rFonts w:ascii="Poppins" w:cs="Poppins" w:eastAsia="Poppins" w:hAnsi="Poppins"/>
          <w:b/>
          <w:bCs/>
          <w:color w:val="000000"/>
          <w:sz w:val="21"/>
          <w:szCs w:val="21"/>
        </w:rPr>
        <w:t xml:space="preserve">C. </w:t>
      </w:r>
      <w:r>
        <w:rPr>
          <w:rFonts w:ascii="Poppins" w:cs="Poppins" w:eastAsia="Poppins" w:hAnsi="Poppins"/>
          <w:b w:val="false"/>
          <w:bCs w:val="false"/>
          <w:color w:val="000000"/>
          <w:sz w:val="21"/>
          <w:szCs w:val="21"/>
        </w:rPr>
        <w:t xml:space="preserve">Evaluar exclusivamente la función renal materna basal</w:t>
      </w:r>
    </w:p>
    <w:p>
      <w:pPr>
        <w:spacing w:after="60"/>
      </w:pPr>
      <w:r>
        <w:rPr>
          <w:rFonts w:ascii="Poppins" w:cs="Poppins" w:eastAsia="Poppins" w:hAnsi="Poppins"/>
          <w:b/>
          <w:bCs/>
          <w:color w:val="000000"/>
          <w:sz w:val="21"/>
          <w:szCs w:val="21"/>
        </w:rPr>
        <w:t xml:space="preserve">D. </w:t>
      </w:r>
      <w:r>
        <w:rPr>
          <w:rFonts w:ascii="Poppins" w:cs="Poppins" w:eastAsia="Poppins" w:hAnsi="Poppins"/>
          <w:b w:val="false"/>
          <w:bCs w:val="false"/>
          <w:color w:val="000000"/>
          <w:sz w:val="21"/>
          <w:szCs w:val="21"/>
        </w:rPr>
        <w:t xml:space="preserve">Sustituir el control de la tensión arterial en cada visita prenatal</w:t>
      </w:r>
    </w:p>
    <w:p>
      <w:pPr>
        <w:spacing w:after="100" w:before="120"/>
      </w:pPr>
      <w:r>
        <w:rPr>
          <w:rFonts w:ascii="Poppins" w:cs="Poppins" w:eastAsia="Poppins" w:hAnsi="Poppins"/>
          <w:b/>
          <w:bCs/>
          <w:color w:val="001C31"/>
          <w:sz w:val="21"/>
          <w:szCs w:val="21"/>
        </w:rPr>
        <w:t xml:space="preserve">Respuesta correcta: A</w:t>
      </w:r>
    </w:p>
    <w:p>
      <w:pPr>
        <w:spacing w:after="60"/>
      </w:pPr>
      <w:r>
        <w:rPr>
          <w:rFonts w:ascii="Poppins" w:cs="Poppins" w:eastAsia="Poppins" w:hAnsi="Poppins"/>
          <w:b/>
          <w:bCs/>
          <w:color w:val="001C31"/>
          <w:sz w:val="21"/>
          <w:szCs w:val="21"/>
          <w:u w:val="single"/>
        </w:rPr>
        <w:t xml:space="preserve">Justificación de la respuesta correcta</w:t>
      </w:r>
    </w:p>
    <w:p>
      <w:pPr>
        <w:spacing w:after="150"/>
      </w:pPr>
      <w:r>
        <w:rPr>
          <w:rFonts w:ascii="Poppins" w:cs="Poppins" w:eastAsia="Poppins" w:hAnsi="Poppins"/>
          <w:sz w:val="21"/>
          <w:szCs w:val="21"/>
        </w:rPr>
        <w:t xml:space="preserve">La guía señala que durante las visitas prenatales es necesario el tamizaje de IVU, ya que la mayoría de las mujeres estarán asintomáticas inicialmente, siendo el diagnóstico preciso de infección de vías urinarias la base del tratamiento.</w:t>
      </w:r>
    </w:p>
    <w:p>
      <w:pPr>
        <w:spacing w:after="60"/>
      </w:pPr>
      <w:r>
        <w:rPr>
          <w:rFonts w:ascii="Poppins" w:cs="Poppins" w:eastAsia="Poppins" w:hAnsi="Poppins"/>
          <w:b/>
          <w:bCs/>
          <w:color w:val="001C31"/>
          <w:sz w:val="21"/>
          <w:szCs w:val="21"/>
          <w:u w:val="single"/>
        </w:rPr>
        <w:t xml:space="preserve">Justificación de las opciones incorrectas</w:t>
      </w:r>
    </w:p>
    <w:p>
      <w:pPr>
        <w:spacing w:after="60"/>
      </w:pPr>
      <w:r>
        <w:rPr>
          <w:rFonts w:ascii="Poppins" w:cs="Poppins" w:eastAsia="Poppins" w:hAnsi="Poppins"/>
          <w:b/>
          <w:bCs/>
          <w:sz w:val="21"/>
          <w:szCs w:val="21"/>
        </w:rPr>
        <w:t xml:space="preserve">Opción B: </w:t>
      </w:r>
      <w:r>
        <w:rPr>
          <w:rFonts w:ascii="Poppins" w:cs="Poppins" w:eastAsia="Poppins" w:hAnsi="Poppins"/>
          <w:sz w:val="21"/>
          <w:szCs w:val="21"/>
        </w:rPr>
        <w:t xml:space="preserve">El sexo del producto de la concepción no tiene relación con el tamizaje de BA ni se menciona en este contexto en la guía.</w:t>
      </w:r>
    </w:p>
    <w:p>
      <w:pPr>
        <w:spacing w:after="60"/>
      </w:pPr>
      <w:r>
        <w:rPr>
          <w:rFonts w:ascii="Poppins" w:cs="Poppins" w:eastAsia="Poppins" w:hAnsi="Poppins"/>
          <w:b/>
          <w:bCs/>
          <w:sz w:val="21"/>
          <w:szCs w:val="21"/>
        </w:rPr>
        <w:t xml:space="preserve">Opción C: </w:t>
      </w:r>
      <w:r>
        <w:rPr>
          <w:rFonts w:ascii="Poppins" w:cs="Poppins" w:eastAsia="Poppins" w:hAnsi="Poppins"/>
          <w:sz w:val="21"/>
          <w:szCs w:val="21"/>
        </w:rPr>
        <w:t xml:space="preserve">El tamizaje de BA no tiene como objetivo evaluar la función renal materna basal; su objetivo es detectar la presencia de bacteriuria significativa en orina.</w:t>
      </w:r>
    </w:p>
    <w:p>
      <w:pPr>
        <w:spacing w:after="60"/>
      </w:pPr>
      <w:r>
        <w:rPr>
          <w:rFonts w:ascii="Poppins" w:cs="Poppins" w:eastAsia="Poppins" w:hAnsi="Poppins"/>
          <w:b/>
          <w:bCs/>
          <w:sz w:val="21"/>
          <w:szCs w:val="21"/>
        </w:rPr>
        <w:t xml:space="preserve">Opción D: </w:t>
      </w:r>
      <w:r>
        <w:rPr>
          <w:rFonts w:ascii="Poppins" w:cs="Poppins" w:eastAsia="Poppins" w:hAnsi="Poppins"/>
          <w:sz w:val="21"/>
          <w:szCs w:val="21"/>
        </w:rPr>
        <w:t xml:space="preserve">El tamizaje de BA no sustituye al control de la tensión arterial; son evaluaciones distintas dentro del control prenatal integral.</w:t>
      </w:r>
    </w:p>
    <w:p>
      <w:pPr>
        <w:pBdr>
          <w:bottom w:val="single" w:color="B08D3F" w:sz="6" w:space="4"/>
        </w:pBdr>
        <w:spacing w:after="200" w:before="100"/>
      </w:pPr>
      <w:r>
        <w:rPr>
          <w:rFonts w:ascii="Poppins" w:cs="Poppins" w:eastAsia="Poppins" w:hAnsi="Poppins"/>
          <w:b/>
          <w:bCs/>
          <w:i/>
          <w:iCs/>
          <w:color w:val="B08D3F"/>
          <w:sz w:val="20"/>
          <w:szCs w:val="20"/>
        </w:rPr>
        <w:t xml:space="preserve">Referencia: </w:t>
      </w:r>
      <w:r>
        <w:rPr>
          <w:rFonts w:ascii="Poppins" w:cs="Poppins" w:eastAsia="Poppins" w:hAnsi="Poppins"/>
          <w:i/>
          <w:iCs/>
          <w:color w:val="555555"/>
          <w:sz w:val="20"/>
          <w:szCs w:val="20"/>
        </w:rPr>
        <w:t xml:space="preserve">Diagnóstico de IVU en el embarazo. Bacteriuria Asintomática (BA). Página 16.</w:t>
      </w:r>
    </w:p>
    <w:p>
      <w:pPr>
        <w:shd w:fill="001C31" w:val="clear"/>
        <w:spacing w:after="100" w:before="300"/>
      </w:pPr>
      <w:r>
        <w:rPr>
          <w:rFonts w:ascii="Poppins" w:cs="Poppins" w:eastAsia="Poppins" w:hAnsi="Poppins"/>
          <w:b/>
          <w:bCs/>
          <w:color w:val="FFFFFF"/>
          <w:sz w:val="24"/>
          <w:szCs w:val="24"/>
        </w:rPr>
        <w:t xml:space="preserve">PREGUNTA 45</w:t>
      </w:r>
    </w:p>
    <w:p>
      <w:pPr>
        <w:shd w:fill="F3ECDD" w:val="clear"/>
        <w:spacing w:after="60"/>
      </w:pPr>
      <w:r>
        <w:rPr>
          <w:rFonts w:ascii="Poppins" w:cs="Poppins" w:eastAsia="Poppins" w:hAnsi="Poppins"/>
          <w:b/>
          <w:bCs/>
          <w:i/>
          <w:iCs/>
          <w:color w:val="001C31"/>
          <w:sz w:val="21"/>
          <w:szCs w:val="21"/>
        </w:rPr>
        <w:t xml:space="preserve">Caso clínico: </w:t>
      </w:r>
      <w:r>
        <w:rPr>
          <w:rFonts w:ascii="Poppins" w:cs="Poppins" w:eastAsia="Poppins" w:hAnsi="Poppins"/>
          <w:i/>
          <w:iCs/>
          <w:sz w:val="21"/>
          <w:szCs w:val="21"/>
        </w:rPr>
        <w:t xml:space="preserve">Una paciente acude a su primer control prenatal en la semana 20 de gestación, ya que no tuvo acceso a controles previos.</w:t>
      </w:r>
    </w:p>
    <w:p>
      <w:pPr>
        <w:spacing w:after="120"/>
      </w:pPr>
      <w:r>
        <w:rPr>
          <w:rFonts w:ascii="Poppins" w:cs="Poppins" w:eastAsia="Poppins" w:hAnsi="Poppins"/>
          <w:b/>
          <w:bCs/>
          <w:color w:val="001C31"/>
          <w:sz w:val="21"/>
          <w:szCs w:val="21"/>
        </w:rPr>
        <w:t xml:space="preserve">Pregunta: </w:t>
      </w:r>
      <w:r>
        <w:rPr>
          <w:rFonts w:ascii="Poppins" w:cs="Poppins" w:eastAsia="Poppins" w:hAnsi="Poppins"/>
          <w:sz w:val="21"/>
          <w:szCs w:val="21"/>
        </w:rPr>
        <w:t xml:space="preserve">Según la GPC, ¿en qué momento debe solicitarse el urocultivo de tamizaje para BA en este caso?</w:t>
      </w:r>
    </w:p>
    <w:p>
      <w:pPr>
        <w:spacing w:after="60"/>
      </w:pPr>
      <w:r>
        <w:rPr>
          <w:rFonts w:ascii="Poppins" w:cs="Poppins" w:eastAsia="Poppins" w:hAnsi="Poppins"/>
          <w:b/>
          <w:bCs/>
          <w:color w:val="B08D3F"/>
          <w:sz w:val="21"/>
          <w:szCs w:val="21"/>
        </w:rPr>
        <w:t xml:space="preserve">A. </w:t>
      </w:r>
      <w:r>
        <w:rPr>
          <w:rFonts w:ascii="Poppins" w:cs="Poppins" w:eastAsia="Poppins" w:hAnsi="Poppins"/>
          <w:b/>
          <w:bCs/>
          <w:color w:val="B08D3F"/>
          <w:sz w:val="21"/>
          <w:szCs w:val="21"/>
        </w:rPr>
        <w:t xml:space="preserve">En la primera consulta prenatal, dado que la paciente acude por primera vez luego de la fecha recomendada (semana 12-16)</w:t>
      </w:r>
    </w:p>
    <w:p>
      <w:pPr>
        <w:spacing w:after="60"/>
      </w:pPr>
      <w:r>
        <w:rPr>
          <w:rFonts w:ascii="Poppins" w:cs="Poppins" w:eastAsia="Poppins" w:hAnsi="Poppins"/>
          <w:b/>
          <w:bCs/>
          <w:color w:val="000000"/>
          <w:sz w:val="21"/>
          <w:szCs w:val="21"/>
        </w:rPr>
        <w:t xml:space="preserve">B. </w:t>
      </w:r>
      <w:r>
        <w:rPr>
          <w:rFonts w:ascii="Poppins" w:cs="Poppins" w:eastAsia="Poppins" w:hAnsi="Poppins"/>
          <w:b w:val="false"/>
          <w:bCs w:val="false"/>
          <w:color w:val="000000"/>
          <w:sz w:val="21"/>
          <w:szCs w:val="21"/>
        </w:rPr>
        <w:t xml:space="preserve">Debe esperarse hasta la semana 30 para solicitar el urocultivo</w:t>
      </w:r>
    </w:p>
    <w:p>
      <w:pPr>
        <w:spacing w:after="60"/>
      </w:pPr>
      <w:r>
        <w:rPr>
          <w:rFonts w:ascii="Poppins" w:cs="Poppins" w:eastAsia="Poppins" w:hAnsi="Poppins"/>
          <w:b/>
          <w:bCs/>
          <w:color w:val="000000"/>
          <w:sz w:val="21"/>
          <w:szCs w:val="21"/>
        </w:rPr>
        <w:t xml:space="preserve">C. </w:t>
      </w:r>
      <w:r>
        <w:rPr>
          <w:rFonts w:ascii="Poppins" w:cs="Poppins" w:eastAsia="Poppins" w:hAnsi="Poppins"/>
          <w:b w:val="false"/>
          <w:bCs w:val="false"/>
          <w:color w:val="000000"/>
          <w:sz w:val="21"/>
          <w:szCs w:val="21"/>
        </w:rPr>
        <w:t xml:space="preserve">No corresponde realizar tamizaje si la paciente ya superó la semana 16 de gestación</w:t>
      </w:r>
    </w:p>
    <w:p>
      <w:pPr>
        <w:spacing w:after="60"/>
      </w:pPr>
      <w:r>
        <w:rPr>
          <w:rFonts w:ascii="Poppins" w:cs="Poppins" w:eastAsia="Poppins" w:hAnsi="Poppins"/>
          <w:b/>
          <w:bCs/>
          <w:color w:val="000000"/>
          <w:sz w:val="21"/>
          <w:szCs w:val="21"/>
        </w:rPr>
        <w:t xml:space="preserve">D. </w:t>
      </w:r>
      <w:r>
        <w:rPr>
          <w:rFonts w:ascii="Poppins" w:cs="Poppins" w:eastAsia="Poppins" w:hAnsi="Poppins"/>
          <w:b w:val="false"/>
          <w:bCs w:val="false"/>
          <w:color w:val="000000"/>
          <w:sz w:val="21"/>
          <w:szCs w:val="21"/>
        </w:rPr>
        <w:t xml:space="preserve">Debe solicitarse únicamente si la paciente presenta síntomas urinarios</w:t>
      </w:r>
    </w:p>
    <w:p>
      <w:pPr>
        <w:spacing w:after="100" w:before="120"/>
      </w:pPr>
      <w:r>
        <w:rPr>
          <w:rFonts w:ascii="Poppins" w:cs="Poppins" w:eastAsia="Poppins" w:hAnsi="Poppins"/>
          <w:b/>
          <w:bCs/>
          <w:color w:val="001C31"/>
          <w:sz w:val="21"/>
          <w:szCs w:val="21"/>
        </w:rPr>
        <w:t xml:space="preserve">Respuesta correcta: A</w:t>
      </w:r>
    </w:p>
    <w:p>
      <w:pPr>
        <w:spacing w:after="60"/>
      </w:pPr>
      <w:r>
        <w:rPr>
          <w:rFonts w:ascii="Poppins" w:cs="Poppins" w:eastAsia="Poppins" w:hAnsi="Poppins"/>
          <w:b/>
          <w:bCs/>
          <w:color w:val="001C31"/>
          <w:sz w:val="21"/>
          <w:szCs w:val="21"/>
          <w:u w:val="single"/>
        </w:rPr>
        <w:t xml:space="preserve">Justificación de la respuesta correcta</w:t>
      </w:r>
    </w:p>
    <w:p>
      <w:pPr>
        <w:spacing w:after="150"/>
      </w:pPr>
      <w:r>
        <w:rPr>
          <w:rFonts w:ascii="Poppins" w:cs="Poppins" w:eastAsia="Poppins" w:hAnsi="Poppins"/>
          <w:sz w:val="21"/>
          <w:szCs w:val="21"/>
        </w:rPr>
        <w:t xml:space="preserve">La guía establece que se debe solicitar el urocultivo para el tamizaje de BA en la semana 12-16 de embarazo, o en la primera consulta prenatal (según el ACOG), en caso de que la paciente acuda por primera vez a control prenatal luego de la fecha recomendada, situación que corresponde exactamente a este caso.</w:t>
      </w:r>
    </w:p>
    <w:p>
      <w:pPr>
        <w:spacing w:after="60"/>
      </w:pPr>
      <w:r>
        <w:rPr>
          <w:rFonts w:ascii="Poppins" w:cs="Poppins" w:eastAsia="Poppins" w:hAnsi="Poppins"/>
          <w:b/>
          <w:bCs/>
          <w:color w:val="001C31"/>
          <w:sz w:val="21"/>
          <w:szCs w:val="21"/>
          <w:u w:val="single"/>
        </w:rPr>
        <w:t xml:space="preserve">Justificación de las opciones incorrectas</w:t>
      </w:r>
    </w:p>
    <w:p>
      <w:pPr>
        <w:spacing w:after="60"/>
      </w:pPr>
      <w:r>
        <w:rPr>
          <w:rFonts w:ascii="Poppins" w:cs="Poppins" w:eastAsia="Poppins" w:hAnsi="Poppins"/>
          <w:b/>
          <w:bCs/>
          <w:sz w:val="21"/>
          <w:szCs w:val="21"/>
        </w:rPr>
        <w:t xml:space="preserve">Opción B: </w:t>
      </w:r>
      <w:r>
        <w:rPr>
          <w:rFonts w:ascii="Poppins" w:cs="Poppins" w:eastAsia="Poppins" w:hAnsi="Poppins"/>
          <w:sz w:val="21"/>
          <w:szCs w:val="21"/>
        </w:rPr>
        <w:t xml:space="preserve">La guía no recomienda esperar hasta la semana 30 en pacientes que acuden tardíamente a su primer control; el tamizaje debe realizarse en la primera consulta disponible.</w:t>
      </w:r>
    </w:p>
    <w:p>
      <w:pPr>
        <w:spacing w:after="60"/>
      </w:pPr>
      <w:r>
        <w:rPr>
          <w:rFonts w:ascii="Poppins" w:cs="Poppins" w:eastAsia="Poppins" w:hAnsi="Poppins"/>
          <w:b/>
          <w:bCs/>
          <w:sz w:val="21"/>
          <w:szCs w:val="21"/>
        </w:rPr>
        <w:t xml:space="preserve">Opción C: </w:t>
      </w:r>
      <w:r>
        <w:rPr>
          <w:rFonts w:ascii="Poppins" w:cs="Poppins" w:eastAsia="Poppins" w:hAnsi="Poppins"/>
          <w:sz w:val="21"/>
          <w:szCs w:val="21"/>
        </w:rPr>
        <w:t xml:space="preserve">La guía no excluye el tamizaje en pacientes que acuden después de la semana 16; por el contrario, recomienda realizarlo en la primera consulta prenatal disponible en esos casos.</w:t>
      </w:r>
    </w:p>
    <w:p>
      <w:pPr>
        <w:spacing w:after="60"/>
      </w:pPr>
      <w:r>
        <w:rPr>
          <w:rFonts w:ascii="Poppins" w:cs="Poppins" w:eastAsia="Poppins" w:hAnsi="Poppins"/>
          <w:b/>
          <w:bCs/>
          <w:sz w:val="21"/>
          <w:szCs w:val="21"/>
        </w:rPr>
        <w:t xml:space="preserve">Opción D: </w:t>
      </w:r>
      <w:r>
        <w:rPr>
          <w:rFonts w:ascii="Poppins" w:cs="Poppins" w:eastAsia="Poppins" w:hAnsi="Poppins"/>
          <w:sz w:val="21"/>
          <w:szCs w:val="21"/>
        </w:rPr>
        <w:t xml:space="preserve">La guía recomienda el tamizaje de BA independientemente de la presencia de síntomas, precisamente porque la BA es, por definición, asintomática.</w:t>
      </w:r>
    </w:p>
    <w:p>
      <w:pPr>
        <w:pBdr>
          <w:bottom w:val="single" w:color="B08D3F" w:sz="6" w:space="4"/>
        </w:pBdr>
        <w:spacing w:after="200" w:before="100"/>
      </w:pPr>
      <w:r>
        <w:rPr>
          <w:rFonts w:ascii="Poppins" w:cs="Poppins" w:eastAsia="Poppins" w:hAnsi="Poppins"/>
          <w:b/>
          <w:bCs/>
          <w:i/>
          <w:iCs/>
          <w:color w:val="B08D3F"/>
          <w:sz w:val="20"/>
          <w:szCs w:val="20"/>
        </w:rPr>
        <w:t xml:space="preserve">Referencia: </w:t>
      </w:r>
      <w:r>
        <w:rPr>
          <w:rFonts w:ascii="Poppins" w:cs="Poppins" w:eastAsia="Poppins" w:hAnsi="Poppins"/>
          <w:i/>
          <w:iCs/>
          <w:color w:val="555555"/>
          <w:sz w:val="20"/>
          <w:szCs w:val="20"/>
        </w:rPr>
        <w:t xml:space="preserve">Diagnóstico de IVU en el embarazo. Bacteriuria Asintomática (BA). Página 17.</w:t>
      </w:r>
    </w:p>
    <w:p>
      <w:pPr>
        <w:shd w:fill="001C31" w:val="clear"/>
        <w:spacing w:after="100" w:before="300"/>
      </w:pPr>
      <w:r>
        <w:rPr>
          <w:rFonts w:ascii="Poppins" w:cs="Poppins" w:eastAsia="Poppins" w:hAnsi="Poppins"/>
          <w:b/>
          <w:bCs/>
          <w:color w:val="FFFFFF"/>
          <w:sz w:val="24"/>
          <w:szCs w:val="24"/>
        </w:rPr>
        <w:t xml:space="preserve">PREGUNTA 46</w:t>
      </w:r>
    </w:p>
    <w:p>
      <w:pPr>
        <w:spacing w:after="120"/>
      </w:pPr>
      <w:r>
        <w:rPr>
          <w:rFonts w:ascii="Poppins" w:cs="Poppins" w:eastAsia="Poppins" w:hAnsi="Poppins"/>
          <w:b/>
          <w:bCs/>
          <w:color w:val="001C31"/>
          <w:sz w:val="21"/>
          <w:szCs w:val="21"/>
        </w:rPr>
        <w:t xml:space="preserve">Pregunta: </w:t>
      </w:r>
      <w:r>
        <w:rPr>
          <w:rFonts w:ascii="Poppins" w:cs="Poppins" w:eastAsia="Poppins" w:hAnsi="Poppins"/>
          <w:sz w:val="21"/>
          <w:szCs w:val="21"/>
        </w:rPr>
        <w:t xml:space="preserve">Según la GPC, ¿la sensibilidad de la detección de BA mediante EMO se ve afectada por la presencia de leucorrea?</w:t>
      </w:r>
    </w:p>
    <w:p>
      <w:pPr>
        <w:spacing w:after="60"/>
      </w:pPr>
      <w:r>
        <w:rPr>
          <w:rFonts w:ascii="Poppins" w:cs="Poppins" w:eastAsia="Poppins" w:hAnsi="Poppins"/>
          <w:b/>
          <w:bCs/>
          <w:color w:val="B08D3F"/>
          <w:sz w:val="21"/>
          <w:szCs w:val="21"/>
        </w:rPr>
        <w:t xml:space="preserve">A. </w:t>
      </w:r>
      <w:r>
        <w:rPr>
          <w:rFonts w:ascii="Poppins" w:cs="Poppins" w:eastAsia="Poppins" w:hAnsi="Poppins"/>
          <w:b/>
          <w:bCs/>
          <w:color w:val="B08D3F"/>
          <w:sz w:val="21"/>
          <w:szCs w:val="21"/>
        </w:rPr>
        <w:t xml:space="preserve">Sí, la sensibilidad de la detección mediante EMO disminuye ante la presencia de leucorrea</w:t>
      </w:r>
    </w:p>
    <w:p>
      <w:pPr>
        <w:spacing w:after="60"/>
      </w:pPr>
      <w:r>
        <w:rPr>
          <w:rFonts w:ascii="Poppins" w:cs="Poppins" w:eastAsia="Poppins" w:hAnsi="Poppins"/>
          <w:b/>
          <w:bCs/>
          <w:color w:val="000000"/>
          <w:sz w:val="21"/>
          <w:szCs w:val="21"/>
        </w:rPr>
        <w:t xml:space="preserve">B. </w:t>
      </w:r>
      <w:r>
        <w:rPr>
          <w:rFonts w:ascii="Poppins" w:cs="Poppins" w:eastAsia="Poppins" w:hAnsi="Poppins"/>
          <w:b w:val="false"/>
          <w:bCs w:val="false"/>
          <w:color w:val="000000"/>
          <w:sz w:val="21"/>
          <w:szCs w:val="21"/>
        </w:rPr>
        <w:t xml:space="preserve">No, la leucorrea no tiene ningún efecto sobre la sensibilidad del EMO para BA</w:t>
      </w:r>
    </w:p>
    <w:p>
      <w:pPr>
        <w:spacing w:after="60"/>
      </w:pPr>
      <w:r>
        <w:rPr>
          <w:rFonts w:ascii="Poppins" w:cs="Poppins" w:eastAsia="Poppins" w:hAnsi="Poppins"/>
          <w:b/>
          <w:bCs/>
          <w:color w:val="000000"/>
          <w:sz w:val="21"/>
          <w:szCs w:val="21"/>
        </w:rPr>
        <w:t xml:space="preserve">C. </w:t>
      </w:r>
      <w:r>
        <w:rPr>
          <w:rFonts w:ascii="Poppins" w:cs="Poppins" w:eastAsia="Poppins" w:hAnsi="Poppins"/>
          <w:b w:val="false"/>
          <w:bCs w:val="false"/>
          <w:color w:val="000000"/>
          <w:sz w:val="21"/>
          <w:szCs w:val="21"/>
        </w:rPr>
        <w:t xml:space="preserve">La leucorrea aumenta la sensibilidad del EMO para el diagnóstico de BA</w:t>
      </w:r>
    </w:p>
    <w:p>
      <w:pPr>
        <w:spacing w:after="60"/>
      </w:pPr>
      <w:r>
        <w:rPr>
          <w:rFonts w:ascii="Poppins" w:cs="Poppins" w:eastAsia="Poppins" w:hAnsi="Poppins"/>
          <w:b/>
          <w:bCs/>
          <w:color w:val="000000"/>
          <w:sz w:val="21"/>
          <w:szCs w:val="21"/>
        </w:rPr>
        <w:t xml:space="preserve">D. </w:t>
      </w:r>
      <w:r>
        <w:rPr>
          <w:rFonts w:ascii="Poppins" w:cs="Poppins" w:eastAsia="Poppins" w:hAnsi="Poppins"/>
          <w:b w:val="false"/>
          <w:bCs w:val="false"/>
          <w:color w:val="000000"/>
          <w:sz w:val="21"/>
          <w:szCs w:val="21"/>
        </w:rPr>
        <w:t xml:space="preserve">La guía no menciona ninguna relación entre leucorrea y la sensibilidad del EMO</w:t>
      </w:r>
    </w:p>
    <w:p>
      <w:pPr>
        <w:spacing w:after="100" w:before="120"/>
      </w:pPr>
      <w:r>
        <w:rPr>
          <w:rFonts w:ascii="Poppins" w:cs="Poppins" w:eastAsia="Poppins" w:hAnsi="Poppins"/>
          <w:b/>
          <w:bCs/>
          <w:color w:val="001C31"/>
          <w:sz w:val="21"/>
          <w:szCs w:val="21"/>
        </w:rPr>
        <w:t xml:space="preserve">Respuesta correcta: A</w:t>
      </w:r>
    </w:p>
    <w:p>
      <w:pPr>
        <w:spacing w:after="60"/>
      </w:pPr>
      <w:r>
        <w:rPr>
          <w:rFonts w:ascii="Poppins" w:cs="Poppins" w:eastAsia="Poppins" w:hAnsi="Poppins"/>
          <w:b/>
          <w:bCs/>
          <w:color w:val="001C31"/>
          <w:sz w:val="21"/>
          <w:szCs w:val="21"/>
          <w:u w:val="single"/>
        </w:rPr>
        <w:t xml:space="preserve">Justificación de la respuesta correcta</w:t>
      </w:r>
    </w:p>
    <w:p>
      <w:pPr>
        <w:spacing w:after="150"/>
      </w:pPr>
      <w:r>
        <w:rPr>
          <w:rFonts w:ascii="Poppins" w:cs="Poppins" w:eastAsia="Poppins" w:hAnsi="Poppins"/>
          <w:sz w:val="21"/>
          <w:szCs w:val="21"/>
        </w:rPr>
        <w:t xml:space="preserve">La guía establece explícitamente que la sensibilidad de la detección de BA a través del examen general de orina o con tirillas reactivas disminuye ante la presencia de leucorrea, lo que constituye una de las razones por las que estos métodos no deben usarse para el tamizaje de BA.</w:t>
      </w:r>
    </w:p>
    <w:p>
      <w:pPr>
        <w:spacing w:after="60"/>
      </w:pPr>
      <w:r>
        <w:rPr>
          <w:rFonts w:ascii="Poppins" w:cs="Poppins" w:eastAsia="Poppins" w:hAnsi="Poppins"/>
          <w:b/>
          <w:bCs/>
          <w:color w:val="001C31"/>
          <w:sz w:val="21"/>
          <w:szCs w:val="21"/>
          <w:u w:val="single"/>
        </w:rPr>
        <w:t xml:space="preserve">Justificación de las opciones incorrectas</w:t>
      </w:r>
    </w:p>
    <w:p>
      <w:pPr>
        <w:spacing w:after="60"/>
      </w:pPr>
      <w:r>
        <w:rPr>
          <w:rFonts w:ascii="Poppins" w:cs="Poppins" w:eastAsia="Poppins" w:hAnsi="Poppins"/>
          <w:b/>
          <w:bCs/>
          <w:sz w:val="21"/>
          <w:szCs w:val="21"/>
        </w:rPr>
        <w:t xml:space="preserve">Opción B: </w:t>
      </w:r>
      <w:r>
        <w:rPr>
          <w:rFonts w:ascii="Poppins" w:cs="Poppins" w:eastAsia="Poppins" w:hAnsi="Poppins"/>
          <w:sz w:val="21"/>
          <w:szCs w:val="21"/>
        </w:rPr>
        <w:t xml:space="preserve">La guía sí documenta un efecto negativo de la leucorrea sobre la sensibilidad del EMO para la detección de BA.</w:t>
      </w:r>
    </w:p>
    <w:p>
      <w:pPr>
        <w:spacing w:after="60"/>
      </w:pPr>
      <w:r>
        <w:rPr>
          <w:rFonts w:ascii="Poppins" w:cs="Poppins" w:eastAsia="Poppins" w:hAnsi="Poppins"/>
          <w:b/>
          <w:bCs/>
          <w:sz w:val="21"/>
          <w:szCs w:val="21"/>
        </w:rPr>
        <w:t xml:space="preserve">Opción C: </w:t>
      </w:r>
      <w:r>
        <w:rPr>
          <w:rFonts w:ascii="Poppins" w:cs="Poppins" w:eastAsia="Poppins" w:hAnsi="Poppins"/>
          <w:sz w:val="21"/>
          <w:szCs w:val="21"/>
        </w:rPr>
        <w:t xml:space="preserve">La guía indica que la leucorrea disminuye, no aumenta, la sensibilidad del EMO para la detección de BA.</w:t>
      </w:r>
    </w:p>
    <w:p>
      <w:pPr>
        <w:spacing w:after="60"/>
      </w:pPr>
      <w:r>
        <w:rPr>
          <w:rFonts w:ascii="Poppins" w:cs="Poppins" w:eastAsia="Poppins" w:hAnsi="Poppins"/>
          <w:b/>
          <w:bCs/>
          <w:sz w:val="21"/>
          <w:szCs w:val="21"/>
        </w:rPr>
        <w:t xml:space="preserve">Opción D: </w:t>
      </w:r>
      <w:r>
        <w:rPr>
          <w:rFonts w:ascii="Poppins" w:cs="Poppins" w:eastAsia="Poppins" w:hAnsi="Poppins"/>
          <w:sz w:val="21"/>
          <w:szCs w:val="21"/>
        </w:rPr>
        <w:t xml:space="preserve">La guía sí menciona explícitamente esta relación en dos apartados distintos del texto (diagnóstico de BA y diagnóstico de cistitis).</w:t>
      </w:r>
    </w:p>
    <w:p>
      <w:pPr>
        <w:pBdr>
          <w:bottom w:val="single" w:color="B08D3F" w:sz="6" w:space="4"/>
        </w:pBdr>
        <w:spacing w:after="200" w:before="100"/>
      </w:pPr>
      <w:r>
        <w:rPr>
          <w:rFonts w:ascii="Poppins" w:cs="Poppins" w:eastAsia="Poppins" w:hAnsi="Poppins"/>
          <w:b/>
          <w:bCs/>
          <w:i/>
          <w:iCs/>
          <w:color w:val="B08D3F"/>
          <w:sz w:val="20"/>
          <w:szCs w:val="20"/>
        </w:rPr>
        <w:t xml:space="preserve">Referencia: </w:t>
      </w:r>
      <w:r>
        <w:rPr>
          <w:rFonts w:ascii="Poppins" w:cs="Poppins" w:eastAsia="Poppins" w:hAnsi="Poppins"/>
          <w:i/>
          <w:iCs/>
          <w:color w:val="555555"/>
          <w:sz w:val="20"/>
          <w:szCs w:val="20"/>
        </w:rPr>
        <w:t xml:space="preserve">Diagnóstico de IVU en el embarazo. Bacteriuria Asintomática (BA). Página 16.</w:t>
      </w:r>
    </w:p>
    <w:p>
      <w:pPr>
        <w:shd w:fill="001C31" w:val="clear"/>
        <w:spacing w:after="100" w:before="300"/>
      </w:pPr>
      <w:r>
        <w:rPr>
          <w:rFonts w:ascii="Poppins" w:cs="Poppins" w:eastAsia="Poppins" w:hAnsi="Poppins"/>
          <w:b/>
          <w:bCs/>
          <w:color w:val="FFFFFF"/>
          <w:sz w:val="24"/>
          <w:szCs w:val="24"/>
        </w:rPr>
        <w:t xml:space="preserve">PREGUNTA 47</w:t>
      </w:r>
    </w:p>
    <w:p>
      <w:pPr>
        <w:shd w:fill="F3ECDD" w:val="clear"/>
        <w:spacing w:after="60"/>
      </w:pPr>
      <w:r>
        <w:rPr>
          <w:rFonts w:ascii="Poppins" w:cs="Poppins" w:eastAsia="Poppins" w:hAnsi="Poppins"/>
          <w:b/>
          <w:bCs/>
          <w:i/>
          <w:iCs/>
          <w:color w:val="001C31"/>
          <w:sz w:val="21"/>
          <w:szCs w:val="21"/>
        </w:rPr>
        <w:t xml:space="preserve">Caso clínico: </w:t>
      </w:r>
      <w:r>
        <w:rPr>
          <w:rFonts w:ascii="Poppins" w:cs="Poppins" w:eastAsia="Poppins" w:hAnsi="Poppins"/>
          <w:i/>
          <w:iCs/>
          <w:sz w:val="21"/>
          <w:szCs w:val="21"/>
        </w:rPr>
        <w:t xml:space="preserve">Una paciente embarazada sin otra patología conocida presenta disuria, polaquiuria y urgencia urinaria, sin síntomas vaginales asociados.</w:t>
      </w:r>
    </w:p>
    <w:p>
      <w:pPr>
        <w:spacing w:after="120"/>
      </w:pPr>
      <w:r>
        <w:rPr>
          <w:rFonts w:ascii="Poppins" w:cs="Poppins" w:eastAsia="Poppins" w:hAnsi="Poppins"/>
          <w:b/>
          <w:bCs/>
          <w:color w:val="001C31"/>
          <w:sz w:val="21"/>
          <w:szCs w:val="21"/>
        </w:rPr>
        <w:t xml:space="preserve">Pregunta: </w:t>
      </w:r>
      <w:r>
        <w:rPr>
          <w:rFonts w:ascii="Poppins" w:cs="Poppins" w:eastAsia="Poppins" w:hAnsi="Poppins"/>
          <w:sz w:val="21"/>
          <w:szCs w:val="21"/>
        </w:rPr>
        <w:t xml:space="preserve">Según la GPC, ¿es necesario solicitar urocultivo antes de iniciar el tratamiento en este caso?</w:t>
      </w:r>
    </w:p>
    <w:p>
      <w:pPr>
        <w:spacing w:after="60"/>
      </w:pPr>
      <w:r>
        <w:rPr>
          <w:rFonts w:ascii="Poppins" w:cs="Poppins" w:eastAsia="Poppins" w:hAnsi="Poppins"/>
          <w:b/>
          <w:bCs/>
          <w:color w:val="B08D3F"/>
          <w:sz w:val="21"/>
          <w:szCs w:val="21"/>
        </w:rPr>
        <w:t xml:space="preserve">A. </w:t>
      </w:r>
      <w:r>
        <w:rPr>
          <w:rFonts w:ascii="Poppins" w:cs="Poppins" w:eastAsia="Poppins" w:hAnsi="Poppins"/>
          <w:b/>
          <w:bCs/>
          <w:color w:val="B08D3F"/>
          <w:sz w:val="21"/>
          <w:szCs w:val="21"/>
        </w:rPr>
        <w:t xml:space="preserve">No, en mujeres sin otra patología el diagnóstico puede realizarse sobre la base de los datos clínicos, sin requerir urocultivo para iniciar el tratamiento</w:t>
      </w:r>
    </w:p>
    <w:p>
      <w:pPr>
        <w:spacing w:after="60"/>
      </w:pPr>
      <w:r>
        <w:rPr>
          <w:rFonts w:ascii="Poppins" w:cs="Poppins" w:eastAsia="Poppins" w:hAnsi="Poppins"/>
          <w:b/>
          <w:bCs/>
          <w:color w:val="000000"/>
          <w:sz w:val="21"/>
          <w:szCs w:val="21"/>
        </w:rPr>
        <w:t xml:space="preserve">B. </w:t>
      </w:r>
      <w:r>
        <w:rPr>
          <w:rFonts w:ascii="Poppins" w:cs="Poppins" w:eastAsia="Poppins" w:hAnsi="Poppins"/>
          <w:b w:val="false"/>
          <w:bCs w:val="false"/>
          <w:color w:val="000000"/>
          <w:sz w:val="21"/>
          <w:szCs w:val="21"/>
        </w:rPr>
        <w:t xml:space="preserve">Sí, el urocultivo es obligatorio antes de iniciar cualquier tratamiento de cistitis</w:t>
      </w:r>
    </w:p>
    <w:p>
      <w:pPr>
        <w:spacing w:after="60"/>
      </w:pPr>
      <w:r>
        <w:rPr>
          <w:rFonts w:ascii="Poppins" w:cs="Poppins" w:eastAsia="Poppins" w:hAnsi="Poppins"/>
          <w:b/>
          <w:bCs/>
          <w:color w:val="000000"/>
          <w:sz w:val="21"/>
          <w:szCs w:val="21"/>
        </w:rPr>
        <w:t xml:space="preserve">C. </w:t>
      </w:r>
      <w:r>
        <w:rPr>
          <w:rFonts w:ascii="Poppins" w:cs="Poppins" w:eastAsia="Poppins" w:hAnsi="Poppins"/>
          <w:b w:val="false"/>
          <w:bCs w:val="false"/>
          <w:color w:val="000000"/>
          <w:sz w:val="21"/>
          <w:szCs w:val="21"/>
        </w:rPr>
        <w:t xml:space="preserve">Sí, se debe esperar el resultado del urocultivo durante al menos 5 días antes de tratar</w:t>
      </w:r>
    </w:p>
    <w:p>
      <w:pPr>
        <w:spacing w:after="60"/>
      </w:pPr>
      <w:r>
        <w:rPr>
          <w:rFonts w:ascii="Poppins" w:cs="Poppins" w:eastAsia="Poppins" w:hAnsi="Poppins"/>
          <w:b/>
          <w:bCs/>
          <w:color w:val="000000"/>
          <w:sz w:val="21"/>
          <w:szCs w:val="21"/>
        </w:rPr>
        <w:t xml:space="preserve">D. </w:t>
      </w:r>
      <w:r>
        <w:rPr>
          <w:rFonts w:ascii="Poppins" w:cs="Poppins" w:eastAsia="Poppins" w:hAnsi="Poppins"/>
          <w:b w:val="false"/>
          <w:bCs w:val="false"/>
          <w:color w:val="000000"/>
          <w:sz w:val="21"/>
          <w:szCs w:val="21"/>
        </w:rPr>
        <w:t xml:space="preserve">No se debe iniciar ningún tratamiento sin antes descartar pielonefritis mediante ecografía renal</w:t>
      </w:r>
    </w:p>
    <w:p>
      <w:pPr>
        <w:spacing w:after="100" w:before="120"/>
      </w:pPr>
      <w:r>
        <w:rPr>
          <w:rFonts w:ascii="Poppins" w:cs="Poppins" w:eastAsia="Poppins" w:hAnsi="Poppins"/>
          <w:b/>
          <w:bCs/>
          <w:color w:val="001C31"/>
          <w:sz w:val="21"/>
          <w:szCs w:val="21"/>
        </w:rPr>
        <w:t xml:space="preserve">Respuesta correcta: A</w:t>
      </w:r>
    </w:p>
    <w:p>
      <w:pPr>
        <w:spacing w:after="60"/>
      </w:pPr>
      <w:r>
        <w:rPr>
          <w:rFonts w:ascii="Poppins" w:cs="Poppins" w:eastAsia="Poppins" w:hAnsi="Poppins"/>
          <w:b/>
          <w:bCs/>
          <w:color w:val="001C31"/>
          <w:sz w:val="21"/>
          <w:szCs w:val="21"/>
          <w:u w:val="single"/>
        </w:rPr>
        <w:t xml:space="preserve">Justificación de la respuesta correcta</w:t>
      </w:r>
    </w:p>
    <w:p>
      <w:pPr>
        <w:spacing w:after="150"/>
      </w:pPr>
      <w:r>
        <w:rPr>
          <w:rFonts w:ascii="Poppins" w:cs="Poppins" w:eastAsia="Poppins" w:hAnsi="Poppins"/>
          <w:sz w:val="21"/>
          <w:szCs w:val="21"/>
        </w:rPr>
        <w:t xml:space="preserve">La guía establece (C 3) que en mujeres sin otra patología, el diagnóstico de cistitis puede realizarse sobre la base de los datos clínicos, sin requerir solicitar urocultivo para iniciar el tratamiento, señalando que los datos clínicos junto con el examen general de orina tienen una sensibilidad alta (70% a 80%) para el diagnóstico de cistitis.</w:t>
      </w:r>
    </w:p>
    <w:p>
      <w:pPr>
        <w:spacing w:after="60"/>
      </w:pPr>
      <w:r>
        <w:rPr>
          <w:rFonts w:ascii="Poppins" w:cs="Poppins" w:eastAsia="Poppins" w:hAnsi="Poppins"/>
          <w:b/>
          <w:bCs/>
          <w:color w:val="001C31"/>
          <w:sz w:val="21"/>
          <w:szCs w:val="21"/>
          <w:u w:val="single"/>
        </w:rPr>
        <w:t xml:space="preserve">Justificación de las opciones incorrectas</w:t>
      </w:r>
    </w:p>
    <w:p>
      <w:pPr>
        <w:spacing w:after="60"/>
      </w:pPr>
      <w:r>
        <w:rPr>
          <w:rFonts w:ascii="Poppins" w:cs="Poppins" w:eastAsia="Poppins" w:hAnsi="Poppins"/>
          <w:b/>
          <w:bCs/>
          <w:sz w:val="21"/>
          <w:szCs w:val="21"/>
        </w:rPr>
        <w:t xml:space="preserve">Opción B: </w:t>
      </w:r>
      <w:r>
        <w:rPr>
          <w:rFonts w:ascii="Poppins" w:cs="Poppins" w:eastAsia="Poppins" w:hAnsi="Poppins"/>
          <w:sz w:val="21"/>
          <w:szCs w:val="21"/>
        </w:rPr>
        <w:t xml:space="preserve">La guía indica explícitamente que no se requiere urocultivo para iniciar el tratamiento en mujeres sin otra patología asociada; el diagnóstico puede basarse en los datos clínicos.</w:t>
      </w:r>
    </w:p>
    <w:p>
      <w:pPr>
        <w:spacing w:after="60"/>
      </w:pPr>
      <w:r>
        <w:rPr>
          <w:rFonts w:ascii="Poppins" w:cs="Poppins" w:eastAsia="Poppins" w:hAnsi="Poppins"/>
          <w:b/>
          <w:bCs/>
          <w:sz w:val="21"/>
          <w:szCs w:val="21"/>
        </w:rPr>
        <w:t xml:space="preserve">Opción C: </w:t>
      </w:r>
      <w:r>
        <w:rPr>
          <w:rFonts w:ascii="Poppins" w:cs="Poppins" w:eastAsia="Poppins" w:hAnsi="Poppins"/>
          <w:sz w:val="21"/>
          <w:szCs w:val="21"/>
        </w:rPr>
        <w:t xml:space="preserve">La guía no recomienda esperar el resultado del urocultivo antes de iniciar tratamiento; el manejo de la cistitis debe iniciarse frente a la paciente sintomática, idealmente luego de la toma de la muestra, pero sin esperar el resultado para iniciar el tratamiento empírico.</w:t>
      </w:r>
    </w:p>
    <w:p>
      <w:pPr>
        <w:spacing w:after="60"/>
      </w:pPr>
      <w:r>
        <w:rPr>
          <w:rFonts w:ascii="Poppins" w:cs="Poppins" w:eastAsia="Poppins" w:hAnsi="Poppins"/>
          <w:b/>
          <w:bCs/>
          <w:sz w:val="21"/>
          <w:szCs w:val="21"/>
        </w:rPr>
        <w:t xml:space="preserve">Opción D: </w:t>
      </w:r>
      <w:r>
        <w:rPr>
          <w:rFonts w:ascii="Poppins" w:cs="Poppins" w:eastAsia="Poppins" w:hAnsi="Poppins"/>
          <w:sz w:val="21"/>
          <w:szCs w:val="21"/>
        </w:rPr>
        <w:t xml:space="preserve">La guía no exige descartar pielonefritis mediante ecografía renal antes de tratar la cistitis; el diagnóstico diferencial se basa en la ausencia de afección sistémica en los datos clínicos.</w:t>
      </w:r>
    </w:p>
    <w:p>
      <w:pPr>
        <w:pBdr>
          <w:bottom w:val="single" w:color="B08D3F" w:sz="6" w:space="4"/>
        </w:pBdr>
        <w:spacing w:after="200" w:before="100"/>
      </w:pPr>
      <w:r>
        <w:rPr>
          <w:rFonts w:ascii="Poppins" w:cs="Poppins" w:eastAsia="Poppins" w:hAnsi="Poppins"/>
          <w:b/>
          <w:bCs/>
          <w:i/>
          <w:iCs/>
          <w:color w:val="B08D3F"/>
          <w:sz w:val="20"/>
          <w:szCs w:val="20"/>
        </w:rPr>
        <w:t xml:space="preserve">Referencia: </w:t>
      </w:r>
      <w:r>
        <w:rPr>
          <w:rFonts w:ascii="Poppins" w:cs="Poppins" w:eastAsia="Poppins" w:hAnsi="Poppins"/>
          <w:i/>
          <w:iCs/>
          <w:color w:val="555555"/>
          <w:sz w:val="20"/>
          <w:szCs w:val="20"/>
        </w:rPr>
        <w:t xml:space="preserve">Evidencias y recomendaciones. Cistitis. Página 17.</w:t>
      </w:r>
    </w:p>
    <w:p>
      <w:pPr>
        <w:shd w:fill="001C31" w:val="clear"/>
        <w:spacing w:after="100" w:before="300"/>
      </w:pPr>
      <w:r>
        <w:rPr>
          <w:rFonts w:ascii="Poppins" w:cs="Poppins" w:eastAsia="Poppins" w:hAnsi="Poppins"/>
          <w:b/>
          <w:bCs/>
          <w:color w:val="FFFFFF"/>
          <w:sz w:val="24"/>
          <w:szCs w:val="24"/>
        </w:rPr>
        <w:t xml:space="preserve">PREGUNTA 48</w:t>
      </w:r>
    </w:p>
    <w:p>
      <w:pPr>
        <w:spacing w:after="120"/>
      </w:pPr>
      <w:r>
        <w:rPr>
          <w:rFonts w:ascii="Poppins" w:cs="Poppins" w:eastAsia="Poppins" w:hAnsi="Poppins"/>
          <w:b/>
          <w:bCs/>
          <w:color w:val="001C31"/>
          <w:sz w:val="21"/>
          <w:szCs w:val="21"/>
        </w:rPr>
        <w:t xml:space="preserve">Pregunta: </w:t>
      </w:r>
      <w:r>
        <w:rPr>
          <w:rFonts w:ascii="Poppins" w:cs="Poppins" w:eastAsia="Poppins" w:hAnsi="Poppins"/>
          <w:sz w:val="21"/>
          <w:szCs w:val="21"/>
        </w:rPr>
        <w:t xml:space="preserve">Según la GPC, ¿cuál es la sensibilidad de los datos clínicos y del examen general de orina para el diagnóstico de cistitis, en ausencia de síntomas vaginales?</w:t>
      </w:r>
    </w:p>
    <w:p>
      <w:pPr>
        <w:spacing w:after="60"/>
      </w:pPr>
      <w:r>
        <w:rPr>
          <w:rFonts w:ascii="Poppins" w:cs="Poppins" w:eastAsia="Poppins" w:hAnsi="Poppins"/>
          <w:b/>
          <w:bCs/>
          <w:color w:val="B08D3F"/>
          <w:sz w:val="21"/>
          <w:szCs w:val="21"/>
        </w:rPr>
        <w:t xml:space="preserve">A. </w:t>
      </w:r>
      <w:r>
        <w:rPr>
          <w:rFonts w:ascii="Poppins" w:cs="Poppins" w:eastAsia="Poppins" w:hAnsi="Poppins"/>
          <w:b/>
          <w:bCs/>
          <w:color w:val="B08D3F"/>
          <w:sz w:val="21"/>
          <w:szCs w:val="21"/>
        </w:rPr>
        <w:t xml:space="preserve">70% a 80%</w:t>
      </w:r>
    </w:p>
    <w:p>
      <w:pPr>
        <w:spacing w:after="60"/>
      </w:pPr>
      <w:r>
        <w:rPr>
          <w:rFonts w:ascii="Poppins" w:cs="Poppins" w:eastAsia="Poppins" w:hAnsi="Poppins"/>
          <w:b/>
          <w:bCs/>
          <w:color w:val="000000"/>
          <w:sz w:val="21"/>
          <w:szCs w:val="21"/>
        </w:rPr>
        <w:t xml:space="preserve">B. </w:t>
      </w:r>
      <w:r>
        <w:rPr>
          <w:rFonts w:ascii="Poppins" w:cs="Poppins" w:eastAsia="Poppins" w:hAnsi="Poppins"/>
          <w:b w:val="false"/>
          <w:bCs w:val="false"/>
          <w:color w:val="000000"/>
          <w:sz w:val="21"/>
          <w:szCs w:val="21"/>
        </w:rPr>
        <w:t xml:space="preserve">10% a 20%</w:t>
      </w:r>
    </w:p>
    <w:p>
      <w:pPr>
        <w:spacing w:after="60"/>
      </w:pPr>
      <w:r>
        <w:rPr>
          <w:rFonts w:ascii="Poppins" w:cs="Poppins" w:eastAsia="Poppins" w:hAnsi="Poppins"/>
          <w:b/>
          <w:bCs/>
          <w:color w:val="000000"/>
          <w:sz w:val="21"/>
          <w:szCs w:val="21"/>
        </w:rPr>
        <w:t xml:space="preserve">C. </w:t>
      </w:r>
      <w:r>
        <w:rPr>
          <w:rFonts w:ascii="Poppins" w:cs="Poppins" w:eastAsia="Poppins" w:hAnsi="Poppins"/>
          <w:b w:val="false"/>
          <w:bCs w:val="false"/>
          <w:color w:val="000000"/>
          <w:sz w:val="21"/>
          <w:szCs w:val="21"/>
        </w:rPr>
        <w:t xml:space="preserve">95% a 100%</w:t>
      </w:r>
    </w:p>
    <w:p>
      <w:pPr>
        <w:spacing w:after="60"/>
      </w:pPr>
      <w:r>
        <w:rPr>
          <w:rFonts w:ascii="Poppins" w:cs="Poppins" w:eastAsia="Poppins" w:hAnsi="Poppins"/>
          <w:b/>
          <w:bCs/>
          <w:color w:val="000000"/>
          <w:sz w:val="21"/>
          <w:szCs w:val="21"/>
        </w:rPr>
        <w:t xml:space="preserve">D. </w:t>
      </w:r>
      <w:r>
        <w:rPr>
          <w:rFonts w:ascii="Poppins" w:cs="Poppins" w:eastAsia="Poppins" w:hAnsi="Poppins"/>
          <w:b w:val="false"/>
          <w:bCs w:val="false"/>
          <w:color w:val="000000"/>
          <w:sz w:val="21"/>
          <w:szCs w:val="21"/>
        </w:rPr>
        <w:t xml:space="preserve">30% a 40%</w:t>
      </w:r>
    </w:p>
    <w:p>
      <w:pPr>
        <w:spacing w:after="100" w:before="120"/>
      </w:pPr>
      <w:r>
        <w:rPr>
          <w:rFonts w:ascii="Poppins" w:cs="Poppins" w:eastAsia="Poppins" w:hAnsi="Poppins"/>
          <w:b/>
          <w:bCs/>
          <w:color w:val="001C31"/>
          <w:sz w:val="21"/>
          <w:szCs w:val="21"/>
        </w:rPr>
        <w:t xml:space="preserve">Respuesta correcta: A</w:t>
      </w:r>
    </w:p>
    <w:p>
      <w:pPr>
        <w:spacing w:after="60"/>
      </w:pPr>
      <w:r>
        <w:rPr>
          <w:rFonts w:ascii="Poppins" w:cs="Poppins" w:eastAsia="Poppins" w:hAnsi="Poppins"/>
          <w:b/>
          <w:bCs/>
          <w:color w:val="001C31"/>
          <w:sz w:val="21"/>
          <w:szCs w:val="21"/>
          <w:u w:val="single"/>
        </w:rPr>
        <w:t xml:space="preserve">Justificación de la respuesta correcta</w:t>
      </w:r>
    </w:p>
    <w:p>
      <w:pPr>
        <w:spacing w:after="150"/>
      </w:pPr>
      <w:r>
        <w:rPr>
          <w:rFonts w:ascii="Poppins" w:cs="Poppins" w:eastAsia="Poppins" w:hAnsi="Poppins"/>
          <w:sz w:val="21"/>
          <w:szCs w:val="21"/>
        </w:rPr>
        <w:t xml:space="preserve">La guía establece (C 3) que los datos clínicos de cistitis y del examen general de orina (disuria, polaquiuria, urgencia urinaria, así como piuria y hematuria en ausencia de síntomas vaginales), sin evidencia de enfermedad sistémica, tienen una sensibilidad alta de 70% a 80% para el diagnóstico de cistitis.</w:t>
      </w:r>
    </w:p>
    <w:p>
      <w:pPr>
        <w:spacing w:after="60"/>
      </w:pPr>
      <w:r>
        <w:rPr>
          <w:rFonts w:ascii="Poppins" w:cs="Poppins" w:eastAsia="Poppins" w:hAnsi="Poppins"/>
          <w:b/>
          <w:bCs/>
          <w:color w:val="001C31"/>
          <w:sz w:val="21"/>
          <w:szCs w:val="21"/>
          <w:u w:val="single"/>
        </w:rPr>
        <w:t xml:space="preserve">Justificación de las opciones incorrectas</w:t>
      </w:r>
    </w:p>
    <w:p>
      <w:pPr>
        <w:spacing w:after="60"/>
      </w:pPr>
      <w:r>
        <w:rPr>
          <w:rFonts w:ascii="Poppins" w:cs="Poppins" w:eastAsia="Poppins" w:hAnsi="Poppins"/>
          <w:b/>
          <w:bCs/>
          <w:sz w:val="21"/>
          <w:szCs w:val="21"/>
        </w:rPr>
        <w:t xml:space="preserve">Opción B: </w:t>
      </w:r>
      <w:r>
        <w:rPr>
          <w:rFonts w:ascii="Poppins" w:cs="Poppins" w:eastAsia="Poppins" w:hAnsi="Poppins"/>
          <w:sz w:val="21"/>
          <w:szCs w:val="21"/>
        </w:rPr>
        <w:t xml:space="preserve">El rango de 10% a 20% subestima considerablemente el dato de sensibilidad reportado por la guía para el diagnóstico clínico de cistitis.</w:t>
      </w:r>
    </w:p>
    <w:p>
      <w:pPr>
        <w:spacing w:after="60"/>
      </w:pPr>
      <w:r>
        <w:rPr>
          <w:rFonts w:ascii="Poppins" w:cs="Poppins" w:eastAsia="Poppins" w:hAnsi="Poppins"/>
          <w:b/>
          <w:bCs/>
          <w:sz w:val="21"/>
          <w:szCs w:val="21"/>
        </w:rPr>
        <w:t xml:space="preserve">Opción C: </w:t>
      </w:r>
      <w:r>
        <w:rPr>
          <w:rFonts w:ascii="Poppins" w:cs="Poppins" w:eastAsia="Poppins" w:hAnsi="Poppins"/>
          <w:sz w:val="21"/>
          <w:szCs w:val="21"/>
        </w:rPr>
        <w:t xml:space="preserve">El rango de 95% a 100% sobreestima el dato reportado por la guía; el valor específico citado es de 70% a 80%.</w:t>
      </w:r>
    </w:p>
    <w:p>
      <w:pPr>
        <w:spacing w:after="60"/>
      </w:pPr>
      <w:r>
        <w:rPr>
          <w:rFonts w:ascii="Poppins" w:cs="Poppins" w:eastAsia="Poppins" w:hAnsi="Poppins"/>
          <w:b/>
          <w:bCs/>
          <w:sz w:val="21"/>
          <w:szCs w:val="21"/>
        </w:rPr>
        <w:t xml:space="preserve">Opción D: </w:t>
      </w:r>
      <w:r>
        <w:rPr>
          <w:rFonts w:ascii="Poppins" w:cs="Poppins" w:eastAsia="Poppins" w:hAnsi="Poppins"/>
          <w:sz w:val="21"/>
          <w:szCs w:val="21"/>
        </w:rPr>
        <w:t xml:space="preserve">El rango de 30% a 40% subestima el dato de sensibilidad reportado por la guía para el diagnóstico clínico de cistitis.</w:t>
      </w:r>
    </w:p>
    <w:p>
      <w:pPr>
        <w:pBdr>
          <w:bottom w:val="single" w:color="B08D3F" w:sz="6" w:space="4"/>
        </w:pBdr>
        <w:spacing w:after="200" w:before="100"/>
      </w:pPr>
      <w:r>
        <w:rPr>
          <w:rFonts w:ascii="Poppins" w:cs="Poppins" w:eastAsia="Poppins" w:hAnsi="Poppins"/>
          <w:b/>
          <w:bCs/>
          <w:i/>
          <w:iCs/>
          <w:color w:val="B08D3F"/>
          <w:sz w:val="20"/>
          <w:szCs w:val="20"/>
        </w:rPr>
        <w:t xml:space="preserve">Referencia: </w:t>
      </w:r>
      <w:r>
        <w:rPr>
          <w:rFonts w:ascii="Poppins" w:cs="Poppins" w:eastAsia="Poppins" w:hAnsi="Poppins"/>
          <w:i/>
          <w:iCs/>
          <w:color w:val="555555"/>
          <w:sz w:val="20"/>
          <w:szCs w:val="20"/>
        </w:rPr>
        <w:t xml:space="preserve">Evidencias y recomendaciones. Cistitis. Página 17.</w:t>
      </w:r>
    </w:p>
    <w:p>
      <w:pPr>
        <w:shd w:fill="001C31" w:val="clear"/>
        <w:spacing w:after="100" w:before="300"/>
      </w:pPr>
      <w:r>
        <w:rPr>
          <w:rFonts w:ascii="Poppins" w:cs="Poppins" w:eastAsia="Poppins" w:hAnsi="Poppins"/>
          <w:b/>
          <w:bCs/>
          <w:color w:val="FFFFFF"/>
          <w:sz w:val="24"/>
          <w:szCs w:val="24"/>
        </w:rPr>
        <w:t xml:space="preserve">PREGUNTA 49</w:t>
      </w:r>
    </w:p>
    <w:p>
      <w:pPr>
        <w:shd w:fill="F3ECDD" w:val="clear"/>
        <w:spacing w:after="60"/>
      </w:pPr>
      <w:r>
        <w:rPr>
          <w:rFonts w:ascii="Poppins" w:cs="Poppins" w:eastAsia="Poppins" w:hAnsi="Poppins"/>
          <w:b/>
          <w:bCs/>
          <w:i/>
          <w:iCs/>
          <w:color w:val="001C31"/>
          <w:sz w:val="21"/>
          <w:szCs w:val="21"/>
        </w:rPr>
        <w:t xml:space="preserve">Caso clínico: </w:t>
      </w:r>
      <w:r>
        <w:rPr>
          <w:rFonts w:ascii="Poppins" w:cs="Poppins" w:eastAsia="Poppins" w:hAnsi="Poppins"/>
          <w:i/>
          <w:iCs/>
          <w:sz w:val="21"/>
          <w:szCs w:val="21"/>
        </w:rPr>
        <w:t xml:space="preserve">Una paciente embarazada presenta datos clínicos compatibles con cistitis, pero además refiere ardor y secreción vaginal anormal.</w:t>
      </w:r>
    </w:p>
    <w:p>
      <w:pPr>
        <w:spacing w:after="120"/>
      </w:pPr>
      <w:r>
        <w:rPr>
          <w:rFonts w:ascii="Poppins" w:cs="Poppins" w:eastAsia="Poppins" w:hAnsi="Poppins"/>
          <w:b/>
          <w:bCs/>
          <w:color w:val="001C31"/>
          <w:sz w:val="21"/>
          <w:szCs w:val="21"/>
        </w:rPr>
        <w:t xml:space="preserve">Pregunta: </w:t>
      </w:r>
      <w:r>
        <w:rPr>
          <w:rFonts w:ascii="Poppins" w:cs="Poppins" w:eastAsia="Poppins" w:hAnsi="Poppins"/>
          <w:sz w:val="21"/>
          <w:szCs w:val="21"/>
        </w:rPr>
        <w:t xml:space="preserve">Según la GPC, ¿qué conducta se recomienda en este caso?</w:t>
      </w:r>
    </w:p>
    <w:p>
      <w:pPr>
        <w:spacing w:after="60"/>
      </w:pPr>
      <w:r>
        <w:rPr>
          <w:rFonts w:ascii="Poppins" w:cs="Poppins" w:eastAsia="Poppins" w:hAnsi="Poppins"/>
          <w:b/>
          <w:bCs/>
          <w:color w:val="B08D3F"/>
          <w:sz w:val="21"/>
          <w:szCs w:val="21"/>
        </w:rPr>
        <w:t xml:space="preserve">A. </w:t>
      </w:r>
      <w:r>
        <w:rPr>
          <w:rFonts w:ascii="Poppins" w:cs="Poppins" w:eastAsia="Poppins" w:hAnsi="Poppins"/>
          <w:b/>
          <w:bCs/>
          <w:color w:val="B08D3F"/>
          <w:sz w:val="21"/>
          <w:szCs w:val="21"/>
        </w:rPr>
        <w:t xml:space="preserve">Explorar alternativas de diagnóstico de la cistitis y considerar el examen pélvico para tratamiento inicial de la vaginitis</w:t>
      </w:r>
    </w:p>
    <w:p>
      <w:pPr>
        <w:spacing w:after="60"/>
      </w:pPr>
      <w:r>
        <w:rPr>
          <w:rFonts w:ascii="Poppins" w:cs="Poppins" w:eastAsia="Poppins" w:hAnsi="Poppins"/>
          <w:b/>
          <w:bCs/>
          <w:color w:val="000000"/>
          <w:sz w:val="21"/>
          <w:szCs w:val="21"/>
        </w:rPr>
        <w:t xml:space="preserve">B. </w:t>
      </w:r>
      <w:r>
        <w:rPr>
          <w:rFonts w:ascii="Poppins" w:cs="Poppins" w:eastAsia="Poppins" w:hAnsi="Poppins"/>
          <w:b w:val="false"/>
          <w:bCs w:val="false"/>
          <w:color w:val="000000"/>
          <w:sz w:val="21"/>
          <w:szCs w:val="21"/>
        </w:rPr>
        <w:t xml:space="preserve">Descartar por completo el diagnóstico de cistitis y tratar únicamente la vaginitis</w:t>
      </w:r>
    </w:p>
    <w:p>
      <w:pPr>
        <w:spacing w:after="60"/>
      </w:pPr>
      <w:r>
        <w:rPr>
          <w:rFonts w:ascii="Poppins" w:cs="Poppins" w:eastAsia="Poppins" w:hAnsi="Poppins"/>
          <w:b/>
          <w:bCs/>
          <w:color w:val="000000"/>
          <w:sz w:val="21"/>
          <w:szCs w:val="21"/>
        </w:rPr>
        <w:t xml:space="preserve">C. </w:t>
      </w:r>
      <w:r>
        <w:rPr>
          <w:rFonts w:ascii="Poppins" w:cs="Poppins" w:eastAsia="Poppins" w:hAnsi="Poppins"/>
          <w:b w:val="false"/>
          <w:bCs w:val="false"/>
          <w:color w:val="000000"/>
          <w:sz w:val="21"/>
          <w:szCs w:val="21"/>
        </w:rPr>
        <w:t xml:space="preserve">Iniciar tratamiento antibiótico para cistitis sin ninguna evaluación adicional</w:t>
      </w:r>
    </w:p>
    <w:p>
      <w:pPr>
        <w:spacing w:after="60"/>
      </w:pPr>
      <w:r>
        <w:rPr>
          <w:rFonts w:ascii="Poppins" w:cs="Poppins" w:eastAsia="Poppins" w:hAnsi="Poppins"/>
          <w:b/>
          <w:bCs/>
          <w:color w:val="000000"/>
          <w:sz w:val="21"/>
          <w:szCs w:val="21"/>
        </w:rPr>
        <w:t xml:space="preserve">D. </w:t>
      </w:r>
      <w:r>
        <w:rPr>
          <w:rFonts w:ascii="Poppins" w:cs="Poppins" w:eastAsia="Poppins" w:hAnsi="Poppins"/>
          <w:b w:val="false"/>
          <w:bCs w:val="false"/>
          <w:color w:val="000000"/>
          <w:sz w:val="21"/>
          <w:szCs w:val="21"/>
        </w:rPr>
        <w:t xml:space="preserve">Referir de manera inmediata a un centro de tercer nivel sin evaluación previa</w:t>
      </w:r>
    </w:p>
    <w:p>
      <w:pPr>
        <w:spacing w:after="100" w:before="120"/>
      </w:pPr>
      <w:r>
        <w:rPr>
          <w:rFonts w:ascii="Poppins" w:cs="Poppins" w:eastAsia="Poppins" w:hAnsi="Poppins"/>
          <w:b/>
          <w:bCs/>
          <w:color w:val="001C31"/>
          <w:sz w:val="21"/>
          <w:szCs w:val="21"/>
        </w:rPr>
        <w:t xml:space="preserve">Respuesta correcta: A</w:t>
      </w:r>
    </w:p>
    <w:p>
      <w:pPr>
        <w:spacing w:after="60"/>
      </w:pPr>
      <w:r>
        <w:rPr>
          <w:rFonts w:ascii="Poppins" w:cs="Poppins" w:eastAsia="Poppins" w:hAnsi="Poppins"/>
          <w:b/>
          <w:bCs/>
          <w:color w:val="001C31"/>
          <w:sz w:val="21"/>
          <w:szCs w:val="21"/>
          <w:u w:val="single"/>
        </w:rPr>
        <w:t xml:space="preserve">Justificación de la respuesta correcta</w:t>
      </w:r>
    </w:p>
    <w:p>
      <w:pPr>
        <w:spacing w:after="150"/>
      </w:pPr>
      <w:r>
        <w:rPr>
          <w:rFonts w:ascii="Poppins" w:cs="Poppins" w:eastAsia="Poppins" w:hAnsi="Poppins"/>
          <w:sz w:val="21"/>
          <w:szCs w:val="21"/>
        </w:rPr>
        <w:t xml:space="preserve">La guía recomienda (C 2++) que en mujeres que presentan datos clínicos de cistitis y además ardor y/o secreción vaginal anormal, se deben explorar alternativas de diagnóstico de la cistitis y considerar el examen pélvico para tratamiento inicial de la vaginitis, dado que la presencia de secreción vaginal anormal disminuye la sensibilidad de los datos clínicos y del examen general de orina para el diagnóstico de cistitis.</w:t>
      </w:r>
    </w:p>
    <w:p>
      <w:pPr>
        <w:spacing w:after="60"/>
      </w:pPr>
      <w:r>
        <w:rPr>
          <w:rFonts w:ascii="Poppins" w:cs="Poppins" w:eastAsia="Poppins" w:hAnsi="Poppins"/>
          <w:b/>
          <w:bCs/>
          <w:color w:val="001C31"/>
          <w:sz w:val="21"/>
          <w:szCs w:val="21"/>
          <w:u w:val="single"/>
        </w:rPr>
        <w:t xml:space="preserve">Justificación de las opciones incorrectas</w:t>
      </w:r>
    </w:p>
    <w:p>
      <w:pPr>
        <w:spacing w:after="60"/>
      </w:pPr>
      <w:r>
        <w:rPr>
          <w:rFonts w:ascii="Poppins" w:cs="Poppins" w:eastAsia="Poppins" w:hAnsi="Poppins"/>
          <w:b/>
          <w:bCs/>
          <w:sz w:val="21"/>
          <w:szCs w:val="21"/>
        </w:rPr>
        <w:t xml:space="preserve">Opción B: </w:t>
      </w:r>
      <w:r>
        <w:rPr>
          <w:rFonts w:ascii="Poppins" w:cs="Poppins" w:eastAsia="Poppins" w:hAnsi="Poppins"/>
          <w:sz w:val="21"/>
          <w:szCs w:val="21"/>
        </w:rPr>
        <w:t xml:space="preserve">La guía no indica descartar por completo la cistitis; recomienda explorar alternativas diagnósticas adicionales, ya que ambas condiciones (cistitis y vaginitis) pueden coexistir o confundirse clínicamente.</w:t>
      </w:r>
    </w:p>
    <w:p>
      <w:pPr>
        <w:spacing w:after="60"/>
      </w:pPr>
      <w:r>
        <w:rPr>
          <w:rFonts w:ascii="Poppins" w:cs="Poppins" w:eastAsia="Poppins" w:hAnsi="Poppins"/>
          <w:b/>
          <w:bCs/>
          <w:sz w:val="21"/>
          <w:szCs w:val="21"/>
        </w:rPr>
        <w:t xml:space="preserve">Opción C: </w:t>
      </w:r>
      <w:r>
        <w:rPr>
          <w:rFonts w:ascii="Poppins" w:cs="Poppins" w:eastAsia="Poppins" w:hAnsi="Poppins"/>
          <w:sz w:val="21"/>
          <w:szCs w:val="21"/>
        </w:rPr>
        <w:t xml:space="preserve">La guía no recomienda iniciar tratamiento antibiótico para cistitis sin evaluación adicional cuando hay síntomas vaginales asociados, precisamente porque estos disminuyen la sensibilidad diagnóstica de los datos clínicos.</w:t>
      </w:r>
    </w:p>
    <w:p>
      <w:pPr>
        <w:spacing w:after="60"/>
      </w:pPr>
      <w:r>
        <w:rPr>
          <w:rFonts w:ascii="Poppins" w:cs="Poppins" w:eastAsia="Poppins" w:hAnsi="Poppins"/>
          <w:b/>
          <w:bCs/>
          <w:sz w:val="21"/>
          <w:szCs w:val="21"/>
        </w:rPr>
        <w:t xml:space="preserve">Opción D: </w:t>
      </w:r>
      <w:r>
        <w:rPr>
          <w:rFonts w:ascii="Poppins" w:cs="Poppins" w:eastAsia="Poppins" w:hAnsi="Poppins"/>
          <w:sz w:val="21"/>
          <w:szCs w:val="21"/>
        </w:rPr>
        <w:t xml:space="preserve">La referencia inmediata a tercer nivel no es la conducta recomendada por la guía en este escenario; se indica una evaluación adicional (examen pélvico) en el mismo nivel de atención.</w:t>
      </w:r>
    </w:p>
    <w:p>
      <w:pPr>
        <w:pBdr>
          <w:bottom w:val="single" w:color="B08D3F" w:sz="6" w:space="4"/>
        </w:pBdr>
        <w:spacing w:after="200" w:before="100"/>
      </w:pPr>
      <w:r>
        <w:rPr>
          <w:rFonts w:ascii="Poppins" w:cs="Poppins" w:eastAsia="Poppins" w:hAnsi="Poppins"/>
          <w:b/>
          <w:bCs/>
          <w:i/>
          <w:iCs/>
          <w:color w:val="B08D3F"/>
          <w:sz w:val="20"/>
          <w:szCs w:val="20"/>
        </w:rPr>
        <w:t xml:space="preserve">Referencia: </w:t>
      </w:r>
      <w:r>
        <w:rPr>
          <w:rFonts w:ascii="Poppins" w:cs="Poppins" w:eastAsia="Poppins" w:hAnsi="Poppins"/>
          <w:i/>
          <w:iCs/>
          <w:color w:val="555555"/>
          <w:sz w:val="20"/>
          <w:szCs w:val="20"/>
        </w:rPr>
        <w:t xml:space="preserve">Evidencias y recomendaciones. Cistitis. Página 17.</w:t>
      </w:r>
    </w:p>
    <w:p>
      <w:pPr>
        <w:shd w:fill="001C31" w:val="clear"/>
        <w:spacing w:after="100" w:before="300"/>
      </w:pPr>
      <w:r>
        <w:rPr>
          <w:rFonts w:ascii="Poppins" w:cs="Poppins" w:eastAsia="Poppins" w:hAnsi="Poppins"/>
          <w:b/>
          <w:bCs/>
          <w:color w:val="FFFFFF"/>
          <w:sz w:val="24"/>
          <w:szCs w:val="24"/>
        </w:rPr>
        <w:t xml:space="preserve">PREGUNTA 50</w:t>
      </w:r>
    </w:p>
    <w:p>
      <w:pPr>
        <w:spacing w:after="120"/>
      </w:pPr>
      <w:r>
        <w:rPr>
          <w:rFonts w:ascii="Poppins" w:cs="Poppins" w:eastAsia="Poppins" w:hAnsi="Poppins"/>
          <w:b/>
          <w:bCs/>
          <w:color w:val="001C31"/>
          <w:sz w:val="21"/>
          <w:szCs w:val="21"/>
        </w:rPr>
        <w:t xml:space="preserve">Pregunta: </w:t>
      </w:r>
      <w:r>
        <w:rPr>
          <w:rFonts w:ascii="Poppins" w:cs="Poppins" w:eastAsia="Poppins" w:hAnsi="Poppins"/>
          <w:sz w:val="21"/>
          <w:szCs w:val="21"/>
        </w:rPr>
        <w:t xml:space="preserve">Según la GPC, ¿qué efecto tiene la presencia de secreción vaginal anormal sobre la sensibilidad de los datos clínicos y del examen general de orina para el diagnóstico de cistitis?</w:t>
      </w:r>
    </w:p>
    <w:p>
      <w:pPr>
        <w:spacing w:after="60"/>
      </w:pPr>
      <w:r>
        <w:rPr>
          <w:rFonts w:ascii="Poppins" w:cs="Poppins" w:eastAsia="Poppins" w:hAnsi="Poppins"/>
          <w:b/>
          <w:bCs/>
          <w:color w:val="B08D3F"/>
          <w:sz w:val="21"/>
          <w:szCs w:val="21"/>
        </w:rPr>
        <w:t xml:space="preserve">A. </w:t>
      </w:r>
      <w:r>
        <w:rPr>
          <w:rFonts w:ascii="Poppins" w:cs="Poppins" w:eastAsia="Poppins" w:hAnsi="Poppins"/>
          <w:b/>
          <w:bCs/>
          <w:color w:val="B08D3F"/>
          <w:sz w:val="21"/>
          <w:szCs w:val="21"/>
        </w:rPr>
        <w:t xml:space="preserve">La disminuye</w:t>
      </w:r>
    </w:p>
    <w:p>
      <w:pPr>
        <w:spacing w:after="60"/>
      </w:pPr>
      <w:r>
        <w:rPr>
          <w:rFonts w:ascii="Poppins" w:cs="Poppins" w:eastAsia="Poppins" w:hAnsi="Poppins"/>
          <w:b/>
          <w:bCs/>
          <w:color w:val="000000"/>
          <w:sz w:val="21"/>
          <w:szCs w:val="21"/>
        </w:rPr>
        <w:t xml:space="preserve">B. </w:t>
      </w:r>
      <w:r>
        <w:rPr>
          <w:rFonts w:ascii="Poppins" w:cs="Poppins" w:eastAsia="Poppins" w:hAnsi="Poppins"/>
          <w:b w:val="false"/>
          <w:bCs w:val="false"/>
          <w:color w:val="000000"/>
          <w:sz w:val="21"/>
          <w:szCs w:val="21"/>
        </w:rPr>
        <w:t xml:space="preserve">La aumenta significativamente</w:t>
      </w:r>
    </w:p>
    <w:p>
      <w:pPr>
        <w:spacing w:after="60"/>
      </w:pPr>
      <w:r>
        <w:rPr>
          <w:rFonts w:ascii="Poppins" w:cs="Poppins" w:eastAsia="Poppins" w:hAnsi="Poppins"/>
          <w:b/>
          <w:bCs/>
          <w:color w:val="000000"/>
          <w:sz w:val="21"/>
          <w:szCs w:val="21"/>
        </w:rPr>
        <w:t xml:space="preserve">C. </w:t>
      </w:r>
      <w:r>
        <w:rPr>
          <w:rFonts w:ascii="Poppins" w:cs="Poppins" w:eastAsia="Poppins" w:hAnsi="Poppins"/>
          <w:b w:val="false"/>
          <w:bCs w:val="false"/>
          <w:color w:val="000000"/>
          <w:sz w:val="21"/>
          <w:szCs w:val="21"/>
        </w:rPr>
        <w:t xml:space="preserve">No tiene ningún efecto</w:t>
      </w:r>
    </w:p>
    <w:p>
      <w:pPr>
        <w:spacing w:after="60"/>
      </w:pPr>
      <w:r>
        <w:rPr>
          <w:rFonts w:ascii="Poppins" w:cs="Poppins" w:eastAsia="Poppins" w:hAnsi="Poppins"/>
          <w:b/>
          <w:bCs/>
          <w:color w:val="000000"/>
          <w:sz w:val="21"/>
          <w:szCs w:val="21"/>
        </w:rPr>
        <w:t xml:space="preserve">D. </w:t>
      </w:r>
      <w:r>
        <w:rPr>
          <w:rFonts w:ascii="Poppins" w:cs="Poppins" w:eastAsia="Poppins" w:hAnsi="Poppins"/>
          <w:b w:val="false"/>
          <w:bCs w:val="false"/>
          <w:color w:val="000000"/>
          <w:sz w:val="21"/>
          <w:szCs w:val="21"/>
        </w:rPr>
        <w:t xml:space="preserve">La guía no menciona ninguna relación entre secreción vaginal y sensibilidad diagnóstica de cistitis</w:t>
      </w:r>
    </w:p>
    <w:p>
      <w:pPr>
        <w:spacing w:after="100" w:before="120"/>
      </w:pPr>
      <w:r>
        <w:rPr>
          <w:rFonts w:ascii="Poppins" w:cs="Poppins" w:eastAsia="Poppins" w:hAnsi="Poppins"/>
          <w:b/>
          <w:bCs/>
          <w:color w:val="001C31"/>
          <w:sz w:val="21"/>
          <w:szCs w:val="21"/>
        </w:rPr>
        <w:t xml:space="preserve">Respuesta correcta: A</w:t>
      </w:r>
    </w:p>
    <w:p>
      <w:pPr>
        <w:spacing w:after="60"/>
      </w:pPr>
      <w:r>
        <w:rPr>
          <w:rFonts w:ascii="Poppins" w:cs="Poppins" w:eastAsia="Poppins" w:hAnsi="Poppins"/>
          <w:b/>
          <w:bCs/>
          <w:color w:val="001C31"/>
          <w:sz w:val="21"/>
          <w:szCs w:val="21"/>
          <w:u w:val="single"/>
        </w:rPr>
        <w:t xml:space="preserve">Justificación de la respuesta correcta</w:t>
      </w:r>
    </w:p>
    <w:p>
      <w:pPr>
        <w:spacing w:after="150"/>
      </w:pPr>
      <w:r>
        <w:rPr>
          <w:rFonts w:ascii="Poppins" w:cs="Poppins" w:eastAsia="Poppins" w:hAnsi="Poppins"/>
          <w:sz w:val="21"/>
          <w:szCs w:val="21"/>
        </w:rPr>
        <w:t xml:space="preserve">La guía establece que la presencia de secreción vaginal anormal disminuye la sensibilidad de los datos clínicos y del examen general de orina para el diagnóstico de cistitis, lo que justifica explorar alternativas diagnósticas y considerar el examen pélvico en estos casos.</w:t>
      </w:r>
    </w:p>
    <w:p>
      <w:pPr>
        <w:spacing w:after="60"/>
      </w:pPr>
      <w:r>
        <w:rPr>
          <w:rFonts w:ascii="Poppins" w:cs="Poppins" w:eastAsia="Poppins" w:hAnsi="Poppins"/>
          <w:b/>
          <w:bCs/>
          <w:color w:val="001C31"/>
          <w:sz w:val="21"/>
          <w:szCs w:val="21"/>
          <w:u w:val="single"/>
        </w:rPr>
        <w:t xml:space="preserve">Justificación de las opciones incorrectas</w:t>
      </w:r>
    </w:p>
    <w:p>
      <w:pPr>
        <w:spacing w:after="60"/>
      </w:pPr>
      <w:r>
        <w:rPr>
          <w:rFonts w:ascii="Poppins" w:cs="Poppins" w:eastAsia="Poppins" w:hAnsi="Poppins"/>
          <w:b/>
          <w:bCs/>
          <w:sz w:val="21"/>
          <w:szCs w:val="21"/>
        </w:rPr>
        <w:t xml:space="preserve">Opción B: </w:t>
      </w:r>
      <w:r>
        <w:rPr>
          <w:rFonts w:ascii="Poppins" w:cs="Poppins" w:eastAsia="Poppins" w:hAnsi="Poppins"/>
          <w:sz w:val="21"/>
          <w:szCs w:val="21"/>
        </w:rPr>
        <w:t xml:space="preserve">La guía indica lo contrario: la secreción vaginal anormal disminuye, no aumenta, la sensibilidad diagnóstica de los datos clínicos para cistitis.</w:t>
      </w:r>
    </w:p>
    <w:p>
      <w:pPr>
        <w:spacing w:after="60"/>
      </w:pPr>
      <w:r>
        <w:rPr>
          <w:rFonts w:ascii="Poppins" w:cs="Poppins" w:eastAsia="Poppins" w:hAnsi="Poppins"/>
          <w:b/>
          <w:bCs/>
          <w:sz w:val="21"/>
          <w:szCs w:val="21"/>
        </w:rPr>
        <w:t xml:space="preserve">Opción C: </w:t>
      </w:r>
      <w:r>
        <w:rPr>
          <w:rFonts w:ascii="Poppins" w:cs="Poppins" w:eastAsia="Poppins" w:hAnsi="Poppins"/>
          <w:sz w:val="21"/>
          <w:szCs w:val="21"/>
        </w:rPr>
        <w:t xml:space="preserve">La guía sí documenta un efecto negativo sobre la sensibilidad diagnóstica cuando hay secreción vaginal anormal asociada.</w:t>
      </w:r>
    </w:p>
    <w:p>
      <w:pPr>
        <w:spacing w:after="60"/>
      </w:pPr>
      <w:r>
        <w:rPr>
          <w:rFonts w:ascii="Poppins" w:cs="Poppins" w:eastAsia="Poppins" w:hAnsi="Poppins"/>
          <w:b/>
          <w:bCs/>
          <w:sz w:val="21"/>
          <w:szCs w:val="21"/>
        </w:rPr>
        <w:t xml:space="preserve">Opción D: </w:t>
      </w:r>
      <w:r>
        <w:rPr>
          <w:rFonts w:ascii="Poppins" w:cs="Poppins" w:eastAsia="Poppins" w:hAnsi="Poppins"/>
          <w:sz w:val="21"/>
          <w:szCs w:val="21"/>
        </w:rPr>
        <w:t xml:space="preserve">La guía menciona explícitamente esta relación como fundamento de la recomendación de explorar alternativas diagnósticas en estos casos.</w:t>
      </w:r>
    </w:p>
    <w:p>
      <w:pPr>
        <w:pBdr>
          <w:bottom w:val="single" w:color="B08D3F" w:sz="6" w:space="4"/>
        </w:pBdr>
        <w:spacing w:after="200" w:before="100"/>
      </w:pPr>
      <w:r>
        <w:rPr>
          <w:rFonts w:ascii="Poppins" w:cs="Poppins" w:eastAsia="Poppins" w:hAnsi="Poppins"/>
          <w:b/>
          <w:bCs/>
          <w:i/>
          <w:iCs/>
          <w:color w:val="B08D3F"/>
          <w:sz w:val="20"/>
          <w:szCs w:val="20"/>
        </w:rPr>
        <w:t xml:space="preserve">Referencia: </w:t>
      </w:r>
      <w:r>
        <w:rPr>
          <w:rFonts w:ascii="Poppins" w:cs="Poppins" w:eastAsia="Poppins" w:hAnsi="Poppins"/>
          <w:i/>
          <w:iCs/>
          <w:color w:val="555555"/>
          <w:sz w:val="20"/>
          <w:szCs w:val="20"/>
        </w:rPr>
        <w:t xml:space="preserve">Evidencias y recomendaciones. Cistitis. Página 17.</w:t>
      </w:r>
    </w:p>
    <w:p>
      <w:pPr>
        <w:shd w:fill="001C31" w:val="clear"/>
        <w:spacing w:after="100" w:before="300"/>
      </w:pPr>
      <w:r>
        <w:rPr>
          <w:rFonts w:ascii="Poppins" w:cs="Poppins" w:eastAsia="Poppins" w:hAnsi="Poppins"/>
          <w:b/>
          <w:bCs/>
          <w:color w:val="FFFFFF"/>
          <w:sz w:val="24"/>
          <w:szCs w:val="24"/>
        </w:rPr>
        <w:t xml:space="preserve">PREGUNTA 51</w:t>
      </w:r>
    </w:p>
    <w:p>
      <w:pPr>
        <w:spacing w:after="120"/>
      </w:pPr>
      <w:r>
        <w:rPr>
          <w:rFonts w:ascii="Poppins" w:cs="Poppins" w:eastAsia="Poppins" w:hAnsi="Poppins"/>
          <w:b/>
          <w:bCs/>
          <w:color w:val="001C31"/>
          <w:sz w:val="21"/>
          <w:szCs w:val="21"/>
        </w:rPr>
        <w:t xml:space="preserve">Pregunta: </w:t>
      </w:r>
      <w:r>
        <w:rPr>
          <w:rFonts w:ascii="Poppins" w:cs="Poppins" w:eastAsia="Poppins" w:hAnsi="Poppins"/>
          <w:sz w:val="21"/>
          <w:szCs w:val="21"/>
        </w:rPr>
        <w:t xml:space="preserve">Según la GPC, ¿los uropatógenos encontrados en la cistitis en la embarazada son los mismos que en la bacteriuria asintomática?</w:t>
      </w:r>
    </w:p>
    <w:p>
      <w:pPr>
        <w:spacing w:after="60"/>
      </w:pPr>
      <w:r>
        <w:rPr>
          <w:rFonts w:ascii="Poppins" w:cs="Poppins" w:eastAsia="Poppins" w:hAnsi="Poppins"/>
          <w:b/>
          <w:bCs/>
          <w:color w:val="B08D3F"/>
          <w:sz w:val="21"/>
          <w:szCs w:val="21"/>
        </w:rPr>
        <w:t xml:space="preserve">A. </w:t>
      </w:r>
      <w:r>
        <w:rPr>
          <w:rFonts w:ascii="Poppins" w:cs="Poppins" w:eastAsia="Poppins" w:hAnsi="Poppins"/>
          <w:b/>
          <w:bCs/>
          <w:color w:val="B08D3F"/>
          <w:sz w:val="21"/>
          <w:szCs w:val="21"/>
        </w:rPr>
        <w:t xml:space="preserve">Sí, los uropatógenos encontrados en una cistitis en la embarazada son los mismos que en la BA</w:t>
      </w:r>
    </w:p>
    <w:p>
      <w:pPr>
        <w:spacing w:after="60"/>
      </w:pPr>
      <w:r>
        <w:rPr>
          <w:rFonts w:ascii="Poppins" w:cs="Poppins" w:eastAsia="Poppins" w:hAnsi="Poppins"/>
          <w:b/>
          <w:bCs/>
          <w:color w:val="000000"/>
          <w:sz w:val="21"/>
          <w:szCs w:val="21"/>
        </w:rPr>
        <w:t xml:space="preserve">B. </w:t>
      </w:r>
      <w:r>
        <w:rPr>
          <w:rFonts w:ascii="Poppins" w:cs="Poppins" w:eastAsia="Poppins" w:hAnsi="Poppins"/>
          <w:b w:val="false"/>
          <w:bCs w:val="false"/>
          <w:color w:val="000000"/>
          <w:sz w:val="21"/>
          <w:szCs w:val="21"/>
        </w:rPr>
        <w:t xml:space="preserve">No, la cistitis se asocia exclusivamente a hongos, mientras que la BA se asocia solo a bacterias</w:t>
      </w:r>
    </w:p>
    <w:p>
      <w:pPr>
        <w:spacing w:after="60"/>
      </w:pPr>
      <w:r>
        <w:rPr>
          <w:rFonts w:ascii="Poppins" w:cs="Poppins" w:eastAsia="Poppins" w:hAnsi="Poppins"/>
          <w:b/>
          <w:bCs/>
          <w:color w:val="000000"/>
          <w:sz w:val="21"/>
          <w:szCs w:val="21"/>
        </w:rPr>
        <w:t xml:space="preserve">C. </w:t>
      </w:r>
      <w:r>
        <w:rPr>
          <w:rFonts w:ascii="Poppins" w:cs="Poppins" w:eastAsia="Poppins" w:hAnsi="Poppins"/>
          <w:b w:val="false"/>
          <w:bCs w:val="false"/>
          <w:color w:val="000000"/>
          <w:sz w:val="21"/>
          <w:szCs w:val="21"/>
        </w:rPr>
        <w:t xml:space="preserve">No existe ninguna relación entre los uropatógenos de ambas condiciones</w:t>
      </w:r>
    </w:p>
    <w:p>
      <w:pPr>
        <w:spacing w:after="60"/>
      </w:pPr>
      <w:r>
        <w:rPr>
          <w:rFonts w:ascii="Poppins" w:cs="Poppins" w:eastAsia="Poppins" w:hAnsi="Poppins"/>
          <w:b/>
          <w:bCs/>
          <w:color w:val="000000"/>
          <w:sz w:val="21"/>
          <w:szCs w:val="21"/>
        </w:rPr>
        <w:t xml:space="preserve">D. </w:t>
      </w:r>
      <w:r>
        <w:rPr>
          <w:rFonts w:ascii="Poppins" w:cs="Poppins" w:eastAsia="Poppins" w:hAnsi="Poppins"/>
          <w:b w:val="false"/>
          <w:bCs w:val="false"/>
          <w:color w:val="000000"/>
          <w:sz w:val="21"/>
          <w:szCs w:val="21"/>
        </w:rPr>
        <w:t xml:space="preserve">Sí, pero únicamente en pacientes con diabetes gestacional</w:t>
      </w:r>
    </w:p>
    <w:p>
      <w:pPr>
        <w:spacing w:after="100" w:before="120"/>
      </w:pPr>
      <w:r>
        <w:rPr>
          <w:rFonts w:ascii="Poppins" w:cs="Poppins" w:eastAsia="Poppins" w:hAnsi="Poppins"/>
          <w:b/>
          <w:bCs/>
          <w:color w:val="001C31"/>
          <w:sz w:val="21"/>
          <w:szCs w:val="21"/>
        </w:rPr>
        <w:t xml:space="preserve">Respuesta correcta: A</w:t>
      </w:r>
    </w:p>
    <w:p>
      <w:pPr>
        <w:spacing w:after="60"/>
      </w:pPr>
      <w:r>
        <w:rPr>
          <w:rFonts w:ascii="Poppins" w:cs="Poppins" w:eastAsia="Poppins" w:hAnsi="Poppins"/>
          <w:b/>
          <w:bCs/>
          <w:color w:val="001C31"/>
          <w:sz w:val="21"/>
          <w:szCs w:val="21"/>
          <w:u w:val="single"/>
        </w:rPr>
        <w:t xml:space="preserve">Justificación de la respuesta correcta</w:t>
      </w:r>
    </w:p>
    <w:p>
      <w:pPr>
        <w:spacing w:after="150"/>
      </w:pPr>
      <w:r>
        <w:rPr>
          <w:rFonts w:ascii="Poppins" w:cs="Poppins" w:eastAsia="Poppins" w:hAnsi="Poppins"/>
          <w:sz w:val="21"/>
          <w:szCs w:val="21"/>
        </w:rPr>
        <w:t xml:space="preserve">La guía establece (C 3) que las recomendaciones de tratamiento para la cistitis durante el embarazo son las mismas que para BA, señalando que los uropatógenos encontrados en una cistitis en la embarazada son los mismos que en la BA.</w:t>
      </w:r>
    </w:p>
    <w:p>
      <w:pPr>
        <w:spacing w:after="60"/>
      </w:pPr>
      <w:r>
        <w:rPr>
          <w:rFonts w:ascii="Poppins" w:cs="Poppins" w:eastAsia="Poppins" w:hAnsi="Poppins"/>
          <w:b/>
          <w:bCs/>
          <w:color w:val="001C31"/>
          <w:sz w:val="21"/>
          <w:szCs w:val="21"/>
          <w:u w:val="single"/>
        </w:rPr>
        <w:t xml:space="preserve">Justificación de las opciones incorrectas</w:t>
      </w:r>
    </w:p>
    <w:p>
      <w:pPr>
        <w:spacing w:after="60"/>
      </w:pPr>
      <w:r>
        <w:rPr>
          <w:rFonts w:ascii="Poppins" w:cs="Poppins" w:eastAsia="Poppins" w:hAnsi="Poppins"/>
          <w:b/>
          <w:bCs/>
          <w:sz w:val="21"/>
          <w:szCs w:val="21"/>
        </w:rPr>
        <w:t xml:space="preserve">Opción B: </w:t>
      </w:r>
      <w:r>
        <w:rPr>
          <w:rFonts w:ascii="Poppins" w:cs="Poppins" w:eastAsia="Poppins" w:hAnsi="Poppins"/>
          <w:sz w:val="21"/>
          <w:szCs w:val="21"/>
        </w:rPr>
        <w:t xml:space="preserve">La guía no menciona hongos como agentes etiológicos en este contexto; tanto la BA como la cistitis se relacionan con bacterias, principalmente Escherichia coli.</w:t>
      </w:r>
    </w:p>
    <w:p>
      <w:pPr>
        <w:spacing w:after="60"/>
      </w:pPr>
      <w:r>
        <w:rPr>
          <w:rFonts w:ascii="Poppins" w:cs="Poppins" w:eastAsia="Poppins" w:hAnsi="Poppins"/>
          <w:b/>
          <w:bCs/>
          <w:sz w:val="21"/>
          <w:szCs w:val="21"/>
        </w:rPr>
        <w:t xml:space="preserve">Opción C: </w:t>
      </w:r>
      <w:r>
        <w:rPr>
          <w:rFonts w:ascii="Poppins" w:cs="Poppins" w:eastAsia="Poppins" w:hAnsi="Poppins"/>
          <w:sz w:val="21"/>
          <w:szCs w:val="21"/>
        </w:rPr>
        <w:t xml:space="preserve">La guía sí establece explícitamente una relación directa entre los uropatógenos de la cistitis y de la BA, indicando que son los mismos.</w:t>
      </w:r>
    </w:p>
    <w:p>
      <w:pPr>
        <w:spacing w:after="60"/>
      </w:pPr>
      <w:r>
        <w:rPr>
          <w:rFonts w:ascii="Poppins" w:cs="Poppins" w:eastAsia="Poppins" w:hAnsi="Poppins"/>
          <w:b/>
          <w:bCs/>
          <w:sz w:val="21"/>
          <w:szCs w:val="21"/>
        </w:rPr>
        <w:t xml:space="preserve">Opción D: </w:t>
      </w:r>
      <w:r>
        <w:rPr>
          <w:rFonts w:ascii="Poppins" w:cs="Poppins" w:eastAsia="Poppins" w:hAnsi="Poppins"/>
          <w:sz w:val="21"/>
          <w:szCs w:val="21"/>
        </w:rPr>
        <w:t xml:space="preserve">La guía no condiciona esta afirmación a la presencia de diabetes gestacional; es una afirmación general aplicable a las embarazadas con cistitis y BA.</w:t>
      </w:r>
    </w:p>
    <w:p>
      <w:pPr>
        <w:pBdr>
          <w:bottom w:val="single" w:color="B08D3F" w:sz="6" w:space="4"/>
        </w:pBdr>
        <w:spacing w:after="200" w:before="100"/>
      </w:pPr>
      <w:r>
        <w:rPr>
          <w:rFonts w:ascii="Poppins" w:cs="Poppins" w:eastAsia="Poppins" w:hAnsi="Poppins"/>
          <w:b/>
          <w:bCs/>
          <w:i/>
          <w:iCs/>
          <w:color w:val="B08D3F"/>
          <w:sz w:val="20"/>
          <w:szCs w:val="20"/>
        </w:rPr>
        <w:t xml:space="preserve">Referencia: </w:t>
      </w:r>
      <w:r>
        <w:rPr>
          <w:rFonts w:ascii="Poppins" w:cs="Poppins" w:eastAsia="Poppins" w:hAnsi="Poppins"/>
          <w:i/>
          <w:iCs/>
          <w:color w:val="555555"/>
          <w:sz w:val="20"/>
          <w:szCs w:val="20"/>
        </w:rPr>
        <w:t xml:space="preserve">Evidencias y recomendaciones. Tratamiento para cistitis. Página 19.</w:t>
      </w:r>
    </w:p>
    <w:p>
      <w:pPr>
        <w:shd w:fill="001C31" w:val="clear"/>
        <w:spacing w:after="100" w:before="300"/>
      </w:pPr>
      <w:r>
        <w:rPr>
          <w:rFonts w:ascii="Poppins" w:cs="Poppins" w:eastAsia="Poppins" w:hAnsi="Poppins"/>
          <w:b/>
          <w:bCs/>
          <w:color w:val="FFFFFF"/>
          <w:sz w:val="24"/>
          <w:szCs w:val="24"/>
        </w:rPr>
        <w:t xml:space="preserve">PREGUNTA 52</w:t>
      </w:r>
    </w:p>
    <w:p>
      <w:pPr>
        <w:spacing w:after="120"/>
      </w:pPr>
      <w:r>
        <w:rPr>
          <w:rFonts w:ascii="Poppins" w:cs="Poppins" w:eastAsia="Poppins" w:hAnsi="Poppins"/>
          <w:b/>
          <w:bCs/>
          <w:color w:val="001C31"/>
          <w:sz w:val="21"/>
          <w:szCs w:val="21"/>
        </w:rPr>
        <w:t xml:space="preserve">Pregunta: </w:t>
      </w:r>
      <w:r>
        <w:rPr>
          <w:rFonts w:ascii="Poppins" w:cs="Poppins" w:eastAsia="Poppins" w:hAnsi="Poppins"/>
          <w:sz w:val="21"/>
          <w:szCs w:val="21"/>
        </w:rPr>
        <w:t xml:space="preserve">Según la GPC, ¿existe clara evidencia de que la cistitis se asocie con trabajo de parto pretérmino, de forma similar a lo que ocurre con la BA?</w:t>
      </w:r>
    </w:p>
    <w:p>
      <w:pPr>
        <w:spacing w:after="60"/>
      </w:pPr>
      <w:r>
        <w:rPr>
          <w:rFonts w:ascii="Poppins" w:cs="Poppins" w:eastAsia="Poppins" w:hAnsi="Poppins"/>
          <w:b/>
          <w:bCs/>
          <w:color w:val="B08D3F"/>
          <w:sz w:val="21"/>
          <w:szCs w:val="21"/>
        </w:rPr>
        <w:t xml:space="preserve">A. </w:t>
      </w:r>
      <w:r>
        <w:rPr>
          <w:rFonts w:ascii="Poppins" w:cs="Poppins" w:eastAsia="Poppins" w:hAnsi="Poppins"/>
          <w:b/>
          <w:bCs/>
          <w:color w:val="B08D3F"/>
          <w:sz w:val="21"/>
          <w:szCs w:val="21"/>
        </w:rPr>
        <w:t xml:space="preserve">No hay una clara evidencia de que la cistitis se asocie con trabajo de parto pretérmino como es el caso de la BA</w:t>
      </w:r>
    </w:p>
    <w:p>
      <w:pPr>
        <w:spacing w:after="60"/>
      </w:pPr>
      <w:r>
        <w:rPr>
          <w:rFonts w:ascii="Poppins" w:cs="Poppins" w:eastAsia="Poppins" w:hAnsi="Poppins"/>
          <w:b/>
          <w:bCs/>
          <w:color w:val="000000"/>
          <w:sz w:val="21"/>
          <w:szCs w:val="21"/>
        </w:rPr>
        <w:t xml:space="preserve">B. </w:t>
      </w:r>
      <w:r>
        <w:rPr>
          <w:rFonts w:ascii="Poppins" w:cs="Poppins" w:eastAsia="Poppins" w:hAnsi="Poppins"/>
          <w:b w:val="false"/>
          <w:bCs w:val="false"/>
          <w:color w:val="000000"/>
          <w:sz w:val="21"/>
          <w:szCs w:val="21"/>
        </w:rPr>
        <w:t xml:space="preserve">Sí, la evidencia es igual de sólida para cistitis que para BA respecto a esta asociación</w:t>
      </w:r>
    </w:p>
    <w:p>
      <w:pPr>
        <w:spacing w:after="60"/>
      </w:pPr>
      <w:r>
        <w:rPr>
          <w:rFonts w:ascii="Poppins" w:cs="Poppins" w:eastAsia="Poppins" w:hAnsi="Poppins"/>
          <w:b/>
          <w:bCs/>
          <w:color w:val="000000"/>
          <w:sz w:val="21"/>
          <w:szCs w:val="21"/>
        </w:rPr>
        <w:t xml:space="preserve">C. </w:t>
      </w:r>
      <w:r>
        <w:rPr>
          <w:rFonts w:ascii="Poppins" w:cs="Poppins" w:eastAsia="Poppins" w:hAnsi="Poppins"/>
          <w:b w:val="false"/>
          <w:bCs w:val="false"/>
          <w:color w:val="000000"/>
          <w:sz w:val="21"/>
          <w:szCs w:val="21"/>
        </w:rPr>
        <w:t xml:space="preserve">Sí, la cistitis tiene una asociación aún más fuerte que la BA con el parto pretérmino</w:t>
      </w:r>
    </w:p>
    <w:p>
      <w:pPr>
        <w:spacing w:after="60"/>
      </w:pPr>
      <w:r>
        <w:rPr>
          <w:rFonts w:ascii="Poppins" w:cs="Poppins" w:eastAsia="Poppins" w:hAnsi="Poppins"/>
          <w:b/>
          <w:bCs/>
          <w:color w:val="000000"/>
          <w:sz w:val="21"/>
          <w:szCs w:val="21"/>
        </w:rPr>
        <w:t xml:space="preserve">D. </w:t>
      </w:r>
      <w:r>
        <w:rPr>
          <w:rFonts w:ascii="Poppins" w:cs="Poppins" w:eastAsia="Poppins" w:hAnsi="Poppins"/>
          <w:b w:val="false"/>
          <w:bCs w:val="false"/>
          <w:color w:val="000000"/>
          <w:sz w:val="21"/>
          <w:szCs w:val="21"/>
        </w:rPr>
        <w:t xml:space="preserve">No se ha estudiado esta relación en ningún caso</w:t>
      </w:r>
    </w:p>
    <w:p>
      <w:pPr>
        <w:spacing w:after="100" w:before="120"/>
      </w:pPr>
      <w:r>
        <w:rPr>
          <w:rFonts w:ascii="Poppins" w:cs="Poppins" w:eastAsia="Poppins" w:hAnsi="Poppins"/>
          <w:b/>
          <w:bCs/>
          <w:color w:val="001C31"/>
          <w:sz w:val="21"/>
          <w:szCs w:val="21"/>
        </w:rPr>
        <w:t xml:space="preserve">Respuesta correcta: A</w:t>
      </w:r>
    </w:p>
    <w:p>
      <w:pPr>
        <w:spacing w:after="60"/>
      </w:pPr>
      <w:r>
        <w:rPr>
          <w:rFonts w:ascii="Poppins" w:cs="Poppins" w:eastAsia="Poppins" w:hAnsi="Poppins"/>
          <w:b/>
          <w:bCs/>
          <w:color w:val="001C31"/>
          <w:sz w:val="21"/>
          <w:szCs w:val="21"/>
          <w:u w:val="single"/>
        </w:rPr>
        <w:t xml:space="preserve">Justificación de la respuesta correcta</w:t>
      </w:r>
    </w:p>
    <w:p>
      <w:pPr>
        <w:spacing w:after="150"/>
      </w:pPr>
      <w:r>
        <w:rPr>
          <w:rFonts w:ascii="Poppins" w:cs="Poppins" w:eastAsia="Poppins" w:hAnsi="Poppins"/>
          <w:sz w:val="21"/>
          <w:szCs w:val="21"/>
        </w:rPr>
        <w:t xml:space="preserve">La guía indica (2+) que no hay una clara evidencia de que la cistitis se asocie con trabajo de parto pretérmino como es el caso de la BA, diferenciando así el nivel de evidencia de asociación obstétrica entre ambas entidades.</w:t>
      </w:r>
    </w:p>
    <w:p>
      <w:pPr>
        <w:spacing w:after="60"/>
      </w:pPr>
      <w:r>
        <w:rPr>
          <w:rFonts w:ascii="Poppins" w:cs="Poppins" w:eastAsia="Poppins" w:hAnsi="Poppins"/>
          <w:b/>
          <w:bCs/>
          <w:color w:val="001C31"/>
          <w:sz w:val="21"/>
          <w:szCs w:val="21"/>
          <w:u w:val="single"/>
        </w:rPr>
        <w:t xml:space="preserve">Justificación de las opciones incorrectas</w:t>
      </w:r>
    </w:p>
    <w:p>
      <w:pPr>
        <w:spacing w:after="60"/>
      </w:pPr>
      <w:r>
        <w:rPr>
          <w:rFonts w:ascii="Poppins" w:cs="Poppins" w:eastAsia="Poppins" w:hAnsi="Poppins"/>
          <w:b/>
          <w:bCs/>
          <w:sz w:val="21"/>
          <w:szCs w:val="21"/>
        </w:rPr>
        <w:t xml:space="preserve">Opción B: </w:t>
      </w:r>
      <w:r>
        <w:rPr>
          <w:rFonts w:ascii="Poppins" w:cs="Poppins" w:eastAsia="Poppins" w:hAnsi="Poppins"/>
          <w:sz w:val="21"/>
          <w:szCs w:val="21"/>
        </w:rPr>
        <w:t xml:space="preserve">La guía diferencia explícitamente el nivel de evidencia entre ambas condiciones; la asociación con parto pretérmino está mejor documentada para la BA que para la cistitis.</w:t>
      </w:r>
    </w:p>
    <w:p>
      <w:pPr>
        <w:spacing w:after="60"/>
      </w:pPr>
      <w:r>
        <w:rPr>
          <w:rFonts w:ascii="Poppins" w:cs="Poppins" w:eastAsia="Poppins" w:hAnsi="Poppins"/>
          <w:b/>
          <w:bCs/>
          <w:sz w:val="21"/>
          <w:szCs w:val="21"/>
        </w:rPr>
        <w:t xml:space="preserve">Opción C: </w:t>
      </w:r>
      <w:r>
        <w:rPr>
          <w:rFonts w:ascii="Poppins" w:cs="Poppins" w:eastAsia="Poppins" w:hAnsi="Poppins"/>
          <w:sz w:val="21"/>
          <w:szCs w:val="21"/>
        </w:rPr>
        <w:t xml:space="preserve">La guía no plantea que la cistitis tenga una asociación más fuerte que la BA con el parto pretérmino; por el contrario, indica que la evidencia para la cistitis es menos clara.</w:t>
      </w:r>
    </w:p>
    <w:p>
      <w:pPr>
        <w:spacing w:after="60"/>
      </w:pPr>
      <w:r>
        <w:rPr>
          <w:rFonts w:ascii="Poppins" w:cs="Poppins" w:eastAsia="Poppins" w:hAnsi="Poppins"/>
          <w:b/>
          <w:bCs/>
          <w:sz w:val="21"/>
          <w:szCs w:val="21"/>
        </w:rPr>
        <w:t xml:space="preserve">Opción D: </w:t>
      </w:r>
      <w:r>
        <w:rPr>
          <w:rFonts w:ascii="Poppins" w:cs="Poppins" w:eastAsia="Poppins" w:hAnsi="Poppins"/>
          <w:sz w:val="21"/>
          <w:szCs w:val="21"/>
        </w:rPr>
        <w:t xml:space="preserve">La guía sí aborda esta relación específicamente, asignándole un nivel de evidencia (2+) que refleja la falta de claridad en la asociación para la cistitis.</w:t>
      </w:r>
    </w:p>
    <w:p>
      <w:pPr>
        <w:pBdr>
          <w:bottom w:val="single" w:color="B08D3F" w:sz="6" w:space="4"/>
        </w:pBdr>
        <w:spacing w:after="200" w:before="100"/>
      </w:pPr>
      <w:r>
        <w:rPr>
          <w:rFonts w:ascii="Poppins" w:cs="Poppins" w:eastAsia="Poppins" w:hAnsi="Poppins"/>
          <w:b/>
          <w:bCs/>
          <w:i/>
          <w:iCs/>
          <w:color w:val="B08D3F"/>
          <w:sz w:val="20"/>
          <w:szCs w:val="20"/>
        </w:rPr>
        <w:t xml:space="preserve">Referencia: </w:t>
      </w:r>
      <w:r>
        <w:rPr>
          <w:rFonts w:ascii="Poppins" w:cs="Poppins" w:eastAsia="Poppins" w:hAnsi="Poppins"/>
          <w:i/>
          <w:iCs/>
          <w:color w:val="555555"/>
          <w:sz w:val="20"/>
          <w:szCs w:val="20"/>
        </w:rPr>
        <w:t xml:space="preserve">Evidencias y recomendaciones. Tratamiento para cistitis. Página 19.</w:t>
      </w:r>
    </w:p>
    <w:p>
      <w:pPr>
        <w:shd w:fill="001C31" w:val="clear"/>
        <w:spacing w:after="100" w:before="300"/>
      </w:pPr>
      <w:r>
        <w:rPr>
          <w:rFonts w:ascii="Poppins" w:cs="Poppins" w:eastAsia="Poppins" w:hAnsi="Poppins"/>
          <w:b/>
          <w:bCs/>
          <w:color w:val="FFFFFF"/>
          <w:sz w:val="24"/>
          <w:szCs w:val="24"/>
        </w:rPr>
        <w:t xml:space="preserve">PREGUNTA 53</w:t>
      </w:r>
    </w:p>
    <w:p>
      <w:pPr>
        <w:spacing w:after="120"/>
      </w:pPr>
      <w:r>
        <w:rPr>
          <w:rFonts w:ascii="Poppins" w:cs="Poppins" w:eastAsia="Poppins" w:hAnsi="Poppins"/>
          <w:b/>
          <w:bCs/>
          <w:color w:val="001C31"/>
          <w:sz w:val="21"/>
          <w:szCs w:val="21"/>
        </w:rPr>
        <w:t xml:space="preserve">Pregunta: </w:t>
      </w:r>
      <w:r>
        <w:rPr>
          <w:rFonts w:ascii="Poppins" w:cs="Poppins" w:eastAsia="Poppins" w:hAnsi="Poppins"/>
          <w:sz w:val="21"/>
          <w:szCs w:val="21"/>
        </w:rPr>
        <w:t xml:space="preserve">Según la GPC, ¿cuándo debe iniciarse el tratamiento de la cistitis?</w:t>
      </w:r>
    </w:p>
    <w:p>
      <w:pPr>
        <w:spacing w:after="60"/>
      </w:pPr>
      <w:r>
        <w:rPr>
          <w:rFonts w:ascii="Poppins" w:cs="Poppins" w:eastAsia="Poppins" w:hAnsi="Poppins"/>
          <w:b/>
          <w:bCs/>
          <w:color w:val="B08D3F"/>
          <w:sz w:val="21"/>
          <w:szCs w:val="21"/>
        </w:rPr>
        <w:t xml:space="preserve">A. </w:t>
      </w:r>
      <w:r>
        <w:rPr>
          <w:rFonts w:ascii="Poppins" w:cs="Poppins" w:eastAsia="Poppins" w:hAnsi="Poppins"/>
          <w:b/>
          <w:bCs/>
          <w:color w:val="B08D3F"/>
          <w:sz w:val="21"/>
          <w:szCs w:val="21"/>
        </w:rPr>
        <w:t xml:space="preserve">Frente a paciente sintomática, idealmente luego de toma de muestra para EMO y urocultivo, con los fármacos sugeridos para el país</w:t>
      </w:r>
    </w:p>
    <w:p>
      <w:pPr>
        <w:spacing w:after="60"/>
      </w:pPr>
      <w:r>
        <w:rPr>
          <w:rFonts w:ascii="Poppins" w:cs="Poppins" w:eastAsia="Poppins" w:hAnsi="Poppins"/>
          <w:b/>
          <w:bCs/>
          <w:color w:val="000000"/>
          <w:sz w:val="21"/>
          <w:szCs w:val="21"/>
        </w:rPr>
        <w:t xml:space="preserve">B. </w:t>
      </w:r>
      <w:r>
        <w:rPr>
          <w:rFonts w:ascii="Poppins" w:cs="Poppins" w:eastAsia="Poppins" w:hAnsi="Poppins"/>
          <w:b w:val="false"/>
          <w:bCs w:val="false"/>
          <w:color w:val="000000"/>
          <w:sz w:val="21"/>
          <w:szCs w:val="21"/>
        </w:rPr>
        <w:t xml:space="preserve">Solo después de confirmar el resultado positivo del urocultivo, sin excepción</w:t>
      </w:r>
    </w:p>
    <w:p>
      <w:pPr>
        <w:spacing w:after="60"/>
      </w:pPr>
      <w:r>
        <w:rPr>
          <w:rFonts w:ascii="Poppins" w:cs="Poppins" w:eastAsia="Poppins" w:hAnsi="Poppins"/>
          <w:b/>
          <w:bCs/>
          <w:color w:val="000000"/>
          <w:sz w:val="21"/>
          <w:szCs w:val="21"/>
        </w:rPr>
        <w:t xml:space="preserve">C. </w:t>
      </w:r>
      <w:r>
        <w:rPr>
          <w:rFonts w:ascii="Poppins" w:cs="Poppins" w:eastAsia="Poppins" w:hAnsi="Poppins"/>
          <w:b w:val="false"/>
          <w:bCs w:val="false"/>
          <w:color w:val="000000"/>
          <w:sz w:val="21"/>
          <w:szCs w:val="21"/>
        </w:rPr>
        <w:t xml:space="preserve">Únicamente cuando la paciente presente fiebre asociada</w:t>
      </w:r>
    </w:p>
    <w:p>
      <w:pPr>
        <w:spacing w:after="60"/>
      </w:pPr>
      <w:r>
        <w:rPr>
          <w:rFonts w:ascii="Poppins" w:cs="Poppins" w:eastAsia="Poppins" w:hAnsi="Poppins"/>
          <w:b/>
          <w:bCs/>
          <w:color w:val="000000"/>
          <w:sz w:val="21"/>
          <w:szCs w:val="21"/>
        </w:rPr>
        <w:t xml:space="preserve">D. </w:t>
      </w:r>
      <w:r>
        <w:rPr>
          <w:rFonts w:ascii="Poppins" w:cs="Poppins" w:eastAsia="Poppins" w:hAnsi="Poppins"/>
          <w:b w:val="false"/>
          <w:bCs w:val="false"/>
          <w:color w:val="000000"/>
          <w:sz w:val="21"/>
          <w:szCs w:val="21"/>
        </w:rPr>
        <w:t xml:space="preserve">Solo si la paciente ha fallado previamente a un tratamiento con nitrofurantoína</w:t>
      </w:r>
    </w:p>
    <w:p>
      <w:pPr>
        <w:spacing w:after="100" w:before="120"/>
      </w:pPr>
      <w:r>
        <w:rPr>
          <w:rFonts w:ascii="Poppins" w:cs="Poppins" w:eastAsia="Poppins" w:hAnsi="Poppins"/>
          <w:b/>
          <w:bCs/>
          <w:color w:val="001C31"/>
          <w:sz w:val="21"/>
          <w:szCs w:val="21"/>
        </w:rPr>
        <w:t xml:space="preserve">Respuesta correcta: A</w:t>
      </w:r>
    </w:p>
    <w:p>
      <w:pPr>
        <w:spacing w:after="60"/>
      </w:pPr>
      <w:r>
        <w:rPr>
          <w:rFonts w:ascii="Poppins" w:cs="Poppins" w:eastAsia="Poppins" w:hAnsi="Poppins"/>
          <w:b/>
          <w:bCs/>
          <w:color w:val="001C31"/>
          <w:sz w:val="21"/>
          <w:szCs w:val="21"/>
          <w:u w:val="single"/>
        </w:rPr>
        <w:t xml:space="preserve">Justificación de la respuesta correcta</w:t>
      </w:r>
    </w:p>
    <w:p>
      <w:pPr>
        <w:spacing w:after="150"/>
      </w:pPr>
      <w:r>
        <w:rPr>
          <w:rFonts w:ascii="Poppins" w:cs="Poppins" w:eastAsia="Poppins" w:hAnsi="Poppins"/>
          <w:sz w:val="21"/>
          <w:szCs w:val="21"/>
        </w:rPr>
        <w:t xml:space="preserve">La guía establece como punto de buena práctica (ü) que el tratamiento de cistitis debe iniciarse frente a paciente sintomática, idealmente luego de toma de muestra para EMO y urocultivo, con los fármacos sugeridos para el país, sin necesidad de esperar el resultado para iniciar el manejo empírico.</w:t>
      </w:r>
    </w:p>
    <w:p>
      <w:pPr>
        <w:spacing w:after="60"/>
      </w:pPr>
      <w:r>
        <w:rPr>
          <w:rFonts w:ascii="Poppins" w:cs="Poppins" w:eastAsia="Poppins" w:hAnsi="Poppins"/>
          <w:b/>
          <w:bCs/>
          <w:color w:val="001C31"/>
          <w:sz w:val="21"/>
          <w:szCs w:val="21"/>
          <w:u w:val="single"/>
        </w:rPr>
        <w:t xml:space="preserve">Justificación de las opciones incorrectas</w:t>
      </w:r>
    </w:p>
    <w:p>
      <w:pPr>
        <w:spacing w:after="60"/>
      </w:pPr>
      <w:r>
        <w:rPr>
          <w:rFonts w:ascii="Poppins" w:cs="Poppins" w:eastAsia="Poppins" w:hAnsi="Poppins"/>
          <w:b/>
          <w:bCs/>
          <w:sz w:val="21"/>
          <w:szCs w:val="21"/>
        </w:rPr>
        <w:t xml:space="preserve">Opción B: </w:t>
      </w:r>
      <w:r>
        <w:rPr>
          <w:rFonts w:ascii="Poppins" w:cs="Poppins" w:eastAsia="Poppins" w:hAnsi="Poppins"/>
          <w:sz w:val="21"/>
          <w:szCs w:val="21"/>
        </w:rPr>
        <w:t xml:space="preserve">La guía no exige esperar la confirmación del urocultivo para iniciar tratamiento; recomienda iniciar el tratamiento empírico frente a la paciente sintomática, idealmente tras la toma de muestra.</w:t>
      </w:r>
    </w:p>
    <w:p>
      <w:pPr>
        <w:spacing w:after="60"/>
      </w:pPr>
      <w:r>
        <w:rPr>
          <w:rFonts w:ascii="Poppins" w:cs="Poppins" w:eastAsia="Poppins" w:hAnsi="Poppins"/>
          <w:b/>
          <w:bCs/>
          <w:sz w:val="21"/>
          <w:szCs w:val="21"/>
        </w:rPr>
        <w:t xml:space="preserve">Opción C: </w:t>
      </w:r>
      <w:r>
        <w:rPr>
          <w:rFonts w:ascii="Poppins" w:cs="Poppins" w:eastAsia="Poppins" w:hAnsi="Poppins"/>
          <w:sz w:val="21"/>
          <w:szCs w:val="21"/>
        </w:rPr>
        <w:t xml:space="preserve">La fiebre no es un requisito para iniciar tratamiento de cistitis; de hecho, la ausencia de afección sistémica (incluida la fiebre) es parte de la definición de cistitis, a diferencia de la pielonefritis.</w:t>
      </w:r>
    </w:p>
    <w:p>
      <w:pPr>
        <w:spacing w:after="60"/>
      </w:pPr>
      <w:r>
        <w:rPr>
          <w:rFonts w:ascii="Poppins" w:cs="Poppins" w:eastAsia="Poppins" w:hAnsi="Poppins"/>
          <w:b/>
          <w:bCs/>
          <w:sz w:val="21"/>
          <w:szCs w:val="21"/>
        </w:rPr>
        <w:t xml:space="preserve">Opción D: </w:t>
      </w:r>
      <w:r>
        <w:rPr>
          <w:rFonts w:ascii="Poppins" w:cs="Poppins" w:eastAsia="Poppins" w:hAnsi="Poppins"/>
          <w:sz w:val="21"/>
          <w:szCs w:val="21"/>
        </w:rPr>
        <w:t xml:space="preserve">La guía no condiciona el inicio del tratamiento de cistitis a un fallo previo con nitrofurantoína; el tratamiento se inicia directamente ante la paciente sintomática.</w:t>
      </w:r>
    </w:p>
    <w:p>
      <w:pPr>
        <w:pBdr>
          <w:bottom w:val="single" w:color="B08D3F" w:sz="6" w:space="4"/>
        </w:pBdr>
        <w:spacing w:after="200" w:before="100"/>
      </w:pPr>
      <w:r>
        <w:rPr>
          <w:rFonts w:ascii="Poppins" w:cs="Poppins" w:eastAsia="Poppins" w:hAnsi="Poppins"/>
          <w:b/>
          <w:bCs/>
          <w:i/>
          <w:iCs/>
          <w:color w:val="B08D3F"/>
          <w:sz w:val="20"/>
          <w:szCs w:val="20"/>
        </w:rPr>
        <w:t xml:space="preserve">Referencia: </w:t>
      </w:r>
      <w:r>
        <w:rPr>
          <w:rFonts w:ascii="Poppins" w:cs="Poppins" w:eastAsia="Poppins" w:hAnsi="Poppins"/>
          <w:i/>
          <w:iCs/>
          <w:color w:val="555555"/>
          <w:sz w:val="20"/>
          <w:szCs w:val="20"/>
        </w:rPr>
        <w:t xml:space="preserve">Evidencias y recomendaciones. Tratamiento para cistitis. Página 19.</w:t>
      </w:r>
    </w:p>
    <w:p>
      <w:pPr>
        <w:shd w:fill="001C31" w:val="clear"/>
        <w:spacing w:after="100" w:before="300"/>
      </w:pPr>
      <w:r>
        <w:rPr>
          <w:rFonts w:ascii="Poppins" w:cs="Poppins" w:eastAsia="Poppins" w:hAnsi="Poppins"/>
          <w:b/>
          <w:bCs/>
          <w:color w:val="FFFFFF"/>
          <w:sz w:val="24"/>
          <w:szCs w:val="24"/>
        </w:rPr>
        <w:t xml:space="preserve">PREGUNTA 54</w:t>
      </w:r>
    </w:p>
    <w:p>
      <w:pPr>
        <w:shd w:fill="F3ECDD" w:val="clear"/>
        <w:spacing w:after="60"/>
      </w:pPr>
      <w:r>
        <w:rPr>
          <w:rFonts w:ascii="Poppins" w:cs="Poppins" w:eastAsia="Poppins" w:hAnsi="Poppins"/>
          <w:b/>
          <w:bCs/>
          <w:i/>
          <w:iCs/>
          <w:color w:val="001C31"/>
          <w:sz w:val="21"/>
          <w:szCs w:val="21"/>
        </w:rPr>
        <w:t xml:space="preserve">Caso clínico: </w:t>
      </w:r>
      <w:r>
        <w:rPr>
          <w:rFonts w:ascii="Poppins" w:cs="Poppins" w:eastAsia="Poppins" w:hAnsi="Poppins"/>
          <w:i/>
          <w:iCs/>
          <w:sz w:val="21"/>
          <w:szCs w:val="21"/>
        </w:rPr>
        <w:t xml:space="preserve">Una paciente presenta datos clínicos de cistitis sin síntomas vaginales asociados. El profesional de salud evalúa iniciar tratamiento empírico.</w:t>
      </w:r>
    </w:p>
    <w:p>
      <w:pPr>
        <w:spacing w:after="120"/>
      </w:pPr>
      <w:r>
        <w:rPr>
          <w:rFonts w:ascii="Poppins" w:cs="Poppins" w:eastAsia="Poppins" w:hAnsi="Poppins"/>
          <w:b/>
          <w:bCs/>
          <w:color w:val="001C31"/>
          <w:sz w:val="21"/>
          <w:szCs w:val="21"/>
        </w:rPr>
        <w:t xml:space="preserve">Pregunta: </w:t>
      </w:r>
      <w:r>
        <w:rPr>
          <w:rFonts w:ascii="Poppins" w:cs="Poppins" w:eastAsia="Poppins" w:hAnsi="Poppins"/>
          <w:sz w:val="21"/>
          <w:szCs w:val="21"/>
        </w:rPr>
        <w:t xml:space="preserve">Según la GPC, ¿qué recomendaciones de tratamiento debe seguir para esta paciente?</w:t>
      </w:r>
    </w:p>
    <w:p>
      <w:pPr>
        <w:spacing w:after="60"/>
      </w:pPr>
      <w:r>
        <w:rPr>
          <w:rFonts w:ascii="Poppins" w:cs="Poppins" w:eastAsia="Poppins" w:hAnsi="Poppins"/>
          <w:b/>
          <w:bCs/>
          <w:color w:val="B08D3F"/>
          <w:sz w:val="21"/>
          <w:szCs w:val="21"/>
        </w:rPr>
        <w:t xml:space="preserve">A. </w:t>
      </w:r>
      <w:r>
        <w:rPr>
          <w:rFonts w:ascii="Poppins" w:cs="Poppins" w:eastAsia="Poppins" w:hAnsi="Poppins"/>
          <w:b/>
          <w:bCs/>
          <w:color w:val="B08D3F"/>
          <w:sz w:val="21"/>
          <w:szCs w:val="21"/>
        </w:rPr>
        <w:t xml:space="preserve">Las mismas recomendaciones de tratamiento que para la bacteriuria asintomática</w:t>
      </w:r>
    </w:p>
    <w:p>
      <w:pPr>
        <w:spacing w:after="60"/>
      </w:pPr>
      <w:r>
        <w:rPr>
          <w:rFonts w:ascii="Poppins" w:cs="Poppins" w:eastAsia="Poppins" w:hAnsi="Poppins"/>
          <w:b/>
          <w:bCs/>
          <w:color w:val="000000"/>
          <w:sz w:val="21"/>
          <w:szCs w:val="21"/>
        </w:rPr>
        <w:t xml:space="preserve">B. </w:t>
      </w:r>
      <w:r>
        <w:rPr>
          <w:rFonts w:ascii="Poppins" w:cs="Poppins" w:eastAsia="Poppins" w:hAnsi="Poppins"/>
          <w:b w:val="false"/>
          <w:bCs w:val="false"/>
          <w:color w:val="000000"/>
          <w:sz w:val="21"/>
          <w:szCs w:val="21"/>
        </w:rPr>
        <w:t xml:space="preserve">Un esquema antibiótico completamente distinto al usado en BA, con doble duración de tratamiento</w:t>
      </w:r>
    </w:p>
    <w:p>
      <w:pPr>
        <w:spacing w:after="60"/>
      </w:pPr>
      <w:r>
        <w:rPr>
          <w:rFonts w:ascii="Poppins" w:cs="Poppins" w:eastAsia="Poppins" w:hAnsi="Poppins"/>
          <w:b/>
          <w:bCs/>
          <w:color w:val="000000"/>
          <w:sz w:val="21"/>
          <w:szCs w:val="21"/>
        </w:rPr>
        <w:t xml:space="preserve">C. </w:t>
      </w:r>
      <w:r>
        <w:rPr>
          <w:rFonts w:ascii="Poppins" w:cs="Poppins" w:eastAsia="Poppins" w:hAnsi="Poppins"/>
          <w:b w:val="false"/>
          <w:bCs w:val="false"/>
          <w:color w:val="000000"/>
          <w:sz w:val="21"/>
          <w:szCs w:val="21"/>
        </w:rPr>
        <w:t xml:space="preserve">Manejo expectante sin antibióticos, dado que la cistitis no complicada se autolimita en el embarazo</w:t>
      </w:r>
    </w:p>
    <w:p>
      <w:pPr>
        <w:spacing w:after="60"/>
      </w:pPr>
      <w:r>
        <w:rPr>
          <w:rFonts w:ascii="Poppins" w:cs="Poppins" w:eastAsia="Poppins" w:hAnsi="Poppins"/>
          <w:b/>
          <w:bCs/>
          <w:color w:val="000000"/>
          <w:sz w:val="21"/>
          <w:szCs w:val="21"/>
        </w:rPr>
        <w:t xml:space="preserve">D. </w:t>
      </w:r>
      <w:r>
        <w:rPr>
          <w:rFonts w:ascii="Poppins" w:cs="Poppins" w:eastAsia="Poppins" w:hAnsi="Poppins"/>
          <w:b w:val="false"/>
          <w:bCs w:val="false"/>
          <w:color w:val="000000"/>
          <w:sz w:val="21"/>
          <w:szCs w:val="21"/>
        </w:rPr>
        <w:t xml:space="preserve">Manejo exclusivamente quirúrgico mediante cateterismo vesical prolongado</w:t>
      </w:r>
    </w:p>
    <w:p>
      <w:pPr>
        <w:spacing w:after="100" w:before="120"/>
      </w:pPr>
      <w:r>
        <w:rPr>
          <w:rFonts w:ascii="Poppins" w:cs="Poppins" w:eastAsia="Poppins" w:hAnsi="Poppins"/>
          <w:b/>
          <w:bCs/>
          <w:color w:val="001C31"/>
          <w:sz w:val="21"/>
          <w:szCs w:val="21"/>
        </w:rPr>
        <w:t xml:space="preserve">Respuesta correcta: A</w:t>
      </w:r>
    </w:p>
    <w:p>
      <w:pPr>
        <w:spacing w:after="60"/>
      </w:pPr>
      <w:r>
        <w:rPr>
          <w:rFonts w:ascii="Poppins" w:cs="Poppins" w:eastAsia="Poppins" w:hAnsi="Poppins"/>
          <w:b/>
          <w:bCs/>
          <w:color w:val="001C31"/>
          <w:sz w:val="21"/>
          <w:szCs w:val="21"/>
          <w:u w:val="single"/>
        </w:rPr>
        <w:t xml:space="preserve">Justificación de la respuesta correcta</w:t>
      </w:r>
    </w:p>
    <w:p>
      <w:pPr>
        <w:spacing w:after="150"/>
      </w:pPr>
      <w:r>
        <w:rPr>
          <w:rFonts w:ascii="Poppins" w:cs="Poppins" w:eastAsia="Poppins" w:hAnsi="Poppins"/>
          <w:sz w:val="21"/>
          <w:szCs w:val="21"/>
        </w:rPr>
        <w:t xml:space="preserve">La guía establece (C 3) que las recomendaciones de tratamiento para la cistitis durante el embarazo son las mismas que para BA, dado que los uropatógenos encontrados en ambas condiciones son los mismos.</w:t>
      </w:r>
    </w:p>
    <w:p>
      <w:pPr>
        <w:spacing w:after="60"/>
      </w:pPr>
      <w:r>
        <w:rPr>
          <w:rFonts w:ascii="Poppins" w:cs="Poppins" w:eastAsia="Poppins" w:hAnsi="Poppins"/>
          <w:b/>
          <w:bCs/>
          <w:color w:val="001C31"/>
          <w:sz w:val="21"/>
          <w:szCs w:val="21"/>
          <w:u w:val="single"/>
        </w:rPr>
        <w:t xml:space="preserve">Justificación de las opciones incorrectas</w:t>
      </w:r>
    </w:p>
    <w:p>
      <w:pPr>
        <w:spacing w:after="60"/>
      </w:pPr>
      <w:r>
        <w:rPr>
          <w:rFonts w:ascii="Poppins" w:cs="Poppins" w:eastAsia="Poppins" w:hAnsi="Poppins"/>
          <w:b/>
          <w:bCs/>
          <w:sz w:val="21"/>
          <w:szCs w:val="21"/>
        </w:rPr>
        <w:t xml:space="preserve">Opción B: </w:t>
      </w:r>
      <w:r>
        <w:rPr>
          <w:rFonts w:ascii="Poppins" w:cs="Poppins" w:eastAsia="Poppins" w:hAnsi="Poppins"/>
          <w:sz w:val="21"/>
          <w:szCs w:val="21"/>
        </w:rPr>
        <w:t xml:space="preserve">La guía no plantea un esquema antibiótico distinto ni una duración doble para la cistitis en comparación con la BA; las recomendaciones de tratamiento son las mismas para ambas condiciones.</w:t>
      </w:r>
    </w:p>
    <w:p>
      <w:pPr>
        <w:spacing w:after="60"/>
      </w:pPr>
      <w:r>
        <w:rPr>
          <w:rFonts w:ascii="Poppins" w:cs="Poppins" w:eastAsia="Poppins" w:hAnsi="Poppins"/>
          <w:b/>
          <w:bCs/>
          <w:sz w:val="21"/>
          <w:szCs w:val="21"/>
        </w:rPr>
        <w:t xml:space="preserve">Opción C: </w:t>
      </w:r>
      <w:r>
        <w:rPr>
          <w:rFonts w:ascii="Poppins" w:cs="Poppins" w:eastAsia="Poppins" w:hAnsi="Poppins"/>
          <w:sz w:val="21"/>
          <w:szCs w:val="21"/>
        </w:rPr>
        <w:t xml:space="preserve">La guía no recomienda manejo expectante sin antibióticos para la cistitis; el tratamiento antibiótico es la base del manejo tanto de BA como de cistitis en el embarazo.</w:t>
      </w:r>
    </w:p>
    <w:p>
      <w:pPr>
        <w:spacing w:after="60"/>
      </w:pPr>
      <w:r>
        <w:rPr>
          <w:rFonts w:ascii="Poppins" w:cs="Poppins" w:eastAsia="Poppins" w:hAnsi="Poppins"/>
          <w:b/>
          <w:bCs/>
          <w:sz w:val="21"/>
          <w:szCs w:val="21"/>
        </w:rPr>
        <w:t xml:space="preserve">Opción D: </w:t>
      </w:r>
      <w:r>
        <w:rPr>
          <w:rFonts w:ascii="Poppins" w:cs="Poppins" w:eastAsia="Poppins" w:hAnsi="Poppins"/>
          <w:sz w:val="21"/>
          <w:szCs w:val="21"/>
        </w:rPr>
        <w:t xml:space="preserve">El manejo quirúrgico mediante cateterismo vesical prolongado no se menciona en la guía como tratamiento de la cistitis; el manejo es farmacológico con antibióticos orales.</w:t>
      </w:r>
    </w:p>
    <w:p>
      <w:pPr>
        <w:pBdr>
          <w:bottom w:val="single" w:color="B08D3F" w:sz="6" w:space="4"/>
        </w:pBdr>
        <w:spacing w:after="200" w:before="100"/>
      </w:pPr>
      <w:r>
        <w:rPr>
          <w:rFonts w:ascii="Poppins" w:cs="Poppins" w:eastAsia="Poppins" w:hAnsi="Poppins"/>
          <w:b/>
          <w:bCs/>
          <w:i/>
          <w:iCs/>
          <w:color w:val="B08D3F"/>
          <w:sz w:val="20"/>
          <w:szCs w:val="20"/>
        </w:rPr>
        <w:t xml:space="preserve">Referencia: </w:t>
      </w:r>
      <w:r>
        <w:rPr>
          <w:rFonts w:ascii="Poppins" w:cs="Poppins" w:eastAsia="Poppins" w:hAnsi="Poppins"/>
          <w:i/>
          <w:iCs/>
          <w:color w:val="555555"/>
          <w:sz w:val="20"/>
          <w:szCs w:val="20"/>
        </w:rPr>
        <w:t xml:space="preserve">Evidencias y recomendaciones. Tratamiento para cistitis. Página 19.</w:t>
      </w:r>
    </w:p>
    <w:p>
      <w:pPr>
        <w:shd w:fill="001C31" w:val="clear"/>
        <w:spacing w:after="100" w:before="300"/>
      </w:pPr>
      <w:r>
        <w:rPr>
          <w:rFonts w:ascii="Poppins" w:cs="Poppins" w:eastAsia="Poppins" w:hAnsi="Poppins"/>
          <w:b/>
          <w:bCs/>
          <w:color w:val="FFFFFF"/>
          <w:sz w:val="24"/>
          <w:szCs w:val="24"/>
        </w:rPr>
        <w:t xml:space="preserve">PREGUNTA 55</w:t>
      </w:r>
    </w:p>
    <w:p>
      <w:pPr>
        <w:shd w:fill="F3ECDD" w:val="clear"/>
        <w:spacing w:after="60"/>
      </w:pPr>
      <w:r>
        <w:rPr>
          <w:rFonts w:ascii="Poppins" w:cs="Poppins" w:eastAsia="Poppins" w:hAnsi="Poppins"/>
          <w:b/>
          <w:bCs/>
          <w:i/>
          <w:iCs/>
          <w:color w:val="001C31"/>
          <w:sz w:val="21"/>
          <w:szCs w:val="21"/>
        </w:rPr>
        <w:t xml:space="preserve">Caso clínico: </w:t>
      </w:r>
      <w:r>
        <w:rPr>
          <w:rFonts w:ascii="Poppins" w:cs="Poppins" w:eastAsia="Poppins" w:hAnsi="Poppins"/>
          <w:i/>
          <w:iCs/>
          <w:sz w:val="21"/>
          <w:szCs w:val="21"/>
        </w:rPr>
        <w:t xml:space="preserve">Una paciente embarazada de 14 semanas tiene un urocultivo de tamizaje positivo para BA, con más de 100.000 UFC/mL de Escherichia coli, sin presentar ningún síntoma urinario.</w:t>
      </w:r>
    </w:p>
    <w:p>
      <w:pPr>
        <w:spacing w:after="120"/>
      </w:pPr>
      <w:r>
        <w:rPr>
          <w:rFonts w:ascii="Poppins" w:cs="Poppins" w:eastAsia="Poppins" w:hAnsi="Poppins"/>
          <w:b/>
          <w:bCs/>
          <w:color w:val="001C31"/>
          <w:sz w:val="21"/>
          <w:szCs w:val="21"/>
        </w:rPr>
        <w:t xml:space="preserve">Pregunta: </w:t>
      </w:r>
      <w:r>
        <w:rPr>
          <w:rFonts w:ascii="Poppins" w:cs="Poppins" w:eastAsia="Poppins" w:hAnsi="Poppins"/>
          <w:sz w:val="21"/>
          <w:szCs w:val="21"/>
        </w:rPr>
        <w:t xml:space="preserve">Según la GPC, ¿se debe tratar esta bacteriuria asintomática con antibiótico?</w:t>
      </w:r>
    </w:p>
    <w:p>
      <w:pPr>
        <w:spacing w:after="60"/>
      </w:pPr>
      <w:r>
        <w:rPr>
          <w:rFonts w:ascii="Poppins" w:cs="Poppins" w:eastAsia="Poppins" w:hAnsi="Poppins"/>
          <w:b/>
          <w:bCs/>
          <w:color w:val="B08D3F"/>
          <w:sz w:val="21"/>
          <w:szCs w:val="21"/>
        </w:rPr>
        <w:t xml:space="preserve">A. </w:t>
      </w:r>
      <w:r>
        <w:rPr>
          <w:rFonts w:ascii="Poppins" w:cs="Poppins" w:eastAsia="Poppins" w:hAnsi="Poppins"/>
          <w:b/>
          <w:bCs/>
          <w:color w:val="B08D3F"/>
          <w:sz w:val="21"/>
          <w:szCs w:val="21"/>
        </w:rPr>
        <w:t xml:space="preserve">Sí, se debe dar tratamiento con antibiótico en caso de detectar BA por urocultivo durante el embarazo, ya que reduce el riesgo de pielonefritis, partos pretérminos y bajo peso al nacer</w:t>
      </w:r>
    </w:p>
    <w:p>
      <w:pPr>
        <w:spacing w:after="60"/>
      </w:pPr>
      <w:r>
        <w:rPr>
          <w:rFonts w:ascii="Poppins" w:cs="Poppins" w:eastAsia="Poppins" w:hAnsi="Poppins"/>
          <w:b/>
          <w:bCs/>
          <w:color w:val="000000"/>
          <w:sz w:val="21"/>
          <w:szCs w:val="21"/>
        </w:rPr>
        <w:t xml:space="preserve">B. </w:t>
      </w:r>
      <w:r>
        <w:rPr>
          <w:rFonts w:ascii="Poppins" w:cs="Poppins" w:eastAsia="Poppins" w:hAnsi="Poppins"/>
          <w:b w:val="false"/>
          <w:bCs w:val="false"/>
          <w:color w:val="000000"/>
          <w:sz w:val="21"/>
          <w:szCs w:val="21"/>
        </w:rPr>
        <w:t xml:space="preserve">No, la BA no requiere tratamiento porque, por definición, la paciente está asintomática</w:t>
      </w:r>
    </w:p>
    <w:p>
      <w:pPr>
        <w:spacing w:after="60"/>
      </w:pPr>
      <w:r>
        <w:rPr>
          <w:rFonts w:ascii="Poppins" w:cs="Poppins" w:eastAsia="Poppins" w:hAnsi="Poppins"/>
          <w:b/>
          <w:bCs/>
          <w:color w:val="000000"/>
          <w:sz w:val="21"/>
          <w:szCs w:val="21"/>
        </w:rPr>
        <w:t xml:space="preserve">C. </w:t>
      </w:r>
      <w:r>
        <w:rPr>
          <w:rFonts w:ascii="Poppins" w:cs="Poppins" w:eastAsia="Poppins" w:hAnsi="Poppins"/>
          <w:b w:val="false"/>
          <w:bCs w:val="false"/>
          <w:color w:val="000000"/>
          <w:sz w:val="21"/>
          <w:szCs w:val="21"/>
        </w:rPr>
        <w:t xml:space="preserve">Solo se trata si la paciente desarrolla fiebre en las siguientes 48 horas</w:t>
      </w:r>
    </w:p>
    <w:p>
      <w:pPr>
        <w:spacing w:after="60"/>
      </w:pPr>
      <w:r>
        <w:rPr>
          <w:rFonts w:ascii="Poppins" w:cs="Poppins" w:eastAsia="Poppins" w:hAnsi="Poppins"/>
          <w:b/>
          <w:bCs/>
          <w:color w:val="000000"/>
          <w:sz w:val="21"/>
          <w:szCs w:val="21"/>
        </w:rPr>
        <w:t xml:space="preserve">D. </w:t>
      </w:r>
      <w:r>
        <w:rPr>
          <w:rFonts w:ascii="Poppins" w:cs="Poppins" w:eastAsia="Poppins" w:hAnsi="Poppins"/>
          <w:b w:val="false"/>
          <w:bCs w:val="false"/>
          <w:color w:val="000000"/>
          <w:sz w:val="21"/>
          <w:szCs w:val="21"/>
        </w:rPr>
        <w:t xml:space="preserve">Solo se trata en el tercer trimestre del embarazo, nunca antes</w:t>
      </w:r>
    </w:p>
    <w:p>
      <w:pPr>
        <w:spacing w:after="100" w:before="120"/>
      </w:pPr>
      <w:r>
        <w:rPr>
          <w:rFonts w:ascii="Poppins" w:cs="Poppins" w:eastAsia="Poppins" w:hAnsi="Poppins"/>
          <w:b/>
          <w:bCs/>
          <w:color w:val="001C31"/>
          <w:sz w:val="21"/>
          <w:szCs w:val="21"/>
        </w:rPr>
        <w:t xml:space="preserve">Respuesta correcta: A</w:t>
      </w:r>
    </w:p>
    <w:p>
      <w:pPr>
        <w:spacing w:after="60"/>
      </w:pPr>
      <w:r>
        <w:rPr>
          <w:rFonts w:ascii="Poppins" w:cs="Poppins" w:eastAsia="Poppins" w:hAnsi="Poppins"/>
          <w:b/>
          <w:bCs/>
          <w:color w:val="001C31"/>
          <w:sz w:val="21"/>
          <w:szCs w:val="21"/>
          <w:u w:val="single"/>
        </w:rPr>
        <w:t xml:space="preserve">Justificación de la respuesta correcta</w:t>
      </w:r>
    </w:p>
    <w:p>
      <w:pPr>
        <w:spacing w:after="150"/>
      </w:pPr>
      <w:r>
        <w:rPr>
          <w:rFonts w:ascii="Poppins" w:cs="Poppins" w:eastAsia="Poppins" w:hAnsi="Poppins"/>
          <w:sz w:val="21"/>
          <w:szCs w:val="21"/>
        </w:rPr>
        <w:t xml:space="preserve">La guía establece (A 1++) que se debe dar tratamiento con antibiótico en caso de detectar BA por urocultivo durante el embarazo, señalando que el tratamiento reduce el riesgo de infección del tracto urinario alto (pielonefritis), los partos pretérminos y el riesgo de productos con bajo peso al nacer, y que es costo-efectivo si hay una incidencia de BA mayor a 2%.</w:t>
      </w:r>
    </w:p>
    <w:p>
      <w:pPr>
        <w:spacing w:after="60"/>
      </w:pPr>
      <w:r>
        <w:rPr>
          <w:rFonts w:ascii="Poppins" w:cs="Poppins" w:eastAsia="Poppins" w:hAnsi="Poppins"/>
          <w:b/>
          <w:bCs/>
          <w:color w:val="001C31"/>
          <w:sz w:val="21"/>
          <w:szCs w:val="21"/>
          <w:u w:val="single"/>
        </w:rPr>
        <w:t xml:space="preserve">Justificación de las opciones incorrectas</w:t>
      </w:r>
    </w:p>
    <w:p>
      <w:pPr>
        <w:spacing w:after="60"/>
      </w:pPr>
      <w:r>
        <w:rPr>
          <w:rFonts w:ascii="Poppins" w:cs="Poppins" w:eastAsia="Poppins" w:hAnsi="Poppins"/>
          <w:b/>
          <w:bCs/>
          <w:sz w:val="21"/>
          <w:szCs w:val="21"/>
        </w:rPr>
        <w:t xml:space="preserve">Opción B: </w:t>
      </w:r>
      <w:r>
        <w:rPr>
          <w:rFonts w:ascii="Poppins" w:cs="Poppins" w:eastAsia="Poppins" w:hAnsi="Poppins"/>
          <w:sz w:val="21"/>
          <w:szCs w:val="21"/>
        </w:rPr>
        <w:t xml:space="preserve">La guía indica explícitamente lo contrario: aunque la BA es asintomática por definición, debe tratarse con antibiótico precisamente para evitar sus complicaciones obstétricas y perinatales.</w:t>
      </w:r>
    </w:p>
    <w:p>
      <w:pPr>
        <w:spacing w:after="60"/>
      </w:pPr>
      <w:r>
        <w:rPr>
          <w:rFonts w:ascii="Poppins" w:cs="Poppins" w:eastAsia="Poppins" w:hAnsi="Poppins"/>
          <w:b/>
          <w:bCs/>
          <w:sz w:val="21"/>
          <w:szCs w:val="21"/>
        </w:rPr>
        <w:t xml:space="preserve">Opción C: </w:t>
      </w:r>
      <w:r>
        <w:rPr>
          <w:rFonts w:ascii="Poppins" w:cs="Poppins" w:eastAsia="Poppins" w:hAnsi="Poppins"/>
          <w:sz w:val="21"/>
          <w:szCs w:val="21"/>
        </w:rPr>
        <w:t xml:space="preserve">La guía no condiciona el tratamiento de la BA a la aparición de fiebre; el tratamiento se indica ante el diagnóstico por urocultivo, independientemente de la evolución sintomática posterior.</w:t>
      </w:r>
    </w:p>
    <w:p>
      <w:pPr>
        <w:spacing w:after="60"/>
      </w:pPr>
      <w:r>
        <w:rPr>
          <w:rFonts w:ascii="Poppins" w:cs="Poppins" w:eastAsia="Poppins" w:hAnsi="Poppins"/>
          <w:b/>
          <w:bCs/>
          <w:sz w:val="21"/>
          <w:szCs w:val="21"/>
        </w:rPr>
        <w:t xml:space="preserve">Opción D: </w:t>
      </w:r>
      <w:r>
        <w:rPr>
          <w:rFonts w:ascii="Poppins" w:cs="Poppins" w:eastAsia="Poppins" w:hAnsi="Poppins"/>
          <w:sz w:val="21"/>
          <w:szCs w:val="21"/>
        </w:rPr>
        <w:t xml:space="preserve">La guía no restringe el tratamiento de la BA al tercer trimestre; se recomienda tratar la BA en cuanto se detecta, independientemente del trimestre de gestación.</w:t>
      </w:r>
    </w:p>
    <w:p>
      <w:pPr>
        <w:pBdr>
          <w:bottom w:val="single" w:color="B08D3F" w:sz="6" w:space="4"/>
        </w:pBdr>
        <w:spacing w:after="200" w:before="100"/>
      </w:pPr>
      <w:r>
        <w:rPr>
          <w:rFonts w:ascii="Poppins" w:cs="Poppins" w:eastAsia="Poppins" w:hAnsi="Poppins"/>
          <w:b/>
          <w:bCs/>
          <w:i/>
          <w:iCs/>
          <w:color w:val="B08D3F"/>
          <w:sz w:val="20"/>
          <w:szCs w:val="20"/>
        </w:rPr>
        <w:t xml:space="preserve">Referencia: </w:t>
      </w:r>
      <w:r>
        <w:rPr>
          <w:rFonts w:ascii="Poppins" w:cs="Poppins" w:eastAsia="Poppins" w:hAnsi="Poppins"/>
          <w:i/>
          <w:iCs/>
          <w:color w:val="555555"/>
          <w:sz w:val="20"/>
          <w:szCs w:val="20"/>
        </w:rPr>
        <w:t xml:space="preserve">Recomendaciones para el tratamiento de IVU en el embarazo. Tratamiento de la bacteriuria asintomática. Página 18.</w:t>
      </w:r>
    </w:p>
    <w:p>
      <w:pPr>
        <w:shd w:fill="001C31" w:val="clear"/>
        <w:spacing w:after="100" w:before="300"/>
      </w:pPr>
      <w:r>
        <w:rPr>
          <w:rFonts w:ascii="Poppins" w:cs="Poppins" w:eastAsia="Poppins" w:hAnsi="Poppins"/>
          <w:b/>
          <w:bCs/>
          <w:color w:val="FFFFFF"/>
          <w:sz w:val="24"/>
          <w:szCs w:val="24"/>
        </w:rPr>
        <w:t xml:space="preserve">PREGUNTA 56</w:t>
      </w:r>
    </w:p>
    <w:p>
      <w:pPr>
        <w:spacing w:after="120"/>
      </w:pPr>
      <w:r>
        <w:rPr>
          <w:rFonts w:ascii="Poppins" w:cs="Poppins" w:eastAsia="Poppins" w:hAnsi="Poppins"/>
          <w:b/>
          <w:bCs/>
          <w:color w:val="001C31"/>
          <w:sz w:val="21"/>
          <w:szCs w:val="21"/>
        </w:rPr>
        <w:t xml:space="preserve">Pregunta: </w:t>
      </w:r>
      <w:r>
        <w:rPr>
          <w:rFonts w:ascii="Poppins" w:cs="Poppins" w:eastAsia="Poppins" w:hAnsi="Poppins"/>
          <w:sz w:val="21"/>
          <w:szCs w:val="21"/>
        </w:rPr>
        <w:t xml:space="preserve">Según la GPC, ¿a partir de qué incidencia de BA el tratamiento se considera costo-efectivo?</w:t>
      </w:r>
    </w:p>
    <w:p>
      <w:pPr>
        <w:spacing w:after="60"/>
      </w:pPr>
      <w:r>
        <w:rPr>
          <w:rFonts w:ascii="Poppins" w:cs="Poppins" w:eastAsia="Poppins" w:hAnsi="Poppins"/>
          <w:b/>
          <w:bCs/>
          <w:color w:val="B08D3F"/>
          <w:sz w:val="21"/>
          <w:szCs w:val="21"/>
        </w:rPr>
        <w:t xml:space="preserve">A. </w:t>
      </w:r>
      <w:r>
        <w:rPr>
          <w:rFonts w:ascii="Poppins" w:cs="Poppins" w:eastAsia="Poppins" w:hAnsi="Poppins"/>
          <w:b/>
          <w:bCs/>
          <w:color w:val="B08D3F"/>
          <w:sz w:val="21"/>
          <w:szCs w:val="21"/>
        </w:rPr>
        <w:t xml:space="preserve">Mayor a 2%</w:t>
      </w:r>
    </w:p>
    <w:p>
      <w:pPr>
        <w:spacing w:after="60"/>
      </w:pPr>
      <w:r>
        <w:rPr>
          <w:rFonts w:ascii="Poppins" w:cs="Poppins" w:eastAsia="Poppins" w:hAnsi="Poppins"/>
          <w:b/>
          <w:bCs/>
          <w:color w:val="000000"/>
          <w:sz w:val="21"/>
          <w:szCs w:val="21"/>
        </w:rPr>
        <w:t xml:space="preserve">B. </w:t>
      </w:r>
      <w:r>
        <w:rPr>
          <w:rFonts w:ascii="Poppins" w:cs="Poppins" w:eastAsia="Poppins" w:hAnsi="Poppins"/>
          <w:b w:val="false"/>
          <w:bCs w:val="false"/>
          <w:color w:val="000000"/>
          <w:sz w:val="21"/>
          <w:szCs w:val="21"/>
        </w:rPr>
        <w:t xml:space="preserve">Mayor a 20%</w:t>
      </w:r>
    </w:p>
    <w:p>
      <w:pPr>
        <w:spacing w:after="60"/>
      </w:pPr>
      <w:r>
        <w:rPr>
          <w:rFonts w:ascii="Poppins" w:cs="Poppins" w:eastAsia="Poppins" w:hAnsi="Poppins"/>
          <w:b/>
          <w:bCs/>
          <w:color w:val="000000"/>
          <w:sz w:val="21"/>
          <w:szCs w:val="21"/>
        </w:rPr>
        <w:t xml:space="preserve">C. </w:t>
      </w:r>
      <w:r>
        <w:rPr>
          <w:rFonts w:ascii="Poppins" w:cs="Poppins" w:eastAsia="Poppins" w:hAnsi="Poppins"/>
          <w:b w:val="false"/>
          <w:bCs w:val="false"/>
          <w:color w:val="000000"/>
          <w:sz w:val="21"/>
          <w:szCs w:val="21"/>
        </w:rPr>
        <w:t xml:space="preserve">Mayor a 50%</w:t>
      </w:r>
    </w:p>
    <w:p>
      <w:pPr>
        <w:spacing w:after="60"/>
      </w:pPr>
      <w:r>
        <w:rPr>
          <w:rFonts w:ascii="Poppins" w:cs="Poppins" w:eastAsia="Poppins" w:hAnsi="Poppins"/>
          <w:b/>
          <w:bCs/>
          <w:color w:val="000000"/>
          <w:sz w:val="21"/>
          <w:szCs w:val="21"/>
        </w:rPr>
        <w:t xml:space="preserve">D. </w:t>
      </w:r>
      <w:r>
        <w:rPr>
          <w:rFonts w:ascii="Poppins" w:cs="Poppins" w:eastAsia="Poppins" w:hAnsi="Poppins"/>
          <w:b w:val="false"/>
          <w:bCs w:val="false"/>
          <w:color w:val="000000"/>
          <w:sz w:val="21"/>
          <w:szCs w:val="21"/>
        </w:rPr>
        <w:t xml:space="preserve">El tratamiento nunca se considera costo-efectivo según la guía</w:t>
      </w:r>
    </w:p>
    <w:p>
      <w:pPr>
        <w:spacing w:after="100" w:before="120"/>
      </w:pPr>
      <w:r>
        <w:rPr>
          <w:rFonts w:ascii="Poppins" w:cs="Poppins" w:eastAsia="Poppins" w:hAnsi="Poppins"/>
          <w:b/>
          <w:bCs/>
          <w:color w:val="001C31"/>
          <w:sz w:val="21"/>
          <w:szCs w:val="21"/>
        </w:rPr>
        <w:t xml:space="preserve">Respuesta correcta: A</w:t>
      </w:r>
    </w:p>
    <w:p>
      <w:pPr>
        <w:spacing w:after="60"/>
      </w:pPr>
      <w:r>
        <w:rPr>
          <w:rFonts w:ascii="Poppins" w:cs="Poppins" w:eastAsia="Poppins" w:hAnsi="Poppins"/>
          <w:b/>
          <w:bCs/>
          <w:color w:val="001C31"/>
          <w:sz w:val="21"/>
          <w:szCs w:val="21"/>
          <w:u w:val="single"/>
        </w:rPr>
        <w:t xml:space="preserve">Justificación de la respuesta correcta</w:t>
      </w:r>
    </w:p>
    <w:p>
      <w:pPr>
        <w:spacing w:after="150"/>
      </w:pPr>
      <w:r>
        <w:rPr>
          <w:rFonts w:ascii="Poppins" w:cs="Poppins" w:eastAsia="Poppins" w:hAnsi="Poppins"/>
          <w:sz w:val="21"/>
          <w:szCs w:val="21"/>
        </w:rPr>
        <w:t xml:space="preserve">La guía establece que el tratamiento de la bacteriuria asintomática en el embarazo es costo-efectivo si hay una incidencia de BA mayor a 2%.</w:t>
      </w:r>
    </w:p>
    <w:p>
      <w:pPr>
        <w:spacing w:after="60"/>
      </w:pPr>
      <w:r>
        <w:rPr>
          <w:rFonts w:ascii="Poppins" w:cs="Poppins" w:eastAsia="Poppins" w:hAnsi="Poppins"/>
          <w:b/>
          <w:bCs/>
          <w:color w:val="001C31"/>
          <w:sz w:val="21"/>
          <w:szCs w:val="21"/>
          <w:u w:val="single"/>
        </w:rPr>
        <w:t xml:space="preserve">Justificación de las opciones incorrectas</w:t>
      </w:r>
    </w:p>
    <w:p>
      <w:pPr>
        <w:spacing w:after="60"/>
      </w:pPr>
      <w:r>
        <w:rPr>
          <w:rFonts w:ascii="Poppins" w:cs="Poppins" w:eastAsia="Poppins" w:hAnsi="Poppins"/>
          <w:b/>
          <w:bCs/>
          <w:sz w:val="21"/>
          <w:szCs w:val="21"/>
        </w:rPr>
        <w:t xml:space="preserve">Opción B: </w:t>
      </w:r>
      <w:r>
        <w:rPr>
          <w:rFonts w:ascii="Poppins" w:cs="Poppins" w:eastAsia="Poppins" w:hAnsi="Poppins"/>
          <w:sz w:val="21"/>
          <w:szCs w:val="21"/>
        </w:rPr>
        <w:t xml:space="preserve">El 20% no corresponde al umbral citado por la guía; el valor específico mencionado es mayor a 2%.</w:t>
      </w:r>
    </w:p>
    <w:p>
      <w:pPr>
        <w:spacing w:after="60"/>
      </w:pPr>
      <w:r>
        <w:rPr>
          <w:rFonts w:ascii="Poppins" w:cs="Poppins" w:eastAsia="Poppins" w:hAnsi="Poppins"/>
          <w:b/>
          <w:bCs/>
          <w:sz w:val="21"/>
          <w:szCs w:val="21"/>
        </w:rPr>
        <w:t xml:space="preserve">Opción C: </w:t>
      </w:r>
      <w:r>
        <w:rPr>
          <w:rFonts w:ascii="Poppins" w:cs="Poppins" w:eastAsia="Poppins" w:hAnsi="Poppins"/>
          <w:sz w:val="21"/>
          <w:szCs w:val="21"/>
        </w:rPr>
        <w:t xml:space="preserve">El 50% sobreestima considerablemente el umbral citado por la guía para considerar costo-efectivo el tratamiento.</w:t>
      </w:r>
    </w:p>
    <w:p>
      <w:pPr>
        <w:spacing w:after="60"/>
      </w:pPr>
      <w:r>
        <w:rPr>
          <w:rFonts w:ascii="Poppins" w:cs="Poppins" w:eastAsia="Poppins" w:hAnsi="Poppins"/>
          <w:b/>
          <w:bCs/>
          <w:sz w:val="21"/>
          <w:szCs w:val="21"/>
        </w:rPr>
        <w:t xml:space="preserve">Opción D: </w:t>
      </w:r>
      <w:r>
        <w:rPr>
          <w:rFonts w:ascii="Poppins" w:cs="Poppins" w:eastAsia="Poppins" w:hAnsi="Poppins"/>
          <w:sz w:val="21"/>
          <w:szCs w:val="21"/>
        </w:rPr>
        <w:t xml:space="preserve">La guía sí reconoce el tratamiento de la BA como costo-efectivo cuando la incidencia supera el 2%, por lo que esta afirmación es incorrecta.</w:t>
      </w:r>
    </w:p>
    <w:p>
      <w:pPr>
        <w:pBdr>
          <w:bottom w:val="single" w:color="B08D3F" w:sz="6" w:space="4"/>
        </w:pBdr>
        <w:spacing w:after="200" w:before="100"/>
      </w:pPr>
      <w:r>
        <w:rPr>
          <w:rFonts w:ascii="Poppins" w:cs="Poppins" w:eastAsia="Poppins" w:hAnsi="Poppins"/>
          <w:b/>
          <w:bCs/>
          <w:i/>
          <w:iCs/>
          <w:color w:val="B08D3F"/>
          <w:sz w:val="20"/>
          <w:szCs w:val="20"/>
        </w:rPr>
        <w:t xml:space="preserve">Referencia: </w:t>
      </w:r>
      <w:r>
        <w:rPr>
          <w:rFonts w:ascii="Poppins" w:cs="Poppins" w:eastAsia="Poppins" w:hAnsi="Poppins"/>
          <w:i/>
          <w:iCs/>
          <w:color w:val="555555"/>
          <w:sz w:val="20"/>
          <w:szCs w:val="20"/>
        </w:rPr>
        <w:t xml:space="preserve">Recomendaciones para el tratamiento de IVU en el embarazo. Tratamiento de la bacteriuria asintomática. Página 18.</w:t>
      </w:r>
    </w:p>
    <w:p>
      <w:pPr>
        <w:shd w:fill="001C31" w:val="clear"/>
        <w:spacing w:after="100" w:before="300"/>
      </w:pPr>
      <w:r>
        <w:rPr>
          <w:rFonts w:ascii="Poppins" w:cs="Poppins" w:eastAsia="Poppins" w:hAnsi="Poppins"/>
          <w:b/>
          <w:bCs/>
          <w:color w:val="FFFFFF"/>
          <w:sz w:val="24"/>
          <w:szCs w:val="24"/>
        </w:rPr>
        <w:t xml:space="preserve">PREGUNTA 57</w:t>
      </w:r>
    </w:p>
    <w:p>
      <w:pPr>
        <w:spacing w:after="120"/>
      </w:pPr>
      <w:r>
        <w:rPr>
          <w:rFonts w:ascii="Poppins" w:cs="Poppins" w:eastAsia="Poppins" w:hAnsi="Poppins"/>
          <w:b/>
          <w:bCs/>
          <w:color w:val="001C31"/>
          <w:sz w:val="21"/>
          <w:szCs w:val="21"/>
        </w:rPr>
        <w:t xml:space="preserve">Pregunta: </w:t>
      </w:r>
      <w:r>
        <w:rPr>
          <w:rFonts w:ascii="Poppins" w:cs="Poppins" w:eastAsia="Poppins" w:hAnsi="Poppins"/>
          <w:sz w:val="21"/>
          <w:szCs w:val="21"/>
        </w:rPr>
        <w:t xml:space="preserve">Según la GPC, ¿sobre qué base debe tratarse la BA en el embarazo con antibióticos?</w:t>
      </w:r>
    </w:p>
    <w:p>
      <w:pPr>
        <w:spacing w:after="60"/>
      </w:pPr>
      <w:r>
        <w:rPr>
          <w:rFonts w:ascii="Poppins" w:cs="Poppins" w:eastAsia="Poppins" w:hAnsi="Poppins"/>
          <w:b/>
          <w:bCs/>
          <w:color w:val="B08D3F"/>
          <w:sz w:val="21"/>
          <w:szCs w:val="21"/>
        </w:rPr>
        <w:t xml:space="preserve">A. </w:t>
      </w:r>
      <w:r>
        <w:rPr>
          <w:rFonts w:ascii="Poppins" w:cs="Poppins" w:eastAsia="Poppins" w:hAnsi="Poppins"/>
          <w:b/>
          <w:bCs/>
          <w:color w:val="B08D3F"/>
          <w:sz w:val="21"/>
          <w:szCs w:val="21"/>
        </w:rPr>
        <w:t xml:space="preserve">Sobre la base del cultivo y sensibilidad reportada según tamizaje</w:t>
      </w:r>
    </w:p>
    <w:p>
      <w:pPr>
        <w:spacing w:after="60"/>
      </w:pPr>
      <w:r>
        <w:rPr>
          <w:rFonts w:ascii="Poppins" w:cs="Poppins" w:eastAsia="Poppins" w:hAnsi="Poppins"/>
          <w:b/>
          <w:bCs/>
          <w:color w:val="000000"/>
          <w:sz w:val="21"/>
          <w:szCs w:val="21"/>
        </w:rPr>
        <w:t xml:space="preserve">B. </w:t>
      </w:r>
      <w:r>
        <w:rPr>
          <w:rFonts w:ascii="Poppins" w:cs="Poppins" w:eastAsia="Poppins" w:hAnsi="Poppins"/>
          <w:b w:val="false"/>
          <w:bCs w:val="false"/>
          <w:color w:val="000000"/>
          <w:sz w:val="21"/>
          <w:szCs w:val="21"/>
        </w:rPr>
        <w:t xml:space="preserve">Siempre con el mismo antibiótico de amplio espectro, sin considerar cultivo ni sensibilidad</w:t>
      </w:r>
    </w:p>
    <w:p>
      <w:pPr>
        <w:spacing w:after="60"/>
      </w:pPr>
      <w:r>
        <w:rPr>
          <w:rFonts w:ascii="Poppins" w:cs="Poppins" w:eastAsia="Poppins" w:hAnsi="Poppins"/>
          <w:b/>
          <w:bCs/>
          <w:color w:val="000000"/>
          <w:sz w:val="21"/>
          <w:szCs w:val="21"/>
        </w:rPr>
        <w:t xml:space="preserve">C. </w:t>
      </w:r>
      <w:r>
        <w:rPr>
          <w:rFonts w:ascii="Poppins" w:cs="Poppins" w:eastAsia="Poppins" w:hAnsi="Poppins"/>
          <w:b w:val="false"/>
          <w:bCs w:val="false"/>
          <w:color w:val="000000"/>
          <w:sz w:val="21"/>
          <w:szCs w:val="21"/>
        </w:rPr>
        <w:t xml:space="preserve">Únicamente sobre la base de la sintomatología referida por la paciente</w:t>
      </w:r>
    </w:p>
    <w:p>
      <w:pPr>
        <w:spacing w:after="60"/>
      </w:pPr>
      <w:r>
        <w:rPr>
          <w:rFonts w:ascii="Poppins" w:cs="Poppins" w:eastAsia="Poppins" w:hAnsi="Poppins"/>
          <w:b/>
          <w:bCs/>
          <w:color w:val="000000"/>
          <w:sz w:val="21"/>
          <w:szCs w:val="21"/>
        </w:rPr>
        <w:t xml:space="preserve">D. </w:t>
      </w:r>
      <w:r>
        <w:rPr>
          <w:rFonts w:ascii="Poppins" w:cs="Poppins" w:eastAsia="Poppins" w:hAnsi="Poppins"/>
          <w:b w:val="false"/>
          <w:bCs w:val="false"/>
          <w:color w:val="000000"/>
          <w:sz w:val="21"/>
          <w:szCs w:val="21"/>
        </w:rPr>
        <w:t xml:space="preserve">Solo con base en el criterio de la paciente sobre qué medicamento prefiere</w:t>
      </w:r>
    </w:p>
    <w:p>
      <w:pPr>
        <w:spacing w:after="100" w:before="120"/>
      </w:pPr>
      <w:r>
        <w:rPr>
          <w:rFonts w:ascii="Poppins" w:cs="Poppins" w:eastAsia="Poppins" w:hAnsi="Poppins"/>
          <w:b/>
          <w:bCs/>
          <w:color w:val="001C31"/>
          <w:sz w:val="21"/>
          <w:szCs w:val="21"/>
        </w:rPr>
        <w:t xml:space="preserve">Respuesta correcta: A</w:t>
      </w:r>
    </w:p>
    <w:p>
      <w:pPr>
        <w:spacing w:after="60"/>
      </w:pPr>
      <w:r>
        <w:rPr>
          <w:rFonts w:ascii="Poppins" w:cs="Poppins" w:eastAsia="Poppins" w:hAnsi="Poppins"/>
          <w:b/>
          <w:bCs/>
          <w:color w:val="001C31"/>
          <w:sz w:val="21"/>
          <w:szCs w:val="21"/>
          <w:u w:val="single"/>
        </w:rPr>
        <w:t xml:space="preserve">Justificación de la respuesta correcta</w:t>
      </w:r>
    </w:p>
    <w:p>
      <w:pPr>
        <w:spacing w:after="150"/>
      </w:pPr>
      <w:r>
        <w:rPr>
          <w:rFonts w:ascii="Poppins" w:cs="Poppins" w:eastAsia="Poppins" w:hAnsi="Poppins"/>
          <w:sz w:val="21"/>
          <w:szCs w:val="21"/>
        </w:rPr>
        <w:t xml:space="preserve">La guía establece que la BA en el embarazo debe tratarse con antibióticos sobre la base del cultivo y sensibilidad reportada según tamizaje.</w:t>
      </w:r>
    </w:p>
    <w:p>
      <w:pPr>
        <w:spacing w:after="60"/>
      </w:pPr>
      <w:r>
        <w:rPr>
          <w:rFonts w:ascii="Poppins" w:cs="Poppins" w:eastAsia="Poppins" w:hAnsi="Poppins"/>
          <w:b/>
          <w:bCs/>
          <w:color w:val="001C31"/>
          <w:sz w:val="21"/>
          <w:szCs w:val="21"/>
          <w:u w:val="single"/>
        </w:rPr>
        <w:t xml:space="preserve">Justificación de las opciones incorrectas</w:t>
      </w:r>
    </w:p>
    <w:p>
      <w:pPr>
        <w:spacing w:after="60"/>
      </w:pPr>
      <w:r>
        <w:rPr>
          <w:rFonts w:ascii="Poppins" w:cs="Poppins" w:eastAsia="Poppins" w:hAnsi="Poppins"/>
          <w:b/>
          <w:bCs/>
          <w:sz w:val="21"/>
          <w:szCs w:val="21"/>
        </w:rPr>
        <w:t xml:space="preserve">Opción B: </w:t>
      </w:r>
      <w:r>
        <w:rPr>
          <w:rFonts w:ascii="Poppins" w:cs="Poppins" w:eastAsia="Poppins" w:hAnsi="Poppins"/>
          <w:sz w:val="21"/>
          <w:szCs w:val="21"/>
        </w:rPr>
        <w:t xml:space="preserve">La guía no recomienda un único antibiótico de amplio espectro sin considerar el cultivo y la sensibilidad; el tratamiento debe basarse en estos resultados.</w:t>
      </w:r>
    </w:p>
    <w:p>
      <w:pPr>
        <w:spacing w:after="60"/>
      </w:pPr>
      <w:r>
        <w:rPr>
          <w:rFonts w:ascii="Poppins" w:cs="Poppins" w:eastAsia="Poppins" w:hAnsi="Poppins"/>
          <w:b/>
          <w:bCs/>
          <w:sz w:val="21"/>
          <w:szCs w:val="21"/>
        </w:rPr>
        <w:t xml:space="preserve">Opción C: </w:t>
      </w:r>
      <w:r>
        <w:rPr>
          <w:rFonts w:ascii="Poppins" w:cs="Poppins" w:eastAsia="Poppins" w:hAnsi="Poppins"/>
          <w:sz w:val="21"/>
          <w:szCs w:val="21"/>
        </w:rPr>
        <w:t xml:space="preserve">La BA es, por definición, asintomática, por lo que no puede tratarse sobre la base de sintomatología referida por la paciente; el diagnóstico y tratamiento se fundamentan en el urocultivo.</w:t>
      </w:r>
    </w:p>
    <w:p>
      <w:pPr>
        <w:spacing w:after="60"/>
      </w:pPr>
      <w:r>
        <w:rPr>
          <w:rFonts w:ascii="Poppins" w:cs="Poppins" w:eastAsia="Poppins" w:hAnsi="Poppins"/>
          <w:b/>
          <w:bCs/>
          <w:sz w:val="21"/>
          <w:szCs w:val="21"/>
        </w:rPr>
        <w:t xml:space="preserve">Opción D: </w:t>
      </w:r>
      <w:r>
        <w:rPr>
          <w:rFonts w:ascii="Poppins" w:cs="Poppins" w:eastAsia="Poppins" w:hAnsi="Poppins"/>
          <w:sz w:val="21"/>
          <w:szCs w:val="21"/>
        </w:rPr>
        <w:t xml:space="preserve">La elección del antibiótico no se basa en la preferencia de la paciente según la guía, sino en el cultivo, la sensibilidad y los patrones de resistencia local.</w:t>
      </w:r>
    </w:p>
    <w:p>
      <w:pPr>
        <w:pBdr>
          <w:bottom w:val="single" w:color="B08D3F" w:sz="6" w:space="4"/>
        </w:pBdr>
        <w:spacing w:after="200" w:before="100"/>
      </w:pPr>
      <w:r>
        <w:rPr>
          <w:rFonts w:ascii="Poppins" w:cs="Poppins" w:eastAsia="Poppins" w:hAnsi="Poppins"/>
          <w:b/>
          <w:bCs/>
          <w:i/>
          <w:iCs/>
          <w:color w:val="B08D3F"/>
          <w:sz w:val="20"/>
          <w:szCs w:val="20"/>
        </w:rPr>
        <w:t xml:space="preserve">Referencia: </w:t>
      </w:r>
      <w:r>
        <w:rPr>
          <w:rFonts w:ascii="Poppins" w:cs="Poppins" w:eastAsia="Poppins" w:hAnsi="Poppins"/>
          <w:i/>
          <w:iCs/>
          <w:color w:val="555555"/>
          <w:sz w:val="20"/>
          <w:szCs w:val="20"/>
        </w:rPr>
        <w:t xml:space="preserve">Recomendaciones para el tratamiento de IVU en el embarazo. Tratamiento de la bacteriuria asintomática. Página 18.</w:t>
      </w:r>
    </w:p>
    <w:p>
      <w:pPr>
        <w:shd w:fill="001C31" w:val="clear"/>
        <w:spacing w:after="100" w:before="300"/>
      </w:pPr>
      <w:r>
        <w:rPr>
          <w:rFonts w:ascii="Poppins" w:cs="Poppins" w:eastAsia="Poppins" w:hAnsi="Poppins"/>
          <w:b/>
          <w:bCs/>
          <w:color w:val="FFFFFF"/>
          <w:sz w:val="24"/>
          <w:szCs w:val="24"/>
        </w:rPr>
        <w:t xml:space="preserve">PREGUNTA 58</w:t>
      </w:r>
    </w:p>
    <w:p>
      <w:pPr>
        <w:spacing w:after="120"/>
      </w:pPr>
      <w:r>
        <w:rPr>
          <w:rFonts w:ascii="Poppins" w:cs="Poppins" w:eastAsia="Poppins" w:hAnsi="Poppins"/>
          <w:b/>
          <w:bCs/>
          <w:color w:val="001C31"/>
          <w:sz w:val="21"/>
          <w:szCs w:val="21"/>
        </w:rPr>
        <w:t xml:space="preserve">Pregunta: </w:t>
      </w:r>
      <w:r>
        <w:rPr>
          <w:rFonts w:ascii="Poppins" w:cs="Poppins" w:eastAsia="Poppins" w:hAnsi="Poppins"/>
          <w:sz w:val="21"/>
          <w:szCs w:val="21"/>
        </w:rPr>
        <w:t xml:space="preserve">Según la GPC, ¿qué elementos se deben tomar en cuenta para elegir el antimicrobiano en el tratamiento de la IVU baja durante el embarazo?</w:t>
      </w:r>
    </w:p>
    <w:p>
      <w:pPr>
        <w:spacing w:after="60"/>
      </w:pPr>
      <w:r>
        <w:rPr>
          <w:rFonts w:ascii="Poppins" w:cs="Poppins" w:eastAsia="Poppins" w:hAnsi="Poppins"/>
          <w:b/>
          <w:bCs/>
          <w:color w:val="B08D3F"/>
          <w:sz w:val="21"/>
          <w:szCs w:val="21"/>
        </w:rPr>
        <w:t xml:space="preserve">A. </w:t>
      </w:r>
      <w:r>
        <w:rPr>
          <w:rFonts w:ascii="Poppins" w:cs="Poppins" w:eastAsia="Poppins" w:hAnsi="Poppins"/>
          <w:b/>
          <w:bCs/>
          <w:color w:val="B08D3F"/>
          <w:sz w:val="21"/>
          <w:szCs w:val="21"/>
        </w:rPr>
        <w:t xml:space="preserve">El espectro de actividad para el germen, la farmacocinética, los probables efectos secundarios, la duración del tratamiento y los costos, además de los patrones de resistencia local</w:t>
      </w:r>
    </w:p>
    <w:p>
      <w:pPr>
        <w:spacing w:after="60"/>
      </w:pPr>
      <w:r>
        <w:rPr>
          <w:rFonts w:ascii="Poppins" w:cs="Poppins" w:eastAsia="Poppins" w:hAnsi="Poppins"/>
          <w:b/>
          <w:bCs/>
          <w:color w:val="000000"/>
          <w:sz w:val="21"/>
          <w:szCs w:val="21"/>
        </w:rPr>
        <w:t xml:space="preserve">B. </w:t>
      </w:r>
      <w:r>
        <w:rPr>
          <w:rFonts w:ascii="Poppins" w:cs="Poppins" w:eastAsia="Poppins" w:hAnsi="Poppins"/>
          <w:b w:val="false"/>
          <w:bCs w:val="false"/>
          <w:color w:val="000000"/>
          <w:sz w:val="21"/>
          <w:szCs w:val="21"/>
        </w:rPr>
        <w:t xml:space="preserve">Únicamente el costo del medicamento</w:t>
      </w:r>
    </w:p>
    <w:p>
      <w:pPr>
        <w:spacing w:after="60"/>
      </w:pPr>
      <w:r>
        <w:rPr>
          <w:rFonts w:ascii="Poppins" w:cs="Poppins" w:eastAsia="Poppins" w:hAnsi="Poppins"/>
          <w:b/>
          <w:bCs/>
          <w:color w:val="000000"/>
          <w:sz w:val="21"/>
          <w:szCs w:val="21"/>
        </w:rPr>
        <w:t xml:space="preserve">C. </w:t>
      </w:r>
      <w:r>
        <w:rPr>
          <w:rFonts w:ascii="Poppins" w:cs="Poppins" w:eastAsia="Poppins" w:hAnsi="Poppins"/>
          <w:b w:val="false"/>
          <w:bCs w:val="false"/>
          <w:color w:val="000000"/>
          <w:sz w:val="21"/>
          <w:szCs w:val="21"/>
        </w:rPr>
        <w:t xml:space="preserve">Exclusivamente la disponibilidad en el sector privado</w:t>
      </w:r>
    </w:p>
    <w:p>
      <w:pPr>
        <w:spacing w:after="60"/>
      </w:pPr>
      <w:r>
        <w:rPr>
          <w:rFonts w:ascii="Poppins" w:cs="Poppins" w:eastAsia="Poppins" w:hAnsi="Poppins"/>
          <w:b/>
          <w:bCs/>
          <w:color w:val="000000"/>
          <w:sz w:val="21"/>
          <w:szCs w:val="21"/>
        </w:rPr>
        <w:t xml:space="preserve">D. </w:t>
      </w:r>
      <w:r>
        <w:rPr>
          <w:rFonts w:ascii="Poppins" w:cs="Poppins" w:eastAsia="Poppins" w:hAnsi="Poppins"/>
          <w:b w:val="false"/>
          <w:bCs w:val="false"/>
          <w:color w:val="000000"/>
          <w:sz w:val="21"/>
          <w:szCs w:val="21"/>
        </w:rPr>
        <w:t xml:space="preserve">Solamente la vía de administración preferida por el paciente</w:t>
      </w:r>
    </w:p>
    <w:p>
      <w:pPr>
        <w:spacing w:after="100" w:before="120"/>
      </w:pPr>
      <w:r>
        <w:rPr>
          <w:rFonts w:ascii="Poppins" w:cs="Poppins" w:eastAsia="Poppins" w:hAnsi="Poppins"/>
          <w:b/>
          <w:bCs/>
          <w:color w:val="001C31"/>
          <w:sz w:val="21"/>
          <w:szCs w:val="21"/>
        </w:rPr>
        <w:t xml:space="preserve">Respuesta correcta: A</w:t>
      </w:r>
    </w:p>
    <w:p>
      <w:pPr>
        <w:spacing w:after="60"/>
      </w:pPr>
      <w:r>
        <w:rPr>
          <w:rFonts w:ascii="Poppins" w:cs="Poppins" w:eastAsia="Poppins" w:hAnsi="Poppins"/>
          <w:b/>
          <w:bCs/>
          <w:color w:val="001C31"/>
          <w:sz w:val="21"/>
          <w:szCs w:val="21"/>
          <w:u w:val="single"/>
        </w:rPr>
        <w:t xml:space="preserve">Justificación de la respuesta correcta</w:t>
      </w:r>
    </w:p>
    <w:p>
      <w:pPr>
        <w:spacing w:after="150"/>
      </w:pPr>
      <w:r>
        <w:rPr>
          <w:rFonts w:ascii="Poppins" w:cs="Poppins" w:eastAsia="Poppins" w:hAnsi="Poppins"/>
          <w:sz w:val="21"/>
          <w:szCs w:val="21"/>
        </w:rPr>
        <w:t xml:space="preserve">La guía establece (A 1a) que para elegir el antimicrobiano que se debe usar hay que tomar en cuenta el espectro de actividad para el germen, su farmacocinética, los probables efectos secundarios, la duración del tratamiento y los costos, además de conocer los patrones de resistencia local a los antimicrobianos más usados.</w:t>
      </w:r>
    </w:p>
    <w:p>
      <w:pPr>
        <w:spacing w:after="60"/>
      </w:pPr>
      <w:r>
        <w:rPr>
          <w:rFonts w:ascii="Poppins" w:cs="Poppins" w:eastAsia="Poppins" w:hAnsi="Poppins"/>
          <w:b/>
          <w:bCs/>
          <w:color w:val="001C31"/>
          <w:sz w:val="21"/>
          <w:szCs w:val="21"/>
          <w:u w:val="single"/>
        </w:rPr>
        <w:t xml:space="preserve">Justificación de las opciones incorrectas</w:t>
      </w:r>
    </w:p>
    <w:p>
      <w:pPr>
        <w:spacing w:after="60"/>
      </w:pPr>
      <w:r>
        <w:rPr>
          <w:rFonts w:ascii="Poppins" w:cs="Poppins" w:eastAsia="Poppins" w:hAnsi="Poppins"/>
          <w:b/>
          <w:bCs/>
          <w:sz w:val="21"/>
          <w:szCs w:val="21"/>
        </w:rPr>
        <w:t xml:space="preserve">Opción B: </w:t>
      </w:r>
      <w:r>
        <w:rPr>
          <w:rFonts w:ascii="Poppins" w:cs="Poppins" w:eastAsia="Poppins" w:hAnsi="Poppins"/>
          <w:sz w:val="21"/>
          <w:szCs w:val="21"/>
        </w:rPr>
        <w:t xml:space="preserve">El costo es solo uno de varios elementos a considerar según la guía, no el único criterio para la elección del antimicrobiano.</w:t>
      </w:r>
    </w:p>
    <w:p>
      <w:pPr>
        <w:spacing w:after="60"/>
      </w:pPr>
      <w:r>
        <w:rPr>
          <w:rFonts w:ascii="Poppins" w:cs="Poppins" w:eastAsia="Poppins" w:hAnsi="Poppins"/>
          <w:b/>
          <w:bCs/>
          <w:sz w:val="21"/>
          <w:szCs w:val="21"/>
        </w:rPr>
        <w:t xml:space="preserve">Opción C: </w:t>
      </w:r>
      <w:r>
        <w:rPr>
          <w:rFonts w:ascii="Poppins" w:cs="Poppins" w:eastAsia="Poppins" w:hAnsi="Poppins"/>
          <w:sz w:val="21"/>
          <w:szCs w:val="21"/>
        </w:rPr>
        <w:t xml:space="preserve">La disponibilidad exclusiva en el sector privado no se menciona en la guía como criterio para la selección del antimicrobiano.</w:t>
      </w:r>
    </w:p>
    <w:p>
      <w:pPr>
        <w:spacing w:after="60"/>
      </w:pPr>
      <w:r>
        <w:rPr>
          <w:rFonts w:ascii="Poppins" w:cs="Poppins" w:eastAsia="Poppins" w:hAnsi="Poppins"/>
          <w:b/>
          <w:bCs/>
          <w:sz w:val="21"/>
          <w:szCs w:val="21"/>
        </w:rPr>
        <w:t xml:space="preserve">Opción D: </w:t>
      </w:r>
      <w:r>
        <w:rPr>
          <w:rFonts w:ascii="Poppins" w:cs="Poppins" w:eastAsia="Poppins" w:hAnsi="Poppins"/>
          <w:sz w:val="21"/>
          <w:szCs w:val="21"/>
        </w:rPr>
        <w:t xml:space="preserve">La vía de administración preferida por el paciente no es, por sí sola, el criterio determinante según la guía; se deben considerar múltiples factores farmacológicos y epidemiológicos.</w:t>
      </w:r>
    </w:p>
    <w:p>
      <w:pPr>
        <w:pBdr>
          <w:bottom w:val="single" w:color="B08D3F" w:sz="6" w:space="4"/>
        </w:pBdr>
        <w:spacing w:after="200" w:before="100"/>
      </w:pPr>
      <w:r>
        <w:rPr>
          <w:rFonts w:ascii="Poppins" w:cs="Poppins" w:eastAsia="Poppins" w:hAnsi="Poppins"/>
          <w:b/>
          <w:bCs/>
          <w:i/>
          <w:iCs/>
          <w:color w:val="B08D3F"/>
          <w:sz w:val="20"/>
          <w:szCs w:val="20"/>
        </w:rPr>
        <w:t xml:space="preserve">Referencia: </w:t>
      </w:r>
      <w:r>
        <w:rPr>
          <w:rFonts w:ascii="Poppins" w:cs="Poppins" w:eastAsia="Poppins" w:hAnsi="Poppins"/>
          <w:i/>
          <w:iCs/>
          <w:color w:val="555555"/>
          <w:sz w:val="20"/>
          <w:szCs w:val="20"/>
        </w:rPr>
        <w:t xml:space="preserve">Recomendaciones para el tratamiento de IVU en el embarazo. Tratamiento de la bacteriuria asintomática. Página 18.</w:t>
      </w:r>
    </w:p>
    <w:p>
      <w:pPr>
        <w:shd w:fill="001C31" w:val="clear"/>
        <w:spacing w:after="100" w:before="300"/>
      </w:pPr>
      <w:r>
        <w:rPr>
          <w:rFonts w:ascii="Poppins" w:cs="Poppins" w:eastAsia="Poppins" w:hAnsi="Poppins"/>
          <w:b/>
          <w:bCs/>
          <w:color w:val="FFFFFF"/>
          <w:sz w:val="24"/>
          <w:szCs w:val="24"/>
        </w:rPr>
        <w:t xml:space="preserve">PREGUNTA 59</w:t>
      </w:r>
    </w:p>
    <w:p>
      <w:pPr>
        <w:spacing w:after="120"/>
      </w:pPr>
      <w:r>
        <w:rPr>
          <w:rFonts w:ascii="Poppins" w:cs="Poppins" w:eastAsia="Poppins" w:hAnsi="Poppins"/>
          <w:b/>
          <w:bCs/>
          <w:color w:val="001C31"/>
          <w:sz w:val="21"/>
          <w:szCs w:val="21"/>
        </w:rPr>
        <w:t xml:space="preserve">Pregunta: </w:t>
      </w:r>
      <w:r>
        <w:rPr>
          <w:rFonts w:ascii="Poppins" w:cs="Poppins" w:eastAsia="Poppins" w:hAnsi="Poppins"/>
          <w:sz w:val="21"/>
          <w:szCs w:val="21"/>
        </w:rPr>
        <w:t xml:space="preserve">Según la GPC, ¿los estudios realizados pudieron demostrar la preferencia de algún antibiótico en particular para el tratamiento de las IVU bajas en el embarazo?</w:t>
      </w:r>
    </w:p>
    <w:p>
      <w:pPr>
        <w:spacing w:after="60"/>
      </w:pPr>
      <w:r>
        <w:rPr>
          <w:rFonts w:ascii="Poppins" w:cs="Poppins" w:eastAsia="Poppins" w:hAnsi="Poppins"/>
          <w:b/>
          <w:bCs/>
          <w:color w:val="B08D3F"/>
          <w:sz w:val="21"/>
          <w:szCs w:val="21"/>
        </w:rPr>
        <w:t xml:space="preserve">A. </w:t>
      </w:r>
      <w:r>
        <w:rPr>
          <w:rFonts w:ascii="Poppins" w:cs="Poppins" w:eastAsia="Poppins" w:hAnsi="Poppins"/>
          <w:b/>
          <w:bCs/>
          <w:color w:val="B08D3F"/>
          <w:sz w:val="21"/>
          <w:szCs w:val="21"/>
        </w:rPr>
        <w:t xml:space="preserve">No, la mayoría de los antibióticos usados son efectivos en el embarazo y los estudios no pudieron mostrar la preferencia de algún fármaco en particular</w:t>
      </w:r>
    </w:p>
    <w:p>
      <w:pPr>
        <w:spacing w:after="60"/>
      </w:pPr>
      <w:r>
        <w:rPr>
          <w:rFonts w:ascii="Poppins" w:cs="Poppins" w:eastAsia="Poppins" w:hAnsi="Poppins"/>
          <w:b/>
          <w:bCs/>
          <w:color w:val="000000"/>
          <w:sz w:val="21"/>
          <w:szCs w:val="21"/>
        </w:rPr>
        <w:t xml:space="preserve">B. </w:t>
      </w:r>
      <w:r>
        <w:rPr>
          <w:rFonts w:ascii="Poppins" w:cs="Poppins" w:eastAsia="Poppins" w:hAnsi="Poppins"/>
          <w:b w:val="false"/>
          <w:bCs w:val="false"/>
          <w:color w:val="000000"/>
          <w:sz w:val="21"/>
          <w:szCs w:val="21"/>
        </w:rPr>
        <w:t xml:space="preserve">Sí, todos los estudios coinciden en que la fosfomicina es claramente superior a cualquier otro antibiótico</w:t>
      </w:r>
    </w:p>
    <w:p>
      <w:pPr>
        <w:spacing w:after="60"/>
      </w:pPr>
      <w:r>
        <w:rPr>
          <w:rFonts w:ascii="Poppins" w:cs="Poppins" w:eastAsia="Poppins" w:hAnsi="Poppins"/>
          <w:b/>
          <w:bCs/>
          <w:color w:val="000000"/>
          <w:sz w:val="21"/>
          <w:szCs w:val="21"/>
        </w:rPr>
        <w:t xml:space="preserve">C. </w:t>
      </w:r>
      <w:r>
        <w:rPr>
          <w:rFonts w:ascii="Poppins" w:cs="Poppins" w:eastAsia="Poppins" w:hAnsi="Poppins"/>
          <w:b w:val="false"/>
          <w:bCs w:val="false"/>
          <w:color w:val="000000"/>
          <w:sz w:val="21"/>
          <w:szCs w:val="21"/>
        </w:rPr>
        <w:t xml:space="preserve">Sí, la ampicilina demostró ser el fármaco más eficaz en todos los estudios revisados</w:t>
      </w:r>
    </w:p>
    <w:p>
      <w:pPr>
        <w:spacing w:after="60"/>
      </w:pPr>
      <w:r>
        <w:rPr>
          <w:rFonts w:ascii="Poppins" w:cs="Poppins" w:eastAsia="Poppins" w:hAnsi="Poppins"/>
          <w:b/>
          <w:bCs/>
          <w:color w:val="000000"/>
          <w:sz w:val="21"/>
          <w:szCs w:val="21"/>
        </w:rPr>
        <w:t xml:space="preserve">D. </w:t>
      </w:r>
      <w:r>
        <w:rPr>
          <w:rFonts w:ascii="Poppins" w:cs="Poppins" w:eastAsia="Poppins" w:hAnsi="Poppins"/>
          <w:b w:val="false"/>
          <w:bCs w:val="false"/>
          <w:color w:val="000000"/>
          <w:sz w:val="21"/>
          <w:szCs w:val="21"/>
        </w:rPr>
        <w:t xml:space="preserve">No se realizaron estudios comparativos entre antibióticos según la guía</w:t>
      </w:r>
    </w:p>
    <w:p>
      <w:pPr>
        <w:spacing w:after="100" w:before="120"/>
      </w:pPr>
      <w:r>
        <w:rPr>
          <w:rFonts w:ascii="Poppins" w:cs="Poppins" w:eastAsia="Poppins" w:hAnsi="Poppins"/>
          <w:b/>
          <w:bCs/>
          <w:color w:val="001C31"/>
          <w:sz w:val="21"/>
          <w:szCs w:val="21"/>
        </w:rPr>
        <w:t xml:space="preserve">Respuesta correcta: A</w:t>
      </w:r>
    </w:p>
    <w:p>
      <w:pPr>
        <w:spacing w:after="60"/>
      </w:pPr>
      <w:r>
        <w:rPr>
          <w:rFonts w:ascii="Poppins" w:cs="Poppins" w:eastAsia="Poppins" w:hAnsi="Poppins"/>
          <w:b/>
          <w:bCs/>
          <w:color w:val="001C31"/>
          <w:sz w:val="21"/>
          <w:szCs w:val="21"/>
          <w:u w:val="single"/>
        </w:rPr>
        <w:t xml:space="preserve">Justificación de la respuesta correcta</w:t>
      </w:r>
    </w:p>
    <w:p>
      <w:pPr>
        <w:spacing w:after="150"/>
      </w:pPr>
      <w:r>
        <w:rPr>
          <w:rFonts w:ascii="Poppins" w:cs="Poppins" w:eastAsia="Poppins" w:hAnsi="Poppins"/>
          <w:sz w:val="21"/>
          <w:szCs w:val="21"/>
        </w:rPr>
        <w:t xml:space="preserve">La guía establece (nivel 1a) que la mayoría de los antibióticos usados en el tratamiento de las infecciones del tracto urinario bajo son efectivos en el embarazo, y que los estudios realizados no pudieron mostrar la preferencia de algún fármaco en particular; la selección se basa entonces en los patrones de resistencia local y otros factores.</w:t>
      </w:r>
    </w:p>
    <w:p>
      <w:pPr>
        <w:spacing w:after="60"/>
      </w:pPr>
      <w:r>
        <w:rPr>
          <w:rFonts w:ascii="Poppins" w:cs="Poppins" w:eastAsia="Poppins" w:hAnsi="Poppins"/>
          <w:b/>
          <w:bCs/>
          <w:color w:val="001C31"/>
          <w:sz w:val="21"/>
          <w:szCs w:val="21"/>
          <w:u w:val="single"/>
        </w:rPr>
        <w:t xml:space="preserve">Justificación de las opciones incorrectas</w:t>
      </w:r>
    </w:p>
    <w:p>
      <w:pPr>
        <w:spacing w:after="60"/>
      </w:pPr>
      <w:r>
        <w:rPr>
          <w:rFonts w:ascii="Poppins" w:cs="Poppins" w:eastAsia="Poppins" w:hAnsi="Poppins"/>
          <w:b/>
          <w:bCs/>
          <w:sz w:val="21"/>
          <w:szCs w:val="21"/>
        </w:rPr>
        <w:t xml:space="preserve">Opción B: </w:t>
      </w:r>
      <w:r>
        <w:rPr>
          <w:rFonts w:ascii="Poppins" w:cs="Poppins" w:eastAsia="Poppins" w:hAnsi="Poppins"/>
          <w:sz w:val="21"/>
          <w:szCs w:val="21"/>
        </w:rPr>
        <w:t xml:space="preserve">La guía no afirma una superioridad clara de la fosfomicina sobre otros antibióticos en los estudios de eficacia; la elección específica en el país se basa más bien en los patrones de resistencia local.</w:t>
      </w:r>
    </w:p>
    <w:p>
      <w:pPr>
        <w:spacing w:after="60"/>
      </w:pPr>
      <w:r>
        <w:rPr>
          <w:rFonts w:ascii="Poppins" w:cs="Poppins" w:eastAsia="Poppins" w:hAnsi="Poppins"/>
          <w:b/>
          <w:bCs/>
          <w:sz w:val="21"/>
          <w:szCs w:val="21"/>
        </w:rPr>
        <w:t xml:space="preserve">Opción C: </w:t>
      </w:r>
      <w:r>
        <w:rPr>
          <w:rFonts w:ascii="Poppins" w:cs="Poppins" w:eastAsia="Poppins" w:hAnsi="Poppins"/>
          <w:sz w:val="21"/>
          <w:szCs w:val="21"/>
        </w:rPr>
        <w:t xml:space="preserve">La ampicilina es, por el contrario, desaconsejada en la guía debido a sus altas tasas de resistencia local, no identificada como el fármaco más eficaz.</w:t>
      </w:r>
    </w:p>
    <w:p>
      <w:pPr>
        <w:spacing w:after="60"/>
      </w:pPr>
      <w:r>
        <w:rPr>
          <w:rFonts w:ascii="Poppins" w:cs="Poppins" w:eastAsia="Poppins" w:hAnsi="Poppins"/>
          <w:b/>
          <w:bCs/>
          <w:sz w:val="21"/>
          <w:szCs w:val="21"/>
        </w:rPr>
        <w:t xml:space="preserve">Opción D: </w:t>
      </w:r>
      <w:r>
        <w:rPr>
          <w:rFonts w:ascii="Poppins" w:cs="Poppins" w:eastAsia="Poppins" w:hAnsi="Poppins"/>
          <w:sz w:val="21"/>
          <w:szCs w:val="21"/>
        </w:rPr>
        <w:t xml:space="preserve">La guía sí cita estudios comparativos sobre la efectividad de los antibióticos usados para el tratamiento de IVU baja en el embarazo.</w:t>
      </w:r>
    </w:p>
    <w:p>
      <w:pPr>
        <w:pBdr>
          <w:bottom w:val="single" w:color="B08D3F" w:sz="6" w:space="4"/>
        </w:pBdr>
        <w:spacing w:after="200" w:before="100"/>
      </w:pPr>
      <w:r>
        <w:rPr>
          <w:rFonts w:ascii="Poppins" w:cs="Poppins" w:eastAsia="Poppins" w:hAnsi="Poppins"/>
          <w:b/>
          <w:bCs/>
          <w:i/>
          <w:iCs/>
          <w:color w:val="B08D3F"/>
          <w:sz w:val="20"/>
          <w:szCs w:val="20"/>
        </w:rPr>
        <w:t xml:space="preserve">Referencia: </w:t>
      </w:r>
      <w:r>
        <w:rPr>
          <w:rFonts w:ascii="Poppins" w:cs="Poppins" w:eastAsia="Poppins" w:hAnsi="Poppins"/>
          <w:i/>
          <w:iCs/>
          <w:color w:val="555555"/>
          <w:sz w:val="20"/>
          <w:szCs w:val="20"/>
        </w:rPr>
        <w:t xml:space="preserve">Recomendaciones para el tratamiento de IVU en el embarazo. Tratamiento de la bacteriuria asintomática. Página 18.</w:t>
      </w:r>
    </w:p>
    <w:p>
      <w:pPr>
        <w:shd w:fill="001C31" w:val="clear"/>
        <w:spacing w:after="100" w:before="300"/>
      </w:pPr>
      <w:r>
        <w:rPr>
          <w:rFonts w:ascii="Poppins" w:cs="Poppins" w:eastAsia="Poppins" w:hAnsi="Poppins"/>
          <w:b/>
          <w:bCs/>
          <w:color w:val="FFFFFF"/>
          <w:sz w:val="24"/>
          <w:szCs w:val="24"/>
        </w:rPr>
        <w:t xml:space="preserve">PREGUNTA 60</w:t>
      </w:r>
    </w:p>
    <w:p>
      <w:pPr>
        <w:spacing w:after="120"/>
      </w:pPr>
      <w:r>
        <w:rPr>
          <w:rFonts w:ascii="Poppins" w:cs="Poppins" w:eastAsia="Poppins" w:hAnsi="Poppins"/>
          <w:b/>
          <w:bCs/>
          <w:color w:val="001C31"/>
          <w:sz w:val="21"/>
          <w:szCs w:val="21"/>
        </w:rPr>
        <w:t xml:space="preserve">Pregunta: </w:t>
      </w:r>
      <w:r>
        <w:rPr>
          <w:rFonts w:ascii="Poppins" w:cs="Poppins" w:eastAsia="Poppins" w:hAnsi="Poppins"/>
          <w:sz w:val="21"/>
          <w:szCs w:val="21"/>
        </w:rPr>
        <w:t xml:space="preserve">Según la GPC, ¿cuáles son los antibióticos que se deben iniciar previa toma de muestra para urocultivo, según la evidencia de farmacorresistencia local en Ecuador?</w:t>
      </w:r>
    </w:p>
    <w:p>
      <w:pPr>
        <w:spacing w:after="60"/>
      </w:pPr>
      <w:r>
        <w:rPr>
          <w:rFonts w:ascii="Poppins" w:cs="Poppins" w:eastAsia="Poppins" w:hAnsi="Poppins"/>
          <w:b/>
          <w:bCs/>
          <w:color w:val="B08D3F"/>
          <w:sz w:val="21"/>
          <w:szCs w:val="21"/>
        </w:rPr>
        <w:t xml:space="preserve">A. </w:t>
      </w:r>
      <w:r>
        <w:rPr>
          <w:rFonts w:ascii="Poppins" w:cs="Poppins" w:eastAsia="Poppins" w:hAnsi="Poppins"/>
          <w:b/>
          <w:bCs/>
          <w:color w:val="B08D3F"/>
          <w:sz w:val="21"/>
          <w:szCs w:val="21"/>
        </w:rPr>
        <w:t xml:space="preserve">Nitrofurantoína, fosfomicina o cefalosporinas de segunda generación, según los esquemas específicos descritos</w:t>
      </w:r>
    </w:p>
    <w:p>
      <w:pPr>
        <w:spacing w:after="60"/>
      </w:pPr>
      <w:r>
        <w:rPr>
          <w:rFonts w:ascii="Poppins" w:cs="Poppins" w:eastAsia="Poppins" w:hAnsi="Poppins"/>
          <w:b/>
          <w:bCs/>
          <w:color w:val="000000"/>
          <w:sz w:val="21"/>
          <w:szCs w:val="21"/>
        </w:rPr>
        <w:t xml:space="preserve">B. </w:t>
      </w:r>
      <w:r>
        <w:rPr>
          <w:rFonts w:ascii="Poppins" w:cs="Poppins" w:eastAsia="Poppins" w:hAnsi="Poppins"/>
          <w:b w:val="false"/>
          <w:bCs w:val="false"/>
          <w:color w:val="000000"/>
          <w:sz w:val="21"/>
          <w:szCs w:val="21"/>
        </w:rPr>
        <w:t xml:space="preserve">Únicamente ampicilina/sulbactam en dosis altas</w:t>
      </w:r>
    </w:p>
    <w:p>
      <w:pPr>
        <w:spacing w:after="60"/>
      </w:pPr>
      <w:r>
        <w:rPr>
          <w:rFonts w:ascii="Poppins" w:cs="Poppins" w:eastAsia="Poppins" w:hAnsi="Poppins"/>
          <w:b/>
          <w:bCs/>
          <w:color w:val="000000"/>
          <w:sz w:val="21"/>
          <w:szCs w:val="21"/>
        </w:rPr>
        <w:t xml:space="preserve">C. </w:t>
      </w:r>
      <w:r>
        <w:rPr>
          <w:rFonts w:ascii="Poppins" w:cs="Poppins" w:eastAsia="Poppins" w:hAnsi="Poppins"/>
          <w:b w:val="false"/>
          <w:bCs w:val="false"/>
          <w:color w:val="000000"/>
          <w:sz w:val="21"/>
          <w:szCs w:val="21"/>
        </w:rPr>
        <w:t xml:space="preserve">Exclusivamente trimetoprim con sulfametoxasol</w:t>
      </w:r>
    </w:p>
    <w:p>
      <w:pPr>
        <w:spacing w:after="60"/>
      </w:pPr>
      <w:r>
        <w:rPr>
          <w:rFonts w:ascii="Poppins" w:cs="Poppins" w:eastAsia="Poppins" w:hAnsi="Poppins"/>
          <w:b/>
          <w:bCs/>
          <w:color w:val="000000"/>
          <w:sz w:val="21"/>
          <w:szCs w:val="21"/>
        </w:rPr>
        <w:t xml:space="preserve">D. </w:t>
      </w:r>
      <w:r>
        <w:rPr>
          <w:rFonts w:ascii="Poppins" w:cs="Poppins" w:eastAsia="Poppins" w:hAnsi="Poppins"/>
          <w:b w:val="false"/>
          <w:bCs w:val="false"/>
          <w:color w:val="000000"/>
          <w:sz w:val="21"/>
          <w:szCs w:val="21"/>
        </w:rPr>
        <w:t xml:space="preserve">Solamente amoxicilina/clavulánico</w:t>
      </w:r>
    </w:p>
    <w:p>
      <w:pPr>
        <w:spacing w:after="100" w:before="120"/>
      </w:pPr>
      <w:r>
        <w:rPr>
          <w:rFonts w:ascii="Poppins" w:cs="Poppins" w:eastAsia="Poppins" w:hAnsi="Poppins"/>
          <w:b/>
          <w:bCs/>
          <w:color w:val="001C31"/>
          <w:sz w:val="21"/>
          <w:szCs w:val="21"/>
        </w:rPr>
        <w:t xml:space="preserve">Respuesta correcta: A</w:t>
      </w:r>
    </w:p>
    <w:p>
      <w:pPr>
        <w:spacing w:after="60"/>
      </w:pPr>
      <w:r>
        <w:rPr>
          <w:rFonts w:ascii="Poppins" w:cs="Poppins" w:eastAsia="Poppins" w:hAnsi="Poppins"/>
          <w:b/>
          <w:bCs/>
          <w:color w:val="001C31"/>
          <w:sz w:val="21"/>
          <w:szCs w:val="21"/>
          <w:u w:val="single"/>
        </w:rPr>
        <w:t xml:space="preserve">Justificación de la respuesta correcta</w:t>
      </w:r>
    </w:p>
    <w:p>
      <w:pPr>
        <w:spacing w:after="150"/>
      </w:pPr>
      <w:r>
        <w:rPr>
          <w:rFonts w:ascii="Poppins" w:cs="Poppins" w:eastAsia="Poppins" w:hAnsi="Poppins"/>
          <w:sz w:val="21"/>
          <w:szCs w:val="21"/>
        </w:rPr>
        <w:t xml:space="preserve">La guía establece que, previa toma de muestra para urocultivo, se inicia tratamiento con uno de los siguientes antibióticos según evidencia de farmacorresistencia local: nitrofurantoína liberación retardada 100 mg cada 12 horas o nitrofurantoína 50-100 mg cada 6 horas (ambas no sobre 37 semanas), fosfomicina 3 g VO dosis única o fosfomicina 500 mg VO cada 8 horas, y cefalosporinas de segunda generación 250-500 mg VO cada 6 horas.</w:t>
      </w:r>
    </w:p>
    <w:p>
      <w:pPr>
        <w:spacing w:after="60"/>
      </w:pPr>
      <w:r>
        <w:rPr>
          <w:rFonts w:ascii="Poppins" w:cs="Poppins" w:eastAsia="Poppins" w:hAnsi="Poppins"/>
          <w:b/>
          <w:bCs/>
          <w:color w:val="001C31"/>
          <w:sz w:val="21"/>
          <w:szCs w:val="21"/>
          <w:u w:val="single"/>
        </w:rPr>
        <w:t xml:space="preserve">Justificación de las opciones incorrectas</w:t>
      </w:r>
    </w:p>
    <w:p>
      <w:pPr>
        <w:spacing w:after="60"/>
      </w:pPr>
      <w:r>
        <w:rPr>
          <w:rFonts w:ascii="Poppins" w:cs="Poppins" w:eastAsia="Poppins" w:hAnsi="Poppins"/>
          <w:b/>
          <w:bCs/>
          <w:sz w:val="21"/>
          <w:szCs w:val="21"/>
        </w:rPr>
        <w:t xml:space="preserve">Opción B: </w:t>
      </w:r>
      <w:r>
        <w:rPr>
          <w:rFonts w:ascii="Poppins" w:cs="Poppins" w:eastAsia="Poppins" w:hAnsi="Poppins"/>
          <w:sz w:val="21"/>
          <w:szCs w:val="21"/>
        </w:rPr>
        <w:t xml:space="preserve">La ampicilina/sulbactam se menciona en la guía entre los fármacos con altas tasas de resistencia local, por lo que no se recomienda para el tratamiento empírico.</w:t>
      </w:r>
    </w:p>
    <w:p>
      <w:pPr>
        <w:spacing w:after="60"/>
      </w:pPr>
      <w:r>
        <w:rPr>
          <w:rFonts w:ascii="Poppins" w:cs="Poppins" w:eastAsia="Poppins" w:hAnsi="Poppins"/>
          <w:b/>
          <w:bCs/>
          <w:sz w:val="21"/>
          <w:szCs w:val="21"/>
        </w:rPr>
        <w:t xml:space="preserve">Opción C: </w:t>
      </w:r>
      <w:r>
        <w:rPr>
          <w:rFonts w:ascii="Poppins" w:cs="Poppins" w:eastAsia="Poppins" w:hAnsi="Poppins"/>
          <w:sz w:val="21"/>
          <w:szCs w:val="21"/>
        </w:rPr>
        <w:t xml:space="preserve">El trimetoprim con sulfametoxasol está contraindicado en el primer trimestre y se sugiere no utilizarlo en embarazadas por su potencial teratogenicidad; no es uno de los antibióticos de elección recomendados.</w:t>
      </w:r>
    </w:p>
    <w:p>
      <w:pPr>
        <w:spacing w:after="60"/>
      </w:pPr>
      <w:r>
        <w:rPr>
          <w:rFonts w:ascii="Poppins" w:cs="Poppins" w:eastAsia="Poppins" w:hAnsi="Poppins"/>
          <w:b/>
          <w:bCs/>
          <w:sz w:val="21"/>
          <w:szCs w:val="21"/>
        </w:rPr>
        <w:t xml:space="preserve">Opción D: </w:t>
      </w:r>
      <w:r>
        <w:rPr>
          <w:rFonts w:ascii="Poppins" w:cs="Poppins" w:eastAsia="Poppins" w:hAnsi="Poppins"/>
          <w:sz w:val="21"/>
          <w:szCs w:val="21"/>
        </w:rPr>
        <w:t xml:space="preserve">La amoxicilina/clavulánico se menciona entre los fármacos con altas tasas de resistencia local en Ecuador, por lo que no se recomienda el tratamiento empírico con este fármaco.</w:t>
      </w:r>
    </w:p>
    <w:p>
      <w:pPr>
        <w:pBdr>
          <w:bottom w:val="single" w:color="B08D3F" w:sz="6" w:space="4"/>
        </w:pBdr>
        <w:spacing w:after="200" w:before="100"/>
      </w:pPr>
      <w:r>
        <w:rPr>
          <w:rFonts w:ascii="Poppins" w:cs="Poppins" w:eastAsia="Poppins" w:hAnsi="Poppins"/>
          <w:b/>
          <w:bCs/>
          <w:i/>
          <w:iCs/>
          <w:color w:val="B08D3F"/>
          <w:sz w:val="20"/>
          <w:szCs w:val="20"/>
        </w:rPr>
        <w:t xml:space="preserve">Referencia: </w:t>
      </w:r>
      <w:r>
        <w:rPr>
          <w:rFonts w:ascii="Poppins" w:cs="Poppins" w:eastAsia="Poppins" w:hAnsi="Poppins"/>
          <w:i/>
          <w:iCs/>
          <w:color w:val="555555"/>
          <w:sz w:val="20"/>
          <w:szCs w:val="20"/>
        </w:rPr>
        <w:t xml:space="preserve">Recomendaciones para el tratamiento de IVU en el embarazo. Tratamiento de la bacteriuria asintomática. Página 18.</w:t>
      </w:r>
    </w:p>
    <w:p>
      <w:pPr>
        <w:shd w:fill="001C31" w:val="clear"/>
        <w:spacing w:after="100" w:before="300"/>
      </w:pPr>
      <w:r>
        <w:rPr>
          <w:rFonts w:ascii="Poppins" w:cs="Poppins" w:eastAsia="Poppins" w:hAnsi="Poppins"/>
          <w:b/>
          <w:bCs/>
          <w:color w:val="FFFFFF"/>
          <w:sz w:val="24"/>
          <w:szCs w:val="24"/>
        </w:rPr>
        <w:t xml:space="preserve">PREGUNTA 61</w:t>
      </w:r>
    </w:p>
    <w:p>
      <w:pPr>
        <w:shd w:fill="F3ECDD" w:val="clear"/>
        <w:spacing w:after="60"/>
      </w:pPr>
      <w:r>
        <w:rPr>
          <w:rFonts w:ascii="Poppins" w:cs="Poppins" w:eastAsia="Poppins" w:hAnsi="Poppins"/>
          <w:b/>
          <w:bCs/>
          <w:i/>
          <w:iCs/>
          <w:color w:val="001C31"/>
          <w:sz w:val="21"/>
          <w:szCs w:val="21"/>
        </w:rPr>
        <w:t xml:space="preserve">Caso clínico: </w:t>
      </w:r>
      <w:r>
        <w:rPr>
          <w:rFonts w:ascii="Poppins" w:cs="Poppins" w:eastAsia="Poppins" w:hAnsi="Poppins"/>
          <w:i/>
          <w:iCs/>
          <w:sz w:val="21"/>
          <w:szCs w:val="21"/>
        </w:rPr>
        <w:t xml:space="preserve">Una paciente embarazada de 20 semanas será tratada con nitrofurantoína de liberación retardada (macrocristalina) para BA confirmada por urocultivo.</w:t>
      </w:r>
    </w:p>
    <w:p>
      <w:pPr>
        <w:spacing w:after="120"/>
      </w:pPr>
      <w:r>
        <w:rPr>
          <w:rFonts w:ascii="Poppins" w:cs="Poppins" w:eastAsia="Poppins" w:hAnsi="Poppins"/>
          <w:b/>
          <w:bCs/>
          <w:color w:val="001C31"/>
          <w:sz w:val="21"/>
          <w:szCs w:val="21"/>
        </w:rPr>
        <w:t xml:space="preserve">Pregunta: </w:t>
      </w:r>
      <w:r>
        <w:rPr>
          <w:rFonts w:ascii="Poppins" w:cs="Poppins" w:eastAsia="Poppins" w:hAnsi="Poppins"/>
          <w:sz w:val="21"/>
          <w:szCs w:val="21"/>
        </w:rPr>
        <w:t xml:space="preserve">Según la GPC, ¿cuál es el esquema de dosificación recomendado?</w:t>
      </w:r>
    </w:p>
    <w:p>
      <w:pPr>
        <w:spacing w:after="60"/>
      </w:pPr>
      <w:r>
        <w:rPr>
          <w:rFonts w:ascii="Poppins" w:cs="Poppins" w:eastAsia="Poppins" w:hAnsi="Poppins"/>
          <w:b/>
          <w:bCs/>
          <w:color w:val="B08D3F"/>
          <w:sz w:val="21"/>
          <w:szCs w:val="21"/>
        </w:rPr>
        <w:t xml:space="preserve">A. </w:t>
      </w:r>
      <w:r>
        <w:rPr>
          <w:rFonts w:ascii="Poppins" w:cs="Poppins" w:eastAsia="Poppins" w:hAnsi="Poppins"/>
          <w:b/>
          <w:bCs/>
          <w:color w:val="B08D3F"/>
          <w:sz w:val="21"/>
          <w:szCs w:val="21"/>
        </w:rPr>
        <w:t xml:space="preserve">100 mg cada 12 horas (no sobre 37 semanas de embarazo)</w:t>
      </w:r>
    </w:p>
    <w:p>
      <w:pPr>
        <w:spacing w:after="60"/>
      </w:pPr>
      <w:r>
        <w:rPr>
          <w:rFonts w:ascii="Poppins" w:cs="Poppins" w:eastAsia="Poppins" w:hAnsi="Poppins"/>
          <w:b/>
          <w:bCs/>
          <w:color w:val="000000"/>
          <w:sz w:val="21"/>
          <w:szCs w:val="21"/>
        </w:rPr>
        <w:t xml:space="preserve">B. </w:t>
      </w:r>
      <w:r>
        <w:rPr>
          <w:rFonts w:ascii="Poppins" w:cs="Poppins" w:eastAsia="Poppins" w:hAnsi="Poppins"/>
          <w:b w:val="false"/>
          <w:bCs w:val="false"/>
          <w:color w:val="000000"/>
          <w:sz w:val="21"/>
          <w:szCs w:val="21"/>
        </w:rPr>
        <w:t xml:space="preserve">400 mg cada 6 horas sin límite de edad gestacional</w:t>
      </w:r>
    </w:p>
    <w:p>
      <w:pPr>
        <w:spacing w:after="60"/>
      </w:pPr>
      <w:r>
        <w:rPr>
          <w:rFonts w:ascii="Poppins" w:cs="Poppins" w:eastAsia="Poppins" w:hAnsi="Poppins"/>
          <w:b/>
          <w:bCs/>
          <w:color w:val="000000"/>
          <w:sz w:val="21"/>
          <w:szCs w:val="21"/>
        </w:rPr>
        <w:t xml:space="preserve">C. </w:t>
      </w:r>
      <w:r>
        <w:rPr>
          <w:rFonts w:ascii="Poppins" w:cs="Poppins" w:eastAsia="Poppins" w:hAnsi="Poppins"/>
          <w:b w:val="false"/>
          <w:bCs w:val="false"/>
          <w:color w:val="000000"/>
          <w:sz w:val="21"/>
          <w:szCs w:val="21"/>
        </w:rPr>
        <w:t xml:space="preserve">50 mg una vez a la semana durante todo el embarazo</w:t>
      </w:r>
    </w:p>
    <w:p>
      <w:pPr>
        <w:spacing w:after="60"/>
      </w:pPr>
      <w:r>
        <w:rPr>
          <w:rFonts w:ascii="Poppins" w:cs="Poppins" w:eastAsia="Poppins" w:hAnsi="Poppins"/>
          <w:b/>
          <w:bCs/>
          <w:color w:val="000000"/>
          <w:sz w:val="21"/>
          <w:szCs w:val="21"/>
        </w:rPr>
        <w:t xml:space="preserve">D. </w:t>
      </w:r>
      <w:r>
        <w:rPr>
          <w:rFonts w:ascii="Poppins" w:cs="Poppins" w:eastAsia="Poppins" w:hAnsi="Poppins"/>
          <w:b w:val="false"/>
          <w:bCs w:val="false"/>
          <w:color w:val="000000"/>
          <w:sz w:val="21"/>
          <w:szCs w:val="21"/>
        </w:rPr>
        <w:t xml:space="preserve">100 mg cada 12 horas, incluso después de las 37 semanas de embarazo</w:t>
      </w:r>
    </w:p>
    <w:p>
      <w:pPr>
        <w:spacing w:after="100" w:before="120"/>
      </w:pPr>
      <w:r>
        <w:rPr>
          <w:rFonts w:ascii="Poppins" w:cs="Poppins" w:eastAsia="Poppins" w:hAnsi="Poppins"/>
          <w:b/>
          <w:bCs/>
          <w:color w:val="001C31"/>
          <w:sz w:val="21"/>
          <w:szCs w:val="21"/>
        </w:rPr>
        <w:t xml:space="preserve">Respuesta correcta: A</w:t>
      </w:r>
    </w:p>
    <w:p>
      <w:pPr>
        <w:spacing w:after="60"/>
      </w:pPr>
      <w:r>
        <w:rPr>
          <w:rFonts w:ascii="Poppins" w:cs="Poppins" w:eastAsia="Poppins" w:hAnsi="Poppins"/>
          <w:b/>
          <w:bCs/>
          <w:color w:val="001C31"/>
          <w:sz w:val="21"/>
          <w:szCs w:val="21"/>
          <w:u w:val="single"/>
        </w:rPr>
        <w:t xml:space="preserve">Justificación de la respuesta correcta</w:t>
      </w:r>
    </w:p>
    <w:p>
      <w:pPr>
        <w:spacing w:after="150"/>
      </w:pPr>
      <w:r>
        <w:rPr>
          <w:rFonts w:ascii="Poppins" w:cs="Poppins" w:eastAsia="Poppins" w:hAnsi="Poppins"/>
          <w:sz w:val="21"/>
          <w:szCs w:val="21"/>
        </w:rPr>
        <w:t xml:space="preserve">La guía establece que el esquema de nitrofurantoína liberación retardada (macrocristalina) es de 100 mg cada 12 horas, especificando que no debe usarse sobre las 37 semanas de embarazo.</w:t>
      </w:r>
    </w:p>
    <w:p>
      <w:pPr>
        <w:spacing w:after="60"/>
      </w:pPr>
      <w:r>
        <w:rPr>
          <w:rFonts w:ascii="Poppins" w:cs="Poppins" w:eastAsia="Poppins" w:hAnsi="Poppins"/>
          <w:b/>
          <w:bCs/>
          <w:color w:val="001C31"/>
          <w:sz w:val="21"/>
          <w:szCs w:val="21"/>
          <w:u w:val="single"/>
        </w:rPr>
        <w:t xml:space="preserve">Justificación de las opciones incorrectas</w:t>
      </w:r>
    </w:p>
    <w:p>
      <w:pPr>
        <w:spacing w:after="60"/>
      </w:pPr>
      <w:r>
        <w:rPr>
          <w:rFonts w:ascii="Poppins" w:cs="Poppins" w:eastAsia="Poppins" w:hAnsi="Poppins"/>
          <w:b/>
          <w:bCs/>
          <w:sz w:val="21"/>
          <w:szCs w:val="21"/>
        </w:rPr>
        <w:t xml:space="preserve">Opción B: </w:t>
      </w:r>
      <w:r>
        <w:rPr>
          <w:rFonts w:ascii="Poppins" w:cs="Poppins" w:eastAsia="Poppins" w:hAnsi="Poppins"/>
          <w:sz w:val="21"/>
          <w:szCs w:val="21"/>
        </w:rPr>
        <w:t xml:space="preserve">La dosis de 400 mg cada 6 horas no corresponde al esquema descrito por la guía para la nitrofurantoína de liberación retardada; además, la guía sí establece un límite de edad gestacional (no sobre 37 semanas).</w:t>
      </w:r>
    </w:p>
    <w:p>
      <w:pPr>
        <w:spacing w:after="60"/>
      </w:pPr>
      <w:r>
        <w:rPr>
          <w:rFonts w:ascii="Poppins" w:cs="Poppins" w:eastAsia="Poppins" w:hAnsi="Poppins"/>
          <w:b/>
          <w:bCs/>
          <w:sz w:val="21"/>
          <w:szCs w:val="21"/>
        </w:rPr>
        <w:t xml:space="preserve">Opción C: </w:t>
      </w:r>
      <w:r>
        <w:rPr>
          <w:rFonts w:ascii="Poppins" w:cs="Poppins" w:eastAsia="Poppins" w:hAnsi="Poppins"/>
          <w:sz w:val="21"/>
          <w:szCs w:val="21"/>
        </w:rPr>
        <w:t xml:space="preserve">El esquema de 50 mg una vez a la semana no corresponde a ningún régimen descrito en la guía para el tratamiento de BA con nitrofurantoína.</w:t>
      </w:r>
    </w:p>
    <w:p>
      <w:pPr>
        <w:spacing w:after="60"/>
      </w:pPr>
      <w:r>
        <w:rPr>
          <w:rFonts w:ascii="Poppins" w:cs="Poppins" w:eastAsia="Poppins" w:hAnsi="Poppins"/>
          <w:b/>
          <w:bCs/>
          <w:sz w:val="21"/>
          <w:szCs w:val="21"/>
        </w:rPr>
        <w:t xml:space="preserve">Opción D: </w:t>
      </w:r>
      <w:r>
        <w:rPr>
          <w:rFonts w:ascii="Poppins" w:cs="Poppins" w:eastAsia="Poppins" w:hAnsi="Poppins"/>
          <w:sz w:val="21"/>
          <w:szCs w:val="21"/>
        </w:rPr>
        <w:t xml:space="preserve">La guía especifica explícitamente que la nitrofurantoína no debe usarse sobre las 37 semanas de embarazo, contrario a lo planteado en esta opción.</w:t>
      </w:r>
    </w:p>
    <w:p>
      <w:pPr>
        <w:pBdr>
          <w:bottom w:val="single" w:color="B08D3F" w:sz="6" w:space="4"/>
        </w:pBdr>
        <w:spacing w:after="200" w:before="100"/>
      </w:pPr>
      <w:r>
        <w:rPr>
          <w:rFonts w:ascii="Poppins" w:cs="Poppins" w:eastAsia="Poppins" w:hAnsi="Poppins"/>
          <w:b/>
          <w:bCs/>
          <w:i/>
          <w:iCs/>
          <w:color w:val="B08D3F"/>
          <w:sz w:val="20"/>
          <w:szCs w:val="20"/>
        </w:rPr>
        <w:t xml:space="preserve">Referencia: </w:t>
      </w:r>
      <w:r>
        <w:rPr>
          <w:rFonts w:ascii="Poppins" w:cs="Poppins" w:eastAsia="Poppins" w:hAnsi="Poppins"/>
          <w:i/>
          <w:iCs/>
          <w:color w:val="555555"/>
          <w:sz w:val="20"/>
          <w:szCs w:val="20"/>
        </w:rPr>
        <w:t xml:space="preserve">Recomendaciones para el tratamiento de IVU en el embarazo. Tratamiento de la bacteriuria asintomática. Página 18.</w:t>
      </w:r>
    </w:p>
    <w:p>
      <w:pPr>
        <w:shd w:fill="001C31" w:val="clear"/>
        <w:spacing w:after="100" w:before="300"/>
      </w:pPr>
      <w:r>
        <w:rPr>
          <w:rFonts w:ascii="Poppins" w:cs="Poppins" w:eastAsia="Poppins" w:hAnsi="Poppins"/>
          <w:b/>
          <w:bCs/>
          <w:color w:val="FFFFFF"/>
          <w:sz w:val="24"/>
          <w:szCs w:val="24"/>
        </w:rPr>
        <w:t xml:space="preserve">PREGUNTA 62</w:t>
      </w:r>
    </w:p>
    <w:p>
      <w:pPr>
        <w:spacing w:after="120"/>
      </w:pPr>
      <w:r>
        <w:rPr>
          <w:rFonts w:ascii="Poppins" w:cs="Poppins" w:eastAsia="Poppins" w:hAnsi="Poppins"/>
          <w:b/>
          <w:bCs/>
          <w:color w:val="001C31"/>
          <w:sz w:val="21"/>
          <w:szCs w:val="21"/>
        </w:rPr>
        <w:t xml:space="preserve">Pregunta: </w:t>
      </w:r>
      <w:r>
        <w:rPr>
          <w:rFonts w:ascii="Poppins" w:cs="Poppins" w:eastAsia="Poppins" w:hAnsi="Poppins"/>
          <w:sz w:val="21"/>
          <w:szCs w:val="21"/>
        </w:rPr>
        <w:t xml:space="preserve">Según la GPC, ¿cuál es el esquema de dosificación de la nitrofurantoína microcristalina (no de liberación retardada) para el tratamiento de BA?</w:t>
      </w:r>
    </w:p>
    <w:p>
      <w:pPr>
        <w:spacing w:after="60"/>
      </w:pPr>
      <w:r>
        <w:rPr>
          <w:rFonts w:ascii="Poppins" w:cs="Poppins" w:eastAsia="Poppins" w:hAnsi="Poppins"/>
          <w:b/>
          <w:bCs/>
          <w:color w:val="B08D3F"/>
          <w:sz w:val="21"/>
          <w:szCs w:val="21"/>
        </w:rPr>
        <w:t xml:space="preserve">A. </w:t>
      </w:r>
      <w:r>
        <w:rPr>
          <w:rFonts w:ascii="Poppins" w:cs="Poppins" w:eastAsia="Poppins" w:hAnsi="Poppins"/>
          <w:b/>
          <w:bCs/>
          <w:color w:val="B08D3F"/>
          <w:sz w:val="21"/>
          <w:szCs w:val="21"/>
        </w:rPr>
        <w:t xml:space="preserve">50 – 100 mg cada 6 horas (no sobre 37 semanas de embarazo)</w:t>
      </w:r>
    </w:p>
    <w:p>
      <w:pPr>
        <w:spacing w:after="60"/>
      </w:pPr>
      <w:r>
        <w:rPr>
          <w:rFonts w:ascii="Poppins" w:cs="Poppins" w:eastAsia="Poppins" w:hAnsi="Poppins"/>
          <w:b/>
          <w:bCs/>
          <w:color w:val="000000"/>
          <w:sz w:val="21"/>
          <w:szCs w:val="21"/>
        </w:rPr>
        <w:t xml:space="preserve">B. </w:t>
      </w:r>
      <w:r>
        <w:rPr>
          <w:rFonts w:ascii="Poppins" w:cs="Poppins" w:eastAsia="Poppins" w:hAnsi="Poppins"/>
          <w:b w:val="false"/>
          <w:bCs w:val="false"/>
          <w:color w:val="000000"/>
          <w:sz w:val="21"/>
          <w:szCs w:val="21"/>
        </w:rPr>
        <w:t xml:space="preserve">500 mg cada 24 horas por 3 días</w:t>
      </w:r>
    </w:p>
    <w:p>
      <w:pPr>
        <w:spacing w:after="60"/>
      </w:pPr>
      <w:r>
        <w:rPr>
          <w:rFonts w:ascii="Poppins" w:cs="Poppins" w:eastAsia="Poppins" w:hAnsi="Poppins"/>
          <w:b/>
          <w:bCs/>
          <w:color w:val="000000"/>
          <w:sz w:val="21"/>
          <w:szCs w:val="21"/>
        </w:rPr>
        <w:t xml:space="preserve">C. </w:t>
      </w:r>
      <w:r>
        <w:rPr>
          <w:rFonts w:ascii="Poppins" w:cs="Poppins" w:eastAsia="Poppins" w:hAnsi="Poppins"/>
          <w:b w:val="false"/>
          <w:bCs w:val="false"/>
          <w:color w:val="000000"/>
          <w:sz w:val="21"/>
          <w:szCs w:val="21"/>
        </w:rPr>
        <w:t xml:space="preserve">1 g en dosis única</w:t>
      </w:r>
    </w:p>
    <w:p>
      <w:pPr>
        <w:spacing w:after="60"/>
      </w:pPr>
      <w:r>
        <w:rPr>
          <w:rFonts w:ascii="Poppins" w:cs="Poppins" w:eastAsia="Poppins" w:hAnsi="Poppins"/>
          <w:b/>
          <w:bCs/>
          <w:color w:val="000000"/>
          <w:sz w:val="21"/>
          <w:szCs w:val="21"/>
        </w:rPr>
        <w:t xml:space="preserve">D. </w:t>
      </w:r>
      <w:r>
        <w:rPr>
          <w:rFonts w:ascii="Poppins" w:cs="Poppins" w:eastAsia="Poppins" w:hAnsi="Poppins"/>
          <w:b w:val="false"/>
          <w:bCs w:val="false"/>
          <w:color w:val="000000"/>
          <w:sz w:val="21"/>
          <w:szCs w:val="21"/>
        </w:rPr>
        <w:t xml:space="preserve">200 mg cada 4 horas durante 14 días consecutivos</w:t>
      </w:r>
    </w:p>
    <w:p>
      <w:pPr>
        <w:spacing w:after="100" w:before="120"/>
      </w:pPr>
      <w:r>
        <w:rPr>
          <w:rFonts w:ascii="Poppins" w:cs="Poppins" w:eastAsia="Poppins" w:hAnsi="Poppins"/>
          <w:b/>
          <w:bCs/>
          <w:color w:val="001C31"/>
          <w:sz w:val="21"/>
          <w:szCs w:val="21"/>
        </w:rPr>
        <w:t xml:space="preserve">Respuesta correcta: A</w:t>
      </w:r>
    </w:p>
    <w:p>
      <w:pPr>
        <w:spacing w:after="60"/>
      </w:pPr>
      <w:r>
        <w:rPr>
          <w:rFonts w:ascii="Poppins" w:cs="Poppins" w:eastAsia="Poppins" w:hAnsi="Poppins"/>
          <w:b/>
          <w:bCs/>
          <w:color w:val="001C31"/>
          <w:sz w:val="21"/>
          <w:szCs w:val="21"/>
          <w:u w:val="single"/>
        </w:rPr>
        <w:t xml:space="preserve">Justificación de la respuesta correcta</w:t>
      </w:r>
    </w:p>
    <w:p>
      <w:pPr>
        <w:spacing w:after="150"/>
      </w:pPr>
      <w:r>
        <w:rPr>
          <w:rFonts w:ascii="Poppins" w:cs="Poppins" w:eastAsia="Poppins" w:hAnsi="Poppins"/>
          <w:sz w:val="21"/>
          <w:szCs w:val="21"/>
        </w:rPr>
        <w:t xml:space="preserve">La guía establece que la nitrofurantoína microcristalina se dosifica en 50-100 mg cada 6 horas, no sobre las 37 semanas de embarazo, como una de las opciones de tratamiento empírico para BA y cistitis.</w:t>
      </w:r>
    </w:p>
    <w:p>
      <w:pPr>
        <w:spacing w:after="60"/>
      </w:pPr>
      <w:r>
        <w:rPr>
          <w:rFonts w:ascii="Poppins" w:cs="Poppins" w:eastAsia="Poppins" w:hAnsi="Poppins"/>
          <w:b/>
          <w:bCs/>
          <w:color w:val="001C31"/>
          <w:sz w:val="21"/>
          <w:szCs w:val="21"/>
          <w:u w:val="single"/>
        </w:rPr>
        <w:t xml:space="preserve">Justificación de las opciones incorrectas</w:t>
      </w:r>
    </w:p>
    <w:p>
      <w:pPr>
        <w:spacing w:after="60"/>
      </w:pPr>
      <w:r>
        <w:rPr>
          <w:rFonts w:ascii="Poppins" w:cs="Poppins" w:eastAsia="Poppins" w:hAnsi="Poppins"/>
          <w:b/>
          <w:bCs/>
          <w:sz w:val="21"/>
          <w:szCs w:val="21"/>
        </w:rPr>
        <w:t xml:space="preserve">Opción B: </w:t>
      </w:r>
      <w:r>
        <w:rPr>
          <w:rFonts w:ascii="Poppins" w:cs="Poppins" w:eastAsia="Poppins" w:hAnsi="Poppins"/>
          <w:sz w:val="21"/>
          <w:szCs w:val="21"/>
        </w:rPr>
        <w:t xml:space="preserve">El esquema de 500 mg cada 24 horas por 3 días no corresponde al régimen de nitrofurantoína descrito en la guía.</w:t>
      </w:r>
    </w:p>
    <w:p>
      <w:pPr>
        <w:spacing w:after="60"/>
      </w:pPr>
      <w:r>
        <w:rPr>
          <w:rFonts w:ascii="Poppins" w:cs="Poppins" w:eastAsia="Poppins" w:hAnsi="Poppins"/>
          <w:b/>
          <w:bCs/>
          <w:sz w:val="21"/>
          <w:szCs w:val="21"/>
        </w:rPr>
        <w:t xml:space="preserve">Opción C: </w:t>
      </w:r>
      <w:r>
        <w:rPr>
          <w:rFonts w:ascii="Poppins" w:cs="Poppins" w:eastAsia="Poppins" w:hAnsi="Poppins"/>
          <w:sz w:val="21"/>
          <w:szCs w:val="21"/>
        </w:rPr>
        <w:t xml:space="preserve">La dosis única de 1 g no corresponde al esquema de nitrofurantoína; ese tipo de esquema (dosis única) se describe en la guía para la fosfomicina (3 g VO dosis única), no para la nitrofurantoína.</w:t>
      </w:r>
    </w:p>
    <w:p>
      <w:pPr>
        <w:spacing w:after="60"/>
      </w:pPr>
      <w:r>
        <w:rPr>
          <w:rFonts w:ascii="Poppins" w:cs="Poppins" w:eastAsia="Poppins" w:hAnsi="Poppins"/>
          <w:b/>
          <w:bCs/>
          <w:sz w:val="21"/>
          <w:szCs w:val="21"/>
        </w:rPr>
        <w:t xml:space="preserve">Opción D: </w:t>
      </w:r>
      <w:r>
        <w:rPr>
          <w:rFonts w:ascii="Poppins" w:cs="Poppins" w:eastAsia="Poppins" w:hAnsi="Poppins"/>
          <w:sz w:val="21"/>
          <w:szCs w:val="21"/>
        </w:rPr>
        <w:t xml:space="preserve">El esquema de 200 mg cada 4 horas por 14 días no corresponde a ningún régimen de nitrofurantoína descrito en esta guía.</w:t>
      </w:r>
    </w:p>
    <w:p>
      <w:pPr>
        <w:pBdr>
          <w:bottom w:val="single" w:color="B08D3F" w:sz="6" w:space="4"/>
        </w:pBdr>
        <w:spacing w:after="200" w:before="100"/>
      </w:pPr>
      <w:r>
        <w:rPr>
          <w:rFonts w:ascii="Poppins" w:cs="Poppins" w:eastAsia="Poppins" w:hAnsi="Poppins"/>
          <w:b/>
          <w:bCs/>
          <w:i/>
          <w:iCs/>
          <w:color w:val="B08D3F"/>
          <w:sz w:val="20"/>
          <w:szCs w:val="20"/>
        </w:rPr>
        <w:t xml:space="preserve">Referencia: </w:t>
      </w:r>
      <w:r>
        <w:rPr>
          <w:rFonts w:ascii="Poppins" w:cs="Poppins" w:eastAsia="Poppins" w:hAnsi="Poppins"/>
          <w:i/>
          <w:iCs/>
          <w:color w:val="555555"/>
          <w:sz w:val="20"/>
          <w:szCs w:val="20"/>
        </w:rPr>
        <w:t xml:space="preserve">Recomendaciones para el tratamiento de IVU en el embarazo. Tratamiento de la bacteriuria asintomática. Página 18.</w:t>
      </w:r>
    </w:p>
    <w:p>
      <w:pPr>
        <w:shd w:fill="001C31" w:val="clear"/>
        <w:spacing w:after="100" w:before="300"/>
      </w:pPr>
      <w:r>
        <w:rPr>
          <w:rFonts w:ascii="Poppins" w:cs="Poppins" w:eastAsia="Poppins" w:hAnsi="Poppins"/>
          <w:b/>
          <w:bCs/>
          <w:color w:val="FFFFFF"/>
          <w:sz w:val="24"/>
          <w:szCs w:val="24"/>
        </w:rPr>
        <w:t xml:space="preserve">PREGUNTA 63</w:t>
      </w:r>
    </w:p>
    <w:p>
      <w:pPr>
        <w:spacing w:after="120"/>
      </w:pPr>
      <w:r>
        <w:rPr>
          <w:rFonts w:ascii="Poppins" w:cs="Poppins" w:eastAsia="Poppins" w:hAnsi="Poppins"/>
          <w:b/>
          <w:bCs/>
          <w:color w:val="001C31"/>
          <w:sz w:val="21"/>
          <w:szCs w:val="21"/>
        </w:rPr>
        <w:t xml:space="preserve">Pregunta: </w:t>
      </w:r>
      <w:r>
        <w:rPr>
          <w:rFonts w:ascii="Poppins" w:cs="Poppins" w:eastAsia="Poppins" w:hAnsi="Poppins"/>
          <w:sz w:val="21"/>
          <w:szCs w:val="21"/>
        </w:rPr>
        <w:t xml:space="preserve">Según la GPC, ¿cuáles son los dos esquemas de fosfomicina disponibles para el tratamiento de BA y cistitis en el embarazo?</w:t>
      </w:r>
    </w:p>
    <w:p>
      <w:pPr>
        <w:spacing w:after="60"/>
      </w:pPr>
      <w:r>
        <w:rPr>
          <w:rFonts w:ascii="Poppins" w:cs="Poppins" w:eastAsia="Poppins" w:hAnsi="Poppins"/>
          <w:b/>
          <w:bCs/>
          <w:color w:val="B08D3F"/>
          <w:sz w:val="21"/>
          <w:szCs w:val="21"/>
        </w:rPr>
        <w:t xml:space="preserve">A. </w:t>
      </w:r>
      <w:r>
        <w:rPr>
          <w:rFonts w:ascii="Poppins" w:cs="Poppins" w:eastAsia="Poppins" w:hAnsi="Poppins"/>
          <w:b/>
          <w:bCs/>
          <w:color w:val="B08D3F"/>
          <w:sz w:val="21"/>
          <w:szCs w:val="21"/>
        </w:rPr>
        <w:t xml:space="preserve">Fosfomicina 3 g VO dosis única, o fosfomicina 500 mg VO cada 8 horas</w:t>
      </w:r>
    </w:p>
    <w:p>
      <w:pPr>
        <w:spacing w:after="60"/>
      </w:pPr>
      <w:r>
        <w:rPr>
          <w:rFonts w:ascii="Poppins" w:cs="Poppins" w:eastAsia="Poppins" w:hAnsi="Poppins"/>
          <w:b/>
          <w:bCs/>
          <w:color w:val="000000"/>
          <w:sz w:val="21"/>
          <w:szCs w:val="21"/>
        </w:rPr>
        <w:t xml:space="preserve">B. </w:t>
      </w:r>
      <w:r>
        <w:rPr>
          <w:rFonts w:ascii="Poppins" w:cs="Poppins" w:eastAsia="Poppins" w:hAnsi="Poppins"/>
          <w:b w:val="false"/>
          <w:bCs w:val="false"/>
          <w:color w:val="000000"/>
          <w:sz w:val="21"/>
          <w:szCs w:val="21"/>
        </w:rPr>
        <w:t xml:space="preserve">Fosfomicina 1 g VO cada 24 horas por 10 días exclusivamente</w:t>
      </w:r>
    </w:p>
    <w:p>
      <w:pPr>
        <w:spacing w:after="60"/>
      </w:pPr>
      <w:r>
        <w:rPr>
          <w:rFonts w:ascii="Poppins" w:cs="Poppins" w:eastAsia="Poppins" w:hAnsi="Poppins"/>
          <w:b/>
          <w:bCs/>
          <w:color w:val="000000"/>
          <w:sz w:val="21"/>
          <w:szCs w:val="21"/>
        </w:rPr>
        <w:t xml:space="preserve">C. </w:t>
      </w:r>
      <w:r>
        <w:rPr>
          <w:rFonts w:ascii="Poppins" w:cs="Poppins" w:eastAsia="Poppins" w:hAnsi="Poppins"/>
          <w:b w:val="false"/>
          <w:bCs w:val="false"/>
          <w:color w:val="000000"/>
          <w:sz w:val="21"/>
          <w:szCs w:val="21"/>
        </w:rPr>
        <w:t xml:space="preserve">Fosfomicina 3 g VO cada 6 horas por 7 días</w:t>
      </w:r>
    </w:p>
    <w:p>
      <w:pPr>
        <w:spacing w:after="60"/>
      </w:pPr>
      <w:r>
        <w:rPr>
          <w:rFonts w:ascii="Poppins" w:cs="Poppins" w:eastAsia="Poppins" w:hAnsi="Poppins"/>
          <w:b/>
          <w:bCs/>
          <w:color w:val="000000"/>
          <w:sz w:val="21"/>
          <w:szCs w:val="21"/>
        </w:rPr>
        <w:t xml:space="preserve">D. </w:t>
      </w:r>
      <w:r>
        <w:rPr>
          <w:rFonts w:ascii="Poppins" w:cs="Poppins" w:eastAsia="Poppins" w:hAnsi="Poppins"/>
          <w:b w:val="false"/>
          <w:bCs w:val="false"/>
          <w:color w:val="000000"/>
          <w:sz w:val="21"/>
          <w:szCs w:val="21"/>
        </w:rPr>
        <w:t xml:space="preserve">Fosfomicina exclusivamente por vía intramuscular en dosis única</w:t>
      </w:r>
    </w:p>
    <w:p>
      <w:pPr>
        <w:spacing w:after="100" w:before="120"/>
      </w:pPr>
      <w:r>
        <w:rPr>
          <w:rFonts w:ascii="Poppins" w:cs="Poppins" w:eastAsia="Poppins" w:hAnsi="Poppins"/>
          <w:b/>
          <w:bCs/>
          <w:color w:val="001C31"/>
          <w:sz w:val="21"/>
          <w:szCs w:val="21"/>
        </w:rPr>
        <w:t xml:space="preserve">Respuesta correcta: A</w:t>
      </w:r>
    </w:p>
    <w:p>
      <w:pPr>
        <w:spacing w:after="60"/>
      </w:pPr>
      <w:r>
        <w:rPr>
          <w:rFonts w:ascii="Poppins" w:cs="Poppins" w:eastAsia="Poppins" w:hAnsi="Poppins"/>
          <w:b/>
          <w:bCs/>
          <w:color w:val="001C31"/>
          <w:sz w:val="21"/>
          <w:szCs w:val="21"/>
          <w:u w:val="single"/>
        </w:rPr>
        <w:t xml:space="preserve">Justificación de la respuesta correcta</w:t>
      </w:r>
    </w:p>
    <w:p>
      <w:pPr>
        <w:spacing w:after="150"/>
      </w:pPr>
      <w:r>
        <w:rPr>
          <w:rFonts w:ascii="Poppins" w:cs="Poppins" w:eastAsia="Poppins" w:hAnsi="Poppins"/>
          <w:sz w:val="21"/>
          <w:szCs w:val="21"/>
        </w:rPr>
        <w:t xml:space="preserve">La guía establece los dos esquemas de fosfomicina disponibles: fosfomicina 3 g VO dosis única, y fosfomicina 500 mg VO cada 8 horas, ambos entre las opciones de tratamiento empírico según la resistencia local.</w:t>
      </w:r>
    </w:p>
    <w:p>
      <w:pPr>
        <w:spacing w:after="60"/>
      </w:pPr>
      <w:r>
        <w:rPr>
          <w:rFonts w:ascii="Poppins" w:cs="Poppins" w:eastAsia="Poppins" w:hAnsi="Poppins"/>
          <w:b/>
          <w:bCs/>
          <w:color w:val="001C31"/>
          <w:sz w:val="21"/>
          <w:szCs w:val="21"/>
          <w:u w:val="single"/>
        </w:rPr>
        <w:t xml:space="preserve">Justificación de las opciones incorrectas</w:t>
      </w:r>
    </w:p>
    <w:p>
      <w:pPr>
        <w:spacing w:after="60"/>
      </w:pPr>
      <w:r>
        <w:rPr>
          <w:rFonts w:ascii="Poppins" w:cs="Poppins" w:eastAsia="Poppins" w:hAnsi="Poppins"/>
          <w:b/>
          <w:bCs/>
          <w:sz w:val="21"/>
          <w:szCs w:val="21"/>
        </w:rPr>
        <w:t xml:space="preserve">Opción B: </w:t>
      </w:r>
      <w:r>
        <w:rPr>
          <w:rFonts w:ascii="Poppins" w:cs="Poppins" w:eastAsia="Poppins" w:hAnsi="Poppins"/>
          <w:sz w:val="21"/>
          <w:szCs w:val="21"/>
        </w:rPr>
        <w:t xml:space="preserve">El esquema de 1 g cada 24 horas por 10 días no corresponde a ninguno de los dos esquemas de fosfomicina descritos en la guía.</w:t>
      </w:r>
    </w:p>
    <w:p>
      <w:pPr>
        <w:spacing w:after="60"/>
      </w:pPr>
      <w:r>
        <w:rPr>
          <w:rFonts w:ascii="Poppins" w:cs="Poppins" w:eastAsia="Poppins" w:hAnsi="Poppins"/>
          <w:b/>
          <w:bCs/>
          <w:sz w:val="21"/>
          <w:szCs w:val="21"/>
        </w:rPr>
        <w:t xml:space="preserve">Opción C: </w:t>
      </w:r>
      <w:r>
        <w:rPr>
          <w:rFonts w:ascii="Poppins" w:cs="Poppins" w:eastAsia="Poppins" w:hAnsi="Poppins"/>
          <w:sz w:val="21"/>
          <w:szCs w:val="21"/>
        </w:rPr>
        <w:t xml:space="preserve">El esquema de 3 g cada 6 horas por 7 días no corresponde al régimen de dosis única descrito para la fosfomicina de 3 g; la guía especifica que la presentación de 3 g es en dosis única.</w:t>
      </w:r>
    </w:p>
    <w:p>
      <w:pPr>
        <w:spacing w:after="60"/>
      </w:pPr>
      <w:r>
        <w:rPr>
          <w:rFonts w:ascii="Poppins" w:cs="Poppins" w:eastAsia="Poppins" w:hAnsi="Poppins"/>
          <w:b/>
          <w:bCs/>
          <w:sz w:val="21"/>
          <w:szCs w:val="21"/>
        </w:rPr>
        <w:t xml:space="preserve">Opción D: </w:t>
      </w:r>
      <w:r>
        <w:rPr>
          <w:rFonts w:ascii="Poppins" w:cs="Poppins" w:eastAsia="Poppins" w:hAnsi="Poppins"/>
          <w:sz w:val="21"/>
          <w:szCs w:val="21"/>
        </w:rPr>
        <w:t xml:space="preserve">La guía no describe una presentación intramuscular de fosfomicina para el tratamiento de BA o cistitis en esta sección; los esquemas descritos son por vía oral (VO).</w:t>
      </w:r>
    </w:p>
    <w:p>
      <w:pPr>
        <w:pBdr>
          <w:bottom w:val="single" w:color="B08D3F" w:sz="6" w:space="4"/>
        </w:pBdr>
        <w:spacing w:after="200" w:before="100"/>
      </w:pPr>
      <w:r>
        <w:rPr>
          <w:rFonts w:ascii="Poppins" w:cs="Poppins" w:eastAsia="Poppins" w:hAnsi="Poppins"/>
          <w:b/>
          <w:bCs/>
          <w:i/>
          <w:iCs/>
          <w:color w:val="B08D3F"/>
          <w:sz w:val="20"/>
          <w:szCs w:val="20"/>
        </w:rPr>
        <w:t xml:space="preserve">Referencia: </w:t>
      </w:r>
      <w:r>
        <w:rPr>
          <w:rFonts w:ascii="Poppins" w:cs="Poppins" w:eastAsia="Poppins" w:hAnsi="Poppins"/>
          <w:i/>
          <w:iCs/>
          <w:color w:val="555555"/>
          <w:sz w:val="20"/>
          <w:szCs w:val="20"/>
        </w:rPr>
        <w:t xml:space="preserve">Recomendaciones para el tratamiento de IVU en el embarazo. Tratamiento de la bacteriuria asintomática. Página 18.</w:t>
      </w:r>
    </w:p>
    <w:p>
      <w:pPr>
        <w:shd w:fill="001C31" w:val="clear"/>
        <w:spacing w:after="100" w:before="300"/>
      </w:pPr>
      <w:r>
        <w:rPr>
          <w:rFonts w:ascii="Poppins" w:cs="Poppins" w:eastAsia="Poppins" w:hAnsi="Poppins"/>
          <w:b/>
          <w:bCs/>
          <w:color w:val="FFFFFF"/>
          <w:sz w:val="24"/>
          <w:szCs w:val="24"/>
        </w:rPr>
        <w:t xml:space="preserve">PREGUNTA 64</w:t>
      </w:r>
    </w:p>
    <w:p>
      <w:pPr>
        <w:spacing w:after="120"/>
      </w:pPr>
      <w:r>
        <w:rPr>
          <w:rFonts w:ascii="Poppins" w:cs="Poppins" w:eastAsia="Poppins" w:hAnsi="Poppins"/>
          <w:b/>
          <w:bCs/>
          <w:color w:val="001C31"/>
          <w:sz w:val="21"/>
          <w:szCs w:val="21"/>
        </w:rPr>
        <w:t xml:space="preserve">Pregunta: </w:t>
      </w:r>
      <w:r>
        <w:rPr>
          <w:rFonts w:ascii="Poppins" w:cs="Poppins" w:eastAsia="Poppins" w:hAnsi="Poppins"/>
          <w:sz w:val="21"/>
          <w:szCs w:val="21"/>
        </w:rPr>
        <w:t xml:space="preserve">Según la GPC, ¿cuál es el esquema de cefalosporinas de segunda generación recomendado para el tratamiento de BA y cistitis?</w:t>
      </w:r>
    </w:p>
    <w:p>
      <w:pPr>
        <w:spacing w:after="60"/>
      </w:pPr>
      <w:r>
        <w:rPr>
          <w:rFonts w:ascii="Poppins" w:cs="Poppins" w:eastAsia="Poppins" w:hAnsi="Poppins"/>
          <w:b/>
          <w:bCs/>
          <w:color w:val="B08D3F"/>
          <w:sz w:val="21"/>
          <w:szCs w:val="21"/>
        </w:rPr>
        <w:t xml:space="preserve">A. </w:t>
      </w:r>
      <w:r>
        <w:rPr>
          <w:rFonts w:ascii="Poppins" w:cs="Poppins" w:eastAsia="Poppins" w:hAnsi="Poppins"/>
          <w:b/>
          <w:bCs/>
          <w:color w:val="B08D3F"/>
          <w:sz w:val="21"/>
          <w:szCs w:val="21"/>
        </w:rPr>
        <w:t xml:space="preserve">250-500 mg VO cada 6 horas</w:t>
      </w:r>
    </w:p>
    <w:p>
      <w:pPr>
        <w:spacing w:after="60"/>
      </w:pPr>
      <w:r>
        <w:rPr>
          <w:rFonts w:ascii="Poppins" w:cs="Poppins" w:eastAsia="Poppins" w:hAnsi="Poppins"/>
          <w:b/>
          <w:bCs/>
          <w:color w:val="000000"/>
          <w:sz w:val="21"/>
          <w:szCs w:val="21"/>
        </w:rPr>
        <w:t xml:space="preserve">B. </w:t>
      </w:r>
      <w:r>
        <w:rPr>
          <w:rFonts w:ascii="Poppins" w:cs="Poppins" w:eastAsia="Poppins" w:hAnsi="Poppins"/>
          <w:b w:val="false"/>
          <w:bCs w:val="false"/>
          <w:color w:val="000000"/>
          <w:sz w:val="21"/>
          <w:szCs w:val="21"/>
        </w:rPr>
        <w:t xml:space="preserve">1 g IV cada 24 horas</w:t>
      </w:r>
    </w:p>
    <w:p>
      <w:pPr>
        <w:spacing w:after="60"/>
      </w:pPr>
      <w:r>
        <w:rPr>
          <w:rFonts w:ascii="Poppins" w:cs="Poppins" w:eastAsia="Poppins" w:hAnsi="Poppins"/>
          <w:b/>
          <w:bCs/>
          <w:color w:val="000000"/>
          <w:sz w:val="21"/>
          <w:szCs w:val="21"/>
        </w:rPr>
        <w:t xml:space="preserve">C. </w:t>
      </w:r>
      <w:r>
        <w:rPr>
          <w:rFonts w:ascii="Poppins" w:cs="Poppins" w:eastAsia="Poppins" w:hAnsi="Poppins"/>
          <w:b w:val="false"/>
          <w:bCs w:val="false"/>
          <w:color w:val="000000"/>
          <w:sz w:val="21"/>
          <w:szCs w:val="21"/>
        </w:rPr>
        <w:t xml:space="preserve">100 mg VO cada 12 horas</w:t>
      </w:r>
    </w:p>
    <w:p>
      <w:pPr>
        <w:spacing w:after="60"/>
      </w:pPr>
      <w:r>
        <w:rPr>
          <w:rFonts w:ascii="Poppins" w:cs="Poppins" w:eastAsia="Poppins" w:hAnsi="Poppins"/>
          <w:b/>
          <w:bCs/>
          <w:color w:val="000000"/>
          <w:sz w:val="21"/>
          <w:szCs w:val="21"/>
        </w:rPr>
        <w:t xml:space="preserve">D. </w:t>
      </w:r>
      <w:r>
        <w:rPr>
          <w:rFonts w:ascii="Poppins" w:cs="Poppins" w:eastAsia="Poppins" w:hAnsi="Poppins"/>
          <w:b w:val="false"/>
          <w:bCs w:val="false"/>
          <w:color w:val="000000"/>
          <w:sz w:val="21"/>
          <w:szCs w:val="21"/>
        </w:rPr>
        <w:t xml:space="preserve">2 g VO en dosis única</w:t>
      </w:r>
    </w:p>
    <w:p>
      <w:pPr>
        <w:spacing w:after="100" w:before="120"/>
      </w:pPr>
      <w:r>
        <w:rPr>
          <w:rFonts w:ascii="Poppins" w:cs="Poppins" w:eastAsia="Poppins" w:hAnsi="Poppins"/>
          <w:b/>
          <w:bCs/>
          <w:color w:val="001C31"/>
          <w:sz w:val="21"/>
          <w:szCs w:val="21"/>
        </w:rPr>
        <w:t xml:space="preserve">Respuesta correcta: A</w:t>
      </w:r>
    </w:p>
    <w:p>
      <w:pPr>
        <w:spacing w:after="60"/>
      </w:pPr>
      <w:r>
        <w:rPr>
          <w:rFonts w:ascii="Poppins" w:cs="Poppins" w:eastAsia="Poppins" w:hAnsi="Poppins"/>
          <w:b/>
          <w:bCs/>
          <w:color w:val="001C31"/>
          <w:sz w:val="21"/>
          <w:szCs w:val="21"/>
          <w:u w:val="single"/>
        </w:rPr>
        <w:t xml:space="preserve">Justificación de la respuesta correcta</w:t>
      </w:r>
    </w:p>
    <w:p>
      <w:pPr>
        <w:spacing w:after="150"/>
      </w:pPr>
      <w:r>
        <w:rPr>
          <w:rFonts w:ascii="Poppins" w:cs="Poppins" w:eastAsia="Poppins" w:hAnsi="Poppins"/>
          <w:sz w:val="21"/>
          <w:szCs w:val="21"/>
        </w:rPr>
        <w:t xml:space="preserve">La guía establece que el esquema recomendado de cefalosporinas de segunda generación es de 250-500 mg VO cada 6 horas, dentro de las opciones de tratamiento empírico para BA y cistitis.</w:t>
      </w:r>
    </w:p>
    <w:p>
      <w:pPr>
        <w:spacing w:after="60"/>
      </w:pPr>
      <w:r>
        <w:rPr>
          <w:rFonts w:ascii="Poppins" w:cs="Poppins" w:eastAsia="Poppins" w:hAnsi="Poppins"/>
          <w:b/>
          <w:bCs/>
          <w:color w:val="001C31"/>
          <w:sz w:val="21"/>
          <w:szCs w:val="21"/>
          <w:u w:val="single"/>
        </w:rPr>
        <w:t xml:space="preserve">Justificación de las opciones incorrectas</w:t>
      </w:r>
    </w:p>
    <w:p>
      <w:pPr>
        <w:spacing w:after="60"/>
      </w:pPr>
      <w:r>
        <w:rPr>
          <w:rFonts w:ascii="Poppins" w:cs="Poppins" w:eastAsia="Poppins" w:hAnsi="Poppins"/>
          <w:b/>
          <w:bCs/>
          <w:sz w:val="21"/>
          <w:szCs w:val="21"/>
        </w:rPr>
        <w:t xml:space="preserve">Opción B: </w:t>
      </w:r>
      <w:r>
        <w:rPr>
          <w:rFonts w:ascii="Poppins" w:cs="Poppins" w:eastAsia="Poppins" w:hAnsi="Poppins"/>
          <w:sz w:val="21"/>
          <w:szCs w:val="21"/>
        </w:rPr>
        <w:t xml:space="preserve">La vía intravenosa (IV) no corresponde al esquema de cefalosporinas de segunda generación descrito en esta guía para el manejo ambulatorio de BA y cistitis; el esquema es oral.</w:t>
      </w:r>
    </w:p>
    <w:p>
      <w:pPr>
        <w:spacing w:after="60"/>
      </w:pPr>
      <w:r>
        <w:rPr>
          <w:rFonts w:ascii="Poppins" w:cs="Poppins" w:eastAsia="Poppins" w:hAnsi="Poppins"/>
          <w:b/>
          <w:bCs/>
          <w:sz w:val="21"/>
          <w:szCs w:val="21"/>
        </w:rPr>
        <w:t xml:space="preserve">Opción C: </w:t>
      </w:r>
      <w:r>
        <w:rPr>
          <w:rFonts w:ascii="Poppins" w:cs="Poppins" w:eastAsia="Poppins" w:hAnsi="Poppins"/>
          <w:sz w:val="21"/>
          <w:szCs w:val="21"/>
        </w:rPr>
        <w:t xml:space="preserve">La dosis de 100 mg cada 12 horas corresponde al esquema de nitrofurantoína de liberación retardada, no al de las cefalosporinas de segunda generación.</w:t>
      </w:r>
    </w:p>
    <w:p>
      <w:pPr>
        <w:spacing w:after="60"/>
      </w:pPr>
      <w:r>
        <w:rPr>
          <w:rFonts w:ascii="Poppins" w:cs="Poppins" w:eastAsia="Poppins" w:hAnsi="Poppins"/>
          <w:b/>
          <w:bCs/>
          <w:sz w:val="21"/>
          <w:szCs w:val="21"/>
        </w:rPr>
        <w:t xml:space="preserve">Opción D: </w:t>
      </w:r>
      <w:r>
        <w:rPr>
          <w:rFonts w:ascii="Poppins" w:cs="Poppins" w:eastAsia="Poppins" w:hAnsi="Poppins"/>
          <w:sz w:val="21"/>
          <w:szCs w:val="21"/>
        </w:rPr>
        <w:t xml:space="preserve">La guía no describe un esquema de dosis única de 2 g para las cefalosporinas de segunda generación; el régimen especificado es de 250-500 mg cada 6 horas.</w:t>
      </w:r>
    </w:p>
    <w:p>
      <w:pPr>
        <w:pBdr>
          <w:bottom w:val="single" w:color="B08D3F" w:sz="6" w:space="4"/>
        </w:pBdr>
        <w:spacing w:after="200" w:before="100"/>
      </w:pPr>
      <w:r>
        <w:rPr>
          <w:rFonts w:ascii="Poppins" w:cs="Poppins" w:eastAsia="Poppins" w:hAnsi="Poppins"/>
          <w:b/>
          <w:bCs/>
          <w:i/>
          <w:iCs/>
          <w:color w:val="B08D3F"/>
          <w:sz w:val="20"/>
          <w:szCs w:val="20"/>
        </w:rPr>
        <w:t xml:space="preserve">Referencia: </w:t>
      </w:r>
      <w:r>
        <w:rPr>
          <w:rFonts w:ascii="Poppins" w:cs="Poppins" w:eastAsia="Poppins" w:hAnsi="Poppins"/>
          <w:i/>
          <w:iCs/>
          <w:color w:val="555555"/>
          <w:sz w:val="20"/>
          <w:szCs w:val="20"/>
        </w:rPr>
        <w:t xml:space="preserve">Recomendaciones para el tratamiento de IVU en el embarazo. Tratamiento de la bacteriuria asintomática. Página 18.</w:t>
      </w:r>
    </w:p>
    <w:p>
      <w:pPr>
        <w:shd w:fill="001C31" w:val="clear"/>
        <w:spacing w:after="100" w:before="300"/>
      </w:pPr>
      <w:r>
        <w:rPr>
          <w:rFonts w:ascii="Poppins" w:cs="Poppins" w:eastAsia="Poppins" w:hAnsi="Poppins"/>
          <w:b/>
          <w:bCs/>
          <w:color w:val="FFFFFF"/>
          <w:sz w:val="24"/>
          <w:szCs w:val="24"/>
        </w:rPr>
        <w:t xml:space="preserve">PREGUNTA 65</w:t>
      </w:r>
    </w:p>
    <w:p>
      <w:pPr>
        <w:spacing w:after="120"/>
      </w:pPr>
      <w:r>
        <w:rPr>
          <w:rFonts w:ascii="Poppins" w:cs="Poppins" w:eastAsia="Poppins" w:hAnsi="Poppins"/>
          <w:b/>
          <w:bCs/>
          <w:color w:val="001C31"/>
          <w:sz w:val="21"/>
          <w:szCs w:val="21"/>
        </w:rPr>
        <w:t xml:space="preserve">Pregunta: </w:t>
      </w:r>
      <w:r>
        <w:rPr>
          <w:rFonts w:ascii="Poppins" w:cs="Poppins" w:eastAsia="Poppins" w:hAnsi="Poppins"/>
          <w:sz w:val="21"/>
          <w:szCs w:val="21"/>
        </w:rPr>
        <w:t xml:space="preserve">Según la GPC, ¿por qué la nitrofurantoína es considerada segura y de bajo nivel de resistencia durante el embarazo?</w:t>
      </w:r>
    </w:p>
    <w:p>
      <w:pPr>
        <w:spacing w:after="60"/>
      </w:pPr>
      <w:r>
        <w:rPr>
          <w:rFonts w:ascii="Poppins" w:cs="Poppins" w:eastAsia="Poppins" w:hAnsi="Poppins"/>
          <w:b/>
          <w:bCs/>
          <w:color w:val="B08D3F"/>
          <w:sz w:val="21"/>
          <w:szCs w:val="21"/>
        </w:rPr>
        <w:t xml:space="preserve">A. </w:t>
      </w:r>
      <w:r>
        <w:rPr>
          <w:rFonts w:ascii="Poppins" w:cs="Poppins" w:eastAsia="Poppins" w:hAnsi="Poppins"/>
          <w:b/>
          <w:bCs/>
          <w:color w:val="B08D3F"/>
          <w:sz w:val="21"/>
          <w:szCs w:val="21"/>
        </w:rPr>
        <w:t xml:space="preserve">Porque logra concentraciones terapéuticas solo en orina y presenta un nivel bajo de resistencia a los uropatógenos, incluido el Ecuador</w:t>
      </w:r>
    </w:p>
    <w:p>
      <w:pPr>
        <w:spacing w:after="60"/>
      </w:pPr>
      <w:r>
        <w:rPr>
          <w:rFonts w:ascii="Poppins" w:cs="Poppins" w:eastAsia="Poppins" w:hAnsi="Poppins"/>
          <w:b/>
          <w:bCs/>
          <w:color w:val="000000"/>
          <w:sz w:val="21"/>
          <w:szCs w:val="21"/>
        </w:rPr>
        <w:t xml:space="preserve">B. </w:t>
      </w:r>
      <w:r>
        <w:rPr>
          <w:rFonts w:ascii="Poppins" w:cs="Poppins" w:eastAsia="Poppins" w:hAnsi="Poppins"/>
          <w:b w:val="false"/>
          <w:bCs w:val="false"/>
          <w:color w:val="000000"/>
          <w:sz w:val="21"/>
          <w:szCs w:val="21"/>
        </w:rPr>
        <w:t xml:space="preserve">Porque alcanza altas concentraciones plasmáticas sistémicas que garantizan eficacia en cualquier tejido</w:t>
      </w:r>
    </w:p>
    <w:p>
      <w:pPr>
        <w:spacing w:after="60"/>
      </w:pPr>
      <w:r>
        <w:rPr>
          <w:rFonts w:ascii="Poppins" w:cs="Poppins" w:eastAsia="Poppins" w:hAnsi="Poppins"/>
          <w:b/>
          <w:bCs/>
          <w:color w:val="000000"/>
          <w:sz w:val="21"/>
          <w:szCs w:val="21"/>
        </w:rPr>
        <w:t xml:space="preserve">C. </w:t>
      </w:r>
      <w:r>
        <w:rPr>
          <w:rFonts w:ascii="Poppins" w:cs="Poppins" w:eastAsia="Poppins" w:hAnsi="Poppins"/>
          <w:b w:val="false"/>
          <w:bCs w:val="false"/>
          <w:color w:val="000000"/>
          <w:sz w:val="21"/>
          <w:szCs w:val="21"/>
        </w:rPr>
        <w:t xml:space="preserve">Porque no cruza la barrera placentaria en ninguna etapa del embarazo</w:t>
      </w:r>
    </w:p>
    <w:p>
      <w:pPr>
        <w:spacing w:after="60"/>
      </w:pPr>
      <w:r>
        <w:rPr>
          <w:rFonts w:ascii="Poppins" w:cs="Poppins" w:eastAsia="Poppins" w:hAnsi="Poppins"/>
          <w:b/>
          <w:bCs/>
          <w:color w:val="000000"/>
          <w:sz w:val="21"/>
          <w:szCs w:val="21"/>
        </w:rPr>
        <w:t xml:space="preserve">D. </w:t>
      </w:r>
      <w:r>
        <w:rPr>
          <w:rFonts w:ascii="Poppins" w:cs="Poppins" w:eastAsia="Poppins" w:hAnsi="Poppins"/>
          <w:b w:val="false"/>
          <w:bCs w:val="false"/>
          <w:color w:val="000000"/>
          <w:sz w:val="21"/>
          <w:szCs w:val="21"/>
        </w:rPr>
        <w:t xml:space="preserve">Porque es el único antibiótico con actividad frente a hongos</w:t>
      </w:r>
    </w:p>
    <w:p>
      <w:pPr>
        <w:spacing w:after="100" w:before="120"/>
      </w:pPr>
      <w:r>
        <w:rPr>
          <w:rFonts w:ascii="Poppins" w:cs="Poppins" w:eastAsia="Poppins" w:hAnsi="Poppins"/>
          <w:b/>
          <w:bCs/>
          <w:color w:val="001C31"/>
          <w:sz w:val="21"/>
          <w:szCs w:val="21"/>
        </w:rPr>
        <w:t xml:space="preserve">Respuesta correcta: A</w:t>
      </w:r>
    </w:p>
    <w:p>
      <w:pPr>
        <w:spacing w:after="60"/>
      </w:pPr>
      <w:r>
        <w:rPr>
          <w:rFonts w:ascii="Poppins" w:cs="Poppins" w:eastAsia="Poppins" w:hAnsi="Poppins"/>
          <w:b/>
          <w:bCs/>
          <w:color w:val="001C31"/>
          <w:sz w:val="21"/>
          <w:szCs w:val="21"/>
          <w:u w:val="single"/>
        </w:rPr>
        <w:t xml:space="preserve">Justificación de la respuesta correcta</w:t>
      </w:r>
    </w:p>
    <w:p>
      <w:pPr>
        <w:spacing w:after="150"/>
      </w:pPr>
      <w:r>
        <w:rPr>
          <w:rFonts w:ascii="Poppins" w:cs="Poppins" w:eastAsia="Poppins" w:hAnsi="Poppins"/>
          <w:sz w:val="21"/>
          <w:szCs w:val="21"/>
        </w:rPr>
        <w:t xml:space="preserve">La guía establece (2b) que la nitrofurantoína es segura durante el embarazo y logra concentraciones terapéuticas solo en orina, presentando un nivel bajo de resistencia a los uropatógenos, incluido el Ecuador.</w:t>
      </w:r>
    </w:p>
    <w:p>
      <w:pPr>
        <w:spacing w:after="60"/>
      </w:pPr>
      <w:r>
        <w:rPr>
          <w:rFonts w:ascii="Poppins" w:cs="Poppins" w:eastAsia="Poppins" w:hAnsi="Poppins"/>
          <w:b/>
          <w:bCs/>
          <w:color w:val="001C31"/>
          <w:sz w:val="21"/>
          <w:szCs w:val="21"/>
          <w:u w:val="single"/>
        </w:rPr>
        <w:t xml:space="preserve">Justificación de las opciones incorrectas</w:t>
      </w:r>
    </w:p>
    <w:p>
      <w:pPr>
        <w:spacing w:after="60"/>
      </w:pPr>
      <w:r>
        <w:rPr>
          <w:rFonts w:ascii="Poppins" w:cs="Poppins" w:eastAsia="Poppins" w:hAnsi="Poppins"/>
          <w:b/>
          <w:bCs/>
          <w:sz w:val="21"/>
          <w:szCs w:val="21"/>
        </w:rPr>
        <w:t xml:space="preserve">Opción B: </w:t>
      </w:r>
      <w:r>
        <w:rPr>
          <w:rFonts w:ascii="Poppins" w:cs="Poppins" w:eastAsia="Poppins" w:hAnsi="Poppins"/>
          <w:sz w:val="21"/>
          <w:szCs w:val="21"/>
        </w:rPr>
        <w:t xml:space="preserve">La guía indica lo contrario: la nitrofurantoína logra concentraciones terapéuticas solo en orina, no concentraciones plasmáticas sistémicas altas.</w:t>
      </w:r>
    </w:p>
    <w:p>
      <w:pPr>
        <w:spacing w:after="60"/>
      </w:pPr>
      <w:r>
        <w:rPr>
          <w:rFonts w:ascii="Poppins" w:cs="Poppins" w:eastAsia="Poppins" w:hAnsi="Poppins"/>
          <w:b/>
          <w:bCs/>
          <w:sz w:val="21"/>
          <w:szCs w:val="21"/>
        </w:rPr>
        <w:t xml:space="preserve">Opción C: </w:t>
      </w:r>
      <w:r>
        <w:rPr>
          <w:rFonts w:ascii="Poppins" w:cs="Poppins" w:eastAsia="Poppins" w:hAnsi="Poppins"/>
          <w:sz w:val="21"/>
          <w:szCs w:val="21"/>
        </w:rPr>
        <w:t xml:space="preserve">La guía no aborda la capacidad de la nitrofurantoína de cruzar la barrera placentaria como el fundamento de su seguridad; se centra en su perfil de concentración urinaria y bajo nivel de resistencia.</w:t>
      </w:r>
    </w:p>
    <w:p>
      <w:pPr>
        <w:spacing w:after="60"/>
      </w:pPr>
      <w:r>
        <w:rPr>
          <w:rFonts w:ascii="Poppins" w:cs="Poppins" w:eastAsia="Poppins" w:hAnsi="Poppins"/>
          <w:b/>
          <w:bCs/>
          <w:sz w:val="21"/>
          <w:szCs w:val="21"/>
        </w:rPr>
        <w:t xml:space="preserve">Opción D: </w:t>
      </w:r>
      <w:r>
        <w:rPr>
          <w:rFonts w:ascii="Poppins" w:cs="Poppins" w:eastAsia="Poppins" w:hAnsi="Poppins"/>
          <w:sz w:val="21"/>
          <w:szCs w:val="21"/>
        </w:rPr>
        <w:t xml:space="preserve">La nitrofurantoína no se describe en la guía como un antibiótico con actividad antifúngica; su mecanismo de acción y ficha técnica se centran en su actividad antibacteriana.</w:t>
      </w:r>
    </w:p>
    <w:p>
      <w:pPr>
        <w:pBdr>
          <w:bottom w:val="single" w:color="B08D3F" w:sz="6" w:space="4"/>
        </w:pBdr>
        <w:spacing w:after="200" w:before="100"/>
      </w:pPr>
      <w:r>
        <w:rPr>
          <w:rFonts w:ascii="Poppins" w:cs="Poppins" w:eastAsia="Poppins" w:hAnsi="Poppins"/>
          <w:b/>
          <w:bCs/>
          <w:i/>
          <w:iCs/>
          <w:color w:val="B08D3F"/>
          <w:sz w:val="20"/>
          <w:szCs w:val="20"/>
        </w:rPr>
        <w:t xml:space="preserve">Referencia: </w:t>
      </w:r>
      <w:r>
        <w:rPr>
          <w:rFonts w:ascii="Poppins" w:cs="Poppins" w:eastAsia="Poppins" w:hAnsi="Poppins"/>
          <w:i/>
          <w:iCs/>
          <w:color w:val="555555"/>
          <w:sz w:val="20"/>
          <w:szCs w:val="20"/>
        </w:rPr>
        <w:t xml:space="preserve">Recomendaciones para el tratamiento de IVU en el embarazo. Tratamiento de la bacteriuria asintomática. Página 18.</w:t>
      </w:r>
    </w:p>
    <w:p>
      <w:pPr>
        <w:shd w:fill="001C31" w:val="clear"/>
        <w:spacing w:after="100" w:before="300"/>
      </w:pPr>
      <w:r>
        <w:rPr>
          <w:rFonts w:ascii="Poppins" w:cs="Poppins" w:eastAsia="Poppins" w:hAnsi="Poppins"/>
          <w:b/>
          <w:bCs/>
          <w:color w:val="FFFFFF"/>
          <w:sz w:val="24"/>
          <w:szCs w:val="24"/>
        </w:rPr>
        <w:t xml:space="preserve">PREGUNTA 66</w:t>
      </w:r>
    </w:p>
    <w:p>
      <w:pPr>
        <w:spacing w:after="120"/>
      </w:pPr>
      <w:r>
        <w:rPr>
          <w:rFonts w:ascii="Poppins" w:cs="Poppins" w:eastAsia="Poppins" w:hAnsi="Poppins"/>
          <w:b/>
          <w:bCs/>
          <w:color w:val="001C31"/>
          <w:sz w:val="21"/>
          <w:szCs w:val="21"/>
        </w:rPr>
        <w:t xml:space="preserve">Pregunta: </w:t>
      </w:r>
      <w:r>
        <w:rPr>
          <w:rFonts w:ascii="Poppins" w:cs="Poppins" w:eastAsia="Poppins" w:hAnsi="Poppins"/>
          <w:sz w:val="21"/>
          <w:szCs w:val="21"/>
        </w:rPr>
        <w:t xml:space="preserve">Según la GPC, ¿qué ocurre con las concentraciones plasmáticas de los betalactámicos durante el embarazo y qué implicación tiene esto?</w:t>
      </w:r>
    </w:p>
    <w:p>
      <w:pPr>
        <w:spacing w:after="60"/>
      </w:pPr>
      <w:r>
        <w:rPr>
          <w:rFonts w:ascii="Poppins" w:cs="Poppins" w:eastAsia="Poppins" w:hAnsi="Poppins"/>
          <w:b/>
          <w:bCs/>
          <w:color w:val="B08D3F"/>
          <w:sz w:val="21"/>
          <w:szCs w:val="21"/>
        </w:rPr>
        <w:t xml:space="preserve">A. </w:t>
      </w:r>
      <w:r>
        <w:rPr>
          <w:rFonts w:ascii="Poppins" w:cs="Poppins" w:eastAsia="Poppins" w:hAnsi="Poppins"/>
          <w:b/>
          <w:bCs/>
          <w:color w:val="B08D3F"/>
          <w:sz w:val="21"/>
          <w:szCs w:val="21"/>
        </w:rPr>
        <w:t xml:space="preserve">Disminuyen alrededor de 50% en el embarazo, lo que puede aumentar los niveles de resistencia</w:t>
      </w:r>
    </w:p>
    <w:p>
      <w:pPr>
        <w:spacing w:after="60"/>
      </w:pPr>
      <w:r>
        <w:rPr>
          <w:rFonts w:ascii="Poppins" w:cs="Poppins" w:eastAsia="Poppins" w:hAnsi="Poppins"/>
          <w:b/>
          <w:bCs/>
          <w:color w:val="000000"/>
          <w:sz w:val="21"/>
          <w:szCs w:val="21"/>
        </w:rPr>
        <w:t xml:space="preserve">B. </w:t>
      </w:r>
      <w:r>
        <w:rPr>
          <w:rFonts w:ascii="Poppins" w:cs="Poppins" w:eastAsia="Poppins" w:hAnsi="Poppins"/>
          <w:b w:val="false"/>
          <w:bCs w:val="false"/>
          <w:color w:val="000000"/>
          <w:sz w:val="21"/>
          <w:szCs w:val="21"/>
        </w:rPr>
        <w:t xml:space="preserve">Aumentan al doble durante el embarazo, mejorando su eficacia</w:t>
      </w:r>
    </w:p>
    <w:p>
      <w:pPr>
        <w:spacing w:after="60"/>
      </w:pPr>
      <w:r>
        <w:rPr>
          <w:rFonts w:ascii="Poppins" w:cs="Poppins" w:eastAsia="Poppins" w:hAnsi="Poppins"/>
          <w:b/>
          <w:bCs/>
          <w:color w:val="000000"/>
          <w:sz w:val="21"/>
          <w:szCs w:val="21"/>
        </w:rPr>
        <w:t xml:space="preserve">C. </w:t>
      </w:r>
      <w:r>
        <w:rPr>
          <w:rFonts w:ascii="Poppins" w:cs="Poppins" w:eastAsia="Poppins" w:hAnsi="Poppins"/>
          <w:b w:val="false"/>
          <w:bCs w:val="false"/>
          <w:color w:val="000000"/>
          <w:sz w:val="21"/>
          <w:szCs w:val="21"/>
        </w:rPr>
        <w:t xml:space="preserve">Permanecen sin cambios durante todo el embarazo</w:t>
      </w:r>
    </w:p>
    <w:p>
      <w:pPr>
        <w:spacing w:after="60"/>
      </w:pPr>
      <w:r>
        <w:rPr>
          <w:rFonts w:ascii="Poppins" w:cs="Poppins" w:eastAsia="Poppins" w:hAnsi="Poppins"/>
          <w:b/>
          <w:bCs/>
          <w:color w:val="000000"/>
          <w:sz w:val="21"/>
          <w:szCs w:val="21"/>
        </w:rPr>
        <w:t xml:space="preserve">D. </w:t>
      </w:r>
      <w:r>
        <w:rPr>
          <w:rFonts w:ascii="Poppins" w:cs="Poppins" w:eastAsia="Poppins" w:hAnsi="Poppins"/>
          <w:b w:val="false"/>
          <w:bCs w:val="false"/>
          <w:color w:val="000000"/>
          <w:sz w:val="21"/>
          <w:szCs w:val="21"/>
        </w:rPr>
        <w:t xml:space="preserve">Se eliminan completamente en el primer trimestre, sin ningún efecto terapéutico</w:t>
      </w:r>
    </w:p>
    <w:p>
      <w:pPr>
        <w:spacing w:after="100" w:before="120"/>
      </w:pPr>
      <w:r>
        <w:rPr>
          <w:rFonts w:ascii="Poppins" w:cs="Poppins" w:eastAsia="Poppins" w:hAnsi="Poppins"/>
          <w:b/>
          <w:bCs/>
          <w:color w:val="001C31"/>
          <w:sz w:val="21"/>
          <w:szCs w:val="21"/>
        </w:rPr>
        <w:t xml:space="preserve">Respuesta correcta: A</w:t>
      </w:r>
    </w:p>
    <w:p>
      <w:pPr>
        <w:spacing w:after="60"/>
      </w:pPr>
      <w:r>
        <w:rPr>
          <w:rFonts w:ascii="Poppins" w:cs="Poppins" w:eastAsia="Poppins" w:hAnsi="Poppins"/>
          <w:b/>
          <w:bCs/>
          <w:color w:val="001C31"/>
          <w:sz w:val="21"/>
          <w:szCs w:val="21"/>
          <w:u w:val="single"/>
        </w:rPr>
        <w:t xml:space="preserve">Justificación de la respuesta correcta</w:t>
      </w:r>
    </w:p>
    <w:p>
      <w:pPr>
        <w:spacing w:after="150"/>
      </w:pPr>
      <w:r>
        <w:rPr>
          <w:rFonts w:ascii="Poppins" w:cs="Poppins" w:eastAsia="Poppins" w:hAnsi="Poppins"/>
          <w:sz w:val="21"/>
          <w:szCs w:val="21"/>
        </w:rPr>
        <w:t xml:space="preserve">La guía establece (2b) que las concentraciones plasmáticas de los betalactámicos disminuyen alrededor de 50% en el embarazo, lo que puede aumentar los niveles de resistencia, dato relevante para la elección terapéutica.</w:t>
      </w:r>
    </w:p>
    <w:p>
      <w:pPr>
        <w:spacing w:after="60"/>
      </w:pPr>
      <w:r>
        <w:rPr>
          <w:rFonts w:ascii="Poppins" w:cs="Poppins" w:eastAsia="Poppins" w:hAnsi="Poppins"/>
          <w:b/>
          <w:bCs/>
          <w:color w:val="001C31"/>
          <w:sz w:val="21"/>
          <w:szCs w:val="21"/>
          <w:u w:val="single"/>
        </w:rPr>
        <w:t xml:space="preserve">Justificación de las opciones incorrectas</w:t>
      </w:r>
    </w:p>
    <w:p>
      <w:pPr>
        <w:spacing w:after="60"/>
      </w:pPr>
      <w:r>
        <w:rPr>
          <w:rFonts w:ascii="Poppins" w:cs="Poppins" w:eastAsia="Poppins" w:hAnsi="Poppins"/>
          <w:b/>
          <w:bCs/>
          <w:sz w:val="21"/>
          <w:szCs w:val="21"/>
        </w:rPr>
        <w:t xml:space="preserve">Opción B: </w:t>
      </w:r>
      <w:r>
        <w:rPr>
          <w:rFonts w:ascii="Poppins" w:cs="Poppins" w:eastAsia="Poppins" w:hAnsi="Poppins"/>
          <w:sz w:val="21"/>
          <w:szCs w:val="21"/>
        </w:rPr>
        <w:t xml:space="preserve">La guía indica lo contrario: las concentraciones disminuyen, no aumentan, durante el embarazo.</w:t>
      </w:r>
    </w:p>
    <w:p>
      <w:pPr>
        <w:spacing w:after="60"/>
      </w:pPr>
      <w:r>
        <w:rPr>
          <w:rFonts w:ascii="Poppins" w:cs="Poppins" w:eastAsia="Poppins" w:hAnsi="Poppins"/>
          <w:b/>
          <w:bCs/>
          <w:sz w:val="21"/>
          <w:szCs w:val="21"/>
        </w:rPr>
        <w:t xml:space="preserve">Opción C: </w:t>
      </w:r>
      <w:r>
        <w:rPr>
          <w:rFonts w:ascii="Poppins" w:cs="Poppins" w:eastAsia="Poppins" w:hAnsi="Poppins"/>
          <w:sz w:val="21"/>
          <w:szCs w:val="21"/>
        </w:rPr>
        <w:t xml:space="preserve">La guía documenta un cambio significativo (disminución de aproximadamente 50%) en las concentraciones plasmáticas de los betalactámicos durante el embarazo, no una ausencia de cambios.</w:t>
      </w:r>
    </w:p>
    <w:p>
      <w:pPr>
        <w:spacing w:after="60"/>
      </w:pPr>
      <w:r>
        <w:rPr>
          <w:rFonts w:ascii="Poppins" w:cs="Poppins" w:eastAsia="Poppins" w:hAnsi="Poppins"/>
          <w:b/>
          <w:bCs/>
          <w:sz w:val="21"/>
          <w:szCs w:val="21"/>
        </w:rPr>
        <w:t xml:space="preserve">Opción D: </w:t>
      </w:r>
      <w:r>
        <w:rPr>
          <w:rFonts w:ascii="Poppins" w:cs="Poppins" w:eastAsia="Poppins" w:hAnsi="Poppins"/>
          <w:sz w:val="21"/>
          <w:szCs w:val="21"/>
        </w:rPr>
        <w:t xml:space="preserve">La guía no afirma una eliminación completa de estos fármacos en el primer trimestre; describe una disminución parcial de aproximadamente 50% en sus concentraciones plasmáticas durante el embarazo en general.</w:t>
      </w:r>
    </w:p>
    <w:p>
      <w:pPr>
        <w:pBdr>
          <w:bottom w:val="single" w:color="B08D3F" w:sz="6" w:space="4"/>
        </w:pBdr>
        <w:spacing w:after="200" w:before="100"/>
      </w:pPr>
      <w:r>
        <w:rPr>
          <w:rFonts w:ascii="Poppins" w:cs="Poppins" w:eastAsia="Poppins" w:hAnsi="Poppins"/>
          <w:b/>
          <w:bCs/>
          <w:i/>
          <w:iCs/>
          <w:color w:val="B08D3F"/>
          <w:sz w:val="20"/>
          <w:szCs w:val="20"/>
        </w:rPr>
        <w:t xml:space="preserve">Referencia: </w:t>
      </w:r>
      <w:r>
        <w:rPr>
          <w:rFonts w:ascii="Poppins" w:cs="Poppins" w:eastAsia="Poppins" w:hAnsi="Poppins"/>
          <w:i/>
          <w:iCs/>
          <w:color w:val="555555"/>
          <w:sz w:val="20"/>
          <w:szCs w:val="20"/>
        </w:rPr>
        <w:t xml:space="preserve">Recomendaciones para el tratamiento de IVU en el embarazo. Tratamiento de la bacteriuria asintomática. Página 18.</w:t>
      </w:r>
    </w:p>
    <w:p>
      <w:pPr>
        <w:shd w:fill="001C31" w:val="clear"/>
        <w:spacing w:after="100" w:before="300"/>
      </w:pPr>
      <w:r>
        <w:rPr>
          <w:rFonts w:ascii="Poppins" w:cs="Poppins" w:eastAsia="Poppins" w:hAnsi="Poppins"/>
          <w:b/>
          <w:bCs/>
          <w:color w:val="FFFFFF"/>
          <w:sz w:val="24"/>
          <w:szCs w:val="24"/>
        </w:rPr>
        <w:t xml:space="preserve">PREGUNTA 67</w:t>
      </w:r>
    </w:p>
    <w:p>
      <w:pPr>
        <w:spacing w:after="120"/>
      </w:pPr>
      <w:r>
        <w:rPr>
          <w:rFonts w:ascii="Poppins" w:cs="Poppins" w:eastAsia="Poppins" w:hAnsi="Poppins"/>
          <w:b/>
          <w:bCs/>
          <w:color w:val="001C31"/>
          <w:sz w:val="21"/>
          <w:szCs w:val="21"/>
        </w:rPr>
        <w:t xml:space="preserve">Pregunta: </w:t>
      </w:r>
      <w:r>
        <w:rPr>
          <w:rFonts w:ascii="Poppins" w:cs="Poppins" w:eastAsia="Poppins" w:hAnsi="Poppins"/>
          <w:sz w:val="21"/>
          <w:szCs w:val="21"/>
        </w:rPr>
        <w:t xml:space="preserve">Según la GPC, ¿cuál es la cefalosporina que se usa con mayor frecuencia en el embarazo?</w:t>
      </w:r>
    </w:p>
    <w:p>
      <w:pPr>
        <w:spacing w:after="60"/>
      </w:pPr>
      <w:r>
        <w:rPr>
          <w:rFonts w:ascii="Poppins" w:cs="Poppins" w:eastAsia="Poppins" w:hAnsi="Poppins"/>
          <w:b/>
          <w:bCs/>
          <w:color w:val="B08D3F"/>
          <w:sz w:val="21"/>
          <w:szCs w:val="21"/>
        </w:rPr>
        <w:t xml:space="preserve">A. </w:t>
      </w:r>
      <w:r>
        <w:rPr>
          <w:rFonts w:ascii="Poppins" w:cs="Poppins" w:eastAsia="Poppins" w:hAnsi="Poppins"/>
          <w:b/>
          <w:bCs/>
          <w:color w:val="B08D3F"/>
          <w:sz w:val="21"/>
          <w:szCs w:val="21"/>
        </w:rPr>
        <w:t xml:space="preserve">Cefalexina</w:t>
      </w:r>
    </w:p>
    <w:p>
      <w:pPr>
        <w:spacing w:after="60"/>
      </w:pPr>
      <w:r>
        <w:rPr>
          <w:rFonts w:ascii="Poppins" w:cs="Poppins" w:eastAsia="Poppins" w:hAnsi="Poppins"/>
          <w:b/>
          <w:bCs/>
          <w:color w:val="000000"/>
          <w:sz w:val="21"/>
          <w:szCs w:val="21"/>
        </w:rPr>
        <w:t xml:space="preserve">B. </w:t>
      </w:r>
      <w:r>
        <w:rPr>
          <w:rFonts w:ascii="Poppins" w:cs="Poppins" w:eastAsia="Poppins" w:hAnsi="Poppins"/>
          <w:b w:val="false"/>
          <w:bCs w:val="false"/>
          <w:color w:val="000000"/>
          <w:sz w:val="21"/>
          <w:szCs w:val="21"/>
        </w:rPr>
        <w:t xml:space="preserve">Ceftriaxona</w:t>
      </w:r>
    </w:p>
    <w:p>
      <w:pPr>
        <w:spacing w:after="60"/>
      </w:pPr>
      <w:r>
        <w:rPr>
          <w:rFonts w:ascii="Poppins" w:cs="Poppins" w:eastAsia="Poppins" w:hAnsi="Poppins"/>
          <w:b/>
          <w:bCs/>
          <w:color w:val="000000"/>
          <w:sz w:val="21"/>
          <w:szCs w:val="21"/>
        </w:rPr>
        <w:t xml:space="preserve">C. </w:t>
      </w:r>
      <w:r>
        <w:rPr>
          <w:rFonts w:ascii="Poppins" w:cs="Poppins" w:eastAsia="Poppins" w:hAnsi="Poppins"/>
          <w:b w:val="false"/>
          <w:bCs w:val="false"/>
          <w:color w:val="000000"/>
          <w:sz w:val="21"/>
          <w:szCs w:val="21"/>
        </w:rPr>
        <w:t xml:space="preserve">Cefepime</w:t>
      </w:r>
    </w:p>
    <w:p>
      <w:pPr>
        <w:spacing w:after="60"/>
      </w:pPr>
      <w:r>
        <w:rPr>
          <w:rFonts w:ascii="Poppins" w:cs="Poppins" w:eastAsia="Poppins" w:hAnsi="Poppins"/>
          <w:b/>
          <w:bCs/>
          <w:color w:val="000000"/>
          <w:sz w:val="21"/>
          <w:szCs w:val="21"/>
        </w:rPr>
        <w:t xml:space="preserve">D. </w:t>
      </w:r>
      <w:r>
        <w:rPr>
          <w:rFonts w:ascii="Poppins" w:cs="Poppins" w:eastAsia="Poppins" w:hAnsi="Poppins"/>
          <w:b w:val="false"/>
          <w:bCs w:val="false"/>
          <w:color w:val="000000"/>
          <w:sz w:val="21"/>
          <w:szCs w:val="21"/>
        </w:rPr>
        <w:t xml:space="preserve">Cefotaxima</w:t>
      </w:r>
    </w:p>
    <w:p>
      <w:pPr>
        <w:spacing w:after="100" w:before="120"/>
      </w:pPr>
      <w:r>
        <w:rPr>
          <w:rFonts w:ascii="Poppins" w:cs="Poppins" w:eastAsia="Poppins" w:hAnsi="Poppins"/>
          <w:b/>
          <w:bCs/>
          <w:color w:val="001C31"/>
          <w:sz w:val="21"/>
          <w:szCs w:val="21"/>
        </w:rPr>
        <w:t xml:space="preserve">Respuesta correcta: A</w:t>
      </w:r>
    </w:p>
    <w:p>
      <w:pPr>
        <w:spacing w:after="60"/>
      </w:pPr>
      <w:r>
        <w:rPr>
          <w:rFonts w:ascii="Poppins" w:cs="Poppins" w:eastAsia="Poppins" w:hAnsi="Poppins"/>
          <w:b/>
          <w:bCs/>
          <w:color w:val="001C31"/>
          <w:sz w:val="21"/>
          <w:szCs w:val="21"/>
          <w:u w:val="single"/>
        </w:rPr>
        <w:t xml:space="preserve">Justificación de la respuesta correcta</w:t>
      </w:r>
    </w:p>
    <w:p>
      <w:pPr>
        <w:spacing w:after="150"/>
      </w:pPr>
      <w:r>
        <w:rPr>
          <w:rFonts w:ascii="Poppins" w:cs="Poppins" w:eastAsia="Poppins" w:hAnsi="Poppins"/>
          <w:sz w:val="21"/>
          <w:szCs w:val="21"/>
        </w:rPr>
        <w:t xml:space="preserve">La guía establece (B) que la cefalexina es la cefalosporina que se usa con mayor frecuencia en el embarazo, señalando que las cefalosporinas son bien toleradas y seguras durante la gestación.</w:t>
      </w:r>
    </w:p>
    <w:p>
      <w:pPr>
        <w:spacing w:after="60"/>
      </w:pPr>
      <w:r>
        <w:rPr>
          <w:rFonts w:ascii="Poppins" w:cs="Poppins" w:eastAsia="Poppins" w:hAnsi="Poppins"/>
          <w:b/>
          <w:bCs/>
          <w:color w:val="001C31"/>
          <w:sz w:val="21"/>
          <w:szCs w:val="21"/>
          <w:u w:val="single"/>
        </w:rPr>
        <w:t xml:space="preserve">Justificación de las opciones incorrectas</w:t>
      </w:r>
    </w:p>
    <w:p>
      <w:pPr>
        <w:spacing w:after="60"/>
      </w:pPr>
      <w:r>
        <w:rPr>
          <w:rFonts w:ascii="Poppins" w:cs="Poppins" w:eastAsia="Poppins" w:hAnsi="Poppins"/>
          <w:b/>
          <w:bCs/>
          <w:sz w:val="21"/>
          <w:szCs w:val="21"/>
        </w:rPr>
        <w:t xml:space="preserve">Opción B: </w:t>
      </w:r>
      <w:r>
        <w:rPr>
          <w:rFonts w:ascii="Poppins" w:cs="Poppins" w:eastAsia="Poppins" w:hAnsi="Poppins"/>
          <w:sz w:val="21"/>
          <w:szCs w:val="21"/>
        </w:rPr>
        <w:t xml:space="preserve">La ceftriaxona no se menciona en la guía como la cefalosporina de uso más frecuente en el embarazo para el tratamiento de BA o cistitis en el primer nivel de atención.</w:t>
      </w:r>
    </w:p>
    <w:p>
      <w:pPr>
        <w:spacing w:after="60"/>
      </w:pPr>
      <w:r>
        <w:rPr>
          <w:rFonts w:ascii="Poppins" w:cs="Poppins" w:eastAsia="Poppins" w:hAnsi="Poppins"/>
          <w:b/>
          <w:bCs/>
          <w:sz w:val="21"/>
          <w:szCs w:val="21"/>
        </w:rPr>
        <w:t xml:space="preserve">Opción C: </w:t>
      </w:r>
      <w:r>
        <w:rPr>
          <w:rFonts w:ascii="Poppins" w:cs="Poppins" w:eastAsia="Poppins" w:hAnsi="Poppins"/>
          <w:sz w:val="21"/>
          <w:szCs w:val="21"/>
        </w:rPr>
        <w:t xml:space="preserve">El cefepime no se menciona en la guía como parte del esquema terapéutico para IVU en el embarazo.</w:t>
      </w:r>
    </w:p>
    <w:p>
      <w:pPr>
        <w:spacing w:after="60"/>
      </w:pPr>
      <w:r>
        <w:rPr>
          <w:rFonts w:ascii="Poppins" w:cs="Poppins" w:eastAsia="Poppins" w:hAnsi="Poppins"/>
          <w:b/>
          <w:bCs/>
          <w:sz w:val="21"/>
          <w:szCs w:val="21"/>
        </w:rPr>
        <w:t xml:space="preserve">Opción D: </w:t>
      </w:r>
      <w:r>
        <w:rPr>
          <w:rFonts w:ascii="Poppins" w:cs="Poppins" w:eastAsia="Poppins" w:hAnsi="Poppins"/>
          <w:sz w:val="21"/>
          <w:szCs w:val="21"/>
        </w:rPr>
        <w:t xml:space="preserve">La cefotaxima no se menciona en la guía dentro del esquema terapéutico ambulatorio para BA y cistitis en el embarazo.</w:t>
      </w:r>
    </w:p>
    <w:p>
      <w:pPr>
        <w:pBdr>
          <w:bottom w:val="single" w:color="B08D3F" w:sz="6" w:space="4"/>
        </w:pBdr>
        <w:spacing w:after="200" w:before="100"/>
      </w:pPr>
      <w:r>
        <w:rPr>
          <w:rFonts w:ascii="Poppins" w:cs="Poppins" w:eastAsia="Poppins" w:hAnsi="Poppins"/>
          <w:b/>
          <w:bCs/>
          <w:i/>
          <w:iCs/>
          <w:color w:val="B08D3F"/>
          <w:sz w:val="20"/>
          <w:szCs w:val="20"/>
        </w:rPr>
        <w:t xml:space="preserve">Referencia: </w:t>
      </w:r>
      <w:r>
        <w:rPr>
          <w:rFonts w:ascii="Poppins" w:cs="Poppins" w:eastAsia="Poppins" w:hAnsi="Poppins"/>
          <w:i/>
          <w:iCs/>
          <w:color w:val="555555"/>
          <w:sz w:val="20"/>
          <w:szCs w:val="20"/>
        </w:rPr>
        <w:t xml:space="preserve">Recomendaciones para el tratamiento de IVU en el embarazo. Página 19.</w:t>
      </w:r>
    </w:p>
    <w:p>
      <w:pPr>
        <w:shd w:fill="001C31" w:val="clear"/>
        <w:spacing w:after="100" w:before="300"/>
      </w:pPr>
      <w:r>
        <w:rPr>
          <w:rFonts w:ascii="Poppins" w:cs="Poppins" w:eastAsia="Poppins" w:hAnsi="Poppins"/>
          <w:b/>
          <w:bCs/>
          <w:color w:val="FFFFFF"/>
          <w:sz w:val="24"/>
          <w:szCs w:val="24"/>
        </w:rPr>
        <w:t xml:space="preserve">PREGUNTA 68</w:t>
      </w:r>
    </w:p>
    <w:p>
      <w:pPr>
        <w:spacing w:after="120"/>
      </w:pPr>
      <w:r>
        <w:rPr>
          <w:rFonts w:ascii="Poppins" w:cs="Poppins" w:eastAsia="Poppins" w:hAnsi="Poppins"/>
          <w:b/>
          <w:bCs/>
          <w:color w:val="001C31"/>
          <w:sz w:val="21"/>
          <w:szCs w:val="21"/>
        </w:rPr>
        <w:t xml:space="preserve">Pregunta: </w:t>
      </w:r>
      <w:r>
        <w:rPr>
          <w:rFonts w:ascii="Poppins" w:cs="Poppins" w:eastAsia="Poppins" w:hAnsi="Poppins"/>
          <w:sz w:val="21"/>
          <w:szCs w:val="21"/>
        </w:rPr>
        <w:t xml:space="preserve">Según la GPC, ¿por qué motivo la ampicilina en presentación oral ya no consta dentro del Cuadro Nacional de Medicamentos Básicos (CNMB) del Ecuador?</w:t>
      </w:r>
    </w:p>
    <w:p>
      <w:pPr>
        <w:spacing w:after="60"/>
      </w:pPr>
      <w:r>
        <w:rPr>
          <w:rFonts w:ascii="Poppins" w:cs="Poppins" w:eastAsia="Poppins" w:hAnsi="Poppins"/>
          <w:b/>
          <w:bCs/>
          <w:color w:val="B08D3F"/>
          <w:sz w:val="21"/>
          <w:szCs w:val="21"/>
        </w:rPr>
        <w:t xml:space="preserve">A. </w:t>
      </w:r>
      <w:r>
        <w:rPr>
          <w:rFonts w:ascii="Poppins" w:cs="Poppins" w:eastAsia="Poppins" w:hAnsi="Poppins"/>
          <w:b/>
          <w:bCs/>
          <w:color w:val="B08D3F"/>
          <w:sz w:val="21"/>
          <w:szCs w:val="21"/>
        </w:rPr>
        <w:t xml:space="preserve">Debido a que la ampicilina y amoxicilina, con o sin inhibidores de betalactamasas, y las sulfas tienen tasas de resistencia local que superan las recomendaciones internacionales</w:t>
      </w:r>
    </w:p>
    <w:p>
      <w:pPr>
        <w:spacing w:after="60"/>
      </w:pPr>
      <w:r>
        <w:rPr>
          <w:rFonts w:ascii="Poppins" w:cs="Poppins" w:eastAsia="Poppins" w:hAnsi="Poppins"/>
          <w:b/>
          <w:bCs/>
          <w:color w:val="000000"/>
          <w:sz w:val="21"/>
          <w:szCs w:val="21"/>
        </w:rPr>
        <w:t xml:space="preserve">B. </w:t>
      </w:r>
      <w:r>
        <w:rPr>
          <w:rFonts w:ascii="Poppins" w:cs="Poppins" w:eastAsia="Poppins" w:hAnsi="Poppins"/>
          <w:b w:val="false"/>
          <w:bCs w:val="false"/>
          <w:color w:val="000000"/>
          <w:sz w:val="21"/>
          <w:szCs w:val="21"/>
        </w:rPr>
        <w:t xml:space="preserve">Debido a su alto costo en comparación con la nitrofurantoína</w:t>
      </w:r>
    </w:p>
    <w:p>
      <w:pPr>
        <w:spacing w:after="60"/>
      </w:pPr>
      <w:r>
        <w:rPr>
          <w:rFonts w:ascii="Poppins" w:cs="Poppins" w:eastAsia="Poppins" w:hAnsi="Poppins"/>
          <w:b/>
          <w:bCs/>
          <w:color w:val="000000"/>
          <w:sz w:val="21"/>
          <w:szCs w:val="21"/>
        </w:rPr>
        <w:t xml:space="preserve">C. </w:t>
      </w:r>
      <w:r>
        <w:rPr>
          <w:rFonts w:ascii="Poppins" w:cs="Poppins" w:eastAsia="Poppins" w:hAnsi="Poppins"/>
          <w:b w:val="false"/>
          <w:bCs w:val="false"/>
          <w:color w:val="000000"/>
          <w:sz w:val="21"/>
          <w:szCs w:val="21"/>
        </w:rPr>
        <w:t xml:space="preserve">Debido a reacciones alérgicas graves reportadas exclusivamente en población pediátrica</w:t>
      </w:r>
    </w:p>
    <w:p>
      <w:pPr>
        <w:spacing w:after="60"/>
      </w:pPr>
      <w:r>
        <w:rPr>
          <w:rFonts w:ascii="Poppins" w:cs="Poppins" w:eastAsia="Poppins" w:hAnsi="Poppins"/>
          <w:b/>
          <w:bCs/>
          <w:color w:val="000000"/>
          <w:sz w:val="21"/>
          <w:szCs w:val="21"/>
        </w:rPr>
        <w:t xml:space="preserve">D. </w:t>
      </w:r>
      <w:r>
        <w:rPr>
          <w:rFonts w:ascii="Poppins" w:cs="Poppins" w:eastAsia="Poppins" w:hAnsi="Poppins"/>
          <w:b w:val="false"/>
          <w:bCs w:val="false"/>
          <w:color w:val="000000"/>
          <w:sz w:val="21"/>
          <w:szCs w:val="21"/>
        </w:rPr>
        <w:t xml:space="preserve">Debido a que su fabricación fue descontinuada a nivel mundial</w:t>
      </w:r>
    </w:p>
    <w:p>
      <w:pPr>
        <w:spacing w:after="100" w:before="120"/>
      </w:pPr>
      <w:r>
        <w:rPr>
          <w:rFonts w:ascii="Poppins" w:cs="Poppins" w:eastAsia="Poppins" w:hAnsi="Poppins"/>
          <w:b/>
          <w:bCs/>
          <w:color w:val="001C31"/>
          <w:sz w:val="21"/>
          <w:szCs w:val="21"/>
        </w:rPr>
        <w:t xml:space="preserve">Respuesta correcta: A</w:t>
      </w:r>
    </w:p>
    <w:p>
      <w:pPr>
        <w:spacing w:after="60"/>
      </w:pPr>
      <w:r>
        <w:rPr>
          <w:rFonts w:ascii="Poppins" w:cs="Poppins" w:eastAsia="Poppins" w:hAnsi="Poppins"/>
          <w:b/>
          <w:bCs/>
          <w:color w:val="001C31"/>
          <w:sz w:val="21"/>
          <w:szCs w:val="21"/>
          <w:u w:val="single"/>
        </w:rPr>
        <w:t xml:space="preserve">Justificación de la respuesta correcta</w:t>
      </w:r>
    </w:p>
    <w:p>
      <w:pPr>
        <w:spacing w:after="150"/>
      </w:pPr>
      <w:r>
        <w:rPr>
          <w:rFonts w:ascii="Poppins" w:cs="Poppins" w:eastAsia="Poppins" w:hAnsi="Poppins"/>
          <w:sz w:val="21"/>
          <w:szCs w:val="21"/>
        </w:rPr>
        <w:t xml:space="preserve">La guía establece que la ampicilina y amoxicilina, con o sin inhibidores de betalactamasas, y las sulfas tienen tasas de resistencia local que superan las recomendaciones internacionales, y que por este motivo la ampicilina en presentación oral ya no consta dentro del Cuadro Nacional de Medicamentos Básicos (CNMB, octava revisión, 2010).</w:t>
      </w:r>
    </w:p>
    <w:p>
      <w:pPr>
        <w:spacing w:after="60"/>
      </w:pPr>
      <w:r>
        <w:rPr>
          <w:rFonts w:ascii="Poppins" w:cs="Poppins" w:eastAsia="Poppins" w:hAnsi="Poppins"/>
          <w:b/>
          <w:bCs/>
          <w:color w:val="001C31"/>
          <w:sz w:val="21"/>
          <w:szCs w:val="21"/>
          <w:u w:val="single"/>
        </w:rPr>
        <w:t xml:space="preserve">Justificación de las opciones incorrectas</w:t>
      </w:r>
    </w:p>
    <w:p>
      <w:pPr>
        <w:spacing w:after="60"/>
      </w:pPr>
      <w:r>
        <w:rPr>
          <w:rFonts w:ascii="Poppins" w:cs="Poppins" w:eastAsia="Poppins" w:hAnsi="Poppins"/>
          <w:b/>
          <w:bCs/>
          <w:sz w:val="21"/>
          <w:szCs w:val="21"/>
        </w:rPr>
        <w:t xml:space="preserve">Opción B: </w:t>
      </w:r>
      <w:r>
        <w:rPr>
          <w:rFonts w:ascii="Poppins" w:cs="Poppins" w:eastAsia="Poppins" w:hAnsi="Poppins"/>
          <w:sz w:val="21"/>
          <w:szCs w:val="21"/>
        </w:rPr>
        <w:t xml:space="preserve">El costo no se menciona en la guía como el motivo de la exclusión de la ampicilina del CNMB; el motivo señalado es la alta tasa de resistencia local.</w:t>
      </w:r>
    </w:p>
    <w:p>
      <w:pPr>
        <w:spacing w:after="60"/>
      </w:pPr>
      <w:r>
        <w:rPr>
          <w:rFonts w:ascii="Poppins" w:cs="Poppins" w:eastAsia="Poppins" w:hAnsi="Poppins"/>
          <w:b/>
          <w:bCs/>
          <w:sz w:val="21"/>
          <w:szCs w:val="21"/>
        </w:rPr>
        <w:t xml:space="preserve">Opción C: </w:t>
      </w:r>
      <w:r>
        <w:rPr>
          <w:rFonts w:ascii="Poppins" w:cs="Poppins" w:eastAsia="Poppins" w:hAnsi="Poppins"/>
          <w:sz w:val="21"/>
          <w:szCs w:val="21"/>
        </w:rPr>
        <w:t xml:space="preserve">Las reacciones alérgicas en población pediátrica no se mencionan en la guía como el motivo de esta exclusión; el fundamento es la resistencia bacteriana local.</w:t>
      </w:r>
    </w:p>
    <w:p>
      <w:pPr>
        <w:spacing w:after="60"/>
      </w:pPr>
      <w:r>
        <w:rPr>
          <w:rFonts w:ascii="Poppins" w:cs="Poppins" w:eastAsia="Poppins" w:hAnsi="Poppins"/>
          <w:b/>
          <w:bCs/>
          <w:sz w:val="21"/>
          <w:szCs w:val="21"/>
        </w:rPr>
        <w:t xml:space="preserve">Opción D: </w:t>
      </w:r>
      <w:r>
        <w:rPr>
          <w:rFonts w:ascii="Poppins" w:cs="Poppins" w:eastAsia="Poppins" w:hAnsi="Poppins"/>
          <w:sz w:val="21"/>
          <w:szCs w:val="21"/>
        </w:rPr>
        <w:t xml:space="preserve">La guía no menciona la descontinuación mundial de la fabricación de ampicilina como motivo; el fundamento explícito es la alta tasa de resistencia local que supera las recomendaciones internacionales.</w:t>
      </w:r>
    </w:p>
    <w:p>
      <w:pPr>
        <w:pBdr>
          <w:bottom w:val="single" w:color="B08D3F" w:sz="6" w:space="4"/>
        </w:pBdr>
        <w:spacing w:after="200" w:before="100"/>
      </w:pPr>
      <w:r>
        <w:rPr>
          <w:rFonts w:ascii="Poppins" w:cs="Poppins" w:eastAsia="Poppins" w:hAnsi="Poppins"/>
          <w:b/>
          <w:bCs/>
          <w:i/>
          <w:iCs/>
          <w:color w:val="B08D3F"/>
          <w:sz w:val="20"/>
          <w:szCs w:val="20"/>
        </w:rPr>
        <w:t xml:space="preserve">Referencia: </w:t>
      </w:r>
      <w:r>
        <w:rPr>
          <w:rFonts w:ascii="Poppins" w:cs="Poppins" w:eastAsia="Poppins" w:hAnsi="Poppins"/>
          <w:i/>
          <w:iCs/>
          <w:color w:val="555555"/>
          <w:sz w:val="20"/>
          <w:szCs w:val="20"/>
        </w:rPr>
        <w:t xml:space="preserve">Recomendaciones para el tratamiento de IVU en el embarazo. Página 19.</w:t>
      </w:r>
    </w:p>
    <w:p>
      <w:pPr>
        <w:shd w:fill="001C31" w:val="clear"/>
        <w:spacing w:after="100" w:before="300"/>
      </w:pPr>
      <w:r>
        <w:rPr>
          <w:rFonts w:ascii="Poppins" w:cs="Poppins" w:eastAsia="Poppins" w:hAnsi="Poppins"/>
          <w:b/>
          <w:bCs/>
          <w:color w:val="FFFFFF"/>
          <w:sz w:val="24"/>
          <w:szCs w:val="24"/>
        </w:rPr>
        <w:t xml:space="preserve">PREGUNTA 69</w:t>
      </w:r>
    </w:p>
    <w:p>
      <w:pPr>
        <w:shd w:fill="F3ECDD" w:val="clear"/>
        <w:spacing w:after="60"/>
      </w:pPr>
      <w:r>
        <w:rPr>
          <w:rFonts w:ascii="Poppins" w:cs="Poppins" w:eastAsia="Poppins" w:hAnsi="Poppins"/>
          <w:b/>
          <w:bCs/>
          <w:i/>
          <w:iCs/>
          <w:color w:val="001C31"/>
          <w:sz w:val="21"/>
          <w:szCs w:val="21"/>
        </w:rPr>
        <w:t xml:space="preserve">Caso clínico: </w:t>
      </w:r>
      <w:r>
        <w:rPr>
          <w:rFonts w:ascii="Poppins" w:cs="Poppins" w:eastAsia="Poppins" w:hAnsi="Poppins"/>
          <w:i/>
          <w:iCs/>
          <w:sz w:val="21"/>
          <w:szCs w:val="21"/>
        </w:rPr>
        <w:t xml:space="preserve">Una paciente embarazada en el primer trimestre está siendo evaluada para tratamiento antibiótico de una BA confirmada.</w:t>
      </w:r>
    </w:p>
    <w:p>
      <w:pPr>
        <w:spacing w:after="120"/>
      </w:pPr>
      <w:r>
        <w:rPr>
          <w:rFonts w:ascii="Poppins" w:cs="Poppins" w:eastAsia="Poppins" w:hAnsi="Poppins"/>
          <w:b/>
          <w:bCs/>
          <w:color w:val="001C31"/>
          <w:sz w:val="21"/>
          <w:szCs w:val="21"/>
        </w:rPr>
        <w:t xml:space="preserve">Pregunta: </w:t>
      </w:r>
      <w:r>
        <w:rPr>
          <w:rFonts w:ascii="Poppins" w:cs="Poppins" w:eastAsia="Poppins" w:hAnsi="Poppins"/>
          <w:sz w:val="21"/>
          <w:szCs w:val="21"/>
        </w:rPr>
        <w:t xml:space="preserve">Según la GPC, ¿por qué está contraindicado el trimetoprim con sulfametoxasol en el primer trimestre del embarazo?</w:t>
      </w:r>
    </w:p>
    <w:p>
      <w:pPr>
        <w:spacing w:after="60"/>
      </w:pPr>
      <w:r>
        <w:rPr>
          <w:rFonts w:ascii="Poppins" w:cs="Poppins" w:eastAsia="Poppins" w:hAnsi="Poppins"/>
          <w:b/>
          <w:bCs/>
          <w:color w:val="B08D3F"/>
          <w:sz w:val="21"/>
          <w:szCs w:val="21"/>
        </w:rPr>
        <w:t xml:space="preserve">A. </w:t>
      </w:r>
      <w:r>
        <w:rPr>
          <w:rFonts w:ascii="Poppins" w:cs="Poppins" w:eastAsia="Poppins" w:hAnsi="Poppins"/>
          <w:b/>
          <w:bCs/>
          <w:color w:val="B08D3F"/>
          <w:sz w:val="21"/>
          <w:szCs w:val="21"/>
        </w:rPr>
        <w:t xml:space="preserve">Por su inhibición del metabolismo de folatos y asociación a defectos del tubo neural</w:t>
      </w:r>
    </w:p>
    <w:p>
      <w:pPr>
        <w:spacing w:after="60"/>
      </w:pPr>
      <w:r>
        <w:rPr>
          <w:rFonts w:ascii="Poppins" w:cs="Poppins" w:eastAsia="Poppins" w:hAnsi="Poppins"/>
          <w:b/>
          <w:bCs/>
          <w:color w:val="000000"/>
          <w:sz w:val="21"/>
          <w:szCs w:val="21"/>
        </w:rPr>
        <w:t xml:space="preserve">B. </w:t>
      </w:r>
      <w:r>
        <w:rPr>
          <w:rFonts w:ascii="Poppins" w:cs="Poppins" w:eastAsia="Poppins" w:hAnsi="Poppins"/>
          <w:b w:val="false"/>
          <w:bCs w:val="false"/>
          <w:color w:val="000000"/>
          <w:sz w:val="21"/>
          <w:szCs w:val="21"/>
        </w:rPr>
        <w:t xml:space="preserve">Por causar exclusivamente reacciones alérgicas leves sin otra repercusión</w:t>
      </w:r>
    </w:p>
    <w:p>
      <w:pPr>
        <w:spacing w:after="60"/>
      </w:pPr>
      <w:r>
        <w:rPr>
          <w:rFonts w:ascii="Poppins" w:cs="Poppins" w:eastAsia="Poppins" w:hAnsi="Poppins"/>
          <w:b/>
          <w:bCs/>
          <w:color w:val="000000"/>
          <w:sz w:val="21"/>
          <w:szCs w:val="21"/>
        </w:rPr>
        <w:t xml:space="preserve">C. </w:t>
      </w:r>
      <w:r>
        <w:rPr>
          <w:rFonts w:ascii="Poppins" w:cs="Poppins" w:eastAsia="Poppins" w:hAnsi="Poppins"/>
          <w:b w:val="false"/>
          <w:bCs w:val="false"/>
          <w:color w:val="000000"/>
          <w:sz w:val="21"/>
          <w:szCs w:val="21"/>
        </w:rPr>
        <w:t xml:space="preserve">Por su ineficacia total frente a Escherichia coli</w:t>
      </w:r>
    </w:p>
    <w:p>
      <w:pPr>
        <w:spacing w:after="60"/>
      </w:pPr>
      <w:r>
        <w:rPr>
          <w:rFonts w:ascii="Poppins" w:cs="Poppins" w:eastAsia="Poppins" w:hAnsi="Poppins"/>
          <w:b/>
          <w:bCs/>
          <w:color w:val="000000"/>
          <w:sz w:val="21"/>
          <w:szCs w:val="21"/>
        </w:rPr>
        <w:t xml:space="preserve">D. </w:t>
      </w:r>
      <w:r>
        <w:rPr>
          <w:rFonts w:ascii="Poppins" w:cs="Poppins" w:eastAsia="Poppins" w:hAnsi="Poppins"/>
          <w:b w:val="false"/>
          <w:bCs w:val="false"/>
          <w:color w:val="000000"/>
          <w:sz w:val="21"/>
          <w:szCs w:val="21"/>
        </w:rPr>
        <w:t xml:space="preserve">Por no tener ninguna forma de presentación oral disponible</w:t>
      </w:r>
    </w:p>
    <w:p>
      <w:pPr>
        <w:spacing w:after="100" w:before="120"/>
      </w:pPr>
      <w:r>
        <w:rPr>
          <w:rFonts w:ascii="Poppins" w:cs="Poppins" w:eastAsia="Poppins" w:hAnsi="Poppins"/>
          <w:b/>
          <w:bCs/>
          <w:color w:val="001C31"/>
          <w:sz w:val="21"/>
          <w:szCs w:val="21"/>
        </w:rPr>
        <w:t xml:space="preserve">Respuesta correcta: A</w:t>
      </w:r>
    </w:p>
    <w:p>
      <w:pPr>
        <w:spacing w:after="60"/>
      </w:pPr>
      <w:r>
        <w:rPr>
          <w:rFonts w:ascii="Poppins" w:cs="Poppins" w:eastAsia="Poppins" w:hAnsi="Poppins"/>
          <w:b/>
          <w:bCs/>
          <w:color w:val="001C31"/>
          <w:sz w:val="21"/>
          <w:szCs w:val="21"/>
          <w:u w:val="single"/>
        </w:rPr>
        <w:t xml:space="preserve">Justificación de la respuesta correcta</w:t>
      </w:r>
    </w:p>
    <w:p>
      <w:pPr>
        <w:spacing w:after="150"/>
      </w:pPr>
      <w:r>
        <w:rPr>
          <w:rFonts w:ascii="Poppins" w:cs="Poppins" w:eastAsia="Poppins" w:hAnsi="Poppins"/>
          <w:sz w:val="21"/>
          <w:szCs w:val="21"/>
        </w:rPr>
        <w:t xml:space="preserve">La guía establece (B/2b-3) que el uso de trimetoprim con sulfametoxasol está contraindicado en el primer trimestre por su inhibición del metabolismo de folatos y su asociación a defectos del tubo neural, y que en el tercer trimestre se ha asociado con ictericia en el recién nacido, por lo que se sugiere no utilizarlo en embarazadas por su potencial teratogenicidad.</w:t>
      </w:r>
    </w:p>
    <w:p>
      <w:pPr>
        <w:spacing w:after="60"/>
      </w:pPr>
      <w:r>
        <w:rPr>
          <w:rFonts w:ascii="Poppins" w:cs="Poppins" w:eastAsia="Poppins" w:hAnsi="Poppins"/>
          <w:b/>
          <w:bCs/>
          <w:color w:val="001C31"/>
          <w:sz w:val="21"/>
          <w:szCs w:val="21"/>
          <w:u w:val="single"/>
        </w:rPr>
        <w:t xml:space="preserve">Justificación de las opciones incorrectas</w:t>
      </w:r>
    </w:p>
    <w:p>
      <w:pPr>
        <w:spacing w:after="60"/>
      </w:pPr>
      <w:r>
        <w:rPr>
          <w:rFonts w:ascii="Poppins" w:cs="Poppins" w:eastAsia="Poppins" w:hAnsi="Poppins"/>
          <w:b/>
          <w:bCs/>
          <w:sz w:val="21"/>
          <w:szCs w:val="21"/>
        </w:rPr>
        <w:t xml:space="preserve">Opción B: </w:t>
      </w:r>
      <w:r>
        <w:rPr>
          <w:rFonts w:ascii="Poppins" w:cs="Poppins" w:eastAsia="Poppins" w:hAnsi="Poppins"/>
          <w:sz w:val="21"/>
          <w:szCs w:val="21"/>
        </w:rPr>
        <w:t xml:space="preserve">La contraindicación no se fundamenta en reacciones alérgicas leves; el motivo específico señalado por la guía es la teratogenicidad relacionada con el metabolismo de folatos.</w:t>
      </w:r>
    </w:p>
    <w:p>
      <w:pPr>
        <w:spacing w:after="60"/>
      </w:pPr>
      <w:r>
        <w:rPr>
          <w:rFonts w:ascii="Poppins" w:cs="Poppins" w:eastAsia="Poppins" w:hAnsi="Poppins"/>
          <w:b/>
          <w:bCs/>
          <w:sz w:val="21"/>
          <w:szCs w:val="21"/>
        </w:rPr>
        <w:t xml:space="preserve">Opción C: </w:t>
      </w:r>
      <w:r>
        <w:rPr>
          <w:rFonts w:ascii="Poppins" w:cs="Poppins" w:eastAsia="Poppins" w:hAnsi="Poppins"/>
          <w:sz w:val="21"/>
          <w:szCs w:val="21"/>
        </w:rPr>
        <w:t xml:space="preserve">La guía no indica que el trimetoprim/sulfametoxasol sea ineficaz frente a E. coli; el problema señalado es de seguridad materno-fetal, no de eficacia antimicrobiana.</w:t>
      </w:r>
    </w:p>
    <w:p>
      <w:pPr>
        <w:spacing w:after="60"/>
      </w:pPr>
      <w:r>
        <w:rPr>
          <w:rFonts w:ascii="Poppins" w:cs="Poppins" w:eastAsia="Poppins" w:hAnsi="Poppins"/>
          <w:b/>
          <w:bCs/>
          <w:sz w:val="21"/>
          <w:szCs w:val="21"/>
        </w:rPr>
        <w:t xml:space="preserve">Opción D: </w:t>
      </w:r>
      <w:r>
        <w:rPr>
          <w:rFonts w:ascii="Poppins" w:cs="Poppins" w:eastAsia="Poppins" w:hAnsi="Poppins"/>
          <w:sz w:val="21"/>
          <w:szCs w:val="21"/>
        </w:rPr>
        <w:t xml:space="preserve">La disponibilidad de presentación oral no es el motivo de la contraindicación señalado por la guía; el motivo es el riesgo teratogénico en el primer trimestre y de ictericia neonatal en el tercero.</w:t>
      </w:r>
    </w:p>
    <w:p>
      <w:pPr>
        <w:pBdr>
          <w:bottom w:val="single" w:color="B08D3F" w:sz="6" w:space="4"/>
        </w:pBdr>
        <w:spacing w:after="200" w:before="100"/>
      </w:pPr>
      <w:r>
        <w:rPr>
          <w:rFonts w:ascii="Poppins" w:cs="Poppins" w:eastAsia="Poppins" w:hAnsi="Poppins"/>
          <w:b/>
          <w:bCs/>
          <w:i/>
          <w:iCs/>
          <w:color w:val="B08D3F"/>
          <w:sz w:val="20"/>
          <w:szCs w:val="20"/>
        </w:rPr>
        <w:t xml:space="preserve">Referencia: </w:t>
      </w:r>
      <w:r>
        <w:rPr>
          <w:rFonts w:ascii="Poppins" w:cs="Poppins" w:eastAsia="Poppins" w:hAnsi="Poppins"/>
          <w:i/>
          <w:iCs/>
          <w:color w:val="555555"/>
          <w:sz w:val="20"/>
          <w:szCs w:val="20"/>
        </w:rPr>
        <w:t xml:space="preserve">Recomendaciones para el tratamiento de IVU en el embarazo. Página 19.</w:t>
      </w:r>
    </w:p>
    <w:p>
      <w:pPr>
        <w:shd w:fill="001C31" w:val="clear"/>
        <w:spacing w:after="100" w:before="300"/>
      </w:pPr>
      <w:r>
        <w:rPr>
          <w:rFonts w:ascii="Poppins" w:cs="Poppins" w:eastAsia="Poppins" w:hAnsi="Poppins"/>
          <w:b/>
          <w:bCs/>
          <w:color w:val="FFFFFF"/>
          <w:sz w:val="24"/>
          <w:szCs w:val="24"/>
        </w:rPr>
        <w:t xml:space="preserve">PREGUNTA 70</w:t>
      </w:r>
    </w:p>
    <w:p>
      <w:pPr>
        <w:spacing w:after="120"/>
      </w:pPr>
      <w:r>
        <w:rPr>
          <w:rFonts w:ascii="Poppins" w:cs="Poppins" w:eastAsia="Poppins" w:hAnsi="Poppins"/>
          <w:b/>
          <w:bCs/>
          <w:color w:val="001C31"/>
          <w:sz w:val="21"/>
          <w:szCs w:val="21"/>
        </w:rPr>
        <w:t xml:space="preserve">Pregunta: </w:t>
      </w:r>
      <w:r>
        <w:rPr>
          <w:rFonts w:ascii="Poppins" w:cs="Poppins" w:eastAsia="Poppins" w:hAnsi="Poppins"/>
          <w:sz w:val="21"/>
          <w:szCs w:val="21"/>
        </w:rPr>
        <w:t xml:space="preserve">Según la GPC, ¿con qué se ha asociado el uso de trimetoprim con sulfametoxasol en el tercer trimestre del embarazo?</w:t>
      </w:r>
    </w:p>
    <w:p>
      <w:pPr>
        <w:spacing w:after="60"/>
      </w:pPr>
      <w:r>
        <w:rPr>
          <w:rFonts w:ascii="Poppins" w:cs="Poppins" w:eastAsia="Poppins" w:hAnsi="Poppins"/>
          <w:b/>
          <w:bCs/>
          <w:color w:val="B08D3F"/>
          <w:sz w:val="21"/>
          <w:szCs w:val="21"/>
        </w:rPr>
        <w:t xml:space="preserve">A. </w:t>
      </w:r>
      <w:r>
        <w:rPr>
          <w:rFonts w:ascii="Poppins" w:cs="Poppins" w:eastAsia="Poppins" w:hAnsi="Poppins"/>
          <w:b/>
          <w:bCs/>
          <w:color w:val="B08D3F"/>
          <w:sz w:val="21"/>
          <w:szCs w:val="21"/>
        </w:rPr>
        <w:t xml:space="preserve">Con ictericia en el recién nacido, al desplazar a la bilirrubina de su unión con la albúmina</w:t>
      </w:r>
    </w:p>
    <w:p>
      <w:pPr>
        <w:spacing w:after="60"/>
      </w:pPr>
      <w:r>
        <w:rPr>
          <w:rFonts w:ascii="Poppins" w:cs="Poppins" w:eastAsia="Poppins" w:hAnsi="Poppins"/>
          <w:b/>
          <w:bCs/>
          <w:color w:val="000000"/>
          <w:sz w:val="21"/>
          <w:szCs w:val="21"/>
        </w:rPr>
        <w:t xml:space="preserve">B. </w:t>
      </w:r>
      <w:r>
        <w:rPr>
          <w:rFonts w:ascii="Poppins" w:cs="Poppins" w:eastAsia="Poppins" w:hAnsi="Poppins"/>
          <w:b w:val="false"/>
          <w:bCs w:val="false"/>
          <w:color w:val="000000"/>
          <w:sz w:val="21"/>
          <w:szCs w:val="21"/>
        </w:rPr>
        <w:t xml:space="preserve">Con malformaciones cardíacas congénitas exclusivamente</w:t>
      </w:r>
    </w:p>
    <w:p>
      <w:pPr>
        <w:spacing w:after="60"/>
      </w:pPr>
      <w:r>
        <w:rPr>
          <w:rFonts w:ascii="Poppins" w:cs="Poppins" w:eastAsia="Poppins" w:hAnsi="Poppins"/>
          <w:b/>
          <w:bCs/>
          <w:color w:val="000000"/>
          <w:sz w:val="21"/>
          <w:szCs w:val="21"/>
        </w:rPr>
        <w:t xml:space="preserve">C. </w:t>
      </w:r>
      <w:r>
        <w:rPr>
          <w:rFonts w:ascii="Poppins" w:cs="Poppins" w:eastAsia="Poppins" w:hAnsi="Poppins"/>
          <w:b w:val="false"/>
          <w:bCs w:val="false"/>
          <w:color w:val="000000"/>
          <w:sz w:val="21"/>
          <w:szCs w:val="21"/>
        </w:rPr>
        <w:t xml:space="preserve">Con sordera congénita en el recién nacido</w:t>
      </w:r>
    </w:p>
    <w:p>
      <w:pPr>
        <w:spacing w:after="60"/>
      </w:pPr>
      <w:r>
        <w:rPr>
          <w:rFonts w:ascii="Poppins" w:cs="Poppins" w:eastAsia="Poppins" w:hAnsi="Poppins"/>
          <w:b/>
          <w:bCs/>
          <w:color w:val="000000"/>
          <w:sz w:val="21"/>
          <w:szCs w:val="21"/>
        </w:rPr>
        <w:t xml:space="preserve">D. </w:t>
      </w:r>
      <w:r>
        <w:rPr>
          <w:rFonts w:ascii="Poppins" w:cs="Poppins" w:eastAsia="Poppins" w:hAnsi="Poppins"/>
          <w:b w:val="false"/>
          <w:bCs w:val="false"/>
          <w:color w:val="000000"/>
          <w:sz w:val="21"/>
          <w:szCs w:val="21"/>
        </w:rPr>
        <w:t xml:space="preserve">No se ha reportado ninguna asociación en el tercer trimestre</w:t>
      </w:r>
    </w:p>
    <w:p>
      <w:pPr>
        <w:spacing w:after="100" w:before="120"/>
      </w:pPr>
      <w:r>
        <w:rPr>
          <w:rFonts w:ascii="Poppins" w:cs="Poppins" w:eastAsia="Poppins" w:hAnsi="Poppins"/>
          <w:b/>
          <w:bCs/>
          <w:color w:val="001C31"/>
          <w:sz w:val="21"/>
          <w:szCs w:val="21"/>
        </w:rPr>
        <w:t xml:space="preserve">Respuesta correcta: A</w:t>
      </w:r>
    </w:p>
    <w:p>
      <w:pPr>
        <w:spacing w:after="60"/>
      </w:pPr>
      <w:r>
        <w:rPr>
          <w:rFonts w:ascii="Poppins" w:cs="Poppins" w:eastAsia="Poppins" w:hAnsi="Poppins"/>
          <w:b/>
          <w:bCs/>
          <w:color w:val="001C31"/>
          <w:sz w:val="21"/>
          <w:szCs w:val="21"/>
          <w:u w:val="single"/>
        </w:rPr>
        <w:t xml:space="preserve">Justificación de la respuesta correcta</w:t>
      </w:r>
    </w:p>
    <w:p>
      <w:pPr>
        <w:spacing w:after="150"/>
      </w:pPr>
      <w:r>
        <w:rPr>
          <w:rFonts w:ascii="Poppins" w:cs="Poppins" w:eastAsia="Poppins" w:hAnsi="Poppins"/>
          <w:sz w:val="21"/>
          <w:szCs w:val="21"/>
        </w:rPr>
        <w:t xml:space="preserve">La guía establece que en el tercer trimestre del embarazo el uso de trimetoprim con sulfametoxasol se ha asociado con ictericia en el recién nacido, ya que desplaza a la bilirrubina de su unión con la albúmina.</w:t>
      </w:r>
    </w:p>
    <w:p>
      <w:pPr>
        <w:spacing w:after="60"/>
      </w:pPr>
      <w:r>
        <w:rPr>
          <w:rFonts w:ascii="Poppins" w:cs="Poppins" w:eastAsia="Poppins" w:hAnsi="Poppins"/>
          <w:b/>
          <w:bCs/>
          <w:color w:val="001C31"/>
          <w:sz w:val="21"/>
          <w:szCs w:val="21"/>
          <w:u w:val="single"/>
        </w:rPr>
        <w:t xml:space="preserve">Justificación de las opciones incorrectas</w:t>
      </w:r>
    </w:p>
    <w:p>
      <w:pPr>
        <w:spacing w:after="60"/>
      </w:pPr>
      <w:r>
        <w:rPr>
          <w:rFonts w:ascii="Poppins" w:cs="Poppins" w:eastAsia="Poppins" w:hAnsi="Poppins"/>
          <w:b/>
          <w:bCs/>
          <w:sz w:val="21"/>
          <w:szCs w:val="21"/>
        </w:rPr>
        <w:t xml:space="preserve">Opción B: </w:t>
      </w:r>
      <w:r>
        <w:rPr>
          <w:rFonts w:ascii="Poppins" w:cs="Poppins" w:eastAsia="Poppins" w:hAnsi="Poppins"/>
          <w:sz w:val="21"/>
          <w:szCs w:val="21"/>
        </w:rPr>
        <w:t xml:space="preserve">Las malformaciones cardíacas congénitas no se mencionan en la guía en relación con el uso de trimetoprim/sulfametoxasol en el tercer trimestre.</w:t>
      </w:r>
    </w:p>
    <w:p>
      <w:pPr>
        <w:spacing w:after="60"/>
      </w:pPr>
      <w:r>
        <w:rPr>
          <w:rFonts w:ascii="Poppins" w:cs="Poppins" w:eastAsia="Poppins" w:hAnsi="Poppins"/>
          <w:b/>
          <w:bCs/>
          <w:sz w:val="21"/>
          <w:szCs w:val="21"/>
        </w:rPr>
        <w:t xml:space="preserve">Opción C: </w:t>
      </w:r>
      <w:r>
        <w:rPr>
          <w:rFonts w:ascii="Poppins" w:cs="Poppins" w:eastAsia="Poppins" w:hAnsi="Poppins"/>
          <w:sz w:val="21"/>
          <w:szCs w:val="21"/>
        </w:rPr>
        <w:t xml:space="preserve">La sordera congénita no se menciona en la guía como efecto asociado al trimetoprim/sulfametoxasol; ese riesgo se asocia más bien a otros fármacos como los aminoglucósidos, no descritos en este apartado.</w:t>
      </w:r>
    </w:p>
    <w:p>
      <w:pPr>
        <w:spacing w:after="60"/>
      </w:pPr>
      <w:r>
        <w:rPr>
          <w:rFonts w:ascii="Poppins" w:cs="Poppins" w:eastAsia="Poppins" w:hAnsi="Poppins"/>
          <w:b/>
          <w:bCs/>
          <w:sz w:val="21"/>
          <w:szCs w:val="21"/>
        </w:rPr>
        <w:t xml:space="preserve">Opción D: </w:t>
      </w:r>
      <w:r>
        <w:rPr>
          <w:rFonts w:ascii="Poppins" w:cs="Poppins" w:eastAsia="Poppins" w:hAnsi="Poppins"/>
          <w:sz w:val="21"/>
          <w:szCs w:val="21"/>
        </w:rPr>
        <w:t xml:space="preserve">La guía sí documenta explícitamente una asociación con ictericia neonatal en el tercer trimestre, por el mecanismo de desplazamiento de la bilirrubina de la albúmina.</w:t>
      </w:r>
    </w:p>
    <w:p>
      <w:pPr>
        <w:pBdr>
          <w:bottom w:val="single" w:color="B08D3F" w:sz="6" w:space="4"/>
        </w:pBdr>
        <w:spacing w:after="200" w:before="100"/>
      </w:pPr>
      <w:r>
        <w:rPr>
          <w:rFonts w:ascii="Poppins" w:cs="Poppins" w:eastAsia="Poppins" w:hAnsi="Poppins"/>
          <w:b/>
          <w:bCs/>
          <w:i/>
          <w:iCs/>
          <w:color w:val="B08D3F"/>
          <w:sz w:val="20"/>
          <w:szCs w:val="20"/>
        </w:rPr>
        <w:t xml:space="preserve">Referencia: </w:t>
      </w:r>
      <w:r>
        <w:rPr>
          <w:rFonts w:ascii="Poppins" w:cs="Poppins" w:eastAsia="Poppins" w:hAnsi="Poppins"/>
          <w:i/>
          <w:iCs/>
          <w:color w:val="555555"/>
          <w:sz w:val="20"/>
          <w:szCs w:val="20"/>
        </w:rPr>
        <w:t xml:space="preserve">Recomendaciones para el tratamiento de IVU en el embarazo. Página 19.</w:t>
      </w:r>
    </w:p>
    <w:p>
      <w:pPr>
        <w:shd w:fill="001C31" w:val="clear"/>
        <w:spacing w:after="100" w:before="300"/>
      </w:pPr>
      <w:r>
        <w:rPr>
          <w:rFonts w:ascii="Poppins" w:cs="Poppins" w:eastAsia="Poppins" w:hAnsi="Poppins"/>
          <w:b/>
          <w:bCs/>
          <w:color w:val="FFFFFF"/>
          <w:sz w:val="24"/>
          <w:szCs w:val="24"/>
        </w:rPr>
        <w:t xml:space="preserve">PREGUNTA 71</w:t>
      </w:r>
    </w:p>
    <w:p>
      <w:pPr>
        <w:shd w:fill="F3ECDD" w:val="clear"/>
        <w:spacing w:after="60"/>
      </w:pPr>
      <w:r>
        <w:rPr>
          <w:rFonts w:ascii="Poppins" w:cs="Poppins" w:eastAsia="Poppins" w:hAnsi="Poppins"/>
          <w:b/>
          <w:bCs/>
          <w:i/>
          <w:iCs/>
          <w:color w:val="001C31"/>
          <w:sz w:val="21"/>
          <w:szCs w:val="21"/>
        </w:rPr>
        <w:t xml:space="preserve">Caso clínico: </w:t>
      </w:r>
      <w:r>
        <w:rPr>
          <w:rFonts w:ascii="Poppins" w:cs="Poppins" w:eastAsia="Poppins" w:hAnsi="Poppins"/>
          <w:i/>
          <w:iCs/>
          <w:sz w:val="21"/>
          <w:szCs w:val="21"/>
        </w:rPr>
        <w:t xml:space="preserve">Una paciente inicia tratamiento antibiótico para BA confirmada por urocultivo, sin persistencia posterior de la bacteriuria.</w:t>
      </w:r>
    </w:p>
    <w:p>
      <w:pPr>
        <w:spacing w:after="120"/>
      </w:pPr>
      <w:r>
        <w:rPr>
          <w:rFonts w:ascii="Poppins" w:cs="Poppins" w:eastAsia="Poppins" w:hAnsi="Poppins"/>
          <w:b/>
          <w:bCs/>
          <w:color w:val="001C31"/>
          <w:sz w:val="21"/>
          <w:szCs w:val="21"/>
        </w:rPr>
        <w:t xml:space="preserve">Pregunta: </w:t>
      </w:r>
      <w:r>
        <w:rPr>
          <w:rFonts w:ascii="Poppins" w:cs="Poppins" w:eastAsia="Poppins" w:hAnsi="Poppins"/>
          <w:sz w:val="21"/>
          <w:szCs w:val="21"/>
        </w:rPr>
        <w:t xml:space="preserve">Según la GPC, ¿cuál es la duración mínima recomendada del tratamiento?</w:t>
      </w:r>
    </w:p>
    <w:p>
      <w:pPr>
        <w:spacing w:after="60"/>
      </w:pPr>
      <w:r>
        <w:rPr>
          <w:rFonts w:ascii="Poppins" w:cs="Poppins" w:eastAsia="Poppins" w:hAnsi="Poppins"/>
          <w:b/>
          <w:bCs/>
          <w:color w:val="B08D3F"/>
          <w:sz w:val="21"/>
          <w:szCs w:val="21"/>
        </w:rPr>
        <w:t xml:space="preserve">A. </w:t>
      </w:r>
      <w:r>
        <w:rPr>
          <w:rFonts w:ascii="Poppins" w:cs="Poppins" w:eastAsia="Poppins" w:hAnsi="Poppins"/>
          <w:b/>
          <w:bCs/>
          <w:color w:val="B08D3F"/>
          <w:sz w:val="21"/>
          <w:szCs w:val="21"/>
        </w:rPr>
        <w:t xml:space="preserve">No menor a siete días</w:t>
      </w:r>
    </w:p>
    <w:p>
      <w:pPr>
        <w:spacing w:after="60"/>
      </w:pPr>
      <w:r>
        <w:rPr>
          <w:rFonts w:ascii="Poppins" w:cs="Poppins" w:eastAsia="Poppins" w:hAnsi="Poppins"/>
          <w:b/>
          <w:bCs/>
          <w:color w:val="000000"/>
          <w:sz w:val="21"/>
          <w:szCs w:val="21"/>
        </w:rPr>
        <w:t xml:space="preserve">B. </w:t>
      </w:r>
      <w:r>
        <w:rPr>
          <w:rFonts w:ascii="Poppins" w:cs="Poppins" w:eastAsia="Poppins" w:hAnsi="Poppins"/>
          <w:b w:val="false"/>
          <w:bCs w:val="false"/>
          <w:color w:val="000000"/>
          <w:sz w:val="21"/>
          <w:szCs w:val="21"/>
        </w:rPr>
        <w:t xml:space="preserve">24 horas en dosis única, sin excepción</w:t>
      </w:r>
    </w:p>
    <w:p>
      <w:pPr>
        <w:spacing w:after="60"/>
      </w:pPr>
      <w:r>
        <w:rPr>
          <w:rFonts w:ascii="Poppins" w:cs="Poppins" w:eastAsia="Poppins" w:hAnsi="Poppins"/>
          <w:b/>
          <w:bCs/>
          <w:color w:val="000000"/>
          <w:sz w:val="21"/>
          <w:szCs w:val="21"/>
        </w:rPr>
        <w:t xml:space="preserve">C. </w:t>
      </w:r>
      <w:r>
        <w:rPr>
          <w:rFonts w:ascii="Poppins" w:cs="Poppins" w:eastAsia="Poppins" w:hAnsi="Poppins"/>
          <w:b w:val="false"/>
          <w:bCs w:val="false"/>
          <w:color w:val="000000"/>
          <w:sz w:val="21"/>
          <w:szCs w:val="21"/>
        </w:rPr>
        <w:t xml:space="preserve">No menor a 21 días en todos los casos</w:t>
      </w:r>
    </w:p>
    <w:p>
      <w:pPr>
        <w:spacing w:after="60"/>
      </w:pPr>
      <w:r>
        <w:rPr>
          <w:rFonts w:ascii="Poppins" w:cs="Poppins" w:eastAsia="Poppins" w:hAnsi="Poppins"/>
          <w:b/>
          <w:bCs/>
          <w:color w:val="000000"/>
          <w:sz w:val="21"/>
          <w:szCs w:val="21"/>
        </w:rPr>
        <w:t xml:space="preserve">D. </w:t>
      </w:r>
      <w:r>
        <w:rPr>
          <w:rFonts w:ascii="Poppins" w:cs="Poppins" w:eastAsia="Poppins" w:hAnsi="Poppins"/>
          <w:b w:val="false"/>
          <w:bCs w:val="false"/>
          <w:color w:val="000000"/>
          <w:sz w:val="21"/>
          <w:szCs w:val="21"/>
        </w:rPr>
        <w:t xml:space="preserve">Tres días, igual que en mujeres no embarazadas con cistitis simple</w:t>
      </w:r>
    </w:p>
    <w:p>
      <w:pPr>
        <w:spacing w:after="100" w:before="120"/>
      </w:pPr>
      <w:r>
        <w:rPr>
          <w:rFonts w:ascii="Poppins" w:cs="Poppins" w:eastAsia="Poppins" w:hAnsi="Poppins"/>
          <w:b/>
          <w:bCs/>
          <w:color w:val="001C31"/>
          <w:sz w:val="21"/>
          <w:szCs w:val="21"/>
        </w:rPr>
        <w:t xml:space="preserve">Respuesta correcta: A</w:t>
      </w:r>
    </w:p>
    <w:p>
      <w:pPr>
        <w:spacing w:after="60"/>
      </w:pPr>
      <w:r>
        <w:rPr>
          <w:rFonts w:ascii="Poppins" w:cs="Poppins" w:eastAsia="Poppins" w:hAnsi="Poppins"/>
          <w:b/>
          <w:bCs/>
          <w:color w:val="001C31"/>
          <w:sz w:val="21"/>
          <w:szCs w:val="21"/>
          <w:u w:val="single"/>
        </w:rPr>
        <w:t xml:space="preserve">Justificación de la respuesta correcta</w:t>
      </w:r>
    </w:p>
    <w:p>
      <w:pPr>
        <w:spacing w:after="150"/>
      </w:pPr>
      <w:r>
        <w:rPr>
          <w:rFonts w:ascii="Poppins" w:cs="Poppins" w:eastAsia="Poppins" w:hAnsi="Poppins"/>
          <w:sz w:val="21"/>
          <w:szCs w:val="21"/>
        </w:rPr>
        <w:t xml:space="preserve">La guía establece (D 4) que el tratamiento debe tener una duración no menor a siete días, y que en caso de persistir la bacteriuria, el tratamiento debe durar de siete a 14 días, señalando que no hay suficiente evidencia que apoye menor recurrencia de BA con tratamientos cortos.</w:t>
      </w:r>
    </w:p>
    <w:p>
      <w:pPr>
        <w:spacing w:after="60"/>
      </w:pPr>
      <w:r>
        <w:rPr>
          <w:rFonts w:ascii="Poppins" w:cs="Poppins" w:eastAsia="Poppins" w:hAnsi="Poppins"/>
          <w:b/>
          <w:bCs/>
          <w:color w:val="001C31"/>
          <w:sz w:val="21"/>
          <w:szCs w:val="21"/>
          <w:u w:val="single"/>
        </w:rPr>
        <w:t xml:space="preserve">Justificación de las opciones incorrectas</w:t>
      </w:r>
    </w:p>
    <w:p>
      <w:pPr>
        <w:spacing w:after="60"/>
      </w:pPr>
      <w:r>
        <w:rPr>
          <w:rFonts w:ascii="Poppins" w:cs="Poppins" w:eastAsia="Poppins" w:hAnsi="Poppins"/>
          <w:b/>
          <w:bCs/>
          <w:sz w:val="21"/>
          <w:szCs w:val="21"/>
        </w:rPr>
        <w:t xml:space="preserve">Opción B: </w:t>
      </w:r>
      <w:r>
        <w:rPr>
          <w:rFonts w:ascii="Poppins" w:cs="Poppins" w:eastAsia="Poppins" w:hAnsi="Poppins"/>
          <w:sz w:val="21"/>
          <w:szCs w:val="21"/>
        </w:rPr>
        <w:t xml:space="preserve">La guía no recomienda dosis única de 24 horas como esquema general para el tratamiento de BA; especifica una duración mínima de siete días (salvo el esquema específico de fosfomicina en dosis única, que constituye una excepción farmacológica particular, no la norma general de duración).</w:t>
      </w:r>
    </w:p>
    <w:p>
      <w:pPr>
        <w:spacing w:after="60"/>
      </w:pPr>
      <w:r>
        <w:rPr>
          <w:rFonts w:ascii="Poppins" w:cs="Poppins" w:eastAsia="Poppins" w:hAnsi="Poppins"/>
          <w:b/>
          <w:bCs/>
          <w:sz w:val="21"/>
          <w:szCs w:val="21"/>
        </w:rPr>
        <w:t xml:space="preserve">Opción C: </w:t>
      </w:r>
      <w:r>
        <w:rPr>
          <w:rFonts w:ascii="Poppins" w:cs="Poppins" w:eastAsia="Poppins" w:hAnsi="Poppins"/>
          <w:sz w:val="21"/>
          <w:szCs w:val="21"/>
        </w:rPr>
        <w:t xml:space="preserve">La guía no exige 21 días de tratamiento en todos los casos; la duración mínima es de siete días, extendiéndose hasta 14 días solo si persiste la bacteriuria.</w:t>
      </w:r>
    </w:p>
    <w:p>
      <w:pPr>
        <w:spacing w:after="60"/>
      </w:pPr>
      <w:r>
        <w:rPr>
          <w:rFonts w:ascii="Poppins" w:cs="Poppins" w:eastAsia="Poppins" w:hAnsi="Poppins"/>
          <w:b/>
          <w:bCs/>
          <w:sz w:val="21"/>
          <w:szCs w:val="21"/>
        </w:rPr>
        <w:t xml:space="preserve">Opción D: </w:t>
      </w:r>
      <w:r>
        <w:rPr>
          <w:rFonts w:ascii="Poppins" w:cs="Poppins" w:eastAsia="Poppins" w:hAnsi="Poppins"/>
          <w:sz w:val="21"/>
          <w:szCs w:val="21"/>
        </w:rPr>
        <w:t xml:space="preserve">La guía no equipara la duración del tratamiento de BA en el embarazo con esquemas cortos de tres días utilizados en mujeres no embarazadas con cistitis simple; recomienda una duración no menor a siete días en el contexto del embarazo.</w:t>
      </w:r>
    </w:p>
    <w:p>
      <w:pPr>
        <w:pBdr>
          <w:bottom w:val="single" w:color="B08D3F" w:sz="6" w:space="4"/>
        </w:pBdr>
        <w:spacing w:after="200" w:before="100"/>
      </w:pPr>
      <w:r>
        <w:rPr>
          <w:rFonts w:ascii="Poppins" w:cs="Poppins" w:eastAsia="Poppins" w:hAnsi="Poppins"/>
          <w:b/>
          <w:bCs/>
          <w:i/>
          <w:iCs/>
          <w:color w:val="B08D3F"/>
          <w:sz w:val="20"/>
          <w:szCs w:val="20"/>
        </w:rPr>
        <w:t xml:space="preserve">Referencia: </w:t>
      </w:r>
      <w:r>
        <w:rPr>
          <w:rFonts w:ascii="Poppins" w:cs="Poppins" w:eastAsia="Poppins" w:hAnsi="Poppins"/>
          <w:i/>
          <w:iCs/>
          <w:color w:val="555555"/>
          <w:sz w:val="20"/>
          <w:szCs w:val="20"/>
        </w:rPr>
        <w:t xml:space="preserve">Recomendaciones para el tratamiento de IVU en el embarazo. Página 19.</w:t>
      </w:r>
    </w:p>
    <w:p>
      <w:pPr>
        <w:shd w:fill="001C31" w:val="clear"/>
        <w:spacing w:after="100" w:before="300"/>
      </w:pPr>
      <w:r>
        <w:rPr>
          <w:rFonts w:ascii="Poppins" w:cs="Poppins" w:eastAsia="Poppins" w:hAnsi="Poppins"/>
          <w:b/>
          <w:bCs/>
          <w:color w:val="FFFFFF"/>
          <w:sz w:val="24"/>
          <w:szCs w:val="24"/>
        </w:rPr>
        <w:t xml:space="preserve">PREGUNTA 72</w:t>
      </w:r>
    </w:p>
    <w:p>
      <w:pPr>
        <w:shd w:fill="F3ECDD" w:val="clear"/>
        <w:spacing w:after="60"/>
      </w:pPr>
      <w:r>
        <w:rPr>
          <w:rFonts w:ascii="Poppins" w:cs="Poppins" w:eastAsia="Poppins" w:hAnsi="Poppins"/>
          <w:b/>
          <w:bCs/>
          <w:i/>
          <w:iCs/>
          <w:color w:val="001C31"/>
          <w:sz w:val="21"/>
          <w:szCs w:val="21"/>
        </w:rPr>
        <w:t xml:space="preserve">Caso clínico: </w:t>
      </w:r>
      <w:r>
        <w:rPr>
          <w:rFonts w:ascii="Poppins" w:cs="Poppins" w:eastAsia="Poppins" w:hAnsi="Poppins"/>
          <w:i/>
          <w:iCs/>
          <w:sz w:val="21"/>
          <w:szCs w:val="21"/>
        </w:rPr>
        <w:t xml:space="preserve">Una paciente completó siete días de tratamiento antibiótico para BA, pero el urocultivo de control resultó nuevamente positivo para el mismo germen.</w:t>
      </w:r>
    </w:p>
    <w:p>
      <w:pPr>
        <w:spacing w:after="120"/>
      </w:pPr>
      <w:r>
        <w:rPr>
          <w:rFonts w:ascii="Poppins" w:cs="Poppins" w:eastAsia="Poppins" w:hAnsi="Poppins"/>
          <w:b/>
          <w:bCs/>
          <w:color w:val="001C31"/>
          <w:sz w:val="21"/>
          <w:szCs w:val="21"/>
        </w:rPr>
        <w:t xml:space="preserve">Pregunta: </w:t>
      </w:r>
      <w:r>
        <w:rPr>
          <w:rFonts w:ascii="Poppins" w:cs="Poppins" w:eastAsia="Poppins" w:hAnsi="Poppins"/>
          <w:sz w:val="21"/>
          <w:szCs w:val="21"/>
        </w:rPr>
        <w:t xml:space="preserve">Según la GPC, ¿qué duración de tratamiento corresponde en este caso de persistencia de la bacteriuria?</w:t>
      </w:r>
    </w:p>
    <w:p>
      <w:pPr>
        <w:spacing w:after="60"/>
      </w:pPr>
      <w:r>
        <w:rPr>
          <w:rFonts w:ascii="Poppins" w:cs="Poppins" w:eastAsia="Poppins" w:hAnsi="Poppins"/>
          <w:b/>
          <w:bCs/>
          <w:color w:val="B08D3F"/>
          <w:sz w:val="21"/>
          <w:szCs w:val="21"/>
        </w:rPr>
        <w:t xml:space="preserve">A. </w:t>
      </w:r>
      <w:r>
        <w:rPr>
          <w:rFonts w:ascii="Poppins" w:cs="Poppins" w:eastAsia="Poppins" w:hAnsi="Poppins"/>
          <w:b/>
          <w:bCs/>
          <w:color w:val="B08D3F"/>
          <w:sz w:val="21"/>
          <w:szCs w:val="21"/>
        </w:rPr>
        <w:t xml:space="preserve">Siete a 14 días</w:t>
      </w:r>
    </w:p>
    <w:p>
      <w:pPr>
        <w:spacing w:after="60"/>
      </w:pPr>
      <w:r>
        <w:rPr>
          <w:rFonts w:ascii="Poppins" w:cs="Poppins" w:eastAsia="Poppins" w:hAnsi="Poppins"/>
          <w:b/>
          <w:bCs/>
          <w:color w:val="000000"/>
          <w:sz w:val="21"/>
          <w:szCs w:val="21"/>
        </w:rPr>
        <w:t xml:space="preserve">B. </w:t>
      </w:r>
      <w:r>
        <w:rPr>
          <w:rFonts w:ascii="Poppins" w:cs="Poppins" w:eastAsia="Poppins" w:hAnsi="Poppins"/>
          <w:b w:val="false"/>
          <w:bCs w:val="false"/>
          <w:color w:val="000000"/>
          <w:sz w:val="21"/>
          <w:szCs w:val="21"/>
        </w:rPr>
        <w:t xml:space="preserve">Un día adicional únicamente</w:t>
      </w:r>
    </w:p>
    <w:p>
      <w:pPr>
        <w:spacing w:after="60"/>
      </w:pPr>
      <w:r>
        <w:rPr>
          <w:rFonts w:ascii="Poppins" w:cs="Poppins" w:eastAsia="Poppins" w:hAnsi="Poppins"/>
          <w:b/>
          <w:bCs/>
          <w:color w:val="000000"/>
          <w:sz w:val="21"/>
          <w:szCs w:val="21"/>
        </w:rPr>
        <w:t xml:space="preserve">C. </w:t>
      </w:r>
      <w:r>
        <w:rPr>
          <w:rFonts w:ascii="Poppins" w:cs="Poppins" w:eastAsia="Poppins" w:hAnsi="Poppins"/>
          <w:b w:val="false"/>
          <w:bCs w:val="false"/>
          <w:color w:val="000000"/>
          <w:sz w:val="21"/>
          <w:szCs w:val="21"/>
        </w:rPr>
        <w:t xml:space="preserve">Debe suspenderse todo tratamiento antibiótico de forma definitiva</w:t>
      </w:r>
    </w:p>
    <w:p>
      <w:pPr>
        <w:spacing w:after="60"/>
      </w:pPr>
      <w:r>
        <w:rPr>
          <w:rFonts w:ascii="Poppins" w:cs="Poppins" w:eastAsia="Poppins" w:hAnsi="Poppins"/>
          <w:b/>
          <w:bCs/>
          <w:color w:val="000000"/>
          <w:sz w:val="21"/>
          <w:szCs w:val="21"/>
        </w:rPr>
        <w:t xml:space="preserve">D. </w:t>
      </w:r>
      <w:r>
        <w:rPr>
          <w:rFonts w:ascii="Poppins" w:cs="Poppins" w:eastAsia="Poppins" w:hAnsi="Poppins"/>
          <w:b w:val="false"/>
          <w:bCs w:val="false"/>
          <w:color w:val="000000"/>
          <w:sz w:val="21"/>
          <w:szCs w:val="21"/>
        </w:rPr>
        <w:t xml:space="preserve">30 días continuos sin reevaluación</w:t>
      </w:r>
    </w:p>
    <w:p>
      <w:pPr>
        <w:spacing w:after="100" w:before="120"/>
      </w:pPr>
      <w:r>
        <w:rPr>
          <w:rFonts w:ascii="Poppins" w:cs="Poppins" w:eastAsia="Poppins" w:hAnsi="Poppins"/>
          <w:b/>
          <w:bCs/>
          <w:color w:val="001C31"/>
          <w:sz w:val="21"/>
          <w:szCs w:val="21"/>
        </w:rPr>
        <w:t xml:space="preserve">Respuesta correcta: A</w:t>
      </w:r>
    </w:p>
    <w:p>
      <w:pPr>
        <w:spacing w:after="60"/>
      </w:pPr>
      <w:r>
        <w:rPr>
          <w:rFonts w:ascii="Poppins" w:cs="Poppins" w:eastAsia="Poppins" w:hAnsi="Poppins"/>
          <w:b/>
          <w:bCs/>
          <w:color w:val="001C31"/>
          <w:sz w:val="21"/>
          <w:szCs w:val="21"/>
          <w:u w:val="single"/>
        </w:rPr>
        <w:t xml:space="preserve">Justificación de la respuesta correcta</w:t>
      </w:r>
    </w:p>
    <w:p>
      <w:pPr>
        <w:spacing w:after="150"/>
      </w:pPr>
      <w:r>
        <w:rPr>
          <w:rFonts w:ascii="Poppins" w:cs="Poppins" w:eastAsia="Poppins" w:hAnsi="Poppins"/>
          <w:sz w:val="21"/>
          <w:szCs w:val="21"/>
        </w:rPr>
        <w:t xml:space="preserve">La guía establece que en caso de persistir la bacteriuria, el tratamiento debe durar de siete a 14 días, ampliando la duración inicial mínima de siete días.</w:t>
      </w:r>
    </w:p>
    <w:p>
      <w:pPr>
        <w:spacing w:after="60"/>
      </w:pPr>
      <w:r>
        <w:rPr>
          <w:rFonts w:ascii="Poppins" w:cs="Poppins" w:eastAsia="Poppins" w:hAnsi="Poppins"/>
          <w:b/>
          <w:bCs/>
          <w:color w:val="001C31"/>
          <w:sz w:val="21"/>
          <w:szCs w:val="21"/>
          <w:u w:val="single"/>
        </w:rPr>
        <w:t xml:space="preserve">Justificación de las opciones incorrectas</w:t>
      </w:r>
    </w:p>
    <w:p>
      <w:pPr>
        <w:spacing w:after="60"/>
      </w:pPr>
      <w:r>
        <w:rPr>
          <w:rFonts w:ascii="Poppins" w:cs="Poppins" w:eastAsia="Poppins" w:hAnsi="Poppins"/>
          <w:b/>
          <w:bCs/>
          <w:sz w:val="21"/>
          <w:szCs w:val="21"/>
        </w:rPr>
        <w:t xml:space="preserve">Opción B: </w:t>
      </w:r>
      <w:r>
        <w:rPr>
          <w:rFonts w:ascii="Poppins" w:cs="Poppins" w:eastAsia="Poppins" w:hAnsi="Poppins"/>
          <w:sz w:val="21"/>
          <w:szCs w:val="21"/>
        </w:rPr>
        <w:t xml:space="preserve">Un día adicional no corresponde a la extensión de tratamiento recomendada por la guía ante la persistencia de la bacteriuria; el rango indicado es de siete a 14 días.</w:t>
      </w:r>
    </w:p>
    <w:p>
      <w:pPr>
        <w:spacing w:after="60"/>
      </w:pPr>
      <w:r>
        <w:rPr>
          <w:rFonts w:ascii="Poppins" w:cs="Poppins" w:eastAsia="Poppins" w:hAnsi="Poppins"/>
          <w:b/>
          <w:bCs/>
          <w:sz w:val="21"/>
          <w:szCs w:val="21"/>
        </w:rPr>
        <w:t xml:space="preserve">Opción C: </w:t>
      </w:r>
      <w:r>
        <w:rPr>
          <w:rFonts w:ascii="Poppins" w:cs="Poppins" w:eastAsia="Poppins" w:hAnsi="Poppins"/>
          <w:sz w:val="21"/>
          <w:szCs w:val="21"/>
        </w:rPr>
        <w:t xml:space="preserve">La guía no recomienda suspender de forma definitiva el tratamiento antibiótico ante la persistencia de BA; por el contrario, indica extender la duración del tratamiento.</w:t>
      </w:r>
    </w:p>
    <w:p>
      <w:pPr>
        <w:spacing w:after="60"/>
      </w:pPr>
      <w:r>
        <w:rPr>
          <w:rFonts w:ascii="Poppins" w:cs="Poppins" w:eastAsia="Poppins" w:hAnsi="Poppins"/>
          <w:b/>
          <w:bCs/>
          <w:sz w:val="21"/>
          <w:szCs w:val="21"/>
        </w:rPr>
        <w:t xml:space="preserve">Opción D: </w:t>
      </w:r>
      <w:r>
        <w:rPr>
          <w:rFonts w:ascii="Poppins" w:cs="Poppins" w:eastAsia="Poppins" w:hAnsi="Poppins"/>
          <w:sz w:val="21"/>
          <w:szCs w:val="21"/>
        </w:rPr>
        <w:t xml:space="preserve">La guía no establece 30 días continuos como esquema de tratamiento; el rango máximo indicado para bacteriuria persistente es de 14 días.</w:t>
      </w:r>
    </w:p>
    <w:p>
      <w:pPr>
        <w:pBdr>
          <w:bottom w:val="single" w:color="B08D3F" w:sz="6" w:space="4"/>
        </w:pBdr>
        <w:spacing w:after="200" w:before="100"/>
      </w:pPr>
      <w:r>
        <w:rPr>
          <w:rFonts w:ascii="Poppins" w:cs="Poppins" w:eastAsia="Poppins" w:hAnsi="Poppins"/>
          <w:b/>
          <w:bCs/>
          <w:i/>
          <w:iCs/>
          <w:color w:val="B08D3F"/>
          <w:sz w:val="20"/>
          <w:szCs w:val="20"/>
        </w:rPr>
        <w:t xml:space="preserve">Referencia: </w:t>
      </w:r>
      <w:r>
        <w:rPr>
          <w:rFonts w:ascii="Poppins" w:cs="Poppins" w:eastAsia="Poppins" w:hAnsi="Poppins"/>
          <w:i/>
          <w:iCs/>
          <w:color w:val="555555"/>
          <w:sz w:val="20"/>
          <w:szCs w:val="20"/>
        </w:rPr>
        <w:t xml:space="preserve">Recomendaciones para el tratamiento de IVU en el embarazo. Página 19.</w:t>
      </w:r>
    </w:p>
    <w:p>
      <w:pPr>
        <w:shd w:fill="001C31" w:val="clear"/>
        <w:spacing w:after="100" w:before="300"/>
      </w:pPr>
      <w:r>
        <w:rPr>
          <w:rFonts w:ascii="Poppins" w:cs="Poppins" w:eastAsia="Poppins" w:hAnsi="Poppins"/>
          <w:b/>
          <w:bCs/>
          <w:color w:val="FFFFFF"/>
          <w:sz w:val="24"/>
          <w:szCs w:val="24"/>
        </w:rPr>
        <w:t xml:space="preserve">PREGUNTA 73</w:t>
      </w:r>
    </w:p>
    <w:p>
      <w:pPr>
        <w:shd w:fill="F3ECDD" w:val="clear"/>
        <w:spacing w:after="60"/>
      </w:pPr>
      <w:r>
        <w:rPr>
          <w:rFonts w:ascii="Poppins" w:cs="Poppins" w:eastAsia="Poppins" w:hAnsi="Poppins"/>
          <w:b/>
          <w:bCs/>
          <w:i/>
          <w:iCs/>
          <w:color w:val="001C31"/>
          <w:sz w:val="21"/>
          <w:szCs w:val="21"/>
        </w:rPr>
        <w:t xml:space="preserve">Caso clínico: </w:t>
      </w:r>
      <w:r>
        <w:rPr>
          <w:rFonts w:ascii="Poppins" w:cs="Poppins" w:eastAsia="Poppins" w:hAnsi="Poppins"/>
          <w:i/>
          <w:iCs/>
          <w:sz w:val="21"/>
          <w:szCs w:val="21"/>
        </w:rPr>
        <w:t xml:space="preserve">Una paciente embarazada de 22 semanas presenta cistitis aguda confirmada clínicamente, sin síntomas vaginales asociados.</w:t>
      </w:r>
    </w:p>
    <w:p>
      <w:pPr>
        <w:spacing w:after="120"/>
      </w:pPr>
      <w:r>
        <w:rPr>
          <w:rFonts w:ascii="Poppins" w:cs="Poppins" w:eastAsia="Poppins" w:hAnsi="Poppins"/>
          <w:b/>
          <w:bCs/>
          <w:color w:val="001C31"/>
          <w:sz w:val="21"/>
          <w:szCs w:val="21"/>
        </w:rPr>
        <w:t xml:space="preserve">Pregunta: </w:t>
      </w:r>
      <w:r>
        <w:rPr>
          <w:rFonts w:ascii="Poppins" w:cs="Poppins" w:eastAsia="Poppins" w:hAnsi="Poppins"/>
          <w:sz w:val="21"/>
          <w:szCs w:val="21"/>
        </w:rPr>
        <w:t xml:space="preserve">Según la GPC, ¿qué esquema antibiótico corresponde utilizar?</w:t>
      </w:r>
    </w:p>
    <w:p>
      <w:pPr>
        <w:spacing w:after="60"/>
      </w:pPr>
      <w:r>
        <w:rPr>
          <w:rFonts w:ascii="Poppins" w:cs="Poppins" w:eastAsia="Poppins" w:hAnsi="Poppins"/>
          <w:b/>
          <w:bCs/>
          <w:color w:val="B08D3F"/>
          <w:sz w:val="21"/>
          <w:szCs w:val="21"/>
        </w:rPr>
        <w:t xml:space="preserve">A. </w:t>
      </w:r>
      <w:r>
        <w:rPr>
          <w:rFonts w:ascii="Poppins" w:cs="Poppins" w:eastAsia="Poppins" w:hAnsi="Poppins"/>
          <w:b/>
          <w:bCs/>
          <w:color w:val="B08D3F"/>
          <w:sz w:val="21"/>
          <w:szCs w:val="21"/>
        </w:rPr>
        <w:t xml:space="preserve">Uno de los esquemas recomendados para BA: nitrofurantoína, fosfomicina o cefalosporinas de segunda generación, según patrones de resistencia local</w:t>
      </w:r>
    </w:p>
    <w:p>
      <w:pPr>
        <w:spacing w:after="60"/>
      </w:pPr>
      <w:r>
        <w:rPr>
          <w:rFonts w:ascii="Poppins" w:cs="Poppins" w:eastAsia="Poppins" w:hAnsi="Poppins"/>
          <w:b/>
          <w:bCs/>
          <w:color w:val="000000"/>
          <w:sz w:val="21"/>
          <w:szCs w:val="21"/>
        </w:rPr>
        <w:t xml:space="preserve">B. </w:t>
      </w:r>
      <w:r>
        <w:rPr>
          <w:rFonts w:ascii="Poppins" w:cs="Poppins" w:eastAsia="Poppins" w:hAnsi="Poppins"/>
          <w:b w:val="false"/>
          <w:bCs w:val="false"/>
          <w:color w:val="000000"/>
          <w:sz w:val="21"/>
          <w:szCs w:val="21"/>
        </w:rPr>
        <w:t xml:space="preserve">Un antibiótico completamente distinto, exclusivo para cistitis, no utilizado en BA</w:t>
      </w:r>
    </w:p>
    <w:p>
      <w:pPr>
        <w:spacing w:after="60"/>
      </w:pPr>
      <w:r>
        <w:rPr>
          <w:rFonts w:ascii="Poppins" w:cs="Poppins" w:eastAsia="Poppins" w:hAnsi="Poppins"/>
          <w:b/>
          <w:bCs/>
          <w:color w:val="000000"/>
          <w:sz w:val="21"/>
          <w:szCs w:val="21"/>
        </w:rPr>
        <w:t xml:space="preserve">C. </w:t>
      </w:r>
      <w:r>
        <w:rPr>
          <w:rFonts w:ascii="Poppins" w:cs="Poppins" w:eastAsia="Poppins" w:hAnsi="Poppins"/>
          <w:b w:val="false"/>
          <w:bCs w:val="false"/>
          <w:color w:val="000000"/>
          <w:sz w:val="21"/>
          <w:szCs w:val="21"/>
        </w:rPr>
        <w:t xml:space="preserve">Ningún antibiótico, ya que la cistitis se resuelve espontáneamente sin tratamiento</w:t>
      </w:r>
    </w:p>
    <w:p>
      <w:pPr>
        <w:spacing w:after="60"/>
      </w:pPr>
      <w:r>
        <w:rPr>
          <w:rFonts w:ascii="Poppins" w:cs="Poppins" w:eastAsia="Poppins" w:hAnsi="Poppins"/>
          <w:b/>
          <w:bCs/>
          <w:color w:val="000000"/>
          <w:sz w:val="21"/>
          <w:szCs w:val="21"/>
        </w:rPr>
        <w:t xml:space="preserve">D. </w:t>
      </w:r>
      <w:r>
        <w:rPr>
          <w:rFonts w:ascii="Poppins" w:cs="Poppins" w:eastAsia="Poppins" w:hAnsi="Poppins"/>
          <w:b w:val="false"/>
          <w:bCs w:val="false"/>
          <w:color w:val="000000"/>
          <w:sz w:val="21"/>
          <w:szCs w:val="21"/>
        </w:rPr>
        <w:t xml:space="preserve">Trimetoprim con sulfametoxasol como primera línea, sin restricción por trimestre</w:t>
      </w:r>
    </w:p>
    <w:p>
      <w:pPr>
        <w:spacing w:after="100" w:before="120"/>
      </w:pPr>
      <w:r>
        <w:rPr>
          <w:rFonts w:ascii="Poppins" w:cs="Poppins" w:eastAsia="Poppins" w:hAnsi="Poppins"/>
          <w:b/>
          <w:bCs/>
          <w:color w:val="001C31"/>
          <w:sz w:val="21"/>
          <w:szCs w:val="21"/>
        </w:rPr>
        <w:t xml:space="preserve">Respuesta correcta: A</w:t>
      </w:r>
    </w:p>
    <w:p>
      <w:pPr>
        <w:spacing w:after="60"/>
      </w:pPr>
      <w:r>
        <w:rPr>
          <w:rFonts w:ascii="Poppins" w:cs="Poppins" w:eastAsia="Poppins" w:hAnsi="Poppins"/>
          <w:b/>
          <w:bCs/>
          <w:color w:val="001C31"/>
          <w:sz w:val="21"/>
          <w:szCs w:val="21"/>
          <w:u w:val="single"/>
        </w:rPr>
        <w:t xml:space="preserve">Justificación de la respuesta correcta</w:t>
      </w:r>
    </w:p>
    <w:p>
      <w:pPr>
        <w:spacing w:after="150"/>
      </w:pPr>
      <w:r>
        <w:rPr>
          <w:rFonts w:ascii="Poppins" w:cs="Poppins" w:eastAsia="Poppins" w:hAnsi="Poppins"/>
          <w:sz w:val="21"/>
          <w:szCs w:val="21"/>
        </w:rPr>
        <w:t xml:space="preserve">La guía establece que las recomendaciones de tratamiento para la cistitis durante el embarazo son las mismas que para BA, por lo que corresponde utilizar los mismos esquemas descritos (nitrofurantoína, fosfomicina o cefalosporinas de segunda generación) según los patrones de resistencia local.</w:t>
      </w:r>
    </w:p>
    <w:p>
      <w:pPr>
        <w:spacing w:after="60"/>
      </w:pPr>
      <w:r>
        <w:rPr>
          <w:rFonts w:ascii="Poppins" w:cs="Poppins" w:eastAsia="Poppins" w:hAnsi="Poppins"/>
          <w:b/>
          <w:bCs/>
          <w:color w:val="001C31"/>
          <w:sz w:val="21"/>
          <w:szCs w:val="21"/>
          <w:u w:val="single"/>
        </w:rPr>
        <w:t xml:space="preserve">Justificación de las opciones incorrectas</w:t>
      </w:r>
    </w:p>
    <w:p>
      <w:pPr>
        <w:spacing w:after="60"/>
      </w:pPr>
      <w:r>
        <w:rPr>
          <w:rFonts w:ascii="Poppins" w:cs="Poppins" w:eastAsia="Poppins" w:hAnsi="Poppins"/>
          <w:b/>
          <w:bCs/>
          <w:sz w:val="21"/>
          <w:szCs w:val="21"/>
        </w:rPr>
        <w:t xml:space="preserve">Opción B: </w:t>
      </w:r>
      <w:r>
        <w:rPr>
          <w:rFonts w:ascii="Poppins" w:cs="Poppins" w:eastAsia="Poppins" w:hAnsi="Poppins"/>
          <w:sz w:val="21"/>
          <w:szCs w:val="21"/>
        </w:rPr>
        <w:t xml:space="preserve">La guía no propone un antibiótico exclusivo y distinto para la cistitis; indica expresamente que las recomendaciones de tratamiento son las mismas que para BA.</w:t>
      </w:r>
    </w:p>
    <w:p>
      <w:pPr>
        <w:spacing w:after="60"/>
      </w:pPr>
      <w:r>
        <w:rPr>
          <w:rFonts w:ascii="Poppins" w:cs="Poppins" w:eastAsia="Poppins" w:hAnsi="Poppins"/>
          <w:b/>
          <w:bCs/>
          <w:sz w:val="21"/>
          <w:szCs w:val="21"/>
        </w:rPr>
        <w:t xml:space="preserve">Opción C: </w:t>
      </w:r>
      <w:r>
        <w:rPr>
          <w:rFonts w:ascii="Poppins" w:cs="Poppins" w:eastAsia="Poppins" w:hAnsi="Poppins"/>
          <w:sz w:val="21"/>
          <w:szCs w:val="21"/>
        </w:rPr>
        <w:t xml:space="preserve">La guía no recomienda manejo sin tratamiento antibiótico para la cistitis; el tratamiento antibiótico es la base del manejo, igual que en la BA.</w:t>
      </w:r>
    </w:p>
    <w:p>
      <w:pPr>
        <w:spacing w:after="60"/>
      </w:pPr>
      <w:r>
        <w:rPr>
          <w:rFonts w:ascii="Poppins" w:cs="Poppins" w:eastAsia="Poppins" w:hAnsi="Poppins"/>
          <w:b/>
          <w:bCs/>
          <w:sz w:val="21"/>
          <w:szCs w:val="21"/>
        </w:rPr>
        <w:t xml:space="preserve">Opción D: </w:t>
      </w:r>
      <w:r>
        <w:rPr>
          <w:rFonts w:ascii="Poppins" w:cs="Poppins" w:eastAsia="Poppins" w:hAnsi="Poppins"/>
          <w:sz w:val="21"/>
          <w:szCs w:val="21"/>
        </w:rPr>
        <w:t xml:space="preserve">El trimetoprim con sulfametoxasol no se recomienda como primera línea; la guía indica que está contraindicado en el primer trimestre y se sugiere no utilizarlo en embarazadas en general por su potencial teratogenicidad.</w:t>
      </w:r>
    </w:p>
    <w:p>
      <w:pPr>
        <w:pBdr>
          <w:bottom w:val="single" w:color="B08D3F" w:sz="6" w:space="4"/>
        </w:pBdr>
        <w:spacing w:after="200" w:before="100"/>
      </w:pPr>
      <w:r>
        <w:rPr>
          <w:rFonts w:ascii="Poppins" w:cs="Poppins" w:eastAsia="Poppins" w:hAnsi="Poppins"/>
          <w:b/>
          <w:bCs/>
          <w:i/>
          <w:iCs/>
          <w:color w:val="B08D3F"/>
          <w:sz w:val="20"/>
          <w:szCs w:val="20"/>
        </w:rPr>
        <w:t xml:space="preserve">Referencia: </w:t>
      </w:r>
      <w:r>
        <w:rPr>
          <w:rFonts w:ascii="Poppins" w:cs="Poppins" w:eastAsia="Poppins" w:hAnsi="Poppins"/>
          <w:i/>
          <w:iCs/>
          <w:color w:val="555555"/>
          <w:sz w:val="20"/>
          <w:szCs w:val="20"/>
        </w:rPr>
        <w:t xml:space="preserve">Evidencias y recomendaciones. Tratamiento para cistitis. Página 19.</w:t>
      </w:r>
    </w:p>
    <w:p>
      <w:pPr>
        <w:shd w:fill="001C31" w:val="clear"/>
        <w:spacing w:after="100" w:before="300"/>
      </w:pPr>
      <w:r>
        <w:rPr>
          <w:rFonts w:ascii="Poppins" w:cs="Poppins" w:eastAsia="Poppins" w:hAnsi="Poppins"/>
          <w:b/>
          <w:bCs/>
          <w:color w:val="FFFFFF"/>
          <w:sz w:val="24"/>
          <w:szCs w:val="24"/>
        </w:rPr>
        <w:t xml:space="preserve">PREGUNTA 74</w:t>
      </w:r>
    </w:p>
    <w:p>
      <w:pPr>
        <w:spacing w:after="120"/>
      </w:pPr>
      <w:r>
        <w:rPr>
          <w:rFonts w:ascii="Poppins" w:cs="Poppins" w:eastAsia="Poppins" w:hAnsi="Poppins"/>
          <w:b/>
          <w:bCs/>
          <w:color w:val="001C31"/>
          <w:sz w:val="21"/>
          <w:szCs w:val="21"/>
        </w:rPr>
        <w:t xml:space="preserve">Pregunta: </w:t>
      </w:r>
      <w:r>
        <w:rPr>
          <w:rFonts w:ascii="Poppins" w:cs="Poppins" w:eastAsia="Poppins" w:hAnsi="Poppins"/>
          <w:sz w:val="21"/>
          <w:szCs w:val="21"/>
        </w:rPr>
        <w:t xml:space="preserve">Según la GPC, ¿la cistitis puede ser incapacitante para las actividades de la vida diaria y laboral de la paciente?</w:t>
      </w:r>
    </w:p>
    <w:p>
      <w:pPr>
        <w:spacing w:after="60"/>
      </w:pPr>
      <w:r>
        <w:rPr>
          <w:rFonts w:ascii="Poppins" w:cs="Poppins" w:eastAsia="Poppins" w:hAnsi="Poppins"/>
          <w:b/>
          <w:bCs/>
          <w:color w:val="B08D3F"/>
          <w:sz w:val="21"/>
          <w:szCs w:val="21"/>
        </w:rPr>
        <w:t xml:space="preserve">A. </w:t>
      </w:r>
      <w:r>
        <w:rPr>
          <w:rFonts w:ascii="Poppins" w:cs="Poppins" w:eastAsia="Poppins" w:hAnsi="Poppins"/>
          <w:b/>
          <w:bCs/>
          <w:color w:val="B08D3F"/>
          <w:sz w:val="21"/>
          <w:szCs w:val="21"/>
        </w:rPr>
        <w:t xml:space="preserve">Sí, la cistitis puede ser incapacitante para las actividades de la vida diaria y laboral</w:t>
      </w:r>
    </w:p>
    <w:p>
      <w:pPr>
        <w:spacing w:after="60"/>
      </w:pPr>
      <w:r>
        <w:rPr>
          <w:rFonts w:ascii="Poppins" w:cs="Poppins" w:eastAsia="Poppins" w:hAnsi="Poppins"/>
          <w:b/>
          <w:bCs/>
          <w:color w:val="000000"/>
          <w:sz w:val="21"/>
          <w:szCs w:val="21"/>
        </w:rPr>
        <w:t xml:space="preserve">B. </w:t>
      </w:r>
      <w:r>
        <w:rPr>
          <w:rFonts w:ascii="Poppins" w:cs="Poppins" w:eastAsia="Poppins" w:hAnsi="Poppins"/>
          <w:b w:val="false"/>
          <w:bCs w:val="false"/>
          <w:color w:val="000000"/>
          <w:sz w:val="21"/>
          <w:szCs w:val="21"/>
        </w:rPr>
        <w:t xml:space="preserve">No, la cistitis nunca interfiere con las actividades cotidianas de la paciente</w:t>
      </w:r>
    </w:p>
    <w:p>
      <w:pPr>
        <w:spacing w:after="60"/>
      </w:pPr>
      <w:r>
        <w:rPr>
          <w:rFonts w:ascii="Poppins" w:cs="Poppins" w:eastAsia="Poppins" w:hAnsi="Poppins"/>
          <w:b/>
          <w:bCs/>
          <w:color w:val="000000"/>
          <w:sz w:val="21"/>
          <w:szCs w:val="21"/>
        </w:rPr>
        <w:t xml:space="preserve">C. </w:t>
      </w:r>
      <w:r>
        <w:rPr>
          <w:rFonts w:ascii="Poppins" w:cs="Poppins" w:eastAsia="Poppins" w:hAnsi="Poppins"/>
          <w:b w:val="false"/>
          <w:bCs w:val="false"/>
          <w:color w:val="000000"/>
          <w:sz w:val="21"/>
          <w:szCs w:val="21"/>
        </w:rPr>
        <w:t xml:space="preserve">Solo se considera incapacitante si progresa a pielonefritis</w:t>
      </w:r>
    </w:p>
    <w:p>
      <w:pPr>
        <w:spacing w:after="60"/>
      </w:pPr>
      <w:r>
        <w:rPr>
          <w:rFonts w:ascii="Poppins" w:cs="Poppins" w:eastAsia="Poppins" w:hAnsi="Poppins"/>
          <w:b/>
          <w:bCs/>
          <w:color w:val="000000"/>
          <w:sz w:val="21"/>
          <w:szCs w:val="21"/>
        </w:rPr>
        <w:t xml:space="preserve">D. </w:t>
      </w:r>
      <w:r>
        <w:rPr>
          <w:rFonts w:ascii="Poppins" w:cs="Poppins" w:eastAsia="Poppins" w:hAnsi="Poppins"/>
          <w:b w:val="false"/>
          <w:bCs w:val="false"/>
          <w:color w:val="000000"/>
          <w:sz w:val="21"/>
          <w:szCs w:val="21"/>
        </w:rPr>
        <w:t xml:space="preserve">La guía no aborda el impacto funcional de la cistitis en la vida diaria</w:t>
      </w:r>
    </w:p>
    <w:p>
      <w:pPr>
        <w:spacing w:after="100" w:before="120"/>
      </w:pPr>
      <w:r>
        <w:rPr>
          <w:rFonts w:ascii="Poppins" w:cs="Poppins" w:eastAsia="Poppins" w:hAnsi="Poppins"/>
          <w:b/>
          <w:bCs/>
          <w:color w:val="001C31"/>
          <w:sz w:val="21"/>
          <w:szCs w:val="21"/>
        </w:rPr>
        <w:t xml:space="preserve">Respuesta correcta: A</w:t>
      </w:r>
    </w:p>
    <w:p>
      <w:pPr>
        <w:spacing w:after="60"/>
      </w:pPr>
      <w:r>
        <w:rPr>
          <w:rFonts w:ascii="Poppins" w:cs="Poppins" w:eastAsia="Poppins" w:hAnsi="Poppins"/>
          <w:b/>
          <w:bCs/>
          <w:color w:val="001C31"/>
          <w:sz w:val="21"/>
          <w:szCs w:val="21"/>
          <w:u w:val="single"/>
        </w:rPr>
        <w:t xml:space="preserve">Justificación de la respuesta correcta</w:t>
      </w:r>
    </w:p>
    <w:p>
      <w:pPr>
        <w:spacing w:after="150"/>
      </w:pPr>
      <w:r>
        <w:rPr>
          <w:rFonts w:ascii="Poppins" w:cs="Poppins" w:eastAsia="Poppins" w:hAnsi="Poppins"/>
          <w:sz w:val="21"/>
          <w:szCs w:val="21"/>
        </w:rPr>
        <w:t xml:space="preserve">La guía reconoce explícitamente, en los criterios de seguimiento y vigilancia, que la cistitis puede ser incapacitante para las actividades de la vida diaria y laboral, lo que fundamenta la recomendación de expedir un certificado de descanso laboral cuando se considere necesario.</w:t>
      </w:r>
    </w:p>
    <w:p>
      <w:pPr>
        <w:spacing w:after="60"/>
      </w:pPr>
      <w:r>
        <w:rPr>
          <w:rFonts w:ascii="Poppins" w:cs="Poppins" w:eastAsia="Poppins" w:hAnsi="Poppins"/>
          <w:b/>
          <w:bCs/>
          <w:color w:val="001C31"/>
          <w:sz w:val="21"/>
          <w:szCs w:val="21"/>
          <w:u w:val="single"/>
        </w:rPr>
        <w:t xml:space="preserve">Justificación de las opciones incorrectas</w:t>
      </w:r>
    </w:p>
    <w:p>
      <w:pPr>
        <w:spacing w:after="60"/>
      </w:pPr>
      <w:r>
        <w:rPr>
          <w:rFonts w:ascii="Poppins" w:cs="Poppins" w:eastAsia="Poppins" w:hAnsi="Poppins"/>
          <w:b/>
          <w:bCs/>
          <w:sz w:val="21"/>
          <w:szCs w:val="21"/>
        </w:rPr>
        <w:t xml:space="preserve">Opción B: </w:t>
      </w:r>
      <w:r>
        <w:rPr>
          <w:rFonts w:ascii="Poppins" w:cs="Poppins" w:eastAsia="Poppins" w:hAnsi="Poppins"/>
          <w:sz w:val="21"/>
          <w:szCs w:val="21"/>
        </w:rPr>
        <w:t xml:space="preserve">La guía reconoce explícitamente lo contrario: la cistitis puede afectar las actividades cotidianas y laborales de la paciente.</w:t>
      </w:r>
    </w:p>
    <w:p>
      <w:pPr>
        <w:spacing w:after="60"/>
      </w:pPr>
      <w:r>
        <w:rPr>
          <w:rFonts w:ascii="Poppins" w:cs="Poppins" w:eastAsia="Poppins" w:hAnsi="Poppins"/>
          <w:b/>
          <w:bCs/>
          <w:sz w:val="21"/>
          <w:szCs w:val="21"/>
        </w:rPr>
        <w:t xml:space="preserve">Opción C: </w:t>
      </w:r>
      <w:r>
        <w:rPr>
          <w:rFonts w:ascii="Poppins" w:cs="Poppins" w:eastAsia="Poppins" w:hAnsi="Poppins"/>
          <w:sz w:val="21"/>
          <w:szCs w:val="21"/>
        </w:rPr>
        <w:t xml:space="preserve">La guía no condiciona el reconocimiento del impacto funcional a la progresión a pielonefritis; reconoce que la cistitis por sí sola puede ser incapacitante.</w:t>
      </w:r>
    </w:p>
    <w:p>
      <w:pPr>
        <w:spacing w:after="60"/>
      </w:pPr>
      <w:r>
        <w:rPr>
          <w:rFonts w:ascii="Poppins" w:cs="Poppins" w:eastAsia="Poppins" w:hAnsi="Poppins"/>
          <w:b/>
          <w:bCs/>
          <w:sz w:val="21"/>
          <w:szCs w:val="21"/>
        </w:rPr>
        <w:t xml:space="preserve">Opción D: </w:t>
      </w:r>
      <w:r>
        <w:rPr>
          <w:rFonts w:ascii="Poppins" w:cs="Poppins" w:eastAsia="Poppins" w:hAnsi="Poppins"/>
          <w:sz w:val="21"/>
          <w:szCs w:val="21"/>
        </w:rPr>
        <w:t xml:space="preserve">La guía sí aborda este aspecto específicamente en el apartado de criterios de seguimiento y vigilancia.</w:t>
      </w:r>
    </w:p>
    <w:p>
      <w:pPr>
        <w:pBdr>
          <w:bottom w:val="single" w:color="B08D3F" w:sz="6" w:space="4"/>
        </w:pBdr>
        <w:spacing w:after="200" w:before="100"/>
      </w:pPr>
      <w:r>
        <w:rPr>
          <w:rFonts w:ascii="Poppins" w:cs="Poppins" w:eastAsia="Poppins" w:hAnsi="Poppins"/>
          <w:b/>
          <w:bCs/>
          <w:i/>
          <w:iCs/>
          <w:color w:val="B08D3F"/>
          <w:sz w:val="20"/>
          <w:szCs w:val="20"/>
        </w:rPr>
        <w:t xml:space="preserve">Referencia: </w:t>
      </w:r>
      <w:r>
        <w:rPr>
          <w:rFonts w:ascii="Poppins" w:cs="Poppins" w:eastAsia="Poppins" w:hAnsi="Poppins"/>
          <w:i/>
          <w:iCs/>
          <w:color w:val="555555"/>
          <w:sz w:val="20"/>
          <w:szCs w:val="20"/>
        </w:rPr>
        <w:t xml:space="preserve">Criterios de seguimiento y vigilancia. Página 19.</w:t>
      </w:r>
    </w:p>
    <w:p>
      <w:pPr>
        <w:shd w:fill="001C31" w:val="clear"/>
        <w:spacing w:after="100" w:before="300"/>
      </w:pPr>
      <w:r>
        <w:rPr>
          <w:rFonts w:ascii="Poppins" w:cs="Poppins" w:eastAsia="Poppins" w:hAnsi="Poppins"/>
          <w:b/>
          <w:bCs/>
          <w:color w:val="FFFFFF"/>
          <w:sz w:val="24"/>
          <w:szCs w:val="24"/>
        </w:rPr>
        <w:t xml:space="preserve">PREGUNTA 75</w:t>
      </w:r>
    </w:p>
    <w:p>
      <w:pPr>
        <w:shd w:fill="F3ECDD" w:val="clear"/>
        <w:spacing w:after="60"/>
      </w:pPr>
      <w:r>
        <w:rPr>
          <w:rFonts w:ascii="Poppins" w:cs="Poppins" w:eastAsia="Poppins" w:hAnsi="Poppins"/>
          <w:b/>
          <w:bCs/>
          <w:i/>
          <w:iCs/>
          <w:color w:val="001C31"/>
          <w:sz w:val="21"/>
          <w:szCs w:val="21"/>
        </w:rPr>
        <w:t xml:space="preserve">Caso clínico: </w:t>
      </w:r>
      <w:r>
        <w:rPr>
          <w:rFonts w:ascii="Poppins" w:cs="Poppins" w:eastAsia="Poppins" w:hAnsi="Poppins"/>
          <w:i/>
          <w:iCs/>
          <w:sz w:val="21"/>
          <w:szCs w:val="21"/>
        </w:rPr>
        <w:t xml:space="preserve">Una paciente con cistitis diagnosticada solicita un certificado de descanso laboral debido a la sintomatología que le impide desempeñar sus actividades.</w:t>
      </w:r>
    </w:p>
    <w:p>
      <w:pPr>
        <w:spacing w:after="120"/>
      </w:pPr>
      <w:r>
        <w:rPr>
          <w:rFonts w:ascii="Poppins" w:cs="Poppins" w:eastAsia="Poppins" w:hAnsi="Poppins"/>
          <w:b/>
          <w:bCs/>
          <w:color w:val="001C31"/>
          <w:sz w:val="21"/>
          <w:szCs w:val="21"/>
        </w:rPr>
        <w:t xml:space="preserve">Pregunta: </w:t>
      </w:r>
      <w:r>
        <w:rPr>
          <w:rFonts w:ascii="Poppins" w:cs="Poppins" w:eastAsia="Poppins" w:hAnsi="Poppins"/>
          <w:sz w:val="21"/>
          <w:szCs w:val="21"/>
        </w:rPr>
        <w:t xml:space="preserve">Según la GPC, ¿por cuántos días se debe expedir el certificado de descanso laboral según se considere necesario?</w:t>
      </w:r>
    </w:p>
    <w:p>
      <w:pPr>
        <w:spacing w:after="60"/>
      </w:pPr>
      <w:r>
        <w:rPr>
          <w:rFonts w:ascii="Poppins" w:cs="Poppins" w:eastAsia="Poppins" w:hAnsi="Poppins"/>
          <w:b/>
          <w:bCs/>
          <w:color w:val="B08D3F"/>
          <w:sz w:val="21"/>
          <w:szCs w:val="21"/>
        </w:rPr>
        <w:t xml:space="preserve">A. </w:t>
      </w:r>
      <w:r>
        <w:rPr>
          <w:rFonts w:ascii="Poppins" w:cs="Poppins" w:eastAsia="Poppins" w:hAnsi="Poppins"/>
          <w:b/>
          <w:bCs/>
          <w:color w:val="B08D3F"/>
          <w:sz w:val="21"/>
          <w:szCs w:val="21"/>
        </w:rPr>
        <w:t xml:space="preserve">Uno a tres días</w:t>
      </w:r>
    </w:p>
    <w:p>
      <w:pPr>
        <w:spacing w:after="60"/>
      </w:pPr>
      <w:r>
        <w:rPr>
          <w:rFonts w:ascii="Poppins" w:cs="Poppins" w:eastAsia="Poppins" w:hAnsi="Poppins"/>
          <w:b/>
          <w:bCs/>
          <w:color w:val="000000"/>
          <w:sz w:val="21"/>
          <w:szCs w:val="21"/>
        </w:rPr>
        <w:t xml:space="preserve">B. </w:t>
      </w:r>
      <w:r>
        <w:rPr>
          <w:rFonts w:ascii="Poppins" w:cs="Poppins" w:eastAsia="Poppins" w:hAnsi="Poppins"/>
          <w:b w:val="false"/>
          <w:bCs w:val="false"/>
          <w:color w:val="000000"/>
          <w:sz w:val="21"/>
          <w:szCs w:val="21"/>
        </w:rPr>
        <w:t xml:space="preserve">Diez a quince días de forma estándar</w:t>
      </w:r>
    </w:p>
    <w:p>
      <w:pPr>
        <w:spacing w:after="60"/>
      </w:pPr>
      <w:r>
        <w:rPr>
          <w:rFonts w:ascii="Poppins" w:cs="Poppins" w:eastAsia="Poppins" w:hAnsi="Poppins"/>
          <w:b/>
          <w:bCs/>
          <w:color w:val="000000"/>
          <w:sz w:val="21"/>
          <w:szCs w:val="21"/>
        </w:rPr>
        <w:t xml:space="preserve">C. </w:t>
      </w:r>
      <w:r>
        <w:rPr>
          <w:rFonts w:ascii="Poppins" w:cs="Poppins" w:eastAsia="Poppins" w:hAnsi="Poppins"/>
          <w:b w:val="false"/>
          <w:bCs w:val="false"/>
          <w:color w:val="000000"/>
          <w:sz w:val="21"/>
          <w:szCs w:val="21"/>
        </w:rPr>
        <w:t xml:space="preserve">Un mes completo en todos los casos</w:t>
      </w:r>
    </w:p>
    <w:p>
      <w:pPr>
        <w:spacing w:after="60"/>
      </w:pPr>
      <w:r>
        <w:rPr>
          <w:rFonts w:ascii="Poppins" w:cs="Poppins" w:eastAsia="Poppins" w:hAnsi="Poppins"/>
          <w:b/>
          <w:bCs/>
          <w:color w:val="000000"/>
          <w:sz w:val="21"/>
          <w:szCs w:val="21"/>
        </w:rPr>
        <w:t xml:space="preserve">D. </w:t>
      </w:r>
      <w:r>
        <w:rPr>
          <w:rFonts w:ascii="Poppins" w:cs="Poppins" w:eastAsia="Poppins" w:hAnsi="Poppins"/>
          <w:b w:val="false"/>
          <w:bCs w:val="false"/>
          <w:color w:val="000000"/>
          <w:sz w:val="21"/>
          <w:szCs w:val="21"/>
        </w:rPr>
        <w:t xml:space="preserve">No se contempla la expedición de certificados de descanso laboral en la guía</w:t>
      </w:r>
    </w:p>
    <w:p>
      <w:pPr>
        <w:spacing w:after="100" w:before="120"/>
      </w:pPr>
      <w:r>
        <w:rPr>
          <w:rFonts w:ascii="Poppins" w:cs="Poppins" w:eastAsia="Poppins" w:hAnsi="Poppins"/>
          <w:b/>
          <w:bCs/>
          <w:color w:val="001C31"/>
          <w:sz w:val="21"/>
          <w:szCs w:val="21"/>
        </w:rPr>
        <w:t xml:space="preserve">Respuesta correcta: A</w:t>
      </w:r>
    </w:p>
    <w:p>
      <w:pPr>
        <w:spacing w:after="60"/>
      </w:pPr>
      <w:r>
        <w:rPr>
          <w:rFonts w:ascii="Poppins" w:cs="Poppins" w:eastAsia="Poppins" w:hAnsi="Poppins"/>
          <w:b/>
          <w:bCs/>
          <w:color w:val="001C31"/>
          <w:sz w:val="21"/>
          <w:szCs w:val="21"/>
          <w:u w:val="single"/>
        </w:rPr>
        <w:t xml:space="preserve">Justificación de la respuesta correcta</w:t>
      </w:r>
    </w:p>
    <w:p>
      <w:pPr>
        <w:spacing w:after="150"/>
      </w:pPr>
      <w:r>
        <w:rPr>
          <w:rFonts w:ascii="Poppins" w:cs="Poppins" w:eastAsia="Poppins" w:hAnsi="Poppins"/>
          <w:sz w:val="21"/>
          <w:szCs w:val="21"/>
        </w:rPr>
        <w:t xml:space="preserve">La guía establece que se debe expedir un certificado de descanso laboral por uno a tres días según se considere necesario, en el contexto de los criterios de seguimiento y vigilancia de la cistitis.</w:t>
      </w:r>
    </w:p>
    <w:p>
      <w:pPr>
        <w:spacing w:after="60"/>
      </w:pPr>
      <w:r>
        <w:rPr>
          <w:rFonts w:ascii="Poppins" w:cs="Poppins" w:eastAsia="Poppins" w:hAnsi="Poppins"/>
          <w:b/>
          <w:bCs/>
          <w:color w:val="001C31"/>
          <w:sz w:val="21"/>
          <w:szCs w:val="21"/>
          <w:u w:val="single"/>
        </w:rPr>
        <w:t xml:space="preserve">Justificación de las opciones incorrectas</w:t>
      </w:r>
    </w:p>
    <w:p>
      <w:pPr>
        <w:spacing w:after="60"/>
      </w:pPr>
      <w:r>
        <w:rPr>
          <w:rFonts w:ascii="Poppins" w:cs="Poppins" w:eastAsia="Poppins" w:hAnsi="Poppins"/>
          <w:b/>
          <w:bCs/>
          <w:sz w:val="21"/>
          <w:szCs w:val="21"/>
        </w:rPr>
        <w:t xml:space="preserve">Opción B: </w:t>
      </w:r>
      <w:r>
        <w:rPr>
          <w:rFonts w:ascii="Poppins" w:cs="Poppins" w:eastAsia="Poppins" w:hAnsi="Poppins"/>
          <w:sz w:val="21"/>
          <w:szCs w:val="21"/>
        </w:rPr>
        <w:t xml:space="preserve">El rango de diez a quince días no corresponde al establecido por la guía; el rango específico señalado es de uno a tres días.</w:t>
      </w:r>
    </w:p>
    <w:p>
      <w:pPr>
        <w:spacing w:after="60"/>
      </w:pPr>
      <w:r>
        <w:rPr>
          <w:rFonts w:ascii="Poppins" w:cs="Poppins" w:eastAsia="Poppins" w:hAnsi="Poppins"/>
          <w:b/>
          <w:bCs/>
          <w:sz w:val="21"/>
          <w:szCs w:val="21"/>
        </w:rPr>
        <w:t xml:space="preserve">Opción C: </w:t>
      </w:r>
      <w:r>
        <w:rPr>
          <w:rFonts w:ascii="Poppins" w:cs="Poppins" w:eastAsia="Poppins" w:hAnsi="Poppins"/>
          <w:sz w:val="21"/>
          <w:szCs w:val="21"/>
        </w:rPr>
        <w:t xml:space="preserve">Un mes completo no corresponde a la recomendación de la guía; el rango indicado es considerablemente menor (uno a tres días).</w:t>
      </w:r>
    </w:p>
    <w:p>
      <w:pPr>
        <w:spacing w:after="60"/>
      </w:pPr>
      <w:r>
        <w:rPr>
          <w:rFonts w:ascii="Poppins" w:cs="Poppins" w:eastAsia="Poppins" w:hAnsi="Poppins"/>
          <w:b/>
          <w:bCs/>
          <w:sz w:val="21"/>
          <w:szCs w:val="21"/>
        </w:rPr>
        <w:t xml:space="preserve">Opción D: </w:t>
      </w:r>
      <w:r>
        <w:rPr>
          <w:rFonts w:ascii="Poppins" w:cs="Poppins" w:eastAsia="Poppins" w:hAnsi="Poppins"/>
          <w:sz w:val="21"/>
          <w:szCs w:val="21"/>
        </w:rPr>
        <w:t xml:space="preserve">La guía sí contempla explícitamente la expedición de un certificado de descanso laboral en el contexto de la cistitis.</w:t>
      </w:r>
    </w:p>
    <w:p>
      <w:pPr>
        <w:pBdr>
          <w:bottom w:val="single" w:color="B08D3F" w:sz="6" w:space="4"/>
        </w:pBdr>
        <w:spacing w:after="200" w:before="100"/>
      </w:pPr>
      <w:r>
        <w:rPr>
          <w:rFonts w:ascii="Poppins" w:cs="Poppins" w:eastAsia="Poppins" w:hAnsi="Poppins"/>
          <w:b/>
          <w:bCs/>
          <w:i/>
          <w:iCs/>
          <w:color w:val="B08D3F"/>
          <w:sz w:val="20"/>
          <w:szCs w:val="20"/>
        </w:rPr>
        <w:t xml:space="preserve">Referencia: </w:t>
      </w:r>
      <w:r>
        <w:rPr>
          <w:rFonts w:ascii="Poppins" w:cs="Poppins" w:eastAsia="Poppins" w:hAnsi="Poppins"/>
          <w:i/>
          <w:iCs/>
          <w:color w:val="555555"/>
          <w:sz w:val="20"/>
          <w:szCs w:val="20"/>
        </w:rPr>
        <w:t xml:space="preserve">Criterios de seguimiento y vigilancia. Página 19.</w:t>
      </w:r>
    </w:p>
    <w:p>
      <w:pPr>
        <w:shd w:fill="001C31" w:val="clear"/>
        <w:spacing w:after="100" w:before="300"/>
      </w:pPr>
      <w:r>
        <w:rPr>
          <w:rFonts w:ascii="Poppins" w:cs="Poppins" w:eastAsia="Poppins" w:hAnsi="Poppins"/>
          <w:b/>
          <w:bCs/>
          <w:color w:val="FFFFFF"/>
          <w:sz w:val="24"/>
          <w:szCs w:val="24"/>
        </w:rPr>
        <w:t xml:space="preserve">PREGUNTA 76</w:t>
      </w:r>
    </w:p>
    <w:p>
      <w:pPr>
        <w:spacing w:after="120"/>
      </w:pPr>
      <w:r>
        <w:rPr>
          <w:rFonts w:ascii="Poppins" w:cs="Poppins" w:eastAsia="Poppins" w:hAnsi="Poppins"/>
          <w:b/>
          <w:bCs/>
          <w:color w:val="001C31"/>
          <w:sz w:val="21"/>
          <w:szCs w:val="21"/>
        </w:rPr>
        <w:t xml:space="preserve">Pregunta: </w:t>
      </w:r>
      <w:r>
        <w:rPr>
          <w:rFonts w:ascii="Poppins" w:cs="Poppins" w:eastAsia="Poppins" w:hAnsi="Poppins"/>
          <w:sz w:val="21"/>
          <w:szCs w:val="21"/>
        </w:rPr>
        <w:t xml:space="preserve">Según la GPC, ¿qué se debe realizar luego del tratamiento de cistitis para corroborar que se eliminó la bacteriuria?</w:t>
      </w:r>
    </w:p>
    <w:p>
      <w:pPr>
        <w:spacing w:after="60"/>
      </w:pPr>
      <w:r>
        <w:rPr>
          <w:rFonts w:ascii="Poppins" w:cs="Poppins" w:eastAsia="Poppins" w:hAnsi="Poppins"/>
          <w:b/>
          <w:bCs/>
          <w:color w:val="B08D3F"/>
          <w:sz w:val="21"/>
          <w:szCs w:val="21"/>
        </w:rPr>
        <w:t xml:space="preserve">A. </w:t>
      </w:r>
      <w:r>
        <w:rPr>
          <w:rFonts w:ascii="Poppins" w:cs="Poppins" w:eastAsia="Poppins" w:hAnsi="Poppins"/>
          <w:b/>
          <w:bCs/>
          <w:color w:val="B08D3F"/>
          <w:sz w:val="21"/>
          <w:szCs w:val="21"/>
        </w:rPr>
        <w:t xml:space="preserve">Un urocultivo de control</w:t>
      </w:r>
    </w:p>
    <w:p>
      <w:pPr>
        <w:spacing w:after="60"/>
      </w:pPr>
      <w:r>
        <w:rPr>
          <w:rFonts w:ascii="Poppins" w:cs="Poppins" w:eastAsia="Poppins" w:hAnsi="Poppins"/>
          <w:b/>
          <w:bCs/>
          <w:color w:val="000000"/>
          <w:sz w:val="21"/>
          <w:szCs w:val="21"/>
        </w:rPr>
        <w:t xml:space="preserve">B. </w:t>
      </w:r>
      <w:r>
        <w:rPr>
          <w:rFonts w:ascii="Poppins" w:cs="Poppins" w:eastAsia="Poppins" w:hAnsi="Poppins"/>
          <w:b w:val="false"/>
          <w:bCs w:val="false"/>
          <w:color w:val="000000"/>
          <w:sz w:val="21"/>
          <w:szCs w:val="21"/>
        </w:rPr>
        <w:t xml:space="preserve">Una biopsia renal</w:t>
      </w:r>
    </w:p>
    <w:p>
      <w:pPr>
        <w:spacing w:after="60"/>
      </w:pPr>
      <w:r>
        <w:rPr>
          <w:rFonts w:ascii="Poppins" w:cs="Poppins" w:eastAsia="Poppins" w:hAnsi="Poppins"/>
          <w:b/>
          <w:bCs/>
          <w:color w:val="000000"/>
          <w:sz w:val="21"/>
          <w:szCs w:val="21"/>
        </w:rPr>
        <w:t xml:space="preserve">C. </w:t>
      </w:r>
      <w:r>
        <w:rPr>
          <w:rFonts w:ascii="Poppins" w:cs="Poppins" w:eastAsia="Poppins" w:hAnsi="Poppins"/>
          <w:b w:val="false"/>
          <w:bCs w:val="false"/>
          <w:color w:val="000000"/>
          <w:sz w:val="21"/>
          <w:szCs w:val="21"/>
        </w:rPr>
        <w:t xml:space="preserve">Una tomografía computarizada abdominal</w:t>
      </w:r>
    </w:p>
    <w:p>
      <w:pPr>
        <w:spacing w:after="60"/>
      </w:pPr>
      <w:r>
        <w:rPr>
          <w:rFonts w:ascii="Poppins" w:cs="Poppins" w:eastAsia="Poppins" w:hAnsi="Poppins"/>
          <w:b/>
          <w:bCs/>
          <w:color w:val="000000"/>
          <w:sz w:val="21"/>
          <w:szCs w:val="21"/>
        </w:rPr>
        <w:t xml:space="preserve">D. </w:t>
      </w:r>
      <w:r>
        <w:rPr>
          <w:rFonts w:ascii="Poppins" w:cs="Poppins" w:eastAsia="Poppins" w:hAnsi="Poppins"/>
          <w:b w:val="false"/>
          <w:bCs w:val="false"/>
          <w:color w:val="000000"/>
          <w:sz w:val="21"/>
          <w:szCs w:val="21"/>
        </w:rPr>
        <w:t xml:space="preserve">Ninguna prueba adicional, ya que se asume la curación automáticamente</w:t>
      </w:r>
    </w:p>
    <w:p>
      <w:pPr>
        <w:spacing w:after="100" w:before="120"/>
      </w:pPr>
      <w:r>
        <w:rPr>
          <w:rFonts w:ascii="Poppins" w:cs="Poppins" w:eastAsia="Poppins" w:hAnsi="Poppins"/>
          <w:b/>
          <w:bCs/>
          <w:color w:val="001C31"/>
          <w:sz w:val="21"/>
          <w:szCs w:val="21"/>
        </w:rPr>
        <w:t xml:space="preserve">Respuesta correcta: A</w:t>
      </w:r>
    </w:p>
    <w:p>
      <w:pPr>
        <w:spacing w:after="60"/>
      </w:pPr>
      <w:r>
        <w:rPr>
          <w:rFonts w:ascii="Poppins" w:cs="Poppins" w:eastAsia="Poppins" w:hAnsi="Poppins"/>
          <w:b/>
          <w:bCs/>
          <w:color w:val="001C31"/>
          <w:sz w:val="21"/>
          <w:szCs w:val="21"/>
          <w:u w:val="single"/>
        </w:rPr>
        <w:t xml:space="preserve">Justificación de la respuesta correcta</w:t>
      </w:r>
    </w:p>
    <w:p>
      <w:pPr>
        <w:spacing w:after="150"/>
      </w:pPr>
      <w:r>
        <w:rPr>
          <w:rFonts w:ascii="Poppins" w:cs="Poppins" w:eastAsia="Poppins" w:hAnsi="Poppins"/>
          <w:sz w:val="21"/>
          <w:szCs w:val="21"/>
        </w:rPr>
        <w:t xml:space="preserve">La guía establece, en los criterios de seguimiento y vigilancia, que luego del tratamiento debe realizarse un urocultivo de control para corroborar que se eliminó la bacteriuria.</w:t>
      </w:r>
    </w:p>
    <w:p>
      <w:pPr>
        <w:spacing w:after="60"/>
      </w:pPr>
      <w:r>
        <w:rPr>
          <w:rFonts w:ascii="Poppins" w:cs="Poppins" w:eastAsia="Poppins" w:hAnsi="Poppins"/>
          <w:b/>
          <w:bCs/>
          <w:color w:val="001C31"/>
          <w:sz w:val="21"/>
          <w:szCs w:val="21"/>
          <w:u w:val="single"/>
        </w:rPr>
        <w:t xml:space="preserve">Justificación de las opciones incorrectas</w:t>
      </w:r>
    </w:p>
    <w:p>
      <w:pPr>
        <w:spacing w:after="60"/>
      </w:pPr>
      <w:r>
        <w:rPr>
          <w:rFonts w:ascii="Poppins" w:cs="Poppins" w:eastAsia="Poppins" w:hAnsi="Poppins"/>
          <w:b/>
          <w:bCs/>
          <w:sz w:val="21"/>
          <w:szCs w:val="21"/>
        </w:rPr>
        <w:t xml:space="preserve">Opción B: </w:t>
      </w:r>
      <w:r>
        <w:rPr>
          <w:rFonts w:ascii="Poppins" w:cs="Poppins" w:eastAsia="Poppins" w:hAnsi="Poppins"/>
          <w:sz w:val="21"/>
          <w:szCs w:val="21"/>
        </w:rPr>
        <w:t xml:space="preserve">La biopsia renal no se menciona en la guía como parte del seguimiento tras el tratamiento de cistitis; es un procedimiento invasivo no indicado en este contexto clínico.</w:t>
      </w:r>
    </w:p>
    <w:p>
      <w:pPr>
        <w:spacing w:after="60"/>
      </w:pPr>
      <w:r>
        <w:rPr>
          <w:rFonts w:ascii="Poppins" w:cs="Poppins" w:eastAsia="Poppins" w:hAnsi="Poppins"/>
          <w:b/>
          <w:bCs/>
          <w:sz w:val="21"/>
          <w:szCs w:val="21"/>
        </w:rPr>
        <w:t xml:space="preserve">Opción C: </w:t>
      </w:r>
      <w:r>
        <w:rPr>
          <w:rFonts w:ascii="Poppins" w:cs="Poppins" w:eastAsia="Poppins" w:hAnsi="Poppins"/>
          <w:sz w:val="21"/>
          <w:szCs w:val="21"/>
        </w:rPr>
        <w:t xml:space="preserve">La tomografía computarizada abdominal no forma parte del seguimiento recomendado por la guía tras el tratamiento de cistitis o BA.</w:t>
      </w:r>
    </w:p>
    <w:p>
      <w:pPr>
        <w:spacing w:after="60"/>
      </w:pPr>
      <w:r>
        <w:rPr>
          <w:rFonts w:ascii="Poppins" w:cs="Poppins" w:eastAsia="Poppins" w:hAnsi="Poppins"/>
          <w:b/>
          <w:bCs/>
          <w:sz w:val="21"/>
          <w:szCs w:val="21"/>
        </w:rPr>
        <w:t xml:space="preserve">Opción D: </w:t>
      </w:r>
      <w:r>
        <w:rPr>
          <w:rFonts w:ascii="Poppins" w:cs="Poppins" w:eastAsia="Poppins" w:hAnsi="Poppins"/>
          <w:sz w:val="21"/>
          <w:szCs w:val="21"/>
        </w:rPr>
        <w:t xml:space="preserve">La guía exige verificación mediante urocultivo de control, no asume la curación de manera automática sin confirmación de laboratorio.</w:t>
      </w:r>
    </w:p>
    <w:p>
      <w:pPr>
        <w:pBdr>
          <w:bottom w:val="single" w:color="B08D3F" w:sz="6" w:space="4"/>
        </w:pBdr>
        <w:spacing w:after="200" w:before="100"/>
      </w:pPr>
      <w:r>
        <w:rPr>
          <w:rFonts w:ascii="Poppins" w:cs="Poppins" w:eastAsia="Poppins" w:hAnsi="Poppins"/>
          <w:b/>
          <w:bCs/>
          <w:i/>
          <w:iCs/>
          <w:color w:val="B08D3F"/>
          <w:sz w:val="20"/>
          <w:szCs w:val="20"/>
        </w:rPr>
        <w:t xml:space="preserve">Referencia: </w:t>
      </w:r>
      <w:r>
        <w:rPr>
          <w:rFonts w:ascii="Poppins" w:cs="Poppins" w:eastAsia="Poppins" w:hAnsi="Poppins"/>
          <w:i/>
          <w:iCs/>
          <w:color w:val="555555"/>
          <w:sz w:val="20"/>
          <w:szCs w:val="20"/>
        </w:rPr>
        <w:t xml:space="preserve">Criterios de seguimiento y vigilancia. Página 19.</w:t>
      </w:r>
    </w:p>
    <w:p>
      <w:pPr>
        <w:shd w:fill="001C31" w:val="clear"/>
        <w:spacing w:after="100" w:before="300"/>
      </w:pPr>
      <w:r>
        <w:rPr>
          <w:rFonts w:ascii="Poppins" w:cs="Poppins" w:eastAsia="Poppins" w:hAnsi="Poppins"/>
          <w:b/>
          <w:bCs/>
          <w:color w:val="FFFFFF"/>
          <w:sz w:val="24"/>
          <w:szCs w:val="24"/>
        </w:rPr>
        <w:t xml:space="preserve">PREGUNTA 77</w:t>
      </w:r>
    </w:p>
    <w:p>
      <w:pPr>
        <w:shd w:fill="F3ECDD" w:val="clear"/>
        <w:spacing w:after="60"/>
      </w:pPr>
      <w:r>
        <w:rPr>
          <w:rFonts w:ascii="Poppins" w:cs="Poppins" w:eastAsia="Poppins" w:hAnsi="Poppins"/>
          <w:b/>
          <w:bCs/>
          <w:i/>
          <w:iCs/>
          <w:color w:val="001C31"/>
          <w:sz w:val="21"/>
          <w:szCs w:val="21"/>
        </w:rPr>
        <w:t xml:space="preserve">Caso clínico: </w:t>
      </w:r>
      <w:r>
        <w:rPr>
          <w:rFonts w:ascii="Poppins" w:cs="Poppins" w:eastAsia="Poppins" w:hAnsi="Poppins"/>
          <w:i/>
          <w:iCs/>
          <w:sz w:val="21"/>
          <w:szCs w:val="21"/>
        </w:rPr>
        <w:t xml:space="preserve">Una paciente completa tratamiento antibiótico para cistitis. El equipo de salud plantea el esquema de seguimiento posterior.</w:t>
      </w:r>
    </w:p>
    <w:p>
      <w:pPr>
        <w:spacing w:after="120"/>
      </w:pPr>
      <w:r>
        <w:rPr>
          <w:rFonts w:ascii="Poppins" w:cs="Poppins" w:eastAsia="Poppins" w:hAnsi="Poppins"/>
          <w:b/>
          <w:bCs/>
          <w:color w:val="001C31"/>
          <w:sz w:val="21"/>
          <w:szCs w:val="21"/>
        </w:rPr>
        <w:t xml:space="preserve">Pregunta: </w:t>
      </w:r>
      <w:r>
        <w:rPr>
          <w:rFonts w:ascii="Poppins" w:cs="Poppins" w:eastAsia="Poppins" w:hAnsi="Poppins"/>
          <w:sz w:val="21"/>
          <w:szCs w:val="21"/>
        </w:rPr>
        <w:t xml:space="preserve">Según la GPC, ¿cuál es el fundamento para realizar el urocultivo de control tras el tratamiento de BA o cistitis?</w:t>
      </w:r>
    </w:p>
    <w:p>
      <w:pPr>
        <w:spacing w:after="60"/>
      </w:pPr>
      <w:r>
        <w:rPr>
          <w:rFonts w:ascii="Poppins" w:cs="Poppins" w:eastAsia="Poppins" w:hAnsi="Poppins"/>
          <w:b/>
          <w:bCs/>
          <w:color w:val="B08D3F"/>
          <w:sz w:val="21"/>
          <w:szCs w:val="21"/>
        </w:rPr>
        <w:t xml:space="preserve">A. </w:t>
      </w:r>
      <w:r>
        <w:rPr>
          <w:rFonts w:ascii="Poppins" w:cs="Poppins" w:eastAsia="Poppins" w:hAnsi="Poppins"/>
          <w:b/>
          <w:bCs/>
          <w:color w:val="B08D3F"/>
          <w:sz w:val="21"/>
          <w:szCs w:val="21"/>
        </w:rPr>
        <w:t xml:space="preserve">Documentar el éxito de la erradicación bacteriana</w:t>
      </w:r>
    </w:p>
    <w:p>
      <w:pPr>
        <w:spacing w:after="60"/>
      </w:pPr>
      <w:r>
        <w:rPr>
          <w:rFonts w:ascii="Poppins" w:cs="Poppins" w:eastAsia="Poppins" w:hAnsi="Poppins"/>
          <w:b/>
          <w:bCs/>
          <w:color w:val="000000"/>
          <w:sz w:val="21"/>
          <w:szCs w:val="21"/>
        </w:rPr>
        <w:t xml:space="preserve">B. </w:t>
      </w:r>
      <w:r>
        <w:rPr>
          <w:rFonts w:ascii="Poppins" w:cs="Poppins" w:eastAsia="Poppins" w:hAnsi="Poppins"/>
          <w:b w:val="false"/>
          <w:bCs w:val="false"/>
          <w:color w:val="000000"/>
          <w:sz w:val="21"/>
          <w:szCs w:val="21"/>
        </w:rPr>
        <w:t xml:space="preserve">Determinar el sexo fetal</w:t>
      </w:r>
    </w:p>
    <w:p>
      <w:pPr>
        <w:spacing w:after="60"/>
      </w:pPr>
      <w:r>
        <w:rPr>
          <w:rFonts w:ascii="Poppins" w:cs="Poppins" w:eastAsia="Poppins" w:hAnsi="Poppins"/>
          <w:b/>
          <w:bCs/>
          <w:color w:val="000000"/>
          <w:sz w:val="21"/>
          <w:szCs w:val="21"/>
        </w:rPr>
        <w:t xml:space="preserve">C. </w:t>
      </w:r>
      <w:r>
        <w:rPr>
          <w:rFonts w:ascii="Poppins" w:cs="Poppins" w:eastAsia="Poppins" w:hAnsi="Poppins"/>
          <w:b w:val="false"/>
          <w:bCs w:val="false"/>
          <w:color w:val="000000"/>
          <w:sz w:val="21"/>
          <w:szCs w:val="21"/>
        </w:rPr>
        <w:t xml:space="preserve">Evaluar la función tiroidea materna</w:t>
      </w:r>
    </w:p>
    <w:p>
      <w:pPr>
        <w:spacing w:after="60"/>
      </w:pPr>
      <w:r>
        <w:rPr>
          <w:rFonts w:ascii="Poppins" w:cs="Poppins" w:eastAsia="Poppins" w:hAnsi="Poppins"/>
          <w:b/>
          <w:bCs/>
          <w:color w:val="000000"/>
          <w:sz w:val="21"/>
          <w:szCs w:val="21"/>
        </w:rPr>
        <w:t xml:space="preserve">D. </w:t>
      </w:r>
      <w:r>
        <w:rPr>
          <w:rFonts w:ascii="Poppins" w:cs="Poppins" w:eastAsia="Poppins" w:hAnsi="Poppins"/>
          <w:b w:val="false"/>
          <w:bCs w:val="false"/>
          <w:color w:val="000000"/>
          <w:sz w:val="21"/>
          <w:szCs w:val="21"/>
        </w:rPr>
        <w:t xml:space="preserve">Sustituir el tamizaje de infecciones de transmisión sexual</w:t>
      </w:r>
    </w:p>
    <w:p>
      <w:pPr>
        <w:spacing w:after="100" w:before="120"/>
      </w:pPr>
      <w:r>
        <w:rPr>
          <w:rFonts w:ascii="Poppins" w:cs="Poppins" w:eastAsia="Poppins" w:hAnsi="Poppins"/>
          <w:b/>
          <w:bCs/>
          <w:color w:val="001C31"/>
          <w:sz w:val="21"/>
          <w:szCs w:val="21"/>
        </w:rPr>
        <w:t xml:space="preserve">Respuesta correcta: A</w:t>
      </w:r>
    </w:p>
    <w:p>
      <w:pPr>
        <w:spacing w:after="60"/>
      </w:pPr>
      <w:r>
        <w:rPr>
          <w:rFonts w:ascii="Poppins" w:cs="Poppins" w:eastAsia="Poppins" w:hAnsi="Poppins"/>
          <w:b/>
          <w:bCs/>
          <w:color w:val="001C31"/>
          <w:sz w:val="21"/>
          <w:szCs w:val="21"/>
          <w:u w:val="single"/>
        </w:rPr>
        <w:t xml:space="preserve">Justificación de la respuesta correcta</w:t>
      </w:r>
    </w:p>
    <w:p>
      <w:pPr>
        <w:spacing w:after="150"/>
      </w:pPr>
      <w:r>
        <w:rPr>
          <w:rFonts w:ascii="Poppins" w:cs="Poppins" w:eastAsia="Poppins" w:hAnsi="Poppins"/>
          <w:sz w:val="21"/>
          <w:szCs w:val="21"/>
        </w:rPr>
        <w:t xml:space="preserve">La guía establece, en la sección de definiciones y clasificación, que luego de completar el tratamiento antibiótico tanto de BA como de cistitis, se debe realizar urocultivo de control para documentar el éxito de la erradicación.</w:t>
      </w:r>
    </w:p>
    <w:p>
      <w:pPr>
        <w:spacing w:after="60"/>
      </w:pPr>
      <w:r>
        <w:rPr>
          <w:rFonts w:ascii="Poppins" w:cs="Poppins" w:eastAsia="Poppins" w:hAnsi="Poppins"/>
          <w:b/>
          <w:bCs/>
          <w:color w:val="001C31"/>
          <w:sz w:val="21"/>
          <w:szCs w:val="21"/>
          <w:u w:val="single"/>
        </w:rPr>
        <w:t xml:space="preserve">Justificación de las opciones incorrectas</w:t>
      </w:r>
    </w:p>
    <w:p>
      <w:pPr>
        <w:spacing w:after="60"/>
      </w:pPr>
      <w:r>
        <w:rPr>
          <w:rFonts w:ascii="Poppins" w:cs="Poppins" w:eastAsia="Poppins" w:hAnsi="Poppins"/>
          <w:b/>
          <w:bCs/>
          <w:sz w:val="21"/>
          <w:szCs w:val="21"/>
        </w:rPr>
        <w:t xml:space="preserve">Opción B: </w:t>
      </w:r>
      <w:r>
        <w:rPr>
          <w:rFonts w:ascii="Poppins" w:cs="Poppins" w:eastAsia="Poppins" w:hAnsi="Poppins"/>
          <w:sz w:val="21"/>
          <w:szCs w:val="21"/>
        </w:rPr>
        <w:t xml:space="preserve">El urocultivo no tiene relación con la determinación del sexo fetal; su finalidad es exclusivamente microbiológica, para verificar la erradicación bacteriana.</w:t>
      </w:r>
    </w:p>
    <w:p>
      <w:pPr>
        <w:spacing w:after="60"/>
      </w:pPr>
      <w:r>
        <w:rPr>
          <w:rFonts w:ascii="Poppins" w:cs="Poppins" w:eastAsia="Poppins" w:hAnsi="Poppins"/>
          <w:b/>
          <w:bCs/>
          <w:sz w:val="21"/>
          <w:szCs w:val="21"/>
        </w:rPr>
        <w:t xml:space="preserve">Opción C: </w:t>
      </w:r>
      <w:r>
        <w:rPr>
          <w:rFonts w:ascii="Poppins" w:cs="Poppins" w:eastAsia="Poppins" w:hAnsi="Poppins"/>
          <w:sz w:val="21"/>
          <w:szCs w:val="21"/>
        </w:rPr>
        <w:t xml:space="preserve">La función tiroidea materna no se evalúa mediante urocultivo; son estudios de naturaleza completamente distinta no relacionados en la guía.</w:t>
      </w:r>
    </w:p>
    <w:p>
      <w:pPr>
        <w:spacing w:after="60"/>
      </w:pPr>
      <w:r>
        <w:rPr>
          <w:rFonts w:ascii="Poppins" w:cs="Poppins" w:eastAsia="Poppins" w:hAnsi="Poppins"/>
          <w:b/>
          <w:bCs/>
          <w:sz w:val="21"/>
          <w:szCs w:val="21"/>
        </w:rPr>
        <w:t xml:space="preserve">Opción D: </w:t>
      </w:r>
      <w:r>
        <w:rPr>
          <w:rFonts w:ascii="Poppins" w:cs="Poppins" w:eastAsia="Poppins" w:hAnsi="Poppins"/>
          <w:sz w:val="21"/>
          <w:szCs w:val="21"/>
        </w:rPr>
        <w:t xml:space="preserve">El urocultivo de control no sustituye al tamizaje de infecciones de transmisión sexual; son estudios independientes con finalidades distintas.</w:t>
      </w:r>
    </w:p>
    <w:p>
      <w:pPr>
        <w:pBdr>
          <w:bottom w:val="single" w:color="B08D3F" w:sz="6" w:space="4"/>
        </w:pBdr>
        <w:spacing w:after="200" w:before="100"/>
      </w:pPr>
      <w:r>
        <w:rPr>
          <w:rFonts w:ascii="Poppins" w:cs="Poppins" w:eastAsia="Poppins" w:hAnsi="Poppins"/>
          <w:b/>
          <w:bCs/>
          <w:i/>
          <w:iCs/>
          <w:color w:val="B08D3F"/>
          <w:sz w:val="20"/>
          <w:szCs w:val="20"/>
        </w:rPr>
        <w:t xml:space="preserve">Referencia: </w:t>
      </w:r>
      <w:r>
        <w:rPr>
          <w:rFonts w:ascii="Poppins" w:cs="Poppins" w:eastAsia="Poppins" w:hAnsi="Poppins"/>
          <w:i/>
          <w:iCs/>
          <w:color w:val="555555"/>
          <w:sz w:val="20"/>
          <w:szCs w:val="20"/>
        </w:rPr>
        <w:t xml:space="preserve">Definiciones, clasificación y epidemiología de la infección de vías urinarias en el embarazo. Página 15.</w:t>
      </w:r>
    </w:p>
    <w:p>
      <w:pPr>
        <w:shd w:fill="001C31" w:val="clear"/>
        <w:spacing w:after="100" w:before="300"/>
      </w:pPr>
      <w:r>
        <w:rPr>
          <w:rFonts w:ascii="Poppins" w:cs="Poppins" w:eastAsia="Poppins" w:hAnsi="Poppins"/>
          <w:b/>
          <w:bCs/>
          <w:color w:val="FFFFFF"/>
          <w:sz w:val="24"/>
          <w:szCs w:val="24"/>
        </w:rPr>
        <w:t xml:space="preserve">PREGUNTA 78</w:t>
      </w:r>
    </w:p>
    <w:p>
      <w:pPr>
        <w:shd w:fill="F3ECDD" w:val="clear"/>
        <w:spacing w:after="60"/>
      </w:pPr>
      <w:r>
        <w:rPr>
          <w:rFonts w:ascii="Poppins" w:cs="Poppins" w:eastAsia="Poppins" w:hAnsi="Poppins"/>
          <w:b/>
          <w:bCs/>
          <w:i/>
          <w:iCs/>
          <w:color w:val="001C31"/>
          <w:sz w:val="21"/>
          <w:szCs w:val="21"/>
        </w:rPr>
        <w:t xml:space="preserve">Caso clínico: </w:t>
      </w:r>
      <w:r>
        <w:rPr>
          <w:rFonts w:ascii="Poppins" w:cs="Poppins" w:eastAsia="Poppins" w:hAnsi="Poppins"/>
          <w:i/>
          <w:iCs/>
          <w:sz w:val="21"/>
          <w:szCs w:val="21"/>
        </w:rPr>
        <w:t xml:space="preserve">Una paciente con antecedente de cistitis presenta un nuevo episodio sintomático confirmado clínicamente durante el mismo embarazo.</w:t>
      </w:r>
    </w:p>
    <w:p>
      <w:pPr>
        <w:spacing w:after="120"/>
      </w:pPr>
      <w:r>
        <w:rPr>
          <w:rFonts w:ascii="Poppins" w:cs="Poppins" w:eastAsia="Poppins" w:hAnsi="Poppins"/>
          <w:b/>
          <w:bCs/>
          <w:color w:val="001C31"/>
          <w:sz w:val="21"/>
          <w:szCs w:val="21"/>
        </w:rPr>
        <w:t xml:space="preserve">Pregunta: </w:t>
      </w:r>
      <w:r>
        <w:rPr>
          <w:rFonts w:ascii="Poppins" w:cs="Poppins" w:eastAsia="Poppins" w:hAnsi="Poppins"/>
          <w:sz w:val="21"/>
          <w:szCs w:val="21"/>
        </w:rPr>
        <w:t xml:space="preserve">Según la GPC, ¿qué uropatógeno es más probable encontrar en este nuevo episodio, considerando los datos epidemiológicos de la guía?</w:t>
      </w:r>
    </w:p>
    <w:p>
      <w:pPr>
        <w:spacing w:after="60"/>
      </w:pPr>
      <w:r>
        <w:rPr>
          <w:rFonts w:ascii="Poppins" w:cs="Poppins" w:eastAsia="Poppins" w:hAnsi="Poppins"/>
          <w:b/>
          <w:bCs/>
          <w:color w:val="B08D3F"/>
          <w:sz w:val="21"/>
          <w:szCs w:val="21"/>
        </w:rPr>
        <w:t xml:space="preserve">A. </w:t>
      </w:r>
      <w:r>
        <w:rPr>
          <w:rFonts w:ascii="Poppins" w:cs="Poppins" w:eastAsia="Poppins" w:hAnsi="Poppins"/>
          <w:b/>
          <w:bCs/>
          <w:color w:val="B08D3F"/>
          <w:sz w:val="21"/>
          <w:szCs w:val="21"/>
        </w:rPr>
        <w:t xml:space="preserve">Escherichia coli, presente en 70% a 80% de las infecciones recurrentes</w:t>
      </w:r>
    </w:p>
    <w:p>
      <w:pPr>
        <w:spacing w:after="60"/>
      </w:pPr>
      <w:r>
        <w:rPr>
          <w:rFonts w:ascii="Poppins" w:cs="Poppins" w:eastAsia="Poppins" w:hAnsi="Poppins"/>
          <w:b/>
          <w:bCs/>
          <w:color w:val="000000"/>
          <w:sz w:val="21"/>
          <w:szCs w:val="21"/>
        </w:rPr>
        <w:t xml:space="preserve">B. </w:t>
      </w:r>
      <w:r>
        <w:rPr>
          <w:rFonts w:ascii="Poppins" w:cs="Poppins" w:eastAsia="Poppins" w:hAnsi="Poppins"/>
          <w:b w:val="false"/>
          <w:bCs w:val="false"/>
          <w:color w:val="000000"/>
          <w:sz w:val="21"/>
          <w:szCs w:val="21"/>
        </w:rPr>
        <w:t xml:space="preserve">Estreptococo del grupo B de forma predominante</w:t>
      </w:r>
    </w:p>
    <w:p>
      <w:pPr>
        <w:spacing w:after="60"/>
      </w:pPr>
      <w:r>
        <w:rPr>
          <w:rFonts w:ascii="Poppins" w:cs="Poppins" w:eastAsia="Poppins" w:hAnsi="Poppins"/>
          <w:b/>
          <w:bCs/>
          <w:color w:val="000000"/>
          <w:sz w:val="21"/>
          <w:szCs w:val="21"/>
        </w:rPr>
        <w:t xml:space="preserve">C. </w:t>
      </w:r>
      <w:r>
        <w:rPr>
          <w:rFonts w:ascii="Poppins" w:cs="Poppins" w:eastAsia="Poppins" w:hAnsi="Poppins"/>
          <w:b w:val="false"/>
          <w:bCs w:val="false"/>
          <w:color w:val="000000"/>
          <w:sz w:val="21"/>
          <w:szCs w:val="21"/>
        </w:rPr>
        <w:t xml:space="preserve">Virus del papiloma humano</w:t>
      </w:r>
    </w:p>
    <w:p>
      <w:pPr>
        <w:spacing w:after="60"/>
      </w:pPr>
      <w:r>
        <w:rPr>
          <w:rFonts w:ascii="Poppins" w:cs="Poppins" w:eastAsia="Poppins" w:hAnsi="Poppins"/>
          <w:b/>
          <w:bCs/>
          <w:color w:val="000000"/>
          <w:sz w:val="21"/>
          <w:szCs w:val="21"/>
        </w:rPr>
        <w:t xml:space="preserve">D. </w:t>
      </w:r>
      <w:r>
        <w:rPr>
          <w:rFonts w:ascii="Poppins" w:cs="Poppins" w:eastAsia="Poppins" w:hAnsi="Poppins"/>
          <w:b w:val="false"/>
          <w:bCs w:val="false"/>
          <w:color w:val="000000"/>
          <w:sz w:val="21"/>
          <w:szCs w:val="21"/>
        </w:rPr>
        <w:t xml:space="preserve">Ningún patógeno específico, ya que las recurrencias son siempre estériles</w:t>
      </w:r>
    </w:p>
    <w:p>
      <w:pPr>
        <w:spacing w:after="100" w:before="120"/>
      </w:pPr>
      <w:r>
        <w:rPr>
          <w:rFonts w:ascii="Poppins" w:cs="Poppins" w:eastAsia="Poppins" w:hAnsi="Poppins"/>
          <w:b/>
          <w:bCs/>
          <w:color w:val="001C31"/>
          <w:sz w:val="21"/>
          <w:szCs w:val="21"/>
        </w:rPr>
        <w:t xml:space="preserve">Respuesta correcta: A</w:t>
      </w:r>
    </w:p>
    <w:p>
      <w:pPr>
        <w:spacing w:after="60"/>
      </w:pPr>
      <w:r>
        <w:rPr>
          <w:rFonts w:ascii="Poppins" w:cs="Poppins" w:eastAsia="Poppins" w:hAnsi="Poppins"/>
          <w:b/>
          <w:bCs/>
          <w:color w:val="001C31"/>
          <w:sz w:val="21"/>
          <w:szCs w:val="21"/>
          <w:u w:val="single"/>
        </w:rPr>
        <w:t xml:space="preserve">Justificación de la respuesta correcta</w:t>
      </w:r>
    </w:p>
    <w:p>
      <w:pPr>
        <w:spacing w:after="150"/>
      </w:pPr>
      <w:r>
        <w:rPr>
          <w:rFonts w:ascii="Poppins" w:cs="Poppins" w:eastAsia="Poppins" w:hAnsi="Poppins"/>
          <w:sz w:val="21"/>
          <w:szCs w:val="21"/>
        </w:rPr>
        <w:t xml:space="preserve">La guía establece que la etiología bacteriana de la BA y cistitis en mujeres embarazadas y no embarazadas es similar, encontrando Escherichia coli en 80% a 90% de las infecciones iniciales y en 70% a 80% de las recurrentes, por lo que en un episodio recurrente de cistitis lo más probable es encontrar nuevamente este germen.</w:t>
      </w:r>
    </w:p>
    <w:p>
      <w:pPr>
        <w:spacing w:after="60"/>
      </w:pPr>
      <w:r>
        <w:rPr>
          <w:rFonts w:ascii="Poppins" w:cs="Poppins" w:eastAsia="Poppins" w:hAnsi="Poppins"/>
          <w:b/>
          <w:bCs/>
          <w:color w:val="001C31"/>
          <w:sz w:val="21"/>
          <w:szCs w:val="21"/>
          <w:u w:val="single"/>
        </w:rPr>
        <w:t xml:space="preserve">Justificación de las opciones incorrectas</w:t>
      </w:r>
    </w:p>
    <w:p>
      <w:pPr>
        <w:spacing w:after="60"/>
      </w:pPr>
      <w:r>
        <w:rPr>
          <w:rFonts w:ascii="Poppins" w:cs="Poppins" w:eastAsia="Poppins" w:hAnsi="Poppins"/>
          <w:b/>
          <w:bCs/>
          <w:sz w:val="21"/>
          <w:szCs w:val="21"/>
        </w:rPr>
        <w:t xml:space="preserve">Opción B: </w:t>
      </w:r>
      <w:r>
        <w:rPr>
          <w:rFonts w:ascii="Poppins" w:cs="Poppins" w:eastAsia="Poppins" w:hAnsi="Poppins"/>
          <w:sz w:val="21"/>
          <w:szCs w:val="21"/>
        </w:rPr>
        <w:t xml:space="preserve">El estreptococo del grupo B no se menciona en la guía como el germen predominante en la cistitis recurrente; el germen más frecuente descrito es Escherichia coli.</w:t>
      </w:r>
    </w:p>
    <w:p>
      <w:pPr>
        <w:spacing w:after="60"/>
      </w:pPr>
      <w:r>
        <w:rPr>
          <w:rFonts w:ascii="Poppins" w:cs="Poppins" w:eastAsia="Poppins" w:hAnsi="Poppins"/>
          <w:b/>
          <w:bCs/>
          <w:sz w:val="21"/>
          <w:szCs w:val="21"/>
        </w:rPr>
        <w:t xml:space="preserve">Opción C: </w:t>
      </w:r>
      <w:r>
        <w:rPr>
          <w:rFonts w:ascii="Poppins" w:cs="Poppins" w:eastAsia="Poppins" w:hAnsi="Poppins"/>
          <w:sz w:val="21"/>
          <w:szCs w:val="21"/>
        </w:rPr>
        <w:t xml:space="preserve">El virus del papiloma humano no es un agente causal de cistitis ni se menciona en este contexto en la guía.</w:t>
      </w:r>
    </w:p>
    <w:p>
      <w:pPr>
        <w:spacing w:after="60"/>
      </w:pPr>
      <w:r>
        <w:rPr>
          <w:rFonts w:ascii="Poppins" w:cs="Poppins" w:eastAsia="Poppins" w:hAnsi="Poppins"/>
          <w:b/>
          <w:bCs/>
          <w:sz w:val="21"/>
          <w:szCs w:val="21"/>
        </w:rPr>
        <w:t xml:space="preserve">Opción D: </w:t>
      </w:r>
      <w:r>
        <w:rPr>
          <w:rFonts w:ascii="Poppins" w:cs="Poppins" w:eastAsia="Poppins" w:hAnsi="Poppins"/>
          <w:sz w:val="21"/>
          <w:szCs w:val="21"/>
        </w:rPr>
        <w:t xml:space="preserve">La guía no describe las recurrencias como episodios estériles; por el contrario, reporta un porcentaje específico (70-80%) de infecciones recurrentes por E. coli.</w:t>
      </w:r>
    </w:p>
    <w:p>
      <w:pPr>
        <w:pBdr>
          <w:bottom w:val="single" w:color="B08D3F" w:sz="6" w:space="4"/>
        </w:pBdr>
        <w:spacing w:after="200" w:before="100"/>
      </w:pPr>
      <w:r>
        <w:rPr>
          <w:rFonts w:ascii="Poppins" w:cs="Poppins" w:eastAsia="Poppins" w:hAnsi="Poppins"/>
          <w:b/>
          <w:bCs/>
          <w:i/>
          <w:iCs/>
          <w:color w:val="B08D3F"/>
          <w:sz w:val="20"/>
          <w:szCs w:val="20"/>
        </w:rPr>
        <w:t xml:space="preserve">Referencia: </w:t>
      </w:r>
      <w:r>
        <w:rPr>
          <w:rFonts w:ascii="Poppins" w:cs="Poppins" w:eastAsia="Poppins" w:hAnsi="Poppins"/>
          <w:i/>
          <w:iCs/>
          <w:color w:val="555555"/>
          <w:sz w:val="20"/>
          <w:szCs w:val="20"/>
        </w:rPr>
        <w:t xml:space="preserve">Recomendaciones para el tratamiento de IVU en el embarazo. Tratamiento de la bacteriuria asintomática. Página 18.</w:t>
      </w:r>
    </w:p>
    <w:p>
      <w:pPr>
        <w:shd w:fill="001C31" w:val="clear"/>
        <w:spacing w:after="100" w:before="300"/>
      </w:pPr>
      <w:r>
        <w:rPr>
          <w:rFonts w:ascii="Poppins" w:cs="Poppins" w:eastAsia="Poppins" w:hAnsi="Poppins"/>
          <w:b/>
          <w:bCs/>
          <w:color w:val="FFFFFF"/>
          <w:sz w:val="24"/>
          <w:szCs w:val="24"/>
        </w:rPr>
        <w:t xml:space="preserve">PREGUNTA 79</w:t>
      </w:r>
    </w:p>
    <w:p>
      <w:pPr>
        <w:spacing w:after="120"/>
      </w:pPr>
      <w:r>
        <w:rPr>
          <w:rFonts w:ascii="Poppins" w:cs="Poppins" w:eastAsia="Poppins" w:hAnsi="Poppins"/>
          <w:b/>
          <w:bCs/>
          <w:color w:val="001C31"/>
          <w:sz w:val="21"/>
          <w:szCs w:val="21"/>
        </w:rPr>
        <w:t xml:space="preserve">Pregunta: </w:t>
      </w:r>
      <w:r>
        <w:rPr>
          <w:rFonts w:ascii="Poppins" w:cs="Poppins" w:eastAsia="Poppins" w:hAnsi="Poppins"/>
          <w:sz w:val="21"/>
          <w:szCs w:val="21"/>
        </w:rPr>
        <w:t xml:space="preserve">Según la GPC, ¿qué se logra al referir a la paciente a centros con adecuada complejidad y capacidad resolutiva una vez establecido el diagnóstico?</w:t>
      </w:r>
    </w:p>
    <w:p>
      <w:pPr>
        <w:spacing w:after="60"/>
      </w:pPr>
      <w:r>
        <w:rPr>
          <w:rFonts w:ascii="Poppins" w:cs="Poppins" w:eastAsia="Poppins" w:hAnsi="Poppins"/>
          <w:b/>
          <w:bCs/>
          <w:color w:val="B08D3F"/>
          <w:sz w:val="21"/>
          <w:szCs w:val="21"/>
        </w:rPr>
        <w:t xml:space="preserve">A. </w:t>
      </w:r>
      <w:r>
        <w:rPr>
          <w:rFonts w:ascii="Poppins" w:cs="Poppins" w:eastAsia="Poppins" w:hAnsi="Poppins"/>
          <w:b/>
          <w:bCs/>
          <w:color w:val="B08D3F"/>
          <w:sz w:val="21"/>
          <w:szCs w:val="21"/>
        </w:rPr>
        <w:t xml:space="preserve">Tomar decisiones de especialidad acertadas y oportunas</w:t>
      </w:r>
    </w:p>
    <w:p>
      <w:pPr>
        <w:spacing w:after="60"/>
      </w:pPr>
      <w:r>
        <w:rPr>
          <w:rFonts w:ascii="Poppins" w:cs="Poppins" w:eastAsia="Poppins" w:hAnsi="Poppins"/>
          <w:b/>
          <w:bCs/>
          <w:color w:val="000000"/>
          <w:sz w:val="21"/>
          <w:szCs w:val="21"/>
        </w:rPr>
        <w:t xml:space="preserve">B. </w:t>
      </w:r>
      <w:r>
        <w:rPr>
          <w:rFonts w:ascii="Poppins" w:cs="Poppins" w:eastAsia="Poppins" w:hAnsi="Poppins"/>
          <w:b w:val="false"/>
          <w:bCs w:val="false"/>
          <w:color w:val="000000"/>
          <w:sz w:val="21"/>
          <w:szCs w:val="21"/>
        </w:rPr>
        <w:t xml:space="preserve">Retrasar innecesariamente el tratamiento antibiótico</w:t>
      </w:r>
    </w:p>
    <w:p>
      <w:pPr>
        <w:spacing w:after="60"/>
      </w:pPr>
      <w:r>
        <w:rPr>
          <w:rFonts w:ascii="Poppins" w:cs="Poppins" w:eastAsia="Poppins" w:hAnsi="Poppins"/>
          <w:b/>
          <w:bCs/>
          <w:color w:val="000000"/>
          <w:sz w:val="21"/>
          <w:szCs w:val="21"/>
        </w:rPr>
        <w:t xml:space="preserve">C. </w:t>
      </w:r>
      <w:r>
        <w:rPr>
          <w:rFonts w:ascii="Poppins" w:cs="Poppins" w:eastAsia="Poppins" w:hAnsi="Poppins"/>
          <w:b w:val="false"/>
          <w:bCs w:val="false"/>
          <w:color w:val="000000"/>
          <w:sz w:val="21"/>
          <w:szCs w:val="21"/>
        </w:rPr>
        <w:t xml:space="preserve">Eliminar la necesidad de urocultivo de control</w:t>
      </w:r>
    </w:p>
    <w:p>
      <w:pPr>
        <w:spacing w:after="60"/>
      </w:pPr>
      <w:r>
        <w:rPr>
          <w:rFonts w:ascii="Poppins" w:cs="Poppins" w:eastAsia="Poppins" w:hAnsi="Poppins"/>
          <w:b/>
          <w:bCs/>
          <w:color w:val="000000"/>
          <w:sz w:val="21"/>
          <w:szCs w:val="21"/>
        </w:rPr>
        <w:t xml:space="preserve">D. </w:t>
      </w:r>
      <w:r>
        <w:rPr>
          <w:rFonts w:ascii="Poppins" w:cs="Poppins" w:eastAsia="Poppins" w:hAnsi="Poppins"/>
          <w:b w:val="false"/>
          <w:bCs w:val="false"/>
          <w:color w:val="000000"/>
          <w:sz w:val="21"/>
          <w:szCs w:val="21"/>
        </w:rPr>
        <w:t xml:space="preserve">Sustituir por completo el manejo en el primer nivel de atención para toda paciente embarazada</w:t>
      </w:r>
    </w:p>
    <w:p>
      <w:pPr>
        <w:spacing w:after="100" w:before="120"/>
      </w:pPr>
      <w:r>
        <w:rPr>
          <w:rFonts w:ascii="Poppins" w:cs="Poppins" w:eastAsia="Poppins" w:hAnsi="Poppins"/>
          <w:b/>
          <w:bCs/>
          <w:color w:val="001C31"/>
          <w:sz w:val="21"/>
          <w:szCs w:val="21"/>
        </w:rPr>
        <w:t xml:space="preserve">Respuesta correcta: A</w:t>
      </w:r>
    </w:p>
    <w:p>
      <w:pPr>
        <w:spacing w:after="60"/>
      </w:pPr>
      <w:r>
        <w:rPr>
          <w:rFonts w:ascii="Poppins" w:cs="Poppins" w:eastAsia="Poppins" w:hAnsi="Poppins"/>
          <w:b/>
          <w:bCs/>
          <w:color w:val="001C31"/>
          <w:sz w:val="21"/>
          <w:szCs w:val="21"/>
          <w:u w:val="single"/>
        </w:rPr>
        <w:t xml:space="preserve">Justificación de la respuesta correcta</w:t>
      </w:r>
    </w:p>
    <w:p>
      <w:pPr>
        <w:spacing w:after="150"/>
      </w:pPr>
      <w:r>
        <w:rPr>
          <w:rFonts w:ascii="Poppins" w:cs="Poppins" w:eastAsia="Poppins" w:hAnsi="Poppins"/>
          <w:sz w:val="21"/>
          <w:szCs w:val="21"/>
        </w:rPr>
        <w:t xml:space="preserve">La guía establece, en los criterios de referencia y contrarreferencia, que referir a la paciente a centros con adecuada complejidad y capacidad resolutiva una vez que se ha establecido el diagnóstico permite tomar decisiones de especialidad acertadas y oportunas.</w:t>
      </w:r>
    </w:p>
    <w:p>
      <w:pPr>
        <w:spacing w:after="60"/>
      </w:pPr>
      <w:r>
        <w:rPr>
          <w:rFonts w:ascii="Poppins" w:cs="Poppins" w:eastAsia="Poppins" w:hAnsi="Poppins"/>
          <w:b/>
          <w:bCs/>
          <w:color w:val="001C31"/>
          <w:sz w:val="21"/>
          <w:szCs w:val="21"/>
          <w:u w:val="single"/>
        </w:rPr>
        <w:t xml:space="preserve">Justificación de las opciones incorrectas</w:t>
      </w:r>
    </w:p>
    <w:p>
      <w:pPr>
        <w:spacing w:after="60"/>
      </w:pPr>
      <w:r>
        <w:rPr>
          <w:rFonts w:ascii="Poppins" w:cs="Poppins" w:eastAsia="Poppins" w:hAnsi="Poppins"/>
          <w:b/>
          <w:bCs/>
          <w:sz w:val="21"/>
          <w:szCs w:val="21"/>
        </w:rPr>
        <w:t xml:space="preserve">Opción B: </w:t>
      </w:r>
      <w:r>
        <w:rPr>
          <w:rFonts w:ascii="Poppins" w:cs="Poppins" w:eastAsia="Poppins" w:hAnsi="Poppins"/>
          <w:sz w:val="21"/>
          <w:szCs w:val="21"/>
        </w:rPr>
        <w:t xml:space="preserve">La guía no plantea la referencia como un mecanismo que retrase el tratamiento; por el contrario, busca decisiones oportunas y acertadas de especialidad.</w:t>
      </w:r>
    </w:p>
    <w:p>
      <w:pPr>
        <w:spacing w:after="60"/>
      </w:pPr>
      <w:r>
        <w:rPr>
          <w:rFonts w:ascii="Poppins" w:cs="Poppins" w:eastAsia="Poppins" w:hAnsi="Poppins"/>
          <w:b/>
          <w:bCs/>
          <w:sz w:val="21"/>
          <w:szCs w:val="21"/>
        </w:rPr>
        <w:t xml:space="preserve">Opción C: </w:t>
      </w:r>
      <w:r>
        <w:rPr>
          <w:rFonts w:ascii="Poppins" w:cs="Poppins" w:eastAsia="Poppins" w:hAnsi="Poppins"/>
          <w:sz w:val="21"/>
          <w:szCs w:val="21"/>
        </w:rPr>
        <w:t xml:space="preserve">La referencia a mayor nivel de complejidad no elimina la necesidad de urocultivo de control, que sigue siendo parte del seguimiento estándar de BA y cistitis.</w:t>
      </w:r>
    </w:p>
    <w:p>
      <w:pPr>
        <w:spacing w:after="60"/>
      </w:pPr>
      <w:r>
        <w:rPr>
          <w:rFonts w:ascii="Poppins" w:cs="Poppins" w:eastAsia="Poppins" w:hAnsi="Poppins"/>
          <w:b/>
          <w:bCs/>
          <w:sz w:val="21"/>
          <w:szCs w:val="21"/>
        </w:rPr>
        <w:t xml:space="preserve">Opción D: </w:t>
      </w:r>
      <w:r>
        <w:rPr>
          <w:rFonts w:ascii="Poppins" w:cs="Poppins" w:eastAsia="Poppins" w:hAnsi="Poppins"/>
          <w:sz w:val="21"/>
          <w:szCs w:val="21"/>
        </w:rPr>
        <w:t xml:space="preserve">La guía no propone sustituir el manejo de primer nivel para toda paciente embarazada; la referencia se reserva para casos específicos con criterios definidos, no para el manejo general de todas las pacientes.</w:t>
      </w:r>
    </w:p>
    <w:p>
      <w:pPr>
        <w:pBdr>
          <w:bottom w:val="single" w:color="B08D3F" w:sz="6" w:space="4"/>
        </w:pBdr>
        <w:spacing w:after="200" w:before="100"/>
      </w:pPr>
      <w:r>
        <w:rPr>
          <w:rFonts w:ascii="Poppins" w:cs="Poppins" w:eastAsia="Poppins" w:hAnsi="Poppins"/>
          <w:b/>
          <w:bCs/>
          <w:i/>
          <w:iCs/>
          <w:color w:val="B08D3F"/>
          <w:sz w:val="20"/>
          <w:szCs w:val="20"/>
        </w:rPr>
        <w:t xml:space="preserve">Referencia: </w:t>
      </w:r>
      <w:r>
        <w:rPr>
          <w:rFonts w:ascii="Poppins" w:cs="Poppins" w:eastAsia="Poppins" w:hAnsi="Poppins"/>
          <w:i/>
          <w:iCs/>
          <w:color w:val="555555"/>
          <w:sz w:val="20"/>
          <w:szCs w:val="20"/>
        </w:rPr>
        <w:t xml:space="preserve">Criterios de referencia y contrarreferencia. Página 20.</w:t>
      </w:r>
    </w:p>
    <w:p>
      <w:pPr>
        <w:shd w:fill="001C31" w:val="clear"/>
        <w:spacing w:after="100" w:before="300"/>
      </w:pPr>
      <w:r>
        <w:rPr>
          <w:rFonts w:ascii="Poppins" w:cs="Poppins" w:eastAsia="Poppins" w:hAnsi="Poppins"/>
          <w:b/>
          <w:bCs/>
          <w:color w:val="FFFFFF"/>
          <w:sz w:val="24"/>
          <w:szCs w:val="24"/>
        </w:rPr>
        <w:t xml:space="preserve">PREGUNTA 80</w:t>
      </w:r>
    </w:p>
    <w:p>
      <w:pPr>
        <w:shd w:fill="F3ECDD" w:val="clear"/>
        <w:spacing w:after="60"/>
      </w:pPr>
      <w:r>
        <w:rPr>
          <w:rFonts w:ascii="Poppins" w:cs="Poppins" w:eastAsia="Poppins" w:hAnsi="Poppins"/>
          <w:b/>
          <w:bCs/>
          <w:i/>
          <w:iCs/>
          <w:color w:val="001C31"/>
          <w:sz w:val="21"/>
          <w:szCs w:val="21"/>
        </w:rPr>
        <w:t xml:space="preserve">Caso clínico: </w:t>
      </w:r>
      <w:r>
        <w:rPr>
          <w:rFonts w:ascii="Poppins" w:cs="Poppins" w:eastAsia="Poppins" w:hAnsi="Poppins"/>
          <w:i/>
          <w:iCs/>
          <w:sz w:val="21"/>
          <w:szCs w:val="21"/>
        </w:rPr>
        <w:t xml:space="preserve">Una paciente embarazada con IVU no responde adecuadamente al tratamiento antibiótico de primera línea instaurado en el primer nivel de atención.</w:t>
      </w:r>
    </w:p>
    <w:p>
      <w:pPr>
        <w:spacing w:after="120"/>
      </w:pPr>
      <w:r>
        <w:rPr>
          <w:rFonts w:ascii="Poppins" w:cs="Poppins" w:eastAsia="Poppins" w:hAnsi="Poppins"/>
          <w:b/>
          <w:bCs/>
          <w:color w:val="001C31"/>
          <w:sz w:val="21"/>
          <w:szCs w:val="21"/>
        </w:rPr>
        <w:t xml:space="preserve">Pregunta: </w:t>
      </w:r>
      <w:r>
        <w:rPr>
          <w:rFonts w:ascii="Poppins" w:cs="Poppins" w:eastAsia="Poppins" w:hAnsi="Poppins"/>
          <w:sz w:val="21"/>
          <w:szCs w:val="21"/>
        </w:rPr>
        <w:t xml:space="preserve">Según la GPC, ¿corresponde la referencia inmediata al nivel superior en este caso?</w:t>
      </w:r>
    </w:p>
    <w:p>
      <w:pPr>
        <w:spacing w:after="60"/>
      </w:pPr>
      <w:r>
        <w:rPr>
          <w:rFonts w:ascii="Poppins" w:cs="Poppins" w:eastAsia="Poppins" w:hAnsi="Poppins"/>
          <w:b/>
          <w:bCs/>
          <w:color w:val="B08D3F"/>
          <w:sz w:val="21"/>
          <w:szCs w:val="21"/>
        </w:rPr>
        <w:t xml:space="preserve">A. </w:t>
      </w:r>
      <w:r>
        <w:rPr>
          <w:rFonts w:ascii="Poppins" w:cs="Poppins" w:eastAsia="Poppins" w:hAnsi="Poppins"/>
          <w:b/>
          <w:bCs/>
          <w:color w:val="B08D3F"/>
          <w:sz w:val="21"/>
          <w:szCs w:val="21"/>
        </w:rPr>
        <w:t xml:space="preserve">Sí, la respuesta inadecuada al tratamiento es uno de los criterios de referencia inmediata al nivel superior</w:t>
      </w:r>
    </w:p>
    <w:p>
      <w:pPr>
        <w:spacing w:after="60"/>
      </w:pPr>
      <w:r>
        <w:rPr>
          <w:rFonts w:ascii="Poppins" w:cs="Poppins" w:eastAsia="Poppins" w:hAnsi="Poppins"/>
          <w:b/>
          <w:bCs/>
          <w:color w:val="000000"/>
          <w:sz w:val="21"/>
          <w:szCs w:val="21"/>
        </w:rPr>
        <w:t xml:space="preserve">B. </w:t>
      </w:r>
      <w:r>
        <w:rPr>
          <w:rFonts w:ascii="Poppins" w:cs="Poppins" w:eastAsia="Poppins" w:hAnsi="Poppins"/>
          <w:b w:val="false"/>
          <w:bCs w:val="false"/>
          <w:color w:val="000000"/>
          <w:sz w:val="21"/>
          <w:szCs w:val="21"/>
        </w:rPr>
        <w:t xml:space="preserve">No, se debe insistir con el mismo esquema antibiótico por al menos 21 días adicionales antes de referir</w:t>
      </w:r>
    </w:p>
    <w:p>
      <w:pPr>
        <w:spacing w:after="60"/>
      </w:pPr>
      <w:r>
        <w:rPr>
          <w:rFonts w:ascii="Poppins" w:cs="Poppins" w:eastAsia="Poppins" w:hAnsi="Poppins"/>
          <w:b/>
          <w:bCs/>
          <w:color w:val="000000"/>
          <w:sz w:val="21"/>
          <w:szCs w:val="21"/>
        </w:rPr>
        <w:t xml:space="preserve">C. </w:t>
      </w:r>
      <w:r>
        <w:rPr>
          <w:rFonts w:ascii="Poppins" w:cs="Poppins" w:eastAsia="Poppins" w:hAnsi="Poppins"/>
          <w:b w:val="false"/>
          <w:bCs w:val="false"/>
          <w:color w:val="000000"/>
          <w:sz w:val="21"/>
          <w:szCs w:val="21"/>
        </w:rPr>
        <w:t xml:space="preserve">No, la respuesta inadecuada al tratamiento no es criterio de referencia según esta guía</w:t>
      </w:r>
    </w:p>
    <w:p>
      <w:pPr>
        <w:spacing w:after="60"/>
      </w:pPr>
      <w:r>
        <w:rPr>
          <w:rFonts w:ascii="Poppins" w:cs="Poppins" w:eastAsia="Poppins" w:hAnsi="Poppins"/>
          <w:b/>
          <w:bCs/>
          <w:color w:val="000000"/>
          <w:sz w:val="21"/>
          <w:szCs w:val="21"/>
        </w:rPr>
        <w:t xml:space="preserve">D. </w:t>
      </w:r>
      <w:r>
        <w:rPr>
          <w:rFonts w:ascii="Poppins" w:cs="Poppins" w:eastAsia="Poppins" w:hAnsi="Poppins"/>
          <w:b w:val="false"/>
          <w:bCs w:val="false"/>
          <w:color w:val="000000"/>
          <w:sz w:val="21"/>
          <w:szCs w:val="21"/>
        </w:rPr>
        <w:t xml:space="preserve">Solo se refiere si además presenta fiebre mayor a 40°C</w:t>
      </w:r>
    </w:p>
    <w:p>
      <w:pPr>
        <w:spacing w:after="100" w:before="120"/>
      </w:pPr>
      <w:r>
        <w:rPr>
          <w:rFonts w:ascii="Poppins" w:cs="Poppins" w:eastAsia="Poppins" w:hAnsi="Poppins"/>
          <w:b/>
          <w:bCs/>
          <w:color w:val="001C31"/>
          <w:sz w:val="21"/>
          <w:szCs w:val="21"/>
        </w:rPr>
        <w:t xml:space="preserve">Respuesta correcta: A</w:t>
      </w:r>
    </w:p>
    <w:p>
      <w:pPr>
        <w:spacing w:after="60"/>
      </w:pPr>
      <w:r>
        <w:rPr>
          <w:rFonts w:ascii="Poppins" w:cs="Poppins" w:eastAsia="Poppins" w:hAnsi="Poppins"/>
          <w:b/>
          <w:bCs/>
          <w:color w:val="001C31"/>
          <w:sz w:val="21"/>
          <w:szCs w:val="21"/>
          <w:u w:val="single"/>
        </w:rPr>
        <w:t xml:space="preserve">Justificación de la respuesta correcta</w:t>
      </w:r>
    </w:p>
    <w:p>
      <w:pPr>
        <w:spacing w:after="150"/>
      </w:pPr>
      <w:r>
        <w:rPr>
          <w:rFonts w:ascii="Poppins" w:cs="Poppins" w:eastAsia="Poppins" w:hAnsi="Poppins"/>
          <w:sz w:val="21"/>
          <w:szCs w:val="21"/>
        </w:rPr>
        <w:t xml:space="preserve">La guía establece que la referencia inmediata al nivel superior de embarazadas con IVU está indicada en los siguientes casos: respuesta inadecuada al tratamiento, intolerancia y/o alergia a los fármacos de primer nivel, diagnóstico clínico de pielonefritis, y complicaciones obstétricas relacionadas a IVU (parto pretérmino, ruptura de membranas).</w:t>
      </w:r>
    </w:p>
    <w:p>
      <w:pPr>
        <w:spacing w:after="60"/>
      </w:pPr>
      <w:r>
        <w:rPr>
          <w:rFonts w:ascii="Poppins" w:cs="Poppins" w:eastAsia="Poppins" w:hAnsi="Poppins"/>
          <w:b/>
          <w:bCs/>
          <w:color w:val="001C31"/>
          <w:sz w:val="21"/>
          <w:szCs w:val="21"/>
          <w:u w:val="single"/>
        </w:rPr>
        <w:t xml:space="preserve">Justificación de las opciones incorrectas</w:t>
      </w:r>
    </w:p>
    <w:p>
      <w:pPr>
        <w:spacing w:after="60"/>
      </w:pPr>
      <w:r>
        <w:rPr>
          <w:rFonts w:ascii="Poppins" w:cs="Poppins" w:eastAsia="Poppins" w:hAnsi="Poppins"/>
          <w:b/>
          <w:bCs/>
          <w:sz w:val="21"/>
          <w:szCs w:val="21"/>
        </w:rPr>
        <w:t xml:space="preserve">Opción B: </w:t>
      </w:r>
      <w:r>
        <w:rPr>
          <w:rFonts w:ascii="Poppins" w:cs="Poppins" w:eastAsia="Poppins" w:hAnsi="Poppins"/>
          <w:sz w:val="21"/>
          <w:szCs w:val="21"/>
        </w:rPr>
        <w:t xml:space="preserve">La guía no recomienda insistir con el mismo esquema antibiótico por 21 días adicionales ante una respuesta inadecuada; por el contrario, indica referencia inmediata en ese escenario.</w:t>
      </w:r>
    </w:p>
    <w:p>
      <w:pPr>
        <w:spacing w:after="60"/>
      </w:pPr>
      <w:r>
        <w:rPr>
          <w:rFonts w:ascii="Poppins" w:cs="Poppins" w:eastAsia="Poppins" w:hAnsi="Poppins"/>
          <w:b/>
          <w:bCs/>
          <w:sz w:val="21"/>
          <w:szCs w:val="21"/>
        </w:rPr>
        <w:t xml:space="preserve">Opción C: </w:t>
      </w:r>
      <w:r>
        <w:rPr>
          <w:rFonts w:ascii="Poppins" w:cs="Poppins" w:eastAsia="Poppins" w:hAnsi="Poppins"/>
          <w:sz w:val="21"/>
          <w:szCs w:val="21"/>
        </w:rPr>
        <w:t xml:space="preserve">La guía sí identifica explícitamente la respuesta inadecuada al tratamiento como uno de los criterios de referencia inmediata al nivel superior.</w:t>
      </w:r>
    </w:p>
    <w:p>
      <w:pPr>
        <w:spacing w:after="60"/>
      </w:pPr>
      <w:r>
        <w:rPr>
          <w:rFonts w:ascii="Poppins" w:cs="Poppins" w:eastAsia="Poppins" w:hAnsi="Poppins"/>
          <w:b/>
          <w:bCs/>
          <w:sz w:val="21"/>
          <w:szCs w:val="21"/>
        </w:rPr>
        <w:t xml:space="preserve">Opción D: </w:t>
      </w:r>
      <w:r>
        <w:rPr>
          <w:rFonts w:ascii="Poppins" w:cs="Poppins" w:eastAsia="Poppins" w:hAnsi="Poppins"/>
          <w:sz w:val="21"/>
          <w:szCs w:val="21"/>
        </w:rPr>
        <w:t xml:space="preserve">La guía no exige una temperatura específica como 40°C para justificar la referencia; el criterio de respuesta inadecuada al tratamiento es suficiente por sí mismo para la referencia inmediata.</w:t>
      </w:r>
    </w:p>
    <w:p>
      <w:pPr>
        <w:pBdr>
          <w:bottom w:val="single" w:color="B08D3F" w:sz="6" w:space="4"/>
        </w:pBdr>
        <w:spacing w:after="200" w:before="100"/>
      </w:pPr>
      <w:r>
        <w:rPr>
          <w:rFonts w:ascii="Poppins" w:cs="Poppins" w:eastAsia="Poppins" w:hAnsi="Poppins"/>
          <w:b/>
          <w:bCs/>
          <w:i/>
          <w:iCs/>
          <w:color w:val="B08D3F"/>
          <w:sz w:val="20"/>
          <w:szCs w:val="20"/>
        </w:rPr>
        <w:t xml:space="preserve">Referencia: </w:t>
      </w:r>
      <w:r>
        <w:rPr>
          <w:rFonts w:ascii="Poppins" w:cs="Poppins" w:eastAsia="Poppins" w:hAnsi="Poppins"/>
          <w:i/>
          <w:iCs/>
          <w:color w:val="555555"/>
          <w:sz w:val="20"/>
          <w:szCs w:val="20"/>
        </w:rPr>
        <w:t xml:space="preserve">Criterios de referencia y contrarreferencia. Referencia a consulta externa de ginecología y obstetricia y/o emergencias. Página 20.</w:t>
      </w:r>
    </w:p>
    <w:p>
      <w:pPr>
        <w:shd w:fill="001C31" w:val="clear"/>
        <w:spacing w:after="100" w:before="300"/>
      </w:pPr>
      <w:r>
        <w:rPr>
          <w:rFonts w:ascii="Poppins" w:cs="Poppins" w:eastAsia="Poppins" w:hAnsi="Poppins"/>
          <w:b/>
          <w:bCs/>
          <w:color w:val="FFFFFF"/>
          <w:sz w:val="24"/>
          <w:szCs w:val="24"/>
        </w:rPr>
        <w:t xml:space="preserve">PREGUNTA 81</w:t>
      </w:r>
    </w:p>
    <w:p>
      <w:pPr>
        <w:shd w:fill="F3ECDD" w:val="clear"/>
        <w:spacing w:after="60"/>
      </w:pPr>
      <w:r>
        <w:rPr>
          <w:rFonts w:ascii="Poppins" w:cs="Poppins" w:eastAsia="Poppins" w:hAnsi="Poppins"/>
          <w:b/>
          <w:bCs/>
          <w:i/>
          <w:iCs/>
          <w:color w:val="001C31"/>
          <w:sz w:val="21"/>
          <w:szCs w:val="21"/>
        </w:rPr>
        <w:t xml:space="preserve">Caso clínico: </w:t>
      </w:r>
      <w:r>
        <w:rPr>
          <w:rFonts w:ascii="Poppins" w:cs="Poppins" w:eastAsia="Poppins" w:hAnsi="Poppins"/>
          <w:i/>
          <w:iCs/>
          <w:sz w:val="21"/>
          <w:szCs w:val="21"/>
        </w:rPr>
        <w:t xml:space="preserve">Una paciente embarazada refiere alergia documentada a la nitrofurantoína, fármaco de primera línea prescrito en el primer nivel de atención para tratar su BA.</w:t>
      </w:r>
    </w:p>
    <w:p>
      <w:pPr>
        <w:spacing w:after="120"/>
      </w:pPr>
      <w:r>
        <w:rPr>
          <w:rFonts w:ascii="Poppins" w:cs="Poppins" w:eastAsia="Poppins" w:hAnsi="Poppins"/>
          <w:b/>
          <w:bCs/>
          <w:color w:val="001C31"/>
          <w:sz w:val="21"/>
          <w:szCs w:val="21"/>
        </w:rPr>
        <w:t xml:space="preserve">Pregunta: </w:t>
      </w:r>
      <w:r>
        <w:rPr>
          <w:rFonts w:ascii="Poppins" w:cs="Poppins" w:eastAsia="Poppins" w:hAnsi="Poppins"/>
          <w:sz w:val="21"/>
          <w:szCs w:val="21"/>
        </w:rPr>
        <w:t xml:space="preserve">Según la GPC, ¿corresponde la referencia inmediata al nivel superior en este caso?</w:t>
      </w:r>
    </w:p>
    <w:p>
      <w:pPr>
        <w:spacing w:after="60"/>
      </w:pPr>
      <w:r>
        <w:rPr>
          <w:rFonts w:ascii="Poppins" w:cs="Poppins" w:eastAsia="Poppins" w:hAnsi="Poppins"/>
          <w:b/>
          <w:bCs/>
          <w:color w:val="B08D3F"/>
          <w:sz w:val="21"/>
          <w:szCs w:val="21"/>
        </w:rPr>
        <w:t xml:space="preserve">A. </w:t>
      </w:r>
      <w:r>
        <w:rPr>
          <w:rFonts w:ascii="Poppins" w:cs="Poppins" w:eastAsia="Poppins" w:hAnsi="Poppins"/>
          <w:b/>
          <w:bCs/>
          <w:color w:val="B08D3F"/>
          <w:sz w:val="21"/>
          <w:szCs w:val="21"/>
        </w:rPr>
        <w:t xml:space="preserve">Sí, la intolerancia y/o alergia a los fármacos de primer nivel es uno de los criterios de referencia inmediata</w:t>
      </w:r>
    </w:p>
    <w:p>
      <w:pPr>
        <w:spacing w:after="60"/>
      </w:pPr>
      <w:r>
        <w:rPr>
          <w:rFonts w:ascii="Poppins" w:cs="Poppins" w:eastAsia="Poppins" w:hAnsi="Poppins"/>
          <w:b/>
          <w:bCs/>
          <w:color w:val="000000"/>
          <w:sz w:val="21"/>
          <w:szCs w:val="21"/>
        </w:rPr>
        <w:t xml:space="preserve">B. </w:t>
      </w:r>
      <w:r>
        <w:rPr>
          <w:rFonts w:ascii="Poppins" w:cs="Poppins" w:eastAsia="Poppins" w:hAnsi="Poppins"/>
          <w:b w:val="false"/>
          <w:bCs w:val="false"/>
          <w:color w:val="000000"/>
          <w:sz w:val="21"/>
          <w:szCs w:val="21"/>
        </w:rPr>
        <w:t xml:space="preserve">No, se debe simplemente duplicar la dosis del mismo fármaco</w:t>
      </w:r>
    </w:p>
    <w:p>
      <w:pPr>
        <w:spacing w:after="60"/>
      </w:pPr>
      <w:r>
        <w:rPr>
          <w:rFonts w:ascii="Poppins" w:cs="Poppins" w:eastAsia="Poppins" w:hAnsi="Poppins"/>
          <w:b/>
          <w:bCs/>
          <w:color w:val="000000"/>
          <w:sz w:val="21"/>
          <w:szCs w:val="21"/>
        </w:rPr>
        <w:t xml:space="preserve">C. </w:t>
      </w:r>
      <w:r>
        <w:rPr>
          <w:rFonts w:ascii="Poppins" w:cs="Poppins" w:eastAsia="Poppins" w:hAnsi="Poppins"/>
          <w:b w:val="false"/>
          <w:bCs w:val="false"/>
          <w:color w:val="000000"/>
          <w:sz w:val="21"/>
          <w:szCs w:val="21"/>
        </w:rPr>
        <w:t xml:space="preserve">No, la alergia a fármacos nunca es criterio de referencia según la guía</w:t>
      </w:r>
    </w:p>
    <w:p>
      <w:pPr>
        <w:spacing w:after="60"/>
      </w:pPr>
      <w:r>
        <w:rPr>
          <w:rFonts w:ascii="Poppins" w:cs="Poppins" w:eastAsia="Poppins" w:hAnsi="Poppins"/>
          <w:b/>
          <w:bCs/>
          <w:color w:val="000000"/>
          <w:sz w:val="21"/>
          <w:szCs w:val="21"/>
        </w:rPr>
        <w:t xml:space="preserve">D. </w:t>
      </w:r>
      <w:r>
        <w:rPr>
          <w:rFonts w:ascii="Poppins" w:cs="Poppins" w:eastAsia="Poppins" w:hAnsi="Poppins"/>
          <w:b w:val="false"/>
          <w:bCs w:val="false"/>
          <w:color w:val="000000"/>
          <w:sz w:val="21"/>
          <w:szCs w:val="21"/>
        </w:rPr>
        <w:t xml:space="preserve">Solo se refiere si la alergia produce shock anafiláctico documentado</w:t>
      </w:r>
    </w:p>
    <w:p>
      <w:pPr>
        <w:spacing w:after="100" w:before="120"/>
      </w:pPr>
      <w:r>
        <w:rPr>
          <w:rFonts w:ascii="Poppins" w:cs="Poppins" w:eastAsia="Poppins" w:hAnsi="Poppins"/>
          <w:b/>
          <w:bCs/>
          <w:color w:val="001C31"/>
          <w:sz w:val="21"/>
          <w:szCs w:val="21"/>
        </w:rPr>
        <w:t xml:space="preserve">Respuesta correcta: A</w:t>
      </w:r>
    </w:p>
    <w:p>
      <w:pPr>
        <w:spacing w:after="60"/>
      </w:pPr>
      <w:r>
        <w:rPr>
          <w:rFonts w:ascii="Poppins" w:cs="Poppins" w:eastAsia="Poppins" w:hAnsi="Poppins"/>
          <w:b/>
          <w:bCs/>
          <w:color w:val="001C31"/>
          <w:sz w:val="21"/>
          <w:szCs w:val="21"/>
          <w:u w:val="single"/>
        </w:rPr>
        <w:t xml:space="preserve">Justificación de la respuesta correcta</w:t>
      </w:r>
    </w:p>
    <w:p>
      <w:pPr>
        <w:spacing w:after="150"/>
      </w:pPr>
      <w:r>
        <w:rPr>
          <w:rFonts w:ascii="Poppins" w:cs="Poppins" w:eastAsia="Poppins" w:hAnsi="Poppins"/>
          <w:sz w:val="21"/>
          <w:szCs w:val="21"/>
        </w:rPr>
        <w:t xml:space="preserve">La guía establece explícitamente que la intolerancia y/o alergia a los fármacos de primer nivel es uno de los criterios de referencia inmediata al nivel superior en embarazadas con IVU.</w:t>
      </w:r>
    </w:p>
    <w:p>
      <w:pPr>
        <w:spacing w:after="60"/>
      </w:pPr>
      <w:r>
        <w:rPr>
          <w:rFonts w:ascii="Poppins" w:cs="Poppins" w:eastAsia="Poppins" w:hAnsi="Poppins"/>
          <w:b/>
          <w:bCs/>
          <w:color w:val="001C31"/>
          <w:sz w:val="21"/>
          <w:szCs w:val="21"/>
          <w:u w:val="single"/>
        </w:rPr>
        <w:t xml:space="preserve">Justificación de las opciones incorrectas</w:t>
      </w:r>
    </w:p>
    <w:p>
      <w:pPr>
        <w:spacing w:after="60"/>
      </w:pPr>
      <w:r>
        <w:rPr>
          <w:rFonts w:ascii="Poppins" w:cs="Poppins" w:eastAsia="Poppins" w:hAnsi="Poppins"/>
          <w:b/>
          <w:bCs/>
          <w:sz w:val="21"/>
          <w:szCs w:val="21"/>
        </w:rPr>
        <w:t xml:space="preserve">Opción B: </w:t>
      </w:r>
      <w:r>
        <w:rPr>
          <w:rFonts w:ascii="Poppins" w:cs="Poppins" w:eastAsia="Poppins" w:hAnsi="Poppins"/>
          <w:sz w:val="21"/>
          <w:szCs w:val="21"/>
        </w:rPr>
        <w:t xml:space="preserve">Duplicar la dosis de un fármaco al que la paciente es alérgica no es una conducta segura ni recomendada por la guía; ante intolerancia o alergia corresponde la referencia inmediata.</w:t>
      </w:r>
    </w:p>
    <w:p>
      <w:pPr>
        <w:spacing w:after="60"/>
      </w:pPr>
      <w:r>
        <w:rPr>
          <w:rFonts w:ascii="Poppins" w:cs="Poppins" w:eastAsia="Poppins" w:hAnsi="Poppins"/>
          <w:b/>
          <w:bCs/>
          <w:sz w:val="21"/>
          <w:szCs w:val="21"/>
        </w:rPr>
        <w:t xml:space="preserve">Opción C: </w:t>
      </w:r>
      <w:r>
        <w:rPr>
          <w:rFonts w:ascii="Poppins" w:cs="Poppins" w:eastAsia="Poppins" w:hAnsi="Poppins"/>
          <w:sz w:val="21"/>
          <w:szCs w:val="21"/>
        </w:rPr>
        <w:t xml:space="preserve">La guía sí identifica explícitamente la intolerancia y/o alergia a los fármacos de primer nivel como criterio de referencia inmediata.</w:t>
      </w:r>
    </w:p>
    <w:p>
      <w:pPr>
        <w:spacing w:after="60"/>
      </w:pPr>
      <w:r>
        <w:rPr>
          <w:rFonts w:ascii="Poppins" w:cs="Poppins" w:eastAsia="Poppins" w:hAnsi="Poppins"/>
          <w:b/>
          <w:bCs/>
          <w:sz w:val="21"/>
          <w:szCs w:val="21"/>
        </w:rPr>
        <w:t xml:space="preserve">Opción D: </w:t>
      </w:r>
      <w:r>
        <w:rPr>
          <w:rFonts w:ascii="Poppins" w:cs="Poppins" w:eastAsia="Poppins" w:hAnsi="Poppins"/>
          <w:sz w:val="21"/>
          <w:szCs w:val="21"/>
        </w:rPr>
        <w:t xml:space="preserve">La guía no exige que la alergia se manifieste como shock anafiláctico para justificar la referencia; basta con la intolerancia o alergia documentada a los fármacos de primer nivel.</w:t>
      </w:r>
    </w:p>
    <w:p>
      <w:pPr>
        <w:pBdr>
          <w:bottom w:val="single" w:color="B08D3F" w:sz="6" w:space="4"/>
        </w:pBdr>
        <w:spacing w:after="200" w:before="100"/>
      </w:pPr>
      <w:r>
        <w:rPr>
          <w:rFonts w:ascii="Poppins" w:cs="Poppins" w:eastAsia="Poppins" w:hAnsi="Poppins"/>
          <w:b/>
          <w:bCs/>
          <w:i/>
          <w:iCs/>
          <w:color w:val="B08D3F"/>
          <w:sz w:val="20"/>
          <w:szCs w:val="20"/>
        </w:rPr>
        <w:t xml:space="preserve">Referencia: </w:t>
      </w:r>
      <w:r>
        <w:rPr>
          <w:rFonts w:ascii="Poppins" w:cs="Poppins" w:eastAsia="Poppins" w:hAnsi="Poppins"/>
          <w:i/>
          <w:iCs/>
          <w:color w:val="555555"/>
          <w:sz w:val="20"/>
          <w:szCs w:val="20"/>
        </w:rPr>
        <w:t xml:space="preserve">Criterios de referencia y contrarreferencia. Referencia a consulta externa de ginecología y obstetricia y/o emergencias. Página 20.</w:t>
      </w:r>
    </w:p>
    <w:p>
      <w:pPr>
        <w:shd w:fill="001C31" w:val="clear"/>
        <w:spacing w:after="100" w:before="300"/>
      </w:pPr>
      <w:r>
        <w:rPr>
          <w:rFonts w:ascii="Poppins" w:cs="Poppins" w:eastAsia="Poppins" w:hAnsi="Poppins"/>
          <w:b/>
          <w:bCs/>
          <w:color w:val="FFFFFF"/>
          <w:sz w:val="24"/>
          <w:szCs w:val="24"/>
        </w:rPr>
        <w:t xml:space="preserve">PREGUNTA 82</w:t>
      </w:r>
    </w:p>
    <w:p>
      <w:pPr>
        <w:shd w:fill="F3ECDD" w:val="clear"/>
        <w:spacing w:after="60"/>
      </w:pPr>
      <w:r>
        <w:rPr>
          <w:rFonts w:ascii="Poppins" w:cs="Poppins" w:eastAsia="Poppins" w:hAnsi="Poppins"/>
          <w:b/>
          <w:bCs/>
          <w:i/>
          <w:iCs/>
          <w:color w:val="001C31"/>
          <w:sz w:val="21"/>
          <w:szCs w:val="21"/>
        </w:rPr>
        <w:t xml:space="preserve">Caso clínico: </w:t>
      </w:r>
      <w:r>
        <w:rPr>
          <w:rFonts w:ascii="Poppins" w:cs="Poppins" w:eastAsia="Poppins" w:hAnsi="Poppins"/>
          <w:i/>
          <w:iCs/>
          <w:sz w:val="21"/>
          <w:szCs w:val="21"/>
        </w:rPr>
        <w:t xml:space="preserve">Una paciente embarazada presenta diagnóstico clínico de pielonefritis, con fiebre, escalofrío y dolor costovertebral.</w:t>
      </w:r>
    </w:p>
    <w:p>
      <w:pPr>
        <w:spacing w:after="120"/>
      </w:pPr>
      <w:r>
        <w:rPr>
          <w:rFonts w:ascii="Poppins" w:cs="Poppins" w:eastAsia="Poppins" w:hAnsi="Poppins"/>
          <w:b/>
          <w:bCs/>
          <w:color w:val="001C31"/>
          <w:sz w:val="21"/>
          <w:szCs w:val="21"/>
        </w:rPr>
        <w:t xml:space="preserve">Pregunta: </w:t>
      </w:r>
      <w:r>
        <w:rPr>
          <w:rFonts w:ascii="Poppins" w:cs="Poppins" w:eastAsia="Poppins" w:hAnsi="Poppins"/>
          <w:sz w:val="21"/>
          <w:szCs w:val="21"/>
        </w:rPr>
        <w:t xml:space="preserve">Según la GPC, ¿qué conducta corresponde en el primer nivel de atención?</w:t>
      </w:r>
    </w:p>
    <w:p>
      <w:pPr>
        <w:spacing w:after="60"/>
      </w:pPr>
      <w:r>
        <w:rPr>
          <w:rFonts w:ascii="Poppins" w:cs="Poppins" w:eastAsia="Poppins" w:hAnsi="Poppins"/>
          <w:b/>
          <w:bCs/>
          <w:color w:val="B08D3F"/>
          <w:sz w:val="21"/>
          <w:szCs w:val="21"/>
        </w:rPr>
        <w:t xml:space="preserve">A. </w:t>
      </w:r>
      <w:r>
        <w:rPr>
          <w:rFonts w:ascii="Poppins" w:cs="Poppins" w:eastAsia="Poppins" w:hAnsi="Poppins"/>
          <w:b/>
          <w:bCs/>
          <w:color w:val="B08D3F"/>
          <w:sz w:val="21"/>
          <w:szCs w:val="21"/>
        </w:rPr>
        <w:t xml:space="preserve">Referencia inmediata al nivel superior, dado que el diagnóstico clínico de pielonefritis es uno de los criterios de referencia inmediata</w:t>
      </w:r>
    </w:p>
    <w:p>
      <w:pPr>
        <w:spacing w:after="60"/>
      </w:pPr>
      <w:r>
        <w:rPr>
          <w:rFonts w:ascii="Poppins" w:cs="Poppins" w:eastAsia="Poppins" w:hAnsi="Poppins"/>
          <w:b/>
          <w:bCs/>
          <w:color w:val="000000"/>
          <w:sz w:val="21"/>
          <w:szCs w:val="21"/>
        </w:rPr>
        <w:t xml:space="preserve">B. </w:t>
      </w:r>
      <w:r>
        <w:rPr>
          <w:rFonts w:ascii="Poppins" w:cs="Poppins" w:eastAsia="Poppins" w:hAnsi="Poppins"/>
          <w:b w:val="false"/>
          <w:bCs w:val="false"/>
          <w:color w:val="000000"/>
          <w:sz w:val="21"/>
          <w:szCs w:val="21"/>
        </w:rPr>
        <w:t xml:space="preserve">Manejo ambulatorio con nitrofurantoína, igual que para BA o cistitis</w:t>
      </w:r>
    </w:p>
    <w:p>
      <w:pPr>
        <w:spacing w:after="60"/>
      </w:pPr>
      <w:r>
        <w:rPr>
          <w:rFonts w:ascii="Poppins" w:cs="Poppins" w:eastAsia="Poppins" w:hAnsi="Poppins"/>
          <w:b/>
          <w:bCs/>
          <w:color w:val="000000"/>
          <w:sz w:val="21"/>
          <w:szCs w:val="21"/>
        </w:rPr>
        <w:t xml:space="preserve">C. </w:t>
      </w:r>
      <w:r>
        <w:rPr>
          <w:rFonts w:ascii="Poppins" w:cs="Poppins" w:eastAsia="Poppins" w:hAnsi="Poppins"/>
          <w:b w:val="false"/>
          <w:bCs w:val="false"/>
          <w:color w:val="000000"/>
          <w:sz w:val="21"/>
          <w:szCs w:val="21"/>
        </w:rPr>
        <w:t xml:space="preserve">Alta domiciliaria con control en 15 días</w:t>
      </w:r>
    </w:p>
    <w:p>
      <w:pPr>
        <w:spacing w:after="60"/>
      </w:pPr>
      <w:r>
        <w:rPr>
          <w:rFonts w:ascii="Poppins" w:cs="Poppins" w:eastAsia="Poppins" w:hAnsi="Poppins"/>
          <w:b/>
          <w:bCs/>
          <w:color w:val="000000"/>
          <w:sz w:val="21"/>
          <w:szCs w:val="21"/>
        </w:rPr>
        <w:t xml:space="preserve">D. </w:t>
      </w:r>
      <w:r>
        <w:rPr>
          <w:rFonts w:ascii="Poppins" w:cs="Poppins" w:eastAsia="Poppins" w:hAnsi="Poppins"/>
          <w:b w:val="false"/>
          <w:bCs w:val="false"/>
          <w:color w:val="000000"/>
          <w:sz w:val="21"/>
          <w:szCs w:val="21"/>
        </w:rPr>
        <w:t xml:space="preserve">Observación sin tratamiento antibiótico hasta confirmar el urocultivo</w:t>
      </w:r>
    </w:p>
    <w:p>
      <w:pPr>
        <w:spacing w:after="100" w:before="120"/>
      </w:pPr>
      <w:r>
        <w:rPr>
          <w:rFonts w:ascii="Poppins" w:cs="Poppins" w:eastAsia="Poppins" w:hAnsi="Poppins"/>
          <w:b/>
          <w:bCs/>
          <w:color w:val="001C31"/>
          <w:sz w:val="21"/>
          <w:szCs w:val="21"/>
        </w:rPr>
        <w:t xml:space="preserve">Respuesta correcta: A</w:t>
      </w:r>
    </w:p>
    <w:p>
      <w:pPr>
        <w:spacing w:after="60"/>
      </w:pPr>
      <w:r>
        <w:rPr>
          <w:rFonts w:ascii="Poppins" w:cs="Poppins" w:eastAsia="Poppins" w:hAnsi="Poppins"/>
          <w:b/>
          <w:bCs/>
          <w:color w:val="001C31"/>
          <w:sz w:val="21"/>
          <w:szCs w:val="21"/>
          <w:u w:val="single"/>
        </w:rPr>
        <w:t xml:space="preserve">Justificación de la respuesta correcta</w:t>
      </w:r>
    </w:p>
    <w:p>
      <w:pPr>
        <w:spacing w:after="150"/>
      </w:pPr>
      <w:r>
        <w:rPr>
          <w:rFonts w:ascii="Poppins" w:cs="Poppins" w:eastAsia="Poppins" w:hAnsi="Poppins"/>
          <w:sz w:val="21"/>
          <w:szCs w:val="21"/>
        </w:rPr>
        <w:t xml:space="preserve">La guía establece que la referencia inmediata al nivel superior de embarazadas con IVU está indicada, entre otros casos, ante el diagnóstico clínico de pielonefritis, dado el mayor riesgo de complicaciones asociado a esta presentación.</w:t>
      </w:r>
    </w:p>
    <w:p>
      <w:pPr>
        <w:spacing w:after="60"/>
      </w:pPr>
      <w:r>
        <w:rPr>
          <w:rFonts w:ascii="Poppins" w:cs="Poppins" w:eastAsia="Poppins" w:hAnsi="Poppins"/>
          <w:b/>
          <w:bCs/>
          <w:color w:val="001C31"/>
          <w:sz w:val="21"/>
          <w:szCs w:val="21"/>
          <w:u w:val="single"/>
        </w:rPr>
        <w:t xml:space="preserve">Justificación de las opciones incorrectas</w:t>
      </w:r>
    </w:p>
    <w:p>
      <w:pPr>
        <w:spacing w:after="60"/>
      </w:pPr>
      <w:r>
        <w:rPr>
          <w:rFonts w:ascii="Poppins" w:cs="Poppins" w:eastAsia="Poppins" w:hAnsi="Poppins"/>
          <w:b/>
          <w:bCs/>
          <w:sz w:val="21"/>
          <w:szCs w:val="21"/>
        </w:rPr>
        <w:t xml:space="preserve">Opción B: </w:t>
      </w:r>
      <w:r>
        <w:rPr>
          <w:rFonts w:ascii="Poppins" w:cs="Poppins" w:eastAsia="Poppins" w:hAnsi="Poppins"/>
          <w:sz w:val="21"/>
          <w:szCs w:val="21"/>
        </w:rPr>
        <w:t xml:space="preserve">La guía no recomienda el mismo manejo ambulatorio con nitrofurantoína para la pielonefritis que para BA o cistitis; la pielonefritis constituye un criterio explícito de referencia inmediata a nivel superior.</w:t>
      </w:r>
    </w:p>
    <w:p>
      <w:pPr>
        <w:spacing w:after="60"/>
      </w:pPr>
      <w:r>
        <w:rPr>
          <w:rFonts w:ascii="Poppins" w:cs="Poppins" w:eastAsia="Poppins" w:hAnsi="Poppins"/>
          <w:b/>
          <w:bCs/>
          <w:sz w:val="21"/>
          <w:szCs w:val="21"/>
        </w:rPr>
        <w:t xml:space="preserve">Opción C: </w:t>
      </w:r>
      <w:r>
        <w:rPr>
          <w:rFonts w:ascii="Poppins" w:cs="Poppins" w:eastAsia="Poppins" w:hAnsi="Poppins"/>
          <w:sz w:val="21"/>
          <w:szCs w:val="21"/>
        </w:rPr>
        <w:t xml:space="preserve">El alta domiciliaria con control diferido no corresponde a la conducta recomendada ante un diagnóstico clínico de pielonefritis; se indica referencia inmediata, no manejo ambulatorio diferido.</w:t>
      </w:r>
    </w:p>
    <w:p>
      <w:pPr>
        <w:spacing w:after="60"/>
      </w:pPr>
      <w:r>
        <w:rPr>
          <w:rFonts w:ascii="Poppins" w:cs="Poppins" w:eastAsia="Poppins" w:hAnsi="Poppins"/>
          <w:b/>
          <w:bCs/>
          <w:sz w:val="21"/>
          <w:szCs w:val="21"/>
        </w:rPr>
        <w:t xml:space="preserve">Opción D: </w:t>
      </w:r>
      <w:r>
        <w:rPr>
          <w:rFonts w:ascii="Poppins" w:cs="Poppins" w:eastAsia="Poppins" w:hAnsi="Poppins"/>
          <w:sz w:val="21"/>
          <w:szCs w:val="21"/>
        </w:rPr>
        <w:t xml:space="preserve">La guía no recomienda observación sin tratamiento antibiótico ante sospecha de pielonefritis; por el contrario, indica referencia inmediata para manejo especializado oportuno.</w:t>
      </w:r>
    </w:p>
    <w:p>
      <w:pPr>
        <w:pBdr>
          <w:bottom w:val="single" w:color="B08D3F" w:sz="6" w:space="4"/>
        </w:pBdr>
        <w:spacing w:after="200" w:before="100"/>
      </w:pPr>
      <w:r>
        <w:rPr>
          <w:rFonts w:ascii="Poppins" w:cs="Poppins" w:eastAsia="Poppins" w:hAnsi="Poppins"/>
          <w:b/>
          <w:bCs/>
          <w:i/>
          <w:iCs/>
          <w:color w:val="B08D3F"/>
          <w:sz w:val="20"/>
          <w:szCs w:val="20"/>
        </w:rPr>
        <w:t xml:space="preserve">Referencia: </w:t>
      </w:r>
      <w:r>
        <w:rPr>
          <w:rFonts w:ascii="Poppins" w:cs="Poppins" w:eastAsia="Poppins" w:hAnsi="Poppins"/>
          <w:i/>
          <w:iCs/>
          <w:color w:val="555555"/>
          <w:sz w:val="20"/>
          <w:szCs w:val="20"/>
        </w:rPr>
        <w:t xml:space="preserve">Criterios de referencia y contrarreferencia. Referencia a consulta externa de ginecología y obstetricia y/o emergencias. Página 20.</w:t>
      </w:r>
    </w:p>
    <w:p>
      <w:pPr>
        <w:shd w:fill="001C31" w:val="clear"/>
        <w:spacing w:after="100" w:before="300"/>
      </w:pPr>
      <w:r>
        <w:rPr>
          <w:rFonts w:ascii="Poppins" w:cs="Poppins" w:eastAsia="Poppins" w:hAnsi="Poppins"/>
          <w:b/>
          <w:bCs/>
          <w:color w:val="FFFFFF"/>
          <w:sz w:val="24"/>
          <w:szCs w:val="24"/>
        </w:rPr>
        <w:t xml:space="preserve">PREGUNTA 83</w:t>
      </w:r>
    </w:p>
    <w:p>
      <w:pPr>
        <w:spacing w:after="120"/>
      </w:pPr>
      <w:r>
        <w:rPr>
          <w:rFonts w:ascii="Poppins" w:cs="Poppins" w:eastAsia="Poppins" w:hAnsi="Poppins"/>
          <w:b/>
          <w:bCs/>
          <w:color w:val="001C31"/>
          <w:sz w:val="21"/>
          <w:szCs w:val="21"/>
        </w:rPr>
        <w:t xml:space="preserve">Pregunta: </w:t>
      </w:r>
      <w:r>
        <w:rPr>
          <w:rFonts w:ascii="Poppins" w:cs="Poppins" w:eastAsia="Poppins" w:hAnsi="Poppins"/>
          <w:sz w:val="21"/>
          <w:szCs w:val="21"/>
        </w:rPr>
        <w:t xml:space="preserve">Según la GPC, ¿cuáles son las complicaciones obstétricas relacionadas a IVU que constituyen criterio de referencia inmediata?</w:t>
      </w:r>
    </w:p>
    <w:p>
      <w:pPr>
        <w:spacing w:after="60"/>
      </w:pPr>
      <w:r>
        <w:rPr>
          <w:rFonts w:ascii="Poppins" w:cs="Poppins" w:eastAsia="Poppins" w:hAnsi="Poppins"/>
          <w:b/>
          <w:bCs/>
          <w:color w:val="B08D3F"/>
          <w:sz w:val="21"/>
          <w:szCs w:val="21"/>
        </w:rPr>
        <w:t xml:space="preserve">A. </w:t>
      </w:r>
      <w:r>
        <w:rPr>
          <w:rFonts w:ascii="Poppins" w:cs="Poppins" w:eastAsia="Poppins" w:hAnsi="Poppins"/>
          <w:b/>
          <w:bCs/>
          <w:color w:val="B08D3F"/>
          <w:sz w:val="21"/>
          <w:szCs w:val="21"/>
        </w:rPr>
        <w:t xml:space="preserve">Parto pretérmino y ruptura de membranas</w:t>
      </w:r>
    </w:p>
    <w:p>
      <w:pPr>
        <w:spacing w:after="60"/>
      </w:pPr>
      <w:r>
        <w:rPr>
          <w:rFonts w:ascii="Poppins" w:cs="Poppins" w:eastAsia="Poppins" w:hAnsi="Poppins"/>
          <w:b/>
          <w:bCs/>
          <w:color w:val="000000"/>
          <w:sz w:val="21"/>
          <w:szCs w:val="21"/>
        </w:rPr>
        <w:t xml:space="preserve">B. </w:t>
      </w:r>
      <w:r>
        <w:rPr>
          <w:rFonts w:ascii="Poppins" w:cs="Poppins" w:eastAsia="Poppins" w:hAnsi="Poppins"/>
          <w:b w:val="false"/>
          <w:bCs w:val="false"/>
          <w:color w:val="000000"/>
          <w:sz w:val="21"/>
          <w:szCs w:val="21"/>
        </w:rPr>
        <w:t xml:space="preserve">Únicamente la preeclampsia severa</w:t>
      </w:r>
    </w:p>
    <w:p>
      <w:pPr>
        <w:spacing w:after="60"/>
      </w:pPr>
      <w:r>
        <w:rPr>
          <w:rFonts w:ascii="Poppins" w:cs="Poppins" w:eastAsia="Poppins" w:hAnsi="Poppins"/>
          <w:b/>
          <w:bCs/>
          <w:color w:val="000000"/>
          <w:sz w:val="21"/>
          <w:szCs w:val="21"/>
        </w:rPr>
        <w:t xml:space="preserve">C. </w:t>
      </w:r>
      <w:r>
        <w:rPr>
          <w:rFonts w:ascii="Poppins" w:cs="Poppins" w:eastAsia="Poppins" w:hAnsi="Poppins"/>
          <w:b w:val="false"/>
          <w:bCs w:val="false"/>
          <w:color w:val="000000"/>
          <w:sz w:val="21"/>
          <w:szCs w:val="21"/>
        </w:rPr>
        <w:t xml:space="preserve">Exclusivamente la restricción del crecimiento fetal</w:t>
      </w:r>
    </w:p>
    <w:p>
      <w:pPr>
        <w:spacing w:after="60"/>
      </w:pPr>
      <w:r>
        <w:rPr>
          <w:rFonts w:ascii="Poppins" w:cs="Poppins" w:eastAsia="Poppins" w:hAnsi="Poppins"/>
          <w:b/>
          <w:bCs/>
          <w:color w:val="000000"/>
          <w:sz w:val="21"/>
          <w:szCs w:val="21"/>
        </w:rPr>
        <w:t xml:space="preserve">D. </w:t>
      </w:r>
      <w:r>
        <w:rPr>
          <w:rFonts w:ascii="Poppins" w:cs="Poppins" w:eastAsia="Poppins" w:hAnsi="Poppins"/>
          <w:b w:val="false"/>
          <w:bCs w:val="false"/>
          <w:color w:val="000000"/>
          <w:sz w:val="21"/>
          <w:szCs w:val="21"/>
        </w:rPr>
        <w:t xml:space="preserve">Solamente el embarazo múltiple</w:t>
      </w:r>
    </w:p>
    <w:p>
      <w:pPr>
        <w:spacing w:after="100" w:before="120"/>
      </w:pPr>
      <w:r>
        <w:rPr>
          <w:rFonts w:ascii="Poppins" w:cs="Poppins" w:eastAsia="Poppins" w:hAnsi="Poppins"/>
          <w:b/>
          <w:bCs/>
          <w:color w:val="001C31"/>
          <w:sz w:val="21"/>
          <w:szCs w:val="21"/>
        </w:rPr>
        <w:t xml:space="preserve">Respuesta correcta: A</w:t>
      </w:r>
    </w:p>
    <w:p>
      <w:pPr>
        <w:spacing w:after="60"/>
      </w:pPr>
      <w:r>
        <w:rPr>
          <w:rFonts w:ascii="Poppins" w:cs="Poppins" w:eastAsia="Poppins" w:hAnsi="Poppins"/>
          <w:b/>
          <w:bCs/>
          <w:color w:val="001C31"/>
          <w:sz w:val="21"/>
          <w:szCs w:val="21"/>
          <w:u w:val="single"/>
        </w:rPr>
        <w:t xml:space="preserve">Justificación de la respuesta correcta</w:t>
      </w:r>
    </w:p>
    <w:p>
      <w:pPr>
        <w:spacing w:after="150"/>
      </w:pPr>
      <w:r>
        <w:rPr>
          <w:rFonts w:ascii="Poppins" w:cs="Poppins" w:eastAsia="Poppins" w:hAnsi="Poppins"/>
          <w:sz w:val="21"/>
          <w:szCs w:val="21"/>
        </w:rPr>
        <w:t xml:space="preserve">La guía establece que la referencia inmediata al nivel superior está indicada, entre otros criterios, con complicaciones obstétricas relacionadas a IVU: parto pretérmino y ruptura de membranas.</w:t>
      </w:r>
    </w:p>
    <w:p>
      <w:pPr>
        <w:spacing w:after="60"/>
      </w:pPr>
      <w:r>
        <w:rPr>
          <w:rFonts w:ascii="Poppins" w:cs="Poppins" w:eastAsia="Poppins" w:hAnsi="Poppins"/>
          <w:b/>
          <w:bCs/>
          <w:color w:val="001C31"/>
          <w:sz w:val="21"/>
          <w:szCs w:val="21"/>
          <w:u w:val="single"/>
        </w:rPr>
        <w:t xml:space="preserve">Justificación de las opciones incorrectas</w:t>
      </w:r>
    </w:p>
    <w:p>
      <w:pPr>
        <w:spacing w:after="60"/>
      </w:pPr>
      <w:r>
        <w:rPr>
          <w:rFonts w:ascii="Poppins" w:cs="Poppins" w:eastAsia="Poppins" w:hAnsi="Poppins"/>
          <w:b/>
          <w:bCs/>
          <w:sz w:val="21"/>
          <w:szCs w:val="21"/>
        </w:rPr>
        <w:t xml:space="preserve">Opción B: </w:t>
      </w:r>
      <w:r>
        <w:rPr>
          <w:rFonts w:ascii="Poppins" w:cs="Poppins" w:eastAsia="Poppins" w:hAnsi="Poppins"/>
          <w:sz w:val="21"/>
          <w:szCs w:val="21"/>
        </w:rPr>
        <w:t xml:space="preserve">La preeclampsia severa no se menciona en la guía como una de las complicaciones obstétricas relacionadas específicamente a IVU que constituyen criterio de referencia en este apartado.</w:t>
      </w:r>
    </w:p>
    <w:p>
      <w:pPr>
        <w:spacing w:after="60"/>
      </w:pPr>
      <w:r>
        <w:rPr>
          <w:rFonts w:ascii="Poppins" w:cs="Poppins" w:eastAsia="Poppins" w:hAnsi="Poppins"/>
          <w:b/>
          <w:bCs/>
          <w:sz w:val="21"/>
          <w:szCs w:val="21"/>
        </w:rPr>
        <w:t xml:space="preserve">Opción C: </w:t>
      </w:r>
      <w:r>
        <w:rPr>
          <w:rFonts w:ascii="Poppins" w:cs="Poppins" w:eastAsia="Poppins" w:hAnsi="Poppins"/>
          <w:sz w:val="21"/>
          <w:szCs w:val="21"/>
        </w:rPr>
        <w:t xml:space="preserve">La restricción del crecimiento fetal, aunque se define en el glosario de la guía, no se menciona como criterio específico de referencia relacionado a complicaciones por IVU en esta sección.</w:t>
      </w:r>
    </w:p>
    <w:p>
      <w:pPr>
        <w:spacing w:after="60"/>
      </w:pPr>
      <w:r>
        <w:rPr>
          <w:rFonts w:ascii="Poppins" w:cs="Poppins" w:eastAsia="Poppins" w:hAnsi="Poppins"/>
          <w:b/>
          <w:bCs/>
          <w:sz w:val="21"/>
          <w:szCs w:val="21"/>
        </w:rPr>
        <w:t xml:space="preserve">Opción D: </w:t>
      </w:r>
      <w:r>
        <w:rPr>
          <w:rFonts w:ascii="Poppins" w:cs="Poppins" w:eastAsia="Poppins" w:hAnsi="Poppins"/>
          <w:sz w:val="21"/>
          <w:szCs w:val="21"/>
        </w:rPr>
        <w:t xml:space="preserve">El embarazo múltiple no se menciona en la guía como criterio de referencia relacionado a las complicaciones obstétricas de la IVU.</w:t>
      </w:r>
    </w:p>
    <w:p>
      <w:pPr>
        <w:pBdr>
          <w:bottom w:val="single" w:color="B08D3F" w:sz="6" w:space="4"/>
        </w:pBdr>
        <w:spacing w:after="200" w:before="100"/>
      </w:pPr>
      <w:r>
        <w:rPr>
          <w:rFonts w:ascii="Poppins" w:cs="Poppins" w:eastAsia="Poppins" w:hAnsi="Poppins"/>
          <w:b/>
          <w:bCs/>
          <w:i/>
          <w:iCs/>
          <w:color w:val="B08D3F"/>
          <w:sz w:val="20"/>
          <w:szCs w:val="20"/>
        </w:rPr>
        <w:t xml:space="preserve">Referencia: </w:t>
      </w:r>
      <w:r>
        <w:rPr>
          <w:rFonts w:ascii="Poppins" w:cs="Poppins" w:eastAsia="Poppins" w:hAnsi="Poppins"/>
          <w:i/>
          <w:iCs/>
          <w:color w:val="555555"/>
          <w:sz w:val="20"/>
          <w:szCs w:val="20"/>
        </w:rPr>
        <w:t xml:space="preserve">Criterios de referencia y contrarreferencia. Referencia a consulta externa de ginecología y obstetricia y/o emergencias. Página 20.</w:t>
      </w:r>
    </w:p>
    <w:p>
      <w:pPr>
        <w:shd w:fill="001C31" w:val="clear"/>
        <w:spacing w:after="100" w:before="300"/>
      </w:pPr>
      <w:r>
        <w:rPr>
          <w:rFonts w:ascii="Poppins" w:cs="Poppins" w:eastAsia="Poppins" w:hAnsi="Poppins"/>
          <w:b/>
          <w:bCs/>
          <w:color w:val="FFFFFF"/>
          <w:sz w:val="24"/>
          <w:szCs w:val="24"/>
        </w:rPr>
        <w:t xml:space="preserve">PREGUNTA 84</w:t>
      </w:r>
    </w:p>
    <w:p>
      <w:pPr>
        <w:shd w:fill="F3ECDD" w:val="clear"/>
        <w:spacing w:after="60"/>
      </w:pPr>
      <w:r>
        <w:rPr>
          <w:rFonts w:ascii="Poppins" w:cs="Poppins" w:eastAsia="Poppins" w:hAnsi="Poppins"/>
          <w:b/>
          <w:bCs/>
          <w:i/>
          <w:iCs/>
          <w:color w:val="001C31"/>
          <w:sz w:val="21"/>
          <w:szCs w:val="21"/>
        </w:rPr>
        <w:t xml:space="preserve">Caso clínico: </w:t>
      </w:r>
      <w:r>
        <w:rPr>
          <w:rFonts w:ascii="Poppins" w:cs="Poppins" w:eastAsia="Poppins" w:hAnsi="Poppins"/>
          <w:i/>
          <w:iCs/>
          <w:sz w:val="21"/>
          <w:szCs w:val="21"/>
        </w:rPr>
        <w:t xml:space="preserve">Una paciente fue referida a un especialista por un cuadro complicado de IVU. Tras superar la fase aguda, el especialista considera que puede continuar su control en el primer nivel de atención.</w:t>
      </w:r>
    </w:p>
    <w:p>
      <w:pPr>
        <w:spacing w:after="120"/>
      </w:pPr>
      <w:r>
        <w:rPr>
          <w:rFonts w:ascii="Poppins" w:cs="Poppins" w:eastAsia="Poppins" w:hAnsi="Poppins"/>
          <w:b/>
          <w:bCs/>
          <w:color w:val="001C31"/>
          <w:sz w:val="21"/>
          <w:szCs w:val="21"/>
        </w:rPr>
        <w:t xml:space="preserve">Pregunta: </w:t>
      </w:r>
      <w:r>
        <w:rPr>
          <w:rFonts w:ascii="Poppins" w:cs="Poppins" w:eastAsia="Poppins" w:hAnsi="Poppins"/>
          <w:sz w:val="21"/>
          <w:szCs w:val="21"/>
        </w:rPr>
        <w:t xml:space="preserve">Según la GPC, ¿qué debe incluir el proceso de contrarreferencia en este caso?</w:t>
      </w:r>
    </w:p>
    <w:p>
      <w:pPr>
        <w:spacing w:after="60"/>
      </w:pPr>
      <w:r>
        <w:rPr>
          <w:rFonts w:ascii="Poppins" w:cs="Poppins" w:eastAsia="Poppins" w:hAnsi="Poppins"/>
          <w:b/>
          <w:bCs/>
          <w:color w:val="B08D3F"/>
          <w:sz w:val="21"/>
          <w:szCs w:val="21"/>
        </w:rPr>
        <w:t xml:space="preserve">A. </w:t>
      </w:r>
      <w:r>
        <w:rPr>
          <w:rFonts w:ascii="Poppins" w:cs="Poppins" w:eastAsia="Poppins" w:hAnsi="Poppins"/>
          <w:b/>
          <w:bCs/>
          <w:color w:val="B08D3F"/>
          <w:sz w:val="21"/>
          <w:szCs w:val="21"/>
        </w:rPr>
        <w:t xml:space="preserve">Indicaciones claras del médico especialista sobre manejo subsecuente, con informe de acciones y resultados de la atención de especialidad</w:t>
      </w:r>
    </w:p>
    <w:p>
      <w:pPr>
        <w:spacing w:after="60"/>
      </w:pPr>
      <w:r>
        <w:rPr>
          <w:rFonts w:ascii="Poppins" w:cs="Poppins" w:eastAsia="Poppins" w:hAnsi="Poppins"/>
          <w:b/>
          <w:bCs/>
          <w:color w:val="000000"/>
          <w:sz w:val="21"/>
          <w:szCs w:val="21"/>
        </w:rPr>
        <w:t xml:space="preserve">B. </w:t>
      </w:r>
      <w:r>
        <w:rPr>
          <w:rFonts w:ascii="Poppins" w:cs="Poppins" w:eastAsia="Poppins" w:hAnsi="Poppins"/>
          <w:b w:val="false"/>
          <w:bCs w:val="false"/>
          <w:color w:val="000000"/>
          <w:sz w:val="21"/>
          <w:szCs w:val="21"/>
        </w:rPr>
        <w:t xml:space="preserve">Únicamente la fecha de la próxima cita, sin más información</w:t>
      </w:r>
    </w:p>
    <w:p>
      <w:pPr>
        <w:spacing w:after="60"/>
      </w:pPr>
      <w:r>
        <w:rPr>
          <w:rFonts w:ascii="Poppins" w:cs="Poppins" w:eastAsia="Poppins" w:hAnsi="Poppins"/>
          <w:b/>
          <w:bCs/>
          <w:color w:val="000000"/>
          <w:sz w:val="21"/>
          <w:szCs w:val="21"/>
        </w:rPr>
        <w:t xml:space="preserve">C. </w:t>
      </w:r>
      <w:r>
        <w:rPr>
          <w:rFonts w:ascii="Poppins" w:cs="Poppins" w:eastAsia="Poppins" w:hAnsi="Poppins"/>
          <w:b w:val="false"/>
          <w:bCs w:val="false"/>
          <w:color w:val="000000"/>
          <w:sz w:val="21"/>
          <w:szCs w:val="21"/>
        </w:rPr>
        <w:t xml:space="preserve">No se requiere ningún tipo de informe escrito para la contrarreferencia</w:t>
      </w:r>
    </w:p>
    <w:p>
      <w:pPr>
        <w:spacing w:after="60"/>
      </w:pPr>
      <w:r>
        <w:rPr>
          <w:rFonts w:ascii="Poppins" w:cs="Poppins" w:eastAsia="Poppins" w:hAnsi="Poppins"/>
          <w:b/>
          <w:bCs/>
          <w:color w:val="000000"/>
          <w:sz w:val="21"/>
          <w:szCs w:val="21"/>
        </w:rPr>
        <w:t xml:space="preserve">D. </w:t>
      </w:r>
      <w:r>
        <w:rPr>
          <w:rFonts w:ascii="Poppins" w:cs="Poppins" w:eastAsia="Poppins" w:hAnsi="Poppins"/>
          <w:b w:val="false"/>
          <w:bCs w:val="false"/>
          <w:color w:val="000000"/>
          <w:sz w:val="21"/>
          <w:szCs w:val="21"/>
        </w:rPr>
        <w:t xml:space="preserve">Solamente la firma del especialista, sin detalle clínico alguno</w:t>
      </w:r>
    </w:p>
    <w:p>
      <w:pPr>
        <w:spacing w:after="100" w:before="120"/>
      </w:pPr>
      <w:r>
        <w:rPr>
          <w:rFonts w:ascii="Poppins" w:cs="Poppins" w:eastAsia="Poppins" w:hAnsi="Poppins"/>
          <w:b/>
          <w:bCs/>
          <w:color w:val="001C31"/>
          <w:sz w:val="21"/>
          <w:szCs w:val="21"/>
        </w:rPr>
        <w:t xml:space="preserve">Respuesta correcta: A</w:t>
      </w:r>
    </w:p>
    <w:p>
      <w:pPr>
        <w:spacing w:after="60"/>
      </w:pPr>
      <w:r>
        <w:rPr>
          <w:rFonts w:ascii="Poppins" w:cs="Poppins" w:eastAsia="Poppins" w:hAnsi="Poppins"/>
          <w:b/>
          <w:bCs/>
          <w:color w:val="001C31"/>
          <w:sz w:val="21"/>
          <w:szCs w:val="21"/>
          <w:u w:val="single"/>
        </w:rPr>
        <w:t xml:space="preserve">Justificación de la respuesta correcta</w:t>
      </w:r>
    </w:p>
    <w:p>
      <w:pPr>
        <w:spacing w:after="150"/>
      </w:pPr>
      <w:r>
        <w:rPr>
          <w:rFonts w:ascii="Poppins" w:cs="Poppins" w:eastAsia="Poppins" w:hAnsi="Poppins"/>
          <w:sz w:val="21"/>
          <w:szCs w:val="21"/>
        </w:rPr>
        <w:t xml:space="preserve">La guía establece que, superada la fase de atención del cuadro complicado de IVU, se debe remitir al nivel primario con indicaciones claras del médico especialista sobre manejo subsecuente, con informe de acciones y resultados de la atención de especialidad.</w:t>
      </w:r>
    </w:p>
    <w:p>
      <w:pPr>
        <w:spacing w:after="60"/>
      </w:pPr>
      <w:r>
        <w:rPr>
          <w:rFonts w:ascii="Poppins" w:cs="Poppins" w:eastAsia="Poppins" w:hAnsi="Poppins"/>
          <w:b/>
          <w:bCs/>
          <w:color w:val="001C31"/>
          <w:sz w:val="21"/>
          <w:szCs w:val="21"/>
          <w:u w:val="single"/>
        </w:rPr>
        <w:t xml:space="preserve">Justificación de las opciones incorrectas</w:t>
      </w:r>
    </w:p>
    <w:p>
      <w:pPr>
        <w:spacing w:after="60"/>
      </w:pPr>
      <w:r>
        <w:rPr>
          <w:rFonts w:ascii="Poppins" w:cs="Poppins" w:eastAsia="Poppins" w:hAnsi="Poppins"/>
          <w:b/>
          <w:bCs/>
          <w:sz w:val="21"/>
          <w:szCs w:val="21"/>
        </w:rPr>
        <w:t xml:space="preserve">Opción B: </w:t>
      </w:r>
      <w:r>
        <w:rPr>
          <w:rFonts w:ascii="Poppins" w:cs="Poppins" w:eastAsia="Poppins" w:hAnsi="Poppins"/>
          <w:sz w:val="21"/>
          <w:szCs w:val="21"/>
        </w:rPr>
        <w:t xml:space="preserve">La guía exige más que la simple fecha de la próxima cita; requiere indicaciones claras de manejo subsecuente e informe de acciones y resultados.</w:t>
      </w:r>
    </w:p>
    <w:p>
      <w:pPr>
        <w:spacing w:after="60"/>
      </w:pPr>
      <w:r>
        <w:rPr>
          <w:rFonts w:ascii="Poppins" w:cs="Poppins" w:eastAsia="Poppins" w:hAnsi="Poppins"/>
          <w:b/>
          <w:bCs/>
          <w:sz w:val="21"/>
          <w:szCs w:val="21"/>
        </w:rPr>
        <w:t xml:space="preserve">Opción C: </w:t>
      </w:r>
      <w:r>
        <w:rPr>
          <w:rFonts w:ascii="Poppins" w:cs="Poppins" w:eastAsia="Poppins" w:hAnsi="Poppins"/>
          <w:sz w:val="21"/>
          <w:szCs w:val="21"/>
        </w:rPr>
        <w:t xml:space="preserve">La guía sí exige un informe explícito con indicaciones claras y detalle de las acciones y resultados de la atención especializada, no la ausencia de documentación.</w:t>
      </w:r>
    </w:p>
    <w:p>
      <w:pPr>
        <w:spacing w:after="60"/>
      </w:pPr>
      <w:r>
        <w:rPr>
          <w:rFonts w:ascii="Poppins" w:cs="Poppins" w:eastAsia="Poppins" w:hAnsi="Poppins"/>
          <w:b/>
          <w:bCs/>
          <w:sz w:val="21"/>
          <w:szCs w:val="21"/>
        </w:rPr>
        <w:t xml:space="preserve">Opción D: </w:t>
      </w:r>
      <w:r>
        <w:rPr>
          <w:rFonts w:ascii="Poppins" w:cs="Poppins" w:eastAsia="Poppins" w:hAnsi="Poppins"/>
          <w:sz w:val="21"/>
          <w:szCs w:val="21"/>
        </w:rPr>
        <w:t xml:space="preserve">La guía requiere contenido clínico específico (indicaciones de manejo, informe de acciones y resultados), no únicamente la firma del especialista sin detalle.</w:t>
      </w:r>
    </w:p>
    <w:p>
      <w:pPr>
        <w:pBdr>
          <w:bottom w:val="single" w:color="B08D3F" w:sz="6" w:space="4"/>
        </w:pBdr>
        <w:spacing w:after="200" w:before="100"/>
      </w:pPr>
      <w:r>
        <w:rPr>
          <w:rFonts w:ascii="Poppins" w:cs="Poppins" w:eastAsia="Poppins" w:hAnsi="Poppins"/>
          <w:b/>
          <w:bCs/>
          <w:i/>
          <w:iCs/>
          <w:color w:val="B08D3F"/>
          <w:sz w:val="20"/>
          <w:szCs w:val="20"/>
        </w:rPr>
        <w:t xml:space="preserve">Referencia: </w:t>
      </w:r>
      <w:r>
        <w:rPr>
          <w:rFonts w:ascii="Poppins" w:cs="Poppins" w:eastAsia="Poppins" w:hAnsi="Poppins"/>
          <w:i/>
          <w:iCs/>
          <w:color w:val="555555"/>
          <w:sz w:val="20"/>
          <w:szCs w:val="20"/>
        </w:rPr>
        <w:t xml:space="preserve">Criterios de referencia y contrarreferencia. Criterios de contrarreferencia. Página 20.</w:t>
      </w:r>
    </w:p>
    <w:p>
      <w:pPr>
        <w:shd w:fill="001C31" w:val="clear"/>
        <w:spacing w:after="100" w:before="300"/>
      </w:pPr>
      <w:r>
        <w:rPr>
          <w:rFonts w:ascii="Poppins" w:cs="Poppins" w:eastAsia="Poppins" w:hAnsi="Poppins"/>
          <w:b/>
          <w:bCs/>
          <w:color w:val="FFFFFF"/>
          <w:sz w:val="24"/>
          <w:szCs w:val="24"/>
        </w:rPr>
        <w:t xml:space="preserve">PREGUNTA 85</w:t>
      </w:r>
    </w:p>
    <w:p>
      <w:pPr>
        <w:spacing w:after="120"/>
      </w:pPr>
      <w:r>
        <w:rPr>
          <w:rFonts w:ascii="Poppins" w:cs="Poppins" w:eastAsia="Poppins" w:hAnsi="Poppins"/>
          <w:b/>
          <w:bCs/>
          <w:color w:val="001C31"/>
          <w:sz w:val="21"/>
          <w:szCs w:val="21"/>
        </w:rPr>
        <w:t xml:space="preserve">Pregunta: </w:t>
      </w:r>
      <w:r>
        <w:rPr>
          <w:rFonts w:ascii="Poppins" w:cs="Poppins" w:eastAsia="Poppins" w:hAnsi="Poppins"/>
          <w:sz w:val="21"/>
          <w:szCs w:val="21"/>
        </w:rPr>
        <w:t xml:space="preserve">Según la GPC, ¿qué manual debe aplicar el equipo de Mejoramiento Continuo de la Calidad para el monitoreo de calidad de esta guía?</w:t>
      </w:r>
    </w:p>
    <w:p>
      <w:pPr>
        <w:spacing w:after="60"/>
      </w:pPr>
      <w:r>
        <w:rPr>
          <w:rFonts w:ascii="Poppins" w:cs="Poppins" w:eastAsia="Poppins" w:hAnsi="Poppins"/>
          <w:b/>
          <w:bCs/>
          <w:color w:val="B08D3F"/>
          <w:sz w:val="21"/>
          <w:szCs w:val="21"/>
        </w:rPr>
        <w:t xml:space="preserve">A. </w:t>
      </w:r>
      <w:r>
        <w:rPr>
          <w:rFonts w:ascii="Poppins" w:cs="Poppins" w:eastAsia="Poppins" w:hAnsi="Poppins"/>
          <w:b/>
          <w:bCs/>
          <w:color w:val="B08D3F"/>
          <w:sz w:val="21"/>
          <w:szCs w:val="21"/>
        </w:rPr>
        <w:t xml:space="preserve">El Manual de Estándares, Indicadores e Instrumentos para medir la Calidad de la Atención Materno Neonatal del Ministerio de Salud Pública del Ecuador</w:t>
      </w:r>
    </w:p>
    <w:p>
      <w:pPr>
        <w:spacing w:after="60"/>
      </w:pPr>
      <w:r>
        <w:rPr>
          <w:rFonts w:ascii="Poppins" w:cs="Poppins" w:eastAsia="Poppins" w:hAnsi="Poppins"/>
          <w:b/>
          <w:bCs/>
          <w:color w:val="000000"/>
          <w:sz w:val="21"/>
          <w:szCs w:val="21"/>
        </w:rPr>
        <w:t xml:space="preserve">B. </w:t>
      </w:r>
      <w:r>
        <w:rPr>
          <w:rFonts w:ascii="Poppins" w:cs="Poppins" w:eastAsia="Poppins" w:hAnsi="Poppins"/>
          <w:b w:val="false"/>
          <w:bCs w:val="false"/>
          <w:color w:val="000000"/>
          <w:sz w:val="21"/>
          <w:szCs w:val="21"/>
        </w:rPr>
        <w:t xml:space="preserve">El Manual para la referencia y contrarreferencia de pacientes y usuarios exclusivamente</w:t>
      </w:r>
    </w:p>
    <w:p>
      <w:pPr>
        <w:spacing w:after="60"/>
      </w:pPr>
      <w:r>
        <w:rPr>
          <w:rFonts w:ascii="Poppins" w:cs="Poppins" w:eastAsia="Poppins" w:hAnsi="Poppins"/>
          <w:b/>
          <w:bCs/>
          <w:color w:val="000000"/>
          <w:sz w:val="21"/>
          <w:szCs w:val="21"/>
        </w:rPr>
        <w:t xml:space="preserve">C. </w:t>
      </w:r>
      <w:r>
        <w:rPr>
          <w:rFonts w:ascii="Poppins" w:cs="Poppins" w:eastAsia="Poppins" w:hAnsi="Poppins"/>
          <w:b w:val="false"/>
          <w:bCs w:val="false"/>
          <w:color w:val="000000"/>
          <w:sz w:val="21"/>
          <w:szCs w:val="21"/>
        </w:rPr>
        <w:t xml:space="preserve">El Cuadro Nacional de Medicamentos Básicos y Registro Terapéutico exclusivamente</w:t>
      </w:r>
    </w:p>
    <w:p>
      <w:pPr>
        <w:spacing w:after="60"/>
      </w:pPr>
      <w:r>
        <w:rPr>
          <w:rFonts w:ascii="Poppins" w:cs="Poppins" w:eastAsia="Poppins" w:hAnsi="Poppins"/>
          <w:b/>
          <w:bCs/>
          <w:color w:val="000000"/>
          <w:sz w:val="21"/>
          <w:szCs w:val="21"/>
        </w:rPr>
        <w:t xml:space="preserve">D. </w:t>
      </w:r>
      <w:r>
        <w:rPr>
          <w:rFonts w:ascii="Poppins" w:cs="Poppins" w:eastAsia="Poppins" w:hAnsi="Poppins"/>
          <w:b w:val="false"/>
          <w:bCs w:val="false"/>
          <w:color w:val="000000"/>
          <w:sz w:val="21"/>
          <w:szCs w:val="21"/>
        </w:rPr>
        <w:t xml:space="preserve">El instrumento AGREE II</w:t>
      </w:r>
    </w:p>
    <w:p>
      <w:pPr>
        <w:spacing w:after="100" w:before="120"/>
      </w:pPr>
      <w:r>
        <w:rPr>
          <w:rFonts w:ascii="Poppins" w:cs="Poppins" w:eastAsia="Poppins" w:hAnsi="Poppins"/>
          <w:b/>
          <w:bCs/>
          <w:color w:val="001C31"/>
          <w:sz w:val="21"/>
          <w:szCs w:val="21"/>
        </w:rPr>
        <w:t xml:space="preserve">Respuesta correcta: A</w:t>
      </w:r>
    </w:p>
    <w:p>
      <w:pPr>
        <w:spacing w:after="60"/>
      </w:pPr>
      <w:r>
        <w:rPr>
          <w:rFonts w:ascii="Poppins" w:cs="Poppins" w:eastAsia="Poppins" w:hAnsi="Poppins"/>
          <w:b/>
          <w:bCs/>
          <w:color w:val="001C31"/>
          <w:sz w:val="21"/>
          <w:szCs w:val="21"/>
          <w:u w:val="single"/>
        </w:rPr>
        <w:t xml:space="preserve">Justificación de la respuesta correcta</w:t>
      </w:r>
    </w:p>
    <w:p>
      <w:pPr>
        <w:spacing w:after="150"/>
      </w:pPr>
      <w:r>
        <w:rPr>
          <w:rFonts w:ascii="Poppins" w:cs="Poppins" w:eastAsia="Poppins" w:hAnsi="Poppins"/>
          <w:sz w:val="21"/>
          <w:szCs w:val="21"/>
        </w:rPr>
        <w:t xml:space="preserve">La guía establece que el equipo de Mejoramiento Continuo de la Calidad debe aplicar el Manual de Estándares, Indicadores e Instrumentos para medir la Calidad de la Atención Materno Neonatal del Ministerio de Salud Pública del Ecuador.</w:t>
      </w:r>
    </w:p>
    <w:p>
      <w:pPr>
        <w:spacing w:after="60"/>
      </w:pPr>
      <w:r>
        <w:rPr>
          <w:rFonts w:ascii="Poppins" w:cs="Poppins" w:eastAsia="Poppins" w:hAnsi="Poppins"/>
          <w:b/>
          <w:bCs/>
          <w:color w:val="001C31"/>
          <w:sz w:val="21"/>
          <w:szCs w:val="21"/>
          <w:u w:val="single"/>
        </w:rPr>
        <w:t xml:space="preserve">Justificación de las opciones incorrectas</w:t>
      </w:r>
    </w:p>
    <w:p>
      <w:pPr>
        <w:spacing w:after="60"/>
      </w:pPr>
      <w:r>
        <w:rPr>
          <w:rFonts w:ascii="Poppins" w:cs="Poppins" w:eastAsia="Poppins" w:hAnsi="Poppins"/>
          <w:b/>
          <w:bCs/>
          <w:sz w:val="21"/>
          <w:szCs w:val="21"/>
        </w:rPr>
        <w:t xml:space="preserve">Opción B: </w:t>
      </w:r>
      <w:r>
        <w:rPr>
          <w:rFonts w:ascii="Poppins" w:cs="Poppins" w:eastAsia="Poppins" w:hAnsi="Poppins"/>
          <w:sz w:val="21"/>
          <w:szCs w:val="21"/>
        </w:rPr>
        <w:t xml:space="preserve">El Manual para la referencia y contrarreferencia de pacientes se cita como fuente para los criterios de contrarreferencia, no como el instrumento de monitoreo de calidad de esta guía.</w:t>
      </w:r>
    </w:p>
    <w:p>
      <w:pPr>
        <w:spacing w:after="60"/>
      </w:pPr>
      <w:r>
        <w:rPr>
          <w:rFonts w:ascii="Poppins" w:cs="Poppins" w:eastAsia="Poppins" w:hAnsi="Poppins"/>
          <w:b/>
          <w:bCs/>
          <w:sz w:val="21"/>
          <w:szCs w:val="21"/>
        </w:rPr>
        <w:t xml:space="preserve">Opción C: </w:t>
      </w:r>
      <w:r>
        <w:rPr>
          <w:rFonts w:ascii="Poppins" w:cs="Poppins" w:eastAsia="Poppins" w:hAnsi="Poppins"/>
          <w:sz w:val="21"/>
          <w:szCs w:val="21"/>
        </w:rPr>
        <w:t xml:space="preserve">El Cuadro Nacional de Medicamentos Básicos se menciona en relación con la exclusión de la ampicilina oral, no como el instrumento de monitoreo de calidad de la atención.</w:t>
      </w:r>
    </w:p>
    <w:p>
      <w:pPr>
        <w:spacing w:after="60"/>
      </w:pPr>
      <w:r>
        <w:rPr>
          <w:rFonts w:ascii="Poppins" w:cs="Poppins" w:eastAsia="Poppins" w:hAnsi="Poppins"/>
          <w:b/>
          <w:bCs/>
          <w:sz w:val="21"/>
          <w:szCs w:val="21"/>
        </w:rPr>
        <w:t xml:space="preserve">Opción D: </w:t>
      </w:r>
      <w:r>
        <w:rPr>
          <w:rFonts w:ascii="Poppins" w:cs="Poppins" w:eastAsia="Poppins" w:hAnsi="Poppins"/>
          <w:sz w:val="21"/>
          <w:szCs w:val="21"/>
        </w:rPr>
        <w:t xml:space="preserve">El instrumento AGREE II se utilizó para la evaluación de las guías internacionales seleccionadas durante el proceso de adaptación metodológica, no como instrumento de monitoreo de calidad de la atención clínica.</w:t>
      </w:r>
    </w:p>
    <w:p>
      <w:pPr>
        <w:pBdr>
          <w:bottom w:val="single" w:color="B08D3F" w:sz="6" w:space="4"/>
        </w:pBdr>
        <w:spacing w:after="200" w:before="100"/>
      </w:pPr>
      <w:r>
        <w:rPr>
          <w:rFonts w:ascii="Poppins" w:cs="Poppins" w:eastAsia="Poppins" w:hAnsi="Poppins"/>
          <w:b/>
          <w:bCs/>
          <w:i/>
          <w:iCs/>
          <w:color w:val="B08D3F"/>
          <w:sz w:val="20"/>
          <w:szCs w:val="20"/>
        </w:rPr>
        <w:t xml:space="preserve">Referencia: </w:t>
      </w:r>
      <w:r>
        <w:rPr>
          <w:rFonts w:ascii="Poppins" w:cs="Poppins" w:eastAsia="Poppins" w:hAnsi="Poppins"/>
          <w:i/>
          <w:iCs/>
          <w:color w:val="555555"/>
          <w:sz w:val="20"/>
          <w:szCs w:val="20"/>
        </w:rPr>
        <w:t xml:space="preserve">Monitoreo de calidad. Página 20.</w:t>
      </w:r>
    </w:p>
    <w:p>
      <w:pPr>
        <w:shd w:fill="001C31" w:val="clear"/>
        <w:spacing w:after="100" w:before="300"/>
      </w:pPr>
      <w:r>
        <w:rPr>
          <w:rFonts w:ascii="Poppins" w:cs="Poppins" w:eastAsia="Poppins" w:hAnsi="Poppins"/>
          <w:b/>
          <w:bCs/>
          <w:color w:val="FFFFFF"/>
          <w:sz w:val="24"/>
          <w:szCs w:val="24"/>
        </w:rPr>
        <w:t xml:space="preserve">PREGUNTA 86</w:t>
      </w:r>
    </w:p>
    <w:p>
      <w:pPr>
        <w:spacing w:after="120"/>
      </w:pPr>
      <w:r>
        <w:rPr>
          <w:rFonts w:ascii="Poppins" w:cs="Poppins" w:eastAsia="Poppins" w:hAnsi="Poppins"/>
          <w:b/>
          <w:bCs/>
          <w:color w:val="001C31"/>
          <w:sz w:val="21"/>
          <w:szCs w:val="21"/>
        </w:rPr>
        <w:t xml:space="preserve">Pregunta: </w:t>
      </w:r>
      <w:r>
        <w:rPr>
          <w:rFonts w:ascii="Poppins" w:cs="Poppins" w:eastAsia="Poppins" w:hAnsi="Poppins"/>
          <w:sz w:val="21"/>
          <w:szCs w:val="21"/>
        </w:rPr>
        <w:t xml:space="preserve">Según la GPC, ¿cuál es el estándar e indicador principal para el monitoreo de cumplimiento de esta guía de práctica clínica?</w:t>
      </w:r>
    </w:p>
    <w:p>
      <w:pPr>
        <w:spacing w:after="60"/>
      </w:pPr>
      <w:r>
        <w:rPr>
          <w:rFonts w:ascii="Poppins" w:cs="Poppins" w:eastAsia="Poppins" w:hAnsi="Poppins"/>
          <w:b/>
          <w:bCs/>
          <w:color w:val="B08D3F"/>
          <w:sz w:val="21"/>
          <w:szCs w:val="21"/>
        </w:rPr>
        <w:t xml:space="preserve">A. </w:t>
      </w:r>
      <w:r>
        <w:rPr>
          <w:rFonts w:ascii="Poppins" w:cs="Poppins" w:eastAsia="Poppins" w:hAnsi="Poppins"/>
          <w:b/>
          <w:bCs/>
          <w:color w:val="B08D3F"/>
          <w:sz w:val="21"/>
          <w:szCs w:val="21"/>
        </w:rPr>
        <w:t xml:space="preserve">El indicador de proceso 8 C de complicaciones obstétricas (% de pacientes con infección de causa obstétrica que fueron manejadas de acuerdo a la norma)</w:t>
      </w:r>
    </w:p>
    <w:p>
      <w:pPr>
        <w:spacing w:after="60"/>
      </w:pPr>
      <w:r>
        <w:rPr>
          <w:rFonts w:ascii="Poppins" w:cs="Poppins" w:eastAsia="Poppins" w:hAnsi="Poppins"/>
          <w:b/>
          <w:bCs/>
          <w:color w:val="000000"/>
          <w:sz w:val="21"/>
          <w:szCs w:val="21"/>
        </w:rPr>
        <w:t xml:space="preserve">B. </w:t>
      </w:r>
      <w:r>
        <w:rPr>
          <w:rFonts w:ascii="Poppins" w:cs="Poppins" w:eastAsia="Poppins" w:hAnsi="Poppins"/>
          <w:b w:val="false"/>
          <w:bCs w:val="false"/>
          <w:color w:val="000000"/>
          <w:sz w:val="21"/>
          <w:szCs w:val="21"/>
        </w:rPr>
        <w:t xml:space="preserve">El indicador 10, referente exclusivamente a la tasa de cesáreas</w:t>
      </w:r>
    </w:p>
    <w:p>
      <w:pPr>
        <w:spacing w:after="60"/>
      </w:pPr>
      <w:r>
        <w:rPr>
          <w:rFonts w:ascii="Poppins" w:cs="Poppins" w:eastAsia="Poppins" w:hAnsi="Poppins"/>
          <w:b/>
          <w:bCs/>
          <w:color w:val="000000"/>
          <w:sz w:val="21"/>
          <w:szCs w:val="21"/>
        </w:rPr>
        <w:t xml:space="preserve">C. </w:t>
      </w:r>
      <w:r>
        <w:rPr>
          <w:rFonts w:ascii="Poppins" w:cs="Poppins" w:eastAsia="Poppins" w:hAnsi="Poppins"/>
          <w:b w:val="false"/>
          <w:bCs w:val="false"/>
          <w:color w:val="000000"/>
          <w:sz w:val="21"/>
          <w:szCs w:val="21"/>
        </w:rPr>
        <w:t xml:space="preserve">El indicador 1, referente exclusivamente al número de camas hospitalarias disponibles</w:t>
      </w:r>
    </w:p>
    <w:p>
      <w:pPr>
        <w:spacing w:after="60"/>
      </w:pPr>
      <w:r>
        <w:rPr>
          <w:rFonts w:ascii="Poppins" w:cs="Poppins" w:eastAsia="Poppins" w:hAnsi="Poppins"/>
          <w:b/>
          <w:bCs/>
          <w:color w:val="000000"/>
          <w:sz w:val="21"/>
          <w:szCs w:val="21"/>
        </w:rPr>
        <w:t xml:space="preserve">D. </w:t>
      </w:r>
      <w:r>
        <w:rPr>
          <w:rFonts w:ascii="Poppins" w:cs="Poppins" w:eastAsia="Poppins" w:hAnsi="Poppins"/>
          <w:b w:val="false"/>
          <w:bCs w:val="false"/>
          <w:color w:val="000000"/>
          <w:sz w:val="21"/>
          <w:szCs w:val="21"/>
        </w:rPr>
        <w:t xml:space="preserve">No existe ningún indicador específico para el monitoreo de esta guía</w:t>
      </w:r>
    </w:p>
    <w:p>
      <w:pPr>
        <w:spacing w:after="100" w:before="120"/>
      </w:pPr>
      <w:r>
        <w:rPr>
          <w:rFonts w:ascii="Poppins" w:cs="Poppins" w:eastAsia="Poppins" w:hAnsi="Poppins"/>
          <w:b/>
          <w:bCs/>
          <w:color w:val="001C31"/>
          <w:sz w:val="21"/>
          <w:szCs w:val="21"/>
        </w:rPr>
        <w:t xml:space="preserve">Respuesta correcta: A</w:t>
      </w:r>
    </w:p>
    <w:p>
      <w:pPr>
        <w:spacing w:after="60"/>
      </w:pPr>
      <w:r>
        <w:rPr>
          <w:rFonts w:ascii="Poppins" w:cs="Poppins" w:eastAsia="Poppins" w:hAnsi="Poppins"/>
          <w:b/>
          <w:bCs/>
          <w:color w:val="001C31"/>
          <w:sz w:val="21"/>
          <w:szCs w:val="21"/>
          <w:u w:val="single"/>
        </w:rPr>
        <w:t xml:space="preserve">Justificación de la respuesta correcta</w:t>
      </w:r>
    </w:p>
    <w:p>
      <w:pPr>
        <w:spacing w:after="150"/>
      </w:pPr>
      <w:r>
        <w:rPr>
          <w:rFonts w:ascii="Poppins" w:cs="Poppins" w:eastAsia="Poppins" w:hAnsi="Poppins"/>
          <w:sz w:val="21"/>
          <w:szCs w:val="21"/>
        </w:rPr>
        <w:t xml:space="preserve">La guía establece que el estándar e indicador de proceso 8 C de complicaciones obstétricas (porcentaje de pacientes con infección de causa obstétrica que fueron manejadas de acuerdo a la norma) es el principal para el monitoreo de cumplimiento de esta guía de práctica clínica.</w:t>
      </w:r>
    </w:p>
    <w:p>
      <w:pPr>
        <w:spacing w:after="60"/>
      </w:pPr>
      <w:r>
        <w:rPr>
          <w:rFonts w:ascii="Poppins" w:cs="Poppins" w:eastAsia="Poppins" w:hAnsi="Poppins"/>
          <w:b/>
          <w:bCs/>
          <w:color w:val="001C31"/>
          <w:sz w:val="21"/>
          <w:szCs w:val="21"/>
          <w:u w:val="single"/>
        </w:rPr>
        <w:t xml:space="preserve">Justificación de las opciones incorrectas</w:t>
      </w:r>
    </w:p>
    <w:p>
      <w:pPr>
        <w:spacing w:after="60"/>
      </w:pPr>
      <w:r>
        <w:rPr>
          <w:rFonts w:ascii="Poppins" w:cs="Poppins" w:eastAsia="Poppins" w:hAnsi="Poppins"/>
          <w:b/>
          <w:bCs/>
          <w:sz w:val="21"/>
          <w:szCs w:val="21"/>
        </w:rPr>
        <w:t xml:space="preserve">Opción B: </w:t>
      </w:r>
      <w:r>
        <w:rPr>
          <w:rFonts w:ascii="Poppins" w:cs="Poppins" w:eastAsia="Poppins" w:hAnsi="Poppins"/>
          <w:sz w:val="21"/>
          <w:szCs w:val="21"/>
        </w:rPr>
        <w:t xml:space="preserve">El indicador 10 corresponde, según la guía, a la tasa hospitalaria de letalidad por complicaciones obstétricas directas, no exclusivamente a la tasa de cesáreas, y no es el indicador principal señalado para esta guía.</w:t>
      </w:r>
    </w:p>
    <w:p>
      <w:pPr>
        <w:spacing w:after="60"/>
      </w:pPr>
      <w:r>
        <w:rPr>
          <w:rFonts w:ascii="Poppins" w:cs="Poppins" w:eastAsia="Poppins" w:hAnsi="Poppins"/>
          <w:b/>
          <w:bCs/>
          <w:sz w:val="21"/>
          <w:szCs w:val="21"/>
        </w:rPr>
        <w:t xml:space="preserve">Opción C: </w:t>
      </w:r>
      <w:r>
        <w:rPr>
          <w:rFonts w:ascii="Poppins" w:cs="Poppins" w:eastAsia="Poppins" w:hAnsi="Poppins"/>
          <w:sz w:val="21"/>
          <w:szCs w:val="21"/>
        </w:rPr>
        <w:t xml:space="preserve">El indicador 1 corresponde, según la guía, al porcentaje de insumos, equipos y medicamentos esenciales disponibles en cada unidad operativa, no al número de camas hospitalarias, y no es el indicador principal para esta guía.</w:t>
      </w:r>
    </w:p>
    <w:p>
      <w:pPr>
        <w:spacing w:after="60"/>
      </w:pPr>
      <w:r>
        <w:rPr>
          <w:rFonts w:ascii="Poppins" w:cs="Poppins" w:eastAsia="Poppins" w:hAnsi="Poppins"/>
          <w:b/>
          <w:bCs/>
          <w:sz w:val="21"/>
          <w:szCs w:val="21"/>
        </w:rPr>
        <w:t xml:space="preserve">Opción D: </w:t>
      </w:r>
      <w:r>
        <w:rPr>
          <w:rFonts w:ascii="Poppins" w:cs="Poppins" w:eastAsia="Poppins" w:hAnsi="Poppins"/>
          <w:sz w:val="21"/>
          <w:szCs w:val="21"/>
        </w:rPr>
        <w:t xml:space="preserve">La guía sí identifica explícitamente un indicador principal (8 C) para el monitoreo de su cumplimiento, además de otros indicadores complementarios.</w:t>
      </w:r>
    </w:p>
    <w:p>
      <w:pPr>
        <w:pBdr>
          <w:bottom w:val="single" w:color="B08D3F" w:sz="6" w:space="4"/>
        </w:pBdr>
        <w:spacing w:after="200" w:before="100"/>
      </w:pPr>
      <w:r>
        <w:rPr>
          <w:rFonts w:ascii="Poppins" w:cs="Poppins" w:eastAsia="Poppins" w:hAnsi="Poppins"/>
          <w:b/>
          <w:bCs/>
          <w:i/>
          <w:iCs/>
          <w:color w:val="B08D3F"/>
          <w:sz w:val="20"/>
          <w:szCs w:val="20"/>
        </w:rPr>
        <w:t xml:space="preserve">Referencia: </w:t>
      </w:r>
      <w:r>
        <w:rPr>
          <w:rFonts w:ascii="Poppins" w:cs="Poppins" w:eastAsia="Poppins" w:hAnsi="Poppins"/>
          <w:i/>
          <w:iCs/>
          <w:color w:val="555555"/>
          <w:sz w:val="20"/>
          <w:szCs w:val="20"/>
        </w:rPr>
        <w:t xml:space="preserve">Monitoreo de calidad. Página 20.</w:t>
      </w:r>
    </w:p>
    <w:p>
      <w:pPr>
        <w:shd w:fill="001C31" w:val="clear"/>
        <w:spacing w:after="100" w:before="300"/>
      </w:pPr>
      <w:r>
        <w:rPr>
          <w:rFonts w:ascii="Poppins" w:cs="Poppins" w:eastAsia="Poppins" w:hAnsi="Poppins"/>
          <w:b/>
          <w:bCs/>
          <w:color w:val="FFFFFF"/>
          <w:sz w:val="24"/>
          <w:szCs w:val="24"/>
        </w:rPr>
        <w:t xml:space="preserve">PREGUNTA 87</w:t>
      </w:r>
    </w:p>
    <w:p>
      <w:pPr>
        <w:spacing w:after="120"/>
      </w:pPr>
      <w:r>
        <w:rPr>
          <w:rFonts w:ascii="Poppins" w:cs="Poppins" w:eastAsia="Poppins" w:hAnsi="Poppins"/>
          <w:b/>
          <w:bCs/>
          <w:color w:val="001C31"/>
          <w:sz w:val="21"/>
          <w:szCs w:val="21"/>
        </w:rPr>
        <w:t xml:space="preserve">Pregunta: </w:t>
      </w:r>
      <w:r>
        <w:rPr>
          <w:rFonts w:ascii="Poppins" w:cs="Poppins" w:eastAsia="Poppins" w:hAnsi="Poppins"/>
          <w:sz w:val="21"/>
          <w:szCs w:val="21"/>
        </w:rPr>
        <w:t xml:space="preserve">Según la GPC, ¿qué mide el indicador 8 D mencionado como parte del monitoreo de calidad relacionado con esta guía?</w:t>
      </w:r>
    </w:p>
    <w:p>
      <w:pPr>
        <w:spacing w:after="60"/>
      </w:pPr>
      <w:r>
        <w:rPr>
          <w:rFonts w:ascii="Poppins" w:cs="Poppins" w:eastAsia="Poppins" w:hAnsi="Poppins"/>
          <w:b/>
          <w:bCs/>
          <w:color w:val="B08D3F"/>
          <w:sz w:val="21"/>
          <w:szCs w:val="21"/>
        </w:rPr>
        <w:t xml:space="preserve">A. </w:t>
      </w:r>
      <w:r>
        <w:rPr>
          <w:rFonts w:ascii="Poppins" w:cs="Poppins" w:eastAsia="Poppins" w:hAnsi="Poppins"/>
          <w:b/>
          <w:bCs/>
          <w:color w:val="B08D3F"/>
          <w:sz w:val="21"/>
          <w:szCs w:val="21"/>
        </w:rPr>
        <w:t xml:space="preserve">% de amenazas de parto pretérmino menores a 34 semanas en las que se administró a la madre corticoides antenatales</w:t>
      </w:r>
    </w:p>
    <w:p>
      <w:pPr>
        <w:spacing w:after="60"/>
      </w:pPr>
      <w:r>
        <w:rPr>
          <w:rFonts w:ascii="Poppins" w:cs="Poppins" w:eastAsia="Poppins" w:hAnsi="Poppins"/>
          <w:b/>
          <w:bCs/>
          <w:color w:val="000000"/>
          <w:sz w:val="21"/>
          <w:szCs w:val="21"/>
        </w:rPr>
        <w:t xml:space="preserve">B. </w:t>
      </w:r>
      <w:r>
        <w:rPr>
          <w:rFonts w:ascii="Poppins" w:cs="Poppins" w:eastAsia="Poppins" w:hAnsi="Poppins"/>
          <w:b w:val="false"/>
          <w:bCs w:val="false"/>
          <w:color w:val="000000"/>
          <w:sz w:val="21"/>
          <w:szCs w:val="21"/>
        </w:rPr>
        <w:t xml:space="preserve">% de pacientes con IVU que recibieron nitrofurantoína como primera línea</w:t>
      </w:r>
    </w:p>
    <w:p>
      <w:pPr>
        <w:spacing w:after="60"/>
      </w:pPr>
      <w:r>
        <w:rPr>
          <w:rFonts w:ascii="Poppins" w:cs="Poppins" w:eastAsia="Poppins" w:hAnsi="Poppins"/>
          <w:b/>
          <w:bCs/>
          <w:color w:val="000000"/>
          <w:sz w:val="21"/>
          <w:szCs w:val="21"/>
        </w:rPr>
        <w:t xml:space="preserve">C. </w:t>
      </w:r>
      <w:r>
        <w:rPr>
          <w:rFonts w:ascii="Poppins" w:cs="Poppins" w:eastAsia="Poppins" w:hAnsi="Poppins"/>
          <w:b w:val="false"/>
          <w:bCs w:val="false"/>
          <w:color w:val="000000"/>
          <w:sz w:val="21"/>
          <w:szCs w:val="21"/>
        </w:rPr>
        <w:t xml:space="preserve">% de recién nacidos con bajo peso al nacer, independientemente de la causa</w:t>
      </w:r>
    </w:p>
    <w:p>
      <w:pPr>
        <w:spacing w:after="60"/>
      </w:pPr>
      <w:r>
        <w:rPr>
          <w:rFonts w:ascii="Poppins" w:cs="Poppins" w:eastAsia="Poppins" w:hAnsi="Poppins"/>
          <w:b/>
          <w:bCs/>
          <w:color w:val="000000"/>
          <w:sz w:val="21"/>
          <w:szCs w:val="21"/>
        </w:rPr>
        <w:t xml:space="preserve">D. </w:t>
      </w:r>
      <w:r>
        <w:rPr>
          <w:rFonts w:ascii="Poppins" w:cs="Poppins" w:eastAsia="Poppins" w:hAnsi="Poppins"/>
          <w:b w:val="false"/>
          <w:bCs w:val="false"/>
          <w:color w:val="000000"/>
          <w:sz w:val="21"/>
          <w:szCs w:val="21"/>
        </w:rPr>
        <w:t xml:space="preserve">Tasa de mortalidad materna directa por todas las causas</w:t>
      </w:r>
    </w:p>
    <w:p>
      <w:pPr>
        <w:spacing w:after="100" w:before="120"/>
      </w:pPr>
      <w:r>
        <w:rPr>
          <w:rFonts w:ascii="Poppins" w:cs="Poppins" w:eastAsia="Poppins" w:hAnsi="Poppins"/>
          <w:b/>
          <w:bCs/>
          <w:color w:val="001C31"/>
          <w:sz w:val="21"/>
          <w:szCs w:val="21"/>
        </w:rPr>
        <w:t xml:space="preserve">Respuesta correcta: A</w:t>
      </w:r>
    </w:p>
    <w:p>
      <w:pPr>
        <w:spacing w:after="60"/>
      </w:pPr>
      <w:r>
        <w:rPr>
          <w:rFonts w:ascii="Poppins" w:cs="Poppins" w:eastAsia="Poppins" w:hAnsi="Poppins"/>
          <w:b/>
          <w:bCs/>
          <w:color w:val="001C31"/>
          <w:sz w:val="21"/>
          <w:szCs w:val="21"/>
          <w:u w:val="single"/>
        </w:rPr>
        <w:t xml:space="preserve">Justificación de la respuesta correcta</w:t>
      </w:r>
    </w:p>
    <w:p>
      <w:pPr>
        <w:spacing w:after="150"/>
      </w:pPr>
      <w:r>
        <w:rPr>
          <w:rFonts w:ascii="Poppins" w:cs="Poppins" w:eastAsia="Poppins" w:hAnsi="Poppins"/>
          <w:sz w:val="21"/>
          <w:szCs w:val="21"/>
        </w:rPr>
        <w:t xml:space="preserve">La guía enumera entre los indicadores relacionados el 8 D: porcentaje de amenazas de parto pretérmino menores a 34 semanas en las que se administró a la madre corticoides antenatales.</w:t>
      </w:r>
    </w:p>
    <w:p>
      <w:pPr>
        <w:spacing w:after="60"/>
      </w:pPr>
      <w:r>
        <w:rPr>
          <w:rFonts w:ascii="Poppins" w:cs="Poppins" w:eastAsia="Poppins" w:hAnsi="Poppins"/>
          <w:b/>
          <w:bCs/>
          <w:color w:val="001C31"/>
          <w:sz w:val="21"/>
          <w:szCs w:val="21"/>
          <w:u w:val="single"/>
        </w:rPr>
        <w:t xml:space="preserve">Justificación de las opciones incorrectas</w:t>
      </w:r>
    </w:p>
    <w:p>
      <w:pPr>
        <w:spacing w:after="60"/>
      </w:pPr>
      <w:r>
        <w:rPr>
          <w:rFonts w:ascii="Poppins" w:cs="Poppins" w:eastAsia="Poppins" w:hAnsi="Poppins"/>
          <w:b/>
          <w:bCs/>
          <w:sz w:val="21"/>
          <w:szCs w:val="21"/>
        </w:rPr>
        <w:t xml:space="preserve">Opción B: </w:t>
      </w:r>
      <w:r>
        <w:rPr>
          <w:rFonts w:ascii="Poppins" w:cs="Poppins" w:eastAsia="Poppins" w:hAnsi="Poppins"/>
          <w:sz w:val="21"/>
          <w:szCs w:val="21"/>
        </w:rPr>
        <w:t xml:space="preserve">El porcentaje de pacientes que recibieron nitrofurantoína como primera línea no se menciona como uno de los indicadores de monitoreo de calidad enumerados en esta guía.</w:t>
      </w:r>
    </w:p>
    <w:p>
      <w:pPr>
        <w:spacing w:after="60"/>
      </w:pPr>
      <w:r>
        <w:rPr>
          <w:rFonts w:ascii="Poppins" w:cs="Poppins" w:eastAsia="Poppins" w:hAnsi="Poppins"/>
          <w:b/>
          <w:bCs/>
          <w:sz w:val="21"/>
          <w:szCs w:val="21"/>
        </w:rPr>
        <w:t xml:space="preserve">Opción C: </w:t>
      </w:r>
      <w:r>
        <w:rPr>
          <w:rFonts w:ascii="Poppins" w:cs="Poppins" w:eastAsia="Poppins" w:hAnsi="Poppins"/>
          <w:sz w:val="21"/>
          <w:szCs w:val="21"/>
        </w:rPr>
        <w:t xml:space="preserve">El porcentaje de recién nacidos con bajo peso al nacer por cualquier causa no corresponde a la definición específica del indicador 8 D, que se refiere a la administración de corticoides antenatales en amenaza de parto pretérmino.</w:t>
      </w:r>
    </w:p>
    <w:p>
      <w:pPr>
        <w:spacing w:after="60"/>
      </w:pPr>
      <w:r>
        <w:rPr>
          <w:rFonts w:ascii="Poppins" w:cs="Poppins" w:eastAsia="Poppins" w:hAnsi="Poppins"/>
          <w:b/>
          <w:bCs/>
          <w:sz w:val="21"/>
          <w:szCs w:val="21"/>
        </w:rPr>
        <w:t xml:space="preserve">Opción D: </w:t>
      </w:r>
      <w:r>
        <w:rPr>
          <w:rFonts w:ascii="Poppins" w:cs="Poppins" w:eastAsia="Poppins" w:hAnsi="Poppins"/>
          <w:sz w:val="21"/>
          <w:szCs w:val="21"/>
        </w:rPr>
        <w:t xml:space="preserve">La tasa de mortalidad materna directa por todas las causas no corresponde al indicador 8 D; el indicador 10 mencionado en la guía se refiere específicamente a la tasa hospitalaria de letalidad por complicaciones obstétricas directas, no exactamente a mortalidad materna general.</w:t>
      </w:r>
    </w:p>
    <w:p>
      <w:pPr>
        <w:pBdr>
          <w:bottom w:val="single" w:color="B08D3F" w:sz="6" w:space="4"/>
        </w:pBdr>
        <w:spacing w:after="200" w:before="100"/>
      </w:pPr>
      <w:r>
        <w:rPr>
          <w:rFonts w:ascii="Poppins" w:cs="Poppins" w:eastAsia="Poppins" w:hAnsi="Poppins"/>
          <w:b/>
          <w:bCs/>
          <w:i/>
          <w:iCs/>
          <w:color w:val="B08D3F"/>
          <w:sz w:val="20"/>
          <w:szCs w:val="20"/>
        </w:rPr>
        <w:t xml:space="preserve">Referencia: </w:t>
      </w:r>
      <w:r>
        <w:rPr>
          <w:rFonts w:ascii="Poppins" w:cs="Poppins" w:eastAsia="Poppins" w:hAnsi="Poppins"/>
          <w:i/>
          <w:iCs/>
          <w:color w:val="555555"/>
          <w:sz w:val="20"/>
          <w:szCs w:val="20"/>
        </w:rPr>
        <w:t xml:space="preserve">Monitoreo de calidad. Página 20.</w:t>
      </w:r>
    </w:p>
    <w:p>
      <w:pPr>
        <w:shd w:fill="001C31" w:val="clear"/>
        <w:spacing w:after="100" w:before="300"/>
      </w:pPr>
      <w:r>
        <w:rPr>
          <w:rFonts w:ascii="Poppins" w:cs="Poppins" w:eastAsia="Poppins" w:hAnsi="Poppins"/>
          <w:b/>
          <w:bCs/>
          <w:color w:val="FFFFFF"/>
          <w:sz w:val="24"/>
          <w:szCs w:val="24"/>
        </w:rPr>
        <w:t xml:space="preserve">PREGUNTA 88</w:t>
      </w:r>
    </w:p>
    <w:p>
      <w:pPr>
        <w:spacing w:after="120"/>
      </w:pPr>
      <w:r>
        <w:rPr>
          <w:rFonts w:ascii="Poppins" w:cs="Poppins" w:eastAsia="Poppins" w:hAnsi="Poppins"/>
          <w:b/>
          <w:bCs/>
          <w:color w:val="001C31"/>
          <w:sz w:val="21"/>
          <w:szCs w:val="21"/>
        </w:rPr>
        <w:t xml:space="preserve">Pregunta: </w:t>
      </w:r>
      <w:r>
        <w:rPr>
          <w:rFonts w:ascii="Poppins" w:cs="Poppins" w:eastAsia="Poppins" w:hAnsi="Poppins"/>
          <w:sz w:val="21"/>
          <w:szCs w:val="21"/>
        </w:rPr>
        <w:t xml:space="preserve">Según la GPC, ¿qué mide el indicador 12 mencionado en el apartado de monitoreo de calidad?</w:t>
      </w:r>
    </w:p>
    <w:p>
      <w:pPr>
        <w:spacing w:after="60"/>
      </w:pPr>
      <w:r>
        <w:rPr>
          <w:rFonts w:ascii="Poppins" w:cs="Poppins" w:eastAsia="Poppins" w:hAnsi="Poppins"/>
          <w:b/>
          <w:bCs/>
          <w:color w:val="B08D3F"/>
          <w:sz w:val="21"/>
          <w:szCs w:val="21"/>
        </w:rPr>
        <w:t xml:space="preserve">A. </w:t>
      </w:r>
      <w:r>
        <w:rPr>
          <w:rFonts w:ascii="Poppins" w:cs="Poppins" w:eastAsia="Poppins" w:hAnsi="Poppins"/>
          <w:b/>
          <w:bCs/>
          <w:color w:val="B08D3F"/>
          <w:sz w:val="21"/>
          <w:szCs w:val="21"/>
        </w:rPr>
        <w:t xml:space="preserve">% de complicaciones obstétricas atendidas en las unidades del Área de Salud, de los esperados</w:t>
      </w:r>
    </w:p>
    <w:p>
      <w:pPr>
        <w:spacing w:after="60"/>
      </w:pPr>
      <w:r>
        <w:rPr>
          <w:rFonts w:ascii="Poppins" w:cs="Poppins" w:eastAsia="Poppins" w:hAnsi="Poppins"/>
          <w:b/>
          <w:bCs/>
          <w:color w:val="000000"/>
          <w:sz w:val="21"/>
          <w:szCs w:val="21"/>
        </w:rPr>
        <w:t xml:space="preserve">B. </w:t>
      </w:r>
      <w:r>
        <w:rPr>
          <w:rFonts w:ascii="Poppins" w:cs="Poppins" w:eastAsia="Poppins" w:hAnsi="Poppins"/>
          <w:b w:val="false"/>
          <w:bCs w:val="false"/>
          <w:color w:val="000000"/>
          <w:sz w:val="21"/>
          <w:szCs w:val="21"/>
        </w:rPr>
        <w:t xml:space="preserve">% de embarazadas que recibieron control prenatal completo</w:t>
      </w:r>
    </w:p>
    <w:p>
      <w:pPr>
        <w:spacing w:after="60"/>
      </w:pPr>
      <w:r>
        <w:rPr>
          <w:rFonts w:ascii="Poppins" w:cs="Poppins" w:eastAsia="Poppins" w:hAnsi="Poppins"/>
          <w:b/>
          <w:bCs/>
          <w:color w:val="000000"/>
          <w:sz w:val="21"/>
          <w:szCs w:val="21"/>
        </w:rPr>
        <w:t xml:space="preserve">C. </w:t>
      </w:r>
      <w:r>
        <w:rPr>
          <w:rFonts w:ascii="Poppins" w:cs="Poppins" w:eastAsia="Poppins" w:hAnsi="Poppins"/>
          <w:b w:val="false"/>
          <w:bCs w:val="false"/>
          <w:color w:val="000000"/>
          <w:sz w:val="21"/>
          <w:szCs w:val="21"/>
        </w:rPr>
        <w:t xml:space="preserve">% de recién nacidos vacunados en las primeras 24 horas de vida</w:t>
      </w:r>
    </w:p>
    <w:p>
      <w:pPr>
        <w:spacing w:after="60"/>
      </w:pPr>
      <w:r>
        <w:rPr>
          <w:rFonts w:ascii="Poppins" w:cs="Poppins" w:eastAsia="Poppins" w:hAnsi="Poppins"/>
          <w:b/>
          <w:bCs/>
          <w:color w:val="000000"/>
          <w:sz w:val="21"/>
          <w:szCs w:val="21"/>
        </w:rPr>
        <w:t xml:space="preserve">D. </w:t>
      </w:r>
      <w:r>
        <w:rPr>
          <w:rFonts w:ascii="Poppins" w:cs="Poppins" w:eastAsia="Poppins" w:hAnsi="Poppins"/>
          <w:b w:val="false"/>
          <w:bCs w:val="false"/>
          <w:color w:val="000000"/>
          <w:sz w:val="21"/>
          <w:szCs w:val="21"/>
        </w:rPr>
        <w:t xml:space="preserve">Tasa de partos por cesárea en el área de salud</w:t>
      </w:r>
    </w:p>
    <w:p>
      <w:pPr>
        <w:spacing w:after="100" w:before="120"/>
      </w:pPr>
      <w:r>
        <w:rPr>
          <w:rFonts w:ascii="Poppins" w:cs="Poppins" w:eastAsia="Poppins" w:hAnsi="Poppins"/>
          <w:b/>
          <w:bCs/>
          <w:color w:val="001C31"/>
          <w:sz w:val="21"/>
          <w:szCs w:val="21"/>
        </w:rPr>
        <w:t xml:space="preserve">Respuesta correcta: A</w:t>
      </w:r>
    </w:p>
    <w:p>
      <w:pPr>
        <w:spacing w:after="60"/>
      </w:pPr>
      <w:r>
        <w:rPr>
          <w:rFonts w:ascii="Poppins" w:cs="Poppins" w:eastAsia="Poppins" w:hAnsi="Poppins"/>
          <w:b/>
          <w:bCs/>
          <w:color w:val="001C31"/>
          <w:sz w:val="21"/>
          <w:szCs w:val="21"/>
          <w:u w:val="single"/>
        </w:rPr>
        <w:t xml:space="preserve">Justificación de la respuesta correcta</w:t>
      </w:r>
    </w:p>
    <w:p>
      <w:pPr>
        <w:spacing w:after="150"/>
      </w:pPr>
      <w:r>
        <w:rPr>
          <w:rFonts w:ascii="Poppins" w:cs="Poppins" w:eastAsia="Poppins" w:hAnsi="Poppins"/>
          <w:sz w:val="21"/>
          <w:szCs w:val="21"/>
        </w:rPr>
        <w:t xml:space="preserve">La guía enumera entre los indicadores relacionados el 12: porcentaje de complicaciones obstétricas atendidas en las unidades del Área de Salud, de los esperados.</w:t>
      </w:r>
    </w:p>
    <w:p>
      <w:pPr>
        <w:spacing w:after="60"/>
      </w:pPr>
      <w:r>
        <w:rPr>
          <w:rFonts w:ascii="Poppins" w:cs="Poppins" w:eastAsia="Poppins" w:hAnsi="Poppins"/>
          <w:b/>
          <w:bCs/>
          <w:color w:val="001C31"/>
          <w:sz w:val="21"/>
          <w:szCs w:val="21"/>
          <w:u w:val="single"/>
        </w:rPr>
        <w:t xml:space="preserve">Justificación de las opciones incorrectas</w:t>
      </w:r>
    </w:p>
    <w:p>
      <w:pPr>
        <w:spacing w:after="60"/>
      </w:pPr>
      <w:r>
        <w:rPr>
          <w:rFonts w:ascii="Poppins" w:cs="Poppins" w:eastAsia="Poppins" w:hAnsi="Poppins"/>
          <w:b/>
          <w:bCs/>
          <w:sz w:val="21"/>
          <w:szCs w:val="21"/>
        </w:rPr>
        <w:t xml:space="preserve">Opción B: </w:t>
      </w:r>
      <w:r>
        <w:rPr>
          <w:rFonts w:ascii="Poppins" w:cs="Poppins" w:eastAsia="Poppins" w:hAnsi="Poppins"/>
          <w:sz w:val="21"/>
          <w:szCs w:val="21"/>
        </w:rPr>
        <w:t xml:space="preserve">El porcentaje de embarazadas con control prenatal completo no corresponde a la definición del indicador 12 citado en la guía.</w:t>
      </w:r>
    </w:p>
    <w:p>
      <w:pPr>
        <w:spacing w:after="60"/>
      </w:pPr>
      <w:r>
        <w:rPr>
          <w:rFonts w:ascii="Poppins" w:cs="Poppins" w:eastAsia="Poppins" w:hAnsi="Poppins"/>
          <w:b/>
          <w:bCs/>
          <w:sz w:val="21"/>
          <w:szCs w:val="21"/>
        </w:rPr>
        <w:t xml:space="preserve">Opción C: </w:t>
      </w:r>
      <w:r>
        <w:rPr>
          <w:rFonts w:ascii="Poppins" w:cs="Poppins" w:eastAsia="Poppins" w:hAnsi="Poppins"/>
          <w:sz w:val="21"/>
          <w:szCs w:val="21"/>
        </w:rPr>
        <w:t xml:space="preserve">El porcentaje de recién nacidos vacunados no se menciona en la guía como uno de los indicadores de monitoreo de calidad relacionados con esta patología.</w:t>
      </w:r>
    </w:p>
    <w:p>
      <w:pPr>
        <w:spacing w:after="60"/>
      </w:pPr>
      <w:r>
        <w:rPr>
          <w:rFonts w:ascii="Poppins" w:cs="Poppins" w:eastAsia="Poppins" w:hAnsi="Poppins"/>
          <w:b/>
          <w:bCs/>
          <w:sz w:val="21"/>
          <w:szCs w:val="21"/>
        </w:rPr>
        <w:t xml:space="preserve">Opción D: </w:t>
      </w:r>
      <w:r>
        <w:rPr>
          <w:rFonts w:ascii="Poppins" w:cs="Poppins" w:eastAsia="Poppins" w:hAnsi="Poppins"/>
          <w:sz w:val="21"/>
          <w:szCs w:val="21"/>
        </w:rPr>
        <w:t xml:space="preserve">La tasa de partos por cesárea no corresponde a ninguno de los indicadores específicos enumerados en esta sección de la guía.</w:t>
      </w:r>
    </w:p>
    <w:p>
      <w:pPr>
        <w:pBdr>
          <w:bottom w:val="single" w:color="B08D3F" w:sz="6" w:space="4"/>
        </w:pBdr>
        <w:spacing w:after="200" w:before="100"/>
      </w:pPr>
      <w:r>
        <w:rPr>
          <w:rFonts w:ascii="Poppins" w:cs="Poppins" w:eastAsia="Poppins" w:hAnsi="Poppins"/>
          <w:b/>
          <w:bCs/>
          <w:i/>
          <w:iCs/>
          <w:color w:val="B08D3F"/>
          <w:sz w:val="20"/>
          <w:szCs w:val="20"/>
        </w:rPr>
        <w:t xml:space="preserve">Referencia: </w:t>
      </w:r>
      <w:r>
        <w:rPr>
          <w:rFonts w:ascii="Poppins" w:cs="Poppins" w:eastAsia="Poppins" w:hAnsi="Poppins"/>
          <w:i/>
          <w:iCs/>
          <w:color w:val="555555"/>
          <w:sz w:val="20"/>
          <w:szCs w:val="20"/>
        </w:rPr>
        <w:t xml:space="preserve">Monitoreo de calidad. Página 20.</w:t>
      </w:r>
    </w:p>
    <w:p>
      <w:pPr>
        <w:shd w:fill="001C31" w:val="clear"/>
        <w:spacing w:after="100" w:before="300"/>
      </w:pPr>
      <w:r>
        <w:rPr>
          <w:rFonts w:ascii="Poppins" w:cs="Poppins" w:eastAsia="Poppins" w:hAnsi="Poppins"/>
          <w:b/>
          <w:bCs/>
          <w:color w:val="FFFFFF"/>
          <w:sz w:val="24"/>
          <w:szCs w:val="24"/>
        </w:rPr>
        <w:t xml:space="preserve">PREGUNTA 89</w:t>
      </w:r>
    </w:p>
    <w:p>
      <w:pPr>
        <w:spacing w:after="120"/>
      </w:pPr>
      <w:r>
        <w:rPr>
          <w:rFonts w:ascii="Poppins" w:cs="Poppins" w:eastAsia="Poppins" w:hAnsi="Poppins"/>
          <w:b/>
          <w:bCs/>
          <w:color w:val="001C31"/>
          <w:sz w:val="21"/>
          <w:szCs w:val="21"/>
        </w:rPr>
        <w:t xml:space="preserve">Pregunta: </w:t>
      </w:r>
      <w:r>
        <w:rPr>
          <w:rFonts w:ascii="Poppins" w:cs="Poppins" w:eastAsia="Poppins" w:hAnsi="Poppins"/>
          <w:sz w:val="21"/>
          <w:szCs w:val="21"/>
        </w:rPr>
        <w:t xml:space="preserve">Según la GPC, ¿qué mide el indicador de entrada número 1 mencionado en el apartado de monitoreo de calidad?</w:t>
      </w:r>
    </w:p>
    <w:p>
      <w:pPr>
        <w:spacing w:after="60"/>
      </w:pPr>
      <w:r>
        <w:rPr>
          <w:rFonts w:ascii="Poppins" w:cs="Poppins" w:eastAsia="Poppins" w:hAnsi="Poppins"/>
          <w:b/>
          <w:bCs/>
          <w:color w:val="B08D3F"/>
          <w:sz w:val="21"/>
          <w:szCs w:val="21"/>
        </w:rPr>
        <w:t xml:space="preserve">A. </w:t>
      </w:r>
      <w:r>
        <w:rPr>
          <w:rFonts w:ascii="Poppins" w:cs="Poppins" w:eastAsia="Poppins" w:hAnsi="Poppins"/>
          <w:b/>
          <w:bCs/>
          <w:color w:val="B08D3F"/>
          <w:sz w:val="21"/>
          <w:szCs w:val="21"/>
        </w:rPr>
        <w:t xml:space="preserve">% de insumos, equipos y medicamentos esenciales con los que cuenta cada Unidad Operativa para la atención de la salud materna y del/a recién nacido/a</w:t>
      </w:r>
    </w:p>
    <w:p>
      <w:pPr>
        <w:spacing w:after="60"/>
      </w:pPr>
      <w:r>
        <w:rPr>
          <w:rFonts w:ascii="Poppins" w:cs="Poppins" w:eastAsia="Poppins" w:hAnsi="Poppins"/>
          <w:b/>
          <w:bCs/>
          <w:color w:val="000000"/>
          <w:sz w:val="21"/>
          <w:szCs w:val="21"/>
        </w:rPr>
        <w:t xml:space="preserve">B. </w:t>
      </w:r>
      <w:r>
        <w:rPr>
          <w:rFonts w:ascii="Poppins" w:cs="Poppins" w:eastAsia="Poppins" w:hAnsi="Poppins"/>
          <w:b w:val="false"/>
          <w:bCs w:val="false"/>
          <w:color w:val="000000"/>
          <w:sz w:val="21"/>
          <w:szCs w:val="21"/>
        </w:rPr>
        <w:t xml:space="preserve">% de pacientes satisfechas con la atención recibida</w:t>
      </w:r>
    </w:p>
    <w:p>
      <w:pPr>
        <w:spacing w:after="60"/>
      </w:pPr>
      <w:r>
        <w:rPr>
          <w:rFonts w:ascii="Poppins" w:cs="Poppins" w:eastAsia="Poppins" w:hAnsi="Poppins"/>
          <w:b/>
          <w:bCs/>
          <w:color w:val="000000"/>
          <w:sz w:val="21"/>
          <w:szCs w:val="21"/>
        </w:rPr>
        <w:t xml:space="preserve">C. </w:t>
      </w:r>
      <w:r>
        <w:rPr>
          <w:rFonts w:ascii="Poppins" w:cs="Poppins" w:eastAsia="Poppins" w:hAnsi="Poppins"/>
          <w:b w:val="false"/>
          <w:bCs w:val="false"/>
          <w:color w:val="000000"/>
          <w:sz w:val="21"/>
          <w:szCs w:val="21"/>
        </w:rPr>
        <w:t xml:space="preserve">Número de médicos especialistas disponibles por unidad de salud</w:t>
      </w:r>
    </w:p>
    <w:p>
      <w:pPr>
        <w:spacing w:after="60"/>
      </w:pPr>
      <w:r>
        <w:rPr>
          <w:rFonts w:ascii="Poppins" w:cs="Poppins" w:eastAsia="Poppins" w:hAnsi="Poppins"/>
          <w:b/>
          <w:bCs/>
          <w:color w:val="000000"/>
          <w:sz w:val="21"/>
          <w:szCs w:val="21"/>
        </w:rPr>
        <w:t xml:space="preserve">D. </w:t>
      </w:r>
      <w:r>
        <w:rPr>
          <w:rFonts w:ascii="Poppins" w:cs="Poppins" w:eastAsia="Poppins" w:hAnsi="Poppins"/>
          <w:b w:val="false"/>
          <w:bCs w:val="false"/>
          <w:color w:val="000000"/>
          <w:sz w:val="21"/>
          <w:szCs w:val="21"/>
        </w:rPr>
        <w:t xml:space="preserve">% de embarazadas que solicitaron cita en línea</w:t>
      </w:r>
    </w:p>
    <w:p>
      <w:pPr>
        <w:spacing w:after="100" w:before="120"/>
      </w:pPr>
      <w:r>
        <w:rPr>
          <w:rFonts w:ascii="Poppins" w:cs="Poppins" w:eastAsia="Poppins" w:hAnsi="Poppins"/>
          <w:b/>
          <w:bCs/>
          <w:color w:val="001C31"/>
          <w:sz w:val="21"/>
          <w:szCs w:val="21"/>
        </w:rPr>
        <w:t xml:space="preserve">Respuesta correcta: A</w:t>
      </w:r>
    </w:p>
    <w:p>
      <w:pPr>
        <w:spacing w:after="60"/>
      </w:pPr>
      <w:r>
        <w:rPr>
          <w:rFonts w:ascii="Poppins" w:cs="Poppins" w:eastAsia="Poppins" w:hAnsi="Poppins"/>
          <w:b/>
          <w:bCs/>
          <w:color w:val="001C31"/>
          <w:sz w:val="21"/>
          <w:szCs w:val="21"/>
          <w:u w:val="single"/>
        </w:rPr>
        <w:t xml:space="preserve">Justificación de la respuesta correcta</w:t>
      </w:r>
    </w:p>
    <w:p>
      <w:pPr>
        <w:spacing w:after="150"/>
      </w:pPr>
      <w:r>
        <w:rPr>
          <w:rFonts w:ascii="Poppins" w:cs="Poppins" w:eastAsia="Poppins" w:hAnsi="Poppins"/>
          <w:sz w:val="21"/>
          <w:szCs w:val="21"/>
        </w:rPr>
        <w:t xml:space="preserve">La guía establece que el indicador 1, de tipo entrada, corresponde al porcentaje de insumos, equipos y medicamentos esenciales con los que cuenta cada Unidad Operativa para la atención de la salud materna y del/a recién nacido/a.</w:t>
      </w:r>
    </w:p>
    <w:p>
      <w:pPr>
        <w:spacing w:after="60"/>
      </w:pPr>
      <w:r>
        <w:rPr>
          <w:rFonts w:ascii="Poppins" w:cs="Poppins" w:eastAsia="Poppins" w:hAnsi="Poppins"/>
          <w:b/>
          <w:bCs/>
          <w:color w:val="001C31"/>
          <w:sz w:val="21"/>
          <w:szCs w:val="21"/>
          <w:u w:val="single"/>
        </w:rPr>
        <w:t xml:space="preserve">Justificación de las opciones incorrectas</w:t>
      </w:r>
    </w:p>
    <w:p>
      <w:pPr>
        <w:spacing w:after="60"/>
      </w:pPr>
      <w:r>
        <w:rPr>
          <w:rFonts w:ascii="Poppins" w:cs="Poppins" w:eastAsia="Poppins" w:hAnsi="Poppins"/>
          <w:b/>
          <w:bCs/>
          <w:sz w:val="21"/>
          <w:szCs w:val="21"/>
        </w:rPr>
        <w:t xml:space="preserve">Opción B: </w:t>
      </w:r>
      <w:r>
        <w:rPr>
          <w:rFonts w:ascii="Poppins" w:cs="Poppins" w:eastAsia="Poppins" w:hAnsi="Poppins"/>
          <w:sz w:val="21"/>
          <w:szCs w:val="21"/>
        </w:rPr>
        <w:t xml:space="preserve">La satisfacción de las pacientes no se menciona como el indicador número 1 en esta guía; ese indicador se refiere específicamente a la disponibilidad de insumos, equipos y medicamentos esenciales.</w:t>
      </w:r>
    </w:p>
    <w:p>
      <w:pPr>
        <w:spacing w:after="60"/>
      </w:pPr>
      <w:r>
        <w:rPr>
          <w:rFonts w:ascii="Poppins" w:cs="Poppins" w:eastAsia="Poppins" w:hAnsi="Poppins"/>
          <w:b/>
          <w:bCs/>
          <w:sz w:val="21"/>
          <w:szCs w:val="21"/>
        </w:rPr>
        <w:t xml:space="preserve">Opción C: </w:t>
      </w:r>
      <w:r>
        <w:rPr>
          <w:rFonts w:ascii="Poppins" w:cs="Poppins" w:eastAsia="Poppins" w:hAnsi="Poppins"/>
          <w:sz w:val="21"/>
          <w:szCs w:val="21"/>
        </w:rPr>
        <w:t xml:space="preserve">El número de médicos especialistas disponibles no corresponde a la definición del indicador 1 citado en la guía.</w:t>
      </w:r>
    </w:p>
    <w:p>
      <w:pPr>
        <w:spacing w:after="60"/>
      </w:pPr>
      <w:r>
        <w:rPr>
          <w:rFonts w:ascii="Poppins" w:cs="Poppins" w:eastAsia="Poppins" w:hAnsi="Poppins"/>
          <w:b/>
          <w:bCs/>
          <w:sz w:val="21"/>
          <w:szCs w:val="21"/>
        </w:rPr>
        <w:t xml:space="preserve">Opción D: </w:t>
      </w:r>
      <w:r>
        <w:rPr>
          <w:rFonts w:ascii="Poppins" w:cs="Poppins" w:eastAsia="Poppins" w:hAnsi="Poppins"/>
          <w:sz w:val="21"/>
          <w:szCs w:val="21"/>
        </w:rPr>
        <w:t xml:space="preserve">La solicitud de citas en línea no se menciona en la guía como parte de los indicadores de monitoreo de calidad relacionados con esta patología.</w:t>
      </w:r>
    </w:p>
    <w:p>
      <w:pPr>
        <w:pBdr>
          <w:bottom w:val="single" w:color="B08D3F" w:sz="6" w:space="4"/>
        </w:pBdr>
        <w:spacing w:after="200" w:before="100"/>
      </w:pPr>
      <w:r>
        <w:rPr>
          <w:rFonts w:ascii="Poppins" w:cs="Poppins" w:eastAsia="Poppins" w:hAnsi="Poppins"/>
          <w:b/>
          <w:bCs/>
          <w:i/>
          <w:iCs/>
          <w:color w:val="B08D3F"/>
          <w:sz w:val="20"/>
          <w:szCs w:val="20"/>
        </w:rPr>
        <w:t xml:space="preserve">Referencia: </w:t>
      </w:r>
      <w:r>
        <w:rPr>
          <w:rFonts w:ascii="Poppins" w:cs="Poppins" w:eastAsia="Poppins" w:hAnsi="Poppins"/>
          <w:i/>
          <w:iCs/>
          <w:color w:val="555555"/>
          <w:sz w:val="20"/>
          <w:szCs w:val="20"/>
        </w:rPr>
        <w:t xml:space="preserve">Monitoreo de calidad. Página 20.</w:t>
      </w:r>
    </w:p>
    <w:p>
      <w:pPr>
        <w:shd w:fill="001C31" w:val="clear"/>
        <w:spacing w:after="100" w:before="300"/>
      </w:pPr>
      <w:r>
        <w:rPr>
          <w:rFonts w:ascii="Poppins" w:cs="Poppins" w:eastAsia="Poppins" w:hAnsi="Poppins"/>
          <w:b/>
          <w:bCs/>
          <w:color w:val="FFFFFF"/>
          <w:sz w:val="24"/>
          <w:szCs w:val="24"/>
        </w:rPr>
        <w:t xml:space="preserve">PREGUNTA 90</w:t>
      </w:r>
    </w:p>
    <w:p>
      <w:pPr>
        <w:spacing w:after="120"/>
      </w:pPr>
      <w:r>
        <w:rPr>
          <w:rFonts w:ascii="Poppins" w:cs="Poppins" w:eastAsia="Poppins" w:hAnsi="Poppins"/>
          <w:b/>
          <w:bCs/>
          <w:color w:val="001C31"/>
          <w:sz w:val="21"/>
          <w:szCs w:val="21"/>
        </w:rPr>
        <w:t xml:space="preserve">Pregunta: </w:t>
      </w:r>
      <w:r>
        <w:rPr>
          <w:rFonts w:ascii="Poppins" w:cs="Poppins" w:eastAsia="Poppins" w:hAnsi="Poppins"/>
          <w:sz w:val="21"/>
          <w:szCs w:val="21"/>
        </w:rPr>
        <w:t xml:space="preserve">Según la GPC, ¿los indicadores adicionales de entrada, proceso y salida mencionados en el apartado de monitoreo de calidad son de aplicación obligatoria en todos los casos?</w:t>
      </w:r>
    </w:p>
    <w:p>
      <w:pPr>
        <w:spacing w:after="60"/>
      </w:pPr>
      <w:r>
        <w:rPr>
          <w:rFonts w:ascii="Poppins" w:cs="Poppins" w:eastAsia="Poppins" w:hAnsi="Poppins"/>
          <w:b/>
          <w:bCs/>
          <w:color w:val="B08D3F"/>
          <w:sz w:val="21"/>
          <w:szCs w:val="21"/>
        </w:rPr>
        <w:t xml:space="preserve">A. </w:t>
      </w:r>
      <w:r>
        <w:rPr>
          <w:rFonts w:ascii="Poppins" w:cs="Poppins" w:eastAsia="Poppins" w:hAnsi="Poppins"/>
          <w:b/>
          <w:bCs/>
          <w:color w:val="B08D3F"/>
          <w:sz w:val="21"/>
          <w:szCs w:val="21"/>
        </w:rPr>
        <w:t xml:space="preserve">No necesariamente; la guía indica que estos otros indicadores 'también pueden ser evaluados si aplican al caso'</w:t>
      </w:r>
    </w:p>
    <w:p>
      <w:pPr>
        <w:spacing w:after="60"/>
      </w:pPr>
      <w:r>
        <w:rPr>
          <w:rFonts w:ascii="Poppins" w:cs="Poppins" w:eastAsia="Poppins" w:hAnsi="Poppins"/>
          <w:b/>
          <w:bCs/>
          <w:color w:val="000000"/>
          <w:sz w:val="21"/>
          <w:szCs w:val="21"/>
        </w:rPr>
        <w:t xml:space="preserve">B. </w:t>
      </w:r>
      <w:r>
        <w:rPr>
          <w:rFonts w:ascii="Poppins" w:cs="Poppins" w:eastAsia="Poppins" w:hAnsi="Poppins"/>
          <w:b w:val="false"/>
          <w:bCs w:val="false"/>
          <w:color w:val="000000"/>
          <w:sz w:val="21"/>
          <w:szCs w:val="21"/>
        </w:rPr>
        <w:t xml:space="preserve">Sí, son de aplicación obligatoria y simultánea en cada consulta prenatal</w:t>
      </w:r>
    </w:p>
    <w:p>
      <w:pPr>
        <w:spacing w:after="60"/>
      </w:pPr>
      <w:r>
        <w:rPr>
          <w:rFonts w:ascii="Poppins" w:cs="Poppins" w:eastAsia="Poppins" w:hAnsi="Poppins"/>
          <w:b/>
          <w:bCs/>
          <w:color w:val="000000"/>
          <w:sz w:val="21"/>
          <w:szCs w:val="21"/>
        </w:rPr>
        <w:t xml:space="preserve">C. </w:t>
      </w:r>
      <w:r>
        <w:rPr>
          <w:rFonts w:ascii="Poppins" w:cs="Poppins" w:eastAsia="Poppins" w:hAnsi="Poppins"/>
          <w:b w:val="false"/>
          <w:bCs w:val="false"/>
          <w:color w:val="000000"/>
          <w:sz w:val="21"/>
          <w:szCs w:val="21"/>
        </w:rPr>
        <w:t xml:space="preserve">Solo se aplican en hospitales de tercer nivel, nunca en el primer nivel de atención</w:t>
      </w:r>
    </w:p>
    <w:p>
      <w:pPr>
        <w:spacing w:after="60"/>
      </w:pPr>
      <w:r>
        <w:rPr>
          <w:rFonts w:ascii="Poppins" w:cs="Poppins" w:eastAsia="Poppins" w:hAnsi="Poppins"/>
          <w:b/>
          <w:bCs/>
          <w:color w:val="000000"/>
          <w:sz w:val="21"/>
          <w:szCs w:val="21"/>
        </w:rPr>
        <w:t xml:space="preserve">D. </w:t>
      </w:r>
      <w:r>
        <w:rPr>
          <w:rFonts w:ascii="Poppins" w:cs="Poppins" w:eastAsia="Poppins" w:hAnsi="Poppins"/>
          <w:b w:val="false"/>
          <w:bCs w:val="false"/>
          <w:color w:val="000000"/>
          <w:sz w:val="21"/>
          <w:szCs w:val="21"/>
        </w:rPr>
        <w:t xml:space="preserve">Solo se aplican en pacientes con antecedente de aborto</w:t>
      </w:r>
    </w:p>
    <w:p>
      <w:pPr>
        <w:spacing w:after="100" w:before="120"/>
      </w:pPr>
      <w:r>
        <w:rPr>
          <w:rFonts w:ascii="Poppins" w:cs="Poppins" w:eastAsia="Poppins" w:hAnsi="Poppins"/>
          <w:b/>
          <w:bCs/>
          <w:color w:val="001C31"/>
          <w:sz w:val="21"/>
          <w:szCs w:val="21"/>
        </w:rPr>
        <w:t xml:space="preserve">Respuesta correcta: A</w:t>
      </w:r>
    </w:p>
    <w:p>
      <w:pPr>
        <w:spacing w:after="60"/>
      </w:pPr>
      <w:r>
        <w:rPr>
          <w:rFonts w:ascii="Poppins" w:cs="Poppins" w:eastAsia="Poppins" w:hAnsi="Poppins"/>
          <w:b/>
          <w:bCs/>
          <w:color w:val="001C31"/>
          <w:sz w:val="21"/>
          <w:szCs w:val="21"/>
          <w:u w:val="single"/>
        </w:rPr>
        <w:t xml:space="preserve">Justificación de la respuesta correcta</w:t>
      </w:r>
    </w:p>
    <w:p>
      <w:pPr>
        <w:spacing w:after="150"/>
      </w:pPr>
      <w:r>
        <w:rPr>
          <w:rFonts w:ascii="Poppins" w:cs="Poppins" w:eastAsia="Poppins" w:hAnsi="Poppins"/>
          <w:sz w:val="21"/>
          <w:szCs w:val="21"/>
        </w:rPr>
        <w:t xml:space="preserve">La guía establece que, además del indicador principal 8 C, existen otros indicadores de entrada, proceso y salida relacionados que 'también pueden ser evaluados si aplican al caso', lo que indica que su aplicación depende de la pertinencia según el contexto, y no que sean obligatorios en todos los casos.</w:t>
      </w:r>
    </w:p>
    <w:p>
      <w:pPr>
        <w:spacing w:after="60"/>
      </w:pPr>
      <w:r>
        <w:rPr>
          <w:rFonts w:ascii="Poppins" w:cs="Poppins" w:eastAsia="Poppins" w:hAnsi="Poppins"/>
          <w:b/>
          <w:bCs/>
          <w:color w:val="001C31"/>
          <w:sz w:val="21"/>
          <w:szCs w:val="21"/>
          <w:u w:val="single"/>
        </w:rPr>
        <w:t xml:space="preserve">Justificación de las opciones incorrectas</w:t>
      </w:r>
    </w:p>
    <w:p>
      <w:pPr>
        <w:spacing w:after="60"/>
      </w:pPr>
      <w:r>
        <w:rPr>
          <w:rFonts w:ascii="Poppins" w:cs="Poppins" w:eastAsia="Poppins" w:hAnsi="Poppins"/>
          <w:b/>
          <w:bCs/>
          <w:sz w:val="21"/>
          <w:szCs w:val="21"/>
        </w:rPr>
        <w:t xml:space="preserve">Opción B: </w:t>
      </w:r>
      <w:r>
        <w:rPr>
          <w:rFonts w:ascii="Poppins" w:cs="Poppins" w:eastAsia="Poppins" w:hAnsi="Poppins"/>
          <w:sz w:val="21"/>
          <w:szCs w:val="21"/>
        </w:rPr>
        <w:t xml:space="preserve">La guía no exige la aplicación obligatoria y simultánea de todos estos indicadores en cada consulta prenatal; su uso se condiciona a la pertinencia del caso.</w:t>
      </w:r>
    </w:p>
    <w:p>
      <w:pPr>
        <w:spacing w:after="60"/>
      </w:pPr>
      <w:r>
        <w:rPr>
          <w:rFonts w:ascii="Poppins" w:cs="Poppins" w:eastAsia="Poppins" w:hAnsi="Poppins"/>
          <w:b/>
          <w:bCs/>
          <w:sz w:val="21"/>
          <w:szCs w:val="21"/>
        </w:rPr>
        <w:t xml:space="preserve">Opción C: </w:t>
      </w:r>
      <w:r>
        <w:rPr>
          <w:rFonts w:ascii="Poppins" w:cs="Poppins" w:eastAsia="Poppins" w:hAnsi="Poppins"/>
          <w:sz w:val="21"/>
          <w:szCs w:val="21"/>
        </w:rPr>
        <w:t xml:space="preserve">La guía no restringe estos indicadores exclusivamente al tercer nivel de atención; se enmarcan en el monitoreo general de calidad de la atención materno-neonatal, aplicable según corresponda en los distintos niveles.</w:t>
      </w:r>
    </w:p>
    <w:p>
      <w:pPr>
        <w:spacing w:after="60"/>
      </w:pPr>
      <w:r>
        <w:rPr>
          <w:rFonts w:ascii="Poppins" w:cs="Poppins" w:eastAsia="Poppins" w:hAnsi="Poppins"/>
          <w:b/>
          <w:bCs/>
          <w:sz w:val="21"/>
          <w:szCs w:val="21"/>
        </w:rPr>
        <w:t xml:space="preserve">Opción D: </w:t>
      </w:r>
      <w:r>
        <w:rPr>
          <w:rFonts w:ascii="Poppins" w:cs="Poppins" w:eastAsia="Poppins" w:hAnsi="Poppins"/>
          <w:sz w:val="21"/>
          <w:szCs w:val="21"/>
        </w:rPr>
        <w:t xml:space="preserve">La guía no condiciona estos indicadores a la presencia de antecedente de aborto; se relacionan con el monitoreo general de la calidad de la atención materno-neonatal en el contexto de esta GPC.</w:t>
      </w:r>
    </w:p>
    <w:p>
      <w:pPr>
        <w:pBdr>
          <w:bottom w:val="single" w:color="B08D3F" w:sz="6" w:space="4"/>
        </w:pBdr>
        <w:spacing w:after="200" w:before="100"/>
      </w:pPr>
      <w:r>
        <w:rPr>
          <w:rFonts w:ascii="Poppins" w:cs="Poppins" w:eastAsia="Poppins" w:hAnsi="Poppins"/>
          <w:b/>
          <w:bCs/>
          <w:i/>
          <w:iCs/>
          <w:color w:val="B08D3F"/>
          <w:sz w:val="20"/>
          <w:szCs w:val="20"/>
        </w:rPr>
        <w:t xml:space="preserve">Referencia: </w:t>
      </w:r>
      <w:r>
        <w:rPr>
          <w:rFonts w:ascii="Poppins" w:cs="Poppins" w:eastAsia="Poppins" w:hAnsi="Poppins"/>
          <w:i/>
          <w:iCs/>
          <w:color w:val="555555"/>
          <w:sz w:val="20"/>
          <w:szCs w:val="20"/>
        </w:rPr>
        <w:t xml:space="preserve">Monitoreo de calidad. Página 20.</w:t>
      </w:r>
    </w:p>
    <w:p>
      <w:pPr>
        <w:shd w:fill="001C31" w:val="clear"/>
        <w:spacing w:after="100" w:before="300"/>
      </w:pPr>
      <w:r>
        <w:rPr>
          <w:rFonts w:ascii="Poppins" w:cs="Poppins" w:eastAsia="Poppins" w:hAnsi="Poppins"/>
          <w:b/>
          <w:bCs/>
          <w:color w:val="FFFFFF"/>
          <w:sz w:val="24"/>
          <w:szCs w:val="24"/>
        </w:rPr>
        <w:t xml:space="preserve">PREGUNTA 91</w:t>
      </w:r>
    </w:p>
    <w:p>
      <w:pPr>
        <w:shd w:fill="F3ECDD" w:val="clear"/>
        <w:spacing w:after="60"/>
      </w:pPr>
      <w:r>
        <w:rPr>
          <w:rFonts w:ascii="Poppins" w:cs="Poppins" w:eastAsia="Poppins" w:hAnsi="Poppins"/>
          <w:b/>
          <w:bCs/>
          <w:i/>
          <w:iCs/>
          <w:color w:val="001C31"/>
          <w:sz w:val="21"/>
          <w:szCs w:val="21"/>
        </w:rPr>
        <w:t xml:space="preserve">Caso clínico: </w:t>
      </w:r>
      <w:r>
        <w:rPr>
          <w:rFonts w:ascii="Poppins" w:cs="Poppins" w:eastAsia="Poppins" w:hAnsi="Poppins"/>
          <w:i/>
          <w:iCs/>
          <w:sz w:val="21"/>
          <w:szCs w:val="21"/>
        </w:rPr>
        <w:t xml:space="preserve">Una paciente llega a su primera consulta prenatal. Según el flujograma de la GPC, el primer paso es determinar si presenta datos clínicos de vaginitis.</w:t>
      </w:r>
    </w:p>
    <w:p>
      <w:pPr>
        <w:spacing w:after="120"/>
      </w:pPr>
      <w:r>
        <w:rPr>
          <w:rFonts w:ascii="Poppins" w:cs="Poppins" w:eastAsia="Poppins" w:hAnsi="Poppins"/>
          <w:b/>
          <w:bCs/>
          <w:color w:val="001C31"/>
          <w:sz w:val="21"/>
          <w:szCs w:val="21"/>
        </w:rPr>
        <w:t xml:space="preserve">Pregunta: </w:t>
      </w:r>
      <w:r>
        <w:rPr>
          <w:rFonts w:ascii="Poppins" w:cs="Poppins" w:eastAsia="Poppins" w:hAnsi="Poppins"/>
          <w:sz w:val="21"/>
          <w:szCs w:val="21"/>
        </w:rPr>
        <w:t xml:space="preserve">Según el Anexo 1 (Flujograma de diagnóstico y tratamiento de bacteriuria asintomática), si la paciente NO presenta datos clínicos de vaginitis, ¿cuál es el siguiente paso?</w:t>
      </w:r>
    </w:p>
    <w:p>
      <w:pPr>
        <w:spacing w:after="60"/>
      </w:pPr>
      <w:r>
        <w:rPr>
          <w:rFonts w:ascii="Poppins" w:cs="Poppins" w:eastAsia="Poppins" w:hAnsi="Poppins"/>
          <w:b/>
          <w:bCs/>
          <w:color w:val="B08D3F"/>
          <w:sz w:val="21"/>
          <w:szCs w:val="21"/>
        </w:rPr>
        <w:t xml:space="preserve">A. </w:t>
      </w:r>
      <w:r>
        <w:rPr>
          <w:rFonts w:ascii="Poppins" w:cs="Poppins" w:eastAsia="Poppins" w:hAnsi="Poppins"/>
          <w:b/>
          <w:bCs/>
          <w:color w:val="B08D3F"/>
          <w:sz w:val="21"/>
          <w:szCs w:val="21"/>
        </w:rPr>
        <w:t xml:space="preserve">Solicitar urocultivo de tamizaje en semana 12-16, o en la primera consulta prenatal si esta es posterior a la semana 12-16</w:t>
      </w:r>
    </w:p>
    <w:p>
      <w:pPr>
        <w:spacing w:after="60"/>
      </w:pPr>
      <w:r>
        <w:rPr>
          <w:rFonts w:ascii="Poppins" w:cs="Poppins" w:eastAsia="Poppins" w:hAnsi="Poppins"/>
          <w:b/>
          <w:bCs/>
          <w:color w:val="000000"/>
          <w:sz w:val="21"/>
          <w:szCs w:val="21"/>
        </w:rPr>
        <w:t xml:space="preserve">B. </w:t>
      </w:r>
      <w:r>
        <w:rPr>
          <w:rFonts w:ascii="Poppins" w:cs="Poppins" w:eastAsia="Poppins" w:hAnsi="Poppins"/>
          <w:b w:val="false"/>
          <w:bCs w:val="false"/>
          <w:color w:val="000000"/>
          <w:sz w:val="21"/>
          <w:szCs w:val="21"/>
        </w:rPr>
        <w:t xml:space="preserve">Iniciar tratamiento antibiótico empírico inmediato sin urocultivo</w:t>
      </w:r>
    </w:p>
    <w:p>
      <w:pPr>
        <w:spacing w:after="60"/>
      </w:pPr>
      <w:r>
        <w:rPr>
          <w:rFonts w:ascii="Poppins" w:cs="Poppins" w:eastAsia="Poppins" w:hAnsi="Poppins"/>
          <w:b/>
          <w:bCs/>
          <w:color w:val="000000"/>
          <w:sz w:val="21"/>
          <w:szCs w:val="21"/>
        </w:rPr>
        <w:t xml:space="preserve">C. </w:t>
      </w:r>
      <w:r>
        <w:rPr>
          <w:rFonts w:ascii="Poppins" w:cs="Poppins" w:eastAsia="Poppins" w:hAnsi="Poppins"/>
          <w:b w:val="false"/>
          <w:bCs w:val="false"/>
          <w:color w:val="000000"/>
          <w:sz w:val="21"/>
          <w:szCs w:val="21"/>
        </w:rPr>
        <w:t xml:space="preserve">Derivar directamente a especialista sin más evaluación</w:t>
      </w:r>
    </w:p>
    <w:p>
      <w:pPr>
        <w:spacing w:after="60"/>
      </w:pPr>
      <w:r>
        <w:rPr>
          <w:rFonts w:ascii="Poppins" w:cs="Poppins" w:eastAsia="Poppins" w:hAnsi="Poppins"/>
          <w:b/>
          <w:bCs/>
          <w:color w:val="000000"/>
          <w:sz w:val="21"/>
          <w:szCs w:val="21"/>
        </w:rPr>
        <w:t xml:space="preserve">D. </w:t>
      </w:r>
      <w:r>
        <w:rPr>
          <w:rFonts w:ascii="Poppins" w:cs="Poppins" w:eastAsia="Poppins" w:hAnsi="Poppins"/>
          <w:b w:val="false"/>
          <w:bCs w:val="false"/>
          <w:color w:val="000000"/>
          <w:sz w:val="21"/>
          <w:szCs w:val="21"/>
        </w:rPr>
        <w:t xml:space="preserve">Tratar la vaginitis de forma preventiva aunque no existan datos clínicos</w:t>
      </w:r>
    </w:p>
    <w:p>
      <w:pPr>
        <w:spacing w:after="100" w:before="120"/>
      </w:pPr>
      <w:r>
        <w:rPr>
          <w:rFonts w:ascii="Poppins" w:cs="Poppins" w:eastAsia="Poppins" w:hAnsi="Poppins"/>
          <w:b/>
          <w:bCs/>
          <w:color w:val="001C31"/>
          <w:sz w:val="21"/>
          <w:szCs w:val="21"/>
        </w:rPr>
        <w:t xml:space="preserve">Respuesta correcta: A</w:t>
      </w:r>
    </w:p>
    <w:p>
      <w:pPr>
        <w:spacing w:after="60"/>
      </w:pPr>
      <w:r>
        <w:rPr>
          <w:rFonts w:ascii="Poppins" w:cs="Poppins" w:eastAsia="Poppins" w:hAnsi="Poppins"/>
          <w:b/>
          <w:bCs/>
          <w:color w:val="001C31"/>
          <w:sz w:val="21"/>
          <w:szCs w:val="21"/>
          <w:u w:val="single"/>
        </w:rPr>
        <w:t xml:space="preserve">Justificación de la respuesta correcta</w:t>
      </w:r>
    </w:p>
    <w:p>
      <w:pPr>
        <w:spacing w:after="150"/>
      </w:pPr>
      <w:r>
        <w:rPr>
          <w:rFonts w:ascii="Poppins" w:cs="Poppins" w:eastAsia="Poppins" w:hAnsi="Poppins"/>
          <w:sz w:val="21"/>
          <w:szCs w:val="21"/>
        </w:rPr>
        <w:t xml:space="preserve">El Anexo 1 (Flujograma de diagnóstico y tratamiento de bacteriuria asintomática en embarazadas) establece que, si la paciente no presenta datos clínicos de vaginitis, se debe solicitar urocultivo de tamizaje en la semana 12-16, o en la primera consulta prenatal si esta es posterior a la semana 12-16.</w:t>
      </w:r>
    </w:p>
    <w:p>
      <w:pPr>
        <w:spacing w:after="60"/>
      </w:pPr>
      <w:r>
        <w:rPr>
          <w:rFonts w:ascii="Poppins" w:cs="Poppins" w:eastAsia="Poppins" w:hAnsi="Poppins"/>
          <w:b/>
          <w:bCs/>
          <w:color w:val="001C31"/>
          <w:sz w:val="21"/>
          <w:szCs w:val="21"/>
          <w:u w:val="single"/>
        </w:rPr>
        <w:t xml:space="preserve">Justificación de las opciones incorrectas</w:t>
      </w:r>
    </w:p>
    <w:p>
      <w:pPr>
        <w:spacing w:after="60"/>
      </w:pPr>
      <w:r>
        <w:rPr>
          <w:rFonts w:ascii="Poppins" w:cs="Poppins" w:eastAsia="Poppins" w:hAnsi="Poppins"/>
          <w:b/>
          <w:bCs/>
          <w:sz w:val="21"/>
          <w:szCs w:val="21"/>
        </w:rPr>
        <w:t xml:space="preserve">Opción B: </w:t>
      </w:r>
      <w:r>
        <w:rPr>
          <w:rFonts w:ascii="Poppins" w:cs="Poppins" w:eastAsia="Poppins" w:hAnsi="Poppins"/>
          <w:sz w:val="21"/>
          <w:szCs w:val="21"/>
        </w:rPr>
        <w:t xml:space="preserve">El flujograma no indica iniciar tratamiento antibiótico empírico sin urocultivo; el paso siguiente es la solicitud del urocultivo de tamizaje.</w:t>
      </w:r>
    </w:p>
    <w:p>
      <w:pPr>
        <w:spacing w:after="60"/>
      </w:pPr>
      <w:r>
        <w:rPr>
          <w:rFonts w:ascii="Poppins" w:cs="Poppins" w:eastAsia="Poppins" w:hAnsi="Poppins"/>
          <w:b/>
          <w:bCs/>
          <w:sz w:val="21"/>
          <w:szCs w:val="21"/>
        </w:rPr>
        <w:t xml:space="preserve">Opción C: </w:t>
      </w:r>
      <w:r>
        <w:rPr>
          <w:rFonts w:ascii="Poppins" w:cs="Poppins" w:eastAsia="Poppins" w:hAnsi="Poppins"/>
          <w:sz w:val="21"/>
          <w:szCs w:val="21"/>
        </w:rPr>
        <w:t xml:space="preserve">El flujograma no contempla derivación directa a especialista en esta etapa inicial del algoritmo; el manejo continúa en el primer nivel con la solicitud del urocultivo.</w:t>
      </w:r>
    </w:p>
    <w:p>
      <w:pPr>
        <w:spacing w:after="60"/>
      </w:pPr>
      <w:r>
        <w:rPr>
          <w:rFonts w:ascii="Poppins" w:cs="Poppins" w:eastAsia="Poppins" w:hAnsi="Poppins"/>
          <w:b/>
          <w:bCs/>
          <w:sz w:val="21"/>
          <w:szCs w:val="21"/>
        </w:rPr>
        <w:t xml:space="preserve">Opción D: </w:t>
      </w:r>
      <w:r>
        <w:rPr>
          <w:rFonts w:ascii="Poppins" w:cs="Poppins" w:eastAsia="Poppins" w:hAnsi="Poppins"/>
          <w:sz w:val="21"/>
          <w:szCs w:val="21"/>
        </w:rPr>
        <w:t xml:space="preserve">El flujograma indica tratar la vaginitis sobre la base de datos clínicos únicamente cuando estos están presentes; si no hay datos clínicos de vaginitis, ese paso no aplica y se continúa con el urocultivo.</w:t>
      </w:r>
    </w:p>
    <w:p>
      <w:pPr>
        <w:pBdr>
          <w:bottom w:val="single" w:color="B08D3F" w:sz="6" w:space="4"/>
        </w:pBdr>
        <w:spacing w:after="200" w:before="100"/>
      </w:pPr>
      <w:r>
        <w:rPr>
          <w:rFonts w:ascii="Poppins" w:cs="Poppins" w:eastAsia="Poppins" w:hAnsi="Poppins"/>
          <w:b/>
          <w:bCs/>
          <w:i/>
          <w:iCs/>
          <w:color w:val="B08D3F"/>
          <w:sz w:val="20"/>
          <w:szCs w:val="20"/>
        </w:rPr>
        <w:t xml:space="preserve">Referencia: </w:t>
      </w:r>
      <w:r>
        <w:rPr>
          <w:rFonts w:ascii="Poppins" w:cs="Poppins" w:eastAsia="Poppins" w:hAnsi="Poppins"/>
          <w:i/>
          <w:iCs/>
          <w:color w:val="555555"/>
          <w:sz w:val="20"/>
          <w:szCs w:val="20"/>
        </w:rPr>
        <w:t xml:space="preserve">Anexo 1. Flujograma de diagnóstico y tratamiento de bacteriuria asintomática (BA) en embarazadas. Página 23.</w:t>
      </w:r>
    </w:p>
    <w:p>
      <w:pPr>
        <w:shd w:fill="001C31" w:val="clear"/>
        <w:spacing w:after="100" w:before="300"/>
      </w:pPr>
      <w:r>
        <w:rPr>
          <w:rFonts w:ascii="Poppins" w:cs="Poppins" w:eastAsia="Poppins" w:hAnsi="Poppins"/>
          <w:b/>
          <w:bCs/>
          <w:color w:val="FFFFFF"/>
          <w:sz w:val="24"/>
          <w:szCs w:val="24"/>
        </w:rPr>
        <w:t xml:space="preserve">PREGUNTA 92</w:t>
      </w:r>
    </w:p>
    <w:p>
      <w:pPr>
        <w:spacing w:after="120"/>
      </w:pPr>
      <w:r>
        <w:rPr>
          <w:rFonts w:ascii="Poppins" w:cs="Poppins" w:eastAsia="Poppins" w:hAnsi="Poppins"/>
          <w:b/>
          <w:bCs/>
          <w:color w:val="001C31"/>
          <w:sz w:val="21"/>
          <w:szCs w:val="21"/>
        </w:rPr>
        <w:t xml:space="preserve">Pregunta: </w:t>
      </w:r>
      <w:r>
        <w:rPr>
          <w:rFonts w:ascii="Poppins" w:cs="Poppins" w:eastAsia="Poppins" w:hAnsi="Poppins"/>
          <w:sz w:val="21"/>
          <w:szCs w:val="21"/>
        </w:rPr>
        <w:t xml:space="preserve">Según el Anexo 1 de la GPC, si el urocultivo de tamizaje resulta positivo, ¿cuál es la conducta siguiente según el flujograma?</w:t>
      </w:r>
    </w:p>
    <w:p>
      <w:pPr>
        <w:spacing w:after="60"/>
      </w:pPr>
      <w:r>
        <w:rPr>
          <w:rFonts w:ascii="Poppins" w:cs="Poppins" w:eastAsia="Poppins" w:hAnsi="Poppins"/>
          <w:b/>
          <w:bCs/>
          <w:color w:val="B08D3F"/>
          <w:sz w:val="21"/>
          <w:szCs w:val="21"/>
        </w:rPr>
        <w:t xml:space="preserve">A. </w:t>
      </w:r>
      <w:r>
        <w:rPr>
          <w:rFonts w:ascii="Poppins" w:cs="Poppins" w:eastAsia="Poppins" w:hAnsi="Poppins"/>
          <w:b/>
          <w:bCs/>
          <w:color w:val="B08D3F"/>
          <w:sz w:val="21"/>
          <w:szCs w:val="21"/>
        </w:rPr>
        <w:t xml:space="preserve">Iniciar antibioticoterapia con los esquemas recomendados y luego solicitar urocultivo de control</w:t>
      </w:r>
    </w:p>
    <w:p>
      <w:pPr>
        <w:spacing w:after="60"/>
      </w:pPr>
      <w:r>
        <w:rPr>
          <w:rFonts w:ascii="Poppins" w:cs="Poppins" w:eastAsia="Poppins" w:hAnsi="Poppins"/>
          <w:b/>
          <w:bCs/>
          <w:color w:val="000000"/>
          <w:sz w:val="21"/>
          <w:szCs w:val="21"/>
        </w:rPr>
        <w:t xml:space="preserve">B. </w:t>
      </w:r>
      <w:r>
        <w:rPr>
          <w:rFonts w:ascii="Poppins" w:cs="Poppins" w:eastAsia="Poppins" w:hAnsi="Poppins"/>
          <w:b w:val="false"/>
          <w:bCs w:val="false"/>
          <w:color w:val="000000"/>
          <w:sz w:val="21"/>
          <w:szCs w:val="21"/>
        </w:rPr>
        <w:t xml:space="preserve">Control prenatal de bajo riesgo sin ninguna otra intervención</w:t>
      </w:r>
    </w:p>
    <w:p>
      <w:pPr>
        <w:spacing w:after="60"/>
      </w:pPr>
      <w:r>
        <w:rPr>
          <w:rFonts w:ascii="Poppins" w:cs="Poppins" w:eastAsia="Poppins" w:hAnsi="Poppins"/>
          <w:b/>
          <w:bCs/>
          <w:color w:val="000000"/>
          <w:sz w:val="21"/>
          <w:szCs w:val="21"/>
        </w:rPr>
        <w:t xml:space="preserve">C. </w:t>
      </w:r>
      <w:r>
        <w:rPr>
          <w:rFonts w:ascii="Poppins" w:cs="Poppins" w:eastAsia="Poppins" w:hAnsi="Poppins"/>
          <w:b w:val="false"/>
          <w:bCs w:val="false"/>
          <w:color w:val="000000"/>
          <w:sz w:val="21"/>
          <w:szCs w:val="21"/>
        </w:rPr>
        <w:t xml:space="preserve">Referencia inmediata sin tratamiento antibiótico previo</w:t>
      </w:r>
    </w:p>
    <w:p>
      <w:pPr>
        <w:spacing w:after="60"/>
      </w:pPr>
      <w:r>
        <w:rPr>
          <w:rFonts w:ascii="Poppins" w:cs="Poppins" w:eastAsia="Poppins" w:hAnsi="Poppins"/>
          <w:b/>
          <w:bCs/>
          <w:color w:val="000000"/>
          <w:sz w:val="21"/>
          <w:szCs w:val="21"/>
        </w:rPr>
        <w:t xml:space="preserve">D. </w:t>
      </w:r>
      <w:r>
        <w:rPr>
          <w:rFonts w:ascii="Poppins" w:cs="Poppins" w:eastAsia="Poppins" w:hAnsi="Poppins"/>
          <w:b w:val="false"/>
          <w:bCs w:val="false"/>
          <w:color w:val="000000"/>
          <w:sz w:val="21"/>
          <w:szCs w:val="21"/>
        </w:rPr>
        <w:t xml:space="preserve">Repetir el urocultivo semanalmente sin iniciar tratamiento</w:t>
      </w:r>
    </w:p>
    <w:p>
      <w:pPr>
        <w:spacing w:after="100" w:before="120"/>
      </w:pPr>
      <w:r>
        <w:rPr>
          <w:rFonts w:ascii="Poppins" w:cs="Poppins" w:eastAsia="Poppins" w:hAnsi="Poppins"/>
          <w:b/>
          <w:bCs/>
          <w:color w:val="001C31"/>
          <w:sz w:val="21"/>
          <w:szCs w:val="21"/>
        </w:rPr>
        <w:t xml:space="preserve">Respuesta correcta: A</w:t>
      </w:r>
    </w:p>
    <w:p>
      <w:pPr>
        <w:spacing w:after="60"/>
      </w:pPr>
      <w:r>
        <w:rPr>
          <w:rFonts w:ascii="Poppins" w:cs="Poppins" w:eastAsia="Poppins" w:hAnsi="Poppins"/>
          <w:b/>
          <w:bCs/>
          <w:color w:val="001C31"/>
          <w:sz w:val="21"/>
          <w:szCs w:val="21"/>
          <w:u w:val="single"/>
        </w:rPr>
        <w:t xml:space="preserve">Justificación de la respuesta correcta</w:t>
      </w:r>
    </w:p>
    <w:p>
      <w:pPr>
        <w:spacing w:after="150"/>
      </w:pPr>
      <w:r>
        <w:rPr>
          <w:rFonts w:ascii="Poppins" w:cs="Poppins" w:eastAsia="Poppins" w:hAnsi="Poppins"/>
          <w:sz w:val="21"/>
          <w:szCs w:val="21"/>
        </w:rPr>
        <w:t xml:space="preserve">El Anexo 1 establece que, ante un cultivo positivo, se debe iniciar antibioticoterapia (con los esquemas de nitrofurantoína, fosfomicina o cefalosporinas de segunda generación descritos) y posteriormente solicitar urocultivo de control.</w:t>
      </w:r>
    </w:p>
    <w:p>
      <w:pPr>
        <w:spacing w:after="60"/>
      </w:pPr>
      <w:r>
        <w:rPr>
          <w:rFonts w:ascii="Poppins" w:cs="Poppins" w:eastAsia="Poppins" w:hAnsi="Poppins"/>
          <w:b/>
          <w:bCs/>
          <w:color w:val="001C31"/>
          <w:sz w:val="21"/>
          <w:szCs w:val="21"/>
          <w:u w:val="single"/>
        </w:rPr>
        <w:t xml:space="preserve">Justificación de las opciones incorrectas</w:t>
      </w:r>
    </w:p>
    <w:p>
      <w:pPr>
        <w:spacing w:after="60"/>
      </w:pPr>
      <w:r>
        <w:rPr>
          <w:rFonts w:ascii="Poppins" w:cs="Poppins" w:eastAsia="Poppins" w:hAnsi="Poppins"/>
          <w:b/>
          <w:bCs/>
          <w:sz w:val="21"/>
          <w:szCs w:val="21"/>
        </w:rPr>
        <w:t xml:space="preserve">Opción B: </w:t>
      </w:r>
      <w:r>
        <w:rPr>
          <w:rFonts w:ascii="Poppins" w:cs="Poppins" w:eastAsia="Poppins" w:hAnsi="Poppins"/>
          <w:sz w:val="21"/>
          <w:szCs w:val="21"/>
        </w:rPr>
        <w:t xml:space="preserve">El control prenatal de bajo riesgo sin otra intervención corresponde, según el flujograma, a la rama de cultivo NEGATIVO, no a la de cultivo positivo.</w:t>
      </w:r>
    </w:p>
    <w:p>
      <w:pPr>
        <w:spacing w:after="60"/>
      </w:pPr>
      <w:r>
        <w:rPr>
          <w:rFonts w:ascii="Poppins" w:cs="Poppins" w:eastAsia="Poppins" w:hAnsi="Poppins"/>
          <w:b/>
          <w:bCs/>
          <w:sz w:val="21"/>
          <w:szCs w:val="21"/>
        </w:rPr>
        <w:t xml:space="preserve">Opción C: </w:t>
      </w:r>
      <w:r>
        <w:rPr>
          <w:rFonts w:ascii="Poppins" w:cs="Poppins" w:eastAsia="Poppins" w:hAnsi="Poppins"/>
          <w:sz w:val="21"/>
          <w:szCs w:val="21"/>
        </w:rPr>
        <w:t xml:space="preserve">El flujograma no indica referencia inmediata sin tratamiento antibiótico previo ante un cultivo positivo de tamizaje; el manejo inicial es antibioticoterapia en el primer nivel.</w:t>
      </w:r>
    </w:p>
    <w:p>
      <w:pPr>
        <w:spacing w:after="60"/>
      </w:pPr>
      <w:r>
        <w:rPr>
          <w:rFonts w:ascii="Poppins" w:cs="Poppins" w:eastAsia="Poppins" w:hAnsi="Poppins"/>
          <w:b/>
          <w:bCs/>
          <w:sz w:val="21"/>
          <w:szCs w:val="21"/>
        </w:rPr>
        <w:t xml:space="preserve">Opción D: </w:t>
      </w:r>
      <w:r>
        <w:rPr>
          <w:rFonts w:ascii="Poppins" w:cs="Poppins" w:eastAsia="Poppins" w:hAnsi="Poppins"/>
          <w:sz w:val="21"/>
          <w:szCs w:val="21"/>
        </w:rPr>
        <w:t xml:space="preserve">El flujograma no indica repetir el urocultivo semanalmente sin iniciar tratamiento; ante un cultivo positivo se inicia antibioticoterapia y luego se solicita urocultivo de control.</w:t>
      </w:r>
    </w:p>
    <w:p>
      <w:pPr>
        <w:pBdr>
          <w:bottom w:val="single" w:color="B08D3F" w:sz="6" w:space="4"/>
        </w:pBdr>
        <w:spacing w:after="200" w:before="100"/>
      </w:pPr>
      <w:r>
        <w:rPr>
          <w:rFonts w:ascii="Poppins" w:cs="Poppins" w:eastAsia="Poppins" w:hAnsi="Poppins"/>
          <w:b/>
          <w:bCs/>
          <w:i/>
          <w:iCs/>
          <w:color w:val="B08D3F"/>
          <w:sz w:val="20"/>
          <w:szCs w:val="20"/>
        </w:rPr>
        <w:t xml:space="preserve">Referencia: </w:t>
      </w:r>
      <w:r>
        <w:rPr>
          <w:rFonts w:ascii="Poppins" w:cs="Poppins" w:eastAsia="Poppins" w:hAnsi="Poppins"/>
          <w:i/>
          <w:iCs/>
          <w:color w:val="555555"/>
          <w:sz w:val="20"/>
          <w:szCs w:val="20"/>
        </w:rPr>
        <w:t xml:space="preserve">Anexo 1. Flujograma de diagnóstico y tratamiento de bacteriuria asintomática (BA) en embarazadas. Página 23.</w:t>
      </w:r>
    </w:p>
    <w:p>
      <w:pPr>
        <w:shd w:fill="001C31" w:val="clear"/>
        <w:spacing w:after="100" w:before="300"/>
      </w:pPr>
      <w:r>
        <w:rPr>
          <w:rFonts w:ascii="Poppins" w:cs="Poppins" w:eastAsia="Poppins" w:hAnsi="Poppins"/>
          <w:b/>
          <w:bCs/>
          <w:color w:val="FFFFFF"/>
          <w:sz w:val="24"/>
          <w:szCs w:val="24"/>
        </w:rPr>
        <w:t xml:space="preserve">PREGUNTA 93</w:t>
      </w:r>
    </w:p>
    <w:p>
      <w:pPr>
        <w:shd w:fill="F3ECDD" w:val="clear"/>
        <w:spacing w:after="60"/>
      </w:pPr>
      <w:r>
        <w:rPr>
          <w:rFonts w:ascii="Poppins" w:cs="Poppins" w:eastAsia="Poppins" w:hAnsi="Poppins"/>
          <w:b/>
          <w:bCs/>
          <w:i/>
          <w:iCs/>
          <w:color w:val="001C31"/>
          <w:sz w:val="21"/>
          <w:szCs w:val="21"/>
        </w:rPr>
        <w:t xml:space="preserve">Caso clínico: </w:t>
      </w:r>
      <w:r>
        <w:rPr>
          <w:rFonts w:ascii="Poppins" w:cs="Poppins" w:eastAsia="Poppins" w:hAnsi="Poppins"/>
          <w:i/>
          <w:iCs/>
          <w:sz w:val="21"/>
          <w:szCs w:val="21"/>
        </w:rPr>
        <w:t xml:space="preserve">Una paciente completó tratamiento antibiótico por BA. Su urocultivo de control resulta nuevamente positivo.</w:t>
      </w:r>
    </w:p>
    <w:p>
      <w:pPr>
        <w:spacing w:after="120"/>
      </w:pPr>
      <w:r>
        <w:rPr>
          <w:rFonts w:ascii="Poppins" w:cs="Poppins" w:eastAsia="Poppins" w:hAnsi="Poppins"/>
          <w:b/>
          <w:bCs/>
          <w:color w:val="001C31"/>
          <w:sz w:val="21"/>
          <w:szCs w:val="21"/>
        </w:rPr>
        <w:t xml:space="preserve">Pregunta: </w:t>
      </w:r>
      <w:r>
        <w:rPr>
          <w:rFonts w:ascii="Poppins" w:cs="Poppins" w:eastAsia="Poppins" w:hAnsi="Poppins"/>
          <w:sz w:val="21"/>
          <w:szCs w:val="21"/>
        </w:rPr>
        <w:t xml:space="preserve">Según el Anexo 1 de la GPC, ¿cuál es la conducta indicada tras un urocultivo de control positivo?</w:t>
      </w:r>
    </w:p>
    <w:p>
      <w:pPr>
        <w:spacing w:after="60"/>
      </w:pPr>
      <w:r>
        <w:rPr>
          <w:rFonts w:ascii="Poppins" w:cs="Poppins" w:eastAsia="Poppins" w:hAnsi="Poppins"/>
          <w:b/>
          <w:bCs/>
          <w:color w:val="B08D3F"/>
          <w:sz w:val="21"/>
          <w:szCs w:val="21"/>
        </w:rPr>
        <w:t xml:space="preserve">A. </w:t>
      </w:r>
      <w:r>
        <w:rPr>
          <w:rFonts w:ascii="Poppins" w:cs="Poppins" w:eastAsia="Poppins" w:hAnsi="Poppins"/>
          <w:b/>
          <w:bCs/>
          <w:color w:val="B08D3F"/>
          <w:sz w:val="21"/>
          <w:szCs w:val="21"/>
        </w:rPr>
        <w:t xml:space="preserve">Referencia por BA recurrente</w:t>
      </w:r>
    </w:p>
    <w:p>
      <w:pPr>
        <w:spacing w:after="60"/>
      </w:pPr>
      <w:r>
        <w:rPr>
          <w:rFonts w:ascii="Poppins" w:cs="Poppins" w:eastAsia="Poppins" w:hAnsi="Poppins"/>
          <w:b/>
          <w:bCs/>
          <w:color w:val="000000"/>
          <w:sz w:val="21"/>
          <w:szCs w:val="21"/>
        </w:rPr>
        <w:t xml:space="preserve">B. </w:t>
      </w:r>
      <w:r>
        <w:rPr>
          <w:rFonts w:ascii="Poppins" w:cs="Poppins" w:eastAsia="Poppins" w:hAnsi="Poppins"/>
          <w:b w:val="false"/>
          <w:bCs w:val="false"/>
          <w:color w:val="000000"/>
          <w:sz w:val="21"/>
          <w:szCs w:val="21"/>
        </w:rPr>
        <w:t xml:space="preserve">Control prenatal de bajo riesgo sin más intervención</w:t>
      </w:r>
    </w:p>
    <w:p>
      <w:pPr>
        <w:spacing w:after="60"/>
      </w:pPr>
      <w:r>
        <w:rPr>
          <w:rFonts w:ascii="Poppins" w:cs="Poppins" w:eastAsia="Poppins" w:hAnsi="Poppins"/>
          <w:b/>
          <w:bCs/>
          <w:color w:val="000000"/>
          <w:sz w:val="21"/>
          <w:szCs w:val="21"/>
        </w:rPr>
        <w:t xml:space="preserve">C. </w:t>
      </w:r>
      <w:r>
        <w:rPr>
          <w:rFonts w:ascii="Poppins" w:cs="Poppins" w:eastAsia="Poppins" w:hAnsi="Poppins"/>
          <w:b w:val="false"/>
          <w:bCs w:val="false"/>
          <w:color w:val="000000"/>
          <w:sz w:val="21"/>
          <w:szCs w:val="21"/>
        </w:rPr>
        <w:t xml:space="preserve">Suspender todo control hasta el parto</w:t>
      </w:r>
    </w:p>
    <w:p>
      <w:pPr>
        <w:spacing w:after="60"/>
      </w:pPr>
      <w:r>
        <w:rPr>
          <w:rFonts w:ascii="Poppins" w:cs="Poppins" w:eastAsia="Poppins" w:hAnsi="Poppins"/>
          <w:b/>
          <w:bCs/>
          <w:color w:val="000000"/>
          <w:sz w:val="21"/>
          <w:szCs w:val="21"/>
        </w:rPr>
        <w:t xml:space="preserve">D. </w:t>
      </w:r>
      <w:r>
        <w:rPr>
          <w:rFonts w:ascii="Poppins" w:cs="Poppins" w:eastAsia="Poppins" w:hAnsi="Poppins"/>
          <w:b w:val="false"/>
          <w:bCs w:val="false"/>
          <w:color w:val="000000"/>
          <w:sz w:val="21"/>
          <w:szCs w:val="21"/>
        </w:rPr>
        <w:t xml:space="preserve">Repetir exactamente el mismo esquema antibiótico sin evaluación adicional ni referencia</w:t>
      </w:r>
    </w:p>
    <w:p>
      <w:pPr>
        <w:spacing w:after="100" w:before="120"/>
      </w:pPr>
      <w:r>
        <w:rPr>
          <w:rFonts w:ascii="Poppins" w:cs="Poppins" w:eastAsia="Poppins" w:hAnsi="Poppins"/>
          <w:b/>
          <w:bCs/>
          <w:color w:val="001C31"/>
          <w:sz w:val="21"/>
          <w:szCs w:val="21"/>
        </w:rPr>
        <w:t xml:space="preserve">Respuesta correcta: A</w:t>
      </w:r>
    </w:p>
    <w:p>
      <w:pPr>
        <w:spacing w:after="60"/>
      </w:pPr>
      <w:r>
        <w:rPr>
          <w:rFonts w:ascii="Poppins" w:cs="Poppins" w:eastAsia="Poppins" w:hAnsi="Poppins"/>
          <w:b/>
          <w:bCs/>
          <w:color w:val="001C31"/>
          <w:sz w:val="21"/>
          <w:szCs w:val="21"/>
          <w:u w:val="single"/>
        </w:rPr>
        <w:t xml:space="preserve">Justificación de la respuesta correcta</w:t>
      </w:r>
    </w:p>
    <w:p>
      <w:pPr>
        <w:spacing w:after="150"/>
      </w:pPr>
      <w:r>
        <w:rPr>
          <w:rFonts w:ascii="Poppins" w:cs="Poppins" w:eastAsia="Poppins" w:hAnsi="Poppins"/>
          <w:sz w:val="21"/>
          <w:szCs w:val="21"/>
        </w:rPr>
        <w:t xml:space="preserve">El Anexo 1 (Flujograma de diagnóstico y tratamiento de BA) establece que, si el urocultivo de control resulta positivo tras el tratamiento antibiótico inicial, la conducta indicada es la referencia por BA recurrente.</w:t>
      </w:r>
    </w:p>
    <w:p>
      <w:pPr>
        <w:spacing w:after="60"/>
      </w:pPr>
      <w:r>
        <w:rPr>
          <w:rFonts w:ascii="Poppins" w:cs="Poppins" w:eastAsia="Poppins" w:hAnsi="Poppins"/>
          <w:b/>
          <w:bCs/>
          <w:color w:val="001C31"/>
          <w:sz w:val="21"/>
          <w:szCs w:val="21"/>
          <w:u w:val="single"/>
        </w:rPr>
        <w:t xml:space="preserve">Justificación de las opciones incorrectas</w:t>
      </w:r>
    </w:p>
    <w:p>
      <w:pPr>
        <w:spacing w:after="60"/>
      </w:pPr>
      <w:r>
        <w:rPr>
          <w:rFonts w:ascii="Poppins" w:cs="Poppins" w:eastAsia="Poppins" w:hAnsi="Poppins"/>
          <w:b/>
          <w:bCs/>
          <w:sz w:val="21"/>
          <w:szCs w:val="21"/>
        </w:rPr>
        <w:t xml:space="preserve">Opción B: </w:t>
      </w:r>
      <w:r>
        <w:rPr>
          <w:rFonts w:ascii="Poppins" w:cs="Poppins" w:eastAsia="Poppins" w:hAnsi="Poppins"/>
          <w:sz w:val="21"/>
          <w:szCs w:val="21"/>
        </w:rPr>
        <w:t xml:space="preserve">El control prenatal de bajo riesgo corresponde, según el flujograma, a la rama de urocultivo de control NEGATIVO, no a la de resultado positivo persistente.</w:t>
      </w:r>
    </w:p>
    <w:p>
      <w:pPr>
        <w:spacing w:after="60"/>
      </w:pPr>
      <w:r>
        <w:rPr>
          <w:rFonts w:ascii="Poppins" w:cs="Poppins" w:eastAsia="Poppins" w:hAnsi="Poppins"/>
          <w:b/>
          <w:bCs/>
          <w:sz w:val="21"/>
          <w:szCs w:val="21"/>
        </w:rPr>
        <w:t xml:space="preserve">Opción C: </w:t>
      </w:r>
      <w:r>
        <w:rPr>
          <w:rFonts w:ascii="Poppins" w:cs="Poppins" w:eastAsia="Poppins" w:hAnsi="Poppins"/>
          <w:sz w:val="21"/>
          <w:szCs w:val="21"/>
        </w:rPr>
        <w:t xml:space="preserve">El flujograma no indica suspender el control hasta el parto ante un urocultivo de control positivo; por el contrario, indica una acción activa: la referencia por BA recurrente.</w:t>
      </w:r>
    </w:p>
    <w:p>
      <w:pPr>
        <w:spacing w:after="60"/>
      </w:pPr>
      <w:r>
        <w:rPr>
          <w:rFonts w:ascii="Poppins" w:cs="Poppins" w:eastAsia="Poppins" w:hAnsi="Poppins"/>
          <w:b/>
          <w:bCs/>
          <w:sz w:val="21"/>
          <w:szCs w:val="21"/>
        </w:rPr>
        <w:t xml:space="preserve">Opción D: </w:t>
      </w:r>
      <w:r>
        <w:rPr>
          <w:rFonts w:ascii="Poppins" w:cs="Poppins" w:eastAsia="Poppins" w:hAnsi="Poppins"/>
          <w:sz w:val="21"/>
          <w:szCs w:val="21"/>
        </w:rPr>
        <w:t xml:space="preserve">El flujograma no indica simplemente repetir el mismo esquema sin evaluación ni referencia; ante la persistencia del cultivo positivo tras tratamiento, la conducta específica es la referencia por BA recurrente.</w:t>
      </w:r>
    </w:p>
    <w:p>
      <w:pPr>
        <w:pBdr>
          <w:bottom w:val="single" w:color="B08D3F" w:sz="6" w:space="4"/>
        </w:pBdr>
        <w:spacing w:after="200" w:before="100"/>
      </w:pPr>
      <w:r>
        <w:rPr>
          <w:rFonts w:ascii="Poppins" w:cs="Poppins" w:eastAsia="Poppins" w:hAnsi="Poppins"/>
          <w:b/>
          <w:bCs/>
          <w:i/>
          <w:iCs/>
          <w:color w:val="B08D3F"/>
          <w:sz w:val="20"/>
          <w:szCs w:val="20"/>
        </w:rPr>
        <w:t xml:space="preserve">Referencia: </w:t>
      </w:r>
      <w:r>
        <w:rPr>
          <w:rFonts w:ascii="Poppins" w:cs="Poppins" w:eastAsia="Poppins" w:hAnsi="Poppins"/>
          <w:i/>
          <w:iCs/>
          <w:color w:val="555555"/>
          <w:sz w:val="20"/>
          <w:szCs w:val="20"/>
        </w:rPr>
        <w:t xml:space="preserve">Anexo 1. Flujograma de diagnóstico y tratamiento de bacteriuria asintomática (BA) en embarazadas. Página 23.</w:t>
      </w:r>
    </w:p>
    <w:p>
      <w:pPr>
        <w:shd w:fill="001C31" w:val="clear"/>
        <w:spacing w:after="100" w:before="300"/>
      </w:pPr>
      <w:r>
        <w:rPr>
          <w:rFonts w:ascii="Poppins" w:cs="Poppins" w:eastAsia="Poppins" w:hAnsi="Poppins"/>
          <w:b/>
          <w:bCs/>
          <w:color w:val="FFFFFF"/>
          <w:sz w:val="24"/>
          <w:szCs w:val="24"/>
        </w:rPr>
        <w:t xml:space="preserve">PREGUNTA 94</w:t>
      </w:r>
    </w:p>
    <w:p>
      <w:pPr>
        <w:shd w:fill="F3ECDD" w:val="clear"/>
        <w:spacing w:after="60"/>
      </w:pPr>
      <w:r>
        <w:rPr>
          <w:rFonts w:ascii="Poppins" w:cs="Poppins" w:eastAsia="Poppins" w:hAnsi="Poppins"/>
          <w:b/>
          <w:bCs/>
          <w:i/>
          <w:iCs/>
          <w:color w:val="001C31"/>
          <w:sz w:val="21"/>
          <w:szCs w:val="21"/>
        </w:rPr>
        <w:t xml:space="preserve">Caso clínico: </w:t>
      </w:r>
      <w:r>
        <w:rPr>
          <w:rFonts w:ascii="Poppins" w:cs="Poppins" w:eastAsia="Poppins" w:hAnsi="Poppins"/>
          <w:i/>
          <w:iCs/>
          <w:sz w:val="21"/>
          <w:szCs w:val="21"/>
        </w:rPr>
        <w:t xml:space="preserve">Una paciente embarazada presenta sintomatología de IVU baja: urgencia, frecuencia, disuria y piuria. Se evalúa si presenta datos clínicos de afección sistémica.</w:t>
      </w:r>
    </w:p>
    <w:p>
      <w:pPr>
        <w:spacing w:after="120"/>
      </w:pPr>
      <w:r>
        <w:rPr>
          <w:rFonts w:ascii="Poppins" w:cs="Poppins" w:eastAsia="Poppins" w:hAnsi="Poppins"/>
          <w:b/>
          <w:bCs/>
          <w:color w:val="001C31"/>
          <w:sz w:val="21"/>
          <w:szCs w:val="21"/>
        </w:rPr>
        <w:t xml:space="preserve">Pregunta: </w:t>
      </w:r>
      <w:r>
        <w:rPr>
          <w:rFonts w:ascii="Poppins" w:cs="Poppins" w:eastAsia="Poppins" w:hAnsi="Poppins"/>
          <w:sz w:val="21"/>
          <w:szCs w:val="21"/>
        </w:rPr>
        <w:t xml:space="preserve">Según el Anexo 2 (Flujograma de diagnóstico y tratamiento de cistitis en embarazadas), si la paciente SÍ presenta datos clínicos de afección sistémica, ¿cuál es la conducta indicada?</w:t>
      </w:r>
    </w:p>
    <w:p>
      <w:pPr>
        <w:spacing w:after="60"/>
      </w:pPr>
      <w:r>
        <w:rPr>
          <w:rFonts w:ascii="Poppins" w:cs="Poppins" w:eastAsia="Poppins" w:hAnsi="Poppins"/>
          <w:b/>
          <w:bCs/>
          <w:color w:val="B08D3F"/>
          <w:sz w:val="21"/>
          <w:szCs w:val="21"/>
        </w:rPr>
        <w:t xml:space="preserve">A. </w:t>
      </w:r>
      <w:r>
        <w:rPr>
          <w:rFonts w:ascii="Poppins" w:cs="Poppins" w:eastAsia="Poppins" w:hAnsi="Poppins"/>
          <w:b/>
          <w:bCs/>
          <w:color w:val="B08D3F"/>
          <w:sz w:val="21"/>
          <w:szCs w:val="21"/>
        </w:rPr>
        <w:t xml:space="preserve">Probable pielonefritis, con referencia a especialista</w:t>
      </w:r>
    </w:p>
    <w:p>
      <w:pPr>
        <w:spacing w:after="60"/>
      </w:pPr>
      <w:r>
        <w:rPr>
          <w:rFonts w:ascii="Poppins" w:cs="Poppins" w:eastAsia="Poppins" w:hAnsi="Poppins"/>
          <w:b/>
          <w:bCs/>
          <w:color w:val="000000"/>
          <w:sz w:val="21"/>
          <w:szCs w:val="21"/>
        </w:rPr>
        <w:t xml:space="preserve">B. </w:t>
      </w:r>
      <w:r>
        <w:rPr>
          <w:rFonts w:ascii="Poppins" w:cs="Poppins" w:eastAsia="Poppins" w:hAnsi="Poppins"/>
          <w:b w:val="false"/>
          <w:bCs w:val="false"/>
          <w:color w:val="000000"/>
          <w:sz w:val="21"/>
          <w:szCs w:val="21"/>
        </w:rPr>
        <w:t xml:space="preserve">Dar tratamiento con antibioticoterapia ambulatoria de primera línea y solicitar urocultivo de control</w:t>
      </w:r>
    </w:p>
    <w:p>
      <w:pPr>
        <w:spacing w:after="60"/>
      </w:pPr>
      <w:r>
        <w:rPr>
          <w:rFonts w:ascii="Poppins" w:cs="Poppins" w:eastAsia="Poppins" w:hAnsi="Poppins"/>
          <w:b/>
          <w:bCs/>
          <w:color w:val="000000"/>
          <w:sz w:val="21"/>
          <w:szCs w:val="21"/>
        </w:rPr>
        <w:t xml:space="preserve">C. </w:t>
      </w:r>
      <w:r>
        <w:rPr>
          <w:rFonts w:ascii="Poppins" w:cs="Poppins" w:eastAsia="Poppins" w:hAnsi="Poppins"/>
          <w:b w:val="false"/>
          <w:bCs w:val="false"/>
          <w:color w:val="000000"/>
          <w:sz w:val="21"/>
          <w:szCs w:val="21"/>
        </w:rPr>
        <w:t xml:space="preserve">Control prenatal de bajo riesgo sin más intervención</w:t>
      </w:r>
    </w:p>
    <w:p>
      <w:pPr>
        <w:spacing w:after="60"/>
      </w:pPr>
      <w:r>
        <w:rPr>
          <w:rFonts w:ascii="Poppins" w:cs="Poppins" w:eastAsia="Poppins" w:hAnsi="Poppins"/>
          <w:b/>
          <w:bCs/>
          <w:color w:val="000000"/>
          <w:sz w:val="21"/>
          <w:szCs w:val="21"/>
        </w:rPr>
        <w:t xml:space="preserve">D. </w:t>
      </w:r>
      <w:r>
        <w:rPr>
          <w:rFonts w:ascii="Poppins" w:cs="Poppins" w:eastAsia="Poppins" w:hAnsi="Poppins"/>
          <w:b w:val="false"/>
          <w:bCs w:val="false"/>
          <w:color w:val="000000"/>
          <w:sz w:val="21"/>
          <w:szCs w:val="21"/>
        </w:rPr>
        <w:t xml:space="preserve">Referencia a nivel superior por IVU recurrente, sin excepción</w:t>
      </w:r>
    </w:p>
    <w:p>
      <w:pPr>
        <w:spacing w:after="100" w:before="120"/>
      </w:pPr>
      <w:r>
        <w:rPr>
          <w:rFonts w:ascii="Poppins" w:cs="Poppins" w:eastAsia="Poppins" w:hAnsi="Poppins"/>
          <w:b/>
          <w:bCs/>
          <w:color w:val="001C31"/>
          <w:sz w:val="21"/>
          <w:szCs w:val="21"/>
        </w:rPr>
        <w:t xml:space="preserve">Respuesta correcta: A</w:t>
      </w:r>
    </w:p>
    <w:p>
      <w:pPr>
        <w:spacing w:after="60"/>
      </w:pPr>
      <w:r>
        <w:rPr>
          <w:rFonts w:ascii="Poppins" w:cs="Poppins" w:eastAsia="Poppins" w:hAnsi="Poppins"/>
          <w:b/>
          <w:bCs/>
          <w:color w:val="001C31"/>
          <w:sz w:val="21"/>
          <w:szCs w:val="21"/>
          <w:u w:val="single"/>
        </w:rPr>
        <w:t xml:space="preserve">Justificación de la respuesta correcta</w:t>
      </w:r>
    </w:p>
    <w:p>
      <w:pPr>
        <w:spacing w:after="150"/>
      </w:pPr>
      <w:r>
        <w:rPr>
          <w:rFonts w:ascii="Poppins" w:cs="Poppins" w:eastAsia="Poppins" w:hAnsi="Poppins"/>
          <w:sz w:val="21"/>
          <w:szCs w:val="21"/>
        </w:rPr>
        <w:t xml:space="preserve">El Anexo 2 (Flujograma de diagnóstico y tratamiento de cistitis en embarazadas) establece que, si la paciente presenta datos clínicos de afección sistémica, la conducta es 'probable pielonefritis, referencia a especialista', diferenciándose de la rama sin afección sistémica, en la que se indica dar tratamiento con antibioticoterapia y solicitar urocultivo de control.</w:t>
      </w:r>
    </w:p>
    <w:p>
      <w:pPr>
        <w:spacing w:after="60"/>
      </w:pPr>
      <w:r>
        <w:rPr>
          <w:rFonts w:ascii="Poppins" w:cs="Poppins" w:eastAsia="Poppins" w:hAnsi="Poppins"/>
          <w:b/>
          <w:bCs/>
          <w:color w:val="001C31"/>
          <w:sz w:val="21"/>
          <w:szCs w:val="21"/>
          <w:u w:val="single"/>
        </w:rPr>
        <w:t xml:space="preserve">Justificación de las opciones incorrectas</w:t>
      </w:r>
    </w:p>
    <w:p>
      <w:pPr>
        <w:spacing w:after="60"/>
      </w:pPr>
      <w:r>
        <w:rPr>
          <w:rFonts w:ascii="Poppins" w:cs="Poppins" w:eastAsia="Poppins" w:hAnsi="Poppins"/>
          <w:b/>
          <w:bCs/>
          <w:sz w:val="21"/>
          <w:szCs w:val="21"/>
        </w:rPr>
        <w:t xml:space="preserve">Opción B: </w:t>
      </w:r>
      <w:r>
        <w:rPr>
          <w:rFonts w:ascii="Poppins" w:cs="Poppins" w:eastAsia="Poppins" w:hAnsi="Poppins"/>
          <w:sz w:val="21"/>
          <w:szCs w:val="21"/>
        </w:rPr>
        <w:t xml:space="preserve">El tratamiento con antibioticoterapia ambulatoria y solicitud de urocultivo de control corresponde, según el flujograma, a la rama SIN datos clínicos de afección sistémica, no a la rama con afección sistémica presente.</w:t>
      </w:r>
    </w:p>
    <w:p>
      <w:pPr>
        <w:spacing w:after="60"/>
      </w:pPr>
      <w:r>
        <w:rPr>
          <w:rFonts w:ascii="Poppins" w:cs="Poppins" w:eastAsia="Poppins" w:hAnsi="Poppins"/>
          <w:b/>
          <w:bCs/>
          <w:sz w:val="21"/>
          <w:szCs w:val="21"/>
        </w:rPr>
        <w:t xml:space="preserve">Opción C: </w:t>
      </w:r>
      <w:r>
        <w:rPr>
          <w:rFonts w:ascii="Poppins" w:cs="Poppins" w:eastAsia="Poppins" w:hAnsi="Poppins"/>
          <w:sz w:val="21"/>
          <w:szCs w:val="21"/>
        </w:rPr>
        <w:t xml:space="preserve">El control prenatal de bajo riesgo corresponde, según el flujograma, a la rama de cultivo de control negativo tras el tratamiento, no a la evaluación inicial de afección sistémica.</w:t>
      </w:r>
    </w:p>
    <w:p>
      <w:pPr>
        <w:spacing w:after="60"/>
      </w:pPr>
      <w:r>
        <w:rPr>
          <w:rFonts w:ascii="Poppins" w:cs="Poppins" w:eastAsia="Poppins" w:hAnsi="Poppins"/>
          <w:b/>
          <w:bCs/>
          <w:sz w:val="21"/>
          <w:szCs w:val="21"/>
        </w:rPr>
        <w:t xml:space="preserve">Opción D: </w:t>
      </w:r>
      <w:r>
        <w:rPr>
          <w:rFonts w:ascii="Poppins" w:cs="Poppins" w:eastAsia="Poppins" w:hAnsi="Poppins"/>
          <w:sz w:val="21"/>
          <w:szCs w:val="21"/>
        </w:rPr>
        <w:t xml:space="preserve">La referencia a nivel superior por IVU recurrente corresponde, según el flujograma, a la rama de cultivo de control positivo tras el tratamiento antibiótico, no a la evaluación inicial de afección sistémica.</w:t>
      </w:r>
    </w:p>
    <w:p>
      <w:pPr>
        <w:pBdr>
          <w:bottom w:val="single" w:color="B08D3F" w:sz="6" w:space="4"/>
        </w:pBdr>
        <w:spacing w:after="200" w:before="100"/>
      </w:pPr>
      <w:r>
        <w:rPr>
          <w:rFonts w:ascii="Poppins" w:cs="Poppins" w:eastAsia="Poppins" w:hAnsi="Poppins"/>
          <w:b/>
          <w:bCs/>
          <w:i/>
          <w:iCs/>
          <w:color w:val="B08D3F"/>
          <w:sz w:val="20"/>
          <w:szCs w:val="20"/>
        </w:rPr>
        <w:t xml:space="preserve">Referencia: </w:t>
      </w:r>
      <w:r>
        <w:rPr>
          <w:rFonts w:ascii="Poppins" w:cs="Poppins" w:eastAsia="Poppins" w:hAnsi="Poppins"/>
          <w:i/>
          <w:iCs/>
          <w:color w:val="555555"/>
          <w:sz w:val="20"/>
          <w:szCs w:val="20"/>
        </w:rPr>
        <w:t xml:space="preserve">Anexo 2. Flujograma de diagnóstico y tratamiento de cistitis en embarazadas. Página 24.</w:t>
      </w:r>
    </w:p>
    <w:p>
      <w:pPr>
        <w:shd w:fill="001C31" w:val="clear"/>
        <w:spacing w:after="100" w:before="300"/>
      </w:pPr>
      <w:r>
        <w:rPr>
          <w:rFonts w:ascii="Poppins" w:cs="Poppins" w:eastAsia="Poppins" w:hAnsi="Poppins"/>
          <w:b/>
          <w:bCs/>
          <w:color w:val="FFFFFF"/>
          <w:sz w:val="24"/>
          <w:szCs w:val="24"/>
        </w:rPr>
        <w:t xml:space="preserve">PREGUNTA 95</w:t>
      </w:r>
    </w:p>
    <w:p>
      <w:pPr>
        <w:spacing w:after="120"/>
      </w:pPr>
      <w:r>
        <w:rPr>
          <w:rFonts w:ascii="Poppins" w:cs="Poppins" w:eastAsia="Poppins" w:hAnsi="Poppins"/>
          <w:b/>
          <w:bCs/>
          <w:color w:val="001C31"/>
          <w:sz w:val="21"/>
          <w:szCs w:val="21"/>
        </w:rPr>
        <w:t xml:space="preserve">Pregunta: </w:t>
      </w:r>
      <w:r>
        <w:rPr>
          <w:rFonts w:ascii="Poppins" w:cs="Poppins" w:eastAsia="Poppins" w:hAnsi="Poppins"/>
          <w:sz w:val="21"/>
          <w:szCs w:val="21"/>
        </w:rPr>
        <w:t xml:space="preserve">Según el Anexo 3 de la GPC, ¿cuál es el mecanismo de acción de la nitrofurantoína?</w:t>
      </w:r>
    </w:p>
    <w:p>
      <w:pPr>
        <w:spacing w:after="60"/>
      </w:pPr>
      <w:r>
        <w:rPr>
          <w:rFonts w:ascii="Poppins" w:cs="Poppins" w:eastAsia="Poppins" w:hAnsi="Poppins"/>
          <w:b/>
          <w:bCs/>
          <w:color w:val="B08D3F"/>
          <w:sz w:val="21"/>
          <w:szCs w:val="21"/>
        </w:rPr>
        <w:t xml:space="preserve">A. </w:t>
      </w:r>
      <w:r>
        <w:rPr>
          <w:rFonts w:ascii="Poppins" w:cs="Poppins" w:eastAsia="Poppins" w:hAnsi="Poppins"/>
          <w:b/>
          <w:bCs/>
          <w:color w:val="B08D3F"/>
          <w:sz w:val="21"/>
          <w:szCs w:val="21"/>
        </w:rPr>
        <w:t xml:space="preserve">Inhibe la acetil-coenzima A bacteriana, interfiriendo con el metabolismo de los carbohidratos e impidiendo la formación de la pared celular</w:t>
      </w:r>
    </w:p>
    <w:p>
      <w:pPr>
        <w:spacing w:after="60"/>
      </w:pPr>
      <w:r>
        <w:rPr>
          <w:rFonts w:ascii="Poppins" w:cs="Poppins" w:eastAsia="Poppins" w:hAnsi="Poppins"/>
          <w:b/>
          <w:bCs/>
          <w:color w:val="000000"/>
          <w:sz w:val="21"/>
          <w:szCs w:val="21"/>
        </w:rPr>
        <w:t xml:space="preserve">B. </w:t>
      </w:r>
      <w:r>
        <w:rPr>
          <w:rFonts w:ascii="Poppins" w:cs="Poppins" w:eastAsia="Poppins" w:hAnsi="Poppins"/>
          <w:b w:val="false"/>
          <w:bCs w:val="false"/>
          <w:color w:val="000000"/>
          <w:sz w:val="21"/>
          <w:szCs w:val="21"/>
        </w:rPr>
        <w:t xml:space="preserve">Inhibe la síntesis de la pared celular bacteriana mediante la inactivación de la enzima UDP-N-acetilglucosamina-3-0-enolpiruvil transferasa (MurA)</w:t>
      </w:r>
    </w:p>
    <w:p>
      <w:pPr>
        <w:spacing w:after="60"/>
      </w:pPr>
      <w:r>
        <w:rPr>
          <w:rFonts w:ascii="Poppins" w:cs="Poppins" w:eastAsia="Poppins" w:hAnsi="Poppins"/>
          <w:b/>
          <w:bCs/>
          <w:color w:val="000000"/>
          <w:sz w:val="21"/>
          <w:szCs w:val="21"/>
        </w:rPr>
        <w:t xml:space="preserve">C. </w:t>
      </w:r>
      <w:r>
        <w:rPr>
          <w:rFonts w:ascii="Poppins" w:cs="Poppins" w:eastAsia="Poppins" w:hAnsi="Poppins"/>
          <w:b w:val="false"/>
          <w:bCs w:val="false"/>
          <w:color w:val="000000"/>
          <w:sz w:val="21"/>
          <w:szCs w:val="21"/>
        </w:rPr>
        <w:t xml:space="preserve">Inhibe la síntesis de folatos bacterianos de forma exclusiva</w:t>
      </w:r>
    </w:p>
    <w:p>
      <w:pPr>
        <w:spacing w:after="60"/>
      </w:pPr>
      <w:r>
        <w:rPr>
          <w:rFonts w:ascii="Poppins" w:cs="Poppins" w:eastAsia="Poppins" w:hAnsi="Poppins"/>
          <w:b/>
          <w:bCs/>
          <w:color w:val="000000"/>
          <w:sz w:val="21"/>
          <w:szCs w:val="21"/>
        </w:rPr>
        <w:t xml:space="preserve">D. </w:t>
      </w:r>
      <w:r>
        <w:rPr>
          <w:rFonts w:ascii="Poppins" w:cs="Poppins" w:eastAsia="Poppins" w:hAnsi="Poppins"/>
          <w:b w:val="false"/>
          <w:bCs w:val="false"/>
          <w:color w:val="000000"/>
          <w:sz w:val="21"/>
          <w:szCs w:val="21"/>
        </w:rPr>
        <w:t xml:space="preserve">Bloquea los canales de sodio de la membrana bacteriana</w:t>
      </w:r>
    </w:p>
    <w:p>
      <w:pPr>
        <w:spacing w:after="100" w:before="120"/>
      </w:pPr>
      <w:r>
        <w:rPr>
          <w:rFonts w:ascii="Poppins" w:cs="Poppins" w:eastAsia="Poppins" w:hAnsi="Poppins"/>
          <w:b/>
          <w:bCs/>
          <w:color w:val="001C31"/>
          <w:sz w:val="21"/>
          <w:szCs w:val="21"/>
        </w:rPr>
        <w:t xml:space="preserve">Respuesta correcta: A</w:t>
      </w:r>
    </w:p>
    <w:p>
      <w:pPr>
        <w:spacing w:after="60"/>
      </w:pPr>
      <w:r>
        <w:rPr>
          <w:rFonts w:ascii="Poppins" w:cs="Poppins" w:eastAsia="Poppins" w:hAnsi="Poppins"/>
          <w:b/>
          <w:bCs/>
          <w:color w:val="001C31"/>
          <w:sz w:val="21"/>
          <w:szCs w:val="21"/>
          <w:u w:val="single"/>
        </w:rPr>
        <w:t xml:space="preserve">Justificación de la respuesta correcta</w:t>
      </w:r>
    </w:p>
    <w:p>
      <w:pPr>
        <w:spacing w:after="150"/>
      </w:pPr>
      <w:r>
        <w:rPr>
          <w:rFonts w:ascii="Poppins" w:cs="Poppins" w:eastAsia="Poppins" w:hAnsi="Poppins"/>
          <w:sz w:val="21"/>
          <w:szCs w:val="21"/>
        </w:rPr>
        <w:t xml:space="preserve">La ficha del Anexo 3 sobre nitrofurantoína establece que este fármaco inhibe la acetil-coenzima A bacteriana, interfiriendo con el metabolismo de los carbohidratos e impidiendo la formación de la pared celular, y que su actividad antibacteriana depende de la acidez de la orina.</w:t>
      </w:r>
    </w:p>
    <w:p>
      <w:pPr>
        <w:spacing w:after="60"/>
      </w:pPr>
      <w:r>
        <w:rPr>
          <w:rFonts w:ascii="Poppins" w:cs="Poppins" w:eastAsia="Poppins" w:hAnsi="Poppins"/>
          <w:b/>
          <w:bCs/>
          <w:color w:val="001C31"/>
          <w:sz w:val="21"/>
          <w:szCs w:val="21"/>
          <w:u w:val="single"/>
        </w:rPr>
        <w:t xml:space="preserve">Justificación de las opciones incorrectas</w:t>
      </w:r>
    </w:p>
    <w:p>
      <w:pPr>
        <w:spacing w:after="60"/>
      </w:pPr>
      <w:r>
        <w:rPr>
          <w:rFonts w:ascii="Poppins" w:cs="Poppins" w:eastAsia="Poppins" w:hAnsi="Poppins"/>
          <w:b/>
          <w:bCs/>
          <w:sz w:val="21"/>
          <w:szCs w:val="21"/>
        </w:rPr>
        <w:t xml:space="preserve">Opción B: </w:t>
      </w:r>
      <w:r>
        <w:rPr>
          <w:rFonts w:ascii="Poppins" w:cs="Poppins" w:eastAsia="Poppins" w:hAnsi="Poppins"/>
          <w:sz w:val="21"/>
          <w:szCs w:val="21"/>
        </w:rPr>
        <w:t xml:space="preserve">Este mecanismo de inhibición de la enzima MurA corresponde a la fosfomicina, no a la nitrofurantoína, según la ficha técnica del Anexo 3.</w:t>
      </w:r>
    </w:p>
    <w:p>
      <w:pPr>
        <w:spacing w:after="60"/>
      </w:pPr>
      <w:r>
        <w:rPr>
          <w:rFonts w:ascii="Poppins" w:cs="Poppins" w:eastAsia="Poppins" w:hAnsi="Poppins"/>
          <w:b/>
          <w:bCs/>
          <w:sz w:val="21"/>
          <w:szCs w:val="21"/>
        </w:rPr>
        <w:t xml:space="preserve">Opción C: </w:t>
      </w:r>
      <w:r>
        <w:rPr>
          <w:rFonts w:ascii="Poppins" w:cs="Poppins" w:eastAsia="Poppins" w:hAnsi="Poppins"/>
          <w:sz w:val="21"/>
          <w:szCs w:val="21"/>
        </w:rPr>
        <w:t xml:space="preserve">La inhibición de la síntesis de folatos corresponde al mecanismo de acción del trimetoprim con sulfametoxasol, fármaco mencionado en otro apartado de la guía, no a la nitrofurantoína.</w:t>
      </w:r>
    </w:p>
    <w:p>
      <w:pPr>
        <w:spacing w:after="60"/>
      </w:pPr>
      <w:r>
        <w:rPr>
          <w:rFonts w:ascii="Poppins" w:cs="Poppins" w:eastAsia="Poppins" w:hAnsi="Poppins"/>
          <w:b/>
          <w:bCs/>
          <w:sz w:val="21"/>
          <w:szCs w:val="21"/>
        </w:rPr>
        <w:t xml:space="preserve">Opción D: </w:t>
      </w:r>
      <w:r>
        <w:rPr>
          <w:rFonts w:ascii="Poppins" w:cs="Poppins" w:eastAsia="Poppins" w:hAnsi="Poppins"/>
          <w:sz w:val="21"/>
          <w:szCs w:val="21"/>
        </w:rPr>
        <w:t xml:space="preserve">El bloqueo de canales de sodio de la membrana bacteriana no corresponde al mecanismo de acción descrito para la nitrofurantoína en esta guía.</w:t>
      </w:r>
    </w:p>
    <w:p>
      <w:pPr>
        <w:pBdr>
          <w:bottom w:val="single" w:color="B08D3F" w:sz="6" w:space="4"/>
        </w:pBdr>
        <w:spacing w:after="200" w:before="100"/>
      </w:pPr>
      <w:r>
        <w:rPr>
          <w:rFonts w:ascii="Poppins" w:cs="Poppins" w:eastAsia="Poppins" w:hAnsi="Poppins"/>
          <w:b/>
          <w:bCs/>
          <w:i/>
          <w:iCs/>
          <w:color w:val="B08D3F"/>
          <w:sz w:val="20"/>
          <w:szCs w:val="20"/>
        </w:rPr>
        <w:t xml:space="preserve">Referencia: </w:t>
      </w:r>
      <w:r>
        <w:rPr>
          <w:rFonts w:ascii="Poppins" w:cs="Poppins" w:eastAsia="Poppins" w:hAnsi="Poppins"/>
          <w:i/>
          <w:iCs/>
          <w:color w:val="555555"/>
          <w:sz w:val="20"/>
          <w:szCs w:val="20"/>
        </w:rPr>
        <w:t xml:space="preserve">Anexo 3. Medicamentos mencionados en esta GPC. Nitrofurantoína/Nitrofurano antibacteriano. Página 25.</w:t>
      </w:r>
    </w:p>
    <w:p>
      <w:pPr>
        <w:shd w:fill="001C31" w:val="clear"/>
        <w:spacing w:after="100" w:before="300"/>
      </w:pPr>
      <w:r>
        <w:rPr>
          <w:rFonts w:ascii="Poppins" w:cs="Poppins" w:eastAsia="Poppins" w:hAnsi="Poppins"/>
          <w:b/>
          <w:bCs/>
          <w:color w:val="FFFFFF"/>
          <w:sz w:val="24"/>
          <w:szCs w:val="24"/>
        </w:rPr>
        <w:t xml:space="preserve">PREGUNTA 96</w:t>
      </w:r>
    </w:p>
    <w:p>
      <w:pPr>
        <w:shd w:fill="F3ECDD" w:val="clear"/>
        <w:spacing w:after="60"/>
      </w:pPr>
      <w:r>
        <w:rPr>
          <w:rFonts w:ascii="Poppins" w:cs="Poppins" w:eastAsia="Poppins" w:hAnsi="Poppins"/>
          <w:b/>
          <w:bCs/>
          <w:i/>
          <w:iCs/>
          <w:color w:val="001C31"/>
          <w:sz w:val="21"/>
          <w:szCs w:val="21"/>
        </w:rPr>
        <w:t xml:space="preserve">Caso clínico: </w:t>
      </w:r>
      <w:r>
        <w:rPr>
          <w:rFonts w:ascii="Poppins" w:cs="Poppins" w:eastAsia="Poppins" w:hAnsi="Poppins"/>
          <w:i/>
          <w:iCs/>
          <w:sz w:val="21"/>
          <w:szCs w:val="21"/>
        </w:rPr>
        <w:t xml:space="preserve">Una paciente embarazada con antecedente de déficit de glucosa-6-fosfato deshidrogenasa (G6PD) requiere tratamiento antibiótico para BA.</w:t>
      </w:r>
    </w:p>
    <w:p>
      <w:pPr>
        <w:spacing w:after="120"/>
      </w:pPr>
      <w:r>
        <w:rPr>
          <w:rFonts w:ascii="Poppins" w:cs="Poppins" w:eastAsia="Poppins" w:hAnsi="Poppins"/>
          <w:b/>
          <w:bCs/>
          <w:color w:val="001C31"/>
          <w:sz w:val="21"/>
          <w:szCs w:val="21"/>
        </w:rPr>
        <w:t xml:space="preserve">Pregunta: </w:t>
      </w:r>
      <w:r>
        <w:rPr>
          <w:rFonts w:ascii="Poppins" w:cs="Poppins" w:eastAsia="Poppins" w:hAnsi="Poppins"/>
          <w:sz w:val="21"/>
          <w:szCs w:val="21"/>
        </w:rPr>
        <w:t xml:space="preserve">Según el Anexo 3 de la GPC, ¿qué riesgo específico presenta la nitrofurantoína en esta paciente?</w:t>
      </w:r>
    </w:p>
    <w:p>
      <w:pPr>
        <w:spacing w:after="60"/>
      </w:pPr>
      <w:r>
        <w:rPr>
          <w:rFonts w:ascii="Poppins" w:cs="Poppins" w:eastAsia="Poppins" w:hAnsi="Poppins"/>
          <w:b/>
          <w:bCs/>
          <w:color w:val="B08D3F"/>
          <w:sz w:val="21"/>
          <w:szCs w:val="21"/>
        </w:rPr>
        <w:t xml:space="preserve">A. </w:t>
      </w:r>
      <w:r>
        <w:rPr>
          <w:rFonts w:ascii="Poppins" w:cs="Poppins" w:eastAsia="Poppins" w:hAnsi="Poppins"/>
          <w:b/>
          <w:bCs/>
          <w:color w:val="B08D3F"/>
          <w:sz w:val="21"/>
          <w:szCs w:val="21"/>
        </w:rPr>
        <w:t xml:space="preserve">Puede inducir anemia hemolítica en pacientes con deficiencia de G6PD</w:t>
      </w:r>
    </w:p>
    <w:p>
      <w:pPr>
        <w:spacing w:after="60"/>
      </w:pPr>
      <w:r>
        <w:rPr>
          <w:rFonts w:ascii="Poppins" w:cs="Poppins" w:eastAsia="Poppins" w:hAnsi="Poppins"/>
          <w:b/>
          <w:bCs/>
          <w:color w:val="000000"/>
          <w:sz w:val="21"/>
          <w:szCs w:val="21"/>
        </w:rPr>
        <w:t xml:space="preserve">B. </w:t>
      </w:r>
      <w:r>
        <w:rPr>
          <w:rFonts w:ascii="Poppins" w:cs="Poppins" w:eastAsia="Poppins" w:hAnsi="Poppins"/>
          <w:b w:val="false"/>
          <w:bCs w:val="false"/>
          <w:color w:val="000000"/>
          <w:sz w:val="21"/>
          <w:szCs w:val="21"/>
        </w:rPr>
        <w:t xml:space="preserve">No presenta ningún riesgo adicional en pacientes con deficiencia de G6PD</w:t>
      </w:r>
    </w:p>
    <w:p>
      <w:pPr>
        <w:spacing w:after="60"/>
      </w:pPr>
      <w:r>
        <w:rPr>
          <w:rFonts w:ascii="Poppins" w:cs="Poppins" w:eastAsia="Poppins" w:hAnsi="Poppins"/>
          <w:b/>
          <w:bCs/>
          <w:color w:val="000000"/>
          <w:sz w:val="21"/>
          <w:szCs w:val="21"/>
        </w:rPr>
        <w:t xml:space="preserve">C. </w:t>
      </w:r>
      <w:r>
        <w:rPr>
          <w:rFonts w:ascii="Poppins" w:cs="Poppins" w:eastAsia="Poppins" w:hAnsi="Poppins"/>
          <w:b w:val="false"/>
          <w:bCs w:val="false"/>
          <w:color w:val="000000"/>
          <w:sz w:val="21"/>
          <w:szCs w:val="21"/>
        </w:rPr>
        <w:t xml:space="preserve">Produce exclusivamente hepatotoxicidad en estos pacientes, sin riesgo hematológico</w:t>
      </w:r>
    </w:p>
    <w:p>
      <w:pPr>
        <w:spacing w:after="60"/>
      </w:pPr>
      <w:r>
        <w:rPr>
          <w:rFonts w:ascii="Poppins" w:cs="Poppins" w:eastAsia="Poppins" w:hAnsi="Poppins"/>
          <w:b/>
          <w:bCs/>
          <w:color w:val="000000"/>
          <w:sz w:val="21"/>
          <w:szCs w:val="21"/>
        </w:rPr>
        <w:t xml:space="preserve">D. </w:t>
      </w:r>
      <w:r>
        <w:rPr>
          <w:rFonts w:ascii="Poppins" w:cs="Poppins" w:eastAsia="Poppins" w:hAnsi="Poppins"/>
          <w:b w:val="false"/>
          <w:bCs w:val="false"/>
          <w:color w:val="000000"/>
          <w:sz w:val="21"/>
          <w:szCs w:val="21"/>
        </w:rPr>
        <w:t xml:space="preserve">Está formalmente contraindicada solo en pacientes con hipertiroidismo</w:t>
      </w:r>
    </w:p>
    <w:p>
      <w:pPr>
        <w:spacing w:after="100" w:before="120"/>
      </w:pPr>
      <w:r>
        <w:rPr>
          <w:rFonts w:ascii="Poppins" w:cs="Poppins" w:eastAsia="Poppins" w:hAnsi="Poppins"/>
          <w:b/>
          <w:bCs/>
          <w:color w:val="001C31"/>
          <w:sz w:val="21"/>
          <w:szCs w:val="21"/>
        </w:rPr>
        <w:t xml:space="preserve">Respuesta correcta: A</w:t>
      </w:r>
    </w:p>
    <w:p>
      <w:pPr>
        <w:spacing w:after="60"/>
      </w:pPr>
      <w:r>
        <w:rPr>
          <w:rFonts w:ascii="Poppins" w:cs="Poppins" w:eastAsia="Poppins" w:hAnsi="Poppins"/>
          <w:b/>
          <w:bCs/>
          <w:color w:val="001C31"/>
          <w:sz w:val="21"/>
          <w:szCs w:val="21"/>
          <w:u w:val="single"/>
        </w:rPr>
        <w:t xml:space="preserve">Justificación de la respuesta correcta</w:t>
      </w:r>
    </w:p>
    <w:p>
      <w:pPr>
        <w:spacing w:after="150"/>
      </w:pPr>
      <w:r>
        <w:rPr>
          <w:rFonts w:ascii="Poppins" w:cs="Poppins" w:eastAsia="Poppins" w:hAnsi="Poppins"/>
          <w:sz w:val="21"/>
          <w:szCs w:val="21"/>
        </w:rPr>
        <w:t xml:space="preserve">La ficha de nitrofurantoína del Anexo 3 establece que, aunque este fármaco se clasifica dentro de la categoría B de riesgo en el embarazo, puede inducir anemia hemolítica en pacientes con deficiencia de G6PD y en pacientes con insuficiente producción de glutatión.</w:t>
      </w:r>
    </w:p>
    <w:p>
      <w:pPr>
        <w:spacing w:after="60"/>
      </w:pPr>
      <w:r>
        <w:rPr>
          <w:rFonts w:ascii="Poppins" w:cs="Poppins" w:eastAsia="Poppins" w:hAnsi="Poppins"/>
          <w:b/>
          <w:bCs/>
          <w:color w:val="001C31"/>
          <w:sz w:val="21"/>
          <w:szCs w:val="21"/>
          <w:u w:val="single"/>
        </w:rPr>
        <w:t xml:space="preserve">Justificación de las opciones incorrectas</w:t>
      </w:r>
    </w:p>
    <w:p>
      <w:pPr>
        <w:spacing w:after="60"/>
      </w:pPr>
      <w:r>
        <w:rPr>
          <w:rFonts w:ascii="Poppins" w:cs="Poppins" w:eastAsia="Poppins" w:hAnsi="Poppins"/>
          <w:b/>
          <w:bCs/>
          <w:sz w:val="21"/>
          <w:szCs w:val="21"/>
        </w:rPr>
        <w:t xml:space="preserve">Opción B: </w:t>
      </w:r>
      <w:r>
        <w:rPr>
          <w:rFonts w:ascii="Poppins" w:cs="Poppins" w:eastAsia="Poppins" w:hAnsi="Poppins"/>
          <w:sz w:val="21"/>
          <w:szCs w:val="21"/>
        </w:rPr>
        <w:t xml:space="preserve">La guía sí documenta explícitamente un riesgo específico (anemia hemolítica) asociado a la deficiencia de G6PD en el uso de nitrofurantoína.</w:t>
      </w:r>
    </w:p>
    <w:p>
      <w:pPr>
        <w:spacing w:after="60"/>
      </w:pPr>
      <w:r>
        <w:rPr>
          <w:rFonts w:ascii="Poppins" w:cs="Poppins" w:eastAsia="Poppins" w:hAnsi="Poppins"/>
          <w:b/>
          <w:bCs/>
          <w:sz w:val="21"/>
          <w:szCs w:val="21"/>
        </w:rPr>
        <w:t xml:space="preserve">Opción C: </w:t>
      </w:r>
      <w:r>
        <w:rPr>
          <w:rFonts w:ascii="Poppins" w:cs="Poppins" w:eastAsia="Poppins" w:hAnsi="Poppins"/>
          <w:sz w:val="21"/>
          <w:szCs w:val="21"/>
        </w:rPr>
        <w:t xml:space="preserve">Si bien la nitrofurantoína puede asociarse a hepatotoxicidad en general, el riesgo específico señalado para la deficiencia de G6PD es la anemia hemolítica, no exclusivamente hepatotoxicidad.</w:t>
      </w:r>
    </w:p>
    <w:p>
      <w:pPr>
        <w:spacing w:after="60"/>
      </w:pPr>
      <w:r>
        <w:rPr>
          <w:rFonts w:ascii="Poppins" w:cs="Poppins" w:eastAsia="Poppins" w:hAnsi="Poppins"/>
          <w:b/>
          <w:bCs/>
          <w:sz w:val="21"/>
          <w:szCs w:val="21"/>
        </w:rPr>
        <w:t xml:space="preserve">Opción D: </w:t>
      </w:r>
      <w:r>
        <w:rPr>
          <w:rFonts w:ascii="Poppins" w:cs="Poppins" w:eastAsia="Poppins" w:hAnsi="Poppins"/>
          <w:sz w:val="21"/>
          <w:szCs w:val="21"/>
        </w:rPr>
        <w:t xml:space="preserve">El hipertiroidismo no se menciona en la ficha de nitrofurantoína como una contraindicación asociada; el riesgo hematológico descrito se relaciona específicamente con la deficiencia de G6PD.</w:t>
      </w:r>
    </w:p>
    <w:p>
      <w:pPr>
        <w:pBdr>
          <w:bottom w:val="single" w:color="B08D3F" w:sz="6" w:space="4"/>
        </w:pBdr>
        <w:spacing w:after="200" w:before="100"/>
      </w:pPr>
      <w:r>
        <w:rPr>
          <w:rFonts w:ascii="Poppins" w:cs="Poppins" w:eastAsia="Poppins" w:hAnsi="Poppins"/>
          <w:b/>
          <w:bCs/>
          <w:i/>
          <w:iCs/>
          <w:color w:val="B08D3F"/>
          <w:sz w:val="20"/>
          <w:szCs w:val="20"/>
        </w:rPr>
        <w:t xml:space="preserve">Referencia: </w:t>
      </w:r>
      <w:r>
        <w:rPr>
          <w:rFonts w:ascii="Poppins" w:cs="Poppins" w:eastAsia="Poppins" w:hAnsi="Poppins"/>
          <w:i/>
          <w:iCs/>
          <w:color w:val="555555"/>
          <w:sz w:val="20"/>
          <w:szCs w:val="20"/>
        </w:rPr>
        <w:t xml:space="preserve">Anexo 3. Medicamentos mencionados en esta GPC. Nitrofurantoína/Nitrofurano antibacteriano. Contraindicaciones. Página 26.</w:t>
      </w:r>
    </w:p>
    <w:p>
      <w:pPr>
        <w:shd w:fill="001C31" w:val="clear"/>
        <w:spacing w:after="100" w:before="300"/>
      </w:pPr>
      <w:r>
        <w:rPr>
          <w:rFonts w:ascii="Poppins" w:cs="Poppins" w:eastAsia="Poppins" w:hAnsi="Poppins"/>
          <w:b/>
          <w:bCs/>
          <w:color w:val="FFFFFF"/>
          <w:sz w:val="24"/>
          <w:szCs w:val="24"/>
        </w:rPr>
        <w:t xml:space="preserve">PREGUNTA 97</w:t>
      </w:r>
    </w:p>
    <w:p>
      <w:pPr>
        <w:spacing w:after="120"/>
      </w:pPr>
      <w:r>
        <w:rPr>
          <w:rFonts w:ascii="Poppins" w:cs="Poppins" w:eastAsia="Poppins" w:hAnsi="Poppins"/>
          <w:b/>
          <w:bCs/>
          <w:color w:val="001C31"/>
          <w:sz w:val="21"/>
          <w:szCs w:val="21"/>
        </w:rPr>
        <w:t xml:space="preserve">Pregunta: </w:t>
      </w:r>
      <w:r>
        <w:rPr>
          <w:rFonts w:ascii="Poppins" w:cs="Poppins" w:eastAsia="Poppins" w:hAnsi="Poppins"/>
          <w:sz w:val="21"/>
          <w:szCs w:val="21"/>
        </w:rPr>
        <w:t xml:space="preserve">Según el Anexo 3 de la GPC, ¿por qué no se recomienda la administración de nitrofurantoína en las últimas semanas del embarazo (38 a 42 semanas) ni durante el parto?</w:t>
      </w:r>
    </w:p>
    <w:p>
      <w:pPr>
        <w:spacing w:after="60"/>
      </w:pPr>
      <w:r>
        <w:rPr>
          <w:rFonts w:ascii="Poppins" w:cs="Poppins" w:eastAsia="Poppins" w:hAnsi="Poppins"/>
          <w:b/>
          <w:bCs/>
          <w:color w:val="B08D3F"/>
          <w:sz w:val="21"/>
          <w:szCs w:val="21"/>
        </w:rPr>
        <w:t xml:space="preserve">A. </w:t>
      </w:r>
      <w:r>
        <w:rPr>
          <w:rFonts w:ascii="Poppins" w:cs="Poppins" w:eastAsia="Poppins" w:hAnsi="Poppins"/>
          <w:b/>
          <w:bCs/>
          <w:color w:val="B08D3F"/>
          <w:sz w:val="21"/>
          <w:szCs w:val="21"/>
        </w:rPr>
        <w:t xml:space="preserve">Porque la producción de glutatión es insuficiente en el neonato durante ese período, lo que aumenta el riesgo de anemia hemolítica neonatal</w:t>
      </w:r>
    </w:p>
    <w:p>
      <w:pPr>
        <w:spacing w:after="60"/>
      </w:pPr>
      <w:r>
        <w:rPr>
          <w:rFonts w:ascii="Poppins" w:cs="Poppins" w:eastAsia="Poppins" w:hAnsi="Poppins"/>
          <w:b/>
          <w:bCs/>
          <w:color w:val="000000"/>
          <w:sz w:val="21"/>
          <w:szCs w:val="21"/>
        </w:rPr>
        <w:t xml:space="preserve">B. </w:t>
      </w:r>
      <w:r>
        <w:rPr>
          <w:rFonts w:ascii="Poppins" w:cs="Poppins" w:eastAsia="Poppins" w:hAnsi="Poppins"/>
          <w:b w:val="false"/>
          <w:bCs w:val="false"/>
          <w:color w:val="000000"/>
          <w:sz w:val="21"/>
          <w:szCs w:val="21"/>
        </w:rPr>
        <w:t xml:space="preserve">Porque el fármaco pierde toda su eficacia antibacteriana después de la semana 38</w:t>
      </w:r>
    </w:p>
    <w:p>
      <w:pPr>
        <w:spacing w:after="60"/>
      </w:pPr>
      <w:r>
        <w:rPr>
          <w:rFonts w:ascii="Poppins" w:cs="Poppins" w:eastAsia="Poppins" w:hAnsi="Poppins"/>
          <w:b/>
          <w:bCs/>
          <w:color w:val="000000"/>
          <w:sz w:val="21"/>
          <w:szCs w:val="21"/>
        </w:rPr>
        <w:t xml:space="preserve">C. </w:t>
      </w:r>
      <w:r>
        <w:rPr>
          <w:rFonts w:ascii="Poppins" w:cs="Poppins" w:eastAsia="Poppins" w:hAnsi="Poppins"/>
          <w:b w:val="false"/>
          <w:bCs w:val="false"/>
          <w:color w:val="000000"/>
          <w:sz w:val="21"/>
          <w:szCs w:val="21"/>
        </w:rPr>
        <w:t xml:space="preserve">Porque produce malformaciones congénitas graves si se administra en el tercer trimestre tardío</w:t>
      </w:r>
    </w:p>
    <w:p>
      <w:pPr>
        <w:spacing w:after="60"/>
      </w:pPr>
      <w:r>
        <w:rPr>
          <w:rFonts w:ascii="Poppins" w:cs="Poppins" w:eastAsia="Poppins" w:hAnsi="Poppins"/>
          <w:b/>
          <w:bCs/>
          <w:color w:val="000000"/>
          <w:sz w:val="21"/>
          <w:szCs w:val="21"/>
        </w:rPr>
        <w:t xml:space="preserve">D. </w:t>
      </w:r>
      <w:r>
        <w:rPr>
          <w:rFonts w:ascii="Poppins" w:cs="Poppins" w:eastAsia="Poppins" w:hAnsi="Poppins"/>
          <w:b w:val="false"/>
          <w:bCs w:val="false"/>
          <w:color w:val="000000"/>
          <w:sz w:val="21"/>
          <w:szCs w:val="21"/>
        </w:rPr>
        <w:t xml:space="preserve">Porque interfiere con el trabajo de parto al inhibir las contracciones uterinas</w:t>
      </w:r>
    </w:p>
    <w:p>
      <w:pPr>
        <w:spacing w:after="100" w:before="120"/>
      </w:pPr>
      <w:r>
        <w:rPr>
          <w:rFonts w:ascii="Poppins" w:cs="Poppins" w:eastAsia="Poppins" w:hAnsi="Poppins"/>
          <w:b/>
          <w:bCs/>
          <w:color w:val="001C31"/>
          <w:sz w:val="21"/>
          <w:szCs w:val="21"/>
        </w:rPr>
        <w:t xml:space="preserve">Respuesta correcta: A</w:t>
      </w:r>
    </w:p>
    <w:p>
      <w:pPr>
        <w:spacing w:after="60"/>
      </w:pPr>
      <w:r>
        <w:rPr>
          <w:rFonts w:ascii="Poppins" w:cs="Poppins" w:eastAsia="Poppins" w:hAnsi="Poppins"/>
          <w:b/>
          <w:bCs/>
          <w:color w:val="001C31"/>
          <w:sz w:val="21"/>
          <w:szCs w:val="21"/>
          <w:u w:val="single"/>
        </w:rPr>
        <w:t xml:space="preserve">Justificación de la respuesta correcta</w:t>
      </w:r>
    </w:p>
    <w:p>
      <w:pPr>
        <w:spacing w:after="150"/>
      </w:pPr>
      <w:r>
        <w:rPr>
          <w:rFonts w:ascii="Poppins" w:cs="Poppins" w:eastAsia="Poppins" w:hAnsi="Poppins"/>
          <w:sz w:val="21"/>
          <w:szCs w:val="21"/>
        </w:rPr>
        <w:t xml:space="preserve">La ficha de nitrofurantoína del Anexo 3 explica que, como la producción insuficiente de glutatión tiene lugar en el neonato en las últimas semanas (38 a 42 semanas), así como durante el parto, no se recomienda la administración de nitrofurantoína durante este período, por el riesgo de anemia hemolítica neonatal.</w:t>
      </w:r>
    </w:p>
    <w:p>
      <w:pPr>
        <w:spacing w:after="60"/>
      </w:pPr>
      <w:r>
        <w:rPr>
          <w:rFonts w:ascii="Poppins" w:cs="Poppins" w:eastAsia="Poppins" w:hAnsi="Poppins"/>
          <w:b/>
          <w:bCs/>
          <w:color w:val="001C31"/>
          <w:sz w:val="21"/>
          <w:szCs w:val="21"/>
          <w:u w:val="single"/>
        </w:rPr>
        <w:t xml:space="preserve">Justificación de las opciones incorrectas</w:t>
      </w:r>
    </w:p>
    <w:p>
      <w:pPr>
        <w:spacing w:after="60"/>
      </w:pPr>
      <w:r>
        <w:rPr>
          <w:rFonts w:ascii="Poppins" w:cs="Poppins" w:eastAsia="Poppins" w:hAnsi="Poppins"/>
          <w:b/>
          <w:bCs/>
          <w:sz w:val="21"/>
          <w:szCs w:val="21"/>
        </w:rPr>
        <w:t xml:space="preserve">Opción B: </w:t>
      </w:r>
      <w:r>
        <w:rPr>
          <w:rFonts w:ascii="Poppins" w:cs="Poppins" w:eastAsia="Poppins" w:hAnsi="Poppins"/>
          <w:sz w:val="21"/>
          <w:szCs w:val="21"/>
        </w:rPr>
        <w:t xml:space="preserve">La guía no señala una pérdida de eficacia antibacteriana del fármaco después de la semana 38; el motivo de la restricción es el riesgo hematológico neonatal, no la pérdida de eficacia.</w:t>
      </w:r>
    </w:p>
    <w:p>
      <w:pPr>
        <w:spacing w:after="60"/>
      </w:pPr>
      <w:r>
        <w:rPr>
          <w:rFonts w:ascii="Poppins" w:cs="Poppins" w:eastAsia="Poppins" w:hAnsi="Poppins"/>
          <w:b/>
          <w:bCs/>
          <w:sz w:val="21"/>
          <w:szCs w:val="21"/>
        </w:rPr>
        <w:t xml:space="preserve">Opción C: </w:t>
      </w:r>
      <w:r>
        <w:rPr>
          <w:rFonts w:ascii="Poppins" w:cs="Poppins" w:eastAsia="Poppins" w:hAnsi="Poppins"/>
          <w:sz w:val="21"/>
          <w:szCs w:val="21"/>
        </w:rPr>
        <w:t xml:space="preserve">La guía no describe malformaciones congénitas asociadas a la administración tardía de nitrofurantoína; el riesgo específico señalado es de tipo hematológico neonatal (anemia hemolítica).</w:t>
      </w:r>
    </w:p>
    <w:p>
      <w:pPr>
        <w:spacing w:after="60"/>
      </w:pPr>
      <w:r>
        <w:rPr>
          <w:rFonts w:ascii="Poppins" w:cs="Poppins" w:eastAsia="Poppins" w:hAnsi="Poppins"/>
          <w:b/>
          <w:bCs/>
          <w:sz w:val="21"/>
          <w:szCs w:val="21"/>
        </w:rPr>
        <w:t xml:space="preserve">Opción D: </w:t>
      </w:r>
      <w:r>
        <w:rPr>
          <w:rFonts w:ascii="Poppins" w:cs="Poppins" w:eastAsia="Poppins" w:hAnsi="Poppins"/>
          <w:sz w:val="21"/>
          <w:szCs w:val="21"/>
        </w:rPr>
        <w:t xml:space="preserve">La inhibición de las contracciones uterinas no se menciona en la guía como el motivo de la restricción de uso de nitrofurantoína en el tercer trimestre tardío.</w:t>
      </w:r>
    </w:p>
    <w:p>
      <w:pPr>
        <w:pBdr>
          <w:bottom w:val="single" w:color="B08D3F" w:sz="6" w:space="4"/>
        </w:pBdr>
        <w:spacing w:after="200" w:before="100"/>
      </w:pPr>
      <w:r>
        <w:rPr>
          <w:rFonts w:ascii="Poppins" w:cs="Poppins" w:eastAsia="Poppins" w:hAnsi="Poppins"/>
          <w:b/>
          <w:bCs/>
          <w:i/>
          <w:iCs/>
          <w:color w:val="B08D3F"/>
          <w:sz w:val="20"/>
          <w:szCs w:val="20"/>
        </w:rPr>
        <w:t xml:space="preserve">Referencia: </w:t>
      </w:r>
      <w:r>
        <w:rPr>
          <w:rFonts w:ascii="Poppins" w:cs="Poppins" w:eastAsia="Poppins" w:hAnsi="Poppins"/>
          <w:i/>
          <w:iCs/>
          <w:color w:val="555555"/>
          <w:sz w:val="20"/>
          <w:szCs w:val="20"/>
        </w:rPr>
        <w:t xml:space="preserve">Anexo 3. Medicamentos mencionados en esta GPC. Nitrofurantoína/Nitrofurano antibacteriano. Contraindicaciones. Página 26.</w:t>
      </w:r>
    </w:p>
    <w:p>
      <w:pPr>
        <w:shd w:fill="001C31" w:val="clear"/>
        <w:spacing w:after="100" w:before="300"/>
      </w:pPr>
      <w:r>
        <w:rPr>
          <w:rFonts w:ascii="Poppins" w:cs="Poppins" w:eastAsia="Poppins" w:hAnsi="Poppins"/>
          <w:b/>
          <w:bCs/>
          <w:color w:val="FFFFFF"/>
          <w:sz w:val="24"/>
          <w:szCs w:val="24"/>
        </w:rPr>
        <w:t xml:space="preserve">PREGUNTA 98</w:t>
      </w:r>
    </w:p>
    <w:p>
      <w:pPr>
        <w:spacing w:after="120"/>
      </w:pPr>
      <w:r>
        <w:rPr>
          <w:rFonts w:ascii="Poppins" w:cs="Poppins" w:eastAsia="Poppins" w:hAnsi="Poppins"/>
          <w:b/>
          <w:bCs/>
          <w:color w:val="001C31"/>
          <w:sz w:val="21"/>
          <w:szCs w:val="21"/>
        </w:rPr>
        <w:t xml:space="preserve">Pregunta: </w:t>
      </w:r>
      <w:r>
        <w:rPr>
          <w:rFonts w:ascii="Poppins" w:cs="Poppins" w:eastAsia="Poppins" w:hAnsi="Poppins"/>
          <w:sz w:val="21"/>
          <w:szCs w:val="21"/>
        </w:rPr>
        <w:t xml:space="preserve">Según el Anexo 3 de la GPC, ¿cómo se recomienda administrar la fosfomicina en relación con los alimentos, y por qué?</w:t>
      </w:r>
    </w:p>
    <w:p>
      <w:pPr>
        <w:spacing w:after="60"/>
      </w:pPr>
      <w:r>
        <w:rPr>
          <w:rFonts w:ascii="Poppins" w:cs="Poppins" w:eastAsia="Poppins" w:hAnsi="Poppins"/>
          <w:b/>
          <w:bCs/>
          <w:color w:val="B08D3F"/>
          <w:sz w:val="21"/>
          <w:szCs w:val="21"/>
        </w:rPr>
        <w:t xml:space="preserve">A. </w:t>
      </w:r>
      <w:r>
        <w:rPr>
          <w:rFonts w:ascii="Poppins" w:cs="Poppins" w:eastAsia="Poppins" w:hAnsi="Poppins"/>
          <w:b/>
          <w:bCs/>
          <w:color w:val="B08D3F"/>
          <w:sz w:val="21"/>
          <w:szCs w:val="21"/>
        </w:rPr>
        <w:t xml:space="preserve">Es conveniente administrarla 2 horas después de las comidas, ya que los alimentos retrasan y/o disminuyen su absorción</w:t>
      </w:r>
    </w:p>
    <w:p>
      <w:pPr>
        <w:spacing w:after="60"/>
      </w:pPr>
      <w:r>
        <w:rPr>
          <w:rFonts w:ascii="Poppins" w:cs="Poppins" w:eastAsia="Poppins" w:hAnsi="Poppins"/>
          <w:b/>
          <w:bCs/>
          <w:color w:val="000000"/>
          <w:sz w:val="21"/>
          <w:szCs w:val="21"/>
        </w:rPr>
        <w:t xml:space="preserve">B. </w:t>
      </w:r>
      <w:r>
        <w:rPr>
          <w:rFonts w:ascii="Poppins" w:cs="Poppins" w:eastAsia="Poppins" w:hAnsi="Poppins"/>
          <w:b w:val="false"/>
          <w:bCs w:val="false"/>
          <w:color w:val="000000"/>
          <w:sz w:val="21"/>
          <w:szCs w:val="21"/>
        </w:rPr>
        <w:t xml:space="preserve">Debe administrarse siempre junto con las comidas para mejorar su absorción</w:t>
      </w:r>
    </w:p>
    <w:p>
      <w:pPr>
        <w:spacing w:after="60"/>
      </w:pPr>
      <w:r>
        <w:rPr>
          <w:rFonts w:ascii="Poppins" w:cs="Poppins" w:eastAsia="Poppins" w:hAnsi="Poppins"/>
          <w:b/>
          <w:bCs/>
          <w:color w:val="000000"/>
          <w:sz w:val="21"/>
          <w:szCs w:val="21"/>
        </w:rPr>
        <w:t xml:space="preserve">C. </w:t>
      </w:r>
      <w:r>
        <w:rPr>
          <w:rFonts w:ascii="Poppins" w:cs="Poppins" w:eastAsia="Poppins" w:hAnsi="Poppins"/>
          <w:b w:val="false"/>
          <w:bCs w:val="false"/>
          <w:color w:val="000000"/>
          <w:sz w:val="21"/>
          <w:szCs w:val="21"/>
        </w:rPr>
        <w:t xml:space="preserve">Debe administrarse exclusivamente en ayunas de 12 horas</w:t>
      </w:r>
    </w:p>
    <w:p>
      <w:pPr>
        <w:spacing w:after="60"/>
      </w:pPr>
      <w:r>
        <w:rPr>
          <w:rFonts w:ascii="Poppins" w:cs="Poppins" w:eastAsia="Poppins" w:hAnsi="Poppins"/>
          <w:b/>
          <w:bCs/>
          <w:color w:val="000000"/>
          <w:sz w:val="21"/>
          <w:szCs w:val="21"/>
        </w:rPr>
        <w:t xml:space="preserve">D. </w:t>
      </w:r>
      <w:r>
        <w:rPr>
          <w:rFonts w:ascii="Poppins" w:cs="Poppins" w:eastAsia="Poppins" w:hAnsi="Poppins"/>
          <w:b w:val="false"/>
          <w:bCs w:val="false"/>
          <w:color w:val="000000"/>
          <w:sz w:val="21"/>
          <w:szCs w:val="21"/>
        </w:rPr>
        <w:t xml:space="preserve">La relación con los alimentos no afecta en absoluto su absorción, según la guía</w:t>
      </w:r>
    </w:p>
    <w:p>
      <w:pPr>
        <w:spacing w:after="100" w:before="120"/>
      </w:pPr>
      <w:r>
        <w:rPr>
          <w:rFonts w:ascii="Poppins" w:cs="Poppins" w:eastAsia="Poppins" w:hAnsi="Poppins"/>
          <w:b/>
          <w:bCs/>
          <w:color w:val="001C31"/>
          <w:sz w:val="21"/>
          <w:szCs w:val="21"/>
        </w:rPr>
        <w:t xml:space="preserve">Respuesta correcta: A</w:t>
      </w:r>
    </w:p>
    <w:p>
      <w:pPr>
        <w:spacing w:after="60"/>
      </w:pPr>
      <w:r>
        <w:rPr>
          <w:rFonts w:ascii="Poppins" w:cs="Poppins" w:eastAsia="Poppins" w:hAnsi="Poppins"/>
          <w:b/>
          <w:bCs/>
          <w:color w:val="001C31"/>
          <w:sz w:val="21"/>
          <w:szCs w:val="21"/>
          <w:u w:val="single"/>
        </w:rPr>
        <w:t xml:space="preserve">Justificación de la respuesta correcta</w:t>
      </w:r>
    </w:p>
    <w:p>
      <w:pPr>
        <w:spacing w:after="150"/>
      </w:pPr>
      <w:r>
        <w:rPr>
          <w:rFonts w:ascii="Poppins" w:cs="Poppins" w:eastAsia="Poppins" w:hAnsi="Poppins"/>
          <w:sz w:val="21"/>
          <w:szCs w:val="21"/>
        </w:rPr>
        <w:t xml:space="preserve">La ficha de fosfomicina del Anexo 3 indica que los alimentos retrasan y/o disminuyen la absorción del fármaco, por lo que la administración conjunta de alimentos con la fosfomicina vía oral conlleva una reducción en la absorción digestiva; por ello, es conveniente administrarla 2 horas después de las comidas.</w:t>
      </w:r>
    </w:p>
    <w:p>
      <w:pPr>
        <w:spacing w:after="60"/>
      </w:pPr>
      <w:r>
        <w:rPr>
          <w:rFonts w:ascii="Poppins" w:cs="Poppins" w:eastAsia="Poppins" w:hAnsi="Poppins"/>
          <w:b/>
          <w:bCs/>
          <w:color w:val="001C31"/>
          <w:sz w:val="21"/>
          <w:szCs w:val="21"/>
          <w:u w:val="single"/>
        </w:rPr>
        <w:t xml:space="preserve">Justificación de las opciones incorrectas</w:t>
      </w:r>
    </w:p>
    <w:p>
      <w:pPr>
        <w:spacing w:after="60"/>
      </w:pPr>
      <w:r>
        <w:rPr>
          <w:rFonts w:ascii="Poppins" w:cs="Poppins" w:eastAsia="Poppins" w:hAnsi="Poppins"/>
          <w:b/>
          <w:bCs/>
          <w:sz w:val="21"/>
          <w:szCs w:val="21"/>
        </w:rPr>
        <w:t xml:space="preserve">Opción B: </w:t>
      </w:r>
      <w:r>
        <w:rPr>
          <w:rFonts w:ascii="Poppins" w:cs="Poppins" w:eastAsia="Poppins" w:hAnsi="Poppins"/>
          <w:sz w:val="21"/>
          <w:szCs w:val="21"/>
        </w:rPr>
        <w:t xml:space="preserve">La guía indica lo contrario: los alimentos disminuyen la absorción de la fosfomicina, por lo que no se recomienda administrarla junto con las comidas, sino 2 horas después.</w:t>
      </w:r>
    </w:p>
    <w:p>
      <w:pPr>
        <w:spacing w:after="60"/>
      </w:pPr>
      <w:r>
        <w:rPr>
          <w:rFonts w:ascii="Poppins" w:cs="Poppins" w:eastAsia="Poppins" w:hAnsi="Poppins"/>
          <w:b/>
          <w:bCs/>
          <w:sz w:val="21"/>
          <w:szCs w:val="21"/>
        </w:rPr>
        <w:t xml:space="preserve">Opción C: </w:t>
      </w:r>
      <w:r>
        <w:rPr>
          <w:rFonts w:ascii="Poppins" w:cs="Poppins" w:eastAsia="Poppins" w:hAnsi="Poppins"/>
          <w:sz w:val="21"/>
          <w:szCs w:val="21"/>
        </w:rPr>
        <w:t xml:space="preserve">La guía no exige un ayuno de 12 horas para la administración de fosfomicina; simplemente recomienda administrarla 2 horas después de las comidas.</w:t>
      </w:r>
    </w:p>
    <w:p>
      <w:pPr>
        <w:spacing w:after="60"/>
      </w:pPr>
      <w:r>
        <w:rPr>
          <w:rFonts w:ascii="Poppins" w:cs="Poppins" w:eastAsia="Poppins" w:hAnsi="Poppins"/>
          <w:b/>
          <w:bCs/>
          <w:sz w:val="21"/>
          <w:szCs w:val="21"/>
        </w:rPr>
        <w:t xml:space="preserve">Opción D: </w:t>
      </w:r>
      <w:r>
        <w:rPr>
          <w:rFonts w:ascii="Poppins" w:cs="Poppins" w:eastAsia="Poppins" w:hAnsi="Poppins"/>
          <w:sz w:val="21"/>
          <w:szCs w:val="21"/>
        </w:rPr>
        <w:t xml:space="preserve">La guía sí documenta explícitamente un efecto negativo de los alimentos sobre la absorción de la fosfomicina, contrario a lo planteado en esta opción.</w:t>
      </w:r>
    </w:p>
    <w:p>
      <w:pPr>
        <w:pBdr>
          <w:bottom w:val="single" w:color="B08D3F" w:sz="6" w:space="4"/>
        </w:pBdr>
        <w:spacing w:after="200" w:before="100"/>
      </w:pPr>
      <w:r>
        <w:rPr>
          <w:rFonts w:ascii="Poppins" w:cs="Poppins" w:eastAsia="Poppins" w:hAnsi="Poppins"/>
          <w:b/>
          <w:bCs/>
          <w:i/>
          <w:iCs/>
          <w:color w:val="B08D3F"/>
          <w:sz w:val="20"/>
          <w:szCs w:val="20"/>
        </w:rPr>
        <w:t xml:space="preserve">Referencia: </w:t>
      </w:r>
      <w:r>
        <w:rPr>
          <w:rFonts w:ascii="Poppins" w:cs="Poppins" w:eastAsia="Poppins" w:hAnsi="Poppins"/>
          <w:i/>
          <w:iCs/>
          <w:color w:val="555555"/>
          <w:sz w:val="20"/>
          <w:szCs w:val="20"/>
        </w:rPr>
        <w:t xml:space="preserve">Anexo 3. Medicamentos mencionados en esta GPC. Fosfomicina. Precauciones. Página 28.</w:t>
      </w:r>
    </w:p>
    <w:p>
      <w:pPr>
        <w:shd w:fill="001C31" w:val="clear"/>
        <w:spacing w:after="100" w:before="300"/>
      </w:pPr>
      <w:r>
        <w:rPr>
          <w:rFonts w:ascii="Poppins" w:cs="Poppins" w:eastAsia="Poppins" w:hAnsi="Poppins"/>
          <w:b/>
          <w:bCs/>
          <w:color w:val="FFFFFF"/>
          <w:sz w:val="24"/>
          <w:szCs w:val="24"/>
        </w:rPr>
        <w:t xml:space="preserve">PREGUNTA 99</w:t>
      </w:r>
    </w:p>
    <w:p>
      <w:pPr>
        <w:shd w:fill="F3ECDD" w:val="clear"/>
        <w:spacing w:after="60"/>
      </w:pPr>
      <w:r>
        <w:rPr>
          <w:rFonts w:ascii="Poppins" w:cs="Poppins" w:eastAsia="Poppins" w:hAnsi="Poppins"/>
          <w:b/>
          <w:bCs/>
          <w:i/>
          <w:iCs/>
          <w:color w:val="001C31"/>
          <w:sz w:val="21"/>
          <w:szCs w:val="21"/>
        </w:rPr>
        <w:t xml:space="preserve">Caso clínico: </w:t>
      </w:r>
      <w:r>
        <w:rPr>
          <w:rFonts w:ascii="Poppins" w:cs="Poppins" w:eastAsia="Poppins" w:hAnsi="Poppins"/>
          <w:i/>
          <w:iCs/>
          <w:sz w:val="21"/>
          <w:szCs w:val="21"/>
        </w:rPr>
        <w:t xml:space="preserve">Se plantea administrar fosfomicina por vía intramuscular a una paciente embarazada que requiere dosis superiores a 8 g al día.</w:t>
      </w:r>
    </w:p>
    <w:p>
      <w:pPr>
        <w:spacing w:after="120"/>
      </w:pPr>
      <w:r>
        <w:rPr>
          <w:rFonts w:ascii="Poppins" w:cs="Poppins" w:eastAsia="Poppins" w:hAnsi="Poppins"/>
          <w:b/>
          <w:bCs/>
          <w:color w:val="001C31"/>
          <w:sz w:val="21"/>
          <w:szCs w:val="21"/>
        </w:rPr>
        <w:t xml:space="preserve">Pregunta: </w:t>
      </w:r>
      <w:r>
        <w:rPr>
          <w:rFonts w:ascii="Poppins" w:cs="Poppins" w:eastAsia="Poppins" w:hAnsi="Poppins"/>
          <w:sz w:val="21"/>
          <w:szCs w:val="21"/>
        </w:rPr>
        <w:t xml:space="preserve">Según el Anexo 3 de la GPC, ¿es adecuada la administración intravenosa de la presentación parenteral intramuscular de fosfomicina?</w:t>
      </w:r>
    </w:p>
    <w:p>
      <w:pPr>
        <w:spacing w:after="60"/>
      </w:pPr>
      <w:r>
        <w:rPr>
          <w:rFonts w:ascii="Poppins" w:cs="Poppins" w:eastAsia="Poppins" w:hAnsi="Poppins"/>
          <w:b/>
          <w:bCs/>
          <w:color w:val="B08D3F"/>
          <w:sz w:val="21"/>
          <w:szCs w:val="21"/>
        </w:rPr>
        <w:t xml:space="preserve">A. </w:t>
      </w:r>
      <w:r>
        <w:rPr>
          <w:rFonts w:ascii="Poppins" w:cs="Poppins" w:eastAsia="Poppins" w:hAnsi="Poppins"/>
          <w:b/>
          <w:bCs/>
          <w:color w:val="B08D3F"/>
          <w:sz w:val="21"/>
          <w:szCs w:val="21"/>
        </w:rPr>
        <w:t xml:space="preserve">No, la presentación parenteral IM contiene lidocaína, por lo que no debe administrarse por vía intravenosa; si se requieren dosis superiores a 8 g al día se debe pasar a la administración intravenosa con la formulación correspondiente</w:t>
      </w:r>
    </w:p>
    <w:p>
      <w:pPr>
        <w:spacing w:after="60"/>
      </w:pPr>
      <w:r>
        <w:rPr>
          <w:rFonts w:ascii="Poppins" w:cs="Poppins" w:eastAsia="Poppins" w:hAnsi="Poppins"/>
          <w:b/>
          <w:bCs/>
          <w:color w:val="000000"/>
          <w:sz w:val="21"/>
          <w:szCs w:val="21"/>
        </w:rPr>
        <w:t xml:space="preserve">B. </w:t>
      </w:r>
      <w:r>
        <w:rPr>
          <w:rFonts w:ascii="Poppins" w:cs="Poppins" w:eastAsia="Poppins" w:hAnsi="Poppins"/>
          <w:b w:val="false"/>
          <w:bCs w:val="false"/>
          <w:color w:val="000000"/>
          <w:sz w:val="21"/>
          <w:szCs w:val="21"/>
        </w:rPr>
        <w:t xml:space="preserve">Sí, cualquier presentación de fosfomicina puede administrarse indistintamente por vía IM o IV sin ninguna precaución</w:t>
      </w:r>
    </w:p>
    <w:p>
      <w:pPr>
        <w:spacing w:after="60"/>
      </w:pPr>
      <w:r>
        <w:rPr>
          <w:rFonts w:ascii="Poppins" w:cs="Poppins" w:eastAsia="Poppins" w:hAnsi="Poppins"/>
          <w:b/>
          <w:bCs/>
          <w:color w:val="000000"/>
          <w:sz w:val="21"/>
          <w:szCs w:val="21"/>
        </w:rPr>
        <w:t xml:space="preserve">C. </w:t>
      </w:r>
      <w:r>
        <w:rPr>
          <w:rFonts w:ascii="Poppins" w:cs="Poppins" w:eastAsia="Poppins" w:hAnsi="Poppins"/>
          <w:b w:val="false"/>
          <w:bCs w:val="false"/>
          <w:color w:val="000000"/>
          <w:sz w:val="21"/>
          <w:szCs w:val="21"/>
        </w:rPr>
        <w:t xml:space="preserve">Sí, siempre que se diluya en solución salina hipertónica</w:t>
      </w:r>
    </w:p>
    <w:p>
      <w:pPr>
        <w:spacing w:after="60"/>
      </w:pPr>
      <w:r>
        <w:rPr>
          <w:rFonts w:ascii="Poppins" w:cs="Poppins" w:eastAsia="Poppins" w:hAnsi="Poppins"/>
          <w:b/>
          <w:bCs/>
          <w:color w:val="000000"/>
          <w:sz w:val="21"/>
          <w:szCs w:val="21"/>
        </w:rPr>
        <w:t xml:space="preserve">D. </w:t>
      </w:r>
      <w:r>
        <w:rPr>
          <w:rFonts w:ascii="Poppins" w:cs="Poppins" w:eastAsia="Poppins" w:hAnsi="Poppins"/>
          <w:b w:val="false"/>
          <w:bCs w:val="false"/>
          <w:color w:val="000000"/>
          <w:sz w:val="21"/>
          <w:szCs w:val="21"/>
        </w:rPr>
        <w:t xml:space="preserve">La vía de administración es irrelevante según la guía</w:t>
      </w:r>
    </w:p>
    <w:p>
      <w:pPr>
        <w:spacing w:after="100" w:before="120"/>
      </w:pPr>
      <w:r>
        <w:rPr>
          <w:rFonts w:ascii="Poppins" w:cs="Poppins" w:eastAsia="Poppins" w:hAnsi="Poppins"/>
          <w:b/>
          <w:bCs/>
          <w:color w:val="001C31"/>
          <w:sz w:val="21"/>
          <w:szCs w:val="21"/>
        </w:rPr>
        <w:t xml:space="preserve">Respuesta correcta: A</w:t>
      </w:r>
    </w:p>
    <w:p>
      <w:pPr>
        <w:spacing w:after="60"/>
      </w:pPr>
      <w:r>
        <w:rPr>
          <w:rFonts w:ascii="Poppins" w:cs="Poppins" w:eastAsia="Poppins" w:hAnsi="Poppins"/>
          <w:b/>
          <w:bCs/>
          <w:color w:val="001C31"/>
          <w:sz w:val="21"/>
          <w:szCs w:val="21"/>
          <w:u w:val="single"/>
        </w:rPr>
        <w:t xml:space="preserve">Justificación de la respuesta correcta</w:t>
      </w:r>
    </w:p>
    <w:p>
      <w:pPr>
        <w:spacing w:after="150"/>
      </w:pPr>
      <w:r>
        <w:rPr>
          <w:rFonts w:ascii="Poppins" w:cs="Poppins" w:eastAsia="Poppins" w:hAnsi="Poppins"/>
          <w:sz w:val="21"/>
          <w:szCs w:val="21"/>
        </w:rPr>
        <w:t xml:space="preserve">La ficha de fosfomicina del Anexo 3 establece que la presentación parenteral IM contiene lidocaína, por lo que no debe administrarse por vía intravenosa, y que si se precisan dosis superiores a 8 g al día se debe pasar a la administración intravenosa (utilizando la formulación adecuada para esa vía, no la presentación IM con lidocaína).</w:t>
      </w:r>
    </w:p>
    <w:p>
      <w:pPr>
        <w:spacing w:after="60"/>
      </w:pPr>
      <w:r>
        <w:rPr>
          <w:rFonts w:ascii="Poppins" w:cs="Poppins" w:eastAsia="Poppins" w:hAnsi="Poppins"/>
          <w:b/>
          <w:bCs/>
          <w:color w:val="001C31"/>
          <w:sz w:val="21"/>
          <w:szCs w:val="21"/>
          <w:u w:val="single"/>
        </w:rPr>
        <w:t xml:space="preserve">Justificación de las opciones incorrectas</w:t>
      </w:r>
    </w:p>
    <w:p>
      <w:pPr>
        <w:spacing w:after="60"/>
      </w:pPr>
      <w:r>
        <w:rPr>
          <w:rFonts w:ascii="Poppins" w:cs="Poppins" w:eastAsia="Poppins" w:hAnsi="Poppins"/>
          <w:b/>
          <w:bCs/>
          <w:sz w:val="21"/>
          <w:szCs w:val="21"/>
        </w:rPr>
        <w:t xml:space="preserve">Opción B: </w:t>
      </w:r>
      <w:r>
        <w:rPr>
          <w:rFonts w:ascii="Poppins" w:cs="Poppins" w:eastAsia="Poppins" w:hAnsi="Poppins"/>
          <w:sz w:val="21"/>
          <w:szCs w:val="21"/>
        </w:rPr>
        <w:t xml:space="preserve">La guía advierte específicamente que la presentación IM (con lidocaína) no debe administrarse por vía IV, por lo que no son intercambiables sin distinción.</w:t>
      </w:r>
    </w:p>
    <w:p>
      <w:pPr>
        <w:spacing w:after="60"/>
      </w:pPr>
      <w:r>
        <w:rPr>
          <w:rFonts w:ascii="Poppins" w:cs="Poppins" w:eastAsia="Poppins" w:hAnsi="Poppins"/>
          <w:b/>
          <w:bCs/>
          <w:sz w:val="21"/>
          <w:szCs w:val="21"/>
        </w:rPr>
        <w:t xml:space="preserve">Opción C: </w:t>
      </w:r>
      <w:r>
        <w:rPr>
          <w:rFonts w:ascii="Poppins" w:cs="Poppins" w:eastAsia="Poppins" w:hAnsi="Poppins"/>
          <w:sz w:val="21"/>
          <w:szCs w:val="21"/>
        </w:rPr>
        <w:t xml:space="preserve">La guía no menciona la dilución en solución salina hipertónica como una forma segura de administrar la presentación IM por vía IV; la recomendación es no administrar esa formulación específica por esa vía.</w:t>
      </w:r>
    </w:p>
    <w:p>
      <w:pPr>
        <w:spacing w:after="60"/>
      </w:pPr>
      <w:r>
        <w:rPr>
          <w:rFonts w:ascii="Poppins" w:cs="Poppins" w:eastAsia="Poppins" w:hAnsi="Poppins"/>
          <w:b/>
          <w:bCs/>
          <w:sz w:val="21"/>
          <w:szCs w:val="21"/>
        </w:rPr>
        <w:t xml:space="preserve">Opción D: </w:t>
      </w:r>
      <w:r>
        <w:rPr>
          <w:rFonts w:ascii="Poppins" w:cs="Poppins" w:eastAsia="Poppins" w:hAnsi="Poppins"/>
          <w:sz w:val="21"/>
          <w:szCs w:val="21"/>
        </w:rPr>
        <w:t xml:space="preserve">La guía sí otorga relevancia clínica a la vía de administración de la fosfomicina, con precauciones específicas según la presentación farmacéutica utilizada.</w:t>
      </w:r>
    </w:p>
    <w:p>
      <w:pPr>
        <w:pBdr>
          <w:bottom w:val="single" w:color="B08D3F" w:sz="6" w:space="4"/>
        </w:pBdr>
        <w:spacing w:after="200" w:before="100"/>
      </w:pPr>
      <w:r>
        <w:rPr>
          <w:rFonts w:ascii="Poppins" w:cs="Poppins" w:eastAsia="Poppins" w:hAnsi="Poppins"/>
          <w:b/>
          <w:bCs/>
          <w:i/>
          <w:iCs/>
          <w:color w:val="B08D3F"/>
          <w:sz w:val="20"/>
          <w:szCs w:val="20"/>
        </w:rPr>
        <w:t xml:space="preserve">Referencia: </w:t>
      </w:r>
      <w:r>
        <w:rPr>
          <w:rFonts w:ascii="Poppins" w:cs="Poppins" w:eastAsia="Poppins" w:hAnsi="Poppins"/>
          <w:i/>
          <w:iCs/>
          <w:color w:val="555555"/>
          <w:sz w:val="20"/>
          <w:szCs w:val="20"/>
        </w:rPr>
        <w:t xml:space="preserve">Anexo 3. Medicamentos mencionados en esta GPC. Fosfomicina. Precauciones. Página 28.</w:t>
      </w:r>
    </w:p>
    <w:p>
      <w:pPr>
        <w:shd w:fill="001C31" w:val="clear"/>
        <w:spacing w:after="100" w:before="300"/>
      </w:pPr>
      <w:r>
        <w:rPr>
          <w:rFonts w:ascii="Poppins" w:cs="Poppins" w:eastAsia="Poppins" w:hAnsi="Poppins"/>
          <w:b/>
          <w:bCs/>
          <w:color w:val="FFFFFF"/>
          <w:sz w:val="24"/>
          <w:szCs w:val="24"/>
        </w:rPr>
        <w:t xml:space="preserve">PREGUNTA 100</w:t>
      </w:r>
    </w:p>
    <w:p>
      <w:pPr>
        <w:spacing w:after="120"/>
      </w:pPr>
      <w:r>
        <w:rPr>
          <w:rFonts w:ascii="Poppins" w:cs="Poppins" w:eastAsia="Poppins" w:hAnsi="Poppins"/>
          <w:b/>
          <w:bCs/>
          <w:color w:val="001C31"/>
          <w:sz w:val="21"/>
          <w:szCs w:val="21"/>
        </w:rPr>
        <w:t xml:space="preserve">Pregunta: </w:t>
      </w:r>
      <w:r>
        <w:rPr>
          <w:rFonts w:ascii="Poppins" w:cs="Poppins" w:eastAsia="Poppins" w:hAnsi="Poppins"/>
          <w:sz w:val="21"/>
          <w:szCs w:val="21"/>
        </w:rPr>
        <w:t xml:space="preserve">Según el Anexo 3 de la GPC, ¿en qué caso está contraindicada la cefalexina?</w:t>
      </w:r>
    </w:p>
    <w:p>
      <w:pPr>
        <w:spacing w:after="60"/>
      </w:pPr>
      <w:r>
        <w:rPr>
          <w:rFonts w:ascii="Poppins" w:cs="Poppins" w:eastAsia="Poppins" w:hAnsi="Poppins"/>
          <w:b/>
          <w:bCs/>
          <w:color w:val="B08D3F"/>
          <w:sz w:val="21"/>
          <w:szCs w:val="21"/>
        </w:rPr>
        <w:t xml:space="preserve">A. </w:t>
      </w:r>
      <w:r>
        <w:rPr>
          <w:rFonts w:ascii="Poppins" w:cs="Poppins" w:eastAsia="Poppins" w:hAnsi="Poppins"/>
          <w:b/>
          <w:bCs/>
          <w:color w:val="B08D3F"/>
          <w:sz w:val="21"/>
          <w:szCs w:val="21"/>
        </w:rPr>
        <w:t xml:space="preserve">En caso de hipersensibilidad conocida a las cefalosporinas</w:t>
      </w:r>
    </w:p>
    <w:p>
      <w:pPr>
        <w:spacing w:after="60"/>
      </w:pPr>
      <w:r>
        <w:rPr>
          <w:rFonts w:ascii="Poppins" w:cs="Poppins" w:eastAsia="Poppins" w:hAnsi="Poppins"/>
          <w:b/>
          <w:bCs/>
          <w:color w:val="000000"/>
          <w:sz w:val="21"/>
          <w:szCs w:val="21"/>
        </w:rPr>
        <w:t xml:space="preserve">B. </w:t>
      </w:r>
      <w:r>
        <w:rPr>
          <w:rFonts w:ascii="Poppins" w:cs="Poppins" w:eastAsia="Poppins" w:hAnsi="Poppins"/>
          <w:b w:val="false"/>
          <w:bCs w:val="false"/>
          <w:color w:val="000000"/>
          <w:sz w:val="21"/>
          <w:szCs w:val="21"/>
        </w:rPr>
        <w:t xml:space="preserve">En cualquier paciente con antecedente de bacteriuria asintomática</w:t>
      </w:r>
    </w:p>
    <w:p>
      <w:pPr>
        <w:spacing w:after="60"/>
      </w:pPr>
      <w:r>
        <w:rPr>
          <w:rFonts w:ascii="Poppins" w:cs="Poppins" w:eastAsia="Poppins" w:hAnsi="Poppins"/>
          <w:b/>
          <w:bCs/>
          <w:color w:val="000000"/>
          <w:sz w:val="21"/>
          <w:szCs w:val="21"/>
        </w:rPr>
        <w:t xml:space="preserve">C. </w:t>
      </w:r>
      <w:r>
        <w:rPr>
          <w:rFonts w:ascii="Poppins" w:cs="Poppins" w:eastAsia="Poppins" w:hAnsi="Poppins"/>
          <w:b w:val="false"/>
          <w:bCs w:val="false"/>
          <w:color w:val="000000"/>
          <w:sz w:val="21"/>
          <w:szCs w:val="21"/>
        </w:rPr>
        <w:t xml:space="preserve">Únicamente en pacientes mayores de 35 años</w:t>
      </w:r>
    </w:p>
    <w:p>
      <w:pPr>
        <w:spacing w:after="60"/>
      </w:pPr>
      <w:r>
        <w:rPr>
          <w:rFonts w:ascii="Poppins" w:cs="Poppins" w:eastAsia="Poppins" w:hAnsi="Poppins"/>
          <w:b/>
          <w:bCs/>
          <w:color w:val="000000"/>
          <w:sz w:val="21"/>
          <w:szCs w:val="21"/>
        </w:rPr>
        <w:t xml:space="preserve">D. </w:t>
      </w:r>
      <w:r>
        <w:rPr>
          <w:rFonts w:ascii="Poppins" w:cs="Poppins" w:eastAsia="Poppins" w:hAnsi="Poppins"/>
          <w:b w:val="false"/>
          <w:bCs w:val="false"/>
          <w:color w:val="000000"/>
          <w:sz w:val="21"/>
          <w:szCs w:val="21"/>
        </w:rPr>
        <w:t xml:space="preserve">En todos los casos de embarazo, sin excepción</w:t>
      </w:r>
    </w:p>
    <w:p>
      <w:pPr>
        <w:spacing w:after="100" w:before="120"/>
      </w:pPr>
      <w:r>
        <w:rPr>
          <w:rFonts w:ascii="Poppins" w:cs="Poppins" w:eastAsia="Poppins" w:hAnsi="Poppins"/>
          <w:b/>
          <w:bCs/>
          <w:color w:val="001C31"/>
          <w:sz w:val="21"/>
          <w:szCs w:val="21"/>
        </w:rPr>
        <w:t xml:space="preserve">Respuesta correcta: A</w:t>
      </w:r>
    </w:p>
    <w:p>
      <w:pPr>
        <w:spacing w:after="60"/>
      </w:pPr>
      <w:r>
        <w:rPr>
          <w:rFonts w:ascii="Poppins" w:cs="Poppins" w:eastAsia="Poppins" w:hAnsi="Poppins"/>
          <w:b/>
          <w:bCs/>
          <w:color w:val="001C31"/>
          <w:sz w:val="21"/>
          <w:szCs w:val="21"/>
          <w:u w:val="single"/>
        </w:rPr>
        <w:t xml:space="preserve">Justificación de la respuesta correcta</w:t>
      </w:r>
    </w:p>
    <w:p>
      <w:pPr>
        <w:spacing w:after="150"/>
      </w:pPr>
      <w:r>
        <w:rPr>
          <w:rFonts w:ascii="Poppins" w:cs="Poppins" w:eastAsia="Poppins" w:hAnsi="Poppins"/>
          <w:sz w:val="21"/>
          <w:szCs w:val="21"/>
        </w:rPr>
        <w:t xml:space="preserve">La ficha de cefalexina del Anexo 3 establece que su contraindicación es el caso de hipersensibilidad conocida a las cefalosporinas, señalando además que en pacientes alérgicos a la penicilina debe administrarse con extrema precaución por el riesgo de reacciones cruzadas de hipersensibilidad, incluyendo anafilaxia.</w:t>
      </w:r>
    </w:p>
    <w:p>
      <w:pPr>
        <w:spacing w:after="60"/>
      </w:pPr>
      <w:r>
        <w:rPr>
          <w:rFonts w:ascii="Poppins" w:cs="Poppins" w:eastAsia="Poppins" w:hAnsi="Poppins"/>
          <w:b/>
          <w:bCs/>
          <w:color w:val="001C31"/>
          <w:sz w:val="21"/>
          <w:szCs w:val="21"/>
          <w:u w:val="single"/>
        </w:rPr>
        <w:t xml:space="preserve">Justificación de las opciones incorrectas</w:t>
      </w:r>
    </w:p>
    <w:p>
      <w:pPr>
        <w:spacing w:after="60"/>
      </w:pPr>
      <w:r>
        <w:rPr>
          <w:rFonts w:ascii="Poppins" w:cs="Poppins" w:eastAsia="Poppins" w:hAnsi="Poppins"/>
          <w:b/>
          <w:bCs/>
          <w:sz w:val="21"/>
          <w:szCs w:val="21"/>
        </w:rPr>
        <w:t xml:space="preserve">Opción B: </w:t>
      </w:r>
      <w:r>
        <w:rPr>
          <w:rFonts w:ascii="Poppins" w:cs="Poppins" w:eastAsia="Poppins" w:hAnsi="Poppins"/>
          <w:sz w:val="21"/>
          <w:szCs w:val="21"/>
        </w:rPr>
        <w:t xml:space="preserve">El antecedente de bacteriuria asintomática no constituye una contraindicación para la cefalexina; de hecho, es precisamente una de sus indicaciones avaladas en esta guía.</w:t>
      </w:r>
    </w:p>
    <w:p>
      <w:pPr>
        <w:spacing w:after="60"/>
      </w:pPr>
      <w:r>
        <w:rPr>
          <w:rFonts w:ascii="Poppins" w:cs="Poppins" w:eastAsia="Poppins" w:hAnsi="Poppins"/>
          <w:b/>
          <w:bCs/>
          <w:sz w:val="21"/>
          <w:szCs w:val="21"/>
        </w:rPr>
        <w:t xml:space="preserve">Opción C: </w:t>
      </w:r>
      <w:r>
        <w:rPr>
          <w:rFonts w:ascii="Poppins" w:cs="Poppins" w:eastAsia="Poppins" w:hAnsi="Poppins"/>
          <w:sz w:val="21"/>
          <w:szCs w:val="21"/>
        </w:rPr>
        <w:t xml:space="preserve">La edad mayor a 35 años no se menciona en la guía como una contraindicación para el uso de cefalexina.</w:t>
      </w:r>
    </w:p>
    <w:p>
      <w:pPr>
        <w:spacing w:after="60"/>
      </w:pPr>
      <w:r>
        <w:rPr>
          <w:rFonts w:ascii="Poppins" w:cs="Poppins" w:eastAsia="Poppins" w:hAnsi="Poppins"/>
          <w:b/>
          <w:bCs/>
          <w:sz w:val="21"/>
          <w:szCs w:val="21"/>
        </w:rPr>
        <w:t xml:space="preserve">Opción D: </w:t>
      </w:r>
      <w:r>
        <w:rPr>
          <w:rFonts w:ascii="Poppins" w:cs="Poppins" w:eastAsia="Poppins" w:hAnsi="Poppins"/>
          <w:sz w:val="21"/>
          <w:szCs w:val="21"/>
        </w:rPr>
        <w:t xml:space="preserve">La guía no contraindica la cefalexina en todos los casos de embarazo; por el contrario, la incluye entre las opciones de tratamiento avaladas para BA y cistitis, señalando que solo debe evitarse ante hipersensibilidad conocida a las cefalosporinas y usarse con precaución si es claramente necesario.</w:t>
      </w:r>
    </w:p>
    <w:p>
      <w:pPr>
        <w:pBdr>
          <w:bottom w:val="single" w:color="B08D3F" w:sz="6" w:space="4"/>
        </w:pBdr>
        <w:spacing w:after="200" w:before="100"/>
      </w:pPr>
      <w:r>
        <w:rPr>
          <w:rFonts w:ascii="Poppins" w:cs="Poppins" w:eastAsia="Poppins" w:hAnsi="Poppins"/>
          <w:b/>
          <w:bCs/>
          <w:i/>
          <w:iCs/>
          <w:color w:val="B08D3F"/>
          <w:sz w:val="20"/>
          <w:szCs w:val="20"/>
        </w:rPr>
        <w:t xml:space="preserve">Referencia: </w:t>
      </w:r>
      <w:r>
        <w:rPr>
          <w:rFonts w:ascii="Poppins" w:cs="Poppins" w:eastAsia="Poppins" w:hAnsi="Poppins"/>
          <w:i/>
          <w:iCs/>
          <w:color w:val="555555"/>
          <w:sz w:val="20"/>
          <w:szCs w:val="20"/>
        </w:rPr>
        <w:t xml:space="preserve">Anexo 3. Medicamentos mencionados en esta GPC. Cefalexina. Contraindicaciones. Página 29.</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Poppins" w:cs="Poppins" w:eastAsia="Poppins" w:hAnsi="Poppins"/>
        <w:color w:val="888888"/>
        <w:sz w:val="16"/>
        <w:szCs w:val="16"/>
      </w:rPr>
      <w:t xml:space="preserve">Página </w:t>
    </w:r>
    <w:r>
      <w:rPr>
        <w:rFonts w:ascii="Poppins" w:cs="Poppins" w:eastAsia="Poppins" w:hAnsi="Poppins"/>
        <w:color w:val="888888"/>
        <w:sz w:val="16"/>
        <w:szCs w:val="16"/>
      </w:rPr>
      <w:fldChar w:fldCharType="begin"/>
      <w:instrText xml:space="preserve">PAGE</w:instrText>
      <w:fldChar w:fldCharType="separate"/>
      <w:fldChar w:fldCharType="end"/>
    </w:r>
    <w:r>
      <w:rPr>
        <w:rFonts w:ascii="Poppins" w:cs="Poppins" w:eastAsia="Poppins" w:hAnsi="Poppins"/>
        <w:color w:val="888888"/>
        <w:sz w:val="16"/>
        <w:szCs w:val="16"/>
      </w:rPr>
      <w:t xml:space="preserve"> de </w:t>
    </w:r>
    <w:r>
      <w:rPr>
        <w:rFonts w:ascii="Poppins" w:cs="Poppins" w:eastAsia="Poppins" w:hAnsi="Poppins"/>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Poppins" w:cs="Poppins" w:eastAsia="Poppins" w:hAnsi="Poppins"/>
        <w:color w:val="888888"/>
        <w:sz w:val="14"/>
        <w:szCs w:val="14"/>
      </w:rPr>
      <w:t xml:space="preserve">ECOTEC — Banco EHEP/CACES Enfermería — Infección de vías urinarias en el embarazo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oppins" w:cs="Poppins" w:eastAsia="Poppins" w:hAnsi="Poppins"/>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2026-07-25T20:27:49.110Z</dcterms:created>
  <dcterms:modified xsi:type="dcterms:W3CDTF">2026-07-25T20:27:49.123Z</dcterms:modified>
</cp:coreProperties>
</file>

<file path=docProps/custom.xml><?xml version="1.0" encoding="utf-8"?>
<Properties xmlns="http://schemas.openxmlformats.org/officeDocument/2006/custom-properties" xmlns:vt="http://schemas.openxmlformats.org/officeDocument/2006/docPropsVTypes"/>
</file>