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2527C">
      <w:pPr>
        <w:spacing w:before="1600"/>
        <w:rPr>
          <w:color w:val="auto"/>
        </w:rPr>
      </w:pPr>
    </w:p>
    <w:p w14:paraId="09CD3772">
      <w:pPr>
        <w:jc w:val="left"/>
        <w:rPr>
          <w:color w:val="auto"/>
        </w:rPr>
      </w:pPr>
      <w:r>
        <w:rPr>
          <w:rFonts w:ascii="Calibri" w:hAnsi="Calibri" w:eastAsia="Calibri" w:cs="Calibri"/>
          <w:b/>
          <w:bCs/>
          <w:color w:val="auto"/>
          <w:spacing w:val="40"/>
          <w:sz w:val="24"/>
          <w:szCs w:val="24"/>
        </w:rPr>
        <w:t>VERITICS</w:t>
      </w:r>
    </w:p>
    <w:p w14:paraId="46289072">
      <w:pPr>
        <w:spacing w:before="100"/>
        <w:rPr>
          <w:color w:val="auto"/>
        </w:rPr>
      </w:pPr>
      <w:r>
        <w:rPr>
          <w:rFonts w:ascii="Calibri" w:hAnsi="Calibri" w:eastAsia="Calibri" w:cs="Calibri"/>
          <w:i/>
          <w:iCs/>
          <w:color w:val="auto"/>
          <w:sz w:val="18"/>
          <w:szCs w:val="18"/>
        </w:rPr>
        <w:t>Truth in Every Data Point</w:t>
      </w:r>
    </w:p>
    <w:p w14:paraId="3D1FF6E2">
      <w:pPr>
        <w:spacing w:before="1200"/>
        <w:rPr>
          <w:color w:val="auto"/>
        </w:rPr>
      </w:pPr>
    </w:p>
    <w:p w14:paraId="3A58A3A5">
      <w:pPr>
        <w:rPr>
          <w:color w:val="auto"/>
        </w:rPr>
      </w:pPr>
      <w:r>
        <w:rPr>
          <w:rFonts w:ascii="Cambria" w:hAnsi="Cambria" w:eastAsia="Cambria" w:cs="Cambria"/>
          <w:b/>
          <w:bCs/>
          <w:color w:val="auto"/>
          <w:sz w:val="52"/>
          <w:szCs w:val="52"/>
        </w:rPr>
        <w:t>Retail Customer Shopping</w:t>
      </w:r>
    </w:p>
    <w:p w14:paraId="6E0CE7A4">
      <w:pPr>
        <w:spacing w:after="300"/>
        <w:rPr>
          <w:color w:val="auto"/>
        </w:rPr>
      </w:pPr>
      <w:r>
        <w:rPr>
          <w:rFonts w:ascii="Cambria" w:hAnsi="Cambria" w:eastAsia="Cambria" w:cs="Cambria"/>
          <w:b/>
          <w:bCs/>
          <w:color w:val="auto"/>
          <w:sz w:val="52"/>
          <w:szCs w:val="52"/>
        </w:rPr>
        <w:t>Behavior Analysis</w:t>
      </w:r>
    </w:p>
    <w:p w14:paraId="6D9E8B7F">
      <w:pPr>
        <w:spacing w:before="100" w:after="900"/>
        <w:rPr>
          <w:color w:val="auto"/>
        </w:rPr>
      </w:pPr>
      <w:r>
        <w:rPr>
          <w:rFonts w:ascii="Calibri" w:hAnsi="Calibri" w:eastAsia="Calibri" w:cs="Calibri"/>
          <w:color w:val="auto"/>
          <w:sz w:val="24"/>
          <w:szCs w:val="24"/>
        </w:rPr>
        <w:t>A Business Analysis Report</w:t>
      </w:r>
    </w:p>
    <w:p w14:paraId="719CB7D0">
      <w:pPr>
        <w:pBdr>
          <w:top w:val="single" w:color="C97C4C" w:sz="6" w:space="8"/>
        </w:pBdr>
        <w:spacing w:before="4400"/>
        <w:rPr>
          <w:color w:val="auto"/>
        </w:rPr>
      </w:pPr>
      <w:bookmarkStart w:id="0" w:name="_GoBack"/>
      <w:bookmarkEnd w:id="0"/>
    </w:p>
    <w:p w14:paraId="75AE748A">
      <w:pPr>
        <w:spacing w:before="200"/>
        <w:rPr>
          <w:color w:val="auto"/>
        </w:rPr>
      </w:pPr>
      <w:r>
        <w:rPr>
          <w:rFonts w:ascii="Calibri" w:hAnsi="Calibri" w:eastAsia="Calibri" w:cs="Calibri"/>
          <w:b/>
          <w:bCs/>
          <w:color w:val="auto"/>
          <w:sz w:val="22"/>
          <w:szCs w:val="22"/>
        </w:rPr>
        <w:t xml:space="preserve">Prepared by: </w:t>
      </w:r>
      <w:r>
        <w:rPr>
          <w:rFonts w:ascii="Calibri" w:hAnsi="Calibri" w:eastAsia="Calibri" w:cs="Calibri"/>
          <w:color w:val="auto"/>
          <w:sz w:val="22"/>
          <w:szCs w:val="22"/>
        </w:rPr>
        <w:t>Babasola</w:t>
      </w:r>
      <w:r>
        <w:rPr>
          <w:rFonts w:hint="default" w:ascii="Calibri" w:hAnsi="Calibri" w:eastAsia="Calibri" w:cs="Calibri"/>
          <w:color w:val="auto"/>
          <w:sz w:val="22"/>
          <w:szCs w:val="22"/>
          <w:lang w:val="en-US"/>
        </w:rPr>
        <w:t xml:space="preserve"> Ojo</w:t>
      </w:r>
    </w:p>
    <w:p w14:paraId="26BD7197">
      <w:pPr>
        <w:spacing w:before="80"/>
        <w:rPr>
          <w:color w:val="auto"/>
        </w:rPr>
      </w:pPr>
      <w:r>
        <w:rPr>
          <w:rFonts w:ascii="Calibri" w:hAnsi="Calibri" w:eastAsia="Calibri" w:cs="Calibri"/>
          <w:b/>
          <w:bCs/>
          <w:color w:val="auto"/>
          <w:sz w:val="22"/>
          <w:szCs w:val="22"/>
        </w:rPr>
        <w:t xml:space="preserve">Prepared for: </w:t>
      </w:r>
      <w:r>
        <w:rPr>
          <w:rFonts w:ascii="Calibri" w:hAnsi="Calibri" w:eastAsia="Calibri" w:cs="Calibri"/>
          <w:color w:val="auto"/>
          <w:sz w:val="22"/>
          <w:szCs w:val="22"/>
        </w:rPr>
        <w:t>TRYBEFUSE</w:t>
      </w:r>
    </w:p>
    <w:p w14:paraId="14F6B656">
      <w:pPr>
        <w:spacing w:before="80"/>
        <w:rPr>
          <w:color w:val="auto"/>
        </w:rPr>
      </w:pPr>
      <w:r>
        <w:rPr>
          <w:rFonts w:ascii="Calibri" w:hAnsi="Calibri" w:eastAsia="Calibri" w:cs="Calibri"/>
          <w:b/>
          <w:bCs/>
          <w:color w:val="auto"/>
          <w:sz w:val="22"/>
          <w:szCs w:val="22"/>
        </w:rPr>
        <w:t xml:space="preserve">Dataset: </w:t>
      </w:r>
      <w:r>
        <w:rPr>
          <w:rFonts w:ascii="Calibri" w:hAnsi="Calibri" w:eastAsia="Calibri" w:cs="Calibri"/>
          <w:color w:val="auto"/>
          <w:sz w:val="22"/>
          <w:szCs w:val="22"/>
        </w:rPr>
        <w:t>3,900 customer transactions</w:t>
      </w:r>
    </w:p>
    <w:p w14:paraId="4305C66E">
      <w:pPr>
        <w:rPr>
          <w:color w:val="auto"/>
        </w:rPr>
      </w:pPr>
      <w:r>
        <w:rPr>
          <w:color w:val="auto"/>
        </w:rPr>
        <w:br w:type="page"/>
      </w:r>
    </w:p>
    <w:p w14:paraId="352F7436">
      <w:pPr>
        <w:rPr>
          <w:color w:val="auto"/>
        </w:rPr>
        <w:sectPr>
          <w:pgSz w:w="12240" w:h="15840"/>
          <w:pgMar w:top="1440" w:right="1440" w:bottom="1440" w:left="1440" w:header="708" w:footer="708" w:gutter="0"/>
          <w:cols w:space="720" w:num="1"/>
          <w:docGrid w:linePitch="360" w:charSpace="0"/>
        </w:sectPr>
      </w:pPr>
    </w:p>
    <w:p w14:paraId="5747E7F3">
      <w:pPr>
        <w:pStyle w:val="2"/>
        <w:pBdr>
          <w:bottom w:val="single" w:color="C97C4C" w:sz="6" w:space="4"/>
        </w:pBdr>
        <w:spacing w:before="400" w:after="200"/>
        <w:rPr>
          <w:color w:val="auto"/>
        </w:rPr>
      </w:pPr>
      <w:r>
        <w:rPr>
          <w:rFonts w:ascii="Cambria" w:hAnsi="Cambria" w:eastAsia="Cambria" w:cs="Cambria"/>
          <w:b/>
          <w:bCs/>
          <w:color w:val="auto"/>
          <w:sz w:val="30"/>
          <w:szCs w:val="30"/>
        </w:rPr>
        <w:t>Executive Summary</w:t>
      </w:r>
    </w:p>
    <w:p w14:paraId="6CB07F79">
      <w:pPr>
        <w:spacing w:after="160" w:line="276" w:lineRule="auto"/>
        <w:rPr>
          <w:color w:val="auto"/>
        </w:rPr>
      </w:pPr>
      <w:r>
        <w:rPr>
          <w:rFonts w:ascii="Calibri" w:hAnsi="Calibri" w:eastAsia="Calibri" w:cs="Calibri"/>
          <w:color w:val="auto"/>
          <w:sz w:val="21"/>
          <w:szCs w:val="21"/>
        </w:rPr>
        <w:t>I analyzed 3,900 customer transactions on behalf of Trybefuse to identify revenue drivers, margin opportunities, and retention gaps in the retail customer base. The engagement covered data cleaning, database modeling, dashboard development, and business-question analysis, culminating in this report.</w:t>
      </w:r>
    </w:p>
    <w:p w14:paraId="237C0130">
      <w:pPr>
        <w:spacing w:after="160" w:line="276" w:lineRule="auto"/>
        <w:rPr>
          <w:color w:val="auto"/>
        </w:rPr>
      </w:pPr>
      <w:r>
        <w:rPr>
          <w:rFonts w:ascii="Calibri" w:hAnsi="Calibri" w:eastAsia="Calibri" w:cs="Calibri"/>
          <w:color w:val="auto"/>
          <w:sz w:val="21"/>
          <w:szCs w:val="21"/>
        </w:rPr>
        <w:t>The revenue base is broad and evenly spread across age, tier, and category</w:t>
      </w:r>
      <w:r>
        <w:rPr>
          <w:rFonts w:hint="default" w:ascii="Calibri" w:hAnsi="Calibri" w:eastAsia="Calibri" w:cs="Calibri"/>
          <w:color w:val="auto"/>
          <w:sz w:val="21"/>
          <w:szCs w:val="21"/>
          <w:lang w:val="en-US"/>
        </w:rPr>
        <w:t>,</w:t>
      </w:r>
      <w:r>
        <w:rPr>
          <w:rFonts w:ascii="Calibri" w:hAnsi="Calibri" w:eastAsia="Calibri" w:cs="Calibri"/>
          <w:color w:val="auto"/>
          <w:sz w:val="21"/>
          <w:szCs w:val="21"/>
        </w:rPr>
        <w:t xml:space="preserve"> no single segment carries the business. That stability is the platform two clear, </w:t>
      </w:r>
      <w:r>
        <w:rPr>
          <w:rFonts w:ascii="Calibri" w:hAnsi="Calibri" w:eastAsia="Calibri" w:cs="Calibri"/>
          <w:color w:val="auto"/>
          <w:sz w:val="21"/>
          <w:szCs w:val="21"/>
          <w:lang w:val="en-US"/>
        </w:rPr>
        <w:t>under-exploited</w:t>
      </w:r>
      <w:r>
        <w:rPr>
          <w:rFonts w:ascii="Calibri" w:hAnsi="Calibri" w:eastAsia="Calibri" w:cs="Calibri"/>
          <w:color w:val="auto"/>
          <w:sz w:val="21"/>
          <w:szCs w:val="21"/>
        </w:rPr>
        <w:t xml:space="preserve"> levers sit on top of</w:t>
      </w:r>
      <w:r>
        <w:rPr>
          <w:rFonts w:hint="default" w:ascii="Calibri" w:hAnsi="Calibri" w:eastAsia="Calibri" w:cs="Calibri"/>
          <w:color w:val="auto"/>
          <w:sz w:val="21"/>
          <w:szCs w:val="21"/>
          <w:lang w:val="en-US"/>
        </w:rPr>
        <w:t xml:space="preserve"> </w:t>
      </w:r>
      <w:r>
        <w:rPr>
          <w:rFonts w:ascii="Calibri" w:hAnsi="Calibri" w:eastAsia="Calibri" w:cs="Calibri"/>
          <w:color w:val="auto"/>
          <w:sz w:val="21"/>
          <w:szCs w:val="21"/>
        </w:rPr>
        <w:t>a margin gap between Accessories and Clothing, and a total subscription blind spot on Female customers. The single most significant finding of this analysis is that 0% of subscribed customers are female, despite female customers spending slightly more per order on average than male customers representing 1,248 higher-value customers with zero current subscription reach.</w:t>
      </w:r>
    </w:p>
    <w:p w14:paraId="6B3F4B24">
      <w:pPr>
        <w:spacing w:after="160" w:line="276" w:lineRule="auto"/>
        <w:rPr>
          <w:color w:val="auto"/>
        </w:rPr>
      </w:pPr>
      <w:r>
        <w:rPr>
          <w:rFonts w:ascii="Calibri" w:hAnsi="Calibri" w:eastAsia="Calibri" w:cs="Calibri"/>
          <w:color w:val="auto"/>
          <w:sz w:val="21"/>
          <w:szCs w:val="21"/>
        </w:rPr>
        <w:t>This report details the methodology, findings, and recommendations arising from the analysis.</w:t>
      </w:r>
    </w:p>
    <w:p w14:paraId="029B66E6">
      <w:pPr>
        <w:pStyle w:val="3"/>
        <w:spacing w:before="300" w:after="120"/>
        <w:rPr>
          <w:color w:val="auto"/>
        </w:rPr>
      </w:pPr>
      <w:r>
        <w:rPr>
          <w:rFonts w:ascii="Cambria" w:hAnsi="Cambria" w:eastAsia="Cambria" w:cs="Cambria"/>
          <w:b/>
          <w:bCs/>
          <w:color w:val="auto"/>
          <w:sz w:val="24"/>
          <w:szCs w:val="24"/>
        </w:rPr>
        <w:t>Headline Metrics</w:t>
      </w:r>
    </w:p>
    <w:tbl>
      <w:tblPr>
        <w:tblStyle w:val="9"/>
        <w:tblW w:w="9360" w:type="dxa"/>
        <w:tblInd w:w="0" w:type="dxa"/>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Layout w:type="autofit"/>
        <w:tblCellMar>
          <w:top w:w="0" w:type="dxa"/>
          <w:left w:w="10" w:type="dxa"/>
          <w:bottom w:w="0" w:type="dxa"/>
          <w:right w:w="10" w:type="dxa"/>
        </w:tblCellMar>
      </w:tblPr>
      <w:tblGrid>
        <w:gridCol w:w="6240"/>
        <w:gridCol w:w="3120"/>
      </w:tblGrid>
      <w:tr w14:paraId="1EDA72AA">
        <w:tblPrEx>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CellMar>
            <w:top w:w="0" w:type="dxa"/>
            <w:left w:w="10" w:type="dxa"/>
            <w:bottom w:w="0" w:type="dxa"/>
            <w:right w:w="10" w:type="dxa"/>
          </w:tblCellMar>
        </w:tblPrEx>
        <w:trPr>
          <w:tblHeader/>
        </w:trPr>
        <w:tc>
          <w:tcPr>
            <w:tcW w:w="6240" w:type="dxa"/>
            <w:shd w:val="clear" w:color="auto" w:fill="0B2545"/>
            <w:tcMar>
              <w:top w:w="100" w:type="dxa"/>
              <w:left w:w="120" w:type="dxa"/>
              <w:bottom w:w="100" w:type="dxa"/>
              <w:right w:w="120" w:type="dxa"/>
            </w:tcMar>
            <w:vAlign w:val="center"/>
          </w:tcPr>
          <w:p w14:paraId="05D34FBC">
            <w:pPr>
              <w:rPr>
                <w:color w:val="auto"/>
              </w:rPr>
            </w:pPr>
            <w:r>
              <w:rPr>
                <w:rFonts w:ascii="Calibri" w:hAnsi="Calibri" w:eastAsia="Calibri" w:cs="Calibri"/>
                <w:b/>
                <w:bCs/>
                <w:color w:val="auto"/>
                <w:sz w:val="19"/>
                <w:szCs w:val="19"/>
              </w:rPr>
              <w:t>Metric</w:t>
            </w:r>
          </w:p>
        </w:tc>
        <w:tc>
          <w:tcPr>
            <w:tcW w:w="3120" w:type="dxa"/>
            <w:shd w:val="clear" w:color="auto" w:fill="0B2545"/>
            <w:tcMar>
              <w:top w:w="100" w:type="dxa"/>
              <w:left w:w="120" w:type="dxa"/>
              <w:bottom w:w="100" w:type="dxa"/>
              <w:right w:w="120" w:type="dxa"/>
            </w:tcMar>
            <w:vAlign w:val="center"/>
          </w:tcPr>
          <w:p w14:paraId="4FC13547">
            <w:pPr>
              <w:rPr>
                <w:color w:val="auto"/>
              </w:rPr>
            </w:pPr>
            <w:r>
              <w:rPr>
                <w:rFonts w:ascii="Calibri" w:hAnsi="Calibri" w:eastAsia="Calibri" w:cs="Calibri"/>
                <w:b/>
                <w:bCs/>
                <w:color w:val="auto"/>
                <w:sz w:val="19"/>
                <w:szCs w:val="19"/>
              </w:rPr>
              <w:t>Value</w:t>
            </w:r>
          </w:p>
        </w:tc>
      </w:tr>
      <w:tr w14:paraId="43670632">
        <w:tblPrEx>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CellMar>
            <w:top w:w="0" w:type="dxa"/>
            <w:left w:w="10" w:type="dxa"/>
            <w:bottom w:w="0" w:type="dxa"/>
            <w:right w:w="10" w:type="dxa"/>
          </w:tblCellMar>
        </w:tblPrEx>
        <w:tc>
          <w:tcPr>
            <w:tcW w:w="6240" w:type="dxa"/>
            <w:shd w:val="clear" w:color="auto" w:fill="FFFFFF"/>
            <w:tcMar>
              <w:top w:w="90" w:type="dxa"/>
              <w:left w:w="120" w:type="dxa"/>
              <w:bottom w:w="90" w:type="dxa"/>
              <w:right w:w="120" w:type="dxa"/>
            </w:tcMar>
            <w:vAlign w:val="center"/>
          </w:tcPr>
          <w:p w14:paraId="53085754">
            <w:pPr>
              <w:rPr>
                <w:color w:val="auto"/>
              </w:rPr>
            </w:pPr>
            <w:r>
              <w:rPr>
                <w:rFonts w:ascii="Calibri" w:hAnsi="Calibri" w:eastAsia="Calibri" w:cs="Calibri"/>
                <w:color w:val="auto"/>
                <w:sz w:val="19"/>
                <w:szCs w:val="19"/>
              </w:rPr>
              <w:t>Total Revenue</w:t>
            </w:r>
          </w:p>
        </w:tc>
        <w:tc>
          <w:tcPr>
            <w:tcW w:w="3120" w:type="dxa"/>
            <w:shd w:val="clear" w:color="auto" w:fill="FFFFFF"/>
            <w:tcMar>
              <w:top w:w="90" w:type="dxa"/>
              <w:left w:w="120" w:type="dxa"/>
              <w:bottom w:w="90" w:type="dxa"/>
              <w:right w:w="120" w:type="dxa"/>
            </w:tcMar>
            <w:vAlign w:val="center"/>
          </w:tcPr>
          <w:p w14:paraId="156C57C3">
            <w:pPr>
              <w:rPr>
                <w:color w:val="auto"/>
              </w:rPr>
            </w:pPr>
            <w:r>
              <w:rPr>
                <w:rFonts w:ascii="Calibri" w:hAnsi="Calibri" w:eastAsia="Calibri" w:cs="Calibri"/>
                <w:color w:val="auto"/>
                <w:sz w:val="19"/>
                <w:szCs w:val="19"/>
              </w:rPr>
              <w:t>$233,081</w:t>
            </w:r>
          </w:p>
        </w:tc>
      </w:tr>
      <w:tr w14:paraId="14EE76E7">
        <w:tblPrEx>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CellMar>
            <w:top w:w="0" w:type="dxa"/>
            <w:left w:w="10" w:type="dxa"/>
            <w:bottom w:w="0" w:type="dxa"/>
            <w:right w:w="10" w:type="dxa"/>
          </w:tblCellMar>
        </w:tblPrEx>
        <w:tc>
          <w:tcPr>
            <w:tcW w:w="6240" w:type="dxa"/>
            <w:shd w:val="clear" w:color="auto" w:fill="F7F7F5"/>
            <w:tcMar>
              <w:top w:w="90" w:type="dxa"/>
              <w:left w:w="120" w:type="dxa"/>
              <w:bottom w:w="90" w:type="dxa"/>
              <w:right w:w="120" w:type="dxa"/>
            </w:tcMar>
            <w:vAlign w:val="center"/>
          </w:tcPr>
          <w:p w14:paraId="0C3DF5FE">
            <w:pPr>
              <w:rPr>
                <w:color w:val="auto"/>
              </w:rPr>
            </w:pPr>
            <w:r>
              <w:rPr>
                <w:rFonts w:ascii="Calibri" w:hAnsi="Calibri" w:eastAsia="Calibri" w:cs="Calibri"/>
                <w:color w:val="auto"/>
                <w:sz w:val="19"/>
                <w:szCs w:val="19"/>
              </w:rPr>
              <w:t>Total Orders</w:t>
            </w:r>
          </w:p>
        </w:tc>
        <w:tc>
          <w:tcPr>
            <w:tcW w:w="3120" w:type="dxa"/>
            <w:shd w:val="clear" w:color="auto" w:fill="F7F7F5"/>
            <w:tcMar>
              <w:top w:w="90" w:type="dxa"/>
              <w:left w:w="120" w:type="dxa"/>
              <w:bottom w:w="90" w:type="dxa"/>
              <w:right w:w="120" w:type="dxa"/>
            </w:tcMar>
            <w:vAlign w:val="center"/>
          </w:tcPr>
          <w:p w14:paraId="1C6597C1">
            <w:pPr>
              <w:rPr>
                <w:color w:val="auto"/>
              </w:rPr>
            </w:pPr>
            <w:r>
              <w:rPr>
                <w:rFonts w:ascii="Calibri" w:hAnsi="Calibri" w:eastAsia="Calibri" w:cs="Calibri"/>
                <w:color w:val="auto"/>
                <w:sz w:val="19"/>
                <w:szCs w:val="19"/>
              </w:rPr>
              <w:t>3,900</w:t>
            </w:r>
          </w:p>
        </w:tc>
      </w:tr>
      <w:tr w14:paraId="6A2F8F01">
        <w:tblPrEx>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CellMar>
            <w:top w:w="0" w:type="dxa"/>
            <w:left w:w="10" w:type="dxa"/>
            <w:bottom w:w="0" w:type="dxa"/>
            <w:right w:w="10" w:type="dxa"/>
          </w:tblCellMar>
        </w:tblPrEx>
        <w:tc>
          <w:tcPr>
            <w:tcW w:w="6240" w:type="dxa"/>
            <w:shd w:val="clear" w:color="auto" w:fill="FFFFFF"/>
            <w:tcMar>
              <w:top w:w="90" w:type="dxa"/>
              <w:left w:w="120" w:type="dxa"/>
              <w:bottom w:w="90" w:type="dxa"/>
              <w:right w:w="120" w:type="dxa"/>
            </w:tcMar>
            <w:vAlign w:val="center"/>
          </w:tcPr>
          <w:p w14:paraId="7DA5D339">
            <w:pPr>
              <w:rPr>
                <w:color w:val="auto"/>
              </w:rPr>
            </w:pPr>
            <w:r>
              <w:rPr>
                <w:rFonts w:ascii="Calibri" w:hAnsi="Calibri" w:eastAsia="Calibri" w:cs="Calibri"/>
                <w:color w:val="auto"/>
                <w:sz w:val="19"/>
                <w:szCs w:val="19"/>
              </w:rPr>
              <w:t>Average Order Value</w:t>
            </w:r>
          </w:p>
        </w:tc>
        <w:tc>
          <w:tcPr>
            <w:tcW w:w="3120" w:type="dxa"/>
            <w:shd w:val="clear" w:color="auto" w:fill="FFFFFF"/>
            <w:tcMar>
              <w:top w:w="90" w:type="dxa"/>
              <w:left w:w="120" w:type="dxa"/>
              <w:bottom w:w="90" w:type="dxa"/>
              <w:right w:w="120" w:type="dxa"/>
            </w:tcMar>
            <w:vAlign w:val="center"/>
          </w:tcPr>
          <w:p w14:paraId="6EF6F48B">
            <w:pPr>
              <w:rPr>
                <w:color w:val="auto"/>
              </w:rPr>
            </w:pPr>
            <w:r>
              <w:rPr>
                <w:rFonts w:ascii="Calibri" w:hAnsi="Calibri" w:eastAsia="Calibri" w:cs="Calibri"/>
                <w:color w:val="auto"/>
                <w:sz w:val="19"/>
                <w:szCs w:val="19"/>
              </w:rPr>
              <w:t>$59.76</w:t>
            </w:r>
          </w:p>
        </w:tc>
      </w:tr>
      <w:tr w14:paraId="1DFA926C">
        <w:tblPrEx>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CellMar>
            <w:top w:w="0" w:type="dxa"/>
            <w:left w:w="10" w:type="dxa"/>
            <w:bottom w:w="0" w:type="dxa"/>
            <w:right w:w="10" w:type="dxa"/>
          </w:tblCellMar>
        </w:tblPrEx>
        <w:tc>
          <w:tcPr>
            <w:tcW w:w="6240" w:type="dxa"/>
            <w:shd w:val="clear" w:color="auto" w:fill="F7F7F5"/>
            <w:tcMar>
              <w:top w:w="90" w:type="dxa"/>
              <w:left w:w="120" w:type="dxa"/>
              <w:bottom w:w="90" w:type="dxa"/>
              <w:right w:w="120" w:type="dxa"/>
            </w:tcMar>
            <w:vAlign w:val="center"/>
          </w:tcPr>
          <w:p w14:paraId="22901B06">
            <w:pPr>
              <w:rPr>
                <w:color w:val="auto"/>
              </w:rPr>
            </w:pPr>
            <w:r>
              <w:rPr>
                <w:rFonts w:ascii="Calibri" w:hAnsi="Calibri" w:eastAsia="Calibri" w:cs="Calibri"/>
                <w:color w:val="auto"/>
                <w:sz w:val="19"/>
                <w:szCs w:val="19"/>
              </w:rPr>
              <w:t>Average Review Rating</w:t>
            </w:r>
          </w:p>
        </w:tc>
        <w:tc>
          <w:tcPr>
            <w:tcW w:w="3120" w:type="dxa"/>
            <w:shd w:val="clear" w:color="auto" w:fill="F7F7F5"/>
            <w:tcMar>
              <w:top w:w="90" w:type="dxa"/>
              <w:left w:w="120" w:type="dxa"/>
              <w:bottom w:w="90" w:type="dxa"/>
              <w:right w:w="120" w:type="dxa"/>
            </w:tcMar>
            <w:vAlign w:val="center"/>
          </w:tcPr>
          <w:p w14:paraId="325AD88A">
            <w:pPr>
              <w:rPr>
                <w:color w:val="auto"/>
              </w:rPr>
            </w:pPr>
            <w:r>
              <w:rPr>
                <w:rFonts w:ascii="Calibri" w:hAnsi="Calibri" w:eastAsia="Calibri" w:cs="Calibri"/>
                <w:color w:val="auto"/>
                <w:sz w:val="19"/>
                <w:szCs w:val="19"/>
              </w:rPr>
              <w:t>3.75 / 5</w:t>
            </w:r>
          </w:p>
        </w:tc>
      </w:tr>
      <w:tr w14:paraId="7F624386">
        <w:tblPrEx>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CellMar>
            <w:top w:w="0" w:type="dxa"/>
            <w:left w:w="10" w:type="dxa"/>
            <w:bottom w:w="0" w:type="dxa"/>
            <w:right w:w="10" w:type="dxa"/>
          </w:tblCellMar>
        </w:tblPrEx>
        <w:tc>
          <w:tcPr>
            <w:tcW w:w="6240" w:type="dxa"/>
            <w:shd w:val="clear" w:color="auto" w:fill="FFFFFF"/>
            <w:tcMar>
              <w:top w:w="90" w:type="dxa"/>
              <w:left w:w="120" w:type="dxa"/>
              <w:bottom w:w="90" w:type="dxa"/>
              <w:right w:w="120" w:type="dxa"/>
            </w:tcMar>
            <w:vAlign w:val="center"/>
          </w:tcPr>
          <w:p w14:paraId="5E0AC278">
            <w:pPr>
              <w:rPr>
                <w:color w:val="auto"/>
              </w:rPr>
            </w:pPr>
            <w:r>
              <w:rPr>
                <w:rFonts w:ascii="Calibri" w:hAnsi="Calibri" w:eastAsia="Calibri" w:cs="Calibri"/>
                <w:color w:val="auto"/>
                <w:sz w:val="19"/>
                <w:szCs w:val="19"/>
              </w:rPr>
              <w:t>Subscription Rate</w:t>
            </w:r>
          </w:p>
        </w:tc>
        <w:tc>
          <w:tcPr>
            <w:tcW w:w="3120" w:type="dxa"/>
            <w:shd w:val="clear" w:color="auto" w:fill="FFFFFF"/>
            <w:tcMar>
              <w:top w:w="90" w:type="dxa"/>
              <w:left w:w="120" w:type="dxa"/>
              <w:bottom w:w="90" w:type="dxa"/>
              <w:right w:w="120" w:type="dxa"/>
            </w:tcMar>
            <w:vAlign w:val="center"/>
          </w:tcPr>
          <w:p w14:paraId="5A7DEB5D">
            <w:pPr>
              <w:rPr>
                <w:color w:val="auto"/>
              </w:rPr>
            </w:pPr>
            <w:r>
              <w:rPr>
                <w:rFonts w:ascii="Calibri" w:hAnsi="Calibri" w:eastAsia="Calibri" w:cs="Calibri"/>
                <w:color w:val="auto"/>
                <w:sz w:val="19"/>
                <w:szCs w:val="19"/>
              </w:rPr>
              <w:t>27%</w:t>
            </w:r>
          </w:p>
        </w:tc>
      </w:tr>
    </w:tbl>
    <w:p w14:paraId="105C2145">
      <w:pPr>
        <w:spacing w:before="80" w:after="240"/>
        <w:rPr>
          <w:color w:val="auto"/>
        </w:rPr>
      </w:pPr>
      <w:r>
        <w:rPr>
          <w:rFonts w:ascii="Calibri" w:hAnsi="Calibri" w:eastAsia="Calibri" w:cs="Calibri"/>
          <w:i/>
          <w:iCs/>
          <w:color w:val="auto"/>
          <w:sz w:val="18"/>
          <w:szCs w:val="18"/>
        </w:rPr>
        <w:t>Table 1. Headline performance metrics across all 3,900 transactions.</w:t>
      </w:r>
    </w:p>
    <w:p w14:paraId="53D171F7">
      <w:pPr>
        <w:pStyle w:val="2"/>
        <w:pBdr>
          <w:bottom w:val="single" w:color="C97C4C" w:sz="6" w:space="4"/>
        </w:pBdr>
        <w:spacing w:before="400" w:after="200"/>
        <w:rPr>
          <w:color w:val="auto"/>
        </w:rPr>
      </w:pPr>
      <w:r>
        <w:rPr>
          <w:rFonts w:ascii="Cambria" w:hAnsi="Cambria" w:eastAsia="Cambria" w:cs="Cambria"/>
          <w:b/>
          <w:bCs/>
          <w:color w:val="auto"/>
          <w:sz w:val="30"/>
          <w:szCs w:val="30"/>
        </w:rPr>
        <w:t>Methodology</w:t>
      </w:r>
    </w:p>
    <w:p w14:paraId="0EB68910">
      <w:pPr>
        <w:pStyle w:val="3"/>
        <w:spacing w:before="300" w:after="120"/>
        <w:rPr>
          <w:color w:val="auto"/>
        </w:rPr>
      </w:pPr>
      <w:r>
        <w:rPr>
          <w:rFonts w:ascii="Cambria" w:hAnsi="Cambria" w:eastAsia="Cambria" w:cs="Cambria"/>
          <w:b/>
          <w:bCs/>
          <w:color w:val="auto"/>
          <w:sz w:val="24"/>
          <w:szCs w:val="24"/>
        </w:rPr>
        <w:t>Data Preparation (Power Query)</w:t>
      </w:r>
    </w:p>
    <w:p w14:paraId="38EDD310">
      <w:pPr>
        <w:spacing w:after="160" w:line="276" w:lineRule="auto"/>
        <w:rPr>
          <w:color w:val="auto"/>
        </w:rPr>
      </w:pPr>
      <w:r>
        <w:rPr>
          <w:rFonts w:ascii="Calibri" w:hAnsi="Calibri" w:eastAsia="Calibri" w:cs="Calibri"/>
          <w:color w:val="auto"/>
          <w:sz w:val="21"/>
          <w:szCs w:val="21"/>
        </w:rPr>
        <w:t>I cleaned and standardized the raw dataset (18 columns, 3,900 rows) in Power Query. Column headers were converted to lowercase snake_case for downstream SQL compatibility. I imputed thirty-seven missing review ratings (0.9% of records) using the median rating for that specific item, preserving item-level rating patterns rather than applying a single global average. I also engineered two derived fields: age_group (four equal-width bands — Young Adult, Adult, Middle Aged, Senior) and customer_value_tier, based on prior purchase volume.</w:t>
      </w:r>
    </w:p>
    <w:p w14:paraId="1097AB72">
      <w:pPr>
        <w:spacing w:after="160" w:line="276" w:lineRule="auto"/>
        <w:rPr>
          <w:rFonts w:ascii="Calibri" w:hAnsi="Calibri" w:eastAsia="Calibri" w:cs="Calibri"/>
          <w:color w:val="auto"/>
          <w:sz w:val="21"/>
          <w:szCs w:val="21"/>
        </w:rPr>
      </w:pPr>
      <w:r>
        <w:rPr>
          <w:rFonts w:ascii="Calibri" w:hAnsi="Calibri" w:eastAsia="Calibri" w:cs="Calibri"/>
          <w:color w:val="auto"/>
          <w:sz w:val="21"/>
          <w:szCs w:val="21"/>
        </w:rPr>
        <w:t>During profiling, I found that discount_applied and promo_code_used are 100% correlated — every discounted order also used a promo code, and vice versa. I kept both fields in the source data, but treated them as a single representative signal in analysis to avoid double-counting the same behavior.</w:t>
      </w:r>
    </w:p>
    <w:p w14:paraId="4D639F21">
      <w:pPr>
        <w:spacing w:after="160" w:line="276" w:lineRule="auto"/>
        <w:rPr>
          <w:rFonts w:ascii="Calibri" w:hAnsi="Calibri" w:eastAsia="Calibri" w:cs="Calibri"/>
          <w:color w:val="auto"/>
          <w:sz w:val="21"/>
          <w:szCs w:val="21"/>
        </w:rPr>
      </w:pPr>
    </w:p>
    <w:p w14:paraId="1EB59827">
      <w:pPr>
        <w:pStyle w:val="3"/>
        <w:spacing w:before="300" w:after="120"/>
        <w:rPr>
          <w:color w:val="auto"/>
        </w:rPr>
      </w:pPr>
      <w:r>
        <w:rPr>
          <w:rFonts w:ascii="Cambria" w:hAnsi="Cambria" w:eastAsia="Cambria" w:cs="Cambria"/>
          <w:b/>
          <w:bCs/>
          <w:color w:val="auto"/>
          <w:sz w:val="24"/>
          <w:szCs w:val="24"/>
        </w:rPr>
        <w:t>Database &amp; Analysis (MySQL)</w:t>
      </w:r>
    </w:p>
    <w:p w14:paraId="1FC48037">
      <w:pPr>
        <w:spacing w:after="160" w:line="276" w:lineRule="auto"/>
        <w:rPr>
          <w:color w:val="auto"/>
        </w:rPr>
      </w:pPr>
      <w:r>
        <w:rPr>
          <w:rFonts w:ascii="Calibri" w:hAnsi="Calibri" w:eastAsia="Calibri" w:cs="Calibri"/>
          <w:color w:val="auto"/>
          <w:sz w:val="21"/>
          <w:szCs w:val="21"/>
        </w:rPr>
        <w:t>I loaded the cleaned dataset into a single MySQL table, matching the data's natural customer-purchase grain. I answered ten core business questions directly via SQL, covering revenue by gender, discount behavior, product ratings, shipping comparisons, subscription patterns, customer segmentation, and category performance. Full query documentation is provided in my SQL repository.</w:t>
      </w:r>
    </w:p>
    <w:p w14:paraId="0124E253">
      <w:pPr>
        <w:pStyle w:val="3"/>
        <w:spacing w:before="300" w:after="120"/>
        <w:rPr>
          <w:color w:val="auto"/>
        </w:rPr>
      </w:pPr>
      <w:r>
        <w:rPr>
          <w:rFonts w:ascii="Cambria" w:hAnsi="Cambria" w:eastAsia="Cambria" w:cs="Cambria"/>
          <w:b/>
          <w:bCs/>
          <w:color w:val="auto"/>
          <w:sz w:val="24"/>
          <w:szCs w:val="24"/>
        </w:rPr>
        <w:t>Dashboard (Power BI)</w:t>
      </w:r>
    </w:p>
    <w:p w14:paraId="696DFEE3">
      <w:pPr>
        <w:spacing w:after="160" w:line="276" w:lineRule="auto"/>
        <w:rPr>
          <w:color w:val="auto"/>
        </w:rPr>
      </w:pPr>
      <w:r>
        <w:rPr>
          <w:rFonts w:ascii="Calibri" w:hAnsi="Calibri" w:eastAsia="Calibri" w:cs="Calibri"/>
          <w:color w:val="auto"/>
          <w:sz w:val="21"/>
          <w:szCs w:val="21"/>
        </w:rPr>
        <w:t>I built an interactive one-page executive dashboard in Power BI, providing KPI cards, category and demographic breakdowns, and slicers for category, age group, and gender — allowing stakeholders to explore the data directly rather than relying solely on static reporting.</w:t>
      </w:r>
    </w:p>
    <w:p w14:paraId="7AD268A6">
      <w:pPr>
        <w:pStyle w:val="2"/>
        <w:pBdr>
          <w:bottom w:val="single" w:color="C97C4C" w:sz="6" w:space="4"/>
        </w:pBdr>
        <w:spacing w:before="400" w:after="200"/>
        <w:rPr>
          <w:color w:val="auto"/>
        </w:rPr>
      </w:pPr>
      <w:r>
        <w:rPr>
          <w:rFonts w:ascii="Cambria" w:hAnsi="Cambria" w:eastAsia="Cambria" w:cs="Cambria"/>
          <w:b/>
          <w:bCs/>
          <w:color w:val="auto"/>
          <w:sz w:val="30"/>
          <w:szCs w:val="30"/>
        </w:rPr>
        <w:t>Key Findings</w:t>
      </w:r>
    </w:p>
    <w:p w14:paraId="3806AF1B">
      <w:pPr>
        <w:pStyle w:val="3"/>
        <w:spacing w:before="300" w:after="120"/>
        <w:rPr>
          <w:color w:val="auto"/>
        </w:rPr>
      </w:pPr>
      <w:r>
        <w:rPr>
          <w:rFonts w:ascii="Cambria" w:hAnsi="Cambria" w:eastAsia="Cambria" w:cs="Cambria"/>
          <w:b/>
          <w:bCs/>
          <w:color w:val="auto"/>
          <w:sz w:val="24"/>
          <w:szCs w:val="24"/>
        </w:rPr>
        <w:t>1. Revenue Is Broad-Based, Not Concentrated</w:t>
      </w:r>
    </w:p>
    <w:p w14:paraId="4A4F159B">
      <w:pPr>
        <w:spacing w:after="160" w:line="276" w:lineRule="auto"/>
        <w:rPr>
          <w:color w:val="auto"/>
        </w:rPr>
      </w:pPr>
      <w:r>
        <w:rPr>
          <w:rFonts w:ascii="Calibri" w:hAnsi="Calibri" w:eastAsia="Calibri" w:cs="Calibri"/>
          <w:color w:val="auto"/>
          <w:sz w:val="21"/>
          <w:szCs w:val="21"/>
        </w:rPr>
        <w:t>No single age group or customer tier dominates revenue generation. Revenue by age group is nearly flat, ranging narrowly from $56,000 (Adult, Senior) to $62,000 (Young Adult). Orders split almost evenly across the four customer value tiers — New, Growing, Loyal, and VIP — each representing roughly a quarter of total order volume. This indicates a stable, diversified customer file rather than one reliant on a single demographic or loyalty segment.</w:t>
      </w:r>
    </w:p>
    <w:p w14:paraId="4609C1F2">
      <w:pPr>
        <w:pStyle w:val="3"/>
        <w:spacing w:before="300" w:after="120"/>
        <w:rPr>
          <w:color w:val="auto"/>
        </w:rPr>
      </w:pPr>
      <w:r>
        <w:rPr>
          <w:rFonts w:ascii="Cambria" w:hAnsi="Cambria" w:eastAsia="Cambria" w:cs="Cambria"/>
          <w:b/>
          <w:bCs/>
          <w:color w:val="auto"/>
          <w:sz w:val="24"/>
          <w:szCs w:val="24"/>
        </w:rPr>
        <w:t>2. Clothing Drives Volume; Accessories Drives Margin</w:t>
      </w:r>
    </w:p>
    <w:p w14:paraId="3C5038AF">
      <w:pPr>
        <w:spacing w:after="160" w:line="276" w:lineRule="auto"/>
        <w:rPr>
          <w:color w:val="auto"/>
        </w:rPr>
      </w:pPr>
      <w:r>
        <w:rPr>
          <w:rFonts w:ascii="Calibri" w:hAnsi="Calibri" w:eastAsia="Calibri" w:cs="Calibri"/>
          <w:color w:val="auto"/>
          <w:sz w:val="21"/>
          <w:szCs w:val="21"/>
        </w:rPr>
        <w:t>Clothing is the highest-revenue category ($104,264), followed by Accessories ($74,200), Footwear ($36,093), and Outerwear ($18,524). However, profit margin tells a different story: Accessories carries the highest margin at 0.50, compared to 0.45 for Clothing, 0.40 for Outerwear, and 0.35 for Footwear. The category generating the most revenue is not the most profitable one — a five-point margin advantage that current marketing allocation does not reflect.</w:t>
      </w:r>
    </w:p>
    <w:tbl>
      <w:tblPr>
        <w:tblStyle w:val="9"/>
        <w:tblW w:w="9360" w:type="dxa"/>
        <w:tblInd w:w="0" w:type="dxa"/>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Layout w:type="autofit"/>
        <w:tblCellMar>
          <w:top w:w="0" w:type="dxa"/>
          <w:left w:w="10" w:type="dxa"/>
          <w:bottom w:w="0" w:type="dxa"/>
          <w:right w:w="10" w:type="dxa"/>
        </w:tblCellMar>
      </w:tblPr>
      <w:tblGrid>
        <w:gridCol w:w="3120"/>
        <w:gridCol w:w="3120"/>
        <w:gridCol w:w="3120"/>
      </w:tblGrid>
      <w:tr w14:paraId="1CB148A5">
        <w:tblPrEx>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CellMar>
            <w:top w:w="0" w:type="dxa"/>
            <w:left w:w="10" w:type="dxa"/>
            <w:bottom w:w="0" w:type="dxa"/>
            <w:right w:w="10" w:type="dxa"/>
          </w:tblCellMar>
        </w:tblPrEx>
        <w:trPr>
          <w:tblHeader/>
        </w:trPr>
        <w:tc>
          <w:tcPr>
            <w:tcW w:w="3120" w:type="dxa"/>
            <w:shd w:val="clear" w:color="auto" w:fill="0B2545"/>
            <w:tcMar>
              <w:top w:w="100" w:type="dxa"/>
              <w:left w:w="120" w:type="dxa"/>
              <w:bottom w:w="100" w:type="dxa"/>
              <w:right w:w="120" w:type="dxa"/>
            </w:tcMar>
            <w:vAlign w:val="center"/>
          </w:tcPr>
          <w:p w14:paraId="7C966C9A">
            <w:pPr>
              <w:rPr>
                <w:color w:val="auto"/>
              </w:rPr>
            </w:pPr>
            <w:r>
              <w:rPr>
                <w:rFonts w:ascii="Calibri" w:hAnsi="Calibri" w:eastAsia="Calibri" w:cs="Calibri"/>
                <w:b/>
                <w:bCs/>
                <w:color w:val="auto"/>
                <w:sz w:val="19"/>
                <w:szCs w:val="19"/>
              </w:rPr>
              <w:t>Category</w:t>
            </w:r>
          </w:p>
        </w:tc>
        <w:tc>
          <w:tcPr>
            <w:tcW w:w="3120" w:type="dxa"/>
            <w:shd w:val="clear" w:color="auto" w:fill="0B2545"/>
            <w:tcMar>
              <w:top w:w="100" w:type="dxa"/>
              <w:left w:w="120" w:type="dxa"/>
              <w:bottom w:w="100" w:type="dxa"/>
              <w:right w:w="120" w:type="dxa"/>
            </w:tcMar>
            <w:vAlign w:val="center"/>
          </w:tcPr>
          <w:p w14:paraId="79A41792">
            <w:pPr>
              <w:rPr>
                <w:color w:val="auto"/>
              </w:rPr>
            </w:pPr>
            <w:r>
              <w:rPr>
                <w:rFonts w:ascii="Calibri" w:hAnsi="Calibri" w:eastAsia="Calibri" w:cs="Calibri"/>
                <w:b/>
                <w:bCs/>
                <w:color w:val="auto"/>
                <w:sz w:val="19"/>
                <w:szCs w:val="19"/>
              </w:rPr>
              <w:t>Revenue</w:t>
            </w:r>
          </w:p>
        </w:tc>
        <w:tc>
          <w:tcPr>
            <w:tcW w:w="3120" w:type="dxa"/>
            <w:shd w:val="clear" w:color="auto" w:fill="0B2545"/>
            <w:tcMar>
              <w:top w:w="100" w:type="dxa"/>
              <w:left w:w="120" w:type="dxa"/>
              <w:bottom w:w="100" w:type="dxa"/>
              <w:right w:w="120" w:type="dxa"/>
            </w:tcMar>
            <w:vAlign w:val="center"/>
          </w:tcPr>
          <w:p w14:paraId="7A396700">
            <w:pPr>
              <w:rPr>
                <w:color w:val="auto"/>
              </w:rPr>
            </w:pPr>
            <w:r>
              <w:rPr>
                <w:rFonts w:ascii="Calibri" w:hAnsi="Calibri" w:eastAsia="Calibri" w:cs="Calibri"/>
                <w:b/>
                <w:bCs/>
                <w:color w:val="auto"/>
                <w:sz w:val="19"/>
                <w:szCs w:val="19"/>
              </w:rPr>
              <w:t>Profit Margin</w:t>
            </w:r>
          </w:p>
        </w:tc>
      </w:tr>
      <w:tr w14:paraId="1DFD5E6E">
        <w:tblPrEx>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CellMar>
            <w:top w:w="0" w:type="dxa"/>
            <w:left w:w="10" w:type="dxa"/>
            <w:bottom w:w="0" w:type="dxa"/>
            <w:right w:w="10" w:type="dxa"/>
          </w:tblCellMar>
        </w:tblPrEx>
        <w:tc>
          <w:tcPr>
            <w:tcW w:w="3120" w:type="dxa"/>
            <w:shd w:val="clear" w:color="auto" w:fill="FFFFFF"/>
            <w:tcMar>
              <w:top w:w="90" w:type="dxa"/>
              <w:left w:w="120" w:type="dxa"/>
              <w:bottom w:w="90" w:type="dxa"/>
              <w:right w:w="120" w:type="dxa"/>
            </w:tcMar>
            <w:vAlign w:val="center"/>
          </w:tcPr>
          <w:p w14:paraId="23BE2B2C">
            <w:pPr>
              <w:rPr>
                <w:color w:val="auto"/>
              </w:rPr>
            </w:pPr>
            <w:r>
              <w:rPr>
                <w:rFonts w:ascii="Calibri" w:hAnsi="Calibri" w:eastAsia="Calibri" w:cs="Calibri"/>
                <w:color w:val="auto"/>
                <w:sz w:val="19"/>
                <w:szCs w:val="19"/>
              </w:rPr>
              <w:t>Clothing</w:t>
            </w:r>
          </w:p>
        </w:tc>
        <w:tc>
          <w:tcPr>
            <w:tcW w:w="3120" w:type="dxa"/>
            <w:shd w:val="clear" w:color="auto" w:fill="FFFFFF"/>
            <w:tcMar>
              <w:top w:w="90" w:type="dxa"/>
              <w:left w:w="120" w:type="dxa"/>
              <w:bottom w:w="90" w:type="dxa"/>
              <w:right w:w="120" w:type="dxa"/>
            </w:tcMar>
            <w:vAlign w:val="center"/>
          </w:tcPr>
          <w:p w14:paraId="0CA82A34">
            <w:pPr>
              <w:rPr>
                <w:color w:val="auto"/>
              </w:rPr>
            </w:pPr>
            <w:r>
              <w:rPr>
                <w:rFonts w:ascii="Calibri" w:hAnsi="Calibri" w:eastAsia="Calibri" w:cs="Calibri"/>
                <w:color w:val="auto"/>
                <w:sz w:val="19"/>
                <w:szCs w:val="19"/>
              </w:rPr>
              <w:t>$104,264</w:t>
            </w:r>
          </w:p>
        </w:tc>
        <w:tc>
          <w:tcPr>
            <w:tcW w:w="3120" w:type="dxa"/>
            <w:shd w:val="clear" w:color="auto" w:fill="FFFFFF"/>
            <w:tcMar>
              <w:top w:w="90" w:type="dxa"/>
              <w:left w:w="120" w:type="dxa"/>
              <w:bottom w:w="90" w:type="dxa"/>
              <w:right w:w="120" w:type="dxa"/>
            </w:tcMar>
            <w:vAlign w:val="center"/>
          </w:tcPr>
          <w:p w14:paraId="19A19967">
            <w:pPr>
              <w:rPr>
                <w:color w:val="auto"/>
              </w:rPr>
            </w:pPr>
            <w:r>
              <w:rPr>
                <w:rFonts w:ascii="Calibri" w:hAnsi="Calibri" w:eastAsia="Calibri" w:cs="Calibri"/>
                <w:color w:val="auto"/>
                <w:sz w:val="19"/>
                <w:szCs w:val="19"/>
              </w:rPr>
              <w:t>0.45</w:t>
            </w:r>
          </w:p>
        </w:tc>
      </w:tr>
      <w:tr w14:paraId="6DCB048D">
        <w:tblPrEx>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CellMar>
            <w:top w:w="0" w:type="dxa"/>
            <w:left w:w="10" w:type="dxa"/>
            <w:bottom w:w="0" w:type="dxa"/>
            <w:right w:w="10" w:type="dxa"/>
          </w:tblCellMar>
        </w:tblPrEx>
        <w:tc>
          <w:tcPr>
            <w:tcW w:w="3120" w:type="dxa"/>
            <w:shd w:val="clear" w:color="auto" w:fill="F7F7F5"/>
            <w:tcMar>
              <w:top w:w="90" w:type="dxa"/>
              <w:left w:w="120" w:type="dxa"/>
              <w:bottom w:w="90" w:type="dxa"/>
              <w:right w:w="120" w:type="dxa"/>
            </w:tcMar>
            <w:vAlign w:val="center"/>
          </w:tcPr>
          <w:p w14:paraId="4BBF6767">
            <w:pPr>
              <w:rPr>
                <w:color w:val="auto"/>
              </w:rPr>
            </w:pPr>
            <w:r>
              <w:rPr>
                <w:rFonts w:ascii="Calibri" w:hAnsi="Calibri" w:eastAsia="Calibri" w:cs="Calibri"/>
                <w:color w:val="auto"/>
                <w:sz w:val="19"/>
                <w:szCs w:val="19"/>
              </w:rPr>
              <w:t>Accessories</w:t>
            </w:r>
          </w:p>
        </w:tc>
        <w:tc>
          <w:tcPr>
            <w:tcW w:w="3120" w:type="dxa"/>
            <w:shd w:val="clear" w:color="auto" w:fill="F7F7F5"/>
            <w:tcMar>
              <w:top w:w="90" w:type="dxa"/>
              <w:left w:w="120" w:type="dxa"/>
              <w:bottom w:w="90" w:type="dxa"/>
              <w:right w:w="120" w:type="dxa"/>
            </w:tcMar>
            <w:vAlign w:val="center"/>
          </w:tcPr>
          <w:p w14:paraId="06F82FAA">
            <w:pPr>
              <w:rPr>
                <w:color w:val="auto"/>
              </w:rPr>
            </w:pPr>
            <w:r>
              <w:rPr>
                <w:rFonts w:ascii="Calibri" w:hAnsi="Calibri" w:eastAsia="Calibri" w:cs="Calibri"/>
                <w:color w:val="auto"/>
                <w:sz w:val="19"/>
                <w:szCs w:val="19"/>
              </w:rPr>
              <w:t>$74,200</w:t>
            </w:r>
          </w:p>
        </w:tc>
        <w:tc>
          <w:tcPr>
            <w:tcW w:w="3120" w:type="dxa"/>
            <w:shd w:val="clear" w:color="auto" w:fill="F7F7F5"/>
            <w:tcMar>
              <w:top w:w="90" w:type="dxa"/>
              <w:left w:w="120" w:type="dxa"/>
              <w:bottom w:w="90" w:type="dxa"/>
              <w:right w:w="120" w:type="dxa"/>
            </w:tcMar>
            <w:vAlign w:val="center"/>
          </w:tcPr>
          <w:p w14:paraId="39561F5C">
            <w:pPr>
              <w:rPr>
                <w:color w:val="auto"/>
              </w:rPr>
            </w:pPr>
            <w:r>
              <w:rPr>
                <w:rFonts w:ascii="Calibri" w:hAnsi="Calibri" w:eastAsia="Calibri" w:cs="Calibri"/>
                <w:color w:val="auto"/>
                <w:sz w:val="19"/>
                <w:szCs w:val="19"/>
              </w:rPr>
              <w:t>0.50</w:t>
            </w:r>
          </w:p>
        </w:tc>
      </w:tr>
      <w:tr w14:paraId="3AC1506F">
        <w:tblPrEx>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CellMar>
            <w:top w:w="0" w:type="dxa"/>
            <w:left w:w="10" w:type="dxa"/>
            <w:bottom w:w="0" w:type="dxa"/>
            <w:right w:w="10" w:type="dxa"/>
          </w:tblCellMar>
        </w:tblPrEx>
        <w:tc>
          <w:tcPr>
            <w:tcW w:w="3120" w:type="dxa"/>
            <w:shd w:val="clear" w:color="auto" w:fill="FFFFFF"/>
            <w:tcMar>
              <w:top w:w="90" w:type="dxa"/>
              <w:left w:w="120" w:type="dxa"/>
              <w:bottom w:w="90" w:type="dxa"/>
              <w:right w:w="120" w:type="dxa"/>
            </w:tcMar>
            <w:vAlign w:val="center"/>
          </w:tcPr>
          <w:p w14:paraId="24CFA107">
            <w:pPr>
              <w:rPr>
                <w:color w:val="auto"/>
              </w:rPr>
            </w:pPr>
            <w:r>
              <w:rPr>
                <w:rFonts w:ascii="Calibri" w:hAnsi="Calibri" w:eastAsia="Calibri" w:cs="Calibri"/>
                <w:color w:val="auto"/>
                <w:sz w:val="19"/>
                <w:szCs w:val="19"/>
              </w:rPr>
              <w:t>Footwear</w:t>
            </w:r>
          </w:p>
        </w:tc>
        <w:tc>
          <w:tcPr>
            <w:tcW w:w="3120" w:type="dxa"/>
            <w:shd w:val="clear" w:color="auto" w:fill="FFFFFF"/>
            <w:tcMar>
              <w:top w:w="90" w:type="dxa"/>
              <w:left w:w="120" w:type="dxa"/>
              <w:bottom w:w="90" w:type="dxa"/>
              <w:right w:w="120" w:type="dxa"/>
            </w:tcMar>
            <w:vAlign w:val="center"/>
          </w:tcPr>
          <w:p w14:paraId="0B0BFA24">
            <w:pPr>
              <w:rPr>
                <w:color w:val="auto"/>
              </w:rPr>
            </w:pPr>
            <w:r>
              <w:rPr>
                <w:rFonts w:ascii="Calibri" w:hAnsi="Calibri" w:eastAsia="Calibri" w:cs="Calibri"/>
                <w:color w:val="auto"/>
                <w:sz w:val="19"/>
                <w:szCs w:val="19"/>
              </w:rPr>
              <w:t>$36,093</w:t>
            </w:r>
          </w:p>
        </w:tc>
        <w:tc>
          <w:tcPr>
            <w:tcW w:w="3120" w:type="dxa"/>
            <w:shd w:val="clear" w:color="auto" w:fill="FFFFFF"/>
            <w:tcMar>
              <w:top w:w="90" w:type="dxa"/>
              <w:left w:w="120" w:type="dxa"/>
              <w:bottom w:w="90" w:type="dxa"/>
              <w:right w:w="120" w:type="dxa"/>
            </w:tcMar>
            <w:vAlign w:val="center"/>
          </w:tcPr>
          <w:p w14:paraId="4120A465">
            <w:pPr>
              <w:rPr>
                <w:color w:val="auto"/>
              </w:rPr>
            </w:pPr>
            <w:r>
              <w:rPr>
                <w:rFonts w:ascii="Calibri" w:hAnsi="Calibri" w:eastAsia="Calibri" w:cs="Calibri"/>
                <w:color w:val="auto"/>
                <w:sz w:val="19"/>
                <w:szCs w:val="19"/>
              </w:rPr>
              <w:t>0.35</w:t>
            </w:r>
          </w:p>
        </w:tc>
      </w:tr>
      <w:tr w14:paraId="417A3D21">
        <w:tblPrEx>
          <w:tblBorders>
            <w:top w:val="single" w:color="D9DCE1" w:sz="2" w:space="0"/>
            <w:left w:val="single" w:color="D9DCE1" w:sz="2" w:space="0"/>
            <w:bottom w:val="single" w:color="D9DCE1" w:sz="2" w:space="0"/>
            <w:right w:val="single" w:color="D9DCE1" w:sz="2" w:space="0"/>
            <w:insideH w:val="single" w:color="D9DCE1" w:sz="2" w:space="0"/>
            <w:insideV w:val="single" w:color="D9DCE1" w:sz="2" w:space="0"/>
          </w:tblBorders>
          <w:tblCellMar>
            <w:top w:w="0" w:type="dxa"/>
            <w:left w:w="10" w:type="dxa"/>
            <w:bottom w:w="0" w:type="dxa"/>
            <w:right w:w="10" w:type="dxa"/>
          </w:tblCellMar>
        </w:tblPrEx>
        <w:tc>
          <w:tcPr>
            <w:tcW w:w="3120" w:type="dxa"/>
            <w:shd w:val="clear" w:color="auto" w:fill="F7F7F5"/>
            <w:tcMar>
              <w:top w:w="90" w:type="dxa"/>
              <w:left w:w="120" w:type="dxa"/>
              <w:bottom w:w="90" w:type="dxa"/>
              <w:right w:w="120" w:type="dxa"/>
            </w:tcMar>
            <w:vAlign w:val="center"/>
          </w:tcPr>
          <w:p w14:paraId="667E9850">
            <w:pPr>
              <w:rPr>
                <w:color w:val="auto"/>
              </w:rPr>
            </w:pPr>
            <w:r>
              <w:rPr>
                <w:rFonts w:ascii="Calibri" w:hAnsi="Calibri" w:eastAsia="Calibri" w:cs="Calibri"/>
                <w:color w:val="auto"/>
                <w:sz w:val="19"/>
                <w:szCs w:val="19"/>
              </w:rPr>
              <w:t>Outerwear</w:t>
            </w:r>
          </w:p>
        </w:tc>
        <w:tc>
          <w:tcPr>
            <w:tcW w:w="3120" w:type="dxa"/>
            <w:shd w:val="clear" w:color="auto" w:fill="F7F7F5"/>
            <w:tcMar>
              <w:top w:w="90" w:type="dxa"/>
              <w:left w:w="120" w:type="dxa"/>
              <w:bottom w:w="90" w:type="dxa"/>
              <w:right w:w="120" w:type="dxa"/>
            </w:tcMar>
            <w:vAlign w:val="center"/>
          </w:tcPr>
          <w:p w14:paraId="39A7BA15">
            <w:pPr>
              <w:rPr>
                <w:color w:val="auto"/>
              </w:rPr>
            </w:pPr>
            <w:r>
              <w:rPr>
                <w:rFonts w:ascii="Calibri" w:hAnsi="Calibri" w:eastAsia="Calibri" w:cs="Calibri"/>
                <w:color w:val="auto"/>
                <w:sz w:val="19"/>
                <w:szCs w:val="19"/>
              </w:rPr>
              <w:t>$18,524</w:t>
            </w:r>
          </w:p>
        </w:tc>
        <w:tc>
          <w:tcPr>
            <w:tcW w:w="3120" w:type="dxa"/>
            <w:shd w:val="clear" w:color="auto" w:fill="F7F7F5"/>
            <w:tcMar>
              <w:top w:w="90" w:type="dxa"/>
              <w:left w:w="120" w:type="dxa"/>
              <w:bottom w:w="90" w:type="dxa"/>
              <w:right w:w="120" w:type="dxa"/>
            </w:tcMar>
            <w:vAlign w:val="center"/>
          </w:tcPr>
          <w:p w14:paraId="652809B0">
            <w:pPr>
              <w:rPr>
                <w:color w:val="auto"/>
              </w:rPr>
            </w:pPr>
            <w:r>
              <w:rPr>
                <w:rFonts w:ascii="Calibri" w:hAnsi="Calibri" w:eastAsia="Calibri" w:cs="Calibri"/>
                <w:color w:val="auto"/>
                <w:sz w:val="19"/>
                <w:szCs w:val="19"/>
              </w:rPr>
              <w:t>0.40</w:t>
            </w:r>
          </w:p>
        </w:tc>
      </w:tr>
    </w:tbl>
    <w:p w14:paraId="6AA50059">
      <w:pPr>
        <w:spacing w:before="80" w:after="240"/>
        <w:rPr>
          <w:color w:val="auto"/>
        </w:rPr>
      </w:pPr>
      <w:r>
        <w:rPr>
          <w:rFonts w:ascii="Calibri" w:hAnsi="Calibri" w:eastAsia="Calibri" w:cs="Calibri"/>
          <w:i/>
          <w:iCs/>
          <w:color w:val="auto"/>
          <w:sz w:val="18"/>
          <w:szCs w:val="18"/>
        </w:rPr>
        <w:t>Table 2. Revenue and profit margin by product category.</w:t>
      </w:r>
    </w:p>
    <w:p w14:paraId="3297FD1A">
      <w:pPr>
        <w:pStyle w:val="3"/>
        <w:spacing w:before="300" w:after="120"/>
        <w:rPr>
          <w:color w:val="auto"/>
        </w:rPr>
      </w:pPr>
      <w:r>
        <w:rPr>
          <w:rFonts w:ascii="Cambria" w:hAnsi="Cambria" w:eastAsia="Cambria" w:cs="Cambria"/>
          <w:b/>
          <w:bCs/>
          <w:color w:val="auto"/>
          <w:sz w:val="24"/>
          <w:szCs w:val="24"/>
        </w:rPr>
        <w:t>3. Satisfaction Is Solid, Not Exceptional</w:t>
      </w:r>
    </w:p>
    <w:p w14:paraId="2CAA2643">
      <w:pPr>
        <w:spacing w:after="160" w:line="276" w:lineRule="auto"/>
        <w:rPr>
          <w:color w:val="auto"/>
        </w:rPr>
      </w:pPr>
      <w:r>
        <w:rPr>
          <w:rFonts w:ascii="Calibri" w:hAnsi="Calibri" w:eastAsia="Calibri" w:cs="Calibri"/>
          <w:color w:val="auto"/>
          <w:sz w:val="21"/>
          <w:szCs w:val="21"/>
        </w:rPr>
        <w:t>The average review rating across all transactions is 3.75 out of 5. The distribution is concentrated in the middle: 1,585 reviews at 3 stars and 1,567 at 4 stars, with comparatively few at the extremes (680 at 2 stars, 68 at 5 stars). This pattern suggests a large base of satisfied but not enthusiastic customers — an opportunity to convert the 3-star majority into stronger advocates through targeted post-purchase engagement.</w:t>
      </w:r>
    </w:p>
    <w:p w14:paraId="52F65E62">
      <w:pPr>
        <w:pStyle w:val="3"/>
        <w:spacing w:before="300" w:after="120"/>
        <w:rPr>
          <w:color w:val="auto"/>
        </w:rPr>
      </w:pPr>
      <w:r>
        <w:rPr>
          <w:rFonts w:ascii="Cambria" w:hAnsi="Cambria" w:eastAsia="Cambria" w:cs="Cambria"/>
          <w:b/>
          <w:bCs/>
          <w:color w:val="auto"/>
          <w:sz w:val="24"/>
          <w:szCs w:val="24"/>
        </w:rPr>
        <w:t>4. The Subscription Gender Gap</w:t>
      </w:r>
    </w:p>
    <w:p w14:paraId="1F7CA1A8">
      <w:pPr>
        <w:spacing w:after="160" w:line="276" w:lineRule="auto"/>
        <w:rPr>
          <w:color w:val="auto"/>
        </w:rPr>
      </w:pPr>
      <w:r>
        <w:rPr>
          <w:rFonts w:ascii="Calibri" w:hAnsi="Calibri" w:eastAsia="Calibri" w:cs="Calibri"/>
          <w:color w:val="auto"/>
          <w:sz w:val="21"/>
          <w:szCs w:val="21"/>
        </w:rPr>
        <w:t>The most significant finding of this analysis: 0% of subscribed customers are female. Of the 1,053 subscribed customers (27% of the base), all are male. This is despite female customers recording a slightly higher average order value ($60.25) than male customers ($59.54) — the higher-spending segment is not the one being retained through the subscription program. This represents 1,248 female customers, many of them repeat purchasers, who currently have zero subscription reach.</w:t>
      </w:r>
    </w:p>
    <w:p w14:paraId="1B66E5DA">
      <w:pPr>
        <w:spacing w:after="160" w:line="276" w:lineRule="auto"/>
        <w:rPr>
          <w:color w:val="auto"/>
        </w:rPr>
      </w:pPr>
      <w:r>
        <w:rPr>
          <w:rFonts w:ascii="Calibri" w:hAnsi="Calibri" w:eastAsia="Calibri" w:cs="Calibri"/>
          <w:color w:val="auto"/>
          <w:sz w:val="21"/>
          <w:szCs w:val="21"/>
        </w:rPr>
        <w:t>My further analysis confirms this is not explained by loyalty or purchase frequency. The correlation between previous purchase count and subscription status is negligible overall (0.03), and remains negligible even when isolated to male customers only (0.02). Subscription rate increases only marginally across loyalty tiers — from 24.9% (New) to 28.2% (Loyal) — confirming that subscription status in this dataset is explained almost entirely by gender, not by customer loyalty or engagement. This reframes the finding: it is a reach problem, not a retention-earned outcome.</w:t>
      </w:r>
    </w:p>
    <w:p w14:paraId="64B8D0C4">
      <w:pPr>
        <w:pStyle w:val="3"/>
        <w:spacing w:before="300" w:after="120"/>
        <w:rPr>
          <w:color w:val="auto"/>
        </w:rPr>
      </w:pPr>
      <w:r>
        <w:rPr>
          <w:rFonts w:ascii="Cambria" w:hAnsi="Cambria" w:eastAsia="Cambria" w:cs="Cambria"/>
          <w:b/>
          <w:bCs/>
          <w:color w:val="auto"/>
          <w:sz w:val="24"/>
          <w:szCs w:val="24"/>
        </w:rPr>
        <w:t>5. Loyalty Is Consistent Across Age Groups</w:t>
      </w:r>
    </w:p>
    <w:p w14:paraId="27FB8BDD">
      <w:pPr>
        <w:spacing w:after="160" w:line="276" w:lineRule="auto"/>
        <w:rPr>
          <w:color w:val="auto"/>
        </w:rPr>
      </w:pPr>
      <w:r>
        <w:rPr>
          <w:rFonts w:ascii="Calibri" w:hAnsi="Calibri" w:eastAsia="Calibri" w:cs="Calibri"/>
          <w:color w:val="auto"/>
          <w:sz w:val="21"/>
          <w:szCs w:val="21"/>
        </w:rPr>
        <w:t>Repeat customer counts are stable across all four age groups — Young Adult (440), Middle Aged (418), Adult (389), and Senior (381) — a narrow range that indicates repeat-purchase behavior does not skew meaningfully by age. Retention initiatives can therefore be designed without age-specific segmentation and still reach the full customer base effectively.</w:t>
      </w:r>
    </w:p>
    <w:p w14:paraId="25B6504C">
      <w:pPr>
        <w:pStyle w:val="3"/>
        <w:spacing w:before="300" w:after="120"/>
        <w:rPr>
          <w:color w:val="auto"/>
        </w:rPr>
      </w:pPr>
      <w:r>
        <w:rPr>
          <w:rFonts w:ascii="Cambria" w:hAnsi="Cambria" w:eastAsia="Cambria" w:cs="Cambria"/>
          <w:b/>
          <w:bCs/>
          <w:color w:val="auto"/>
          <w:sz w:val="24"/>
          <w:szCs w:val="24"/>
        </w:rPr>
        <w:t>6. Product Mix Is Diversified</w:t>
      </w:r>
    </w:p>
    <w:p w14:paraId="5AE82A39">
      <w:pPr>
        <w:spacing w:after="160" w:line="276" w:lineRule="auto"/>
        <w:rPr>
          <w:color w:val="auto"/>
        </w:rPr>
      </w:pPr>
      <w:r>
        <w:rPr>
          <w:rFonts w:ascii="Calibri" w:hAnsi="Calibri" w:eastAsia="Calibri" w:cs="Calibri"/>
          <w:color w:val="auto"/>
          <w:sz w:val="21"/>
          <w:szCs w:val="21"/>
        </w:rPr>
        <w:t>The top 10 items by revenue are tightly clustered ($9,400–$10,400), and item-level retention counts range narrowly from 124 to 171 across all 25 products. No single item dominates sales or retention, reflecting a balanced catalog rather than dependence on a small number of hero products.</w:t>
      </w:r>
    </w:p>
    <w:p w14:paraId="2624C252">
      <w:pPr>
        <w:pStyle w:val="2"/>
        <w:pBdr>
          <w:bottom w:val="single" w:color="C97C4C" w:sz="6" w:space="4"/>
        </w:pBdr>
        <w:spacing w:before="400" w:after="200"/>
        <w:rPr>
          <w:color w:val="auto"/>
        </w:rPr>
      </w:pPr>
      <w:r>
        <w:rPr>
          <w:rFonts w:ascii="Cambria" w:hAnsi="Cambria" w:eastAsia="Cambria" w:cs="Cambria"/>
          <w:b/>
          <w:bCs/>
          <w:color w:val="auto"/>
          <w:sz w:val="30"/>
          <w:szCs w:val="30"/>
        </w:rPr>
        <w:t>Recommendations</w:t>
      </w:r>
    </w:p>
    <w:p w14:paraId="15A7BDD6">
      <w:pPr>
        <w:pStyle w:val="16"/>
        <w:numPr>
          <w:ilvl w:val="0"/>
          <w:numId w:val="1"/>
        </w:numPr>
        <w:spacing w:after="140"/>
        <w:rPr>
          <w:color w:val="auto"/>
        </w:rPr>
      </w:pPr>
      <w:r>
        <w:rPr>
          <w:rFonts w:ascii="Calibri" w:hAnsi="Calibri" w:eastAsia="Calibri" w:cs="Calibri"/>
          <w:color w:val="auto"/>
          <w:sz w:val="21"/>
          <w:szCs w:val="21"/>
        </w:rPr>
        <w:t>Close the subscription gender gap. Launch a targeted subscription campaign for female customers — an untapped, higher-spending segment representing 32% of the customer base with zero current subscription reach. Given that loyalty does not predict subscription in this data, there is no evidence this segment would respond differently than the existing male subscriber base.</w:t>
      </w:r>
    </w:p>
    <w:p w14:paraId="0E3B2070">
      <w:pPr>
        <w:pStyle w:val="16"/>
        <w:numPr>
          <w:ilvl w:val="0"/>
          <w:numId w:val="1"/>
        </w:numPr>
        <w:spacing w:after="140"/>
        <w:rPr>
          <w:color w:val="auto"/>
        </w:rPr>
      </w:pPr>
      <w:r>
        <w:rPr>
          <w:rFonts w:ascii="Calibri" w:hAnsi="Calibri" w:eastAsia="Calibri" w:cs="Calibri"/>
          <w:color w:val="auto"/>
          <w:sz w:val="21"/>
          <w:szCs w:val="21"/>
        </w:rPr>
        <w:t>Shift promotional weight toward Accessories. Reallocate a portion of Clothing's marketing spend toward Accessories, which carries a five-point margin advantage despite generating $30,000 less revenue.</w:t>
      </w:r>
    </w:p>
    <w:p w14:paraId="1326731F">
      <w:pPr>
        <w:pStyle w:val="16"/>
        <w:numPr>
          <w:ilvl w:val="0"/>
          <w:numId w:val="1"/>
        </w:numPr>
        <w:spacing w:after="140"/>
        <w:rPr>
          <w:color w:val="auto"/>
        </w:rPr>
      </w:pPr>
      <w:r>
        <w:rPr>
          <w:rFonts w:ascii="Calibri" w:hAnsi="Calibri" w:eastAsia="Calibri" w:cs="Calibri"/>
          <w:color w:val="auto"/>
          <w:sz w:val="21"/>
          <w:szCs w:val="21"/>
        </w:rPr>
        <w:t>Convert 3-star reviewers into advocates. The largest single rating band (1,585 customers at 3 stars) represents a clear opportunity for a targeted post-purchase follow-up program aimed at shifting this cluster toward 4- and 5-star engagement.</w:t>
      </w:r>
    </w:p>
    <w:p w14:paraId="2A194D1A">
      <w:pPr>
        <w:pStyle w:val="16"/>
        <w:numPr>
          <w:ilvl w:val="0"/>
          <w:numId w:val="1"/>
        </w:numPr>
        <w:spacing w:after="140"/>
        <w:rPr>
          <w:color w:val="auto"/>
        </w:rPr>
      </w:pPr>
      <w:r>
        <w:rPr>
          <w:rFonts w:ascii="Calibri" w:hAnsi="Calibri" w:eastAsia="Calibri" w:cs="Calibri"/>
          <w:color w:val="auto"/>
          <w:sz w:val="21"/>
          <w:szCs w:val="21"/>
        </w:rPr>
        <w:t>Build age-neutral loyalty programs. Since repeat-purchase behavior is consistent across every age group, retention programs can be designed once, without age-specific segmentation, and still reach the full customer base effectively.</w:t>
      </w:r>
    </w:p>
    <w:p w14:paraId="710E3F45">
      <w:pPr>
        <w:pStyle w:val="16"/>
        <w:numPr>
          <w:numId w:val="0"/>
        </w:numPr>
        <w:spacing w:after="140"/>
        <w:rPr>
          <w:color w:val="auto"/>
        </w:rPr>
      </w:pPr>
    </w:p>
    <w:p w14:paraId="5B8D9B98">
      <w:pPr>
        <w:pStyle w:val="2"/>
        <w:pBdr>
          <w:bottom w:val="single" w:color="C97C4C" w:sz="6" w:space="4"/>
        </w:pBdr>
        <w:spacing w:before="400" w:after="200"/>
        <w:rPr>
          <w:color w:val="auto"/>
        </w:rPr>
      </w:pPr>
      <w:r>
        <w:rPr>
          <w:rFonts w:ascii="Cambria" w:hAnsi="Cambria" w:eastAsia="Cambria" w:cs="Cambria"/>
          <w:b/>
          <w:bCs/>
          <w:color w:val="auto"/>
          <w:sz w:val="30"/>
          <w:szCs w:val="30"/>
        </w:rPr>
        <w:t>Data Quality Notes</w:t>
      </w:r>
    </w:p>
    <w:p w14:paraId="26FDC06D">
      <w:pPr>
        <w:pStyle w:val="16"/>
        <w:numPr>
          <w:ilvl w:val="0"/>
          <w:numId w:val="2"/>
        </w:numPr>
        <w:spacing w:after="100"/>
        <w:rPr>
          <w:color w:val="auto"/>
        </w:rPr>
      </w:pPr>
      <w:r>
        <w:rPr>
          <w:rFonts w:ascii="Calibri" w:hAnsi="Calibri" w:eastAsia="Calibri" w:cs="Calibri"/>
          <w:color w:val="auto"/>
          <w:sz w:val="21"/>
          <w:szCs w:val="21"/>
        </w:rPr>
        <w:t>0 duplicate rows; customer_id verified as a clean, unique key across all 3,900 records.</w:t>
      </w:r>
    </w:p>
    <w:p w14:paraId="2D8AA355">
      <w:pPr>
        <w:pStyle w:val="16"/>
        <w:numPr>
          <w:ilvl w:val="0"/>
          <w:numId w:val="2"/>
        </w:numPr>
        <w:spacing w:after="100"/>
        <w:rPr>
          <w:color w:val="auto"/>
        </w:rPr>
      </w:pPr>
      <w:r>
        <w:rPr>
          <w:rFonts w:ascii="Calibri" w:hAnsi="Calibri" w:eastAsia="Calibri" w:cs="Calibri"/>
          <w:color w:val="auto"/>
          <w:sz w:val="21"/>
          <w:szCs w:val="21"/>
        </w:rPr>
        <w:t>37 null values in review_rating (0.9% of records), resolved via item-level median imputation.</w:t>
      </w:r>
    </w:p>
    <w:p w14:paraId="3D77B4E6">
      <w:pPr>
        <w:pStyle w:val="16"/>
        <w:numPr>
          <w:ilvl w:val="0"/>
          <w:numId w:val="2"/>
        </w:numPr>
        <w:spacing w:after="100"/>
        <w:rPr>
          <w:color w:val="auto"/>
        </w:rPr>
      </w:pPr>
      <w:r>
        <w:rPr>
          <w:rFonts w:ascii="Calibri" w:hAnsi="Calibri" w:eastAsia="Calibri" w:cs="Calibri"/>
          <w:color w:val="auto"/>
          <w:sz w:val="21"/>
          <w:szCs w:val="21"/>
        </w:rPr>
        <w:t>discount_applied and promo_code_used are 100% correlated in this dataset and were treated as a single representative signal in analysis.</w:t>
      </w:r>
    </w:p>
    <w:p w14:paraId="4A4820A2">
      <w:pPr>
        <w:pStyle w:val="16"/>
        <w:numPr>
          <w:ilvl w:val="0"/>
          <w:numId w:val="2"/>
        </w:numPr>
        <w:spacing w:after="100"/>
        <w:rPr>
          <w:color w:val="auto"/>
        </w:rPr>
      </w:pPr>
      <w:r>
        <w:rPr>
          <w:rFonts w:ascii="Calibri" w:hAnsi="Calibri" w:eastAsia="Calibri" w:cs="Calibri"/>
          <w:color w:val="auto"/>
          <w:sz w:val="21"/>
          <w:szCs w:val="21"/>
        </w:rPr>
        <w:t>Gender distribution is imbalanced (68% Male / 32% Female), which is directly relevant to interpreting the subscription-gap finding and was accounted for throughout the analysis.</w:t>
      </w:r>
    </w:p>
    <w:p w14:paraId="66D5B541">
      <w:pPr>
        <w:pStyle w:val="2"/>
        <w:pBdr>
          <w:bottom w:val="single" w:color="C97C4C" w:sz="6" w:space="4"/>
        </w:pBdr>
        <w:spacing w:before="400" w:after="200"/>
        <w:rPr>
          <w:color w:val="auto"/>
        </w:rPr>
      </w:pPr>
      <w:r>
        <w:rPr>
          <w:rFonts w:ascii="Cambria" w:hAnsi="Cambria" w:eastAsia="Cambria" w:cs="Cambria"/>
          <w:b/>
          <w:bCs/>
          <w:color w:val="auto"/>
          <w:sz w:val="30"/>
          <w:szCs w:val="30"/>
        </w:rPr>
        <w:t>Appendix: Business Questions Answered in SQL</w:t>
      </w:r>
    </w:p>
    <w:p w14:paraId="0FCE9682">
      <w:pPr>
        <w:spacing w:after="160" w:line="276" w:lineRule="auto"/>
        <w:rPr>
          <w:color w:val="auto"/>
        </w:rPr>
      </w:pPr>
      <w:r>
        <w:rPr>
          <w:rFonts w:ascii="Calibri" w:hAnsi="Calibri" w:eastAsia="Calibri" w:cs="Calibri"/>
          <w:color w:val="auto"/>
          <w:sz w:val="21"/>
          <w:szCs w:val="21"/>
        </w:rPr>
        <w:t>I answered the following ten business questions directly against my cleaned MySQL table. Full query text and methodology are documented separately in my SQL repository.</w:t>
      </w:r>
    </w:p>
    <w:p w14:paraId="6EFA9269">
      <w:pPr>
        <w:pStyle w:val="16"/>
        <w:numPr>
          <w:ilvl w:val="0"/>
          <w:numId w:val="3"/>
        </w:numPr>
        <w:spacing w:after="140"/>
        <w:rPr>
          <w:color w:val="auto"/>
        </w:rPr>
      </w:pPr>
      <w:r>
        <w:rPr>
          <w:rFonts w:ascii="Calibri" w:hAnsi="Calibri" w:eastAsia="Calibri" w:cs="Calibri"/>
          <w:color w:val="auto"/>
          <w:sz w:val="21"/>
          <w:szCs w:val="21"/>
        </w:rPr>
        <w:t>What is the total revenue generated by male vs. female customers?</w:t>
      </w:r>
    </w:p>
    <w:p w14:paraId="3EE947B7">
      <w:pPr>
        <w:pStyle w:val="16"/>
        <w:numPr>
          <w:ilvl w:val="0"/>
          <w:numId w:val="3"/>
        </w:numPr>
        <w:spacing w:after="140"/>
        <w:rPr>
          <w:color w:val="auto"/>
        </w:rPr>
      </w:pPr>
      <w:r>
        <w:rPr>
          <w:rFonts w:ascii="Calibri" w:hAnsi="Calibri" w:eastAsia="Calibri" w:cs="Calibri"/>
          <w:color w:val="auto"/>
          <w:sz w:val="21"/>
          <w:szCs w:val="21"/>
        </w:rPr>
        <w:t>Which customers used a discount but still spent more than the average purchase amount?</w:t>
      </w:r>
    </w:p>
    <w:p w14:paraId="29FCBD03">
      <w:pPr>
        <w:pStyle w:val="16"/>
        <w:numPr>
          <w:ilvl w:val="0"/>
          <w:numId w:val="3"/>
        </w:numPr>
        <w:spacing w:after="140"/>
        <w:rPr>
          <w:color w:val="auto"/>
        </w:rPr>
      </w:pPr>
      <w:r>
        <w:rPr>
          <w:rFonts w:ascii="Calibri" w:hAnsi="Calibri" w:eastAsia="Calibri" w:cs="Calibri"/>
          <w:color w:val="auto"/>
          <w:sz w:val="21"/>
          <w:szCs w:val="21"/>
        </w:rPr>
        <w:t>Which are the top 5 products with the highest average review rating?</w:t>
      </w:r>
    </w:p>
    <w:p w14:paraId="03D90766">
      <w:pPr>
        <w:pStyle w:val="16"/>
        <w:numPr>
          <w:ilvl w:val="0"/>
          <w:numId w:val="3"/>
        </w:numPr>
        <w:spacing w:after="140"/>
        <w:rPr>
          <w:color w:val="auto"/>
        </w:rPr>
      </w:pPr>
      <w:r>
        <w:rPr>
          <w:rFonts w:ascii="Calibri" w:hAnsi="Calibri" w:eastAsia="Calibri" w:cs="Calibri"/>
          <w:color w:val="auto"/>
          <w:sz w:val="21"/>
          <w:szCs w:val="21"/>
        </w:rPr>
        <w:t>How do average Purchase Amounts compare between Standard and Express Shipping?</w:t>
      </w:r>
    </w:p>
    <w:p w14:paraId="068C44F4">
      <w:pPr>
        <w:pStyle w:val="16"/>
        <w:numPr>
          <w:ilvl w:val="0"/>
          <w:numId w:val="3"/>
        </w:numPr>
        <w:spacing w:after="140"/>
        <w:rPr>
          <w:color w:val="auto"/>
        </w:rPr>
      </w:pPr>
      <w:r>
        <w:rPr>
          <w:rFonts w:ascii="Calibri" w:hAnsi="Calibri" w:eastAsia="Calibri" w:cs="Calibri"/>
          <w:color w:val="auto"/>
          <w:sz w:val="21"/>
          <w:szCs w:val="21"/>
        </w:rPr>
        <w:t>Do subscribed customers spend more than non-subscribers, in average spend and total revenue?</w:t>
      </w:r>
    </w:p>
    <w:p w14:paraId="78F79BDC">
      <w:pPr>
        <w:pStyle w:val="16"/>
        <w:numPr>
          <w:ilvl w:val="0"/>
          <w:numId w:val="3"/>
        </w:numPr>
        <w:spacing w:after="140"/>
        <w:rPr>
          <w:color w:val="auto"/>
        </w:rPr>
      </w:pPr>
      <w:r>
        <w:rPr>
          <w:rFonts w:ascii="Calibri" w:hAnsi="Calibri" w:eastAsia="Calibri" w:cs="Calibri"/>
          <w:color w:val="auto"/>
          <w:sz w:val="21"/>
          <w:szCs w:val="21"/>
        </w:rPr>
        <w:t>Which 5 products have the highest percentage of purchases with discounts applied?</w:t>
      </w:r>
    </w:p>
    <w:p w14:paraId="38FBD58A">
      <w:pPr>
        <w:pStyle w:val="16"/>
        <w:numPr>
          <w:ilvl w:val="0"/>
          <w:numId w:val="3"/>
        </w:numPr>
        <w:spacing w:after="140"/>
        <w:rPr>
          <w:color w:val="auto"/>
        </w:rPr>
      </w:pPr>
      <w:r>
        <w:rPr>
          <w:rFonts w:ascii="Calibri" w:hAnsi="Calibri" w:eastAsia="Calibri" w:cs="Calibri"/>
          <w:color w:val="auto"/>
          <w:sz w:val="21"/>
          <w:szCs w:val="21"/>
        </w:rPr>
        <w:t>How many customers fall into New, Returning, and Loyal segments, based on previous purchase count?</w:t>
      </w:r>
    </w:p>
    <w:p w14:paraId="2E3C73BB">
      <w:pPr>
        <w:pStyle w:val="16"/>
        <w:numPr>
          <w:ilvl w:val="0"/>
          <w:numId w:val="3"/>
        </w:numPr>
        <w:spacing w:after="140"/>
        <w:rPr>
          <w:color w:val="auto"/>
        </w:rPr>
      </w:pPr>
      <w:r>
        <w:rPr>
          <w:rFonts w:ascii="Calibri" w:hAnsi="Calibri" w:eastAsia="Calibri" w:cs="Calibri"/>
          <w:color w:val="auto"/>
          <w:sz w:val="21"/>
          <w:szCs w:val="21"/>
        </w:rPr>
        <w:t>What are the top 3 most purchased products within each category?</w:t>
      </w:r>
    </w:p>
    <w:p w14:paraId="630E4454">
      <w:pPr>
        <w:pStyle w:val="16"/>
        <w:numPr>
          <w:ilvl w:val="0"/>
          <w:numId w:val="3"/>
        </w:numPr>
        <w:spacing w:after="140"/>
        <w:rPr>
          <w:color w:val="auto"/>
        </w:rPr>
      </w:pPr>
      <w:r>
        <w:rPr>
          <w:rFonts w:ascii="Calibri" w:hAnsi="Calibri" w:eastAsia="Calibri" w:cs="Calibri"/>
          <w:color w:val="auto"/>
          <w:sz w:val="21"/>
          <w:szCs w:val="21"/>
        </w:rPr>
        <w:t>Are repeat buyers (more than 5 previous purchases) more likely to subscribe?</w:t>
      </w:r>
    </w:p>
    <w:p w14:paraId="735C3BA3">
      <w:pPr>
        <w:pStyle w:val="16"/>
        <w:numPr>
          <w:ilvl w:val="0"/>
          <w:numId w:val="3"/>
        </w:numPr>
        <w:spacing w:after="140"/>
        <w:rPr>
          <w:color w:val="auto"/>
        </w:rPr>
      </w:pPr>
      <w:r>
        <w:rPr>
          <w:rFonts w:ascii="Calibri" w:hAnsi="Calibri" w:eastAsia="Calibri" w:cs="Calibri"/>
          <w:color w:val="auto"/>
          <w:sz w:val="21"/>
          <w:szCs w:val="21"/>
        </w:rPr>
        <w:t>What is the revenue contribution of each age group?</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01FDF">
    <w:pPr>
      <w:jc w:val="center"/>
    </w:pPr>
    <w:r>
      <w:rPr>
        <w:rFonts w:ascii="Calibri" w:hAnsi="Calibri" w:eastAsia="Calibri" w:cs="Calibri"/>
        <w:color w:val="6B7280"/>
        <w:sz w:val="16"/>
        <w:szCs w:val="16"/>
      </w:rPr>
      <w:t xml:space="preserve">Page </w:t>
    </w:r>
    <w:r>
      <w:rPr>
        <w:rFonts w:ascii="Calibri" w:hAnsi="Calibri" w:eastAsia="Calibri" w:cs="Calibri"/>
        <w:color w:val="6B7280"/>
        <w:sz w:val="16"/>
        <w:szCs w:val="16"/>
      </w:rPr>
      <w:fldChar w:fldCharType="begin"/>
    </w:r>
    <w:r>
      <w:rPr>
        <w:rFonts w:ascii="Calibri" w:hAnsi="Calibri" w:eastAsia="Calibri" w:cs="Calibri"/>
        <w:color w:val="6B7280"/>
        <w:sz w:val="16"/>
        <w:szCs w:val="16"/>
      </w:rPr>
      <w:instrText xml:space="preserve">PAGE</w:instrText>
    </w:r>
    <w:r>
      <w:rPr>
        <w:rFonts w:ascii="Calibri" w:hAnsi="Calibri" w:eastAsia="Calibri" w:cs="Calibri"/>
        <w:color w:val="6B7280"/>
        <w:sz w:val="16"/>
        <w:szCs w:val="16"/>
      </w:rPr>
      <w:fldChar w:fldCharType="separate"/>
    </w:r>
    <w:r>
      <w:rPr>
        <w:rFonts w:ascii="Calibri" w:hAnsi="Calibri" w:eastAsia="Calibri" w:cs="Calibri"/>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997EA">
    <w:pPr>
      <w:jc w:val="right"/>
    </w:pPr>
    <w:r>
      <w:rPr>
        <w:rFonts w:ascii="Calibri" w:hAnsi="Calibri" w:eastAsia="Calibri" w:cs="Calibri"/>
        <w:color w:val="6B7280"/>
        <w:sz w:val="16"/>
        <w:szCs w:val="16"/>
      </w:rPr>
      <w:t>Veritics × Trybefuse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460" w:hanging="260"/>
      </w:pPr>
    </w:lvl>
  </w:abstractNum>
  <w:abstractNum w:abstractNumId="1">
    <w:nsid w:val="0053208E"/>
    <w:multiLevelType w:val="singleLevel"/>
    <w:tmpl w:val="0053208E"/>
    <w:lvl w:ilvl="0" w:tentative="0">
      <w:start w:val="1"/>
      <w:numFmt w:val="decimal"/>
      <w:lvlText w:val="%1."/>
      <w:lvlJc w:val="left"/>
      <w:pPr>
        <w:ind w:left="460" w:hanging="260"/>
      </w:pPr>
    </w:lvl>
  </w:abstractNum>
  <w:abstractNum w:abstractNumId="2">
    <w:nsid w:val="59ADCABA"/>
    <w:multiLevelType w:val="singleLevel"/>
    <w:tmpl w:val="59ADCABA"/>
    <w:lvl w:ilvl="0" w:tentative="0">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592359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2026-09-08T11:25:00Z</dcterms:created>
  <dc:creator>Un-named</dc:creator>
  <cp:lastModifiedBy>User</cp:lastModifiedBy>
  <dcterms:modified xsi:type="dcterms:W3CDTF">2026-09-08T11:32:52Z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17FC633D6B7C48C3B33EB74FA3630C70_12</vt:lpwstr>
  </property>
</Properties>
</file>