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4F6C"/>
          <w:sz w:val="52"/>
          <w:szCs w:val="52"/>
        </w:rPr>
        <w:t xml:space="preserve">MedCare Pharmacy Ltd.</w:t>
      </w:r>
    </w:p>
    <w:p>
      <w:pPr>
        <w:spacing w:after="40"/>
      </w:pPr>
      <w:r>
        <w:rPr>
          <w:color w:val="7C8B96"/>
          <w:sz w:val="30"/>
          <w:szCs w:val="30"/>
        </w:rPr>
        <w:t xml:space="preserve">Enterprise Inventory &amp; Supply Chain Analytics</w:t>
      </w:r>
    </w:p>
    <w:p>
      <w:pPr>
        <w:spacing w:after="260"/>
      </w:pPr>
      <w:r>
        <w:rPr>
          <w:b/>
          <w:bCs/>
          <w:color w:val="01BAEF"/>
          <w:sz w:val="24"/>
          <w:szCs w:val="24"/>
        </w:rPr>
        <w:t xml:space="preserve">Board of Directors Briefing</w:t>
      </w:r>
    </w:p>
    <w:p>
      <w:pPr>
        <w:spacing w:after="500"/>
      </w:pPr>
      <w:r>
        <w:rPr>
          <w:i/>
          <w:iCs/>
          <w:color w:val="7C8B96"/>
          <w:sz w:val="20"/>
          <w:szCs w:val="20"/>
        </w:rPr>
        <w:t xml:space="preserve">Prepared by the Data Analytics function · Covering FY2023–FY2025</w:t>
      </w:r>
    </w:p>
    <w:p>
      <w:pPr>
        <w:pStyle w:val="Heading1"/>
        <w:spacing w:after="160" w:before="320"/>
      </w:pPr>
      <w:r>
        <w:t xml:space="preserve">1. Executive Summary</w:t>
      </w:r>
    </w:p>
    <w:p>
      <w:pPr>
        <w:spacing w:after="160"/>
      </w:pPr>
      <w:r>
        <w:t xml:space="preserve">Across the three-year period analyzed, MedCare generated ₦116.6M in net revenue at a 27.2% gross margin. That margin is healthy on paper, but three structural issues are actively eroding it and creating operational risk: inventory availability, supplier reliability, and uneven branch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B4F6C" w:val="clear"/>
            <w:tcMar>
              <w:top w:type="dxa" w:w="120"/>
              <w:left w:type="dxa" w:w="120"/>
              <w:bottom w:type="dxa" w:w="120"/>
              <w:right w:type="dxa" w:w="120"/>
            </w:tcMar>
          </w:tcPr>
          <w:p>
            <w:pPr>
              <w:spacing w:after="60"/>
            </w:pPr>
            <w:r>
              <w:rPr>
                <w:b/>
                <w:bCs/>
                <w:color w:val="FFFFFF"/>
                <w:sz w:val="16"/>
                <w:szCs w:val="16"/>
              </w:rPr>
              <w:t xml:space="preserve">Net Revenue</w:t>
            </w:r>
          </w:p>
          <w:p>
            <w:r>
              <w:rPr>
                <w:b/>
                <w:bCs/>
                <w:color w:val="FFFFFF"/>
                <w:sz w:val="30"/>
                <w:szCs w:val="30"/>
              </w:rPr>
              <w:t xml:space="preserve">₦116.6M</w:t>
            </w:r>
          </w:p>
        </w:tc>
        <w:tc>
          <w:tcPr>
            <w:tcW w:type="pct" w:w="25%"/>
            <w:shd w:fill="3D7A93" w:val="clear"/>
            <w:tcMar>
              <w:top w:type="dxa" w:w="120"/>
              <w:left w:type="dxa" w:w="120"/>
              <w:bottom w:type="dxa" w:w="120"/>
              <w:right w:type="dxa" w:w="120"/>
            </w:tcMar>
          </w:tcPr>
          <w:p>
            <w:pPr>
              <w:spacing w:after="60"/>
            </w:pPr>
            <w:r>
              <w:rPr>
                <w:b/>
                <w:bCs/>
                <w:color w:val="FFFFFF"/>
                <w:sz w:val="16"/>
                <w:szCs w:val="16"/>
              </w:rPr>
              <w:t xml:space="preserve">Gross Margin</w:t>
            </w:r>
          </w:p>
          <w:p>
            <w:r>
              <w:rPr>
                <w:b/>
                <w:bCs/>
                <w:color w:val="FFFFFF"/>
                <w:sz w:val="30"/>
                <w:szCs w:val="30"/>
              </w:rPr>
              <w:t xml:space="preserve">27.2%</w:t>
            </w:r>
          </w:p>
        </w:tc>
        <w:tc>
          <w:tcPr>
            <w:tcW w:type="pct" w:w="25%"/>
            <w:shd w:fill="C4463D" w:val="clear"/>
            <w:tcMar>
              <w:top w:type="dxa" w:w="120"/>
              <w:left w:type="dxa" w:w="120"/>
              <w:bottom w:type="dxa" w:w="120"/>
              <w:right w:type="dxa" w:w="120"/>
            </w:tcMar>
          </w:tcPr>
          <w:p>
            <w:pPr>
              <w:spacing w:after="60"/>
            </w:pPr>
            <w:r>
              <w:rPr>
                <w:b/>
                <w:bCs/>
                <w:color w:val="FFFFFF"/>
                <w:sz w:val="16"/>
                <w:szCs w:val="16"/>
              </w:rPr>
              <w:t xml:space="preserve">SKUs Below Reorder</w:t>
            </w:r>
          </w:p>
          <w:p>
            <w:r>
              <w:rPr>
                <w:b/>
                <w:bCs/>
                <w:color w:val="FFFFFF"/>
                <w:sz w:val="30"/>
                <w:szCs w:val="30"/>
              </w:rPr>
              <w:t xml:space="preserve">23.0%</w:t>
            </w:r>
          </w:p>
        </w:tc>
        <w:tc>
          <w:tcPr>
            <w:tcW w:type="pct" w:w="25%"/>
            <w:shd w:fill="E8A33D" w:val="clear"/>
            <w:tcMar>
              <w:top w:type="dxa" w:w="120"/>
              <w:left w:type="dxa" w:w="120"/>
              <w:bottom w:type="dxa" w:w="120"/>
              <w:right w:type="dxa" w:w="120"/>
            </w:tcMar>
          </w:tcPr>
          <w:p>
            <w:pPr>
              <w:spacing w:after="60"/>
            </w:pPr>
            <w:r>
              <w:rPr>
                <w:b/>
                <w:bCs/>
                <w:color w:val="FFFFFF"/>
                <w:sz w:val="16"/>
                <w:szCs w:val="16"/>
              </w:rPr>
              <w:t xml:space="preserve">Orders Delayed</w:t>
            </w:r>
          </w:p>
          <w:p>
            <w:r>
              <w:rPr>
                <w:b/>
                <w:bCs/>
                <w:color w:val="FFFFFF"/>
                <w:sz w:val="30"/>
                <w:szCs w:val="30"/>
              </w:rPr>
              <w:t xml:space="preserve">14.2%</w:t>
            </w:r>
          </w:p>
        </w:tc>
      </w:tr>
    </w:tbl>
    <w:p>
      <w:pPr>
        <w:spacing w:after="260"/>
      </w:pPr>
    </w:p>
    <w:p>
      <w:pPr>
        <w:spacing w:after="160"/>
      </w:pPr>
      <w:r>
        <w:t xml:space="preserve">Revenue was essentially flat across the period (-3.2% comparing the first to the last month of data), which is the headline concern for the Board: the operational issues below are not just cost centers, they are actively capping growth.</w:t>
      </w:r>
    </w:p>
    <w:p>
      <w:pPr>
        <w:pStyle w:val="Heading1"/>
        <w:spacing w:after="160" w:before="320"/>
      </w:pPr>
      <w:r>
        <w:t xml:space="preserve">2. Inventory — Availability Is the Core Risk</w:t>
      </w:r>
    </w:p>
    <w:p>
      <w:pPr>
        <w:pStyle w:val="ListParagraph"/>
        <w:numPr>
          <w:ilvl w:val="0"/>
          <w:numId w:val="1"/>
        </w:numPr>
        <w:spacing w:after="90"/>
      </w:pPr>
      <w:r>
        <w:t xml:space="preserve">639 of 2,784 tracked SKUs (23%) sat at or below reorder level at the most recent inventory check — nearly one in four products carries active stock-out risk at any given time.</w:t>
      </w:r>
    </w:p>
    <w:p>
      <w:pPr>
        <w:pStyle w:val="ListParagraph"/>
        <w:numPr>
          <w:ilvl w:val="0"/>
          <w:numId w:val="1"/>
        </w:numPr>
        <w:spacing w:after="90"/>
      </w:pPr>
      <w:r>
        <w:t xml:space="preserve">Expired stock at the last snapshot was valued at ₦4.87M, concentrated in the Chronic Disease Management category (hypertension, diabetes, cardiovascular medication) — high-value, slow-moving items that sit too long on the shelf.</w:t>
      </w:r>
    </w:p>
    <w:p>
      <w:pPr>
        <w:pStyle w:val="ListParagraph"/>
        <w:numPr>
          <w:ilvl w:val="0"/>
          <w:numId w:val="1"/>
        </w:numPr>
        <w:spacing w:after="90"/>
      </w:pPr>
      <w:r>
        <w:t xml:space="preserve">Total inventory value on hand is ₦193.5M — more than 1.6x annual revenue tied up in stock. Combined with the expiry pattern above, this points to over-ordering of maintenance medication relative to actual demand.</w:t>
      </w:r>
    </w:p>
    <w:p>
      <w:pPr>
        <w:spacing w:after="160"/>
      </w:pPr>
      <w:r>
        <w:rPr>
          <w:b/>
          <w:bCs/>
          <w:color w:val="0B4F6C"/>
        </w:rPr>
        <w:t xml:space="preserve">Recommendation: Introduce category-specific reorder logic — chronic disease medication should follow demand-based (not fixed-interval) reordering, and a First-Expire-First-Out (FEFO) picking policy should be enforced at all three warehouses.</w:t>
      </w:r>
    </w:p>
    <w:p>
      <w:pPr>
        <w:pStyle w:val="Heading1"/>
        <w:spacing w:after="160" w:before="320"/>
      </w:pPr>
      <w:r>
        <w:t xml:space="preserve">3. Procurement — Supplier Base Needs Consolidation</w:t>
      </w:r>
    </w:p>
    <w:p>
      <w:pPr>
        <w:pStyle w:val="ListParagraph"/>
        <w:numPr>
          <w:ilvl w:val="0"/>
          <w:numId w:val="1"/>
        </w:numPr>
        <w:spacing w:after="90"/>
      </w:pPr>
      <w:r>
        <w:t xml:space="preserve">14.2% of the 20,000 purchase orders placed over the period were delayed, with an average lead time of 26.2 days across all suppliers — long for a business that also carries expiry risk on the receiving end.</w:t>
      </w:r>
    </w:p>
    <w:p>
      <w:pPr>
        <w:pStyle w:val="ListParagraph"/>
        <w:numPr>
          <w:ilvl w:val="0"/>
          <w:numId w:val="1"/>
        </w:numPr>
        <w:spacing w:after="90"/>
      </w:pPr>
      <w:r>
        <w:t xml:space="preserve">Only 14 of 60 suppliers (23%) are currently flagged as preferred vendors, despite several non-preferred suppliers scoring competitively on quality. This suggests the preferred-vendor designation may not be systematically tied to performance data.</w:t>
      </w:r>
    </w:p>
    <w:p>
      <w:pPr>
        <w:pStyle w:val="ListParagraph"/>
        <w:numPr>
          <w:ilvl w:val="0"/>
          <w:numId w:val="1"/>
        </w:numPr>
        <w:spacing w:after="90"/>
      </w:pPr>
      <w:r>
        <w:t xml:space="preserve">The five highest-quality-scoring suppliers (led by Meridian Drug Company and Emzor Pharmaceuticals Distributors) are not uniformly the highest-spend suppliers — spend is not currently concentrated toward best performers.</w:t>
      </w:r>
    </w:p>
    <w:p>
      <w:pPr>
        <w:spacing w:after="160"/>
      </w:pPr>
      <w:r>
        <w:rPr>
          <w:b/>
          <w:bCs/>
          <w:color w:val="0B4F6C"/>
        </w:rPr>
        <w:t xml:space="preserve">Recommendation: Formalize the preferred-vendor list using the quality/reliability scorecard already available in the data, and shift a defined share of purchase volume toward the top-quartile suppliers over the next two quarters. Renegotiate lead-time SLAs with chronically delayed suppliers or begin qualifying alternates.</w:t>
      </w:r>
    </w:p>
    <w:p>
      <w:pPr>
        <w:pStyle w:val="Heading1"/>
        <w:spacing w:after="160" w:before="320"/>
      </w:pPr>
      <w:r>
        <w:t xml:space="preserve">4. Sales — Concentration Risk in Two Branches</w:t>
      </w:r>
    </w:p>
    <w:p>
      <w:pPr>
        <w:pStyle w:val="ListParagraph"/>
        <w:numPr>
          <w:ilvl w:val="0"/>
          <w:numId w:val="1"/>
        </w:numPr>
        <w:spacing w:after="90"/>
      </w:pPr>
      <w:r>
        <w:t xml:space="preserve">Port Harcourt and Lagos together generate ~42% of total company revenue. The bottom two branches (Warri, Benin City) generate under 16% combined.</w:t>
      </w:r>
    </w:p>
    <w:p>
      <w:pPr>
        <w:pStyle w:val="ListParagraph"/>
        <w:numPr>
          <w:ilvl w:val="0"/>
          <w:numId w:val="1"/>
        </w:numPr>
        <w:spacing w:after="90"/>
      </w:pPr>
      <w:r>
        <w:t xml:space="preserve">The 18–45 age bracket drives roughly 55% of total revenue — the core commercial demographic MedCare should be designing loyalty and stock strategy around.</w:t>
      </w:r>
    </w:p>
    <w:p>
      <w:pPr>
        <w:pStyle w:val="ListParagraph"/>
        <w:numPr>
          <w:ilvl w:val="0"/>
          <w:numId w:val="1"/>
        </w:numPr>
        <w:spacing w:after="90"/>
      </w:pPr>
      <w:r>
        <w:t xml:space="preserve">Cash remains the dominant payment method (42%), with card and transfer together at ~48% — a meaningful and growing digital-payment base worth supporting with faster checkout infrastructure.</w:t>
      </w:r>
    </w:p>
    <w:p>
      <w:pPr>
        <w:spacing w:after="160"/>
      </w:pPr>
      <w:r>
        <w:rPr>
          <w:b/>
          <w:bCs/>
          <w:color w:val="0B4F6C"/>
        </w:rPr>
        <w:t xml:space="preserve">Recommendation: Treat Port Harcourt and Lagos as the template branches — replicate their staffing, stock mix, and layout patterns in underperforming branches rather than treating all 8 branches as operationally identical.</w:t>
      </w:r>
    </w:p>
    <w:p>
      <w:pPr>
        <w:pStyle w:val="Heading1"/>
        <w:spacing w:after="160" w:before="320"/>
      </w:pPr>
      <w:r>
        <w:t xml:space="preserve">5. Warehousing</w:t>
      </w:r>
    </w:p>
    <w:p>
      <w:pPr>
        <w:pStyle w:val="ListParagraph"/>
        <w:numPr>
          <w:ilvl w:val="0"/>
          <w:numId w:val="1"/>
        </w:numPr>
        <w:spacing w:after="90"/>
      </w:pPr>
      <w:r>
        <w:t xml:space="preserve">Expiry rates are consistent across all three warehouses (2.4%–2.5%) — this is a company-wide process issue, not a single-site problem, reinforcing the case for a FEFO policy applied uniformly rather than a site-specific fix.</w:t>
      </w:r>
    </w:p>
    <w:p>
      <w:pPr>
        <w:pStyle w:val="ListParagraph"/>
        <w:numPr>
          <w:ilvl w:val="0"/>
          <w:numId w:val="1"/>
        </w:numPr>
        <w:spacing w:after="90"/>
      </w:pPr>
      <w:r>
        <w:t xml:space="preserve">Warehouse 2 carries the highest cold-storage load relative to its capacity and also the highest monthly operating cost (₦6.8M) — worth a capacity-utilization review before approving further warehouse expansion spend.</w:t>
      </w:r>
    </w:p>
    <w:p>
      <w:pPr>
        <w:pStyle w:val="Heading1"/>
        <w:spacing w:after="160" w:before="320"/>
      </w:pPr>
      <w:r>
        <w:t xml:space="preserve">6. Branch &amp; Employee Performance</w:t>
      </w:r>
    </w:p>
    <w:p>
      <w:pPr>
        <w:pStyle w:val="ListParagraph"/>
        <w:numPr>
          <w:ilvl w:val="0"/>
          <w:numId w:val="1"/>
        </w:numPr>
        <w:spacing w:after="90"/>
      </w:pPr>
      <w:r>
        <w:t xml:space="preserve">Gross margin is remarkably consistent across branches (27.0%–27.3%) — meaning underperformance in Warri and Benin City is a volume problem, not a pricing or cost-structure problem, which is the easier of the two to fix operationally.</w:t>
      </w:r>
    </w:p>
    <w:p>
      <w:pPr>
        <w:pStyle w:val="ListParagraph"/>
        <w:numPr>
          <w:ilvl w:val="0"/>
          <w:numId w:val="1"/>
        </w:numPr>
        <w:spacing w:after="90"/>
      </w:pPr>
      <w:r>
        <w:t xml:space="preserve">Customer satisfaction is fairly uniform across branches (3.84–3.90 out of 5) with no clear outlier — this rules out satisfaction as the explanation for the branch revenue gap; the gap is more likely driven by footfall, catchment size, or stock availability.</w:t>
      </w:r>
    </w:p>
    <w:p>
      <w:pPr>
        <w:pStyle w:val="ListParagraph"/>
        <w:numPr>
          <w:ilvl w:val="0"/>
          <w:numId w:val="1"/>
        </w:numPr>
        <w:spacing w:after="90"/>
      </w:pPr>
      <w:r>
        <w:t xml:space="preserve">Employee experience shows no measurable correlation with revenue generated in this dataset — tenure alone is not a reliable predictor of sales performance, which argues for performance-based rather than seniority-based incentive design.</w:t>
      </w:r>
    </w:p>
    <w:p>
      <w:pPr>
        <w:pStyle w:val="Heading1"/>
        <w:spacing w:after="160" w:before="320"/>
      </w:pPr>
      <w:r>
        <w:t xml:space="preserve">7. Summary Recommendations for the Board</w:t>
      </w:r>
    </w:p>
    <w:p>
      <w:pPr>
        <w:pStyle w:val="ListParagraph"/>
        <w:numPr>
          <w:ilvl w:val="0"/>
          <w:numId w:val="1"/>
        </w:numPr>
        <w:spacing w:after="90"/>
      </w:pPr>
      <w:r>
        <w:t xml:space="preserve">Approve a FEFO inventory policy rollout across all three warehouses to address the expiry-loss pattern common to all sites.</w:t>
      </w:r>
    </w:p>
    <w:p>
      <w:pPr>
        <w:pStyle w:val="ListParagraph"/>
        <w:numPr>
          <w:ilvl w:val="0"/>
          <w:numId w:val="1"/>
        </w:numPr>
        <w:spacing w:after="90"/>
      </w:pPr>
      <w:r>
        <w:t xml:space="preserve">Mandate quarterly supplier scorecard reviews, with purchase volume formally weighted toward top-quartile-scoring vendors.</w:t>
      </w:r>
    </w:p>
    <w:p>
      <w:pPr>
        <w:pStyle w:val="ListParagraph"/>
        <w:numPr>
          <w:ilvl w:val="0"/>
          <w:numId w:val="1"/>
        </w:numPr>
        <w:spacing w:after="90"/>
      </w:pPr>
      <w:r>
        <w:t xml:space="preserve">Commission a footfall/catchment study for Warri and Benin City before further investment, since satisfaction and margin data rule out service quality as the cause of their underperformance.</w:t>
      </w:r>
    </w:p>
    <w:p>
      <w:pPr>
        <w:pStyle w:val="ListParagraph"/>
        <w:numPr>
          <w:ilvl w:val="0"/>
          <w:numId w:val="1"/>
        </w:numPr>
        <w:spacing w:after="90"/>
      </w:pPr>
      <w:r>
        <w:t xml:space="preserve">Shift incentive structures for pharmacist/sales staff toward performance metrics rather than tenure, given the absence of an experience-revenue correlation in current data.</w:t>
      </w:r>
    </w:p>
    <w:p>
      <w:pPr>
        <w:pStyle w:val="Heading1"/>
        <w:spacing w:after="160" w:before="320"/>
      </w:pPr>
      <w:r>
        <w:t xml:space="preserve">Appendix — Data &amp; Methodology Note</w:t>
      </w:r>
    </w:p>
    <w:p>
      <w:pPr>
        <w:spacing w:after="160"/>
      </w:pPr>
      <w:r>
        <w:rPr>
          <w:i/>
          <w:iCs/>
          <w:color w:val="7C8B96"/>
          <w:sz w:val="20"/>
          <w:szCs w:val="20"/>
        </w:rPr>
        <w:t xml:space="preserve">This analysis is built on a structured simulation of MedCare's operations (synthetic transactional data generated to preserve realistic relationships between suppliers, inventory, and sales), developed as part of an internal analytics capability build. Percentage-based findings, rankings, and trend patterns are the reliable output of this exercise and the basis for the recommendations above. Absolute currency totals for procurement spend were generated independently of sales volume and should not be read as reconciled against revenue; a live data integration would correct this before the next reporting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2026-08-17T10:16:00.994Z</dcterms:created>
  <dcterms:modified xsi:type="dcterms:W3CDTF">2026-08-17T10:16:01.006Z</dcterms:modified>
</cp:coreProperties>
</file>

<file path=docProps/custom.xml><?xml version="1.0" encoding="utf-8"?>
<Properties xmlns="http://schemas.openxmlformats.org/officeDocument/2006/custom-properties" xmlns:vt="http://schemas.openxmlformats.org/officeDocument/2006/docPropsVTypes"/>
</file>