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587A" w14:textId="1E5AA39E" w:rsidR="00366746" w:rsidRPr="00550296" w:rsidRDefault="00366746" w:rsidP="00366746">
      <w:pPr>
        <w:jc w:val="center"/>
        <w:rPr>
          <w:rFonts w:cstheme="minorHAnsi"/>
          <w:sz w:val="24"/>
          <w:szCs w:val="24"/>
        </w:rPr>
      </w:pPr>
      <w:r w:rsidRPr="00550296">
        <w:rPr>
          <w:rFonts w:cstheme="minorHAnsi"/>
          <w:noProof/>
          <w:sz w:val="24"/>
          <w:szCs w:val="24"/>
        </w:rPr>
        <w:drawing>
          <wp:inline distT="0" distB="0" distL="0" distR="0" wp14:anchorId="1643A30B" wp14:editId="390CFB56">
            <wp:extent cx="5731510" cy="3213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6C14" w14:textId="77777777" w:rsidR="00366746" w:rsidRPr="00550296" w:rsidRDefault="00366746" w:rsidP="007C4AC6">
      <w:pPr>
        <w:rPr>
          <w:rFonts w:cstheme="minorHAnsi"/>
          <w:sz w:val="24"/>
          <w:szCs w:val="24"/>
        </w:rPr>
      </w:pPr>
    </w:p>
    <w:p w14:paraId="4F19DBEE" w14:textId="0FE93921" w:rsidR="00101C1D" w:rsidRPr="00550296" w:rsidRDefault="008A5165" w:rsidP="00366746">
      <w:pPr>
        <w:jc w:val="center"/>
        <w:rPr>
          <w:rFonts w:cstheme="minorHAnsi"/>
          <w:sz w:val="44"/>
          <w:szCs w:val="44"/>
        </w:rPr>
      </w:pPr>
      <w:r w:rsidRPr="00550296">
        <w:rPr>
          <w:rFonts w:cstheme="minorHAnsi"/>
          <w:sz w:val="44"/>
          <w:szCs w:val="44"/>
        </w:rPr>
        <w:t>CREDITRUST LOAN PERFORMANCE ANALYSIS</w:t>
      </w:r>
    </w:p>
    <w:p w14:paraId="17F25ED4" w14:textId="77777777" w:rsidR="007C4AC6" w:rsidRPr="00550296" w:rsidRDefault="007C4AC6" w:rsidP="00366746">
      <w:pPr>
        <w:jc w:val="center"/>
        <w:rPr>
          <w:rFonts w:cstheme="minorHAnsi"/>
          <w:sz w:val="44"/>
          <w:szCs w:val="44"/>
        </w:rPr>
      </w:pPr>
    </w:p>
    <w:p w14:paraId="72C63992" w14:textId="77777777" w:rsidR="007C4AC6" w:rsidRPr="00550296" w:rsidRDefault="007C4AC6" w:rsidP="00366746">
      <w:pPr>
        <w:jc w:val="center"/>
        <w:rPr>
          <w:rFonts w:cstheme="minorHAnsi"/>
          <w:sz w:val="44"/>
          <w:szCs w:val="44"/>
        </w:rPr>
      </w:pPr>
    </w:p>
    <w:p w14:paraId="5C21C620" w14:textId="55506DED" w:rsidR="008A5165" w:rsidRPr="00550296" w:rsidRDefault="008A5165" w:rsidP="00366746">
      <w:pPr>
        <w:jc w:val="center"/>
        <w:rPr>
          <w:rFonts w:cstheme="minorHAnsi"/>
          <w:sz w:val="44"/>
          <w:szCs w:val="44"/>
        </w:rPr>
      </w:pPr>
      <w:r w:rsidRPr="00550296">
        <w:rPr>
          <w:rFonts w:cstheme="minorHAnsi"/>
          <w:sz w:val="44"/>
          <w:szCs w:val="44"/>
        </w:rPr>
        <w:t>BY</w:t>
      </w:r>
    </w:p>
    <w:p w14:paraId="0995F225" w14:textId="0AD64368" w:rsidR="008A5165" w:rsidRPr="00550296" w:rsidRDefault="00370A76" w:rsidP="00366746">
      <w:pPr>
        <w:jc w:val="center"/>
        <w:rPr>
          <w:rFonts w:cstheme="minorHAnsi"/>
          <w:sz w:val="44"/>
          <w:szCs w:val="44"/>
        </w:rPr>
      </w:pPr>
      <w:r w:rsidRPr="00550296">
        <w:rPr>
          <w:rFonts w:cstheme="minorHAnsi"/>
          <w:sz w:val="44"/>
          <w:szCs w:val="44"/>
        </w:rPr>
        <w:t>Group 1</w:t>
      </w:r>
    </w:p>
    <w:p w14:paraId="216C73DC" w14:textId="77777777" w:rsidR="007C4AC6" w:rsidRPr="00550296" w:rsidRDefault="007C4AC6" w:rsidP="00366746">
      <w:pPr>
        <w:jc w:val="center"/>
        <w:rPr>
          <w:rFonts w:cstheme="minorHAnsi"/>
          <w:sz w:val="44"/>
          <w:szCs w:val="44"/>
        </w:rPr>
      </w:pPr>
    </w:p>
    <w:p w14:paraId="624CF4BF" w14:textId="77777777" w:rsidR="007C4AC6" w:rsidRPr="00550296" w:rsidRDefault="007C4AC6" w:rsidP="00366746">
      <w:pPr>
        <w:jc w:val="center"/>
        <w:rPr>
          <w:rFonts w:cstheme="minorHAnsi"/>
          <w:sz w:val="44"/>
          <w:szCs w:val="44"/>
        </w:rPr>
      </w:pPr>
    </w:p>
    <w:p w14:paraId="2C7262D2" w14:textId="77777777" w:rsidR="007C4AC6" w:rsidRPr="00550296" w:rsidRDefault="007C4AC6" w:rsidP="00366746">
      <w:pPr>
        <w:jc w:val="center"/>
        <w:rPr>
          <w:rFonts w:cstheme="minorHAnsi"/>
          <w:sz w:val="44"/>
          <w:szCs w:val="44"/>
        </w:rPr>
      </w:pPr>
    </w:p>
    <w:p w14:paraId="0210BBBA" w14:textId="77777777" w:rsidR="007C4AC6" w:rsidRPr="00550296" w:rsidRDefault="007C4AC6" w:rsidP="00366746">
      <w:pPr>
        <w:jc w:val="center"/>
        <w:rPr>
          <w:rFonts w:cstheme="minorHAnsi"/>
          <w:sz w:val="44"/>
          <w:szCs w:val="44"/>
        </w:rPr>
      </w:pPr>
    </w:p>
    <w:p w14:paraId="2B822CB4" w14:textId="717FE460" w:rsidR="00550296" w:rsidRDefault="008A5165" w:rsidP="00550296">
      <w:pPr>
        <w:jc w:val="center"/>
        <w:rPr>
          <w:rFonts w:cstheme="minorHAnsi"/>
          <w:sz w:val="44"/>
          <w:szCs w:val="44"/>
        </w:rPr>
      </w:pPr>
      <w:r w:rsidRPr="00550296">
        <w:rPr>
          <w:rFonts w:cstheme="minorHAnsi"/>
          <w:sz w:val="44"/>
          <w:szCs w:val="44"/>
        </w:rPr>
        <w:t>11-05-202</w:t>
      </w:r>
    </w:p>
    <w:p w14:paraId="52691F19" w14:textId="77777777" w:rsidR="00550296" w:rsidRPr="00550296" w:rsidRDefault="00550296" w:rsidP="00550296">
      <w:pPr>
        <w:jc w:val="center"/>
        <w:rPr>
          <w:rFonts w:cstheme="minorHAnsi"/>
          <w:sz w:val="44"/>
          <w:szCs w:val="44"/>
        </w:rPr>
      </w:pPr>
    </w:p>
    <w:p w14:paraId="11451ADE" w14:textId="77777777" w:rsidR="008A5165" w:rsidRPr="00550296" w:rsidRDefault="008A5165" w:rsidP="008A516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AE"/>
        </w:rPr>
      </w:pPr>
      <w:r w:rsidRPr="00550296">
        <w:rPr>
          <w:rFonts w:eastAsia="Times New Roman" w:cstheme="minorHAnsi"/>
          <w:b/>
          <w:bCs/>
          <w:kern w:val="36"/>
          <w:sz w:val="32"/>
          <w:szCs w:val="32"/>
          <w:lang w:eastAsia="en-AE"/>
        </w:rPr>
        <w:lastRenderedPageBreak/>
        <w:t>TABLE OF CONTENTS</w:t>
      </w:r>
    </w:p>
    <w:p w14:paraId="232474FE" w14:textId="77777777" w:rsidR="008A5165" w:rsidRPr="00550296" w:rsidRDefault="008A5165" w:rsidP="008A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 xml:space="preserve">Executive Summary </w:t>
      </w:r>
    </w:p>
    <w:p w14:paraId="13877A26" w14:textId="5D0D29B9" w:rsidR="008A5165" w:rsidRPr="00550296" w:rsidRDefault="008A5165" w:rsidP="005E7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 xml:space="preserve">Dashboard Overview </w:t>
      </w:r>
    </w:p>
    <w:p w14:paraId="4F65BBA0" w14:textId="77777777" w:rsidR="008A5165" w:rsidRPr="00550296" w:rsidRDefault="008A5165" w:rsidP="008A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 xml:space="preserve">Customer &amp; Loan Analysis </w:t>
      </w:r>
    </w:p>
    <w:p w14:paraId="0CDBCF55" w14:textId="77777777" w:rsidR="008A5165" w:rsidRPr="00550296" w:rsidRDefault="008A5165" w:rsidP="008A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 xml:space="preserve">Risk &amp; Default Analysis </w:t>
      </w:r>
    </w:p>
    <w:p w14:paraId="67AD9A10" w14:textId="77777777" w:rsidR="008A5165" w:rsidRPr="00550296" w:rsidRDefault="008A5165" w:rsidP="008A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 xml:space="preserve">Key Insights </w:t>
      </w:r>
    </w:p>
    <w:p w14:paraId="09FC3BC5" w14:textId="77777777" w:rsidR="008A5165" w:rsidRPr="00550296" w:rsidRDefault="008A5165" w:rsidP="008A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 xml:space="preserve">Recommendations </w:t>
      </w:r>
    </w:p>
    <w:p w14:paraId="2C8DB3E2" w14:textId="77777777" w:rsidR="008A5165" w:rsidRPr="00550296" w:rsidRDefault="008A5165" w:rsidP="008A5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550296">
        <w:rPr>
          <w:rFonts w:eastAsia="Times New Roman" w:cstheme="minorHAnsi"/>
          <w:sz w:val="24"/>
          <w:szCs w:val="24"/>
          <w:lang w:eastAsia="en-AE"/>
        </w:rPr>
        <w:t>Conclusion</w:t>
      </w:r>
    </w:p>
    <w:p w14:paraId="009F0569" w14:textId="533AAB3C" w:rsidR="008A5165" w:rsidRPr="00550296" w:rsidRDefault="008A5165">
      <w:pPr>
        <w:rPr>
          <w:rFonts w:cstheme="minorHAnsi"/>
          <w:sz w:val="24"/>
          <w:szCs w:val="24"/>
        </w:rPr>
      </w:pPr>
    </w:p>
    <w:p w14:paraId="0CC7F73D" w14:textId="6E649BD9" w:rsidR="008A5165" w:rsidRPr="00550296" w:rsidRDefault="008A5165">
      <w:pPr>
        <w:rPr>
          <w:rFonts w:cstheme="minorHAnsi"/>
          <w:sz w:val="24"/>
          <w:szCs w:val="24"/>
        </w:rPr>
      </w:pPr>
    </w:p>
    <w:p w14:paraId="24BBD8FB" w14:textId="557FE67B" w:rsidR="008A5165" w:rsidRPr="00550296" w:rsidRDefault="008A5165">
      <w:pPr>
        <w:rPr>
          <w:rFonts w:cstheme="minorHAnsi"/>
          <w:sz w:val="24"/>
          <w:szCs w:val="24"/>
        </w:rPr>
      </w:pPr>
    </w:p>
    <w:p w14:paraId="26B9D999" w14:textId="42DD7F0D" w:rsidR="008A5165" w:rsidRPr="00550296" w:rsidRDefault="008A5165">
      <w:pPr>
        <w:rPr>
          <w:rFonts w:cstheme="minorHAnsi"/>
          <w:sz w:val="24"/>
          <w:szCs w:val="24"/>
        </w:rPr>
      </w:pPr>
    </w:p>
    <w:p w14:paraId="465FDF9A" w14:textId="6711F487" w:rsidR="008A5165" w:rsidRPr="00550296" w:rsidRDefault="008A5165">
      <w:pPr>
        <w:rPr>
          <w:rFonts w:cstheme="minorHAnsi"/>
          <w:sz w:val="24"/>
          <w:szCs w:val="24"/>
        </w:rPr>
      </w:pPr>
    </w:p>
    <w:p w14:paraId="36DEDA3A" w14:textId="1E66AE3A" w:rsidR="008A5165" w:rsidRPr="00550296" w:rsidRDefault="008A5165">
      <w:pPr>
        <w:rPr>
          <w:rFonts w:cstheme="minorHAnsi"/>
          <w:sz w:val="24"/>
          <w:szCs w:val="24"/>
        </w:rPr>
      </w:pPr>
    </w:p>
    <w:p w14:paraId="6436A1AA" w14:textId="1EE4D23F" w:rsidR="008A5165" w:rsidRPr="00550296" w:rsidRDefault="008A5165">
      <w:pPr>
        <w:rPr>
          <w:rFonts w:cstheme="minorHAnsi"/>
          <w:sz w:val="24"/>
          <w:szCs w:val="24"/>
        </w:rPr>
      </w:pPr>
    </w:p>
    <w:p w14:paraId="4B628C69" w14:textId="1EB1639A" w:rsidR="008A5165" w:rsidRPr="00550296" w:rsidRDefault="008A5165">
      <w:pPr>
        <w:rPr>
          <w:rFonts w:cstheme="minorHAnsi"/>
          <w:sz w:val="24"/>
          <w:szCs w:val="24"/>
        </w:rPr>
      </w:pPr>
    </w:p>
    <w:p w14:paraId="1646BB0D" w14:textId="3282ACBA" w:rsidR="008A5165" w:rsidRPr="00550296" w:rsidRDefault="008A5165">
      <w:pPr>
        <w:rPr>
          <w:rFonts w:cstheme="minorHAnsi"/>
          <w:sz w:val="24"/>
          <w:szCs w:val="24"/>
        </w:rPr>
      </w:pPr>
    </w:p>
    <w:p w14:paraId="5A292E97" w14:textId="78ED3A95" w:rsidR="008A5165" w:rsidRPr="00550296" w:rsidRDefault="008A5165">
      <w:pPr>
        <w:rPr>
          <w:rFonts w:cstheme="minorHAnsi"/>
          <w:sz w:val="24"/>
          <w:szCs w:val="24"/>
        </w:rPr>
      </w:pPr>
    </w:p>
    <w:p w14:paraId="3FED5D44" w14:textId="101FCC5A" w:rsidR="008A5165" w:rsidRPr="00550296" w:rsidRDefault="008A5165">
      <w:pPr>
        <w:rPr>
          <w:rFonts w:cstheme="minorHAnsi"/>
          <w:sz w:val="24"/>
          <w:szCs w:val="24"/>
        </w:rPr>
      </w:pPr>
    </w:p>
    <w:p w14:paraId="2EEF5996" w14:textId="2F4C8E82" w:rsidR="008A5165" w:rsidRPr="00550296" w:rsidRDefault="008A5165">
      <w:pPr>
        <w:rPr>
          <w:rFonts w:cstheme="minorHAnsi"/>
          <w:sz w:val="24"/>
          <w:szCs w:val="24"/>
        </w:rPr>
      </w:pPr>
    </w:p>
    <w:p w14:paraId="2703E1DA" w14:textId="5AFC2CC1" w:rsidR="008A5165" w:rsidRPr="00550296" w:rsidRDefault="008A5165">
      <w:pPr>
        <w:rPr>
          <w:rFonts w:cstheme="minorHAnsi"/>
          <w:sz w:val="24"/>
          <w:szCs w:val="24"/>
        </w:rPr>
      </w:pPr>
    </w:p>
    <w:p w14:paraId="174DC9AC" w14:textId="1E3E91FF" w:rsidR="008A5165" w:rsidRPr="00550296" w:rsidRDefault="008A5165">
      <w:pPr>
        <w:rPr>
          <w:rFonts w:cstheme="minorHAnsi"/>
          <w:sz w:val="24"/>
          <w:szCs w:val="24"/>
        </w:rPr>
      </w:pPr>
    </w:p>
    <w:p w14:paraId="61739430" w14:textId="2A08EA41" w:rsidR="008A5165" w:rsidRPr="00550296" w:rsidRDefault="008A5165">
      <w:pPr>
        <w:rPr>
          <w:rFonts w:cstheme="minorHAnsi"/>
          <w:sz w:val="24"/>
          <w:szCs w:val="24"/>
        </w:rPr>
      </w:pPr>
    </w:p>
    <w:p w14:paraId="330F79E9" w14:textId="73C49F41" w:rsidR="008A5165" w:rsidRPr="00550296" w:rsidRDefault="008A5165">
      <w:pPr>
        <w:rPr>
          <w:rFonts w:cstheme="minorHAnsi"/>
          <w:sz w:val="24"/>
          <w:szCs w:val="24"/>
        </w:rPr>
      </w:pPr>
    </w:p>
    <w:p w14:paraId="591E88FB" w14:textId="0379F581" w:rsidR="008A5165" w:rsidRPr="00550296" w:rsidRDefault="008A5165">
      <w:pPr>
        <w:rPr>
          <w:rFonts w:cstheme="minorHAnsi"/>
          <w:sz w:val="24"/>
          <w:szCs w:val="24"/>
        </w:rPr>
      </w:pPr>
    </w:p>
    <w:p w14:paraId="78CC140D" w14:textId="482A2DC9" w:rsidR="008A5165" w:rsidRPr="00550296" w:rsidRDefault="008A5165">
      <w:pPr>
        <w:rPr>
          <w:rFonts w:cstheme="minorHAnsi"/>
          <w:sz w:val="24"/>
          <w:szCs w:val="24"/>
        </w:rPr>
      </w:pPr>
    </w:p>
    <w:p w14:paraId="152B43A0" w14:textId="37CE0F2B" w:rsidR="008A5165" w:rsidRPr="00550296" w:rsidRDefault="008A5165">
      <w:pPr>
        <w:rPr>
          <w:rFonts w:cstheme="minorHAnsi"/>
          <w:sz w:val="24"/>
          <w:szCs w:val="24"/>
        </w:rPr>
      </w:pPr>
    </w:p>
    <w:p w14:paraId="60725123" w14:textId="1C9F87F4" w:rsidR="008A5165" w:rsidRPr="00550296" w:rsidRDefault="008A5165">
      <w:pPr>
        <w:rPr>
          <w:rFonts w:cstheme="minorHAnsi"/>
          <w:sz w:val="24"/>
          <w:szCs w:val="24"/>
        </w:rPr>
      </w:pPr>
    </w:p>
    <w:p w14:paraId="7A29575D" w14:textId="25DAF566" w:rsidR="00077456" w:rsidRDefault="00077456">
      <w:pPr>
        <w:rPr>
          <w:rFonts w:cstheme="minorHAnsi"/>
          <w:sz w:val="24"/>
          <w:szCs w:val="24"/>
        </w:rPr>
      </w:pPr>
    </w:p>
    <w:p w14:paraId="5C05126F" w14:textId="77777777" w:rsidR="00550296" w:rsidRPr="00550296" w:rsidRDefault="00550296">
      <w:pPr>
        <w:rPr>
          <w:rFonts w:cstheme="minorHAnsi"/>
          <w:sz w:val="24"/>
          <w:szCs w:val="24"/>
        </w:rPr>
      </w:pPr>
    </w:p>
    <w:p w14:paraId="2F2F661F" w14:textId="486D7BDE" w:rsidR="008A5165" w:rsidRPr="00550296" w:rsidRDefault="008A5165">
      <w:pPr>
        <w:rPr>
          <w:rFonts w:cstheme="minorHAnsi"/>
          <w:sz w:val="24"/>
          <w:szCs w:val="24"/>
        </w:rPr>
      </w:pPr>
    </w:p>
    <w:p w14:paraId="2B35CDDD" w14:textId="3C49C87D" w:rsidR="008A5165" w:rsidRPr="00550296" w:rsidRDefault="008A5165" w:rsidP="00787AC7">
      <w:pPr>
        <w:jc w:val="center"/>
        <w:rPr>
          <w:rFonts w:cstheme="minorHAnsi"/>
          <w:b/>
          <w:bCs/>
          <w:sz w:val="32"/>
          <w:szCs w:val="32"/>
        </w:rPr>
      </w:pPr>
      <w:r w:rsidRPr="00550296">
        <w:rPr>
          <w:rFonts w:cstheme="minorHAnsi"/>
          <w:b/>
          <w:bCs/>
          <w:sz w:val="32"/>
          <w:szCs w:val="32"/>
        </w:rPr>
        <w:lastRenderedPageBreak/>
        <w:t>EXECUTIVE SUMMARY</w:t>
      </w:r>
    </w:p>
    <w:p w14:paraId="5F0A75ED" w14:textId="77777777" w:rsidR="00183923" w:rsidRPr="00183923" w:rsidRDefault="00183923" w:rsidP="0055029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AE"/>
        </w:rPr>
      </w:pPr>
      <w:r w:rsidRPr="00183923">
        <w:rPr>
          <w:rFonts w:eastAsia="Times New Roman" w:cstheme="minorHAnsi"/>
          <w:sz w:val="24"/>
          <w:szCs w:val="24"/>
          <w:lang w:eastAsia="en-AE"/>
        </w:rPr>
        <w:t xml:space="preserve">The analysis evaluates the performance and risk profile of </w:t>
      </w:r>
      <w:proofErr w:type="spellStart"/>
      <w:r w:rsidRPr="00183923">
        <w:rPr>
          <w:rFonts w:eastAsia="Times New Roman" w:cstheme="minorHAnsi"/>
          <w:sz w:val="24"/>
          <w:szCs w:val="24"/>
          <w:lang w:eastAsia="en-AE"/>
        </w:rPr>
        <w:t>Creditrust’s</w:t>
      </w:r>
      <w:proofErr w:type="spellEnd"/>
      <w:r w:rsidRPr="00183923">
        <w:rPr>
          <w:rFonts w:eastAsia="Times New Roman" w:cstheme="minorHAnsi"/>
          <w:sz w:val="24"/>
          <w:szCs w:val="24"/>
          <w:lang w:eastAsia="en-AE"/>
        </w:rPr>
        <w:t xml:space="preserve"> loan portfolio using customer segmentation, credit quality, employment status, income level, loan purpose, and risk tier. The findings reveal a relatively high portfolio default rate of 46.47%, with significant exposure concentrated among high-risk borrowers, unemployed customers, and customers with poor credit quality.</w:t>
      </w:r>
    </w:p>
    <w:p w14:paraId="2F5AE801" w14:textId="77777777" w:rsidR="00183923" w:rsidRPr="00183923" w:rsidRDefault="00183923" w:rsidP="0055029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AE"/>
        </w:rPr>
      </w:pPr>
      <w:r w:rsidRPr="00183923">
        <w:rPr>
          <w:rFonts w:eastAsia="Times New Roman" w:cstheme="minorHAnsi"/>
          <w:sz w:val="24"/>
          <w:szCs w:val="24"/>
          <w:lang w:eastAsia="en-AE"/>
        </w:rPr>
        <w:t xml:space="preserve">The portfolio contains a total loan exposure of $218 million distributed across 150 customers, with high-risk exposure accounting for $17 million (7.93%) of the portfolio. The analysis further highlights that loan purpose, employment status, and credit score are major determinants of default </w:t>
      </w:r>
      <w:proofErr w:type="spellStart"/>
      <w:r w:rsidRPr="00183923">
        <w:rPr>
          <w:rFonts w:eastAsia="Times New Roman" w:cstheme="minorHAnsi"/>
          <w:sz w:val="24"/>
          <w:szCs w:val="24"/>
          <w:lang w:eastAsia="en-AE"/>
        </w:rPr>
        <w:t>behavior</w:t>
      </w:r>
      <w:proofErr w:type="spellEnd"/>
      <w:r w:rsidRPr="00183923">
        <w:rPr>
          <w:rFonts w:eastAsia="Times New Roman" w:cstheme="minorHAnsi"/>
          <w:sz w:val="24"/>
          <w:szCs w:val="24"/>
          <w:lang w:eastAsia="en-AE"/>
        </w:rPr>
        <w:t>.</w:t>
      </w:r>
    </w:p>
    <w:p w14:paraId="332E9CA3" w14:textId="62CCCEEB" w:rsidR="00787AC7" w:rsidRPr="00550296" w:rsidRDefault="00787AC7" w:rsidP="00550296">
      <w:pPr>
        <w:jc w:val="both"/>
        <w:rPr>
          <w:rFonts w:cstheme="minorHAnsi"/>
          <w:sz w:val="24"/>
          <w:szCs w:val="24"/>
        </w:rPr>
      </w:pPr>
    </w:p>
    <w:p w14:paraId="662B0974" w14:textId="1C169031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28A6749B" w14:textId="14D418C1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27C671AA" w14:textId="03036087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339ABF62" w14:textId="52ACF01D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4F846D63" w14:textId="26655B8A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1975782E" w14:textId="4A903548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1958EA51" w14:textId="0321F321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4878FA53" w14:textId="64282AFA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7405AE15" w14:textId="18F43FBC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6D3DDC8C" w14:textId="7942CB1C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1276F2E0" w14:textId="78503F08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398F16EF" w14:textId="416FA092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726FE165" w14:textId="4926D029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710C8118" w14:textId="07C16B83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22462262" w14:textId="0FECEEC7" w:rsid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0F9105F6" w14:textId="499E74A6" w:rsid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5EEDECAE" w14:textId="689DAA06" w:rsid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039087B8" w14:textId="77777777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18295D07" w14:textId="05E29828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60F3FC5D" w14:textId="0B2560B8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33FC19A8" w14:textId="77777777" w:rsidR="00550296" w:rsidRPr="00550296" w:rsidRDefault="00550296" w:rsidP="00550296">
      <w:pPr>
        <w:jc w:val="both"/>
        <w:rPr>
          <w:rFonts w:cstheme="minorHAnsi"/>
          <w:sz w:val="24"/>
          <w:szCs w:val="24"/>
        </w:rPr>
      </w:pPr>
    </w:p>
    <w:p w14:paraId="3E13F381" w14:textId="58DA3F34" w:rsidR="008A5165" w:rsidRPr="00550296" w:rsidRDefault="001D4316" w:rsidP="00550296">
      <w:pPr>
        <w:jc w:val="both"/>
        <w:rPr>
          <w:rFonts w:cstheme="minorHAnsi"/>
          <w:b/>
          <w:bCs/>
          <w:sz w:val="24"/>
          <w:szCs w:val="24"/>
        </w:rPr>
      </w:pPr>
      <w:r w:rsidRPr="00550296">
        <w:rPr>
          <w:rFonts w:cstheme="minorHAnsi"/>
          <w:b/>
          <w:bCs/>
          <w:sz w:val="24"/>
          <w:szCs w:val="24"/>
        </w:rPr>
        <w:t>DASHBOARD OVERVIEW</w:t>
      </w:r>
    </w:p>
    <w:p w14:paraId="67DBD739" w14:textId="6D0F5563" w:rsidR="001D4316" w:rsidRPr="00550296" w:rsidRDefault="0071400E" w:rsidP="00550296">
      <w:pPr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>Key Performance Indicators (KPIs)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9877A3" w:rsidRPr="00550296" w14:paraId="43562808" w14:textId="77777777" w:rsidTr="00550296">
        <w:trPr>
          <w:jc w:val="center"/>
        </w:trPr>
        <w:tc>
          <w:tcPr>
            <w:tcW w:w="3006" w:type="dxa"/>
          </w:tcPr>
          <w:p w14:paraId="380C9DEB" w14:textId="0AC31F48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KPI</w:t>
            </w:r>
          </w:p>
        </w:tc>
        <w:tc>
          <w:tcPr>
            <w:tcW w:w="3005" w:type="dxa"/>
          </w:tcPr>
          <w:p w14:paraId="57131018" w14:textId="67583D5C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VALUES</w:t>
            </w:r>
          </w:p>
        </w:tc>
        <w:tc>
          <w:tcPr>
            <w:tcW w:w="3005" w:type="dxa"/>
          </w:tcPr>
          <w:p w14:paraId="115D4CC0" w14:textId="31B3D036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INSIGHTS</w:t>
            </w:r>
          </w:p>
        </w:tc>
      </w:tr>
      <w:tr w:rsidR="009877A3" w:rsidRPr="00550296" w14:paraId="701922AA" w14:textId="77777777" w:rsidTr="00550296">
        <w:trPr>
          <w:jc w:val="center"/>
        </w:trPr>
        <w:tc>
          <w:tcPr>
            <w:tcW w:w="3006" w:type="dxa"/>
          </w:tcPr>
          <w:p w14:paraId="5B4AA348" w14:textId="5DC68276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Total Loan Amount</w:t>
            </w:r>
          </w:p>
        </w:tc>
        <w:tc>
          <w:tcPr>
            <w:tcW w:w="3005" w:type="dxa"/>
          </w:tcPr>
          <w:p w14:paraId="1EBDE09A" w14:textId="755E276B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$218 million</w:t>
            </w:r>
          </w:p>
          <w:p w14:paraId="5966DBF8" w14:textId="7777777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5A1198A0" w14:textId="208250A0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Indicates the total portfolio exposure under management.</w:t>
            </w:r>
          </w:p>
        </w:tc>
      </w:tr>
      <w:tr w:rsidR="009877A3" w:rsidRPr="00550296" w14:paraId="219CC70C" w14:textId="77777777" w:rsidTr="00550296">
        <w:trPr>
          <w:jc w:val="center"/>
        </w:trPr>
        <w:tc>
          <w:tcPr>
            <w:tcW w:w="3006" w:type="dxa"/>
          </w:tcPr>
          <w:p w14:paraId="0F53CD38" w14:textId="3DDA2074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High Risk Exposure</w:t>
            </w:r>
          </w:p>
        </w:tc>
        <w:tc>
          <w:tcPr>
            <w:tcW w:w="3005" w:type="dxa"/>
          </w:tcPr>
          <w:p w14:paraId="1CF4A1C1" w14:textId="6E3A2FA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$17 million</w:t>
            </w:r>
          </w:p>
        </w:tc>
        <w:tc>
          <w:tcPr>
            <w:tcW w:w="3005" w:type="dxa"/>
          </w:tcPr>
          <w:p w14:paraId="6FEE3CBB" w14:textId="49E601B9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A significant portion of the portfolio is exposed to borrowers with elevated default risk.</w:t>
            </w:r>
          </w:p>
        </w:tc>
      </w:tr>
      <w:tr w:rsidR="009877A3" w:rsidRPr="00550296" w14:paraId="409B2C22" w14:textId="77777777" w:rsidTr="00550296">
        <w:trPr>
          <w:jc w:val="center"/>
        </w:trPr>
        <w:tc>
          <w:tcPr>
            <w:tcW w:w="3006" w:type="dxa"/>
          </w:tcPr>
          <w:p w14:paraId="0BD07476" w14:textId="6C6BCF3D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High Risk Exposure %</w:t>
            </w:r>
          </w:p>
        </w:tc>
        <w:tc>
          <w:tcPr>
            <w:tcW w:w="3005" w:type="dxa"/>
          </w:tcPr>
          <w:p w14:paraId="571096AD" w14:textId="6C8319BF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7.93%</w:t>
            </w:r>
          </w:p>
        </w:tc>
        <w:tc>
          <w:tcPr>
            <w:tcW w:w="3005" w:type="dxa"/>
          </w:tcPr>
          <w:p w14:paraId="32715373" w14:textId="29E84D49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Nearly 8% of total loans are tied to high-risk customers, increasing potential portfolio losses.</w:t>
            </w:r>
          </w:p>
        </w:tc>
      </w:tr>
      <w:tr w:rsidR="009877A3" w:rsidRPr="00550296" w14:paraId="51C4B12C" w14:textId="77777777" w:rsidTr="00550296">
        <w:trPr>
          <w:jc w:val="center"/>
        </w:trPr>
        <w:tc>
          <w:tcPr>
            <w:tcW w:w="3006" w:type="dxa"/>
          </w:tcPr>
          <w:p w14:paraId="08285CA0" w14:textId="4B6114B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Default Rate</w:t>
            </w:r>
          </w:p>
        </w:tc>
        <w:tc>
          <w:tcPr>
            <w:tcW w:w="3005" w:type="dxa"/>
          </w:tcPr>
          <w:p w14:paraId="0F7629CA" w14:textId="115EEBD0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46.47%</w:t>
            </w:r>
          </w:p>
        </w:tc>
        <w:tc>
          <w:tcPr>
            <w:tcW w:w="3005" w:type="dxa"/>
          </w:tcPr>
          <w:p w14:paraId="432DDEAF" w14:textId="0F31A53F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The portfolio default rate is considerably high, suggesting weak repayment performance across customer segments.</w:t>
            </w:r>
          </w:p>
        </w:tc>
      </w:tr>
      <w:tr w:rsidR="009877A3" w:rsidRPr="00550296" w14:paraId="01ACE0A8" w14:textId="77777777" w:rsidTr="00550296">
        <w:trPr>
          <w:jc w:val="center"/>
        </w:trPr>
        <w:tc>
          <w:tcPr>
            <w:tcW w:w="3006" w:type="dxa"/>
          </w:tcPr>
          <w:p w14:paraId="01CDB769" w14:textId="13577AB8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Total Customers</w:t>
            </w:r>
          </w:p>
        </w:tc>
        <w:tc>
          <w:tcPr>
            <w:tcW w:w="3005" w:type="dxa"/>
          </w:tcPr>
          <w:p w14:paraId="4C01E321" w14:textId="58D9A40A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150 customers</w:t>
            </w:r>
          </w:p>
        </w:tc>
        <w:tc>
          <w:tcPr>
            <w:tcW w:w="3005" w:type="dxa"/>
          </w:tcPr>
          <w:p w14:paraId="7F73345D" w14:textId="7CB5154D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Portfolio size is relatively small, meaning individual defaults may heavily impact overall performance.</w:t>
            </w:r>
          </w:p>
        </w:tc>
      </w:tr>
      <w:tr w:rsidR="009877A3" w:rsidRPr="00550296" w14:paraId="2178D0E8" w14:textId="77777777" w:rsidTr="00550296">
        <w:trPr>
          <w:jc w:val="center"/>
        </w:trPr>
        <w:tc>
          <w:tcPr>
            <w:tcW w:w="3006" w:type="dxa"/>
          </w:tcPr>
          <w:p w14:paraId="60332CB9" w14:textId="6B0A035E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Average Loan Amount</w:t>
            </w:r>
          </w:p>
        </w:tc>
        <w:tc>
          <w:tcPr>
            <w:tcW w:w="3005" w:type="dxa"/>
          </w:tcPr>
          <w:p w14:paraId="2647AF0B" w14:textId="3772A125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$1.45 million</w:t>
            </w:r>
          </w:p>
        </w:tc>
        <w:tc>
          <w:tcPr>
            <w:tcW w:w="3005" w:type="dxa"/>
          </w:tcPr>
          <w:p w14:paraId="271310D0" w14:textId="71FFA698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The institution issues relatively large loans per customer, increasing exposure concentration risk.</w:t>
            </w:r>
          </w:p>
        </w:tc>
      </w:tr>
      <w:tr w:rsidR="009877A3" w:rsidRPr="00550296" w14:paraId="0C847EA7" w14:textId="77777777" w:rsidTr="00550296">
        <w:trPr>
          <w:jc w:val="center"/>
        </w:trPr>
        <w:tc>
          <w:tcPr>
            <w:tcW w:w="3006" w:type="dxa"/>
          </w:tcPr>
          <w:p w14:paraId="32F329DA" w14:textId="69B0A49C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 xml:space="preserve">% </w:t>
            </w:r>
            <w:proofErr w:type="gramStart"/>
            <w:r w:rsidRPr="00550296">
              <w:rPr>
                <w:rFonts w:cstheme="minorHAnsi"/>
                <w:sz w:val="24"/>
                <w:szCs w:val="24"/>
              </w:rPr>
              <w:t>of</w:t>
            </w:r>
            <w:proofErr w:type="gramEnd"/>
            <w:r w:rsidRPr="00550296">
              <w:rPr>
                <w:rFonts w:cstheme="minorHAnsi"/>
                <w:sz w:val="24"/>
                <w:szCs w:val="24"/>
              </w:rPr>
              <w:t xml:space="preserve"> High Risk Customers</w:t>
            </w:r>
          </w:p>
        </w:tc>
        <w:tc>
          <w:tcPr>
            <w:tcW w:w="3005" w:type="dxa"/>
          </w:tcPr>
          <w:p w14:paraId="29DAF7C1" w14:textId="7777777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9.33%</w:t>
            </w:r>
          </w:p>
          <w:p w14:paraId="3599544E" w14:textId="7777777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56441272" w14:textId="7557DB2C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Although high-risk customers represent a small portion of borrowers, they contribute disproportionately to defaults</w:t>
            </w:r>
          </w:p>
        </w:tc>
      </w:tr>
      <w:tr w:rsidR="009877A3" w:rsidRPr="00550296" w14:paraId="63210655" w14:textId="77777777" w:rsidTr="00550296">
        <w:trPr>
          <w:jc w:val="center"/>
        </w:trPr>
        <w:tc>
          <w:tcPr>
            <w:tcW w:w="3006" w:type="dxa"/>
          </w:tcPr>
          <w:p w14:paraId="51FB7AF9" w14:textId="06C36E24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Total Defaulters</w:t>
            </w:r>
          </w:p>
        </w:tc>
        <w:tc>
          <w:tcPr>
            <w:tcW w:w="3005" w:type="dxa"/>
          </w:tcPr>
          <w:p w14:paraId="37A9860A" w14:textId="0FC6283F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70 people</w:t>
            </w:r>
          </w:p>
        </w:tc>
        <w:tc>
          <w:tcPr>
            <w:tcW w:w="3005" w:type="dxa"/>
          </w:tcPr>
          <w:p w14:paraId="7D87F077" w14:textId="11A7FEB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Nearly half of all borrowers defaulted, indicating elevated portfolio instability.</w:t>
            </w:r>
          </w:p>
        </w:tc>
      </w:tr>
      <w:tr w:rsidR="009877A3" w:rsidRPr="00550296" w14:paraId="77AFD005" w14:textId="77777777" w:rsidTr="00550296">
        <w:trPr>
          <w:jc w:val="center"/>
        </w:trPr>
        <w:tc>
          <w:tcPr>
            <w:tcW w:w="3006" w:type="dxa"/>
          </w:tcPr>
          <w:p w14:paraId="04FCC386" w14:textId="4CB86385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 xml:space="preserve">% </w:t>
            </w:r>
            <w:proofErr w:type="gramStart"/>
            <w:r w:rsidRPr="00550296">
              <w:rPr>
                <w:rFonts w:cstheme="minorHAnsi"/>
                <w:sz w:val="24"/>
                <w:szCs w:val="24"/>
              </w:rPr>
              <w:t>of</w:t>
            </w:r>
            <w:proofErr w:type="gramEnd"/>
            <w:r w:rsidRPr="00550296">
              <w:rPr>
                <w:rFonts w:cstheme="minorHAnsi"/>
                <w:sz w:val="24"/>
                <w:szCs w:val="24"/>
              </w:rPr>
              <w:t xml:space="preserve"> Previous Defaulters</w:t>
            </w:r>
          </w:p>
        </w:tc>
        <w:tc>
          <w:tcPr>
            <w:tcW w:w="3005" w:type="dxa"/>
          </w:tcPr>
          <w:p w14:paraId="6FE59A95" w14:textId="16CF38F8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17.33%</w:t>
            </w:r>
          </w:p>
        </w:tc>
        <w:tc>
          <w:tcPr>
            <w:tcW w:w="3005" w:type="dxa"/>
          </w:tcPr>
          <w:p w14:paraId="56683B17" w14:textId="2F6E7EEB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A notable percentage of customers had prior default history, suggesting possible weaknesses in underwriting controls.</w:t>
            </w:r>
          </w:p>
        </w:tc>
      </w:tr>
      <w:tr w:rsidR="009877A3" w:rsidRPr="00550296" w14:paraId="6D07213F" w14:textId="77777777" w:rsidTr="00550296">
        <w:trPr>
          <w:jc w:val="center"/>
        </w:trPr>
        <w:tc>
          <w:tcPr>
            <w:tcW w:w="3006" w:type="dxa"/>
          </w:tcPr>
          <w:p w14:paraId="2ECC5AE2" w14:textId="774C81A0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lastRenderedPageBreak/>
              <w:t>Average Risk Score</w:t>
            </w:r>
          </w:p>
        </w:tc>
        <w:tc>
          <w:tcPr>
            <w:tcW w:w="3005" w:type="dxa"/>
          </w:tcPr>
          <w:p w14:paraId="70C76EBC" w14:textId="35FC8A48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3005" w:type="dxa"/>
          </w:tcPr>
          <w:p w14:paraId="2DF00BF2" w14:textId="6E27C70F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The overall portfolio risk profile leans toward medium-to-high credit risk.</w:t>
            </w:r>
          </w:p>
        </w:tc>
      </w:tr>
    </w:tbl>
    <w:p w14:paraId="6723EC49" w14:textId="3451AB66" w:rsidR="00F67CBE" w:rsidRPr="00550296" w:rsidRDefault="006E3E70" w:rsidP="00550296">
      <w:pPr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 </w:t>
      </w:r>
    </w:p>
    <w:p w14:paraId="14E7E208" w14:textId="77777777" w:rsidR="009877A3" w:rsidRPr="00550296" w:rsidRDefault="009877A3" w:rsidP="00550296">
      <w:pPr>
        <w:pStyle w:val="Heading1"/>
        <w:jc w:val="center"/>
        <w:rPr>
          <w:rFonts w:asciiTheme="minorHAnsi" w:hAnsiTheme="minorHAnsi" w:cstheme="minorHAnsi"/>
          <w:sz w:val="32"/>
          <w:szCs w:val="32"/>
        </w:rPr>
      </w:pPr>
      <w:r w:rsidRPr="00550296">
        <w:rPr>
          <w:rFonts w:asciiTheme="minorHAnsi" w:hAnsiTheme="minorHAnsi" w:cstheme="minorHAnsi"/>
          <w:sz w:val="32"/>
          <w:szCs w:val="32"/>
        </w:rPr>
        <w:t>Loan and Risk Distribution Analysis</w:t>
      </w:r>
    </w:p>
    <w:p w14:paraId="1ED70960" w14:textId="77777777" w:rsidR="009877A3" w:rsidRPr="00550296" w:rsidRDefault="009877A3" w:rsidP="00550296">
      <w:pPr>
        <w:pStyle w:val="Heading2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50296">
        <w:rPr>
          <w:rFonts w:asciiTheme="minorHAnsi" w:hAnsiTheme="minorHAnsi" w:cstheme="minorHAnsi"/>
          <w:b/>
          <w:bCs/>
          <w:color w:val="auto"/>
          <w:sz w:val="24"/>
          <w:szCs w:val="24"/>
        </w:rPr>
        <w:t>Employment Status and Risk Exposure</w:t>
      </w:r>
    </w:p>
    <w:p w14:paraId="3A8F71C1" w14:textId="77777777" w:rsidR="009877A3" w:rsidRPr="00550296" w:rsidRDefault="009877A3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The analysis shows that unemployed customers exhibited the highest concentration of high-risk borrowers, while employed customers demonstrated the lowest risk exposure.</w:t>
      </w:r>
    </w:p>
    <w:p w14:paraId="2C0BD6B3" w14:textId="77777777" w:rsidR="009877A3" w:rsidRPr="00550296" w:rsidRDefault="009877A3" w:rsidP="00550296">
      <w:pPr>
        <w:pStyle w:val="Heading3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  <w:color w:val="auto"/>
        </w:rPr>
        <w:t>Insights</w:t>
      </w:r>
    </w:p>
    <w:p w14:paraId="5D3865D8" w14:textId="77777777" w:rsidR="009877A3" w:rsidRPr="00550296" w:rsidRDefault="009877A3" w:rsidP="005502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Employed customers recorded the lowest high-risk customer ratio at 6.6%, indicating stronger repayment reliability and financial stability. </w:t>
      </w:r>
    </w:p>
    <w:p w14:paraId="57A800FC" w14:textId="77777777" w:rsidR="009877A3" w:rsidRPr="00550296" w:rsidRDefault="009877A3" w:rsidP="005502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Self-employed customers showed moderate risk exposure with approximately $6M in high-risk loan disbursement. </w:t>
      </w:r>
    </w:p>
    <w:p w14:paraId="633AA481" w14:textId="77777777" w:rsidR="009877A3" w:rsidRPr="00550296" w:rsidRDefault="009877A3" w:rsidP="005502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Unemployed customers had the highest proportion of high-risk borrowers at 11.3%, reflecting increased repayment uncertainty due to unstable income sources. </w:t>
      </w:r>
    </w:p>
    <w:p w14:paraId="5BC5C459" w14:textId="77777777" w:rsidR="009877A3" w:rsidRPr="00550296" w:rsidRDefault="009877A3" w:rsidP="0055029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Loan exposure among employed customers was substantially larger, suggesting the institution has greater confidence in salaried borrowers. </w:t>
      </w:r>
    </w:p>
    <w:p w14:paraId="4D0A8238" w14:textId="77777777" w:rsidR="009877A3" w:rsidRPr="00550296" w:rsidRDefault="009877A3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550296">
        <w:rPr>
          <w:rFonts w:asciiTheme="minorHAnsi" w:hAnsiTheme="minorHAnsi" w:cstheme="minorHAnsi"/>
          <w:color w:val="auto"/>
        </w:rPr>
        <w:t>Business Interpretation</w:t>
      </w:r>
    </w:p>
    <w:p w14:paraId="273269CC" w14:textId="77777777" w:rsidR="009877A3" w:rsidRPr="00550296" w:rsidRDefault="009877A3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Employment stability appears to strongly influence repayment performance. Customers with unstable or inconsistent income streams contribute more significantly to portfolio risk.</w:t>
      </w:r>
    </w:p>
    <w:p w14:paraId="7E9DEED2" w14:textId="77777777" w:rsidR="009877A3" w:rsidRPr="00550296" w:rsidRDefault="009877A3" w:rsidP="00550296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550296">
        <w:rPr>
          <w:rFonts w:asciiTheme="minorHAnsi" w:hAnsiTheme="minorHAnsi" w:cstheme="minorHAnsi"/>
          <w:sz w:val="24"/>
          <w:szCs w:val="24"/>
        </w:rPr>
        <w:t>Customer Income Distribution Analysis</w:t>
      </w:r>
    </w:p>
    <w:p w14:paraId="0BDFE581" w14:textId="77777777" w:rsidR="009877A3" w:rsidRPr="00550296" w:rsidRDefault="009877A3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The customer base was primarily composed of medium- and high-income earners.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77A3" w:rsidRPr="00550296" w14:paraId="7897B68D" w14:textId="77777777" w:rsidTr="009877A3">
        <w:tc>
          <w:tcPr>
            <w:tcW w:w="4508" w:type="dxa"/>
          </w:tcPr>
          <w:p w14:paraId="18B90870" w14:textId="77777777" w:rsidR="000A14EB" w:rsidRPr="00550296" w:rsidRDefault="000A14EB" w:rsidP="00550296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550296">
              <w:rPr>
                <w:rFonts w:cstheme="minorHAnsi"/>
                <w:b/>
                <w:bCs/>
                <w:sz w:val="24"/>
                <w:szCs w:val="24"/>
              </w:rPr>
              <w:t>Income Band</w:t>
            </w:r>
          </w:p>
          <w:p w14:paraId="6173F46D" w14:textId="77777777" w:rsidR="009877A3" w:rsidRPr="00550296" w:rsidRDefault="009877A3" w:rsidP="0055029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874EC3D" w14:textId="6A674536" w:rsidR="009877A3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Share of Customers</w:t>
            </w:r>
          </w:p>
        </w:tc>
      </w:tr>
      <w:tr w:rsidR="009877A3" w:rsidRPr="00550296" w14:paraId="70BD7458" w14:textId="77777777" w:rsidTr="009877A3">
        <w:tc>
          <w:tcPr>
            <w:tcW w:w="4508" w:type="dxa"/>
          </w:tcPr>
          <w:p w14:paraId="6F43299E" w14:textId="4BA6C1D3" w:rsidR="009877A3" w:rsidRPr="00550296" w:rsidRDefault="000A14EB" w:rsidP="00550296">
            <w:pPr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Medium Income</w:t>
            </w:r>
          </w:p>
        </w:tc>
        <w:tc>
          <w:tcPr>
            <w:tcW w:w="4508" w:type="dxa"/>
          </w:tcPr>
          <w:p w14:paraId="7EA08FE6" w14:textId="74633EEC" w:rsidR="009877A3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40.0%</w:t>
            </w:r>
          </w:p>
        </w:tc>
      </w:tr>
      <w:tr w:rsidR="009877A3" w:rsidRPr="00550296" w14:paraId="2F9F451B" w14:textId="77777777" w:rsidTr="009877A3">
        <w:tc>
          <w:tcPr>
            <w:tcW w:w="4508" w:type="dxa"/>
          </w:tcPr>
          <w:p w14:paraId="2F2555AC" w14:textId="035EF29B" w:rsidR="009877A3" w:rsidRPr="00550296" w:rsidRDefault="000A14EB" w:rsidP="00550296">
            <w:pPr>
              <w:tabs>
                <w:tab w:val="left" w:pos="2780"/>
              </w:tabs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High Income</w:t>
            </w:r>
          </w:p>
        </w:tc>
        <w:tc>
          <w:tcPr>
            <w:tcW w:w="4508" w:type="dxa"/>
          </w:tcPr>
          <w:p w14:paraId="46546B25" w14:textId="61D5329E" w:rsidR="009877A3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39.3%</w:t>
            </w:r>
          </w:p>
        </w:tc>
      </w:tr>
      <w:tr w:rsidR="009877A3" w:rsidRPr="00550296" w14:paraId="7D41433C" w14:textId="77777777" w:rsidTr="009877A3">
        <w:tc>
          <w:tcPr>
            <w:tcW w:w="4508" w:type="dxa"/>
          </w:tcPr>
          <w:p w14:paraId="0C2AEE69" w14:textId="71FE967F" w:rsidR="009877A3" w:rsidRPr="00550296" w:rsidRDefault="000A14EB" w:rsidP="00550296">
            <w:pPr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Low Income</w:t>
            </w:r>
          </w:p>
        </w:tc>
        <w:tc>
          <w:tcPr>
            <w:tcW w:w="4508" w:type="dxa"/>
          </w:tcPr>
          <w:p w14:paraId="6608DE33" w14:textId="53138773" w:rsidR="009877A3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20.7%</w:t>
            </w:r>
          </w:p>
        </w:tc>
      </w:tr>
    </w:tbl>
    <w:p w14:paraId="6B517978" w14:textId="394D401C" w:rsidR="00595FE6" w:rsidRPr="00550296" w:rsidRDefault="00595FE6" w:rsidP="00550296">
      <w:pPr>
        <w:jc w:val="both"/>
        <w:rPr>
          <w:rFonts w:cstheme="minorHAnsi"/>
          <w:sz w:val="24"/>
          <w:szCs w:val="24"/>
        </w:rPr>
      </w:pPr>
    </w:p>
    <w:p w14:paraId="289A6D6A" w14:textId="77777777" w:rsidR="000A14EB" w:rsidRPr="00550296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550296">
        <w:rPr>
          <w:rFonts w:asciiTheme="minorHAnsi" w:hAnsiTheme="minorHAnsi" w:cstheme="minorHAnsi"/>
          <w:color w:val="auto"/>
        </w:rPr>
        <w:t>Insights</w:t>
      </w:r>
    </w:p>
    <w:p w14:paraId="476448FC" w14:textId="77777777" w:rsidR="000A14EB" w:rsidRPr="00550296" w:rsidRDefault="000A14EB" w:rsidP="005502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Medium-income earners represented the largest customer segment, indicating the institution’s primary target market. </w:t>
      </w:r>
    </w:p>
    <w:p w14:paraId="6D50BE57" w14:textId="77777777" w:rsidR="000A14EB" w:rsidRPr="00550296" w:rsidRDefault="000A14EB" w:rsidP="005502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Low-income customers contributed disproportionately to high-risk classifications despite representing the smallest customer group. </w:t>
      </w:r>
    </w:p>
    <w:p w14:paraId="4DA304CB" w14:textId="77777777" w:rsidR="000A14EB" w:rsidRPr="00550296" w:rsidRDefault="000A14EB" w:rsidP="005502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Approximately 57.1% of high-risk customers belonged to the low-income category. </w:t>
      </w:r>
    </w:p>
    <w:p w14:paraId="01FBBCE3" w14:textId="77777777" w:rsidR="000A14EB" w:rsidRPr="00550296" w:rsidRDefault="000A14EB" w:rsidP="0055029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lastRenderedPageBreak/>
        <w:t xml:space="preserve">High-income earners displayed relatively lower risk concentration, suggesting stronger repayment capacity. </w:t>
      </w:r>
    </w:p>
    <w:p w14:paraId="3189FB7A" w14:textId="77777777" w:rsidR="000A14EB" w:rsidRPr="00550296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550296">
        <w:rPr>
          <w:rFonts w:asciiTheme="minorHAnsi" w:hAnsiTheme="minorHAnsi" w:cstheme="minorHAnsi"/>
          <w:color w:val="auto"/>
        </w:rPr>
        <w:t>Business Interpretation</w:t>
      </w:r>
    </w:p>
    <w:p w14:paraId="158134D7" w14:textId="77777777" w:rsidR="000A14EB" w:rsidRPr="00550296" w:rsidRDefault="000A14EB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Lower-income customers are more financially vulnerable and more likely to experience repayment difficulties, increasing default exposure within the portfolio.</w:t>
      </w:r>
    </w:p>
    <w:p w14:paraId="281B9462" w14:textId="77777777" w:rsidR="000A14EB" w:rsidRPr="00550296" w:rsidRDefault="000A14EB" w:rsidP="00550296">
      <w:pPr>
        <w:jc w:val="both"/>
        <w:rPr>
          <w:rFonts w:cstheme="minorHAnsi"/>
          <w:b/>
          <w:bCs/>
          <w:sz w:val="24"/>
          <w:szCs w:val="24"/>
        </w:rPr>
      </w:pPr>
      <w:r w:rsidRPr="00550296">
        <w:rPr>
          <w:rFonts w:cstheme="minorHAnsi"/>
          <w:b/>
          <w:bCs/>
          <w:sz w:val="24"/>
          <w:szCs w:val="24"/>
        </w:rPr>
        <w:t>Default Rate by Loan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14EB" w:rsidRPr="00550296" w14:paraId="214BBD28" w14:textId="77777777" w:rsidTr="000A14EB">
        <w:tc>
          <w:tcPr>
            <w:tcW w:w="4508" w:type="dxa"/>
          </w:tcPr>
          <w:p w14:paraId="5C620D76" w14:textId="1790C8E6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Loan Purpose</w:t>
            </w:r>
          </w:p>
        </w:tc>
        <w:tc>
          <w:tcPr>
            <w:tcW w:w="4508" w:type="dxa"/>
          </w:tcPr>
          <w:p w14:paraId="38AB5E41" w14:textId="612B3908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Default Rate</w:t>
            </w:r>
          </w:p>
        </w:tc>
      </w:tr>
      <w:tr w:rsidR="000A14EB" w:rsidRPr="00550296" w14:paraId="32154E21" w14:textId="77777777" w:rsidTr="000A14EB">
        <w:tc>
          <w:tcPr>
            <w:tcW w:w="4508" w:type="dxa"/>
          </w:tcPr>
          <w:p w14:paraId="71A45D54" w14:textId="0A2806A8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Car Loan</w:t>
            </w:r>
          </w:p>
        </w:tc>
        <w:tc>
          <w:tcPr>
            <w:tcW w:w="4508" w:type="dxa"/>
          </w:tcPr>
          <w:p w14:paraId="499D4964" w14:textId="1BFD55C1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52.3%</w:t>
            </w:r>
          </w:p>
        </w:tc>
      </w:tr>
      <w:tr w:rsidR="000A14EB" w:rsidRPr="00550296" w14:paraId="6A64183B" w14:textId="77777777" w:rsidTr="000A14EB">
        <w:tc>
          <w:tcPr>
            <w:tcW w:w="4508" w:type="dxa"/>
          </w:tcPr>
          <w:p w14:paraId="766328CB" w14:textId="16795534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Business Loan</w:t>
            </w:r>
          </w:p>
        </w:tc>
        <w:tc>
          <w:tcPr>
            <w:tcW w:w="4508" w:type="dxa"/>
          </w:tcPr>
          <w:p w14:paraId="5520E7A9" w14:textId="10DCAAA1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50.0%</w:t>
            </w:r>
          </w:p>
        </w:tc>
      </w:tr>
      <w:tr w:rsidR="000A14EB" w:rsidRPr="00550296" w14:paraId="668494C5" w14:textId="77777777" w:rsidTr="000A14EB">
        <w:tc>
          <w:tcPr>
            <w:tcW w:w="4508" w:type="dxa"/>
          </w:tcPr>
          <w:p w14:paraId="1D028779" w14:textId="35B8C4F7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Educational Loan</w:t>
            </w:r>
          </w:p>
        </w:tc>
        <w:tc>
          <w:tcPr>
            <w:tcW w:w="4508" w:type="dxa"/>
          </w:tcPr>
          <w:p w14:paraId="0513DFFD" w14:textId="50846E9D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46.2%</w:t>
            </w:r>
          </w:p>
        </w:tc>
      </w:tr>
      <w:tr w:rsidR="000A14EB" w:rsidRPr="00550296" w14:paraId="4A76261B" w14:textId="77777777" w:rsidTr="000A14EB">
        <w:tc>
          <w:tcPr>
            <w:tcW w:w="4508" w:type="dxa"/>
          </w:tcPr>
          <w:p w14:paraId="074C3BB0" w14:textId="6257CF0D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Personal Loan</w:t>
            </w:r>
          </w:p>
        </w:tc>
        <w:tc>
          <w:tcPr>
            <w:tcW w:w="4508" w:type="dxa"/>
          </w:tcPr>
          <w:p w14:paraId="129A748E" w14:textId="56D396F2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35.5%</w:t>
            </w:r>
          </w:p>
        </w:tc>
      </w:tr>
    </w:tbl>
    <w:p w14:paraId="63A14BEF" w14:textId="3B64E114" w:rsidR="00370A76" w:rsidRPr="00550296" w:rsidRDefault="00370A76" w:rsidP="00550296">
      <w:pPr>
        <w:jc w:val="both"/>
        <w:rPr>
          <w:rFonts w:cstheme="minorHAnsi"/>
          <w:sz w:val="24"/>
          <w:szCs w:val="24"/>
        </w:rPr>
      </w:pPr>
    </w:p>
    <w:p w14:paraId="0E097A85" w14:textId="77777777" w:rsidR="000A14EB" w:rsidRPr="00550296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550296">
        <w:rPr>
          <w:rFonts w:asciiTheme="minorHAnsi" w:hAnsiTheme="minorHAnsi" w:cstheme="minorHAnsi"/>
          <w:color w:val="auto"/>
        </w:rPr>
        <w:t>Insights</w:t>
      </w:r>
    </w:p>
    <w:p w14:paraId="1CADEAE1" w14:textId="77777777" w:rsidR="000A14EB" w:rsidRPr="00550296" w:rsidRDefault="000A14EB" w:rsidP="005502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Car loans recorded the highest default rate, indicating potential weaknesses in borrower affordability assessment or asset financing policies. </w:t>
      </w:r>
    </w:p>
    <w:p w14:paraId="571873CE" w14:textId="77777777" w:rsidR="000A14EB" w:rsidRPr="00550296" w:rsidRDefault="000A14EB" w:rsidP="005502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Business loans also showed elevated default levels, likely due to income volatility and business performance uncertainty. </w:t>
      </w:r>
    </w:p>
    <w:p w14:paraId="601F9D45" w14:textId="77777777" w:rsidR="000A14EB" w:rsidRPr="00550296" w:rsidRDefault="000A14EB" w:rsidP="005502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Personal loans exhibited the lowest default rate overall, despite some high-risk customers defaulting completely within this category. </w:t>
      </w:r>
    </w:p>
    <w:p w14:paraId="37E14E70" w14:textId="77777777" w:rsidR="000A14EB" w:rsidRPr="00550296" w:rsidRDefault="000A14EB" w:rsidP="0055029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High-risk borrowers consistently demonstrated severe repayment issues across multiple loan categories. </w:t>
      </w:r>
    </w:p>
    <w:p w14:paraId="598AE784" w14:textId="77777777" w:rsidR="000A14EB" w:rsidRPr="00E32F2C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E32F2C">
        <w:rPr>
          <w:rFonts w:asciiTheme="minorHAnsi" w:hAnsiTheme="minorHAnsi" w:cstheme="minorHAnsi"/>
          <w:color w:val="auto"/>
        </w:rPr>
        <w:t>Segment-Specific Observations</w:t>
      </w:r>
    </w:p>
    <w:p w14:paraId="40E0A212" w14:textId="77777777" w:rsidR="000A14EB" w:rsidRPr="00550296" w:rsidRDefault="000A14EB" w:rsidP="005502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All high-risk customers who obtained personal loans defaulted. </w:t>
      </w:r>
    </w:p>
    <w:p w14:paraId="04B674B1" w14:textId="77777777" w:rsidR="000A14EB" w:rsidRPr="00550296" w:rsidRDefault="000A14EB" w:rsidP="005502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High-risk employed customers defaulted entirely on car, educational, and personal loans. </w:t>
      </w:r>
    </w:p>
    <w:p w14:paraId="66A77035" w14:textId="77777777" w:rsidR="000A14EB" w:rsidRPr="00550296" w:rsidRDefault="000A14EB" w:rsidP="005502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High-risk self-employed customers showed 100% default occurrence in personal loans. </w:t>
      </w:r>
    </w:p>
    <w:p w14:paraId="40888D27" w14:textId="77777777" w:rsidR="000A14EB" w:rsidRPr="00550296" w:rsidRDefault="000A14EB" w:rsidP="0055029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High-risk unemployed customers defaulted completely in car and business loans. </w:t>
      </w:r>
    </w:p>
    <w:p w14:paraId="519BDA39" w14:textId="77777777" w:rsidR="000A14EB" w:rsidRPr="00E32F2C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E32F2C">
        <w:rPr>
          <w:rFonts w:asciiTheme="minorHAnsi" w:hAnsiTheme="minorHAnsi" w:cstheme="minorHAnsi"/>
          <w:color w:val="auto"/>
        </w:rPr>
        <w:t>Business Interpretation</w:t>
      </w:r>
    </w:p>
    <w:p w14:paraId="630F9A5E" w14:textId="77777777" w:rsidR="000A14EB" w:rsidRPr="00550296" w:rsidRDefault="000A14EB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 xml:space="preserve">Loan purpose significantly influences repayment </w:t>
      </w:r>
      <w:proofErr w:type="spellStart"/>
      <w:r w:rsidRPr="00550296">
        <w:rPr>
          <w:rFonts w:asciiTheme="minorHAnsi" w:hAnsiTheme="minorHAnsi" w:cstheme="minorHAnsi"/>
        </w:rPr>
        <w:t>behavior</w:t>
      </w:r>
      <w:proofErr w:type="spellEnd"/>
      <w:r w:rsidRPr="00550296">
        <w:rPr>
          <w:rFonts w:asciiTheme="minorHAnsi" w:hAnsiTheme="minorHAnsi" w:cstheme="minorHAnsi"/>
        </w:rPr>
        <w:t>. Asset-financing and business-related loans appear more vulnerable to economic instability and borrower cash flow challenges.</w:t>
      </w:r>
    </w:p>
    <w:p w14:paraId="14F5D7EB" w14:textId="77777777" w:rsidR="00E32F2C" w:rsidRDefault="00E32F2C" w:rsidP="00550296">
      <w:pPr>
        <w:jc w:val="both"/>
        <w:rPr>
          <w:rFonts w:cstheme="minorHAnsi"/>
          <w:sz w:val="24"/>
          <w:szCs w:val="24"/>
        </w:rPr>
      </w:pPr>
    </w:p>
    <w:p w14:paraId="7784F6D1" w14:textId="77777777" w:rsidR="00E32F2C" w:rsidRDefault="00E32F2C" w:rsidP="00550296">
      <w:pPr>
        <w:jc w:val="both"/>
        <w:rPr>
          <w:rFonts w:cstheme="minorHAnsi"/>
          <w:sz w:val="24"/>
          <w:szCs w:val="24"/>
        </w:rPr>
      </w:pPr>
    </w:p>
    <w:p w14:paraId="1A1B4B26" w14:textId="77777777" w:rsidR="00E32F2C" w:rsidRDefault="00E32F2C" w:rsidP="00550296">
      <w:pPr>
        <w:jc w:val="both"/>
        <w:rPr>
          <w:rFonts w:cstheme="minorHAnsi"/>
          <w:sz w:val="24"/>
          <w:szCs w:val="24"/>
        </w:rPr>
      </w:pPr>
    </w:p>
    <w:p w14:paraId="5B4C7E0C" w14:textId="42FDB526" w:rsidR="000A14EB" w:rsidRPr="00E32F2C" w:rsidRDefault="000A14EB" w:rsidP="00550296">
      <w:pPr>
        <w:jc w:val="both"/>
        <w:rPr>
          <w:rFonts w:cstheme="minorHAnsi"/>
          <w:b/>
          <w:bCs/>
          <w:sz w:val="24"/>
          <w:szCs w:val="24"/>
        </w:rPr>
      </w:pPr>
      <w:r w:rsidRPr="00E32F2C">
        <w:rPr>
          <w:rFonts w:cstheme="minorHAnsi"/>
          <w:b/>
          <w:bCs/>
          <w:sz w:val="24"/>
          <w:szCs w:val="24"/>
        </w:rPr>
        <w:lastRenderedPageBreak/>
        <w:t>Default Rate by Credit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14EB" w:rsidRPr="00550296" w14:paraId="1B42C024" w14:textId="77777777" w:rsidTr="000A14EB">
        <w:tc>
          <w:tcPr>
            <w:tcW w:w="4508" w:type="dxa"/>
          </w:tcPr>
          <w:p w14:paraId="40EC233C" w14:textId="44FDA8DF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Credit Score Category</w:t>
            </w:r>
          </w:p>
        </w:tc>
        <w:tc>
          <w:tcPr>
            <w:tcW w:w="4508" w:type="dxa"/>
          </w:tcPr>
          <w:p w14:paraId="3E10881E" w14:textId="6CBDA8EA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Default Rate</w:t>
            </w:r>
          </w:p>
        </w:tc>
      </w:tr>
      <w:tr w:rsidR="000A14EB" w:rsidRPr="00550296" w14:paraId="227325BF" w14:textId="77777777" w:rsidTr="000A14EB">
        <w:tc>
          <w:tcPr>
            <w:tcW w:w="4508" w:type="dxa"/>
          </w:tcPr>
          <w:p w14:paraId="6AD1E55D" w14:textId="310B5C3B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Very Poor</w:t>
            </w:r>
          </w:p>
        </w:tc>
        <w:tc>
          <w:tcPr>
            <w:tcW w:w="4508" w:type="dxa"/>
          </w:tcPr>
          <w:p w14:paraId="11591B25" w14:textId="6C601F51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65.9%</w:t>
            </w:r>
          </w:p>
        </w:tc>
      </w:tr>
      <w:tr w:rsidR="000A14EB" w:rsidRPr="00550296" w14:paraId="7AC8B9AB" w14:textId="77777777" w:rsidTr="000A14EB">
        <w:tc>
          <w:tcPr>
            <w:tcW w:w="4508" w:type="dxa"/>
          </w:tcPr>
          <w:p w14:paraId="367BD8EB" w14:textId="3041ABA9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Poor</w:t>
            </w:r>
          </w:p>
        </w:tc>
        <w:tc>
          <w:tcPr>
            <w:tcW w:w="4508" w:type="dxa"/>
          </w:tcPr>
          <w:p w14:paraId="483D829E" w14:textId="4BFD9694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41.7%</w:t>
            </w:r>
          </w:p>
        </w:tc>
      </w:tr>
      <w:tr w:rsidR="000A14EB" w:rsidRPr="00550296" w14:paraId="673EE52F" w14:textId="77777777" w:rsidTr="000A14EB">
        <w:tc>
          <w:tcPr>
            <w:tcW w:w="4508" w:type="dxa"/>
          </w:tcPr>
          <w:p w14:paraId="0187BFE6" w14:textId="07CB6636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Good</w:t>
            </w:r>
          </w:p>
        </w:tc>
        <w:tc>
          <w:tcPr>
            <w:tcW w:w="4508" w:type="dxa"/>
          </w:tcPr>
          <w:p w14:paraId="4FD987E3" w14:textId="631026FA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41.7%</w:t>
            </w:r>
          </w:p>
        </w:tc>
      </w:tr>
      <w:tr w:rsidR="000A14EB" w:rsidRPr="00550296" w14:paraId="26A6C852" w14:textId="77777777" w:rsidTr="000A14EB">
        <w:tc>
          <w:tcPr>
            <w:tcW w:w="4508" w:type="dxa"/>
          </w:tcPr>
          <w:p w14:paraId="72EB1995" w14:textId="4114D242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Fair</w:t>
            </w:r>
          </w:p>
        </w:tc>
        <w:tc>
          <w:tcPr>
            <w:tcW w:w="4508" w:type="dxa"/>
          </w:tcPr>
          <w:p w14:paraId="40415D58" w14:textId="77E3B72A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40.0%</w:t>
            </w:r>
          </w:p>
        </w:tc>
      </w:tr>
      <w:tr w:rsidR="000A14EB" w:rsidRPr="00550296" w14:paraId="13023542" w14:textId="77777777" w:rsidTr="000A14EB">
        <w:tc>
          <w:tcPr>
            <w:tcW w:w="4508" w:type="dxa"/>
          </w:tcPr>
          <w:p w14:paraId="675FB2F9" w14:textId="38EBC61C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Excellent</w:t>
            </w:r>
          </w:p>
        </w:tc>
        <w:tc>
          <w:tcPr>
            <w:tcW w:w="4508" w:type="dxa"/>
          </w:tcPr>
          <w:p w14:paraId="5D61FBB5" w14:textId="3399C653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30.4%</w:t>
            </w:r>
          </w:p>
        </w:tc>
      </w:tr>
    </w:tbl>
    <w:p w14:paraId="111BCB5C" w14:textId="1E744CD5" w:rsidR="00E34A33" w:rsidRPr="00550296" w:rsidRDefault="00E34A33" w:rsidP="00550296">
      <w:pPr>
        <w:jc w:val="both"/>
        <w:rPr>
          <w:rFonts w:cstheme="minorHAnsi"/>
          <w:sz w:val="24"/>
          <w:szCs w:val="24"/>
        </w:rPr>
      </w:pPr>
    </w:p>
    <w:p w14:paraId="2C6B0020" w14:textId="77777777" w:rsidR="000A14EB" w:rsidRPr="00E32F2C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E32F2C">
        <w:rPr>
          <w:rFonts w:asciiTheme="minorHAnsi" w:hAnsiTheme="minorHAnsi" w:cstheme="minorHAnsi"/>
          <w:color w:val="auto"/>
        </w:rPr>
        <w:t>Insights</w:t>
      </w:r>
    </w:p>
    <w:p w14:paraId="1FF08AF1" w14:textId="77777777" w:rsidR="000A14EB" w:rsidRPr="00550296" w:rsidRDefault="000A14EB" w:rsidP="005502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Customers with very poor credit scores demonstrated the highest default tendency, validating the effectiveness of credit score as a risk indicator. </w:t>
      </w:r>
    </w:p>
    <w:p w14:paraId="6A0F05AE" w14:textId="77777777" w:rsidR="000A14EB" w:rsidRPr="00550296" w:rsidRDefault="000A14EB" w:rsidP="005502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Default rates declined progressively as credit quality improved. </w:t>
      </w:r>
    </w:p>
    <w:p w14:paraId="5D59E503" w14:textId="77777777" w:rsidR="000A14EB" w:rsidRPr="00550296" w:rsidRDefault="000A14EB" w:rsidP="005502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Even customers with good and fair credit scores exhibited relatively high default rates, suggesting additional risk drivers beyond credit score alone. </w:t>
      </w:r>
    </w:p>
    <w:p w14:paraId="5CB38725" w14:textId="77777777" w:rsidR="000A14EB" w:rsidRPr="00550296" w:rsidRDefault="000A14EB" w:rsidP="0055029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Customers with excellent credit scores still recorded a 30.4% default rate, which remains materially high for premium borrowers. </w:t>
      </w:r>
    </w:p>
    <w:p w14:paraId="6E547539" w14:textId="77777777" w:rsidR="000A14EB" w:rsidRPr="00E32F2C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E32F2C">
        <w:rPr>
          <w:rFonts w:asciiTheme="minorHAnsi" w:hAnsiTheme="minorHAnsi" w:cstheme="minorHAnsi"/>
          <w:color w:val="auto"/>
        </w:rPr>
        <w:t>Business Interpretation</w:t>
      </w:r>
    </w:p>
    <w:p w14:paraId="3922034B" w14:textId="77777777" w:rsidR="000A14EB" w:rsidRPr="00550296" w:rsidRDefault="000A14EB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Credit scoring alone may not be sufficient for loan approval decisions. Other variables such as employment stability, prior default history, and income level should be integrated into risk assessment models.</w:t>
      </w:r>
    </w:p>
    <w:p w14:paraId="1741AD76" w14:textId="77777777" w:rsidR="000A14EB" w:rsidRPr="00E32F2C" w:rsidRDefault="000A14EB" w:rsidP="00550296">
      <w:pPr>
        <w:jc w:val="both"/>
        <w:rPr>
          <w:rFonts w:cstheme="minorHAnsi"/>
          <w:b/>
          <w:bCs/>
          <w:sz w:val="24"/>
          <w:szCs w:val="24"/>
        </w:rPr>
      </w:pPr>
      <w:r w:rsidRPr="00E32F2C">
        <w:rPr>
          <w:rFonts w:cstheme="minorHAnsi"/>
          <w:b/>
          <w:bCs/>
          <w:sz w:val="24"/>
          <w:szCs w:val="24"/>
        </w:rPr>
        <w:t>Default Rate by Risk Tier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14EB" w:rsidRPr="00550296" w14:paraId="4F88BCEC" w14:textId="77777777" w:rsidTr="000A14EB">
        <w:tc>
          <w:tcPr>
            <w:tcW w:w="4508" w:type="dxa"/>
          </w:tcPr>
          <w:p w14:paraId="310F2B68" w14:textId="77777777" w:rsidR="000A14EB" w:rsidRPr="00550296" w:rsidRDefault="000A14EB" w:rsidP="00550296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550296">
              <w:rPr>
                <w:rFonts w:cstheme="minorHAnsi"/>
                <w:b/>
                <w:bCs/>
                <w:sz w:val="24"/>
                <w:szCs w:val="24"/>
              </w:rPr>
              <w:t>Risk Tier</w:t>
            </w:r>
          </w:p>
          <w:p w14:paraId="6F2D126E" w14:textId="77777777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F28E93E" w14:textId="1AECF83F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Default Rate</w:t>
            </w:r>
          </w:p>
        </w:tc>
      </w:tr>
      <w:tr w:rsidR="000A14EB" w:rsidRPr="00550296" w14:paraId="7154D0C1" w14:textId="77777777" w:rsidTr="000A14EB">
        <w:tc>
          <w:tcPr>
            <w:tcW w:w="4508" w:type="dxa"/>
          </w:tcPr>
          <w:p w14:paraId="4BC49BED" w14:textId="0DBA7653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High Risk</w:t>
            </w:r>
          </w:p>
        </w:tc>
        <w:tc>
          <w:tcPr>
            <w:tcW w:w="4508" w:type="dxa"/>
          </w:tcPr>
          <w:p w14:paraId="509EA60B" w14:textId="599E207F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71.4%</w:t>
            </w:r>
          </w:p>
        </w:tc>
      </w:tr>
      <w:tr w:rsidR="000A14EB" w:rsidRPr="00550296" w14:paraId="7DA9888E" w14:textId="77777777" w:rsidTr="000A14EB">
        <w:tc>
          <w:tcPr>
            <w:tcW w:w="4508" w:type="dxa"/>
          </w:tcPr>
          <w:p w14:paraId="5DD9775E" w14:textId="025D0E15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Medium Risk</w:t>
            </w:r>
          </w:p>
        </w:tc>
        <w:tc>
          <w:tcPr>
            <w:tcW w:w="4508" w:type="dxa"/>
          </w:tcPr>
          <w:p w14:paraId="7AC549B4" w14:textId="0E73F3D9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60.6%</w:t>
            </w:r>
          </w:p>
        </w:tc>
      </w:tr>
      <w:tr w:rsidR="000A14EB" w:rsidRPr="00550296" w14:paraId="6353FF7B" w14:textId="77777777" w:rsidTr="000A14EB">
        <w:tc>
          <w:tcPr>
            <w:tcW w:w="4508" w:type="dxa"/>
          </w:tcPr>
          <w:p w14:paraId="6BE8ADB0" w14:textId="2DED6159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Low Risk</w:t>
            </w:r>
          </w:p>
        </w:tc>
        <w:tc>
          <w:tcPr>
            <w:tcW w:w="4508" w:type="dxa"/>
          </w:tcPr>
          <w:p w14:paraId="585C2DC0" w14:textId="71F03DC8" w:rsidR="000A14EB" w:rsidRPr="00550296" w:rsidRDefault="000A14EB" w:rsidP="00550296">
            <w:pPr>
              <w:jc w:val="both"/>
              <w:rPr>
                <w:rFonts w:cstheme="minorHAnsi"/>
                <w:sz w:val="24"/>
                <w:szCs w:val="24"/>
              </w:rPr>
            </w:pPr>
            <w:r w:rsidRPr="00550296">
              <w:rPr>
                <w:rFonts w:cstheme="minorHAnsi"/>
                <w:sz w:val="24"/>
                <w:szCs w:val="24"/>
              </w:rPr>
              <w:t>26.2%</w:t>
            </w:r>
          </w:p>
        </w:tc>
      </w:tr>
    </w:tbl>
    <w:p w14:paraId="6EB446D7" w14:textId="5599AAFB" w:rsidR="000A14EB" w:rsidRPr="00550296" w:rsidRDefault="000A14EB" w:rsidP="00550296">
      <w:pPr>
        <w:jc w:val="both"/>
        <w:rPr>
          <w:rFonts w:cstheme="minorHAnsi"/>
          <w:sz w:val="24"/>
          <w:szCs w:val="24"/>
        </w:rPr>
      </w:pPr>
    </w:p>
    <w:p w14:paraId="30FCD2D4" w14:textId="77777777" w:rsidR="000A14EB" w:rsidRPr="00550296" w:rsidRDefault="000A14EB" w:rsidP="00550296">
      <w:pPr>
        <w:pStyle w:val="Heading3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Insights</w:t>
      </w:r>
    </w:p>
    <w:p w14:paraId="6E30DA9E" w14:textId="77777777" w:rsidR="000A14EB" w:rsidRPr="00550296" w:rsidRDefault="000A14EB" w:rsidP="005502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High-risk customers exhibited the highest default frequency, confirming the reliability of the institution’s risk classification framework. </w:t>
      </w:r>
    </w:p>
    <w:p w14:paraId="633FC3CD" w14:textId="77777777" w:rsidR="000A14EB" w:rsidRPr="00550296" w:rsidRDefault="000A14EB" w:rsidP="005502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Medium-risk borrowers also contributed significantly to defaults, indicating a need for tighter monitoring. </w:t>
      </w:r>
    </w:p>
    <w:p w14:paraId="20477899" w14:textId="77777777" w:rsidR="000A14EB" w:rsidRPr="00550296" w:rsidRDefault="000A14EB" w:rsidP="005502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Low-risk customers maintained comparatively stronger repayment performance. </w:t>
      </w:r>
    </w:p>
    <w:p w14:paraId="70EA5959" w14:textId="77777777" w:rsidR="000A14EB" w:rsidRPr="00550296" w:rsidRDefault="000A14EB" w:rsidP="005502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Longer loan terms appeared to reduce default frequency among high-risk customers but increased default likelihood among medium-risk borrowers. </w:t>
      </w:r>
    </w:p>
    <w:p w14:paraId="6972AE61" w14:textId="77777777" w:rsidR="000A14EB" w:rsidRPr="00E32F2C" w:rsidRDefault="000A14EB" w:rsidP="00550296">
      <w:pPr>
        <w:pStyle w:val="Heading3"/>
        <w:jc w:val="both"/>
        <w:rPr>
          <w:rFonts w:asciiTheme="minorHAnsi" w:hAnsiTheme="minorHAnsi" w:cstheme="minorHAnsi"/>
          <w:color w:val="auto"/>
        </w:rPr>
      </w:pPr>
      <w:r w:rsidRPr="00E32F2C">
        <w:rPr>
          <w:rFonts w:asciiTheme="minorHAnsi" w:hAnsiTheme="minorHAnsi" w:cstheme="minorHAnsi"/>
          <w:color w:val="auto"/>
        </w:rPr>
        <w:lastRenderedPageBreak/>
        <w:t>Business Interpretation</w:t>
      </w:r>
    </w:p>
    <w:p w14:paraId="502EF828" w14:textId="47037106" w:rsidR="000A14EB" w:rsidRPr="00550296" w:rsidRDefault="000A14EB" w:rsidP="00E32F2C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The current risk-tier framework successfully differentiates borrower quality; however, medium-risk customers may require enhanced monitoring and stricter loan structuring policies.</w:t>
      </w:r>
    </w:p>
    <w:p w14:paraId="34F2EEDF" w14:textId="77777777" w:rsidR="000A14EB" w:rsidRPr="00E32F2C" w:rsidRDefault="000A14EB" w:rsidP="00E32F2C">
      <w:pPr>
        <w:pStyle w:val="Heading1"/>
        <w:jc w:val="center"/>
        <w:rPr>
          <w:rFonts w:asciiTheme="minorHAnsi" w:hAnsiTheme="minorHAnsi" w:cstheme="minorHAnsi"/>
          <w:sz w:val="32"/>
          <w:szCs w:val="32"/>
        </w:rPr>
      </w:pPr>
      <w:r w:rsidRPr="00E32F2C">
        <w:rPr>
          <w:rFonts w:asciiTheme="minorHAnsi" w:hAnsiTheme="minorHAnsi" w:cstheme="minorHAnsi"/>
          <w:sz w:val="32"/>
          <w:szCs w:val="32"/>
        </w:rPr>
        <w:t>Key Insights</w:t>
      </w:r>
    </w:p>
    <w:p w14:paraId="66C2C0C5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Portfolio-Level Insights</w:t>
      </w:r>
    </w:p>
    <w:p w14:paraId="586A24A6" w14:textId="77777777" w:rsidR="000A14EB" w:rsidRPr="00550296" w:rsidRDefault="000A14EB" w:rsidP="005502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The portfolio default rate of 46.47% is critically high and suggests substantial credit risk exposure. </w:t>
      </w:r>
    </w:p>
    <w:p w14:paraId="7B0CE166" w14:textId="77777777" w:rsidR="000A14EB" w:rsidRPr="00550296" w:rsidRDefault="000A14EB" w:rsidP="005502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High-risk customers represent only 9.33% of borrowers but contribute disproportionately to portfolio defaults. </w:t>
      </w:r>
    </w:p>
    <w:p w14:paraId="382FF1E1" w14:textId="77777777" w:rsidR="000A14EB" w:rsidRPr="00550296" w:rsidRDefault="000A14EB" w:rsidP="0055029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The institution has concentrated exposure in high-value loans, increasing financial vulnerability to borrower default. </w:t>
      </w:r>
    </w:p>
    <w:p w14:paraId="225F06E7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Customer Risk Insights</w:t>
      </w:r>
    </w:p>
    <w:p w14:paraId="32988E4E" w14:textId="77777777" w:rsidR="000A14EB" w:rsidRPr="00550296" w:rsidRDefault="000A14EB" w:rsidP="0055029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Unemployed and low-income borrowers display the highest probability of default. </w:t>
      </w:r>
    </w:p>
    <w:p w14:paraId="21981DA1" w14:textId="77777777" w:rsidR="000A14EB" w:rsidRPr="00550296" w:rsidRDefault="000A14EB" w:rsidP="0055029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Previous defaulters continue to pose elevated repayment risk. </w:t>
      </w:r>
    </w:p>
    <w:p w14:paraId="63B5746A" w14:textId="77777777" w:rsidR="000A14EB" w:rsidRPr="00550296" w:rsidRDefault="000A14EB" w:rsidP="0055029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Credit score remains a strong predictor of repayment </w:t>
      </w:r>
      <w:proofErr w:type="spellStart"/>
      <w:r w:rsidRPr="00550296">
        <w:rPr>
          <w:rFonts w:cstheme="minorHAnsi"/>
          <w:sz w:val="24"/>
          <w:szCs w:val="24"/>
        </w:rPr>
        <w:t>behavior</w:t>
      </w:r>
      <w:proofErr w:type="spellEnd"/>
      <w:r w:rsidRPr="00550296">
        <w:rPr>
          <w:rFonts w:cstheme="minorHAnsi"/>
          <w:sz w:val="24"/>
          <w:szCs w:val="24"/>
        </w:rPr>
        <w:t xml:space="preserve">, particularly among very poor-score customers. </w:t>
      </w:r>
    </w:p>
    <w:p w14:paraId="433FF8EC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Loan Product Insights</w:t>
      </w:r>
    </w:p>
    <w:p w14:paraId="083D5D97" w14:textId="77777777" w:rsidR="000A14EB" w:rsidRPr="00550296" w:rsidRDefault="000A14EB" w:rsidP="0055029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Car and business loans are the most vulnerable loan categories. </w:t>
      </w:r>
    </w:p>
    <w:p w14:paraId="353C13E4" w14:textId="77777777" w:rsidR="000A14EB" w:rsidRPr="00550296" w:rsidRDefault="000A14EB" w:rsidP="0055029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Personal loans show lower overall default rates but severe default concentration among high-risk borrowers. </w:t>
      </w:r>
    </w:p>
    <w:p w14:paraId="5CD3E7D8" w14:textId="77777777" w:rsidR="000A14EB" w:rsidRPr="00550296" w:rsidRDefault="000A14EB" w:rsidP="0055029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Loan purpose materially impacts repayment outcomes and should be incorporated more strongly into underwriting policies. </w:t>
      </w:r>
    </w:p>
    <w:p w14:paraId="48723763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Risk Management Insights</w:t>
      </w:r>
    </w:p>
    <w:p w14:paraId="60C3BCB6" w14:textId="77777777" w:rsidR="000A14EB" w:rsidRPr="00550296" w:rsidRDefault="000A14EB" w:rsidP="0055029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The current risk-tier classification effectively identifies high-risk borrowers. </w:t>
      </w:r>
    </w:p>
    <w:p w14:paraId="502B7399" w14:textId="77777777" w:rsidR="000A14EB" w:rsidRPr="00550296" w:rsidRDefault="000A14EB" w:rsidP="0055029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Medium-risk customers contribute heavily to defaults and may be underestimated within existing risk controls. </w:t>
      </w:r>
    </w:p>
    <w:p w14:paraId="2DFE9A7C" w14:textId="77777777" w:rsidR="000A14EB" w:rsidRPr="00550296" w:rsidRDefault="000A14EB" w:rsidP="0055029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The institution may benefit from stronger affordability checks and customer segmentation strategies. </w:t>
      </w:r>
    </w:p>
    <w:p w14:paraId="1AB4B412" w14:textId="77777777" w:rsidR="000A14EB" w:rsidRPr="00E32F2C" w:rsidRDefault="000A14EB" w:rsidP="00E32F2C">
      <w:pPr>
        <w:pStyle w:val="Heading1"/>
        <w:jc w:val="center"/>
        <w:rPr>
          <w:rFonts w:asciiTheme="minorHAnsi" w:hAnsiTheme="minorHAnsi" w:cstheme="minorHAnsi"/>
          <w:sz w:val="32"/>
          <w:szCs w:val="32"/>
        </w:rPr>
      </w:pPr>
      <w:r w:rsidRPr="00E32F2C">
        <w:rPr>
          <w:rFonts w:asciiTheme="minorHAnsi" w:hAnsiTheme="minorHAnsi" w:cstheme="minorHAnsi"/>
          <w:sz w:val="32"/>
          <w:szCs w:val="32"/>
        </w:rPr>
        <w:t>Recommendations</w:t>
      </w:r>
    </w:p>
    <w:p w14:paraId="216CD45B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1. Strengthen Credit Underwriting Policies</w:t>
      </w:r>
    </w:p>
    <w:p w14:paraId="671B7B47" w14:textId="77777777" w:rsidR="000A14EB" w:rsidRPr="00550296" w:rsidRDefault="000A14EB" w:rsidP="0055029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Introduce stricter approval criteria for unemployed and low-income applicants. </w:t>
      </w:r>
    </w:p>
    <w:p w14:paraId="245532EE" w14:textId="77777777" w:rsidR="000A14EB" w:rsidRPr="00550296" w:rsidRDefault="000A14EB" w:rsidP="0055029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Increase minimum credit score thresholds for car and business loans. </w:t>
      </w:r>
    </w:p>
    <w:p w14:paraId="738F89A8" w14:textId="77777777" w:rsidR="000A14EB" w:rsidRPr="00550296" w:rsidRDefault="000A14EB" w:rsidP="0055029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Implement enhanced affordability assessments before loan approval. </w:t>
      </w:r>
    </w:p>
    <w:p w14:paraId="0D45FBE0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lastRenderedPageBreak/>
        <w:t>2. Improve Risk-Based Pricing</w:t>
      </w:r>
    </w:p>
    <w:p w14:paraId="50DC77D2" w14:textId="77777777" w:rsidR="000A14EB" w:rsidRPr="00550296" w:rsidRDefault="000A14EB" w:rsidP="0055029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Apply higher interest rates or stricter collateral requirements to high-risk borrowers. </w:t>
      </w:r>
    </w:p>
    <w:p w14:paraId="34ED9D04" w14:textId="77777777" w:rsidR="000A14EB" w:rsidRPr="00550296" w:rsidRDefault="000A14EB" w:rsidP="0055029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Offer preferential terms to low-risk customers to encourage portfolio quality improvement. </w:t>
      </w:r>
    </w:p>
    <w:p w14:paraId="0878699C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3. Tighten Monitoring of Medium- and High-Risk Borrowers</w:t>
      </w:r>
    </w:p>
    <w:p w14:paraId="0E78303C" w14:textId="77777777" w:rsidR="000A14EB" w:rsidRPr="00550296" w:rsidRDefault="000A14EB" w:rsidP="0055029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Establish early warning systems for missed or delayed repayments. </w:t>
      </w:r>
    </w:p>
    <w:p w14:paraId="33DF27DE" w14:textId="77777777" w:rsidR="000A14EB" w:rsidRPr="00550296" w:rsidRDefault="000A14EB" w:rsidP="0055029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Conduct periodic portfolio reviews for medium-risk customers, who currently contribute heavily to defaults. </w:t>
      </w:r>
    </w:p>
    <w:p w14:paraId="6504C136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4. Reassess High-Default Loan Products</w:t>
      </w:r>
    </w:p>
    <w:p w14:paraId="027523D1" w14:textId="77777777" w:rsidR="000A14EB" w:rsidRPr="00550296" w:rsidRDefault="000A14EB" w:rsidP="005502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Review underwriting standards for car and business loans. </w:t>
      </w:r>
    </w:p>
    <w:p w14:paraId="62EBAB51" w14:textId="77777777" w:rsidR="000A14EB" w:rsidRPr="00550296" w:rsidRDefault="000A14EB" w:rsidP="0055029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Introduce tighter eligibility requirements or reduced exposure limits for high-risk applicants within these categories. </w:t>
      </w:r>
    </w:p>
    <w:p w14:paraId="68264CAD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5. Reduce Exposure to Repeat Defaulters</w:t>
      </w:r>
    </w:p>
    <w:p w14:paraId="20586BAE" w14:textId="77777777" w:rsidR="000A14EB" w:rsidRPr="00550296" w:rsidRDefault="000A14EB" w:rsidP="0055029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Limit loan approvals for customers with previous default history unless supported by strong compensating factors such as stable employment or collateral. </w:t>
      </w:r>
    </w:p>
    <w:p w14:paraId="3E679BF1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>6. Enhance Portfolio Diversification</w:t>
      </w:r>
    </w:p>
    <w:p w14:paraId="27D64172" w14:textId="77777777" w:rsidR="000A14EB" w:rsidRPr="00550296" w:rsidRDefault="000A14EB" w:rsidP="0055029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Reduce concentration in high-risk and unemployed customer segments. </w:t>
      </w:r>
    </w:p>
    <w:p w14:paraId="61998489" w14:textId="77777777" w:rsidR="000A14EB" w:rsidRPr="00550296" w:rsidRDefault="000A14EB" w:rsidP="0055029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Increase lending focus toward stable salaried and low-risk borrowers. </w:t>
      </w:r>
    </w:p>
    <w:p w14:paraId="5F1A0E2B" w14:textId="77777777" w:rsidR="000A14EB" w:rsidRPr="00E32F2C" w:rsidRDefault="000A14EB" w:rsidP="00550296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E32F2C">
        <w:rPr>
          <w:rFonts w:asciiTheme="minorHAnsi" w:hAnsiTheme="minorHAnsi" w:cstheme="minorHAnsi"/>
          <w:color w:val="auto"/>
          <w:sz w:val="24"/>
          <w:szCs w:val="24"/>
        </w:rPr>
        <w:t xml:space="preserve">7. Implement Advanced Risk </w:t>
      </w:r>
      <w:proofErr w:type="spellStart"/>
      <w:r w:rsidRPr="00E32F2C">
        <w:rPr>
          <w:rFonts w:asciiTheme="minorHAnsi" w:hAnsiTheme="minorHAnsi" w:cstheme="minorHAnsi"/>
          <w:color w:val="auto"/>
          <w:sz w:val="24"/>
          <w:szCs w:val="24"/>
        </w:rPr>
        <w:t>Modeling</w:t>
      </w:r>
      <w:proofErr w:type="spellEnd"/>
    </w:p>
    <w:p w14:paraId="059E7BFD" w14:textId="77777777" w:rsidR="000A14EB" w:rsidRPr="00550296" w:rsidRDefault="000A14EB" w:rsidP="0055029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Combine credit score, employment status, income level, loan purpose, and prior default history into a more robust predictive risk model. </w:t>
      </w:r>
    </w:p>
    <w:p w14:paraId="2C074FC2" w14:textId="77777777" w:rsidR="000A14EB" w:rsidRPr="00550296" w:rsidRDefault="000A14EB" w:rsidP="0055029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550296">
        <w:rPr>
          <w:rFonts w:cstheme="minorHAnsi"/>
          <w:sz w:val="24"/>
          <w:szCs w:val="24"/>
        </w:rPr>
        <w:t xml:space="preserve">Introduce </w:t>
      </w:r>
      <w:proofErr w:type="spellStart"/>
      <w:r w:rsidRPr="00550296">
        <w:rPr>
          <w:rFonts w:cstheme="minorHAnsi"/>
          <w:sz w:val="24"/>
          <w:szCs w:val="24"/>
        </w:rPr>
        <w:t>behavioral</w:t>
      </w:r>
      <w:proofErr w:type="spellEnd"/>
      <w:r w:rsidRPr="00550296">
        <w:rPr>
          <w:rFonts w:cstheme="minorHAnsi"/>
          <w:sz w:val="24"/>
          <w:szCs w:val="24"/>
        </w:rPr>
        <w:t xml:space="preserve"> scoring techniques to improve default prediction accuracy. </w:t>
      </w:r>
    </w:p>
    <w:p w14:paraId="2F8B9DD1" w14:textId="5A8228D3" w:rsidR="000A14EB" w:rsidRDefault="000A14EB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4E650AD5" w14:textId="155D619A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3A760AB7" w14:textId="5D85EA0B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7570807C" w14:textId="77FE02BD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66BC09DD" w14:textId="56D35134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03DF23A4" w14:textId="226705B3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65526391" w14:textId="24C28CB7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569D168E" w14:textId="637729C3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6D8A186C" w14:textId="65D7C75E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22083CCA" w14:textId="3110CA7B" w:rsidR="00E32F2C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6C3493E4" w14:textId="77777777" w:rsidR="00E32F2C" w:rsidRPr="00550296" w:rsidRDefault="00E32F2C" w:rsidP="00550296">
      <w:pPr>
        <w:spacing w:after="0"/>
        <w:jc w:val="both"/>
        <w:rPr>
          <w:rFonts w:cstheme="minorHAnsi"/>
          <w:sz w:val="24"/>
          <w:szCs w:val="24"/>
        </w:rPr>
      </w:pPr>
    </w:p>
    <w:p w14:paraId="1A323AB0" w14:textId="77777777" w:rsidR="000A14EB" w:rsidRPr="00E32F2C" w:rsidRDefault="000A14EB" w:rsidP="00E32F2C">
      <w:pPr>
        <w:pStyle w:val="Heading1"/>
        <w:jc w:val="center"/>
        <w:rPr>
          <w:rFonts w:asciiTheme="minorHAnsi" w:hAnsiTheme="minorHAnsi" w:cstheme="minorHAnsi"/>
          <w:sz w:val="32"/>
          <w:szCs w:val="32"/>
        </w:rPr>
      </w:pPr>
      <w:r w:rsidRPr="00E32F2C">
        <w:rPr>
          <w:rFonts w:asciiTheme="minorHAnsi" w:hAnsiTheme="minorHAnsi" w:cstheme="minorHAnsi"/>
          <w:sz w:val="32"/>
          <w:szCs w:val="32"/>
        </w:rPr>
        <w:lastRenderedPageBreak/>
        <w:t>Conclusion</w:t>
      </w:r>
    </w:p>
    <w:p w14:paraId="14022AA9" w14:textId="77777777" w:rsidR="000A14EB" w:rsidRPr="00550296" w:rsidRDefault="000A14EB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 xml:space="preserve">The analysis reveals that </w:t>
      </w:r>
      <w:proofErr w:type="spellStart"/>
      <w:r w:rsidRPr="00550296">
        <w:rPr>
          <w:rFonts w:asciiTheme="minorHAnsi" w:hAnsiTheme="minorHAnsi" w:cstheme="minorHAnsi"/>
        </w:rPr>
        <w:t>Creditrust’s</w:t>
      </w:r>
      <w:proofErr w:type="spellEnd"/>
      <w:r w:rsidRPr="00550296">
        <w:rPr>
          <w:rFonts w:asciiTheme="minorHAnsi" w:hAnsiTheme="minorHAnsi" w:cstheme="minorHAnsi"/>
        </w:rPr>
        <w:t xml:space="preserve"> loan portfolio is currently exposed to elevated credit risk, driven primarily by high default rates among unemployed borrowers, low-income earners, high-risk customers, and customers with weak credit profiles. While the institution’s risk-tier framework effectively identifies higher-risk borrowers, the overall portfolio default rate remains significantly above acceptable lending benchmarks.</w:t>
      </w:r>
    </w:p>
    <w:p w14:paraId="322B5C21" w14:textId="77777777" w:rsidR="000A14EB" w:rsidRPr="00550296" w:rsidRDefault="000A14EB" w:rsidP="00550296">
      <w:pPr>
        <w:pStyle w:val="NormalWeb"/>
        <w:jc w:val="both"/>
        <w:rPr>
          <w:rFonts w:asciiTheme="minorHAnsi" w:hAnsiTheme="minorHAnsi" w:cstheme="minorHAnsi"/>
        </w:rPr>
      </w:pPr>
      <w:r w:rsidRPr="00550296">
        <w:rPr>
          <w:rFonts w:asciiTheme="minorHAnsi" w:hAnsiTheme="minorHAnsi" w:cstheme="minorHAnsi"/>
        </w:rPr>
        <w:t>To improve portfolio quality and reduce financial exposure, the institution should strengthen underwriting standards, enhance borrower monitoring, reduce exposure to high-risk segments, and implement more advanced risk-based lending strategies.</w:t>
      </w:r>
    </w:p>
    <w:p w14:paraId="03413548" w14:textId="77777777" w:rsidR="000A14EB" w:rsidRPr="00550296" w:rsidRDefault="000A14EB" w:rsidP="00550296">
      <w:pPr>
        <w:jc w:val="both"/>
        <w:rPr>
          <w:rFonts w:cstheme="minorHAnsi"/>
          <w:sz w:val="24"/>
          <w:szCs w:val="24"/>
        </w:rPr>
      </w:pPr>
    </w:p>
    <w:sectPr w:rsidR="000A14EB" w:rsidRPr="00550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0E06"/>
    <w:multiLevelType w:val="multilevel"/>
    <w:tmpl w:val="51A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0220B"/>
    <w:multiLevelType w:val="multilevel"/>
    <w:tmpl w:val="609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2DF8"/>
    <w:multiLevelType w:val="multilevel"/>
    <w:tmpl w:val="73D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C57C2"/>
    <w:multiLevelType w:val="multilevel"/>
    <w:tmpl w:val="EE5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8407C"/>
    <w:multiLevelType w:val="multilevel"/>
    <w:tmpl w:val="3480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35413"/>
    <w:multiLevelType w:val="multilevel"/>
    <w:tmpl w:val="59D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65719"/>
    <w:multiLevelType w:val="multilevel"/>
    <w:tmpl w:val="2FA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847B9"/>
    <w:multiLevelType w:val="multilevel"/>
    <w:tmpl w:val="B25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D1E77"/>
    <w:multiLevelType w:val="multilevel"/>
    <w:tmpl w:val="EA1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A481B"/>
    <w:multiLevelType w:val="multilevel"/>
    <w:tmpl w:val="CDF8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83CD4"/>
    <w:multiLevelType w:val="multilevel"/>
    <w:tmpl w:val="A72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008A4"/>
    <w:multiLevelType w:val="multilevel"/>
    <w:tmpl w:val="7852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24D74"/>
    <w:multiLevelType w:val="multilevel"/>
    <w:tmpl w:val="5CE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225C8"/>
    <w:multiLevelType w:val="multilevel"/>
    <w:tmpl w:val="419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41BCC"/>
    <w:multiLevelType w:val="multilevel"/>
    <w:tmpl w:val="2BA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303B4"/>
    <w:multiLevelType w:val="multilevel"/>
    <w:tmpl w:val="61FA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11FE3"/>
    <w:multiLevelType w:val="multilevel"/>
    <w:tmpl w:val="E9AC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77893"/>
    <w:multiLevelType w:val="multilevel"/>
    <w:tmpl w:val="FBA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9724C"/>
    <w:multiLevelType w:val="multilevel"/>
    <w:tmpl w:val="52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23918"/>
    <w:multiLevelType w:val="multilevel"/>
    <w:tmpl w:val="256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5"/>
  </w:num>
  <w:num w:numId="4">
    <w:abstractNumId w:val="17"/>
  </w:num>
  <w:num w:numId="5">
    <w:abstractNumId w:val="1"/>
  </w:num>
  <w:num w:numId="6">
    <w:abstractNumId w:val="10"/>
  </w:num>
  <w:num w:numId="7">
    <w:abstractNumId w:val="8"/>
  </w:num>
  <w:num w:numId="8">
    <w:abstractNumId w:val="6"/>
  </w:num>
  <w:num w:numId="9">
    <w:abstractNumId w:val="18"/>
  </w:num>
  <w:num w:numId="10">
    <w:abstractNumId w:val="0"/>
  </w:num>
  <w:num w:numId="11">
    <w:abstractNumId w:val="7"/>
  </w:num>
  <w:num w:numId="12">
    <w:abstractNumId w:val="11"/>
  </w:num>
  <w:num w:numId="13">
    <w:abstractNumId w:val="9"/>
  </w:num>
  <w:num w:numId="14">
    <w:abstractNumId w:val="2"/>
  </w:num>
  <w:num w:numId="15">
    <w:abstractNumId w:val="3"/>
  </w:num>
  <w:num w:numId="16">
    <w:abstractNumId w:val="5"/>
  </w:num>
  <w:num w:numId="17">
    <w:abstractNumId w:val="4"/>
  </w:num>
  <w:num w:numId="18">
    <w:abstractNumId w:val="12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65"/>
    <w:rsid w:val="0000748B"/>
    <w:rsid w:val="00027555"/>
    <w:rsid w:val="00072133"/>
    <w:rsid w:val="000724F9"/>
    <w:rsid w:val="000764B8"/>
    <w:rsid w:val="00077456"/>
    <w:rsid w:val="000963DC"/>
    <w:rsid w:val="000A14EB"/>
    <w:rsid w:val="000C06E3"/>
    <w:rsid w:val="00101C1D"/>
    <w:rsid w:val="00120707"/>
    <w:rsid w:val="00120E42"/>
    <w:rsid w:val="00124304"/>
    <w:rsid w:val="00125EDC"/>
    <w:rsid w:val="00131533"/>
    <w:rsid w:val="00151347"/>
    <w:rsid w:val="00151DD9"/>
    <w:rsid w:val="00166AD1"/>
    <w:rsid w:val="00173067"/>
    <w:rsid w:val="00182C23"/>
    <w:rsid w:val="00183923"/>
    <w:rsid w:val="0019003E"/>
    <w:rsid w:val="001A1D64"/>
    <w:rsid w:val="001D4316"/>
    <w:rsid w:val="001F4EF7"/>
    <w:rsid w:val="0024533F"/>
    <w:rsid w:val="002715B6"/>
    <w:rsid w:val="002A248C"/>
    <w:rsid w:val="002A73A7"/>
    <w:rsid w:val="003009BF"/>
    <w:rsid w:val="00312ADC"/>
    <w:rsid w:val="00312CF2"/>
    <w:rsid w:val="00354C8E"/>
    <w:rsid w:val="00366746"/>
    <w:rsid w:val="00370A76"/>
    <w:rsid w:val="003964DC"/>
    <w:rsid w:val="003D17B9"/>
    <w:rsid w:val="003F7722"/>
    <w:rsid w:val="00471EA5"/>
    <w:rsid w:val="00483F73"/>
    <w:rsid w:val="004C5429"/>
    <w:rsid w:val="004E265F"/>
    <w:rsid w:val="004F2403"/>
    <w:rsid w:val="00512103"/>
    <w:rsid w:val="005179C0"/>
    <w:rsid w:val="00550296"/>
    <w:rsid w:val="00584592"/>
    <w:rsid w:val="00595FE6"/>
    <w:rsid w:val="005B2359"/>
    <w:rsid w:val="005B3540"/>
    <w:rsid w:val="005C4CDE"/>
    <w:rsid w:val="005C5CB8"/>
    <w:rsid w:val="005C632D"/>
    <w:rsid w:val="005E5643"/>
    <w:rsid w:val="00601CFE"/>
    <w:rsid w:val="00612C18"/>
    <w:rsid w:val="006B2161"/>
    <w:rsid w:val="006E3E70"/>
    <w:rsid w:val="006E7F6D"/>
    <w:rsid w:val="007110E8"/>
    <w:rsid w:val="0071400E"/>
    <w:rsid w:val="00770B29"/>
    <w:rsid w:val="00787AC7"/>
    <w:rsid w:val="00795C62"/>
    <w:rsid w:val="00796206"/>
    <w:rsid w:val="007B517D"/>
    <w:rsid w:val="007B57B2"/>
    <w:rsid w:val="007C4AC6"/>
    <w:rsid w:val="007C77AD"/>
    <w:rsid w:val="00891B64"/>
    <w:rsid w:val="008A5165"/>
    <w:rsid w:val="008E3D97"/>
    <w:rsid w:val="008F519D"/>
    <w:rsid w:val="009041BE"/>
    <w:rsid w:val="009165C4"/>
    <w:rsid w:val="00947444"/>
    <w:rsid w:val="00952EE3"/>
    <w:rsid w:val="009877A3"/>
    <w:rsid w:val="009C6414"/>
    <w:rsid w:val="00A4055D"/>
    <w:rsid w:val="00A42083"/>
    <w:rsid w:val="00AE7CF9"/>
    <w:rsid w:val="00B14F98"/>
    <w:rsid w:val="00B22C26"/>
    <w:rsid w:val="00B41AB1"/>
    <w:rsid w:val="00B9456F"/>
    <w:rsid w:val="00C569A6"/>
    <w:rsid w:val="00CB6FEB"/>
    <w:rsid w:val="00D025E2"/>
    <w:rsid w:val="00D13A02"/>
    <w:rsid w:val="00D70C25"/>
    <w:rsid w:val="00D9174D"/>
    <w:rsid w:val="00E26EB4"/>
    <w:rsid w:val="00E32F2C"/>
    <w:rsid w:val="00E34A33"/>
    <w:rsid w:val="00E42D5E"/>
    <w:rsid w:val="00E51B55"/>
    <w:rsid w:val="00E552B2"/>
    <w:rsid w:val="00E56266"/>
    <w:rsid w:val="00E71A31"/>
    <w:rsid w:val="00E949B8"/>
    <w:rsid w:val="00EC0C5E"/>
    <w:rsid w:val="00EE4719"/>
    <w:rsid w:val="00F52F87"/>
    <w:rsid w:val="00F664FC"/>
    <w:rsid w:val="00F67CBE"/>
    <w:rsid w:val="00F7674A"/>
    <w:rsid w:val="00F802BB"/>
    <w:rsid w:val="00FD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45C0"/>
  <w15:chartTrackingRefBased/>
  <w15:docId w15:val="{4BD84D62-4B25-4B3D-B101-AE88ACC0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5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F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65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F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8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table" w:styleId="TableGrid">
    <w:name w:val="Table Grid"/>
    <w:basedOn w:val="TableNormal"/>
    <w:uiPriority w:val="39"/>
    <w:rsid w:val="00987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1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2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3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isidahomhen</dc:creator>
  <cp:keywords/>
  <dc:description/>
  <cp:lastModifiedBy>favour isidahomhen</cp:lastModifiedBy>
  <cp:revision>97</cp:revision>
  <dcterms:created xsi:type="dcterms:W3CDTF">2026-05-11T21:20:00Z</dcterms:created>
  <dcterms:modified xsi:type="dcterms:W3CDTF">2026-05-18T23:47:00Z</dcterms:modified>
</cp:coreProperties>
</file>