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mc="http://schemas.openxmlformats.org/markup-compatibility/2006">
  <w:body>
    <w:p>
      <w:pPr>
        <w:pStyle w:val="Heading1"/>
      </w:pPr>
      <w:r>
        <w:t>Introduction</w:t>
      </w:r>
    </w:p>
    <w:p>
      <w:r>
        <w:rPr>
          <w:rFonts w:ascii="Times New Roman" w:hAnsi="Times New Roman"/>
          <w:sz w:val="24"/>
        </w:rPr>
        <w:t xml:space="preserve">This is the first paragraph of the introduction. It contains some text about platform governance and political advertising.</w:t>
      </w:r>
    </w:p>
    <w:p>
      <w:r>
        <w:rPr>
          <w:rFonts w:ascii="Times New Roman" w:hAnsi="Times New Roman"/>
          <w:sz w:val="24"/>
        </w:rPr>
        <w:t xml:space="preserve">The second paragraph discusses Meta</w:t>
      </w:r>
      <w:r>
        <w:rPr>
          <w:rFonts w:ascii="Times New Roman" w:hAnsi="Times New Roman"/>
          <w:sz w:val="24"/>
          <w:b/>
        </w:rPr>
        <w:t xml:space="preserve">'s advertising ban</w:t>
      </w:r>
      <w:r>
        <w:rPr>
          <w:rFonts w:ascii="Times New Roman" w:hAnsi="Times New Roman"/>
          <w:sz w:val="24"/>
        </w:rPr>
        <w:t xml:space="preserve"> and its consequences for electoral transparency.</w:t>
      </w:r>
    </w:p>
    <w:p>
      <w:pPr>
        <w:pStyle w:val="Heading1"/>
      </w:pPr>
      <w:r>
        <w:t>Methods</w:t>
      </w:r>
    </w:p>
    <w:p>
      <w:r>
        <w:rPr>
          <w:rFonts w:ascii="Times New Roman" w:hAnsi="Times New Roman"/>
          <w:sz w:val="24"/>
        </w:rPr>
        <w:t xml:space="preserve">We developed an automated monitoring system that collected 268,635 advertisements from the Meta Ad Library.</w:t>
      </w:r>
    </w:p>
    <w:p>
      <w:pPr>
        <w:pStyle w:val="Heading1"/>
      </w:pPr>
      <w:r>
        <w:t>Results</w:t>
      </w:r>
    </w:p>
    <w:p>
      <w:r>
        <w:rPr>
          <w:rFonts w:ascii="Times New Roman" w:hAnsi="Times New Roman"/>
          <w:sz w:val="24"/>
        </w:rPr>
        <w:t xml:space="preserve">We confirmed 192 accounts as political advertisers that placed a total of 1,329 ads during the campaign period.</w:t>
      </w:r>
    </w:p>
    <w:p>
      <w:pPr>
        <w:pStyle w:val="Heading1"/>
      </w:pPr>
      <w:r>
        <w:t>Discussion</w:t>
      </w:r>
    </w:p>
    <w:p>
      <w:r>
        <w:rPr>
          <w:rFonts w:ascii="Times New Roman" w:hAnsi="Times New Roman"/>
          <w:sz w:val="24"/>
        </w:rPr>
        <w:t xml:space="preserve">The findings document a specific failure mode of platform self-regulation.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keepNext/>
    </w:pPr>
    <w:rPr>
      <w:b/>
      <w:sz w:val="28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rPr>
      <w:sz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