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name="_GoBack" w:id="0"/>
    <w:p xmlns:wp14="http://schemas.microsoft.com/office/word/2010/wordml" w:rsidRPr="00CC2A92" w:rsidR="00CC2A92" w:rsidP="36876AB2" w:rsidRDefault="00CC2A92" w14:paraId="672A6659" wp14:textId="26E163DA">
      <w:pPr>
        <w:jc w:val="both"/>
        <w:rPr>
          <w:rFonts w:eastAsia="Arial" w:cs="Arial"/>
          <w:color w:val="000000" w:themeColor="text1" w:themeTint="FF" w:themeShade="FF"/>
          <w:lang w:val="en-US" w:eastAsia="fa-IR" w:bidi="fa-IR"/>
        </w:rPr>
      </w:pPr>
      <w:r w:rsidRPr="36876AB2" w:rsidR="36876AB2">
        <w:rPr>
          <w:rFonts w:eastAsia="Arial" w:cs="Arial"/>
          <w:color w:val="000000" w:themeColor="text1" w:themeTint="FF" w:themeShade="FF"/>
          <w:lang w:val="en-US" w:eastAsia="fa-IR" w:bidi="fa-IR"/>
        </w:rPr>
        <w:t>This paper seeks to investigate support for populist parties in Europe. While populism is an important and intensely debated topic, most scholarship is plagued with conceptual conflations between different variants of populism (</w:t>
      </w:r>
      <w:proofErr w:type="spellStart"/>
      <w:r w:rsidRPr="36876AB2" w:rsidR="36876AB2">
        <w:rPr>
          <w:rFonts w:eastAsia="Arial" w:cs="Arial"/>
          <w:color w:val="000000" w:themeColor="text1" w:themeTint="FF" w:themeShade="FF"/>
          <w:lang w:val="en-US" w:eastAsia="fa-IR" w:bidi="fa-IR"/>
        </w:rPr>
        <w:t>Mudde</w:t>
      </w:r>
      <w:proofErr w:type="spellEnd"/>
      <w:r w:rsidRPr="36876AB2" w:rsidR="36876AB2">
        <w:rPr>
          <w:rFonts w:eastAsia="Arial" w:cs="Arial"/>
          <w:color w:val="000000" w:themeColor="text1" w:themeTint="FF" w:themeShade="FF"/>
          <w:lang w:val="en-US" w:eastAsia="fa-IR" w:bidi="fa-IR"/>
        </w:rPr>
        <w:t xml:space="preserve">/Kaltwasser 2011: 1). Despite existing pleas to avoid these, many influential scholars continue to use qualifying features of the Right to describe populism, possibly leading to severe shortcomings in their empirical analyses. </w:t>
      </w:r>
    </w:p>
    <w:p xmlns:wp14="http://schemas.microsoft.com/office/word/2010/wordml" w:rsidRPr="00CC2A92" w:rsidR="00CC2A92" w:rsidP="36876AB2" w:rsidRDefault="00CC2A92" w14:paraId="0A37501D" wp14:textId="3F4F5C79">
      <w:pPr>
        <w:pStyle w:val="Standard"/>
        <w:jc w:val="both"/>
        <w:rPr>
          <w:rFonts w:eastAsia="Arial" w:cs="Arial"/>
          <w:color w:val="000000" w:themeColor="text1" w:themeTint="FF" w:themeShade="FF"/>
          <w:lang w:val="en-US" w:eastAsia="fa-IR" w:bidi="fa-IR"/>
        </w:rPr>
      </w:pPr>
      <w:r w:rsidRPr="36876AB2" w:rsidR="36876AB2">
        <w:rPr>
          <w:rFonts w:eastAsia="Arial" w:cs="Arial"/>
          <w:color w:val="000000" w:themeColor="text1" w:themeTint="FF" w:themeShade="FF"/>
          <w:lang w:val="en-US" w:eastAsia="fa-IR" w:bidi="fa-IR"/>
        </w:rPr>
        <w:t xml:space="preserve">For example, </w:t>
      </w:r>
      <w:r w:rsidRPr="36876AB2" w:rsidR="36876AB2">
        <w:rPr>
          <w:rFonts w:eastAsia="Arial" w:cs="Arial"/>
          <w:color w:val="000000" w:themeColor="text1" w:themeTint="FF" w:themeShade="FF"/>
          <w:lang w:val="en-US" w:eastAsia="fa-IR" w:bidi="fa-IR"/>
        </w:rPr>
        <w:t xml:space="preserve">in </w:t>
      </w:r>
      <w:r w:rsidRPr="36876AB2" w:rsidR="36876AB2">
        <w:rPr>
          <w:rFonts w:eastAsia="Arial" w:cs="Arial"/>
          <w:color w:val="000000" w:themeColor="text1" w:themeTint="FF" w:themeShade="FF"/>
          <w:lang w:val="en-US" w:eastAsia="fa-IR" w:bidi="fa-IR"/>
        </w:rPr>
        <w:t xml:space="preserve">Inglehart's and Norris' </w:t>
      </w:r>
      <w:r w:rsidRPr="36876AB2" w:rsidR="36876AB2">
        <w:rPr>
          <w:rFonts w:eastAsia="Arial" w:cs="Arial"/>
          <w:color w:val="000000" w:themeColor="text1" w:themeTint="FF" w:themeShade="FF"/>
          <w:lang w:val="en-US" w:eastAsia="fa-IR" w:bidi="fa-IR"/>
        </w:rPr>
        <w:t xml:space="preserve">publication </w:t>
      </w:r>
      <w:r w:rsidRPr="36876AB2" w:rsidR="36876AB2">
        <w:rPr>
          <w:rFonts w:eastAsia="Arial" w:cs="Arial"/>
          <w:color w:val="000000" w:themeColor="text1" w:themeTint="FF" w:themeShade="FF"/>
          <w:lang w:val="en-US" w:eastAsia="fa-IR" w:bidi="fa-IR"/>
        </w:rPr>
        <w:t>"Trump, Brexit, and the rise of populism"</w:t>
      </w:r>
      <w:r w:rsidRPr="36876AB2" w:rsidR="36876AB2">
        <w:rPr>
          <w:rFonts w:eastAsia="Arial" w:cs="Arial"/>
          <w:color w:val="000000" w:themeColor="text1" w:themeTint="FF" w:themeShade="FF"/>
          <w:lang w:val="en-US" w:eastAsia="fa-IR" w:bidi="fa-IR"/>
        </w:rPr>
        <w:t>^[</w:t>
      </w:r>
      <w:r w:rsidRPr="36876AB2" w:rsidR="36876AB2">
        <w:rPr>
          <w:rFonts w:eastAsia="Arial" w:cs="Arial"/>
          <w:color w:val="000000" w:themeColor="text1" w:themeTint="FF" w:themeShade="FF"/>
          <w:lang w:val="en-US" w:eastAsia="fa-IR" w:bidi="fa-IR"/>
        </w:rPr>
        <w:t xml:space="preserve">Inglehart, Ronald, and Pippa Norris. "Trump, Brexit, and the rise of populism: Economic have-nots and cultural backlash." (2016).] </w:t>
      </w:r>
      <w:r w:rsidRPr="36876AB2" w:rsidR="36876AB2">
        <w:rPr>
          <w:rFonts w:eastAsia="Arial" w:cs="Arial"/>
          <w:color w:val="000000" w:themeColor="text1" w:themeTint="FF" w:themeShade="FF"/>
          <w:lang w:val="en-US" w:eastAsia="fa-IR" w:bidi="fa-IR"/>
        </w:rPr>
        <w:t>ostensibly</w:t>
      </w:r>
      <w:r w:rsidRPr="36876AB2" w:rsidR="36876AB2">
        <w:rPr>
          <w:rFonts w:eastAsia="Arial" w:cs="Arial"/>
          <w:color w:val="000000" w:themeColor="text1" w:themeTint="FF" w:themeShade="FF"/>
          <w:lang w:val="en-US" w:eastAsia="fa-IR" w:bidi="fa-IR"/>
        </w:rPr>
        <w:t xml:space="preserve"> </w:t>
      </w:r>
      <w:r w:rsidRPr="36876AB2" w:rsidR="36876AB2">
        <w:rPr>
          <w:rFonts w:eastAsia="Arial" w:cs="Arial"/>
          <w:color w:val="000000" w:themeColor="text1" w:themeTint="FF" w:themeShade="FF"/>
          <w:lang w:val="en-US" w:eastAsia="fa-IR" w:bidi="fa-IR"/>
        </w:rPr>
        <w:t xml:space="preserve">right-wing parties such as the National Democratic Party in Germany or the Hungarian </w:t>
      </w:r>
      <w:proofErr w:type="spellStart"/>
      <w:r w:rsidRPr="36876AB2" w:rsidR="36876AB2">
        <w:rPr>
          <w:rFonts w:eastAsia="Arial" w:cs="Arial"/>
          <w:color w:val="000000" w:themeColor="text1" w:themeTint="FF" w:themeShade="FF"/>
          <w:lang w:val="en-US" w:eastAsia="fa-IR" w:bidi="fa-IR"/>
        </w:rPr>
        <w:t>Jobbik</w:t>
      </w:r>
      <w:proofErr w:type="spellEnd"/>
      <w:r w:rsidRPr="36876AB2" w:rsidR="36876AB2">
        <w:rPr>
          <w:rFonts w:eastAsia="Arial" w:cs="Arial"/>
          <w:color w:val="000000" w:themeColor="text1" w:themeTint="FF" w:themeShade="FF"/>
          <w:lang w:val="en-US" w:eastAsia="fa-IR" w:bidi="fa-IR"/>
        </w:rPr>
        <w:t xml:space="preserve"> </w:t>
      </w:r>
      <w:r w:rsidRPr="36876AB2" w:rsidR="36876AB2">
        <w:rPr>
          <w:rFonts w:eastAsia="Arial" w:cs="Arial"/>
          <w:color w:val="000000" w:themeColor="text1" w:themeTint="FF" w:themeShade="FF"/>
          <w:lang w:val="en-US" w:eastAsia="fa-IR" w:bidi="fa-IR"/>
        </w:rPr>
        <w:t xml:space="preserve">are classified </w:t>
      </w:r>
      <w:r w:rsidRPr="36876AB2" w:rsidR="36876AB2">
        <w:rPr>
          <w:rFonts w:eastAsia="Arial" w:cs="Arial"/>
          <w:color w:val="000000" w:themeColor="text1" w:themeTint="FF" w:themeShade="FF"/>
          <w:lang w:val="en-US" w:eastAsia="fa-IR" w:bidi="fa-IR"/>
        </w:rPr>
        <w:t>as</w:t>
      </w:r>
      <w:r w:rsidRPr="36876AB2" w:rsidR="36876AB2">
        <w:rPr>
          <w:rFonts w:eastAsia="Arial" w:cs="Arial"/>
          <w:color w:val="000000" w:themeColor="text1" w:themeTint="FF" w:themeShade="FF"/>
          <w:lang w:val="en-US" w:eastAsia="fa-IR" w:bidi="fa-IR"/>
        </w:rPr>
        <w:t xml:space="preserve"> </w:t>
      </w:r>
      <w:r w:rsidRPr="36876AB2" w:rsidR="36876AB2">
        <w:rPr>
          <w:rFonts w:eastAsia="Arial" w:cs="Arial"/>
          <w:color w:val="000000" w:themeColor="text1" w:themeTint="FF" w:themeShade="FF"/>
          <w:lang w:val="en-US" w:eastAsia="fa-IR" w:bidi="fa-IR"/>
        </w:rPr>
        <w:t>populist left</w:t>
      </w:r>
      <w:r w:rsidRPr="36876AB2" w:rsidR="36876AB2">
        <w:rPr>
          <w:rFonts w:eastAsia="Arial" w:cs="Arial"/>
          <w:color w:val="000000" w:themeColor="text1" w:themeTint="FF" w:themeShade="FF"/>
          <w:lang w:val="en-US" w:eastAsia="fa-IR" w:bidi="fa-IR"/>
        </w:rPr>
        <w:t>, based solely on their left-right position on the economic</w:t>
      </w:r>
      <w:r w:rsidRPr="36876AB2" w:rsidR="36876AB2">
        <w:rPr>
          <w:rFonts w:eastAsia="Arial" w:cs="Arial"/>
          <w:color w:val="000000" w:themeColor="text1" w:themeTint="FF" w:themeShade="FF"/>
          <w:lang w:val="en-US" w:eastAsia="fa-IR" w:bidi="fa-IR"/>
        </w:rPr>
        <w:t xml:space="preserve"> scale</w:t>
      </w:r>
      <w:r w:rsidRPr="36876AB2" w:rsidR="36876AB2">
        <w:rPr>
          <w:rFonts w:eastAsia="Arial" w:cs="Arial"/>
          <w:color w:val="000000" w:themeColor="text1" w:themeTint="FF" w:themeShade="FF"/>
          <w:lang w:val="en-US" w:eastAsia="fa-IR" w:bidi="fa-IR"/>
        </w:rPr>
        <w:t>.</w:t>
      </w:r>
    </w:p>
    <w:p xmlns:wp14="http://schemas.microsoft.com/office/word/2010/wordml" w:rsidR="00CC2A92" w:rsidP="36876AB2" w:rsidRDefault="00CC2A92" w14:paraId="42336FAF" wp14:textId="267E9D91">
      <w:pPr>
        <w:jc w:val="both"/>
        <w:rPr>
          <w:rFonts w:eastAsia="Arial" w:cs="Arial"/>
          <w:color w:val="000000" w:themeColor="text1" w:themeTint="FF" w:themeShade="FF"/>
          <w:lang w:val="en-US" w:eastAsia="fa-IR" w:bidi="fa-IR"/>
        </w:rPr>
      </w:pPr>
      <w:r w:rsidRPr="36876AB2" w:rsidR="36876AB2">
        <w:rPr>
          <w:rFonts w:eastAsia="Arial" w:cs="Arial"/>
          <w:color w:val="000000" w:themeColor="text1" w:themeTint="FF" w:themeShade="FF"/>
          <w:lang w:val="en-US" w:eastAsia="fa-IR" w:bidi="fa-IR"/>
        </w:rPr>
        <w:t>To avoid simil</w:t>
      </w:r>
      <w:r w:rsidRPr="36876AB2" w:rsidR="36876AB2">
        <w:rPr>
          <w:rFonts w:eastAsia="Arial" w:cs="Arial"/>
          <w:color w:val="000000" w:themeColor="text1" w:themeTint="FF" w:themeShade="FF"/>
          <w:lang w:val="en-US" w:eastAsia="fa-IR" w:bidi="fa-IR"/>
        </w:rPr>
        <w:t xml:space="preserve">ar conceptual confusions, this paper </w:t>
      </w:r>
      <w:r w:rsidRPr="36876AB2" w:rsidR="36876AB2">
        <w:rPr>
          <w:rFonts w:eastAsia="Arial" w:cs="Arial"/>
          <w:color w:val="000000" w:themeColor="text1" w:themeTint="FF" w:themeShade="FF"/>
          <w:lang w:val="en-US" w:eastAsia="fa-IR" w:bidi="fa-IR"/>
        </w:rPr>
        <w:t>adopt</w:t>
      </w:r>
      <w:r w:rsidRPr="36876AB2" w:rsidR="36876AB2">
        <w:rPr>
          <w:rFonts w:eastAsia="Arial" w:cs="Arial"/>
          <w:color w:val="000000" w:themeColor="text1" w:themeTint="FF" w:themeShade="FF"/>
          <w:lang w:val="en-US" w:eastAsia="fa-IR" w:bidi="fa-IR"/>
        </w:rPr>
        <w:t>s</w:t>
      </w:r>
      <w:r w:rsidRPr="36876AB2" w:rsidR="36876AB2">
        <w:rPr>
          <w:rFonts w:eastAsia="Arial" w:cs="Arial"/>
          <w:color w:val="000000" w:themeColor="text1" w:themeTint="FF" w:themeShade="FF"/>
          <w:lang w:val="en-US" w:eastAsia="fa-IR" w:bidi="fa-IR"/>
        </w:rPr>
        <w:t xml:space="preserve"> Cas </w:t>
      </w:r>
      <w:proofErr w:type="spellStart"/>
      <w:r w:rsidRPr="36876AB2" w:rsidR="36876AB2">
        <w:rPr>
          <w:rFonts w:eastAsia="Arial" w:cs="Arial"/>
          <w:color w:val="000000" w:themeColor="text1" w:themeTint="FF" w:themeShade="FF"/>
          <w:lang w:val="en-US" w:eastAsia="fa-IR" w:bidi="fa-IR"/>
        </w:rPr>
        <w:t>Mudde’s</w:t>
      </w:r>
      <w:proofErr w:type="spellEnd"/>
      <w:r w:rsidRPr="36876AB2" w:rsidR="36876AB2">
        <w:rPr>
          <w:rFonts w:eastAsia="Arial" w:cs="Arial"/>
          <w:color w:val="000000" w:themeColor="text1" w:themeTint="FF" w:themeShade="FF"/>
          <w:lang w:val="en-US" w:eastAsia="fa-IR" w:bidi="fa-IR"/>
        </w:rPr>
        <w:t xml:space="preserve"> clear minimal</w:t>
      </w:r>
      <w:r w:rsidRPr="36876AB2" w:rsidR="36876AB2">
        <w:rPr>
          <w:rFonts w:eastAsia="Arial" w:cs="Arial"/>
          <w:color w:val="000000" w:themeColor="text1" w:themeTint="FF" w:themeShade="FF"/>
          <w:lang w:val="en-US" w:eastAsia="fa-IR" w:bidi="fa-IR"/>
        </w:rPr>
        <w:t>ist definition to identify</w:t>
      </w:r>
      <w:r w:rsidRPr="36876AB2" w:rsidR="36876AB2">
        <w:rPr>
          <w:rFonts w:eastAsia="Arial" w:cs="Arial"/>
          <w:color w:val="000000" w:themeColor="text1" w:themeTint="FF" w:themeShade="FF"/>
          <w:lang w:val="en-US" w:eastAsia="fa-IR" w:bidi="fa-IR"/>
        </w:rPr>
        <w:t xml:space="preserve"> core features that all subtypes of populism have in common. </w:t>
      </w:r>
      <w:r w:rsidRPr="36876AB2" w:rsidR="36876AB2">
        <w:rPr>
          <w:rFonts w:eastAsia="Arial" w:cs="Arial"/>
          <w:color w:val="000000" w:themeColor="text1" w:themeTint="FF" w:themeShade="FF"/>
          <w:lang w:val="en-US" w:eastAsia="fa-IR" w:bidi="fa-IR"/>
        </w:rPr>
        <w:t>In line with this definition, w</w:t>
      </w:r>
      <w:r w:rsidRPr="36876AB2" w:rsidR="36876AB2">
        <w:rPr>
          <w:rFonts w:eastAsia="Arial" w:cs="Arial"/>
          <w:color w:val="000000" w:themeColor="text1" w:themeTint="FF" w:themeShade="FF"/>
          <w:lang w:val="en-US" w:eastAsia="fa-IR" w:bidi="fa-IR"/>
        </w:rPr>
        <w:t xml:space="preserve">e suggest that populist parties are primarily defined by their degree of </w:t>
      </w:r>
      <w:r w:rsidRPr="36876AB2" w:rsidR="36876AB2">
        <w:rPr>
          <w:rFonts w:eastAsia="Arial" w:cs="Arial"/>
          <w:color w:val="000000" w:themeColor="text1" w:themeTint="FF" w:themeShade="FF"/>
          <w:lang w:val="en-US" w:eastAsia="fa-IR" w:bidi="fa-IR"/>
        </w:rPr>
        <w:t>anti-establishment agenda</w:t>
      </w:r>
      <w:r w:rsidRPr="36876AB2" w:rsidR="36876AB2">
        <w:rPr>
          <w:rFonts w:eastAsia="Arial" w:cs="Arial"/>
          <w:color w:val="000000" w:themeColor="text1" w:themeTint="FF" w:themeShade="FF"/>
          <w:lang w:val="en-US" w:eastAsia="fa-IR" w:bidi="fa-IR"/>
        </w:rPr>
        <w:t xml:space="preserve"> as well as their opposition to globalization</w:t>
      </w:r>
      <w:r w:rsidRPr="36876AB2" w:rsidR="36876AB2">
        <w:rPr>
          <w:rFonts w:eastAsia="Arial" w:cs="Arial"/>
          <w:color w:val="000000" w:themeColor="text1" w:themeTint="FF" w:themeShade="FF"/>
          <w:lang w:val="en-US" w:eastAsia="fa-IR" w:bidi="fa-IR"/>
        </w:rPr>
        <w:t xml:space="preserve">. </w:t>
      </w:r>
      <w:r w:rsidRPr="36876AB2" w:rsidR="36876AB2">
        <w:rPr>
          <w:rFonts w:eastAsia="Arial" w:cs="Arial"/>
          <w:color w:val="000000" w:themeColor="text1" w:themeTint="FF" w:themeShade="FF"/>
          <w:lang w:val="en-US" w:eastAsia="fa-IR" w:bidi="fa-IR"/>
        </w:rPr>
        <w:t>Subsequently</w:t>
      </w:r>
      <w:r w:rsidRPr="36876AB2" w:rsidR="36876AB2">
        <w:rPr>
          <w:rFonts w:eastAsia="Arial" w:cs="Arial"/>
          <w:color w:val="000000" w:themeColor="text1" w:themeTint="FF" w:themeShade="FF"/>
          <w:lang w:val="en-US" w:eastAsia="fa-IR" w:bidi="fa-IR"/>
        </w:rPr>
        <w:t>, we pro</w:t>
      </w:r>
      <w:r w:rsidRPr="36876AB2" w:rsidR="36876AB2">
        <w:rPr>
          <w:rFonts w:eastAsia="Arial" w:cs="Arial"/>
          <w:color w:val="000000" w:themeColor="text1" w:themeTint="FF" w:themeShade="FF"/>
          <w:lang w:val="en-US" w:eastAsia="fa-IR" w:bidi="fa-IR"/>
        </w:rPr>
        <w:t xml:space="preserve">pose to </w:t>
      </w:r>
      <w:r w:rsidRPr="36876AB2" w:rsidR="36876AB2">
        <w:rPr>
          <w:rFonts w:eastAsia="Arial" w:cs="Arial"/>
          <w:color w:val="000000" w:themeColor="text1" w:themeTint="FF" w:themeShade="FF"/>
          <w:lang w:val="en-US" w:eastAsia="fa-IR" w:bidi="fa-IR"/>
        </w:rPr>
        <w:t xml:space="preserve">classify European populist parties along two </w:t>
      </w:r>
      <w:r w:rsidRPr="36876AB2" w:rsidR="36876AB2">
        <w:rPr>
          <w:rFonts w:eastAsia="Arial" w:cs="Arial"/>
          <w:color w:val="000000" w:themeColor="text1" w:themeTint="FF" w:themeShade="FF"/>
          <w:lang w:val="en-US" w:eastAsia="fa-IR" w:bidi="fa-IR"/>
        </w:rPr>
        <w:t xml:space="preserve">left-right </w:t>
      </w:r>
      <w:r w:rsidRPr="36876AB2" w:rsidR="36876AB2">
        <w:rPr>
          <w:rFonts w:eastAsia="Arial" w:cs="Arial"/>
          <w:color w:val="000000" w:themeColor="text1" w:themeTint="FF" w:themeShade="FF"/>
          <w:lang w:val="en-US" w:eastAsia="fa-IR" w:bidi="fa-IR"/>
        </w:rPr>
        <w:t xml:space="preserve">dimensions: progressivism and traditionalism. </w:t>
      </w:r>
    </w:p>
    <w:p xmlns:wp14="http://schemas.microsoft.com/office/word/2010/wordml" w:rsidR="00CC2A92" w:rsidP="36876AB2" w:rsidRDefault="00CC2A92" w14:paraId="1FA6FD27" w14:noSpellErr="1" wp14:textId="4A5248CA">
      <w:pPr>
        <w:pStyle w:val="Standard"/>
        <w:jc w:val="both"/>
        <w:rPr>
          <w:rFonts w:eastAsia="Arial" w:cs="Arial"/>
          <w:color w:val="000000" w:themeColor="text1" w:themeTint="FF" w:themeShade="FF"/>
          <w:lang w:val="en-US" w:eastAsia="fa-IR" w:bidi="fa-IR"/>
        </w:rPr>
      </w:pPr>
      <w:r w:rsidRPr="36876AB2" w:rsidR="36876AB2">
        <w:rPr>
          <w:rFonts w:eastAsia="Arial" w:cs="Arial"/>
          <w:color w:val="000000" w:themeColor="text1" w:themeTint="FF" w:themeShade="FF"/>
          <w:lang w:val="en-US" w:eastAsia="fa-IR" w:bidi="fa-IR"/>
        </w:rPr>
        <w:t xml:space="preserve">While previous authors used economic and cultural </w:t>
      </w:r>
      <w:r w:rsidRPr="36876AB2" w:rsidR="36876AB2">
        <w:rPr>
          <w:rFonts w:eastAsia="Arial" w:cs="Arial"/>
          <w:color w:val="000000" w:themeColor="text1" w:themeTint="FF" w:themeShade="FF"/>
          <w:lang w:val="en-US" w:eastAsia="fa-IR" w:bidi="fa-IR"/>
        </w:rPr>
        <w:t xml:space="preserve">factors </w:t>
      </w:r>
      <w:r w:rsidRPr="36876AB2" w:rsidR="36876AB2">
        <w:rPr>
          <w:rFonts w:eastAsia="Arial" w:cs="Arial"/>
          <w:color w:val="000000" w:themeColor="text1" w:themeTint="FF" w:themeShade="FF"/>
          <w:lang w:val="en-US" w:eastAsia="fa-IR" w:bidi="fa-IR"/>
        </w:rPr>
        <w:t xml:space="preserve">to determine </w:t>
      </w:r>
      <w:r w:rsidRPr="36876AB2" w:rsidR="36876AB2">
        <w:rPr>
          <w:rFonts w:eastAsia="Arial" w:cs="Arial"/>
          <w:color w:val="000000" w:themeColor="text1" w:themeTint="FF" w:themeShade="FF"/>
          <w:lang w:val="en-US" w:eastAsia="fa-IR" w:bidi="fa-IR"/>
        </w:rPr>
        <w:t xml:space="preserve">support for </w:t>
      </w:r>
      <w:r w:rsidRPr="36876AB2" w:rsidR="36876AB2">
        <w:rPr>
          <w:rFonts w:eastAsia="Arial" w:cs="Arial"/>
          <w:color w:val="000000" w:themeColor="text1" w:themeTint="FF" w:themeShade="FF"/>
          <w:lang w:val="en-US" w:eastAsia="fa-IR" w:bidi="fa-IR"/>
        </w:rPr>
        <w:t xml:space="preserve">(mostly traditionalist) </w:t>
      </w:r>
      <w:r w:rsidRPr="36876AB2" w:rsidR="36876AB2">
        <w:rPr>
          <w:rFonts w:eastAsia="Arial" w:cs="Arial"/>
          <w:color w:val="000000" w:themeColor="text1" w:themeTint="FF" w:themeShade="FF"/>
          <w:lang w:val="en-US" w:eastAsia="fa-IR" w:bidi="fa-IR"/>
        </w:rPr>
        <w:t xml:space="preserve">populism, </w:t>
      </w:r>
      <w:r w:rsidRPr="36876AB2" w:rsidR="36876AB2">
        <w:rPr>
          <w:rFonts w:eastAsia="Arial" w:cs="Arial"/>
          <w:color w:val="000000" w:themeColor="text1" w:themeTint="FF" w:themeShade="FF"/>
          <w:lang w:val="en-US" w:eastAsia="fa-IR" w:bidi="fa-IR"/>
        </w:rPr>
        <w:t>we propose a hierarchical</w:t>
      </w:r>
      <w:r w:rsidRPr="36876AB2" w:rsidR="36876AB2">
        <w:rPr>
          <w:rFonts w:eastAsia="Arial" w:cs="Arial"/>
          <w:color w:val="000000" w:themeColor="text1" w:themeTint="FF" w:themeShade="FF"/>
          <w:lang w:val="en-US" w:eastAsia="fa-IR" w:bidi="fa-IR"/>
        </w:rPr>
        <w:t xml:space="preserve"> theoretical model that integrates those explanatory approaches</w:t>
      </w:r>
      <w:r w:rsidRPr="36876AB2" w:rsidR="36876AB2">
        <w:rPr>
          <w:rFonts w:eastAsia="Arial" w:cs="Arial"/>
          <w:color w:val="000000" w:themeColor="text1" w:themeTint="FF" w:themeShade="FF"/>
          <w:lang w:val="en-US" w:eastAsia="fa-IR" w:bidi="fa-IR"/>
        </w:rPr>
        <w:t xml:space="preserve"> and </w:t>
      </w:r>
      <w:r w:rsidRPr="36876AB2" w:rsidR="36876AB2">
        <w:rPr>
          <w:rFonts w:eastAsia="Arial" w:cs="Arial"/>
          <w:color w:val="000000" w:themeColor="text1" w:themeTint="FF" w:themeShade="FF"/>
          <w:lang w:val="en-US" w:eastAsia="fa-IR" w:bidi="fa-IR"/>
        </w:rPr>
        <w:t>distinguishes between traditionalist and progressive populism as outcomes</w:t>
      </w:r>
      <w:r w:rsidRPr="36876AB2" w:rsidR="36876AB2">
        <w:rPr>
          <w:rFonts w:eastAsia="Arial" w:cs="Arial"/>
          <w:color w:val="000000" w:themeColor="text1" w:themeTint="FF" w:themeShade="FF"/>
          <w:lang w:val="en-US" w:eastAsia="fa-IR" w:bidi="fa-IR"/>
        </w:rPr>
        <w:t xml:space="preserve">. This model is structured by two consecutive </w:t>
      </w:r>
      <w:r w:rsidRPr="36876AB2" w:rsidR="36876AB2">
        <w:rPr>
          <w:rFonts w:eastAsia="Arial" w:cs="Arial"/>
          <w:color w:val="000000" w:themeColor="text1" w:themeTint="FF" w:themeShade="FF"/>
          <w:lang w:val="en-US" w:eastAsia="fa-IR" w:bidi="fa-IR"/>
        </w:rPr>
        <w:t>steps</w:t>
      </w:r>
      <w:r w:rsidRPr="36876AB2" w:rsidR="36876AB2">
        <w:rPr>
          <w:rFonts w:eastAsia="Arial" w:cs="Arial"/>
          <w:color w:val="000000" w:themeColor="text1" w:themeTint="FF" w:themeShade="FF"/>
          <w:lang w:val="en-US" w:eastAsia="fa-IR" w:bidi="fa-IR"/>
        </w:rPr>
        <w:t xml:space="preserve">: </w:t>
      </w:r>
    </w:p>
    <w:p xmlns:wp14="http://schemas.microsoft.com/office/word/2010/wordml" w:rsidR="00CC2A92" w:rsidP="36876AB2" w:rsidRDefault="00CC2A92" wp14:noSpellErr="1" w14:paraId="75F8F2CF" wp14:textId="3D1CD325">
      <w:pPr>
        <w:pStyle w:val="ListParagraph"/>
        <w:numPr>
          <w:ilvl w:val="0"/>
          <w:numId w:val="3"/>
        </w:numPr>
        <w:jc w:val="both"/>
        <w:rPr>
          <w:color w:val="000000" w:themeColor="text1" w:themeTint="FF" w:themeShade="FF"/>
          <w:sz w:val="22"/>
          <w:szCs w:val="22"/>
          <w:lang w:val="en-US" w:eastAsia="fa-IR" w:bidi="fa-IR"/>
        </w:rPr>
      </w:pPr>
      <w:r w:rsidRPr="36876AB2" w:rsidR="36876AB2">
        <w:rPr>
          <w:rFonts w:eastAsia="Arial" w:cs="Arial"/>
          <w:color w:val="000000" w:themeColor="text1" w:themeTint="FF" w:themeShade="FF"/>
          <w:lang w:val="en-US" w:eastAsia="fa-IR" w:bidi="fa-IR"/>
        </w:rPr>
        <w:t>E</w:t>
      </w:r>
      <w:r w:rsidRPr="36876AB2" w:rsidR="36876AB2">
        <w:rPr>
          <w:rFonts w:eastAsia="Arial" w:cs="Arial"/>
          <w:color w:val="000000" w:themeColor="text1" w:themeTint="FF" w:themeShade="FF"/>
          <w:lang w:val="en-US" w:eastAsia="fa-IR" w:bidi="fa-IR"/>
        </w:rPr>
        <w:t>conomically</w:t>
      </w:r>
      <w:r w:rsidRPr="36876AB2" w:rsidR="36876AB2">
        <w:rPr>
          <w:rFonts w:eastAsia="Arial" w:cs="Arial"/>
          <w:color w:val="000000" w:themeColor="text1" w:themeTint="FF" w:themeShade="FF"/>
          <w:lang w:val="en-US" w:eastAsia="fa-IR" w:bidi="fa-IR"/>
        </w:rPr>
        <w:t xml:space="preserve"> </w:t>
      </w:r>
      <w:r w:rsidRPr="36876AB2" w:rsidR="36876AB2">
        <w:rPr>
          <w:rFonts w:eastAsia="Arial" w:cs="Arial"/>
          <w:color w:val="000000" w:themeColor="text1" w:themeTint="FF" w:themeShade="FF"/>
          <w:lang w:val="en-US" w:eastAsia="fa-IR" w:bidi="fa-IR"/>
        </w:rPr>
        <w:t xml:space="preserve">deprived </w:t>
      </w:r>
      <w:r w:rsidRPr="36876AB2" w:rsidR="36876AB2">
        <w:rPr>
          <w:rFonts w:eastAsia="Arial" w:cs="Arial"/>
          <w:color w:val="000000" w:themeColor="text1" w:themeTint="FF" w:themeShade="FF"/>
          <w:lang w:val="en-US" w:eastAsia="fa-IR" w:bidi="fa-IR"/>
        </w:rPr>
        <w:t>individuals</w:t>
      </w:r>
      <w:r w:rsidRPr="36876AB2" w:rsidR="36876AB2">
        <w:rPr>
          <w:rFonts w:eastAsia="Arial" w:cs="Arial"/>
          <w:color w:val="000000" w:themeColor="text1" w:themeTint="FF" w:themeShade="FF"/>
          <w:lang w:val="en-US" w:eastAsia="fa-IR" w:bidi="fa-IR"/>
        </w:rPr>
        <w:t xml:space="preserve"> </w:t>
      </w:r>
      <w:r w:rsidRPr="36876AB2" w:rsidR="36876AB2">
        <w:rPr>
          <w:rFonts w:eastAsia="Arial" w:cs="Arial"/>
          <w:color w:val="000000" w:themeColor="text1" w:themeTint="FF" w:themeShade="FF"/>
          <w:lang w:val="en-US" w:eastAsia="fa-IR" w:bidi="fa-IR"/>
        </w:rPr>
        <w:t>-</w:t>
      </w:r>
      <w:r w:rsidRPr="36876AB2" w:rsidR="36876AB2">
        <w:rPr>
          <w:rFonts w:eastAsia="Arial" w:cs="Arial"/>
          <w:color w:val="000000" w:themeColor="text1" w:themeTint="FF" w:themeShade="FF"/>
          <w:lang w:val="en-US" w:eastAsia="fa-IR" w:bidi="fa-IR"/>
        </w:rPr>
        <w:t xml:space="preserve"> </w:t>
      </w:r>
      <w:r w:rsidRPr="36876AB2" w:rsidR="36876AB2">
        <w:rPr>
          <w:rFonts w:eastAsia="Arial" w:cs="Arial"/>
          <w:color w:val="000000" w:themeColor="text1" w:themeTint="FF" w:themeShade="FF"/>
          <w:lang w:val="en-US" w:eastAsia="fa-IR" w:bidi="fa-IR"/>
        </w:rPr>
        <w:t xml:space="preserve"> </w:t>
      </w:r>
      <w:r w:rsidRPr="36876AB2" w:rsidR="36876AB2">
        <w:rPr>
          <w:rFonts w:eastAsia="Arial" w:cs="Arial"/>
          <w:color w:val="000000" w:themeColor="text1" w:themeTint="FF" w:themeShade="FF"/>
          <w:lang w:val="en-US" w:eastAsia="fa-IR" w:bidi="fa-IR"/>
        </w:rPr>
        <w:t>seek</w:t>
      </w:r>
      <w:r w:rsidRPr="36876AB2" w:rsidR="36876AB2">
        <w:rPr>
          <w:rFonts w:eastAsia="Arial" w:cs="Arial"/>
          <w:color w:val="000000" w:themeColor="text1" w:themeTint="FF" w:themeShade="FF"/>
          <w:lang w:val="en-US" w:eastAsia="fa-IR" w:bidi="fa-IR"/>
        </w:rPr>
        <w:t xml:space="preserve">ing </w:t>
      </w:r>
      <w:r w:rsidRPr="36876AB2" w:rsidR="36876AB2">
        <w:rPr>
          <w:rFonts w:eastAsia="Arial" w:cs="Arial"/>
          <w:color w:val="000000" w:themeColor="text1" w:themeTint="FF" w:themeShade="FF"/>
          <w:lang w:val="en-US" w:eastAsia="fa-IR" w:bidi="fa-IR"/>
        </w:rPr>
        <w:t xml:space="preserve">to change the status </w:t>
      </w:r>
      <w:r w:rsidRPr="36876AB2" w:rsidR="36876AB2">
        <w:rPr>
          <w:rFonts w:eastAsia="Arial" w:cs="Arial"/>
          <w:color w:val="000000" w:themeColor="text1" w:themeTint="FF" w:themeShade="FF"/>
          <w:lang w:val="en-US" w:eastAsia="fa-IR" w:bidi="fa-IR"/>
        </w:rPr>
        <w:t>quo</w:t>
      </w:r>
      <w:r w:rsidRPr="36876AB2" w:rsidR="36876AB2">
        <w:rPr>
          <w:rFonts w:eastAsia="Arial" w:cs="Arial"/>
          <w:color w:val="000000" w:themeColor="text1" w:themeTint="FF" w:themeShade="FF"/>
          <w:lang w:val="en-US" w:eastAsia="fa-IR" w:bidi="fa-IR"/>
        </w:rPr>
        <w:t xml:space="preserve"> - </w:t>
      </w:r>
      <w:r w:rsidRPr="36876AB2" w:rsidR="36876AB2">
        <w:rPr>
          <w:rFonts w:eastAsia="Arial" w:cs="Arial"/>
          <w:color w:val="000000" w:themeColor="text1" w:themeTint="FF" w:themeShade="FF"/>
          <w:lang w:val="en-US" w:eastAsia="fa-IR" w:bidi="fa-IR"/>
        </w:rPr>
        <w:t>are more likely to</w:t>
      </w:r>
      <w:r w:rsidRPr="36876AB2" w:rsidR="36876AB2">
        <w:rPr>
          <w:rFonts w:eastAsia="Arial" w:cs="Arial"/>
          <w:color w:val="000000" w:themeColor="text1" w:themeTint="FF" w:themeShade="FF"/>
          <w:lang w:val="en-US" w:eastAsia="fa-IR" w:bidi="fa-IR"/>
        </w:rPr>
        <w:t xml:space="preserve"> reject establishment parties and consequently</w:t>
      </w:r>
      <w:r w:rsidRPr="36876AB2" w:rsidR="36876AB2">
        <w:rPr>
          <w:rFonts w:eastAsia="Arial" w:cs="Arial"/>
          <w:color w:val="000000" w:themeColor="text1" w:themeTint="FF" w:themeShade="FF"/>
          <w:lang w:val="en-US" w:eastAsia="fa-IR" w:bidi="fa-IR"/>
        </w:rPr>
        <w:t xml:space="preserve"> support</w:t>
      </w:r>
      <w:r w:rsidRPr="36876AB2" w:rsidR="36876AB2">
        <w:rPr>
          <w:rFonts w:eastAsia="Arial" w:cs="Arial"/>
          <w:color w:val="000000" w:themeColor="text1" w:themeTint="FF" w:themeShade="FF"/>
          <w:lang w:val="en-US" w:eastAsia="fa-IR" w:bidi="fa-IR"/>
        </w:rPr>
        <w:t xml:space="preserve"> populist</w:t>
      </w:r>
      <w:r w:rsidRPr="36876AB2" w:rsidR="36876AB2">
        <w:rPr>
          <w:rFonts w:eastAsia="Arial" w:cs="Arial"/>
          <w:color w:val="000000" w:themeColor="text1" w:themeTint="FF" w:themeShade="FF"/>
          <w:lang w:val="en-US" w:eastAsia="fa-IR" w:bidi="fa-IR"/>
        </w:rPr>
        <w:t xml:space="preserve"> parties</w:t>
      </w:r>
      <w:r w:rsidRPr="36876AB2" w:rsidR="36876AB2">
        <w:rPr>
          <w:rFonts w:eastAsia="Arial" w:cs="Arial"/>
          <w:color w:val="000000" w:themeColor="text1" w:themeTint="FF" w:themeShade="FF"/>
          <w:lang w:val="en-US" w:eastAsia="fa-IR" w:bidi="fa-IR"/>
        </w:rPr>
        <w:t xml:space="preserve"> </w:t>
      </w:r>
      <w:r w:rsidRPr="36876AB2" w:rsidR="36876AB2">
        <w:rPr>
          <w:rFonts w:eastAsia="Arial" w:cs="Arial"/>
          <w:color w:val="000000" w:themeColor="text1" w:themeTint="FF" w:themeShade="FF"/>
          <w:lang w:val="en-US" w:eastAsia="fa-IR" w:bidi="fa-IR"/>
        </w:rPr>
        <w:t xml:space="preserve">instead. </w:t>
      </w:r>
      <w:r>
        <w:br/>
      </w:r>
    </w:p>
    <w:p xmlns:wp14="http://schemas.microsoft.com/office/word/2010/wordml" w:rsidR="00CC2A92" w:rsidP="36876AB2" w:rsidRDefault="00CC2A92" w14:paraId="72E47E62" wp14:textId="5625056C">
      <w:pPr>
        <w:pStyle w:val="ListParagraph"/>
        <w:numPr>
          <w:ilvl w:val="0"/>
          <w:numId w:val="3"/>
        </w:numPr>
        <w:jc w:val="both"/>
        <w:rPr>
          <w:color w:val="000000" w:themeColor="text1" w:themeTint="FF" w:themeShade="FF"/>
          <w:sz w:val="22"/>
          <w:szCs w:val="22"/>
          <w:lang w:val="en-US" w:eastAsia="fa-IR" w:bidi="fa-IR"/>
        </w:rPr>
      </w:pPr>
      <w:r w:rsidRPr="36876AB2" w:rsidR="36876AB2">
        <w:rPr>
          <w:rFonts w:eastAsia="Arial" w:cs="Arial"/>
          <w:color w:val="000000" w:themeColor="text1" w:themeTint="FF" w:themeShade="FF"/>
          <w:lang w:val="en-US" w:eastAsia="fa-IR" w:bidi="fa-IR"/>
        </w:rPr>
        <w:t>W</w:t>
      </w:r>
      <w:r w:rsidRPr="36876AB2" w:rsidR="36876AB2">
        <w:rPr>
          <w:rFonts w:eastAsia="Arial" w:cs="Arial"/>
          <w:color w:val="000000" w:themeColor="text1" w:themeTint="FF" w:themeShade="FF"/>
          <w:lang w:val="en-US" w:eastAsia="fa-IR" w:bidi="fa-IR"/>
        </w:rPr>
        <w:t>hether</w:t>
      </w:r>
      <w:r w:rsidRPr="36876AB2" w:rsidR="36876AB2">
        <w:rPr>
          <w:rFonts w:eastAsia="Arial" w:cs="Arial"/>
          <w:color w:val="000000" w:themeColor="text1" w:themeTint="FF" w:themeShade="FF"/>
          <w:lang w:val="en-US" w:eastAsia="fa-IR" w:bidi="fa-IR"/>
        </w:rPr>
        <w:t xml:space="preserve"> </w:t>
      </w:r>
      <w:r w:rsidRPr="36876AB2" w:rsidR="36876AB2">
        <w:rPr>
          <w:rFonts w:eastAsia="Arial" w:cs="Arial"/>
          <w:color w:val="000000" w:themeColor="text1" w:themeTint="FF" w:themeShade="FF"/>
          <w:lang w:val="en-US" w:eastAsia="fa-IR" w:bidi="fa-IR"/>
        </w:rPr>
        <w:t xml:space="preserve">said </w:t>
      </w:r>
      <w:r w:rsidRPr="36876AB2" w:rsidR="36876AB2">
        <w:rPr>
          <w:rFonts w:eastAsia="Arial" w:cs="Arial"/>
          <w:color w:val="000000" w:themeColor="text1" w:themeTint="FF" w:themeShade="FF"/>
          <w:lang w:val="en-US" w:eastAsia="fa-IR" w:bidi="fa-IR"/>
        </w:rPr>
        <w:t>people support progressive or tradition</w:t>
      </w:r>
      <w:r w:rsidRPr="36876AB2" w:rsidR="36876AB2">
        <w:rPr>
          <w:rFonts w:eastAsia="Arial" w:cs="Arial"/>
          <w:color w:val="000000" w:themeColor="text1" w:themeTint="FF" w:themeShade="FF"/>
          <w:lang w:val="en-US" w:eastAsia="fa-IR" w:bidi="fa-IR"/>
        </w:rPr>
        <w:t>alist populism is</w:t>
      </w:r>
      <w:r w:rsidRPr="36876AB2" w:rsidR="36876AB2">
        <w:rPr>
          <w:rFonts w:eastAsia="Arial" w:cs="Arial"/>
          <w:color w:val="000000" w:themeColor="text1" w:themeTint="FF" w:themeShade="FF"/>
          <w:lang w:val="en-US" w:eastAsia="fa-IR" w:bidi="fa-IR"/>
        </w:rPr>
        <w:t xml:space="preserve"> </w:t>
      </w:r>
      <w:r w:rsidRPr="36876AB2" w:rsidR="36876AB2">
        <w:rPr>
          <w:rFonts w:eastAsia="Arial" w:cs="Arial"/>
          <w:color w:val="000000" w:themeColor="text1" w:themeTint="FF" w:themeShade="FF"/>
          <w:lang w:val="en-US" w:eastAsia="fa-IR" w:bidi="fa-IR"/>
        </w:rPr>
        <w:t>determined</w:t>
      </w:r>
      <w:r w:rsidRPr="36876AB2" w:rsidR="36876AB2">
        <w:rPr>
          <w:rFonts w:eastAsia="Arial" w:cs="Arial"/>
          <w:color w:val="000000" w:themeColor="text1" w:themeTint="FF" w:themeShade="FF"/>
          <w:lang w:val="en-US" w:eastAsia="fa-IR" w:bidi="fa-IR"/>
        </w:rPr>
        <w:t xml:space="preserve"> </w:t>
      </w:r>
      <w:r w:rsidRPr="36876AB2" w:rsidR="36876AB2">
        <w:rPr>
          <w:rFonts w:eastAsia="Arial" w:cs="Arial"/>
          <w:color w:val="000000" w:themeColor="text1" w:themeTint="FF" w:themeShade="FF"/>
          <w:lang w:val="en-US" w:eastAsia="fa-IR" w:bidi="fa-IR"/>
        </w:rPr>
        <w:t>by</w:t>
      </w:r>
      <w:r w:rsidRPr="36876AB2" w:rsidR="36876AB2">
        <w:rPr>
          <w:rFonts w:eastAsia="Arial" w:cs="Arial"/>
          <w:color w:val="000000" w:themeColor="text1" w:themeTint="FF" w:themeShade="FF"/>
          <w:lang w:val="en-US" w:eastAsia="fa-IR" w:bidi="fa-IR"/>
        </w:rPr>
        <w:t xml:space="preserve"> </w:t>
      </w:r>
      <w:r w:rsidRPr="36876AB2" w:rsidR="36876AB2">
        <w:rPr>
          <w:rFonts w:eastAsia="Arial" w:cs="Arial"/>
          <w:color w:val="000000" w:themeColor="text1" w:themeTint="FF" w:themeShade="FF"/>
          <w:lang w:val="en-US" w:eastAsia="fa-IR" w:bidi="fa-IR"/>
        </w:rPr>
        <w:t xml:space="preserve">their cultural values: </w:t>
      </w:r>
      <w:r>
        <w:br/>
      </w:r>
    </w:p>
    <w:p xmlns:wp14="http://schemas.microsoft.com/office/word/2010/wordml" w:rsidR="00CC2A92" w:rsidP="36876AB2" w:rsidRDefault="00CC2A92" wp14:noSpellErr="1" w14:paraId="6BA5E27F" wp14:textId="38C64ED7">
      <w:pPr>
        <w:pStyle w:val="ListParagraph"/>
        <w:numPr>
          <w:ilvl w:val="1"/>
          <w:numId w:val="3"/>
        </w:numPr>
        <w:jc w:val="both"/>
        <w:rPr>
          <w:color w:val="000000" w:themeColor="text1" w:themeTint="FF" w:themeShade="FF"/>
          <w:sz w:val="22"/>
          <w:szCs w:val="22"/>
          <w:lang w:val="en-US" w:eastAsia="fa-IR" w:bidi="fa-IR"/>
        </w:rPr>
      </w:pPr>
      <w:r w:rsidRPr="36876AB2" w:rsidR="36876AB2">
        <w:rPr>
          <w:rFonts w:eastAsia="Arial" w:cs="Arial"/>
          <w:color w:val="000000" w:themeColor="text1" w:themeTint="FF" w:themeShade="FF"/>
          <w:lang w:val="en-US" w:eastAsia="fa-IR" w:bidi="fa-IR"/>
        </w:rPr>
        <w:t>T</w:t>
      </w:r>
      <w:r w:rsidRPr="36876AB2" w:rsidR="36876AB2">
        <w:rPr>
          <w:rFonts w:eastAsia="Arial" w:cs="Arial"/>
          <w:color w:val="000000" w:themeColor="text1" w:themeTint="FF" w:themeShade="FF"/>
          <w:lang w:val="en-US" w:eastAsia="fa-IR" w:bidi="fa-IR"/>
        </w:rPr>
        <w:t xml:space="preserve">raditionalist populists </w:t>
      </w:r>
      <w:r w:rsidRPr="36876AB2" w:rsidR="36876AB2">
        <w:rPr>
          <w:rFonts w:eastAsia="Arial" w:cs="Arial"/>
          <w:color w:val="000000" w:themeColor="text1" w:themeTint="FF" w:themeShade="FF"/>
          <w:lang w:val="en-US" w:eastAsia="fa-IR" w:bidi="fa-IR"/>
        </w:rPr>
        <w:t>are supported by</w:t>
      </w:r>
      <w:r w:rsidRPr="36876AB2" w:rsidR="36876AB2">
        <w:rPr>
          <w:rFonts w:eastAsia="Arial" w:cs="Arial"/>
          <w:color w:val="000000" w:themeColor="text1" w:themeTint="FF" w:themeShade="FF"/>
          <w:lang w:val="en-US" w:eastAsia="fa-IR" w:bidi="fa-IR"/>
        </w:rPr>
        <w:t xml:space="preserve"> </w:t>
      </w:r>
      <w:r w:rsidRPr="36876AB2" w:rsidR="36876AB2">
        <w:rPr>
          <w:rFonts w:eastAsia="Arial" w:cs="Arial"/>
          <w:color w:val="000000" w:themeColor="text1" w:themeTint="FF" w:themeShade="FF"/>
          <w:lang w:val="en-US" w:eastAsia="fa-IR" w:bidi="fa-IR"/>
        </w:rPr>
        <w:t xml:space="preserve">people who believe that societal change has gone too far and </w:t>
      </w:r>
      <w:r w:rsidRPr="36876AB2" w:rsidR="36876AB2">
        <w:rPr>
          <w:rFonts w:eastAsia="Arial" w:cs="Arial"/>
          <w:color w:val="000000" w:themeColor="text1" w:themeTint="FF" w:themeShade="FF"/>
          <w:lang w:val="en-US" w:eastAsia="fa-IR" w:bidi="fa-IR"/>
        </w:rPr>
        <w:t xml:space="preserve">that </w:t>
      </w:r>
      <w:r w:rsidRPr="36876AB2" w:rsidR="36876AB2">
        <w:rPr>
          <w:rFonts w:eastAsia="Arial" w:cs="Arial"/>
          <w:color w:val="000000" w:themeColor="text1" w:themeTint="FF" w:themeShade="FF"/>
          <w:lang w:val="en-US" w:eastAsia="fa-IR" w:bidi="fa-IR"/>
        </w:rPr>
        <w:t>cosmopolitan liberal e</w:t>
      </w:r>
      <w:r w:rsidRPr="36876AB2" w:rsidR="36876AB2">
        <w:rPr>
          <w:rFonts w:eastAsia="Arial" w:cs="Arial"/>
          <w:color w:val="000000" w:themeColor="text1" w:themeTint="FF" w:themeShade="FF"/>
          <w:lang w:val="en-US" w:eastAsia="fa-IR" w:bidi="fa-IR"/>
        </w:rPr>
        <w:t>lites undermine national unit</w:t>
      </w:r>
      <w:r w:rsidRPr="36876AB2" w:rsidR="36876AB2">
        <w:rPr>
          <w:rFonts w:eastAsia="Arial" w:cs="Arial"/>
          <w:color w:val="000000" w:themeColor="text1" w:themeTint="FF" w:themeShade="FF"/>
          <w:lang w:val="en-US" w:eastAsia="fa-IR" w:bidi="fa-IR"/>
        </w:rPr>
        <w:t>y.</w:t>
      </w:r>
      <w:r>
        <w:br/>
      </w:r>
    </w:p>
    <w:p xmlns:wp14="http://schemas.microsoft.com/office/word/2010/wordml" w:rsidR="00CC2A92" w:rsidP="36876AB2" w:rsidRDefault="00CC2A92" w14:paraId="6A05A809" wp14:noSpellErr="1" wp14:textId="765011CE">
      <w:pPr>
        <w:pStyle w:val="ListParagraph"/>
        <w:numPr>
          <w:ilvl w:val="1"/>
          <w:numId w:val="3"/>
        </w:numPr>
        <w:jc w:val="both"/>
        <w:rPr>
          <w:color w:val="000000" w:themeColor="text1" w:themeTint="FF" w:themeShade="FF"/>
          <w:sz w:val="22"/>
          <w:szCs w:val="22"/>
          <w:lang w:val="en-US" w:eastAsia="fa-IR" w:bidi="fa-IR"/>
        </w:rPr>
      </w:pPr>
      <w:r w:rsidRPr="36876AB2" w:rsidR="36876AB2">
        <w:rPr>
          <w:rFonts w:eastAsia="Arial" w:cs="Arial"/>
          <w:color w:val="000000" w:themeColor="text1" w:themeTint="FF" w:themeShade="FF"/>
          <w:lang w:val="en-US" w:eastAsia="fa-IR" w:bidi="fa-IR"/>
        </w:rPr>
        <w:t>P</w:t>
      </w:r>
      <w:r w:rsidRPr="36876AB2" w:rsidR="36876AB2">
        <w:rPr>
          <w:rFonts w:eastAsia="Arial" w:cs="Arial"/>
          <w:color w:val="000000" w:themeColor="text1" w:themeTint="FF" w:themeShade="FF"/>
          <w:lang w:val="en-US" w:eastAsia="fa-IR" w:bidi="fa-IR"/>
        </w:rPr>
        <w:t>rogressive</w:t>
      </w:r>
      <w:r w:rsidRPr="36876AB2" w:rsidR="36876AB2">
        <w:rPr>
          <w:rFonts w:eastAsia="Arial" w:cs="Arial"/>
          <w:color w:val="000000" w:themeColor="text1" w:themeTint="FF" w:themeShade="FF"/>
          <w:lang w:val="en-US" w:eastAsia="fa-IR" w:bidi="fa-IR"/>
        </w:rPr>
        <w:t xml:space="preserve"> populists draw their support from people who believe </w:t>
      </w:r>
      <w:r w:rsidRPr="36876AB2" w:rsidR="36876AB2">
        <w:rPr>
          <w:rFonts w:eastAsia="Arial" w:cs="Arial"/>
          <w:color w:val="000000" w:themeColor="text1" w:themeTint="FF" w:themeShade="FF"/>
          <w:lang w:val="en-US" w:eastAsia="fa-IR" w:bidi="fa-IR"/>
        </w:rPr>
        <w:t xml:space="preserve">that </w:t>
      </w:r>
      <w:r w:rsidRPr="36876AB2" w:rsidR="36876AB2">
        <w:rPr>
          <w:rFonts w:eastAsia="Arial" w:cs="Arial"/>
          <w:color w:val="000000" w:themeColor="text1" w:themeTint="FF" w:themeShade="FF"/>
          <w:lang w:val="en-US" w:eastAsia="fa-IR" w:bidi="fa-IR"/>
        </w:rPr>
        <w:t xml:space="preserve">capitalist </w:t>
      </w:r>
      <w:r w:rsidRPr="36876AB2" w:rsidR="36876AB2">
        <w:rPr>
          <w:rFonts w:eastAsia="Arial" w:cs="Arial"/>
          <w:color w:val="000000" w:themeColor="text1" w:themeTint="FF" w:themeShade="FF"/>
          <w:lang w:val="en-US" w:eastAsia="fa-IR" w:bidi="fa-IR"/>
        </w:rPr>
        <w:t xml:space="preserve">elites </w:t>
      </w:r>
      <w:r w:rsidRPr="36876AB2" w:rsidR="36876AB2">
        <w:rPr>
          <w:rFonts w:eastAsia="Arial" w:cs="Arial"/>
          <w:color w:val="000000" w:themeColor="text1" w:themeTint="FF" w:themeShade="FF"/>
          <w:lang w:val="en-US" w:eastAsia="fa-IR" w:bidi="fa-IR"/>
        </w:rPr>
        <w:t xml:space="preserve">(represented </w:t>
      </w:r>
      <w:r w:rsidRPr="36876AB2" w:rsidR="36876AB2">
        <w:rPr>
          <w:rFonts w:eastAsia="Arial" w:cs="Arial"/>
          <w:color w:val="000000" w:themeColor="text1" w:themeTint="FF" w:themeShade="FF"/>
          <w:lang w:val="en-US" w:eastAsia="fa-IR" w:bidi="fa-IR"/>
        </w:rPr>
        <w:t>by</w:t>
      </w:r>
      <w:r w:rsidRPr="36876AB2" w:rsidR="36876AB2">
        <w:rPr>
          <w:rFonts w:eastAsia="Arial" w:cs="Arial"/>
          <w:color w:val="000000" w:themeColor="text1" w:themeTint="FF" w:themeShade="FF"/>
          <w:lang w:val="en-US" w:eastAsia="fa-IR" w:bidi="fa-IR"/>
        </w:rPr>
        <w:t xml:space="preserve"> </w:t>
      </w:r>
      <w:r w:rsidRPr="36876AB2" w:rsidR="36876AB2">
        <w:rPr>
          <w:rFonts w:eastAsia="Arial" w:cs="Arial"/>
          <w:color w:val="000000" w:themeColor="text1" w:themeTint="FF" w:themeShade="FF"/>
          <w:lang w:val="en-US" w:eastAsia="fa-IR" w:bidi="fa-IR"/>
        </w:rPr>
        <w:t>institut</w:t>
      </w:r>
      <w:r w:rsidRPr="36876AB2" w:rsidR="36876AB2">
        <w:rPr>
          <w:rFonts w:eastAsia="Arial" w:cs="Arial"/>
          <w:color w:val="000000" w:themeColor="text1" w:themeTint="FF" w:themeShade="FF"/>
          <w:lang w:val="en-US" w:eastAsia="fa-IR" w:bidi="fa-IR"/>
        </w:rPr>
        <w:t>ions</w:t>
      </w:r>
      <w:r w:rsidRPr="36876AB2" w:rsidR="36876AB2">
        <w:rPr>
          <w:rFonts w:eastAsia="Arial" w:cs="Arial"/>
          <w:color w:val="000000" w:themeColor="text1" w:themeTint="FF" w:themeShade="FF"/>
          <w:lang w:val="en-US" w:eastAsia="fa-IR" w:bidi="fa-IR"/>
        </w:rPr>
        <w:t xml:space="preserve"> like</w:t>
      </w:r>
      <w:r w:rsidRPr="36876AB2" w:rsidR="36876AB2">
        <w:rPr>
          <w:rFonts w:eastAsia="Arial" w:cs="Arial"/>
          <w:color w:val="000000" w:themeColor="text1" w:themeTint="FF" w:themeShade="FF"/>
          <w:lang w:val="en-US" w:eastAsia="fa-IR" w:bidi="fa-IR"/>
        </w:rPr>
        <w:t xml:space="preserve"> multinational </w:t>
      </w:r>
      <w:r w:rsidRPr="36876AB2" w:rsidR="36876AB2">
        <w:rPr>
          <w:rFonts w:eastAsia="Arial" w:cs="Arial"/>
          <w:color w:val="000000" w:themeColor="text1" w:themeTint="FF" w:themeShade="FF"/>
          <w:lang w:val="en-US" w:eastAsia="fa-IR" w:bidi="fa-IR"/>
        </w:rPr>
        <w:t xml:space="preserve">banks </w:t>
      </w:r>
      <w:r w:rsidRPr="36876AB2" w:rsidR="36876AB2">
        <w:rPr>
          <w:rFonts w:eastAsia="Arial" w:cs="Arial"/>
          <w:color w:val="000000" w:themeColor="text1" w:themeTint="FF" w:themeShade="FF"/>
          <w:lang w:val="en-US" w:eastAsia="fa-IR" w:bidi="fa-IR"/>
        </w:rPr>
        <w:t xml:space="preserve">and </w:t>
      </w:r>
      <w:r w:rsidRPr="36876AB2" w:rsidR="36876AB2">
        <w:rPr>
          <w:rFonts w:eastAsia="Arial" w:cs="Arial"/>
          <w:color w:val="000000" w:themeColor="text1" w:themeTint="FF" w:themeShade="FF"/>
          <w:lang w:val="en-US" w:eastAsia="fa-IR" w:bidi="fa-IR"/>
        </w:rPr>
        <w:t>companies</w:t>
      </w:r>
      <w:r w:rsidRPr="36876AB2" w:rsidR="36876AB2">
        <w:rPr>
          <w:rFonts w:eastAsia="Arial" w:cs="Arial"/>
          <w:color w:val="000000" w:themeColor="text1" w:themeTint="FF" w:themeShade="FF"/>
          <w:lang w:val="en-US" w:eastAsia="fa-IR" w:bidi="fa-IR"/>
        </w:rPr>
        <w:t>)</w:t>
      </w:r>
      <w:r w:rsidRPr="36876AB2" w:rsidR="36876AB2">
        <w:rPr>
          <w:rFonts w:eastAsia="Arial" w:cs="Arial"/>
          <w:color w:val="000000" w:themeColor="text1" w:themeTint="FF" w:themeShade="FF"/>
          <w:lang w:val="en-US" w:eastAsia="fa-IR" w:bidi="fa-IR"/>
        </w:rPr>
        <w:t xml:space="preserve"> </w:t>
      </w:r>
      <w:r w:rsidRPr="36876AB2" w:rsidR="36876AB2">
        <w:rPr>
          <w:rFonts w:eastAsia="Arial" w:cs="Arial"/>
          <w:color w:val="000000" w:themeColor="text1" w:themeTint="FF" w:themeShade="FF"/>
          <w:lang w:val="en-US" w:eastAsia="fa-IR" w:bidi="fa-IR"/>
        </w:rPr>
        <w:t>undermine the people's will by safeguarding the</w:t>
      </w:r>
      <w:r w:rsidRPr="36876AB2" w:rsidR="36876AB2">
        <w:rPr>
          <w:rFonts w:eastAsia="Arial" w:cs="Arial"/>
          <w:color w:val="000000" w:themeColor="text1" w:themeTint="FF" w:themeShade="FF"/>
          <w:lang w:val="en-US" w:eastAsia="fa-IR" w:bidi="fa-IR"/>
        </w:rPr>
        <w:t xml:space="preserve"> deeply reactionary </w:t>
      </w:r>
      <w:r w:rsidRPr="36876AB2" w:rsidR="36876AB2">
        <w:rPr>
          <w:rFonts w:eastAsia="Arial" w:cs="Arial"/>
          <w:color w:val="000000" w:themeColor="text1" w:themeTint="FF" w:themeShade="FF"/>
          <w:lang w:val="en-US" w:eastAsia="fa-IR" w:bidi="fa-IR"/>
        </w:rPr>
        <w:t>society</w:t>
      </w:r>
      <w:r w:rsidRPr="36876AB2" w:rsidR="36876AB2">
        <w:rPr>
          <w:rFonts w:eastAsia="Arial" w:cs="Arial"/>
          <w:color w:val="000000" w:themeColor="text1" w:themeTint="FF" w:themeShade="FF"/>
          <w:lang w:val="en-US" w:eastAsia="fa-IR" w:bidi="fa-IR"/>
        </w:rPr>
        <w:t xml:space="preserve"> </w:t>
      </w:r>
      <w:r w:rsidRPr="36876AB2" w:rsidR="36876AB2">
        <w:rPr>
          <w:rFonts w:eastAsia="Arial" w:cs="Arial"/>
          <w:color w:val="000000" w:themeColor="text1" w:themeTint="FF" w:themeShade="FF"/>
          <w:lang w:val="en-US" w:eastAsia="fa-IR" w:bidi="fa-IR"/>
        </w:rPr>
        <w:t>that is in dire need of</w:t>
      </w:r>
      <w:r w:rsidRPr="36876AB2" w:rsidR="36876AB2">
        <w:rPr>
          <w:rFonts w:eastAsia="Arial" w:cs="Arial"/>
          <w:color w:val="000000" w:themeColor="text1" w:themeTint="FF" w:themeShade="FF"/>
          <w:lang w:val="en-US" w:eastAsia="fa-IR" w:bidi="fa-IR"/>
        </w:rPr>
        <w:t xml:space="preserve"> radical change</w:t>
      </w:r>
      <w:r w:rsidRPr="36876AB2" w:rsidR="36876AB2">
        <w:rPr>
          <w:rFonts w:eastAsia="Arial" w:cs="Arial"/>
          <w:color w:val="000000" w:themeColor="text1" w:themeTint="FF" w:themeShade="FF"/>
          <w:lang w:val="en-US" w:eastAsia="fa-IR" w:bidi="fa-IR"/>
        </w:rPr>
        <w:t>.</w:t>
      </w:r>
    </w:p>
    <w:p xmlns:wp14="http://schemas.microsoft.com/office/word/2010/wordml" w:rsidR="00FB50AA" w:rsidP="36876AB2" w:rsidRDefault="00FB50AA" w14:paraId="5A39BBE3" wp14:noSpellErr="1" wp14:textId="369548E0">
      <w:pPr>
        <w:jc w:val="both"/>
        <w:rPr>
          <w:rFonts w:eastAsia="Arial" w:cs="Arial"/>
          <w:color w:val="000000" w:themeColor="text1" w:themeTint="FF" w:themeShade="FF"/>
          <w:lang w:val="en-US" w:eastAsia="fa-IR" w:bidi="fa-IR"/>
        </w:rPr>
      </w:pPr>
      <w:r w:rsidRPr="36876AB2" w:rsidR="36876AB2">
        <w:rPr>
          <w:rFonts w:eastAsia="Arial" w:cs="Arial"/>
          <w:color w:val="000000" w:themeColor="text1" w:themeTint="FF" w:themeShade="FF"/>
          <w:lang w:val="en-US" w:eastAsia="fa-IR" w:bidi="fa-IR"/>
        </w:rPr>
        <w:t xml:space="preserve">In order to </w:t>
      </w:r>
      <w:r w:rsidRPr="36876AB2" w:rsidR="36876AB2">
        <w:rPr>
          <w:rFonts w:eastAsia="Arial" w:cs="Arial"/>
          <w:color w:val="000000" w:themeColor="text1" w:themeTint="FF" w:themeShade="FF"/>
          <w:lang w:val="en-US" w:eastAsia="fa-IR" w:bidi="fa-IR"/>
        </w:rPr>
        <w:t>operationalize</w:t>
      </w:r>
      <w:r w:rsidRPr="36876AB2" w:rsidR="36876AB2">
        <w:rPr>
          <w:rFonts w:eastAsia="Arial" w:cs="Arial"/>
          <w:color w:val="000000" w:themeColor="text1" w:themeTint="FF" w:themeShade="FF"/>
          <w:lang w:val="en-US" w:eastAsia="fa-IR" w:bidi="fa-IR"/>
        </w:rPr>
        <w:t xml:space="preserve"> our conceptual considerations, we use </w:t>
      </w:r>
      <w:r w:rsidRPr="36876AB2" w:rsidR="36876AB2">
        <w:rPr>
          <w:rFonts w:eastAsia="Arial" w:cs="Arial"/>
          <w:color w:val="000000" w:themeColor="text1" w:themeTint="FF" w:themeShade="FF"/>
          <w:lang w:val="en-US" w:eastAsia="fa-IR" w:bidi="fa-IR"/>
        </w:rPr>
        <w:t xml:space="preserve">the </w:t>
      </w:r>
      <w:r w:rsidRPr="36876AB2" w:rsidR="36876AB2">
        <w:rPr>
          <w:lang w:val="en-US"/>
        </w:rPr>
        <w:t>Chapel Hill Expert Survey (</w:t>
      </w:r>
      <w:r w:rsidRPr="36876AB2" w:rsidR="36876AB2">
        <w:rPr>
          <w:rFonts w:eastAsia="Arial" w:cs="Arial"/>
          <w:color w:val="000000" w:themeColor="text1" w:themeTint="FF" w:themeShade="FF"/>
          <w:lang w:val="en-US" w:eastAsia="fa-IR" w:bidi="fa-IR"/>
        </w:rPr>
        <w:t>CHES</w:t>
      </w:r>
      <w:r w:rsidRPr="36876AB2" w:rsidR="36876AB2">
        <w:rPr>
          <w:rFonts w:eastAsia="Arial" w:cs="Arial"/>
          <w:color w:val="000000" w:themeColor="text1" w:themeTint="FF" w:themeShade="FF"/>
          <w:lang w:val="en-US" w:eastAsia="fa-IR" w:bidi="fa-IR"/>
        </w:rPr>
        <w:t>)</w:t>
      </w:r>
      <w:r w:rsidRPr="36876AB2" w:rsidR="36876AB2">
        <w:rPr>
          <w:rFonts w:eastAsia="Arial" w:cs="Arial"/>
          <w:color w:val="000000" w:themeColor="text1" w:themeTint="FF" w:themeShade="FF"/>
          <w:lang w:val="en-US" w:eastAsia="fa-IR" w:bidi="fa-IR"/>
        </w:rPr>
        <w:t xml:space="preserve"> dataset </w:t>
      </w:r>
      <w:r w:rsidRPr="36876AB2" w:rsidR="36876AB2">
        <w:rPr>
          <w:rFonts w:eastAsia="Arial" w:cs="Arial"/>
          <w:color w:val="000000" w:themeColor="text1" w:themeTint="FF" w:themeShade="FF"/>
          <w:lang w:val="en-US" w:eastAsia="fa-IR" w:bidi="fa-IR"/>
        </w:rPr>
        <w:t xml:space="preserve">that </w:t>
      </w:r>
      <w:r w:rsidRPr="36876AB2" w:rsidR="36876AB2">
        <w:rPr>
          <w:rFonts w:eastAsia="Arial" w:cs="Arial"/>
          <w:color w:val="000000" w:themeColor="text1" w:themeTint="FF" w:themeShade="FF"/>
          <w:lang w:val="en-US" w:eastAsia="fa-IR" w:bidi="fa-IR"/>
        </w:rPr>
        <w:t>contains inf</w:t>
      </w:r>
      <w:r w:rsidRPr="36876AB2" w:rsidR="36876AB2">
        <w:rPr>
          <w:rFonts w:eastAsia="Arial" w:cs="Arial"/>
          <w:color w:val="000000" w:themeColor="text1" w:themeTint="FF" w:themeShade="FF"/>
          <w:lang w:val="en-US" w:eastAsia="fa-IR" w:bidi="fa-IR"/>
        </w:rPr>
        <w:t xml:space="preserve">ormation on the positions of </w:t>
      </w:r>
      <w:r w:rsidRPr="36876AB2" w:rsidR="36876AB2">
        <w:rPr>
          <w:rFonts w:eastAsia="Arial" w:cs="Arial"/>
          <w:color w:val="000000" w:themeColor="text1" w:themeTint="FF" w:themeShade="FF"/>
          <w:lang w:val="en-US" w:eastAsia="fa-IR" w:bidi="fa-IR"/>
        </w:rPr>
        <w:t xml:space="preserve">political parties within Europe. We then devise two </w:t>
      </w:r>
      <w:r w:rsidRPr="36876AB2" w:rsidR="36876AB2">
        <w:rPr>
          <w:rFonts w:eastAsia="Arial" w:cs="Arial"/>
          <w:color w:val="000000" w:themeColor="text1" w:themeTint="FF" w:themeShade="FF"/>
          <w:lang w:val="en-US" w:eastAsia="fa-IR" w:bidi="fa-IR"/>
        </w:rPr>
        <w:t xml:space="preserve">indices </w:t>
      </w:r>
      <w:r w:rsidRPr="36876AB2" w:rsidR="36876AB2">
        <w:rPr>
          <w:rFonts w:eastAsia="Arial" w:cs="Arial"/>
          <w:color w:val="000000" w:themeColor="text1" w:themeTint="FF" w:themeShade="FF"/>
          <w:lang w:val="en-US" w:eastAsia="fa-IR" w:bidi="fa-IR"/>
        </w:rPr>
        <w:t xml:space="preserve">along which European parties can be classified: Populism vs. Establishment and Progressivism vs Traditionalism. K-Nearest Neighbor clustering identifies four clusters, traditionalist and progressive populist as well as establishment parties. After the successful classification, we combine the CHES data </w:t>
      </w:r>
      <w:r w:rsidRPr="36876AB2" w:rsidR="36876AB2">
        <w:rPr>
          <w:rFonts w:eastAsia="Arial" w:cs="Arial"/>
          <w:color w:val="000000" w:themeColor="text1" w:themeTint="FF" w:themeShade="FF"/>
          <w:lang w:val="en-US" w:eastAsia="fa-IR" w:bidi="fa-IR"/>
        </w:rPr>
        <w:t>with European Social Survey (ESS) data round 5 – 8</w:t>
      </w:r>
      <w:r w:rsidRPr="36876AB2" w:rsidR="36876AB2">
        <w:rPr>
          <w:rFonts w:eastAsia="Arial" w:cs="Arial"/>
          <w:color w:val="000000" w:themeColor="text1" w:themeTint="FF" w:themeShade="FF"/>
          <w:lang w:val="en-US" w:eastAsia="fa-IR" w:bidi="fa-IR"/>
        </w:rPr>
        <w:t xml:space="preserve"> and identify respondents that either vote for or identify with the classified populist parties, forming our dependent variable “Support for Populist Parties”</w:t>
      </w:r>
      <w:r w:rsidRPr="36876AB2" w:rsidR="36876AB2">
        <w:rPr>
          <w:rFonts w:eastAsia="Arial" w:cs="Arial"/>
          <w:color w:val="000000" w:themeColor="text1" w:themeTint="FF" w:themeShade="FF"/>
          <w:lang w:val="en-US" w:eastAsia="fa-IR" w:bidi="fa-IR"/>
        </w:rPr>
        <w:t>.</w:t>
      </w:r>
    </w:p>
    <w:p xmlns:wp14="http://schemas.microsoft.com/office/word/2010/wordml" w:rsidR="00CC2A92" w:rsidP="36876AB2" w:rsidRDefault="00FB50AA" w14:paraId="6F1E7C19" wp14:noSpellErr="1" wp14:textId="0C422D23">
      <w:pPr>
        <w:jc w:val="both"/>
        <w:rPr>
          <w:rFonts w:eastAsia="Arial" w:cs="Arial"/>
          <w:color w:val="000000" w:themeColor="text1" w:themeTint="FF" w:themeShade="FF"/>
          <w:lang w:val="en-US" w:eastAsia="fa-IR" w:bidi="fa-IR"/>
        </w:rPr>
      </w:pPr>
      <w:r w:rsidRPr="36876AB2" w:rsidR="36876AB2">
        <w:rPr>
          <w:rFonts w:eastAsia="Arial" w:cs="Arial"/>
          <w:color w:val="000000" w:themeColor="text1" w:themeTint="FF" w:themeShade="FF"/>
          <w:lang w:val="en-US" w:eastAsia="fa-IR" w:bidi="fa-IR"/>
        </w:rPr>
        <w:t>We estimate a multinomial logistic regression to test our hypotheses of support for populism. Our models confirm our theoretical conceptualizations. Economically deprived individuals are more likely to both support traditionalist and progressive populist parties</w:t>
      </w:r>
      <w:r w:rsidRPr="36876AB2" w:rsidR="36876AB2">
        <w:rPr>
          <w:rFonts w:eastAsia="Arial" w:cs="Arial"/>
          <w:color w:val="000000" w:themeColor="text1" w:themeTint="FF" w:themeShade="FF"/>
          <w:lang w:val="en-US" w:eastAsia="fa-IR" w:bidi="fa-IR"/>
        </w:rPr>
        <w:t>,</w:t>
      </w:r>
      <w:r w:rsidRPr="36876AB2" w:rsidR="36876AB2">
        <w:rPr>
          <w:rFonts w:eastAsia="Arial" w:cs="Arial"/>
          <w:color w:val="000000" w:themeColor="text1" w:themeTint="FF" w:themeShade="FF"/>
          <w:lang w:val="en-US" w:eastAsia="fa-IR" w:bidi="fa-IR"/>
        </w:rPr>
        <w:t xml:space="preserve"> but individuals who hold anti-immigration views as well as traditional values are more likely to support traditionalist populism, whereas the effect goes in the opposite direction for the support for progressive populism.</w:t>
      </w:r>
    </w:p>
    <w:p xmlns:wp14="http://schemas.microsoft.com/office/word/2010/wordml" w:rsidR="00FB50AA" w:rsidP="7C5AFD99" w:rsidRDefault="00FB50AA" w14:paraId="102F8EDB" wp14:textId="77777777" wp14:noSpellErr="1">
      <w:pPr>
        <w:jc w:val="both"/>
        <w:rPr>
          <w:rFonts w:eastAsia="Arial" w:cs="Arial"/>
          <w:color w:val="000000" w:themeColor="text1" w:themeTint="FF" w:themeShade="FF"/>
          <w:lang w:val="en-US" w:eastAsia="fa-IR" w:bidi="fa-IR"/>
        </w:rPr>
      </w:pPr>
      <w:r w:rsidRPr="7C5AFD99" w:rsidR="7C5AFD99">
        <w:rPr>
          <w:rFonts w:eastAsia="Arial" w:cs="Arial"/>
          <w:color w:val="000000" w:themeColor="text1" w:themeTint="FF" w:themeShade="FF"/>
          <w:lang w:val="en-US" w:eastAsia="fa-IR" w:bidi="fa-IR"/>
        </w:rPr>
        <w:t xml:space="preserve">Further research might be able to build upon our conceptualization and give more attention to the different variants of populism, so as to not conflate the distinct explanatory frameworks that come along with these variants. </w:t>
      </w:r>
    </w:p>
    <w:bookmarkEnd w:id="0"/>
    <w:p xmlns:wp14="http://schemas.microsoft.com/office/word/2010/wordml" w:rsidRPr="00CC2A92" w:rsidR="00E27702" w:rsidP="7C5AFD99" w:rsidRDefault="00E27702" w14:paraId="41C8F396" wp14:textId="77777777">
      <w:pPr>
        <w:jc w:val="both"/>
        <w:rPr>
          <w:lang w:val="en-US"/>
        </w:rPr>
      </w:pPr>
    </w:p>
    <w:sectPr w:rsidRPr="00CC2A92" w:rsidR="00E27702" w:rsidSect="000141DC">
      <w:footerReference w:type="even" r:id="rId8"/>
      <w:footerReference w:type="default" r:id="rId9"/>
      <w:pgSz w:w="11906" w:h="16838" w:orient="portrait"/>
      <w:pgMar w:top="1418" w:right="2268" w:bottom="1134" w:left="1418"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FB50AA" w:rsidRDefault="00FB50AA" w14:paraId="72A3D3EC" wp14:textId="77777777">
      <w:r>
        <w:separator/>
      </w:r>
    </w:p>
  </w:endnote>
  <w:endnote w:type="continuationSeparator" w:id="0">
    <w:p xmlns:wp14="http://schemas.microsoft.com/office/word/2010/wordml" w:rsidR="00FB50AA" w:rsidRDefault="00FB50AA" w14:paraId="0D0B940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FB50AA" w:rsidRDefault="00FB50AA" w14:paraId="74E21C83" wp14:textId="77777777">
    <w:pPr>
      <w:pStyle w:val="Fuzeile"/>
    </w:pPr>
    <w:r>
      <w:tab/>
    </w:r>
    <w:r>
      <w:tab/>
    </w:r>
    <w:r>
      <w:fldChar w:fldCharType="begin"/>
    </w:r>
    <w:r>
      <w:instrText xml:space="preserve"> PAGE </w:instrText>
    </w:r>
    <w:r>
      <w:fldChar w:fldCharType="separate"/>
    </w:r>
    <w:r w:rsidR="00D4391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FB50AA" w:rsidRDefault="00FB50AA" w14:paraId="4590CB77" wp14:textId="77777777">
    <w:pPr>
      <w:pStyle w:val="Fuzeile"/>
    </w:pPr>
    <w:r>
      <w:tab/>
    </w:r>
    <w:r>
      <w:tab/>
    </w:r>
    <w:r>
      <w:fldChar w:fldCharType="begin"/>
    </w:r>
    <w:r>
      <w:instrText xml:space="preserve"> PAGE </w:instrText>
    </w:r>
    <w:r>
      <w:fldChar w:fldCharType="separate"/>
    </w:r>
    <w:r w:rsidR="00D4391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FB50AA" w:rsidRDefault="00FB50AA" w14:paraId="0E27B00A" wp14:textId="77777777">
      <w:r>
        <w:separator/>
      </w:r>
    </w:p>
  </w:footnote>
  <w:footnote w:type="continuationSeparator" w:id="0">
    <w:p xmlns:wp14="http://schemas.microsoft.com/office/word/2010/wordml" w:rsidR="00FB50AA" w:rsidRDefault="00FB50AA" w14:paraId="60061E4C"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57E1F5E"/>
    <w:multiLevelType w:val="multilevel"/>
    <w:tmpl w:val="03B6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72A"/>
    <w:rsid w:val="00000A70"/>
    <w:rsid w:val="000141DC"/>
    <w:rsid w:val="0001606E"/>
    <w:rsid w:val="0003078A"/>
    <w:rsid w:val="00034E46"/>
    <w:rsid w:val="000653B0"/>
    <w:rsid w:val="000A507C"/>
    <w:rsid w:val="000B6F29"/>
    <w:rsid w:val="000E6AF6"/>
    <w:rsid w:val="000E7E48"/>
    <w:rsid w:val="001050A3"/>
    <w:rsid w:val="001107DB"/>
    <w:rsid w:val="00113CEF"/>
    <w:rsid w:val="00115CA6"/>
    <w:rsid w:val="00120E73"/>
    <w:rsid w:val="00134B08"/>
    <w:rsid w:val="00147E41"/>
    <w:rsid w:val="00154D34"/>
    <w:rsid w:val="00155990"/>
    <w:rsid w:val="001620FF"/>
    <w:rsid w:val="00165F21"/>
    <w:rsid w:val="001C0051"/>
    <w:rsid w:val="001C1349"/>
    <w:rsid w:val="001C4001"/>
    <w:rsid w:val="001C5F6B"/>
    <w:rsid w:val="001E79A5"/>
    <w:rsid w:val="001F23A0"/>
    <w:rsid w:val="00220F3C"/>
    <w:rsid w:val="00230226"/>
    <w:rsid w:val="00245383"/>
    <w:rsid w:val="002453AB"/>
    <w:rsid w:val="00252C21"/>
    <w:rsid w:val="00253ACB"/>
    <w:rsid w:val="002576ED"/>
    <w:rsid w:val="00267B93"/>
    <w:rsid w:val="002721DE"/>
    <w:rsid w:val="00293AA5"/>
    <w:rsid w:val="002B7E00"/>
    <w:rsid w:val="002C2E6D"/>
    <w:rsid w:val="002E3C1C"/>
    <w:rsid w:val="00305745"/>
    <w:rsid w:val="003057A2"/>
    <w:rsid w:val="00307A08"/>
    <w:rsid w:val="003279AA"/>
    <w:rsid w:val="00330E60"/>
    <w:rsid w:val="00340335"/>
    <w:rsid w:val="00354B74"/>
    <w:rsid w:val="00373248"/>
    <w:rsid w:val="0039650F"/>
    <w:rsid w:val="003B036A"/>
    <w:rsid w:val="003C31FA"/>
    <w:rsid w:val="003C3B8C"/>
    <w:rsid w:val="003D4A43"/>
    <w:rsid w:val="003E4B07"/>
    <w:rsid w:val="003E4C66"/>
    <w:rsid w:val="003E6BDB"/>
    <w:rsid w:val="003F0745"/>
    <w:rsid w:val="003F23A4"/>
    <w:rsid w:val="003F49FD"/>
    <w:rsid w:val="003F7DD1"/>
    <w:rsid w:val="00416CEA"/>
    <w:rsid w:val="00423DBA"/>
    <w:rsid w:val="00430E75"/>
    <w:rsid w:val="00432E12"/>
    <w:rsid w:val="004478F3"/>
    <w:rsid w:val="00453724"/>
    <w:rsid w:val="00465022"/>
    <w:rsid w:val="004662EC"/>
    <w:rsid w:val="004877C8"/>
    <w:rsid w:val="00492628"/>
    <w:rsid w:val="004A3EAD"/>
    <w:rsid w:val="004B4D5F"/>
    <w:rsid w:val="004C5752"/>
    <w:rsid w:val="004F15B9"/>
    <w:rsid w:val="004F1E8F"/>
    <w:rsid w:val="004F481F"/>
    <w:rsid w:val="00501273"/>
    <w:rsid w:val="0050772A"/>
    <w:rsid w:val="00517EEB"/>
    <w:rsid w:val="00520621"/>
    <w:rsid w:val="00523155"/>
    <w:rsid w:val="00523B1D"/>
    <w:rsid w:val="00540963"/>
    <w:rsid w:val="00543464"/>
    <w:rsid w:val="00561D9F"/>
    <w:rsid w:val="00565A91"/>
    <w:rsid w:val="00581A39"/>
    <w:rsid w:val="005C4722"/>
    <w:rsid w:val="005C4791"/>
    <w:rsid w:val="005E47E4"/>
    <w:rsid w:val="0061787B"/>
    <w:rsid w:val="00617AD8"/>
    <w:rsid w:val="00626D0B"/>
    <w:rsid w:val="006349C1"/>
    <w:rsid w:val="00662C10"/>
    <w:rsid w:val="00666EFF"/>
    <w:rsid w:val="00687230"/>
    <w:rsid w:val="006B5ADB"/>
    <w:rsid w:val="006C6A38"/>
    <w:rsid w:val="006D5848"/>
    <w:rsid w:val="006F2B1B"/>
    <w:rsid w:val="00703E20"/>
    <w:rsid w:val="00705DBD"/>
    <w:rsid w:val="00707A86"/>
    <w:rsid w:val="0074423B"/>
    <w:rsid w:val="00763DBF"/>
    <w:rsid w:val="007739F9"/>
    <w:rsid w:val="007840F5"/>
    <w:rsid w:val="007903BA"/>
    <w:rsid w:val="00791FBF"/>
    <w:rsid w:val="007962AE"/>
    <w:rsid w:val="00796EC2"/>
    <w:rsid w:val="0079781F"/>
    <w:rsid w:val="007A02AE"/>
    <w:rsid w:val="007C5405"/>
    <w:rsid w:val="007D68CF"/>
    <w:rsid w:val="007E4017"/>
    <w:rsid w:val="008071A0"/>
    <w:rsid w:val="00823F03"/>
    <w:rsid w:val="00830C2A"/>
    <w:rsid w:val="0086384F"/>
    <w:rsid w:val="008672B7"/>
    <w:rsid w:val="008707C7"/>
    <w:rsid w:val="008710F7"/>
    <w:rsid w:val="0087180D"/>
    <w:rsid w:val="00881E55"/>
    <w:rsid w:val="008A128B"/>
    <w:rsid w:val="008A4797"/>
    <w:rsid w:val="008E60D5"/>
    <w:rsid w:val="008F68D4"/>
    <w:rsid w:val="00901E3E"/>
    <w:rsid w:val="00904508"/>
    <w:rsid w:val="0091234D"/>
    <w:rsid w:val="00925115"/>
    <w:rsid w:val="00933A6B"/>
    <w:rsid w:val="00935F26"/>
    <w:rsid w:val="00947EC6"/>
    <w:rsid w:val="009555A0"/>
    <w:rsid w:val="00962929"/>
    <w:rsid w:val="00972C70"/>
    <w:rsid w:val="0098545E"/>
    <w:rsid w:val="00990899"/>
    <w:rsid w:val="009A30EF"/>
    <w:rsid w:val="009B0C47"/>
    <w:rsid w:val="009B312D"/>
    <w:rsid w:val="009C0860"/>
    <w:rsid w:val="00A00777"/>
    <w:rsid w:val="00A409D3"/>
    <w:rsid w:val="00A54A28"/>
    <w:rsid w:val="00A8450F"/>
    <w:rsid w:val="00AA00CF"/>
    <w:rsid w:val="00AA2CFB"/>
    <w:rsid w:val="00AB6E4D"/>
    <w:rsid w:val="00AC087D"/>
    <w:rsid w:val="00AC6AAF"/>
    <w:rsid w:val="00AF083F"/>
    <w:rsid w:val="00B14E0B"/>
    <w:rsid w:val="00B16DB7"/>
    <w:rsid w:val="00B17F9B"/>
    <w:rsid w:val="00B20AA7"/>
    <w:rsid w:val="00B37257"/>
    <w:rsid w:val="00B37881"/>
    <w:rsid w:val="00B43940"/>
    <w:rsid w:val="00B5594B"/>
    <w:rsid w:val="00B572B8"/>
    <w:rsid w:val="00B63A35"/>
    <w:rsid w:val="00B8408E"/>
    <w:rsid w:val="00B964EF"/>
    <w:rsid w:val="00BB5522"/>
    <w:rsid w:val="00BB78CA"/>
    <w:rsid w:val="00BC581A"/>
    <w:rsid w:val="00BC6E15"/>
    <w:rsid w:val="00C020DF"/>
    <w:rsid w:val="00C06BAE"/>
    <w:rsid w:val="00C32448"/>
    <w:rsid w:val="00C34063"/>
    <w:rsid w:val="00C41045"/>
    <w:rsid w:val="00C56FB9"/>
    <w:rsid w:val="00C655F8"/>
    <w:rsid w:val="00C659B8"/>
    <w:rsid w:val="00C71EDA"/>
    <w:rsid w:val="00C732F9"/>
    <w:rsid w:val="00C73E85"/>
    <w:rsid w:val="00C82DB5"/>
    <w:rsid w:val="00CA0580"/>
    <w:rsid w:val="00CA146F"/>
    <w:rsid w:val="00CA589A"/>
    <w:rsid w:val="00CA6259"/>
    <w:rsid w:val="00CA78CC"/>
    <w:rsid w:val="00CA7ADE"/>
    <w:rsid w:val="00CB750E"/>
    <w:rsid w:val="00CC2A92"/>
    <w:rsid w:val="00CD0D5E"/>
    <w:rsid w:val="00CD1953"/>
    <w:rsid w:val="00D0451A"/>
    <w:rsid w:val="00D12696"/>
    <w:rsid w:val="00D20DFD"/>
    <w:rsid w:val="00D26569"/>
    <w:rsid w:val="00D318A1"/>
    <w:rsid w:val="00D31C8B"/>
    <w:rsid w:val="00D35C7C"/>
    <w:rsid w:val="00D4391A"/>
    <w:rsid w:val="00D56C20"/>
    <w:rsid w:val="00D72DBE"/>
    <w:rsid w:val="00D73B2E"/>
    <w:rsid w:val="00D93980"/>
    <w:rsid w:val="00D95ADD"/>
    <w:rsid w:val="00D97340"/>
    <w:rsid w:val="00DA2D6B"/>
    <w:rsid w:val="00DB53CF"/>
    <w:rsid w:val="00DD6153"/>
    <w:rsid w:val="00DE0BA9"/>
    <w:rsid w:val="00E024C3"/>
    <w:rsid w:val="00E12068"/>
    <w:rsid w:val="00E16F24"/>
    <w:rsid w:val="00E16FB5"/>
    <w:rsid w:val="00E27702"/>
    <w:rsid w:val="00E3139A"/>
    <w:rsid w:val="00E3183C"/>
    <w:rsid w:val="00E31898"/>
    <w:rsid w:val="00E464E1"/>
    <w:rsid w:val="00E56A1C"/>
    <w:rsid w:val="00E56DD8"/>
    <w:rsid w:val="00E56F54"/>
    <w:rsid w:val="00E63AC6"/>
    <w:rsid w:val="00E71447"/>
    <w:rsid w:val="00E7500C"/>
    <w:rsid w:val="00E90CAE"/>
    <w:rsid w:val="00E91F94"/>
    <w:rsid w:val="00EA2A61"/>
    <w:rsid w:val="00EA3CF5"/>
    <w:rsid w:val="00ED0F0A"/>
    <w:rsid w:val="00ED52C5"/>
    <w:rsid w:val="00EE5BD7"/>
    <w:rsid w:val="00F1065E"/>
    <w:rsid w:val="00F10D9A"/>
    <w:rsid w:val="00F27AAE"/>
    <w:rsid w:val="00F3797A"/>
    <w:rsid w:val="00F4471F"/>
    <w:rsid w:val="00F556D2"/>
    <w:rsid w:val="00F75F1D"/>
    <w:rsid w:val="00F841FF"/>
    <w:rsid w:val="00FB1D6F"/>
    <w:rsid w:val="00FB50AA"/>
    <w:rsid w:val="00FD4870"/>
    <w:rsid w:val="00FE4E1D"/>
    <w:rsid w:val="00FE4F5D"/>
    <w:rsid w:val="00FE7482"/>
    <w:rsid w:val="36876AB2"/>
    <w:rsid w:val="7C5AFD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33D93AB"/>
  <w15:docId w15:val="{58D6E94B-6C73-46B3-BE75-A06C221DAD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rsid w:val="0086384F"/>
    <w:pPr>
      <w:widowControl w:val="0"/>
      <w:suppressAutoHyphens/>
    </w:pPr>
    <w:rPr>
      <w:rFonts w:ascii="Arial" w:hAnsi="Arial" w:eastAsia="Andale Sans UI"/>
      <w:kern w:val="1"/>
      <w:sz w:val="22"/>
      <w:szCs w:val="24"/>
    </w:rPr>
  </w:style>
  <w:style w:type="paragraph" w:styleId="berschrift1">
    <w:name w:val="heading 1"/>
    <w:basedOn w:val="berschrift"/>
    <w:next w:val="Textkrper"/>
    <w:link w:val="berschrift1Zchn"/>
    <w:uiPriority w:val="9"/>
    <w:qFormat/>
    <w:pPr>
      <w:numPr>
        <w:numId w:val="1"/>
      </w:numPr>
      <w:outlineLvl w:val="0"/>
    </w:pPr>
    <w:rPr>
      <w:b/>
      <w:bCs/>
      <w:sz w:val="32"/>
      <w:szCs w:val="32"/>
    </w:rPr>
  </w:style>
  <w:style w:type="paragraph" w:styleId="berschrift2">
    <w:name w:val="heading 2"/>
    <w:basedOn w:val="berschrift"/>
    <w:next w:val="Textkrper"/>
    <w:qFormat/>
    <w:pPr>
      <w:numPr>
        <w:ilvl w:val="1"/>
        <w:numId w:val="1"/>
      </w:numPr>
      <w:outlineLvl w:val="1"/>
    </w:pPr>
    <w:rPr>
      <w:b/>
      <w:bCs/>
      <w:i/>
      <w:iC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rPr>
      <w:color w:val="000080"/>
      <w:u w:val="single"/>
    </w:rPr>
  </w:style>
  <w:style w:type="character" w:styleId="Nummerierungszeichen" w:customStyle="1">
    <w:name w:val="Nummerierungszeichen"/>
  </w:style>
  <w:style w:type="character" w:styleId="Aufzhlungszeichen1" w:customStyle="1">
    <w:name w:val="Aufzählungszeichen1"/>
    <w:rPr>
      <w:rFonts w:ascii="Arial" w:hAnsi="Arial" w:eastAsia="OpenSymbol" w:cs="OpenSymbol"/>
      <w:sz w:val="22"/>
    </w:rPr>
  </w:style>
  <w:style w:type="character" w:styleId="Funotenzeichen1" w:customStyle="1">
    <w:name w:val="Fußnotenzeichen1"/>
  </w:style>
  <w:style w:type="character" w:styleId="Funotenzeichen">
    <w:name w:val="footnote reference"/>
    <w:rPr>
      <w:vertAlign w:val="superscript"/>
    </w:rPr>
  </w:style>
  <w:style w:type="paragraph" w:styleId="berschrift" w:customStyle="1">
    <w:name w:val="Überschrift"/>
    <w:basedOn w:val="Standard"/>
    <w:next w:val="Textkrper"/>
    <w:pPr>
      <w:keepNext/>
      <w:spacing w:before="240" w:after="120"/>
    </w:pPr>
    <w:rPr>
      <w:rFonts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1" w:customStyle="1">
    <w:name w:val="Beschriftung1"/>
    <w:basedOn w:val="Standard"/>
    <w:pPr>
      <w:suppressLineNumbers/>
      <w:spacing w:before="120" w:after="120"/>
    </w:pPr>
    <w:rPr>
      <w:rFonts w:cs="Tahoma"/>
      <w:i/>
      <w:iCs/>
    </w:rPr>
  </w:style>
  <w:style w:type="paragraph" w:styleId="Verzeichnis" w:customStyle="1">
    <w:name w:val="Verzeichnis"/>
    <w:basedOn w:val="Standard"/>
    <w:pPr>
      <w:suppressLineNumbers/>
    </w:pPr>
    <w:rPr>
      <w:rFonts w:cs="Tahoma"/>
    </w:rPr>
  </w:style>
  <w:style w:type="paragraph" w:styleId="Default" w:customStyle="1">
    <w:name w:val="Default"/>
    <w:basedOn w:val="Standard"/>
    <w:pPr>
      <w:autoSpaceDE w:val="0"/>
    </w:pPr>
    <w:rPr>
      <w:rFonts w:eastAsia="Arial" w:cs="Arial"/>
      <w:color w:val="000000"/>
      <w:lang w:eastAsia="fa-IR" w:bidi="fa-IR"/>
    </w:rPr>
  </w:style>
  <w:style w:type="paragraph" w:styleId="Fuzeile">
    <w:name w:val="footer"/>
    <w:basedOn w:val="Standard"/>
    <w:pPr>
      <w:suppressLineNumbers/>
      <w:tabs>
        <w:tab w:val="center" w:pos="4110"/>
        <w:tab w:val="right" w:pos="8221"/>
      </w:tabs>
    </w:pPr>
  </w:style>
  <w:style w:type="paragraph" w:styleId="Funotentext">
    <w:name w:val="footnote text"/>
    <w:basedOn w:val="Standard"/>
    <w:pPr>
      <w:suppressLineNumbers/>
      <w:ind w:left="283" w:hanging="283"/>
    </w:pPr>
    <w:rPr>
      <w:sz w:val="20"/>
      <w:szCs w:val="20"/>
    </w:rPr>
  </w:style>
  <w:style w:type="paragraph" w:styleId="Inhaltsverzeichnisberschrift" w:customStyle="1">
    <w:name w:val="Inhaltsverzeichnis Überschrift"/>
    <w:basedOn w:val="berschrift"/>
    <w:pPr>
      <w:suppressLineNumbers/>
      <w:suppressAutoHyphens w:val="0"/>
      <w:spacing w:before="0" w:after="0" w:line="360" w:lineRule="auto"/>
    </w:pPr>
    <w:rPr>
      <w:b/>
      <w:bCs/>
      <w:sz w:val="32"/>
      <w:szCs w:val="32"/>
    </w:rPr>
  </w:style>
  <w:style w:type="paragraph" w:styleId="Inhaltsverzeichnis10" w:customStyle="1">
    <w:name w:val="Inhaltsverzeichnis 10"/>
    <w:basedOn w:val="Verzeichnis"/>
    <w:pPr>
      <w:tabs>
        <w:tab w:val="right" w:leader="dot" w:pos="8221"/>
      </w:tabs>
      <w:ind w:left="2547"/>
    </w:pPr>
  </w:style>
  <w:style w:type="paragraph" w:styleId="Verzeichnis1">
    <w:name w:val="toc 1"/>
    <w:basedOn w:val="Verzeichnis"/>
    <w:uiPriority w:val="39"/>
    <w:pPr>
      <w:tabs>
        <w:tab w:val="right" w:leader="dot" w:pos="8221"/>
      </w:tabs>
      <w:spacing w:line="360" w:lineRule="auto"/>
    </w:pPr>
  </w:style>
  <w:style w:type="paragraph" w:styleId="Indexberschrift">
    <w:name w:val="index heading"/>
    <w:basedOn w:val="berschrift"/>
    <w:pPr>
      <w:suppressLineNumbers/>
      <w:spacing w:before="0" w:after="0"/>
    </w:pPr>
    <w:rPr>
      <w:b/>
      <w:bCs/>
      <w:sz w:val="32"/>
      <w:szCs w:val="32"/>
    </w:rPr>
  </w:style>
  <w:style w:type="paragraph" w:styleId="Verzeichnis2">
    <w:name w:val="toc 2"/>
    <w:basedOn w:val="Verzeichnis"/>
    <w:uiPriority w:val="39"/>
    <w:pPr>
      <w:tabs>
        <w:tab w:val="right" w:leader="dot" w:pos="8221"/>
      </w:tabs>
      <w:suppressAutoHyphens w:val="0"/>
      <w:spacing w:line="360" w:lineRule="auto"/>
      <w:ind w:left="283"/>
    </w:pPr>
  </w:style>
  <w:style w:type="character" w:styleId="berschrift1Zchn" w:customStyle="1">
    <w:name w:val="Überschrift 1 Zchn"/>
    <w:link w:val="berschrift1"/>
    <w:uiPriority w:val="9"/>
    <w:rsid w:val="00AA00CF"/>
    <w:rPr>
      <w:rFonts w:ascii="Arial" w:hAnsi="Arial" w:eastAsia="Andale Sans UI" w:cs="Tahoma"/>
      <w:b/>
      <w:bCs/>
      <w:kern w:val="1"/>
      <w:sz w:val="32"/>
      <w:szCs w:val="32"/>
    </w:rPr>
  </w:style>
  <w:style w:type="paragraph" w:styleId="Literaturverzeichnis">
    <w:name w:val="Bibliography"/>
    <w:basedOn w:val="Standard"/>
    <w:next w:val="Standard"/>
    <w:uiPriority w:val="37"/>
    <w:unhideWhenUsed/>
    <w:rsid w:val="00AA00CF"/>
  </w:style>
  <w:style w:type="character" w:styleId="apple-converted-space" w:customStyle="1">
    <w:name w:val="apple-converted-space"/>
    <w:basedOn w:val="Absatz-Standardschriftart"/>
    <w:rsid w:val="00FB1D6F"/>
  </w:style>
  <w:style w:type="character" w:styleId="content" w:customStyle="1">
    <w:name w:val="content"/>
    <w:basedOn w:val="Absatz-Standardschriftart"/>
    <w:rsid w:val="00CB750E"/>
  </w:style>
  <w:style w:type="paragraph" w:styleId="Kopfzeile">
    <w:name w:val="header"/>
    <w:basedOn w:val="Standard"/>
    <w:link w:val="KopfzeileZchn"/>
    <w:uiPriority w:val="99"/>
    <w:unhideWhenUsed/>
    <w:rsid w:val="004F481F"/>
    <w:pPr>
      <w:tabs>
        <w:tab w:val="center" w:pos="4536"/>
        <w:tab w:val="right" w:pos="9072"/>
      </w:tabs>
    </w:pPr>
  </w:style>
  <w:style w:type="character" w:styleId="KopfzeileZchn" w:customStyle="1">
    <w:name w:val="Kopfzeile Zchn"/>
    <w:basedOn w:val="Absatz-Standardschriftart"/>
    <w:link w:val="Kopfzeile"/>
    <w:uiPriority w:val="99"/>
    <w:rsid w:val="004F481F"/>
    <w:rPr>
      <w:rFonts w:ascii="Arial" w:hAnsi="Arial" w:eastAsia="Andale Sans UI"/>
      <w:kern w:val="1"/>
      <w:sz w:val="22"/>
      <w:szCs w:val="24"/>
    </w:rPr>
  </w:style>
  <w:style w:type="table" w:styleId="Tabellenraster">
    <w:name w:val="Table Grid"/>
    <w:basedOn w:val="NormaleTabelle"/>
    <w:uiPriority w:val="39"/>
    <w:rsid w:val="00CD195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prechblasentext">
    <w:name w:val="Balloon Text"/>
    <w:basedOn w:val="Standard"/>
    <w:link w:val="SprechblasentextZchn"/>
    <w:uiPriority w:val="99"/>
    <w:semiHidden/>
    <w:unhideWhenUsed/>
    <w:rsid w:val="00933A6B"/>
    <w:rPr>
      <w:rFonts w:ascii="Segoe UI" w:hAnsi="Segoe UI" w:cs="Segoe UI"/>
      <w:sz w:val="18"/>
      <w:szCs w:val="18"/>
    </w:rPr>
  </w:style>
  <w:style w:type="character" w:styleId="SprechblasentextZchn" w:customStyle="1">
    <w:name w:val="Sprechblasentext Zchn"/>
    <w:basedOn w:val="Absatz-Standardschriftart"/>
    <w:link w:val="Sprechblasentext"/>
    <w:uiPriority w:val="99"/>
    <w:semiHidden/>
    <w:rsid w:val="00933A6B"/>
    <w:rPr>
      <w:rFonts w:ascii="Segoe UI" w:hAnsi="Segoe UI" w:eastAsia="Andale Sans UI" w:cs="Segoe UI"/>
      <w:kern w:val="1"/>
      <w:sz w:val="18"/>
      <w:szCs w:val="18"/>
    </w:rPr>
  </w:style>
  <w:style w:type="paragraph" w:styleId="KeinLeerraum">
    <w:name w:val="No Spacing"/>
    <w:uiPriority w:val="1"/>
    <w:qFormat/>
    <w:rsid w:val="008E60D5"/>
    <w:pPr>
      <w:widowControl w:val="0"/>
      <w:suppressAutoHyphens/>
    </w:pPr>
    <w:rPr>
      <w:rFonts w:ascii="Arial" w:hAnsi="Arial" w:eastAsia="Andale Sans UI"/>
      <w:kern w:val="1"/>
      <w:sz w:val="22"/>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Standard"/>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36780">
      <w:bodyDiv w:val="1"/>
      <w:marLeft w:val="0"/>
      <w:marRight w:val="0"/>
      <w:marTop w:val="0"/>
      <w:marBottom w:val="0"/>
      <w:divBdr>
        <w:top w:val="none" w:sz="0" w:space="0" w:color="auto"/>
        <w:left w:val="none" w:sz="0" w:space="0" w:color="auto"/>
        <w:bottom w:val="none" w:sz="0" w:space="0" w:color="auto"/>
        <w:right w:val="none" w:sz="0" w:space="0" w:color="auto"/>
      </w:divBdr>
    </w:div>
    <w:div w:id="817038906">
      <w:bodyDiv w:val="1"/>
      <w:marLeft w:val="0"/>
      <w:marRight w:val="0"/>
      <w:marTop w:val="0"/>
      <w:marBottom w:val="0"/>
      <w:divBdr>
        <w:top w:val="none" w:sz="0" w:space="0" w:color="auto"/>
        <w:left w:val="none" w:sz="0" w:space="0" w:color="auto"/>
        <w:bottom w:val="none" w:sz="0" w:space="0" w:color="auto"/>
        <w:right w:val="none" w:sz="0" w:space="0" w:color="auto"/>
      </w:divBdr>
    </w:div>
    <w:div w:id="1202210043">
      <w:bodyDiv w:val="1"/>
      <w:marLeft w:val="0"/>
      <w:marRight w:val="0"/>
      <w:marTop w:val="0"/>
      <w:marBottom w:val="0"/>
      <w:divBdr>
        <w:top w:val="none" w:sz="0" w:space="0" w:color="auto"/>
        <w:left w:val="none" w:sz="0" w:space="0" w:color="auto"/>
        <w:bottom w:val="none" w:sz="0" w:space="0" w:color="auto"/>
        <w:right w:val="none" w:sz="0" w:space="0" w:color="auto"/>
      </w:divBdr>
    </w:div>
    <w:div w:id="1610701704">
      <w:bodyDiv w:val="1"/>
      <w:marLeft w:val="0"/>
      <w:marRight w:val="0"/>
      <w:marTop w:val="0"/>
      <w:marBottom w:val="0"/>
      <w:divBdr>
        <w:top w:val="none" w:sz="0" w:space="0" w:color="auto"/>
        <w:left w:val="none" w:sz="0" w:space="0" w:color="auto"/>
        <w:bottom w:val="none" w:sz="0" w:space="0" w:color="auto"/>
        <w:right w:val="none" w:sz="0" w:space="0" w:color="auto"/>
      </w:divBdr>
    </w:div>
    <w:div w:id="1652054210">
      <w:bodyDiv w:val="1"/>
      <w:marLeft w:val="0"/>
      <w:marRight w:val="0"/>
      <w:marTop w:val="0"/>
      <w:marBottom w:val="0"/>
      <w:divBdr>
        <w:top w:val="none" w:sz="0" w:space="0" w:color="auto"/>
        <w:left w:val="none" w:sz="0" w:space="0" w:color="auto"/>
        <w:bottom w:val="none" w:sz="0" w:space="0" w:color="auto"/>
        <w:right w:val="none" w:sz="0" w:space="0" w:color="auto"/>
      </w:divBdr>
    </w:div>
    <w:div w:id="184000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Brauner2008</b:Tag>
    <b:SourceType>Book</b:SourceType>
    <b:Guid>{0BB3AF6F-DB62-43AC-B902-11F389952103}</b:Guid>
    <b:LCID>de-DE</b:LCID>
    <b:Author>
      <b:Author>
        <b:NameList>
          <b:Person>
            <b:Last>Brauner</b:Last>
            <b:First>Detlef</b:First>
            <b:Middle>Jürgen/Vollmer, Hans-Ulrich</b:Middle>
          </b:Person>
        </b:NameList>
      </b:Author>
    </b:Author>
    <b:Title>Erfolgreiches wissenschaftliches Arbeiten. Seminararbeit, Bachelor-/Masterarbeit (Diplomarbeit), Doktorarbeit</b:Title>
    <b:Year>2008</b:Year>
    <b:City>Sternenfels</b:City>
    <b:Publisher>Verlag Wissenschaft &amp; Praxis</b:Publisher>
    <b:RefOrder>1</b:RefOrder>
  </b:Source>
</b:Sources>
</file>

<file path=customXml/itemProps1.xml><?xml version="1.0" encoding="utf-8"?>
<ds:datastoreItem xmlns:ds="http://schemas.openxmlformats.org/officeDocument/2006/customXml" ds:itemID="{E0B858C2-C66E-4455-8551-F448D19B31D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4D3E2616</ap:Template>
  <ap:Application>Microsoft Office Word</ap:Application>
  <ap:DocSecurity>0</ap:DocSecurity>
  <ap:ScaleCrop>false</ap:ScaleCrop>
  <ap:Company>Recenzentrum Universität Stutgart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Favone</dc:creator>
  <lastModifiedBy>favone Raflone</lastModifiedBy>
  <revision>4</revision>
  <lastPrinted>2014-01-14T10:25:00.0000000Z</lastPrinted>
  <dcterms:created xsi:type="dcterms:W3CDTF">2018-03-10T15:35:00.0000000Z</dcterms:created>
  <dcterms:modified xsi:type="dcterms:W3CDTF">2018-03-10T16:16:41.2894305Z</dcterms:modified>
</coreProperties>
</file>