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055" w:rsidRDefault="00F7208C">
      <w:pPr>
        <w:pStyle w:val="Title"/>
      </w:pPr>
      <w:r>
        <w:t>Appendix: Summary of flow simulations under reference and anthropogenic conditions</w:t>
      </w:r>
    </w:p>
    <w:p w:rsidR="004A5055" w:rsidRDefault="00F7208C">
      <w:pPr>
        <w:pStyle w:val="FirstParagraph"/>
      </w:pPr>
      <w:r>
        <w:t xml:space="preserve">Modelled flow estimates from 3447 stream reaches in five catchments in Southern California were summarized to quantify stream miles under different hydrologic conditions. Flow estimates were based on reference scenarios under historical, non-impacted land </w:t>
      </w:r>
      <w:r>
        <w:t>use conditions. Monthly flow was estimated for dry, normal, and wet years. Likelihood of flow conditions inflating, diminishing, or remaining stable under present-day land cover was also summarized for each watershed.</w:t>
      </w:r>
    </w:p>
    <w:p w:rsidR="004A5055" w:rsidRDefault="00F7208C">
      <w:pPr>
        <w:pStyle w:val="BodyText"/>
      </w:pPr>
      <w:r>
        <w:t>Historic flows were estimated to be hi</w:t>
      </w:r>
      <w:r>
        <w:t xml:space="preserve">ghest in the high elevations of the San Gabriel, San Bernardino, and San Jacinto mountains, while the lowest flows were in the inland valleys (Figure 1). Flow estimates for the Upper Santa Ana were generally higher than those for the Lower Santa Ana. Flow </w:t>
      </w:r>
      <w:r>
        <w:t>estimates also increased as expected under different climate conditions such that greater flow was estimated during wet years.</w:t>
      </w:r>
    </w:p>
    <w:p w:rsidR="004A5055" w:rsidRDefault="00F7208C">
      <w:pPr>
        <w:pStyle w:val="BodyText"/>
      </w:pPr>
      <w:r>
        <w:t>Estimates were highest during winter to early spring (January through April) when estimated flows &gt; 100 cfs were more common, acr</w:t>
      </w:r>
      <w:r>
        <w:t>oss all watersheds (Figure 2, Table 1). Similarly, low flows &lt; 1 cfs were more common during the summer and fall. Unsurprisingly, flows were higher in wet conditions than dry, although this impact was more obvious in some watersheds (e.g., Upper Santa Ana)</w:t>
      </w:r>
      <w:r>
        <w:t xml:space="preserve"> than others (e.g., Lower Santa Ana). Late summer flows over 10 cfs were limited to small portions of the region—and nearly eliminated from certain watersheds (e.g., San Jacinto, Lower Santa Ana), even in wet years.</w:t>
      </w:r>
    </w:p>
    <w:p w:rsidR="004A5055" w:rsidRDefault="00F7208C">
      <w:pPr>
        <w:pStyle w:val="BodyText"/>
      </w:pPr>
      <w:r>
        <w:t>Diminishing flow was the most common pre</w:t>
      </w:r>
      <w:r>
        <w:t xml:space="preserve">diction under anthropogenic conditions, although some exceptions were observed (Figure 3, Table 2). Stream reaches were more likely to remain stable during the winter, particularly in December. Flow conditions were also more likely to be stable during wet </w:t>
      </w:r>
      <w:r>
        <w:t>years. Interestingly, stream conditions in January under normal precipitation were most likely to be inflated, whereas conditions were expected to be stable during wet years. Patterns between catchments were generally consistent.</w:t>
      </w:r>
    </w:p>
    <w:p w:rsidR="004A5055" w:rsidRDefault="00F7208C">
      <w:pPr>
        <w:pStyle w:val="FigurewithCaption"/>
      </w:pPr>
      <w:r>
        <w:rPr>
          <w:noProof/>
        </w:rPr>
        <w:lastRenderedPageBreak/>
        <w:drawing>
          <wp:inline distT="0" distB="0" distL="0" distR="0">
            <wp:extent cx="5334000" cy="4953000"/>
            <wp:effectExtent l="0" t="0" r="0" b="0"/>
            <wp:docPr id="1" name="Picture" descr="Figure 1: Estimated flow under historic (reference) conditions."/>
            <wp:cNvGraphicFramePr/>
            <a:graphic xmlns:a="http://schemas.openxmlformats.org/drawingml/2006/main">
              <a:graphicData uri="http://schemas.openxmlformats.org/drawingml/2006/picture">
                <pic:pic xmlns:pic="http://schemas.openxmlformats.org/drawingml/2006/picture">
                  <pic:nvPicPr>
                    <pic:cNvPr id="0" name="Picture" descr="figs/unnamed-chunk-2-1.png"/>
                    <pic:cNvPicPr>
                      <a:picLocks noChangeAspect="1" noChangeArrowheads="1"/>
                    </pic:cNvPicPr>
                  </pic:nvPicPr>
                  <pic:blipFill>
                    <a:blip r:embed="rId7"/>
                    <a:stretch>
                      <a:fillRect/>
                    </a:stretch>
                  </pic:blipFill>
                  <pic:spPr bwMode="auto">
                    <a:xfrm>
                      <a:off x="0" y="0"/>
                      <a:ext cx="5334000" cy="4953000"/>
                    </a:xfrm>
                    <a:prstGeom prst="rect">
                      <a:avLst/>
                    </a:prstGeom>
                    <a:noFill/>
                    <a:ln w="9525">
                      <a:noFill/>
                      <a:headEnd/>
                      <a:tailEnd/>
                    </a:ln>
                  </pic:spPr>
                </pic:pic>
              </a:graphicData>
            </a:graphic>
          </wp:inline>
        </w:drawing>
      </w:r>
    </w:p>
    <w:p w:rsidR="004A5055" w:rsidRDefault="00F7208C">
      <w:pPr>
        <w:pStyle w:val="ImageCaption"/>
      </w:pPr>
      <w:r>
        <w:t>Figure 1: Estimated flow</w:t>
      </w:r>
      <w:r>
        <w:t xml:space="preserve"> under historic (reference) conditions.</w:t>
      </w:r>
    </w:p>
    <w:p w:rsidR="004A5055" w:rsidRDefault="00F7208C">
      <w:pPr>
        <w:pStyle w:val="FigurewithCaption"/>
      </w:pPr>
      <w:r>
        <w:rPr>
          <w:noProof/>
        </w:rPr>
        <w:lastRenderedPageBreak/>
        <w:drawing>
          <wp:inline distT="0" distB="0" distL="0" distR="0">
            <wp:extent cx="5334000" cy="3048000"/>
            <wp:effectExtent l="0" t="0" r="0" b="0"/>
            <wp:docPr id="2" name="Picture" descr="Figure 2: Percent of stream length for the estimated discharge (&lt; 1 cfs, 1 - 10 cfs, 10 - 100 cfs, &gt; 100 cfs) under reference conditions. Discharges were also estimated for different climate scenarios for years that were dry, normal, or wet. SGB: San Gabriel; LSA: Lower Santa Ana; MSA: Middle Santa Ana; USA: Upper Santa Ana; and SJC: San Jacinto."/>
            <wp:cNvGraphicFramePr/>
            <a:graphic xmlns:a="http://schemas.openxmlformats.org/drawingml/2006/main">
              <a:graphicData uri="http://schemas.openxmlformats.org/drawingml/2006/picture">
                <pic:pic xmlns:pic="http://schemas.openxmlformats.org/drawingml/2006/picture">
                  <pic:nvPicPr>
                    <pic:cNvPr id="0" name="Picture" descr="figs/refplot-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4A5055" w:rsidRDefault="00F7208C">
      <w:pPr>
        <w:pStyle w:val="ImageCaption"/>
      </w:pPr>
      <w:r>
        <w:t>Figure 2: Percent of stream length for the estimated discharge (&lt; 1 cfs, 1 - 10 cfs, 10 - 100 cfs, &gt; 100 cfs) under reference conditions. Discharges were also estimated for different climate scenarios for years tha</w:t>
      </w:r>
      <w:r>
        <w:t>t were dry, normal, or wet. SGB: San Gabriel; LSA: Lower Santa Ana; MSA: Middle Santa Ana; USA: Upper Santa Ana; and SJC: San Jacinto.</w:t>
      </w:r>
    </w:p>
    <w:p w:rsidR="004A5055" w:rsidRDefault="00F7208C">
      <w:pPr>
        <w:pStyle w:val="FigurewithCaption"/>
      </w:pPr>
      <w:r>
        <w:rPr>
          <w:noProof/>
        </w:rPr>
        <w:drawing>
          <wp:inline distT="0" distB="0" distL="0" distR="0">
            <wp:extent cx="5334000" cy="3048000"/>
            <wp:effectExtent l="0" t="0" r="0" b="0"/>
            <wp:docPr id="3" name="Picture" descr="Figure 3: Percent of stream length for the estimated likelihood of a change in discharge as inflating, remaining stable, or diminishing under anthropogenic conditions. Likelihoods were estimated for different climate scenarios for years that were dry, normal, or wet. SGB: San Gabriel; LSA: Lower Santa Ana; MSA: Middle Santa Ana; USA: Upper Santa Ana; and SJC: San Jacinto."/>
            <wp:cNvGraphicFramePr/>
            <a:graphic xmlns:a="http://schemas.openxmlformats.org/drawingml/2006/main">
              <a:graphicData uri="http://schemas.openxmlformats.org/drawingml/2006/picture">
                <pic:pic xmlns:pic="http://schemas.openxmlformats.org/drawingml/2006/picture">
                  <pic:nvPicPr>
                    <pic:cNvPr id="0" name="Picture" descr="figs/anthroplot-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5E565F" w:rsidRDefault="00F7208C">
      <w:pPr>
        <w:pStyle w:val="ImageCaption"/>
      </w:pPr>
      <w:r>
        <w:t>Figure 3: Percent of stream length for the estimated likelihood of a change in discharge as inflating, remaining stable</w:t>
      </w:r>
      <w:r>
        <w:t>, or diminishing under anthropogenic conditions. Likelihoods were estimated for different climate scenarios for years that were dry, normal, or wet. SGB: San Gabriel; LSA: Lower Santa Ana; MSA: Middle Santa Ana; USA: Upper Santa Ana; and SJC: San Jacinto.</w:t>
      </w:r>
    </w:p>
    <w:p w:rsidR="005E565F" w:rsidRDefault="005E565F" w:rsidP="005E565F">
      <w:pPr>
        <w:pStyle w:val="BodyText"/>
        <w:rPr>
          <w:i/>
        </w:rPr>
        <w:sectPr w:rsidR="005E565F" w:rsidSect="005E565F">
          <w:pgSz w:w="12240" w:h="15840"/>
          <w:pgMar w:top="1440" w:right="1440" w:bottom="1440" w:left="1440" w:header="720" w:footer="720" w:gutter="0"/>
          <w:cols w:space="720"/>
          <w:docGrid w:linePitch="326"/>
        </w:sectPr>
      </w:pPr>
      <w:bookmarkStart w:id="0" w:name="_GoBack"/>
      <w:bookmarkEnd w:id="0"/>
    </w:p>
    <w:p w:rsidR="005E565F" w:rsidRPr="005E565F" w:rsidRDefault="005E565F" w:rsidP="005E565F">
      <w:pPr>
        <w:pStyle w:val="BodyText"/>
      </w:pPr>
      <w:r w:rsidRPr="002F3F7F">
        <w:rPr>
          <w:i/>
        </w:rPr>
        <w:lastRenderedPageBreak/>
        <w:t>Table 1. Stream-length (km) in flow classes in each watershed, by month and climate condition. Flows are in cfs.</w:t>
      </w:r>
      <w:r>
        <w:t xml:space="preserve"> Dashes indicate zero values.</w:t>
      </w:r>
    </w:p>
    <w:tbl>
      <w:tblPr>
        <w:tblW w:w="0" w:type="auto"/>
        <w:tblInd w:w="108" w:type="dxa"/>
        <w:tblLook w:val="04A0" w:firstRow="1" w:lastRow="0" w:firstColumn="1" w:lastColumn="0" w:noHBand="0" w:noVBand="1"/>
      </w:tblPr>
      <w:tblGrid>
        <w:gridCol w:w="366"/>
        <w:gridCol w:w="838"/>
        <w:gridCol w:w="607"/>
        <w:gridCol w:w="718"/>
        <w:gridCol w:w="941"/>
        <w:gridCol w:w="710"/>
        <w:gridCol w:w="266"/>
        <w:gridCol w:w="607"/>
        <w:gridCol w:w="718"/>
        <w:gridCol w:w="941"/>
        <w:gridCol w:w="710"/>
        <w:gridCol w:w="266"/>
        <w:gridCol w:w="607"/>
        <w:gridCol w:w="718"/>
        <w:gridCol w:w="941"/>
        <w:gridCol w:w="718"/>
      </w:tblGrid>
      <w:tr w:rsidR="005E565F" w:rsidRPr="00E31FE7" w:rsidTr="00E72B53">
        <w:trPr>
          <w:trHeight w:val="300"/>
        </w:trPr>
        <w:tc>
          <w:tcPr>
            <w:tcW w:w="0" w:type="auto"/>
            <w:tcBorders>
              <w:top w:val="single" w:sz="4" w:space="0" w:color="auto"/>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 </w:t>
            </w:r>
          </w:p>
        </w:tc>
        <w:tc>
          <w:tcPr>
            <w:tcW w:w="0" w:type="auto"/>
            <w:gridSpan w:val="4"/>
            <w:tcBorders>
              <w:top w:val="single" w:sz="4" w:space="0" w:color="auto"/>
              <w:left w:val="nil"/>
              <w:bottom w:val="single" w:sz="4" w:space="0" w:color="auto"/>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sidRPr="00E31FE7">
              <w:rPr>
                <w:rFonts w:ascii="Calibri" w:eastAsia="Times New Roman" w:hAnsi="Calibri" w:cs="Calibri"/>
                <w:color w:val="000000"/>
                <w:sz w:val="22"/>
                <w:szCs w:val="22"/>
              </w:rPr>
              <w:t>Dry</w:t>
            </w:r>
          </w:p>
        </w:tc>
        <w:tc>
          <w:tcPr>
            <w:tcW w:w="0" w:type="auto"/>
            <w:tcBorders>
              <w:top w:val="single" w:sz="4" w:space="0" w:color="auto"/>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 </w:t>
            </w:r>
          </w:p>
        </w:tc>
        <w:tc>
          <w:tcPr>
            <w:tcW w:w="0" w:type="auto"/>
            <w:gridSpan w:val="4"/>
            <w:tcBorders>
              <w:top w:val="single" w:sz="4" w:space="0" w:color="auto"/>
              <w:left w:val="nil"/>
              <w:bottom w:val="single" w:sz="4" w:space="0" w:color="auto"/>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sidRPr="00E31FE7">
              <w:rPr>
                <w:rFonts w:ascii="Calibri" w:eastAsia="Times New Roman" w:hAnsi="Calibri" w:cs="Calibri"/>
                <w:color w:val="000000"/>
                <w:sz w:val="22"/>
                <w:szCs w:val="22"/>
              </w:rPr>
              <w:t>Normal</w:t>
            </w:r>
          </w:p>
        </w:tc>
        <w:tc>
          <w:tcPr>
            <w:tcW w:w="0" w:type="auto"/>
            <w:tcBorders>
              <w:top w:val="single" w:sz="4" w:space="0" w:color="auto"/>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 </w:t>
            </w:r>
          </w:p>
        </w:tc>
        <w:tc>
          <w:tcPr>
            <w:tcW w:w="0" w:type="auto"/>
            <w:gridSpan w:val="4"/>
            <w:tcBorders>
              <w:top w:val="single" w:sz="4" w:space="0" w:color="auto"/>
              <w:left w:val="nil"/>
              <w:bottom w:val="single" w:sz="4" w:space="0" w:color="auto"/>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sidRPr="00E31FE7">
              <w:rPr>
                <w:rFonts w:ascii="Calibri" w:eastAsia="Times New Roman" w:hAnsi="Calibri" w:cs="Calibri"/>
                <w:color w:val="000000"/>
                <w:sz w:val="22"/>
                <w:szCs w:val="22"/>
              </w:rPr>
              <w:t>Wet</w:t>
            </w:r>
          </w:p>
        </w:tc>
      </w:tr>
      <w:tr w:rsidR="005E565F" w:rsidRPr="00E31FE7" w:rsidTr="00E72B53">
        <w:trPr>
          <w:trHeight w:val="300"/>
        </w:trPr>
        <w:tc>
          <w:tcPr>
            <w:tcW w:w="0" w:type="auto"/>
            <w:gridSpan w:val="2"/>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Watershed</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&lt; 1</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1 - 10</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10 - 100</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&gt; 100</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 xml:space="preserve"> </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&lt; 1</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1 - 10</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10 - 100</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&gt; 100</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 xml:space="preserve"> </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&lt; 1</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1 - 10</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10 - 100</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&gt; 100</w:t>
            </w:r>
          </w:p>
        </w:tc>
      </w:tr>
      <w:tr w:rsidR="005E565F" w:rsidRPr="00E31FE7" w:rsidTr="00E72B53">
        <w:trPr>
          <w:trHeight w:val="300"/>
        </w:trPr>
        <w:tc>
          <w:tcPr>
            <w:tcW w:w="0" w:type="auto"/>
            <w:gridSpan w:val="3"/>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i/>
                <w:iCs/>
                <w:color w:val="000000"/>
                <w:sz w:val="22"/>
                <w:szCs w:val="22"/>
              </w:rPr>
            </w:pPr>
            <w:r w:rsidRPr="00E31FE7">
              <w:rPr>
                <w:rFonts w:ascii="Calibri" w:eastAsia="Times New Roman" w:hAnsi="Calibri" w:cs="Calibri"/>
                <w:i/>
                <w:iCs/>
                <w:color w:val="000000"/>
                <w:sz w:val="22"/>
                <w:szCs w:val="22"/>
              </w:rPr>
              <w:t>San Gabriel</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i/>
                <w:iCs/>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Times New Roman" w:eastAsia="Times New Roman" w:hAnsi="Times New Roman" w:cs="Times New Roman"/>
                <w:sz w:val="20"/>
                <w:szCs w:val="20"/>
              </w:rPr>
            </w:pP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i/>
                <w:iCs/>
                <w:color w:val="000000"/>
                <w:sz w:val="22"/>
                <w:szCs w:val="22"/>
              </w:rPr>
            </w:pPr>
            <w:r w:rsidRPr="00E31FE7">
              <w:rPr>
                <w:rFonts w:ascii="Calibri" w:eastAsia="Times New Roman" w:hAnsi="Calibri" w:cs="Calibri"/>
                <w:i/>
                <w:iCs/>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Oct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8.07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3.79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8.12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3.73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6.45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5.41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Nov</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5.18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6.68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4.18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7.68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3.83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8.03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Dec</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2.97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8.89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2.09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9.75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0.62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10.25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0.99</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Jan</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10.70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10.98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0.86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3.67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8.19</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Feb</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11.44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0.40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5.26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6.59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2.88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8.98</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Mar</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0.77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11.09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10.54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1.31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0.58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11.27</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Apr</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1.72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10.14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11.52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3.86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7.99</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May</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3.33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8.53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3.30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8.55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11.29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0.42</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Jun</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5.83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6.03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5.71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6.14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4.82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7.04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Jul</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8.41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3.45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8.30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3.55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7.35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4.50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Aug</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8.55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3.31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8.74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3.12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8.25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3.61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Sep</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8.33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3.52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7.79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4.06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8.35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3.51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gridSpan w:val="3"/>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i/>
                <w:iCs/>
                <w:color w:val="000000"/>
                <w:sz w:val="22"/>
                <w:szCs w:val="22"/>
              </w:rPr>
            </w:pPr>
            <w:r w:rsidRPr="00E31FE7">
              <w:rPr>
                <w:rFonts w:ascii="Calibri" w:eastAsia="Times New Roman" w:hAnsi="Calibri" w:cs="Calibri"/>
                <w:i/>
                <w:iCs/>
                <w:color w:val="000000"/>
                <w:sz w:val="22"/>
                <w:szCs w:val="22"/>
              </w:rPr>
              <w:t>Lower Santa Ana</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i/>
                <w:iCs/>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Oct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Nov</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Dec</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7.10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4.58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2.65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2.40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4.84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Jan</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3.77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3.47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7.05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6.52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0.57</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Feb</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0.23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6.98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6.17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1.01</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Mar</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3.98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3.26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0.24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6.99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2.98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4.25</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Apr</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5.50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1.74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6.24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6.95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0.23</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May</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7.12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0.81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6.42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Jun</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Jul</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Aug</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Sep</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gridSpan w:val="3"/>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i/>
                <w:iCs/>
                <w:color w:val="000000"/>
                <w:sz w:val="22"/>
                <w:szCs w:val="22"/>
              </w:rPr>
            </w:pPr>
            <w:r w:rsidRPr="00E31FE7">
              <w:rPr>
                <w:rFonts w:ascii="Calibri" w:eastAsia="Times New Roman" w:hAnsi="Calibri" w:cs="Calibri"/>
                <w:i/>
                <w:iCs/>
                <w:color w:val="000000"/>
                <w:sz w:val="22"/>
                <w:szCs w:val="22"/>
              </w:rPr>
              <w:lastRenderedPageBreak/>
              <w:t>Middle Santa Ana</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i/>
                <w:iCs/>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Oct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10.30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2.96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10.30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2.96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9.91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3.34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Nov</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10.18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3.08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9.18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4.08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8.92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4.34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Dec</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8.05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5.21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7.05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5.15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5.38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5.16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2.72</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Jan</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6.31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6.55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0.40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3.41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7.36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2.49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2.45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6.11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4.70</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Feb</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2.06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8.94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2.26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0.76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8.83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3.67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7.72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5.46</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Mar</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7.06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5.91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0.30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2.66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8.07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2.53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7.21</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Apr</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7.52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5.65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5.04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7.09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9.10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4.05</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May</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8.49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4.77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8.51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4.74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4.79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7.15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1.32</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Jun</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10.23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3.03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10.23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3.03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3.25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Jul</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10.33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2.93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10.33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2.93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10.30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2.96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Aug</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10.33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2.93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10.33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2.93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10.33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2.93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Sep</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10.33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2.93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10.22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3.04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10.33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2.93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gridSpan w:val="3"/>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i/>
                <w:iCs/>
                <w:color w:val="000000"/>
                <w:sz w:val="22"/>
                <w:szCs w:val="22"/>
              </w:rPr>
            </w:pPr>
            <w:r w:rsidRPr="00E31FE7">
              <w:rPr>
                <w:rFonts w:ascii="Calibri" w:eastAsia="Times New Roman" w:hAnsi="Calibri" w:cs="Calibri"/>
                <w:i/>
                <w:iCs/>
                <w:color w:val="000000"/>
                <w:sz w:val="22"/>
                <w:szCs w:val="22"/>
              </w:rPr>
              <w:t>Upper Santa Ana</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i/>
                <w:iCs/>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Oct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14.02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13.27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1.83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10.53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4.58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Nov</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10.81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4.31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6.75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8.31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6.57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8.55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Dec</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4.80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10.32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2.46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12.53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1.43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12.56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1.12</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Jan</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2.30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12.74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0.83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12.27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2.03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4.64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10.29</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Feb</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0.26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12.49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2.37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10.23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4.70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2.70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12.28</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Mar</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2.58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12.54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0.30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12.26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2.55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1.39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13.65</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Apr</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12.11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1.54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13.55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7.89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7.07</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May</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6.17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8.95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5.81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9.31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0.84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14.20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0.08</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Jun</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12.25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2.87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12.56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2.56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9.20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5.92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Jul</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14.30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0.82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14.34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0.78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13.85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1.27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Aug</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14.43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0.68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14.46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0.65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14.39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0.72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Sep</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14.43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0.68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13.39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1.72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14.31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0.80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gridSpan w:val="3"/>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i/>
                <w:iCs/>
                <w:color w:val="000000"/>
                <w:sz w:val="22"/>
                <w:szCs w:val="22"/>
              </w:rPr>
            </w:pPr>
            <w:r w:rsidRPr="00E31FE7">
              <w:rPr>
                <w:rFonts w:ascii="Calibri" w:eastAsia="Times New Roman" w:hAnsi="Calibri" w:cs="Calibri"/>
                <w:i/>
                <w:iCs/>
                <w:color w:val="000000"/>
                <w:sz w:val="22"/>
                <w:szCs w:val="22"/>
              </w:rPr>
              <w:t>San Jacinto</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i/>
                <w:iCs/>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Oct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11.42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11.42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10.95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0.53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Nov</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10.92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0.56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10.36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9.93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1.54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Dec</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9.75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1.72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7.23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4.24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4.06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7.41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Jan</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6.32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5.15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2.66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8.63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0.57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9.56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1.35</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Feb</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10.11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0.30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0.24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10.78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0.44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9.23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2.24</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Mar</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6.77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4.70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1.80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9.52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0.15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6.07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5.41</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Apr</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7.33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4.15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5.17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6.30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10.68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0.80</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May</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10.47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10.15</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1.32</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3.86</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7.61</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Jun</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11.24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0.23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11.28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0.20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10.90</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0.58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Jul</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11.47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11.47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11.38</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0.09</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Aug</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11.47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11.47</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11.44</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0.03</w:t>
            </w:r>
          </w:p>
        </w:tc>
        <w:tc>
          <w:tcPr>
            <w:tcW w:w="0" w:type="auto"/>
            <w:tcBorders>
              <w:top w:val="nil"/>
              <w:left w:val="nil"/>
              <w:bottom w:val="nil"/>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31FE7" w:rsidTr="00E72B53">
        <w:trPr>
          <w:trHeight w:val="300"/>
        </w:trPr>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Sep</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11.47</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11.45</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0.03</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rPr>
                <w:rFonts w:ascii="Calibri" w:eastAsia="Times New Roman" w:hAnsi="Calibri" w:cs="Calibri"/>
                <w:color w:val="000000"/>
                <w:sz w:val="22"/>
                <w:szCs w:val="22"/>
              </w:rPr>
            </w:pPr>
            <w:r w:rsidRPr="00E31FE7">
              <w:rPr>
                <w:rFonts w:ascii="Calibri" w:eastAsia="Times New Roman" w:hAnsi="Calibri" w:cs="Calibri"/>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right"/>
              <w:rPr>
                <w:rFonts w:ascii="Calibri" w:eastAsia="Times New Roman" w:hAnsi="Calibri" w:cs="Calibri"/>
                <w:color w:val="000000"/>
                <w:sz w:val="22"/>
                <w:szCs w:val="22"/>
              </w:rPr>
            </w:pPr>
            <w:r w:rsidRPr="00E31FE7">
              <w:rPr>
                <w:rFonts w:ascii="Calibri" w:eastAsia="Times New Roman" w:hAnsi="Calibri" w:cs="Calibri"/>
                <w:color w:val="000000"/>
                <w:sz w:val="22"/>
                <w:szCs w:val="22"/>
              </w:rPr>
              <w:t>11.47</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single" w:sz="4" w:space="0" w:color="auto"/>
              <w:right w:val="nil"/>
            </w:tcBorders>
            <w:shd w:val="clear" w:color="auto" w:fill="auto"/>
            <w:noWrap/>
            <w:vAlign w:val="bottom"/>
            <w:hideMark/>
          </w:tcPr>
          <w:p w:rsidR="005E565F" w:rsidRPr="00E31FE7"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bl>
    <w:p w:rsidR="005E565F" w:rsidRDefault="005E565F" w:rsidP="005E565F">
      <w:pPr>
        <w:pStyle w:val="ImageCaption"/>
        <w:rPr>
          <w:i w:val="0"/>
        </w:rPr>
      </w:pPr>
    </w:p>
    <w:p w:rsidR="005E565F" w:rsidRDefault="005E565F" w:rsidP="005E565F">
      <w:pPr>
        <w:pStyle w:val="ImageCaption"/>
        <w:rPr>
          <w:i w:val="0"/>
        </w:rPr>
        <w:sectPr w:rsidR="005E565F" w:rsidSect="005E565F">
          <w:pgSz w:w="15840" w:h="12240" w:orient="landscape"/>
          <w:pgMar w:top="1440" w:right="1440" w:bottom="1440" w:left="1440" w:header="720" w:footer="720" w:gutter="0"/>
          <w:cols w:space="720"/>
          <w:docGrid w:linePitch="326"/>
        </w:sectPr>
      </w:pPr>
    </w:p>
    <w:p w:rsidR="005E565F" w:rsidRDefault="005E565F" w:rsidP="005E565F">
      <w:pPr>
        <w:pStyle w:val="ImageCaption"/>
      </w:pPr>
      <w:r w:rsidRPr="00C9547E">
        <w:lastRenderedPageBreak/>
        <w:t xml:space="preserve">Table </w:t>
      </w:r>
      <w:r>
        <w:t>2</w:t>
      </w:r>
      <w:r w:rsidRPr="00C9547E">
        <w:t xml:space="preserve">. Stream-length (km) in flow </w:t>
      </w:r>
      <w:r>
        <w:t>alteration class</w:t>
      </w:r>
      <w:r w:rsidRPr="00C9547E">
        <w:t xml:space="preserve"> in each watershed, by month and climate condition.</w:t>
      </w:r>
      <w:r>
        <w:t xml:space="preserve"> Inflated: Probability that flow is increased from historic conditions ≥ 0.9. Diminished: Probability that flow is decreased from historic conditions ≥ 0.9. Stable: Probability that flow has neither increased nor decreased from historic conditions ≥ 0.8.</w:t>
      </w:r>
      <w:r w:rsidRPr="00C9547E">
        <w:t xml:space="preserve"> </w:t>
      </w:r>
      <w:r>
        <w:t>Dashes indicate zero values.</w:t>
      </w:r>
    </w:p>
    <w:tbl>
      <w:tblPr>
        <w:tblW w:w="0" w:type="auto"/>
        <w:tblInd w:w="108" w:type="dxa"/>
        <w:tblLook w:val="04A0" w:firstRow="1" w:lastRow="0" w:firstColumn="1" w:lastColumn="0" w:noHBand="0" w:noVBand="1"/>
      </w:tblPr>
      <w:tblGrid>
        <w:gridCol w:w="366"/>
        <w:gridCol w:w="838"/>
        <w:gridCol w:w="909"/>
        <w:gridCol w:w="772"/>
        <w:gridCol w:w="1221"/>
        <w:gridCol w:w="266"/>
        <w:gridCol w:w="909"/>
        <w:gridCol w:w="772"/>
        <w:gridCol w:w="1221"/>
        <w:gridCol w:w="266"/>
        <w:gridCol w:w="909"/>
        <w:gridCol w:w="772"/>
        <w:gridCol w:w="1221"/>
      </w:tblGrid>
      <w:tr w:rsidR="005E565F" w:rsidRPr="00E92154" w:rsidTr="00E72B53">
        <w:trPr>
          <w:trHeight w:val="300"/>
        </w:trPr>
        <w:tc>
          <w:tcPr>
            <w:tcW w:w="0" w:type="auto"/>
            <w:tcBorders>
              <w:top w:val="single" w:sz="4" w:space="0" w:color="auto"/>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sidRPr="00E92154">
              <w:rPr>
                <w:rFonts w:ascii="Calibri" w:eastAsia="Times New Roman" w:hAnsi="Calibri" w:cs="Calibri"/>
                <w:color w:val="000000"/>
                <w:sz w:val="22"/>
                <w:szCs w:val="22"/>
              </w:rPr>
              <w:t>Dry</w:t>
            </w:r>
          </w:p>
        </w:tc>
        <w:tc>
          <w:tcPr>
            <w:tcW w:w="0" w:type="auto"/>
            <w:tcBorders>
              <w:top w:val="single" w:sz="4" w:space="0" w:color="auto"/>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sidRPr="00E92154">
              <w:rPr>
                <w:rFonts w:ascii="Calibri" w:eastAsia="Times New Roman" w:hAnsi="Calibri" w:cs="Calibri"/>
                <w:color w:val="000000"/>
                <w:sz w:val="22"/>
                <w:szCs w:val="22"/>
              </w:rPr>
              <w:t>Normal</w:t>
            </w:r>
          </w:p>
        </w:tc>
        <w:tc>
          <w:tcPr>
            <w:tcW w:w="0" w:type="auto"/>
            <w:tcBorders>
              <w:top w:val="single" w:sz="4" w:space="0" w:color="auto"/>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sidRPr="00E92154">
              <w:rPr>
                <w:rFonts w:ascii="Calibri" w:eastAsia="Times New Roman" w:hAnsi="Calibri" w:cs="Calibri"/>
                <w:color w:val="000000"/>
                <w:sz w:val="22"/>
                <w:szCs w:val="22"/>
              </w:rPr>
              <w:t>Wet</w:t>
            </w:r>
          </w:p>
        </w:tc>
      </w:tr>
      <w:tr w:rsidR="005E565F" w:rsidRPr="00E92154" w:rsidTr="00E72B53">
        <w:trPr>
          <w:trHeight w:val="300"/>
        </w:trPr>
        <w:tc>
          <w:tcPr>
            <w:tcW w:w="0" w:type="auto"/>
            <w:gridSpan w:val="2"/>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Watershed</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Inflated</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Stable</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Diminished</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 xml:space="preserve"> </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Inflated</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Stable</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Diminished</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 xml:space="preserve"> </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Inflated</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Stable</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Diminished</w:t>
            </w:r>
          </w:p>
        </w:tc>
      </w:tr>
      <w:tr w:rsidR="005E565F" w:rsidRPr="00E92154" w:rsidTr="00E72B53">
        <w:trPr>
          <w:trHeight w:val="300"/>
        </w:trPr>
        <w:tc>
          <w:tcPr>
            <w:tcW w:w="0" w:type="auto"/>
            <w:gridSpan w:val="3"/>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i/>
                <w:iCs/>
                <w:color w:val="000000"/>
                <w:sz w:val="22"/>
                <w:szCs w:val="22"/>
              </w:rPr>
            </w:pPr>
            <w:r w:rsidRPr="00E92154">
              <w:rPr>
                <w:rFonts w:ascii="Calibri" w:eastAsia="Times New Roman" w:hAnsi="Calibri" w:cs="Calibri"/>
                <w:i/>
                <w:iCs/>
                <w:color w:val="000000"/>
                <w:sz w:val="22"/>
                <w:szCs w:val="22"/>
              </w:rPr>
              <w:t>San Gabriel</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i/>
                <w:iCs/>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i/>
                <w:iCs/>
                <w:color w:val="000000"/>
                <w:sz w:val="22"/>
                <w:szCs w:val="22"/>
              </w:rPr>
            </w:pPr>
            <w:r w:rsidRPr="00E92154">
              <w:rPr>
                <w:rFonts w:ascii="Calibri" w:eastAsia="Times New Roman" w:hAnsi="Calibri" w:cs="Calibri"/>
                <w:i/>
                <w:iCs/>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Oct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Nov</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2.1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9.7</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Dec</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2.3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9.6</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8.8</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3.0</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Jan</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6.3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3.7</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1.8</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Feb</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8.7</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3.1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Mar</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Apr</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May</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Jun</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11.8</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Jul</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2.1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9.8</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Aug</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2.1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9.7</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Sep</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11.9</w:t>
            </w:r>
          </w:p>
        </w:tc>
      </w:tr>
      <w:tr w:rsidR="005E565F" w:rsidRPr="00E92154" w:rsidTr="00E72B53">
        <w:trPr>
          <w:trHeight w:val="300"/>
        </w:trPr>
        <w:tc>
          <w:tcPr>
            <w:tcW w:w="0" w:type="auto"/>
            <w:gridSpan w:val="3"/>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i/>
                <w:iCs/>
                <w:color w:val="000000"/>
                <w:sz w:val="22"/>
                <w:szCs w:val="22"/>
              </w:rPr>
            </w:pPr>
            <w:r w:rsidRPr="00E92154">
              <w:rPr>
                <w:rFonts w:ascii="Calibri" w:eastAsia="Times New Roman" w:hAnsi="Calibri" w:cs="Calibri"/>
                <w:i/>
                <w:iCs/>
                <w:color w:val="000000"/>
                <w:sz w:val="22"/>
                <w:szCs w:val="22"/>
              </w:rPr>
              <w:t>Lower Santa Ana</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i/>
                <w:iCs/>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Oct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Nov</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1.4</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5.8</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Dec</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5.9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5.6</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1.6</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Jan</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4.5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2.7</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Feb</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5.9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Mar</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Apr</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May</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7.0</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0.2</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Jun</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7.0</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0.2</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Jul</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5.9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Aug</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1.4</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5.9</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Sep</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7.1</w:t>
            </w:r>
          </w:p>
        </w:tc>
      </w:tr>
      <w:tr w:rsidR="005E565F" w:rsidRPr="00E92154" w:rsidTr="00E72B53">
        <w:trPr>
          <w:trHeight w:val="300"/>
        </w:trPr>
        <w:tc>
          <w:tcPr>
            <w:tcW w:w="0" w:type="auto"/>
            <w:gridSpan w:val="3"/>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i/>
                <w:iCs/>
                <w:color w:val="000000"/>
                <w:sz w:val="22"/>
                <w:szCs w:val="22"/>
              </w:rPr>
            </w:pPr>
            <w:r w:rsidRPr="00E92154">
              <w:rPr>
                <w:rFonts w:ascii="Calibri" w:eastAsia="Times New Roman" w:hAnsi="Calibri" w:cs="Calibri"/>
                <w:i/>
                <w:iCs/>
                <w:color w:val="000000"/>
                <w:sz w:val="22"/>
                <w:szCs w:val="22"/>
              </w:rPr>
              <w:t>Middle Santa Ana</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i/>
                <w:iCs/>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Oct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Nov</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11.7</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Dec</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11.4</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10.1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3.1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Jan</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8.9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4.2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Feb</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11.0</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2.2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Mar</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Apr</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May</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Jun</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Jul</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1.6</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11.7</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Aug</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1.6</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11.7</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Sep</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13.3</w:t>
            </w:r>
          </w:p>
        </w:tc>
      </w:tr>
      <w:tr w:rsidR="005E565F" w:rsidRPr="00E92154" w:rsidTr="00E72B53">
        <w:trPr>
          <w:trHeight w:val="300"/>
        </w:trPr>
        <w:tc>
          <w:tcPr>
            <w:tcW w:w="0" w:type="auto"/>
            <w:gridSpan w:val="3"/>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i/>
                <w:iCs/>
                <w:color w:val="000000"/>
                <w:sz w:val="22"/>
                <w:szCs w:val="22"/>
              </w:rPr>
            </w:pPr>
            <w:r w:rsidRPr="00E92154">
              <w:rPr>
                <w:rFonts w:ascii="Calibri" w:eastAsia="Times New Roman" w:hAnsi="Calibri" w:cs="Calibri"/>
                <w:i/>
                <w:iCs/>
                <w:color w:val="000000"/>
                <w:sz w:val="22"/>
                <w:szCs w:val="22"/>
              </w:rPr>
              <w:t>Upper Santa Ana</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i/>
                <w:iCs/>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Oct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Nov</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14.9</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Dec</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14.9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14.6</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Jan</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14.2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0.8</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Feb</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14.5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0.6</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Mar</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Apr</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May</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Jun</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15.0</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Jul</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14.9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Aug</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14.9</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Sep</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15.1</w:t>
            </w:r>
          </w:p>
        </w:tc>
      </w:tr>
      <w:tr w:rsidR="005E565F" w:rsidRPr="00E92154" w:rsidTr="00E72B53">
        <w:trPr>
          <w:trHeight w:val="300"/>
        </w:trPr>
        <w:tc>
          <w:tcPr>
            <w:tcW w:w="0" w:type="auto"/>
            <w:gridSpan w:val="3"/>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i/>
                <w:iCs/>
                <w:color w:val="000000"/>
                <w:sz w:val="22"/>
                <w:szCs w:val="22"/>
              </w:rPr>
            </w:pPr>
            <w:r w:rsidRPr="00E92154">
              <w:rPr>
                <w:rFonts w:ascii="Calibri" w:eastAsia="Times New Roman" w:hAnsi="Calibri" w:cs="Calibri"/>
                <w:i/>
                <w:iCs/>
                <w:color w:val="000000"/>
                <w:sz w:val="22"/>
                <w:szCs w:val="22"/>
              </w:rPr>
              <w:t>San Jacinto</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i/>
                <w:iCs/>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Oct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Nov</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11.4</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11.2</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Dec</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10.8</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0.7</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Jan</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9.9</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1.4</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0.1</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Feb</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11.4</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10.3</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Mar</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Apr</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11.4</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May</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11.4</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11.4</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Jun</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11.4</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Jul</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r>
      <w:tr w:rsidR="005E565F" w:rsidRPr="00E92154" w:rsidTr="00E72B53">
        <w:trPr>
          <w:trHeight w:val="300"/>
        </w:trPr>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Aug</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0.2</w:t>
            </w:r>
          </w:p>
        </w:tc>
        <w:tc>
          <w:tcPr>
            <w:tcW w:w="0" w:type="auto"/>
            <w:tcBorders>
              <w:top w:val="nil"/>
              <w:left w:val="nil"/>
              <w:bottom w:val="nil"/>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11.2</w:t>
            </w:r>
          </w:p>
        </w:tc>
      </w:tr>
      <w:tr w:rsidR="005E565F" w:rsidRPr="00E92154" w:rsidTr="00E72B53">
        <w:trPr>
          <w:trHeight w:val="300"/>
        </w:trPr>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Sep</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rPr>
                <w:rFonts w:ascii="Calibri" w:eastAsia="Times New Roman" w:hAnsi="Calibri" w:cs="Calibri"/>
                <w:color w:val="000000"/>
                <w:sz w:val="22"/>
                <w:szCs w:val="22"/>
              </w:rPr>
            </w:pPr>
            <w:r w:rsidRPr="00E92154">
              <w:rPr>
                <w:rFonts w:ascii="Calibri" w:eastAsia="Times New Roman" w:hAnsi="Calibri" w:cs="Calibri"/>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0" w:type="auto"/>
            <w:tcBorders>
              <w:top w:val="nil"/>
              <w:left w:val="nil"/>
              <w:bottom w:val="single" w:sz="4" w:space="0" w:color="auto"/>
              <w:right w:val="nil"/>
            </w:tcBorders>
            <w:shd w:val="clear" w:color="auto" w:fill="auto"/>
            <w:noWrap/>
            <w:vAlign w:val="bottom"/>
            <w:hideMark/>
          </w:tcPr>
          <w:p w:rsidR="005E565F" w:rsidRPr="00E92154" w:rsidRDefault="005E565F" w:rsidP="00E72B53">
            <w:pPr>
              <w:spacing w:after="0"/>
              <w:jc w:val="right"/>
              <w:rPr>
                <w:rFonts w:ascii="Calibri" w:eastAsia="Times New Roman" w:hAnsi="Calibri" w:cs="Calibri"/>
                <w:color w:val="000000"/>
                <w:sz w:val="22"/>
                <w:szCs w:val="22"/>
              </w:rPr>
            </w:pPr>
            <w:r w:rsidRPr="00E92154">
              <w:rPr>
                <w:rFonts w:ascii="Calibri" w:eastAsia="Times New Roman" w:hAnsi="Calibri" w:cs="Calibri"/>
                <w:color w:val="000000"/>
                <w:sz w:val="22"/>
                <w:szCs w:val="22"/>
              </w:rPr>
              <w:t>11.5</w:t>
            </w:r>
          </w:p>
        </w:tc>
      </w:tr>
    </w:tbl>
    <w:p w:rsidR="004A5055" w:rsidRDefault="004A5055" w:rsidP="005E565F">
      <w:pPr>
        <w:pStyle w:val="BodyText"/>
      </w:pPr>
    </w:p>
    <w:sectPr w:rsidR="004A5055" w:rsidSect="005E565F">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08C" w:rsidRDefault="00F7208C">
      <w:pPr>
        <w:spacing w:after="0"/>
      </w:pPr>
      <w:r>
        <w:separator/>
      </w:r>
    </w:p>
  </w:endnote>
  <w:endnote w:type="continuationSeparator" w:id="0">
    <w:p w:rsidR="00F7208C" w:rsidRDefault="00F720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08C" w:rsidRDefault="00F7208C">
      <w:r>
        <w:separator/>
      </w:r>
    </w:p>
  </w:footnote>
  <w:footnote w:type="continuationSeparator" w:id="0">
    <w:p w:rsidR="00F7208C" w:rsidRDefault="00F72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4179EF"/>
    <w:multiLevelType w:val="multilevel"/>
    <w:tmpl w:val="407C2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F74D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EF5F79E"/>
    <w:multiLevelType w:val="multilevel"/>
    <w:tmpl w:val="C6BE1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A5055"/>
    <w:rsid w:val="004E29B3"/>
    <w:rsid w:val="00590D07"/>
    <w:rsid w:val="005E565F"/>
    <w:rsid w:val="00784D58"/>
    <w:rsid w:val="008D6863"/>
    <w:rsid w:val="00B86B75"/>
    <w:rsid w:val="00BC48D5"/>
    <w:rsid w:val="00C36279"/>
    <w:rsid w:val="00E315A3"/>
    <w:rsid w:val="00F720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A14C"/>
  <w15:docId w15:val="{4F3AAB59-4019-4101-A830-FE7353FF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E565F"/>
    <w:rPr>
      <w:sz w:val="16"/>
      <w:szCs w:val="16"/>
    </w:rPr>
  </w:style>
  <w:style w:type="paragraph" w:styleId="CommentText">
    <w:name w:val="annotation text"/>
    <w:basedOn w:val="Normal"/>
    <w:link w:val="CommentTextChar"/>
    <w:semiHidden/>
    <w:unhideWhenUsed/>
    <w:rsid w:val="005E565F"/>
    <w:rPr>
      <w:sz w:val="20"/>
      <w:szCs w:val="20"/>
    </w:rPr>
  </w:style>
  <w:style w:type="character" w:customStyle="1" w:styleId="CommentTextChar">
    <w:name w:val="Comment Text Char"/>
    <w:basedOn w:val="DefaultParagraphFont"/>
    <w:link w:val="CommentText"/>
    <w:semiHidden/>
    <w:rsid w:val="005E565F"/>
    <w:rPr>
      <w:sz w:val="20"/>
      <w:szCs w:val="20"/>
    </w:rPr>
  </w:style>
  <w:style w:type="paragraph" w:styleId="CommentSubject">
    <w:name w:val="annotation subject"/>
    <w:basedOn w:val="CommentText"/>
    <w:next w:val="CommentText"/>
    <w:link w:val="CommentSubjectChar"/>
    <w:semiHidden/>
    <w:unhideWhenUsed/>
    <w:rsid w:val="005E565F"/>
    <w:rPr>
      <w:b/>
      <w:bCs/>
    </w:rPr>
  </w:style>
  <w:style w:type="character" w:customStyle="1" w:styleId="CommentSubjectChar">
    <w:name w:val="Comment Subject Char"/>
    <w:basedOn w:val="CommentTextChar"/>
    <w:link w:val="CommentSubject"/>
    <w:semiHidden/>
    <w:rsid w:val="005E565F"/>
    <w:rPr>
      <w:b/>
      <w:bCs/>
      <w:sz w:val="20"/>
      <w:szCs w:val="20"/>
    </w:rPr>
  </w:style>
  <w:style w:type="paragraph" w:styleId="BalloonText">
    <w:name w:val="Balloon Text"/>
    <w:basedOn w:val="Normal"/>
    <w:link w:val="BalloonTextChar"/>
    <w:semiHidden/>
    <w:unhideWhenUsed/>
    <w:rsid w:val="005E565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E565F"/>
    <w:rPr>
      <w:rFonts w:ascii="Segoe UI" w:hAnsi="Segoe UI" w:cs="Segoe UI"/>
      <w:sz w:val="18"/>
      <w:szCs w:val="18"/>
    </w:rPr>
  </w:style>
  <w:style w:type="character" w:styleId="FollowedHyperlink">
    <w:name w:val="FollowedHyperlink"/>
    <w:basedOn w:val="DefaultParagraphFont"/>
    <w:uiPriority w:val="99"/>
    <w:semiHidden/>
    <w:unhideWhenUsed/>
    <w:rsid w:val="005E565F"/>
    <w:rPr>
      <w:color w:val="954F72"/>
      <w:u w:val="single"/>
    </w:rPr>
  </w:style>
  <w:style w:type="paragraph" w:customStyle="1" w:styleId="msonormal0">
    <w:name w:val="msonormal"/>
    <w:basedOn w:val="Normal"/>
    <w:rsid w:val="005E565F"/>
    <w:pPr>
      <w:spacing w:before="100" w:beforeAutospacing="1" w:after="100" w:afterAutospacing="1"/>
    </w:pPr>
    <w:rPr>
      <w:rFonts w:ascii="Times New Roman" w:eastAsia="Times New Roman" w:hAnsi="Times New Roman" w:cs="Times New Roman"/>
    </w:rPr>
  </w:style>
  <w:style w:type="paragraph" w:customStyle="1" w:styleId="xl64">
    <w:name w:val="xl64"/>
    <w:basedOn w:val="Normal"/>
    <w:rsid w:val="005E565F"/>
    <w:pPr>
      <w:spacing w:before="100" w:beforeAutospacing="1" w:after="100" w:afterAutospacing="1"/>
      <w:jc w:val="right"/>
    </w:pPr>
    <w:rPr>
      <w:rFonts w:ascii="Times New Roman" w:eastAsia="Times New Roman" w:hAnsi="Times New Roman" w:cs="Times New Roman"/>
    </w:rPr>
  </w:style>
  <w:style w:type="paragraph" w:customStyle="1" w:styleId="xl65">
    <w:name w:val="xl65"/>
    <w:basedOn w:val="Normal"/>
    <w:rsid w:val="005E565F"/>
    <w:pPr>
      <w:pBdr>
        <w:bottom w:val="single" w:sz="4" w:space="0" w:color="auto"/>
      </w:pBdr>
      <w:spacing w:before="100" w:beforeAutospacing="1" w:after="100" w:afterAutospacing="1"/>
    </w:pPr>
    <w:rPr>
      <w:rFonts w:ascii="Times New Roman" w:eastAsia="Times New Roman" w:hAnsi="Times New Roman" w:cs="Times New Roman"/>
    </w:rPr>
  </w:style>
  <w:style w:type="paragraph" w:customStyle="1" w:styleId="xl66">
    <w:name w:val="xl66"/>
    <w:basedOn w:val="Normal"/>
    <w:rsid w:val="005E565F"/>
    <w:pPr>
      <w:pBdr>
        <w:bottom w:val="single" w:sz="4" w:space="0" w:color="auto"/>
      </w:pBdr>
      <w:spacing w:before="100" w:beforeAutospacing="1" w:after="100" w:afterAutospacing="1"/>
      <w:jc w:val="right"/>
    </w:pPr>
    <w:rPr>
      <w:rFonts w:ascii="Times New Roman" w:eastAsia="Times New Roman" w:hAnsi="Times New Roman" w:cs="Times New Roman"/>
    </w:rPr>
  </w:style>
  <w:style w:type="paragraph" w:customStyle="1" w:styleId="xl67">
    <w:name w:val="xl67"/>
    <w:basedOn w:val="Normal"/>
    <w:rsid w:val="005E565F"/>
    <w:pPr>
      <w:pBdr>
        <w:top w:val="single" w:sz="4" w:space="0" w:color="auto"/>
      </w:pBdr>
      <w:spacing w:before="100" w:beforeAutospacing="1" w:after="100" w:afterAutospacing="1"/>
    </w:pPr>
    <w:rPr>
      <w:rFonts w:ascii="Times New Roman" w:eastAsia="Times New Roman" w:hAnsi="Times New Roman" w:cs="Times New Roman"/>
    </w:rPr>
  </w:style>
  <w:style w:type="paragraph" w:customStyle="1" w:styleId="xl68">
    <w:name w:val="xl68"/>
    <w:basedOn w:val="Normal"/>
    <w:rsid w:val="005E565F"/>
    <w:pPr>
      <w:pBdr>
        <w:top w:val="single" w:sz="4" w:space="0" w:color="auto"/>
        <w:bottom w:val="single" w:sz="4" w:space="0" w:color="auto"/>
      </w:pBdr>
      <w:spacing w:before="100" w:beforeAutospacing="1" w:after="100" w:afterAutospacing="1"/>
      <w:jc w:val="center"/>
    </w:pPr>
    <w:rPr>
      <w:rFonts w:ascii="Times New Roman" w:eastAsia="Times New Roman" w:hAnsi="Times New Roman" w:cs="Times New Roman"/>
    </w:rPr>
  </w:style>
  <w:style w:type="paragraph" w:customStyle="1" w:styleId="xl69">
    <w:name w:val="xl69"/>
    <w:basedOn w:val="Normal"/>
    <w:rsid w:val="005E565F"/>
    <w:pPr>
      <w:spacing w:before="100" w:beforeAutospacing="1" w:after="100" w:afterAutospacing="1"/>
    </w:pPr>
    <w:rPr>
      <w:rFonts w:ascii="Times New Roman" w:eastAsia="Times New Roman" w:hAnsi="Times New Roman" w:cs="Times New Roman"/>
      <w:i/>
      <w:iCs/>
    </w:rPr>
  </w:style>
  <w:style w:type="paragraph" w:customStyle="1" w:styleId="xl70">
    <w:name w:val="xl70"/>
    <w:basedOn w:val="Normal"/>
    <w:rsid w:val="005E565F"/>
    <w:pPr>
      <w:pBdr>
        <w:bottom w:val="single" w:sz="4" w:space="0" w:color="auto"/>
      </w:pBdr>
      <w:spacing w:before="100" w:beforeAutospacing="1" w:after="100" w:afterAutospacing="1"/>
    </w:pPr>
    <w:rPr>
      <w:rFonts w:ascii="Times New Roman" w:eastAsia="Times New Roman" w:hAnsi="Times New Roman" w:cs="Times New Roman"/>
    </w:rPr>
  </w:style>
  <w:style w:type="paragraph" w:customStyle="1" w:styleId="xl71">
    <w:name w:val="xl71"/>
    <w:basedOn w:val="Normal"/>
    <w:rsid w:val="005E565F"/>
    <w:pPr>
      <w:pBdr>
        <w:bottom w:val="single" w:sz="4" w:space="0" w:color="auto"/>
      </w:pBd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1487</Words>
  <Characters>8476</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Summary of flow simulations under reference and anthropogenic conditions</dc:title>
  <dc:creator/>
  <cp:lastModifiedBy>Marcus Beck</cp:lastModifiedBy>
  <cp:revision>2</cp:revision>
  <dcterms:created xsi:type="dcterms:W3CDTF">2017-10-26T18:58:00Z</dcterms:created>
  <dcterms:modified xsi:type="dcterms:W3CDTF">2017-10-26T19:01:00Z</dcterms:modified>
</cp:coreProperties>
</file>